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alt="E773E362-33CE-4ABE-8E66-42A46E111DBA" style="width:450.75pt;height:351.7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jc w:val="center"/>
        <w:rPr>
          <w:b/>
          <w:noProof/>
          <w:u w:val="single"/>
        </w:rPr>
      </w:pPr>
      <w:bookmarkStart w:id="0" w:name="_GoBack"/>
      <w:bookmarkEnd w:id="0"/>
      <w:r>
        <w:rPr>
          <w:b/>
          <w:noProof/>
          <w:u w:val="single"/>
        </w:rPr>
        <w:lastRenderedPageBreak/>
        <w:t>INDOKOLÁS</w:t>
      </w:r>
    </w:p>
    <w:p>
      <w:pPr>
        <w:keepNext/>
        <w:tabs>
          <w:tab w:val="left" w:pos="850"/>
        </w:tabs>
        <w:spacing w:before="360"/>
        <w:ind w:left="850" w:hanging="850"/>
        <w:outlineLvl w:val="0"/>
        <w:rPr>
          <w:b/>
          <w:smallCaps/>
          <w:noProof/>
        </w:rPr>
      </w:pPr>
      <w:r>
        <w:rPr>
          <w:b/>
          <w:smallCaps/>
          <w:noProof/>
        </w:rPr>
        <w:t>1.</w:t>
      </w:r>
      <w:r>
        <w:rPr>
          <w:noProof/>
        </w:rPr>
        <w:tab/>
      </w:r>
      <w:r>
        <w:rPr>
          <w:b/>
          <w:smallCaps/>
          <w:noProof/>
        </w:rPr>
        <w:t>A javaslat tárgya</w:t>
      </w:r>
    </w:p>
    <w:p>
      <w:pPr>
        <w:rPr>
          <w:rFonts w:eastAsia="Arial Unicode MS"/>
          <w:noProof/>
        </w:rPr>
      </w:pPr>
      <w:r>
        <w:rPr>
          <w:noProof/>
        </w:rPr>
        <w:t>E javaslat tárgya az Unió által a Vámigazgatások Világszervezetének Tanácsában a Harmonizált Rendszer (HR) nómenklatúrájának módosítására irányuló ajánlástervezet tervezett elfogadásával kapcsolatban képviselendő álláspont meghatározásáról szóló határozat.</w:t>
      </w:r>
    </w:p>
    <w:p>
      <w:pPr>
        <w:keepNext/>
        <w:tabs>
          <w:tab w:val="left" w:pos="850"/>
        </w:tabs>
        <w:spacing w:before="360"/>
        <w:ind w:left="850" w:hanging="850"/>
        <w:outlineLvl w:val="0"/>
        <w:rPr>
          <w:b/>
          <w:smallCaps/>
          <w:noProof/>
        </w:rPr>
      </w:pPr>
      <w:r>
        <w:rPr>
          <w:b/>
          <w:smallCaps/>
          <w:noProof/>
        </w:rPr>
        <w:t>2.</w:t>
      </w:r>
      <w:r>
        <w:rPr>
          <w:noProof/>
        </w:rPr>
        <w:tab/>
      </w:r>
      <w:r>
        <w:rPr>
          <w:b/>
          <w:smallCaps/>
          <w:noProof/>
        </w:rPr>
        <w:t>A JAVASLAT HÁTTERE</w:t>
      </w:r>
    </w:p>
    <w:p>
      <w:pPr>
        <w:keepNext/>
        <w:tabs>
          <w:tab w:val="left" w:pos="850"/>
        </w:tabs>
        <w:ind w:left="850" w:hanging="850"/>
        <w:outlineLvl w:val="1"/>
        <w:rPr>
          <w:b/>
          <w:noProof/>
        </w:rPr>
      </w:pPr>
      <w:r>
        <w:rPr>
          <w:b/>
          <w:noProof/>
        </w:rPr>
        <w:t>2.1.</w:t>
      </w:r>
      <w:r>
        <w:rPr>
          <w:noProof/>
        </w:rPr>
        <w:tab/>
      </w:r>
      <w:r>
        <w:rPr>
          <w:b/>
          <w:noProof/>
        </w:rPr>
        <w:t>Nemzetközi egyezmény a Harmonizált Áruleíró és Kódrendszerről</w:t>
      </w:r>
    </w:p>
    <w:p>
      <w:pPr>
        <w:rPr>
          <w:rFonts w:eastAsia="Arial Unicode MS"/>
          <w:noProof/>
        </w:rPr>
      </w:pPr>
      <w:r>
        <w:rPr>
          <w:noProof/>
        </w:rPr>
        <w:t>A Harmonizált Áruleíró és Kódrendszerről szóló nemzetközi egyezmény (a továbbiakban: HR-egyezmény) célja a nemzetközi kereskedelmi eljárások egyszerűsítése, valamint elsősorban a nemzetközi kereskedelemre vonatkozó statisztikák gyűjtése, összehasonlítása és elemzése. A HR-egyezmény mellékletként magában foglalja a Harmonizált Rendszer szerinti nómenklatúrát, amely nemzetközi szinten harmonizált rendszerként lehetővé teszi a részt vevő országok számára, hogy vámügyi célokból közös alapokon osztályozzák a kereskedelemben részt vevő árukat. A HR-nómenklatúra tartalmazza az áruk megnevezését vámtarifaszámok és vámtarifaalszámok szerint, valamint az ezekhez tartozó, hatjegyű kódokból álló rendszeren alapuló számkódot. A HR-nómenklatúrát ötévenként felülvizsgálják</w:t>
      </w:r>
      <w:r>
        <w:rPr>
          <w:rStyle w:val="FootnoteReference"/>
          <w:noProof/>
        </w:rPr>
        <w:footnoteReference w:id="1"/>
      </w:r>
      <w:r>
        <w:rPr>
          <w:noProof/>
        </w:rPr>
        <w:t xml:space="preserve">. Világszerte több mint 190 közigazgatás alkalmazza; következésképpen a világon kereskedelmi forgalomban lévő áruk több mint 98 %-át eszerint osztályozzák. </w:t>
      </w:r>
    </w:p>
    <w:p>
      <w:pPr>
        <w:rPr>
          <w:rFonts w:eastAsia="Arial Unicode MS"/>
          <w:noProof/>
        </w:rPr>
      </w:pPr>
      <w:r>
        <w:rPr>
          <w:noProof/>
        </w:rPr>
        <w:t>A HR-egyezmény 1988. január 1-jén lépett hatályba.</w:t>
      </w:r>
    </w:p>
    <w:p>
      <w:pPr>
        <w:rPr>
          <w:rFonts w:eastAsia="Arial Unicode MS"/>
          <w:noProof/>
        </w:rPr>
      </w:pPr>
      <w:r>
        <w:rPr>
          <w:noProof/>
        </w:rPr>
        <w:t>Az Európai Unió és valamennyi tagállama részes fele a HR-egyezménynek</w:t>
      </w:r>
      <w:r>
        <w:rPr>
          <w:rStyle w:val="FootnoteReference"/>
          <w:noProof/>
        </w:rPr>
        <w:footnoteReference w:id="2"/>
      </w:r>
      <w:r>
        <w:rPr>
          <w:noProof/>
        </w:rPr>
        <w:t>.</w:t>
      </w:r>
    </w:p>
    <w:p>
      <w:pPr>
        <w:keepNext/>
        <w:tabs>
          <w:tab w:val="left" w:pos="850"/>
        </w:tabs>
        <w:ind w:left="850" w:hanging="850"/>
        <w:outlineLvl w:val="1"/>
        <w:rPr>
          <w:b/>
          <w:noProof/>
        </w:rPr>
      </w:pPr>
      <w:r>
        <w:rPr>
          <w:b/>
          <w:noProof/>
        </w:rPr>
        <w:t>2.2.</w:t>
      </w:r>
      <w:r>
        <w:rPr>
          <w:noProof/>
        </w:rPr>
        <w:tab/>
      </w:r>
      <w:r>
        <w:rPr>
          <w:b/>
          <w:noProof/>
        </w:rPr>
        <w:t>A Vámigazgatások Világszervezete</w:t>
      </w:r>
    </w:p>
    <w:p>
      <w:pPr>
        <w:rPr>
          <w:rFonts w:eastAsia="Arial Unicode MS"/>
          <w:noProof/>
        </w:rPr>
      </w:pPr>
      <w:r>
        <w:rPr>
          <w:noProof/>
        </w:rPr>
        <w:t>A Vámigazgatások Világszervezete 1952-ben alakult meg Vámegyüttműködési Tanács néven. E független kormányközi szerv célja a vámigazgatási szervek hatékonyságának és eredményességének javítása. A Vámigazgatások Világszervezete számos egyezményt és egyéb nemzetközi jogi eszközt, valamint technikai segítségnyújtást és képzési szolgáltatásokat kínál tagjai számára. A Vámigazgatások Világszervezete jelenleg 182 vámigazgatást képvisel a világ minden részéről.</w:t>
      </w:r>
    </w:p>
    <w:p>
      <w:pPr>
        <w:rPr>
          <w:rFonts w:eastAsia="Arial Unicode MS"/>
          <w:noProof/>
        </w:rPr>
      </w:pPr>
      <w:r>
        <w:rPr>
          <w:noProof/>
        </w:rPr>
        <w:t xml:space="preserve">A Vámigazgatások Világszervezetének irányító szerve a Tanács, melynek munkáját céljainak elérése érdekében a titkárság, továbbá számos technikai és tanácsadó bizottság segíti szaktudásával. </w:t>
      </w:r>
    </w:p>
    <w:p>
      <w:pPr>
        <w:rPr>
          <w:rFonts w:eastAsiaTheme="majorEastAsia"/>
          <w:bCs/>
          <w:noProof/>
          <w:szCs w:val="26"/>
        </w:rPr>
      </w:pPr>
      <w:r>
        <w:rPr>
          <w:noProof/>
        </w:rPr>
        <w:t>A Vámigazgatások Világszervezetén belül a HR-egyezménnyel kapcsolatos előkészítő munka elvégzésével megbízott technikai bizottság a HR Bizottság. A HR Bizottság legfontosabb feladatai a következők:</w:t>
      </w:r>
    </w:p>
    <w:p>
      <w:pPr>
        <w:pStyle w:val="Bullet0"/>
        <w:numPr>
          <w:ilvl w:val="0"/>
          <w:numId w:val="10"/>
        </w:numPr>
        <w:rPr>
          <w:noProof/>
        </w:rPr>
      </w:pPr>
      <w:r>
        <w:rPr>
          <w:noProof/>
        </w:rPr>
        <w:t xml:space="preserve">biztosítja a Harmonizált Rendszer jogi szövegeinek egységes értelmezését és alkalmazását, ideértve a Szerződő Felek között az osztályozással kapcsolatban felmerült viták rendezését is, ezzel is egyszerűsítve a kereskedelmi eljárásokat; </w:t>
      </w:r>
    </w:p>
    <w:p>
      <w:pPr>
        <w:pStyle w:val="Bullet0"/>
        <w:rPr>
          <w:noProof/>
        </w:rPr>
      </w:pPr>
      <w:r>
        <w:rPr>
          <w:noProof/>
        </w:rPr>
        <w:t xml:space="preserve">javaslatot tesz a Harmonizált Rendszer módosítására és frissítésére annak érdekében, hogy az figyelembe vegye a technológiai fejleményeket és a kereskedelem szerkezetében bekövetkezett változásokat, valamint a Harmonizált Rendszer felhasználóinak egyéb igényeit; </w:t>
      </w:r>
    </w:p>
    <w:p>
      <w:pPr>
        <w:pStyle w:val="Bullet0"/>
        <w:rPr>
          <w:noProof/>
        </w:rPr>
      </w:pPr>
      <w:r>
        <w:rPr>
          <w:noProof/>
        </w:rPr>
        <w:t>ösztönzi a Harmonizált Rendszer széles körű alkalmazását, valamint megvizsgálja a Harmonizált Rendszerrel kapcsolatos általános és szakpolitikai kérdéseket.</w:t>
      </w:r>
    </w:p>
    <w:p>
      <w:pPr>
        <w:ind w:left="720"/>
        <w:contextualSpacing/>
        <w:rPr>
          <w:rFonts w:eastAsiaTheme="majorEastAsia"/>
          <w:bCs/>
          <w:noProof/>
          <w:szCs w:val="26"/>
        </w:rPr>
      </w:pPr>
    </w:p>
    <w:p>
      <w:pPr>
        <w:rPr>
          <w:rFonts w:eastAsiaTheme="majorEastAsia"/>
          <w:bCs/>
          <w:noProof/>
          <w:szCs w:val="26"/>
        </w:rPr>
      </w:pPr>
      <w:r>
        <w:rPr>
          <w:noProof/>
        </w:rPr>
        <w:t>A Vámigazgatások Világszervezetének Tanácsa megvizsgálja a HR-egyezmény módosítására vonatkozó, a HR Bizottság által elkészített javaslatokat, és ajánlásokat tehet ezekről a Szerződő Felek számára. A Vámigazgatások Világszervezetének Tanácsa által ajánlott módosítások akkor tekintendők elfogadottnak, ha az azok bejelentésétől számított hat hónapon belül egyik Szerződő Fél sem él kifogással.</w:t>
      </w:r>
    </w:p>
    <w:p>
      <w:pPr>
        <w:rPr>
          <w:rFonts w:eastAsiaTheme="majorEastAsia"/>
          <w:bCs/>
          <w:noProof/>
          <w:szCs w:val="26"/>
        </w:rPr>
      </w:pPr>
      <w:r>
        <w:rPr>
          <w:noProof/>
        </w:rPr>
        <w:t>Az Unió által a Vámigazgatások Világszervezetében a Harmonizált Rendszerrel kapcsolatban képviselendő álláspontról egyeztetni kell a tagállamokkal. Az Unió és a tagállamok együttesen egyetlen szavazattal rendelkeznek a Vámigazgatások Világszervezetének Tanácsában.</w:t>
      </w:r>
    </w:p>
    <w:p>
      <w:pPr>
        <w:keepNext/>
        <w:tabs>
          <w:tab w:val="left" w:pos="850"/>
        </w:tabs>
        <w:ind w:left="850" w:hanging="850"/>
        <w:outlineLvl w:val="1"/>
        <w:rPr>
          <w:b/>
          <w:noProof/>
        </w:rPr>
      </w:pPr>
      <w:r>
        <w:rPr>
          <w:b/>
          <w:noProof/>
        </w:rPr>
        <w:t>2.3.</w:t>
      </w:r>
      <w:r>
        <w:rPr>
          <w:noProof/>
        </w:rPr>
        <w:tab/>
      </w:r>
      <w:r>
        <w:rPr>
          <w:b/>
          <w:noProof/>
        </w:rPr>
        <w:t>A Vámigazgatások Világszervezetének Tanácsa által elfogadandó jogi aktus</w:t>
      </w:r>
    </w:p>
    <w:p>
      <w:pPr>
        <w:rPr>
          <w:rFonts w:eastAsia="Arial Unicode MS"/>
          <w:noProof/>
        </w:rPr>
      </w:pPr>
      <w:r>
        <w:rPr>
          <w:noProof/>
        </w:rPr>
        <w:t>2019. június 27–29-én tartandó 133./134. ülésén a Vámigazgatások Világszervezetének Tanácsa a HR-egyezmény 16. cikke szerinti ajánlást tervez elfogadni a HR-nómenklatúra módosításairól (a továbbiakban: a tervezett jogi aktus). A felülvizsgált HR-nómenklatúra 2022-ben fog hatályba lépni.</w:t>
      </w:r>
    </w:p>
    <w:p>
      <w:pPr>
        <w:rPr>
          <w:rFonts w:eastAsia="Arial Unicode MS"/>
          <w:noProof/>
        </w:rPr>
      </w:pPr>
      <w:r>
        <w:rPr>
          <w:noProof/>
        </w:rPr>
        <w:t xml:space="preserve">Az ajánlás előkészítésére 2019. március 19. és 29. között, a HR Bizottság hatvanharmadik ülésszakán került sor. </w:t>
      </w:r>
    </w:p>
    <w:p>
      <w:pPr>
        <w:rPr>
          <w:rFonts w:eastAsia="Arial Unicode MS"/>
          <w:noProof/>
        </w:rPr>
      </w:pPr>
      <w:r>
        <w:rPr>
          <w:noProof/>
        </w:rPr>
        <w:t>Az ajánlástervezet a HR-nómenklatúra 355 módosítását tartalmazza, amelyek a kereskedelem szerkezetében bekövetkezett változásokat, az új technológiai fejlesztéseket, valamint a nómenklatúra korszerűsítésének, illetve a környezetéhez való hozzáigazításának igényét hivatottak tükrözni. A javasolt módosítások konkrét céljai:</w:t>
      </w:r>
    </w:p>
    <w:p>
      <w:pPr>
        <w:pStyle w:val="Tiret0"/>
        <w:numPr>
          <w:ilvl w:val="0"/>
          <w:numId w:val="12"/>
        </w:numPr>
        <w:rPr>
          <w:noProof/>
        </w:rPr>
      </w:pPr>
      <w:r>
        <w:rPr>
          <w:noProof/>
        </w:rPr>
        <w:t>A nómenklatúra egyszerűsítése az olyan vámtarifaszámok és vámtarifaalszámok törlése révén, amelyekhez kis volumenű kereskedelmi forgalom kapcsolódik, ezáltal biztosítva a HR naprakészen tartását és összhangját a termékek fejlődésével.</w:t>
      </w:r>
    </w:p>
    <w:p>
      <w:pPr>
        <w:pStyle w:val="ListParagraph"/>
        <w:rPr>
          <w:rFonts w:eastAsia="Arial Unicode MS"/>
          <w:noProof/>
        </w:rPr>
      </w:pPr>
    </w:p>
    <w:p>
      <w:pPr>
        <w:pStyle w:val="Tiret0"/>
        <w:rPr>
          <w:noProof/>
        </w:rPr>
      </w:pPr>
      <w:r>
        <w:rPr>
          <w:noProof/>
        </w:rPr>
        <w:t>Az osztályozás megkönnyítése az alkalmazandó nemzetközi szabványokkal összhangban, illetve az új termékek fejlesztésének vagy a termékösszetétel alakulásának figyelembevétele (sejtterápiás termékek, 3D nyomtatók, síkpanel megjelenítők, joghurtok, rovaralapú élelmiszerek, szűz olívaolaj, új dohánytermékek, drónok, félvezetők és jelátalakítók stb.).</w:t>
      </w:r>
    </w:p>
    <w:p>
      <w:pPr>
        <w:pStyle w:val="ListParagraph"/>
        <w:rPr>
          <w:rFonts w:eastAsia="Arial Unicode MS"/>
          <w:noProof/>
        </w:rPr>
      </w:pPr>
    </w:p>
    <w:p>
      <w:pPr>
        <w:pStyle w:val="Tiret0"/>
        <w:rPr>
          <w:noProof/>
        </w:rPr>
      </w:pPr>
      <w:r>
        <w:rPr>
          <w:noProof/>
        </w:rPr>
        <w:t>A nómenklatúra francia és angol változatának jobb összehangolása az egységes alkalmazás biztosítása, valamint a meglévő vagy lehetséges besorolási eltérések csökkentése érdekében.</w:t>
      </w:r>
    </w:p>
    <w:p>
      <w:pPr>
        <w:pStyle w:val="ListParagraph"/>
        <w:rPr>
          <w:rFonts w:eastAsia="Arial Unicode MS"/>
          <w:noProof/>
        </w:rPr>
      </w:pPr>
    </w:p>
    <w:p>
      <w:pPr>
        <w:pStyle w:val="Tiret0"/>
        <w:rPr>
          <w:noProof/>
        </w:rPr>
      </w:pPr>
      <w:r>
        <w:rPr>
          <w:noProof/>
        </w:rPr>
        <w:t>A csalás és az illegális kereskedelem elleni küzdelem elősegítése, valamint az egészség és a környezet védelme új vámtarifaszámok és vámtarifaalszámok létrehozása révén különböző területeken (szintetikus gyémántok, vegyi anyagok, kulturális javak, fentanil, hulladék stb.).</w:t>
      </w:r>
    </w:p>
    <w:p>
      <w:pPr>
        <w:rPr>
          <w:rFonts w:eastAsia="Arial Unicode MS"/>
          <w:noProof/>
        </w:rPr>
      </w:pPr>
      <w:r>
        <w:rPr>
          <w:noProof/>
        </w:rPr>
        <w:t>A javaslatokat nemzetközi szervezetek (kimberley-i folyamat, FAO, Bázeli és Rotterdami Egyezmény, Nemzetközi Olívatanács stb.), a Szerződő Felek és a Vámigazgatások Világszervezetének titkársága nyújtotta be. E módosítások között szerepel több, az EU által előterjesztett javaslat is (például fény- és hőérzékeny lemezek, rétegelt szövetek, felfújható csónakok, elektronikus textilek, üvegszálak, 3D nyomtatók, tűzálló kerámiák, kovácsológépek, joghurt, a 27. árucsoporthoz tartozó Megjegyzések 3. pontja, hajlítható ceruzák).</w:t>
      </w:r>
    </w:p>
    <w:p>
      <w:pPr>
        <w:rPr>
          <w:rFonts w:eastAsia="Arial Unicode MS"/>
          <w:noProof/>
        </w:rPr>
      </w:pPr>
      <w:r>
        <w:rPr>
          <w:noProof/>
        </w:rPr>
        <w:t>Az ajánlástervezet a HR Bizottság 2019 márciusában tartott 63. üléséről készített jelentés R. mellékletében szerepel (NC2626B1b-HSC/63/March 2019 jelzetű dokumentum).</w:t>
      </w:r>
    </w:p>
    <w:p>
      <w:pPr>
        <w:keepNext/>
        <w:tabs>
          <w:tab w:val="left" w:pos="850"/>
        </w:tabs>
        <w:spacing w:before="360"/>
        <w:ind w:left="850" w:hanging="850"/>
        <w:outlineLvl w:val="0"/>
        <w:rPr>
          <w:b/>
          <w:smallCaps/>
          <w:noProof/>
        </w:rPr>
      </w:pPr>
      <w:r>
        <w:rPr>
          <w:b/>
          <w:smallCaps/>
          <w:noProof/>
        </w:rPr>
        <w:t>3.</w:t>
      </w:r>
      <w:r>
        <w:rPr>
          <w:noProof/>
        </w:rPr>
        <w:tab/>
      </w:r>
      <w:r>
        <w:rPr>
          <w:b/>
          <w:smallCaps/>
          <w:noProof/>
        </w:rPr>
        <w:t>Az Unió által képviselendő álláspont</w:t>
      </w:r>
    </w:p>
    <w:p>
      <w:pPr>
        <w:rPr>
          <w:noProof/>
        </w:rPr>
      </w:pPr>
      <w:r>
        <w:rPr>
          <w:noProof/>
        </w:rPr>
        <w:t>A javasolt álláspont értelmében az Unió támogatja a HR-nómenklatúra módosítására vonatkozó ajánlástervezetet.</w:t>
      </w:r>
    </w:p>
    <w:p>
      <w:pPr>
        <w:rPr>
          <w:noProof/>
        </w:rPr>
      </w:pPr>
      <w:r>
        <w:rPr>
          <w:noProof/>
        </w:rPr>
        <w:t>Az EU szempontjából nagy jelentősége van az ajánlás elfogadásának, mivel annak célja a HR-nómenklatúra aktualizálása és korszerűsítése, valamint a termékek osztályozásának egyszerűsítése és elősegítése. Fontos megjegyezni emellett, hogy az EU az egyik fő kezdeményezője volt e korszerűsítési folyamatnak, miután a felülvizsgálati ciklus során a javaslatok jelentős része tőle származott.</w:t>
      </w:r>
    </w:p>
    <w:p>
      <w:pPr>
        <w:rPr>
          <w:noProof/>
        </w:rPr>
      </w:pPr>
      <w:r>
        <w:rPr>
          <w:noProof/>
        </w:rPr>
        <w:t>A tagállamokkal folyamatosan konzultációkra került sor a vámügyi szakértői csoport – a HR/Vámigazgatások Világszervezete koordinációs szerv keretein belül, illetve a Tanácsban, szükség esetén a Bizottság szolgálatainak bevonásával.</w:t>
      </w:r>
    </w:p>
    <w:p>
      <w:pPr>
        <w:rPr>
          <w:noProof/>
        </w:rPr>
      </w:pPr>
      <w:r>
        <w:rPr>
          <w:noProof/>
        </w:rPr>
        <w:t>Az új dohánytermék-kategóriákra vonatkozó módosítás tekintetében az uniós álláspontot a HR Bizottság fent említett ülése előtt tanácsi határozat rögzítette</w:t>
      </w:r>
      <w:r>
        <w:rPr>
          <w:rStyle w:val="FootnoteReference"/>
          <w:noProof/>
        </w:rPr>
        <w:footnoteReference w:id="3"/>
      </w:r>
      <w:r>
        <w:rPr>
          <w:noProof/>
        </w:rPr>
        <w:t>. Mivel a tanácsi határozat eltért a bizottsági javaslattól, a Bizottság nyilatkozatot</w:t>
      </w:r>
      <w:r>
        <w:rPr>
          <w:rStyle w:val="FootnoteReference"/>
          <w:noProof/>
        </w:rPr>
        <w:footnoteReference w:id="4"/>
      </w:r>
      <w:r>
        <w:rPr>
          <w:noProof/>
        </w:rPr>
        <w:t xml:space="preserve"> tett, amelyben emlékeztetett a dohányzás visszaszorításáról szóló WHO-keretegyezmény keretében az új dohánytermék-kategóriák kibocsátásainak természetével kapcsolatban folyó munkára, valamint arra, hogy indokolt lehet az eredményeket egy későbbi időpontban feldolgozni, ha időközben új bizonyítékok merülnek fel az ilyen termékek objektív jellemzőinek és tulajdonságainak vámügyi szempontú értékeléséhez.</w:t>
      </w:r>
    </w:p>
    <w:p>
      <w:pPr>
        <w:rPr>
          <w:noProof/>
        </w:rPr>
      </w:pPr>
      <w:r>
        <w:rPr>
          <w:noProof/>
        </w:rPr>
        <w:t>A javasolt álláspont ezért a következő:</w:t>
      </w:r>
    </w:p>
    <w:p>
      <w:pPr>
        <w:pStyle w:val="Tiret0"/>
        <w:numPr>
          <w:ilvl w:val="0"/>
          <w:numId w:val="9"/>
        </w:numPr>
        <w:ind w:left="851" w:hanging="851"/>
        <w:rPr>
          <w:noProof/>
        </w:rPr>
      </w:pPr>
      <w:r>
        <w:rPr>
          <w:noProof/>
        </w:rPr>
        <w:t>Ami az ajánlást illeti, az Uniónak helyénvaló támogatnia az ajánlás elfogadását.</w:t>
      </w:r>
    </w:p>
    <w:p>
      <w:pPr>
        <w:pStyle w:val="Tiret0"/>
        <w:rPr>
          <w:noProof/>
        </w:rPr>
      </w:pPr>
      <w:r>
        <w:rPr>
          <w:noProof/>
        </w:rPr>
        <w:t>Adott esetben az Uniónak támogatnia kell a Vámigazgatások Világszervezetének titkársága által javasolt további szerkesztési módosításokat.</w:t>
      </w:r>
    </w:p>
    <w:p>
      <w:pPr>
        <w:rPr>
          <w:noProof/>
        </w:rPr>
      </w:pPr>
      <w:r>
        <w:rPr>
          <w:noProof/>
        </w:rPr>
        <w:t xml:space="preserve">A javasolt uniós álláspont összhangban áll az áruknak a behozatalkor objektív jellemzőik és tulajdonságaik alapján történő osztályba sorolása tekintetében kialakított vámügyi szakpolitikával és az Európai Unió Bíróságának vonatkozó esetjogával. </w:t>
      </w:r>
    </w:p>
    <w:p>
      <w:pPr>
        <w:rPr>
          <w:noProof/>
        </w:rPr>
      </w:pPr>
      <w:r>
        <w:rPr>
          <w:noProof/>
        </w:rPr>
        <w:t xml:space="preserve">A javasolt álláspont szükséges ahhoz, hogy az EU állást foglalhasson a Vámigazgatások Világszervezete Tanácsának következő ülésén. </w:t>
      </w:r>
    </w:p>
    <w:p>
      <w:pPr>
        <w:keepNext/>
        <w:tabs>
          <w:tab w:val="left" w:pos="850"/>
        </w:tabs>
        <w:spacing w:before="360"/>
        <w:ind w:left="850" w:hanging="850"/>
        <w:outlineLvl w:val="0"/>
        <w:rPr>
          <w:b/>
          <w:smallCaps/>
          <w:noProof/>
        </w:rPr>
      </w:pPr>
      <w:r>
        <w:rPr>
          <w:b/>
          <w:smallCaps/>
          <w:noProof/>
        </w:rPr>
        <w:t>4.</w:t>
      </w:r>
      <w:r>
        <w:rPr>
          <w:noProof/>
        </w:rPr>
        <w:tab/>
      </w:r>
      <w:r>
        <w:rPr>
          <w:b/>
          <w:smallCaps/>
          <w:noProof/>
        </w:rPr>
        <w:t>Jogalap</w:t>
      </w:r>
    </w:p>
    <w:p>
      <w:pPr>
        <w:keepNext/>
        <w:tabs>
          <w:tab w:val="left" w:pos="850"/>
        </w:tabs>
        <w:ind w:left="850" w:hanging="850"/>
        <w:outlineLvl w:val="2"/>
        <w:rPr>
          <w:i/>
          <w:noProof/>
        </w:rPr>
      </w:pPr>
      <w:r>
        <w:rPr>
          <w:i/>
          <w:noProof/>
        </w:rPr>
        <w:t>4.1.1.</w:t>
      </w:r>
      <w:r>
        <w:rPr>
          <w:noProof/>
        </w:rPr>
        <w:tab/>
      </w:r>
      <w:r>
        <w:rPr>
          <w:i/>
          <w:noProof/>
        </w:rPr>
        <w:t>Általános elvek</w:t>
      </w:r>
    </w:p>
    <w:p>
      <w:pPr>
        <w:rPr>
          <w:noProof/>
        </w:rPr>
      </w:pPr>
      <w:r>
        <w:rPr>
          <w:noProof/>
        </w:rPr>
        <w:t>Az Európai Unió működéséről szóló szerződés (EUMSZ) 218. cikkének (9) bekezdése határozatok elfogadásáról rendelkezik „</w:t>
      </w:r>
      <w:r>
        <w:rPr>
          <w:i/>
          <w:noProof/>
        </w:rPr>
        <w:t>a megállapodásokkal létrehozott szervekben az Unió által képviselendő álláspontok kialakítására vonatkozóan, amennyiben az ilyen szervnek joghatással bíró jogi aktust kell elfogadnia, kivéve a megállapodás intézményi kereteit kiegészítő vagy módosító jogi aktusokat.</w:t>
      </w:r>
      <w:r>
        <w:rPr>
          <w:noProof/>
        </w:rPr>
        <w:t>”</w:t>
      </w:r>
    </w:p>
    <w:p>
      <w:pPr>
        <w:rPr>
          <w:noProof/>
        </w:rPr>
      </w:pPr>
      <w:r>
        <w:rPr>
          <w:noProof/>
        </w:rPr>
        <w:t>A „</w:t>
      </w:r>
      <w:r>
        <w:rPr>
          <w:i/>
          <w:noProof/>
        </w:rPr>
        <w:t>joghatással bíró jogi aktus</w:t>
      </w:r>
      <w:r>
        <w:rPr>
          <w:noProof/>
        </w:rPr>
        <w:t>” fogalmába beletartoznak a nemzetközi jognak a kérdéses szervre irányadó szabályai szerint joghatással bíró jogi aktusok. Ezenfelül a fogalom kiterjed azokra az eszközökre is, amelyek a nemzetközi jog értelmében nem bírnak kötelező erővel, de „</w:t>
      </w:r>
      <w:r>
        <w:rPr>
          <w:i/>
          <w:noProof/>
        </w:rPr>
        <w:t>meghatározó módon befolyásolják az uniós jogalkotó által [...] elfogadott szabályozás tartalmát</w:t>
      </w:r>
      <w:r>
        <w:rPr>
          <w:noProof/>
        </w:rPr>
        <w:t>”</w:t>
      </w:r>
      <w:r>
        <w:rPr>
          <w:rStyle w:val="FootnoteReference"/>
          <w:noProof/>
        </w:rPr>
        <w:footnoteReference w:id="5"/>
      </w:r>
      <w:r>
        <w:rPr>
          <w:noProof/>
        </w:rPr>
        <w:t>.</w:t>
      </w:r>
    </w:p>
    <w:p>
      <w:pPr>
        <w:rPr>
          <w:noProof/>
        </w:rPr>
      </w:pPr>
      <w:r>
        <w:rPr>
          <w:noProof/>
        </w:rPr>
        <w:t>Ezért az Unió által a tervezett jogi aktussal kapcsolatosan képviselendő álláspontot meghatározó javasolt határozat eljárási jogalapja az EUMSZ 218. cikkének (9) bekezdése.</w:t>
      </w:r>
    </w:p>
    <w:p>
      <w:pPr>
        <w:keepNext/>
        <w:tabs>
          <w:tab w:val="left" w:pos="850"/>
        </w:tabs>
        <w:ind w:left="850" w:hanging="850"/>
        <w:outlineLvl w:val="2"/>
        <w:rPr>
          <w:i/>
          <w:noProof/>
        </w:rPr>
      </w:pPr>
      <w:r>
        <w:rPr>
          <w:i/>
          <w:noProof/>
        </w:rPr>
        <w:t>4.1.2.</w:t>
      </w:r>
      <w:r>
        <w:rPr>
          <w:noProof/>
        </w:rPr>
        <w:tab/>
      </w:r>
      <w:r>
        <w:rPr>
          <w:i/>
          <w:noProof/>
        </w:rPr>
        <w:t>A jelen esetre történő alkalmazás</w:t>
      </w:r>
    </w:p>
    <w:p>
      <w:pPr>
        <w:rPr>
          <w:noProof/>
        </w:rPr>
      </w:pPr>
      <w:r>
        <w:rPr>
          <w:noProof/>
        </w:rPr>
        <w:t>A Vámigazgatások Világszervezetének Tanácsát megállapodás, nevezetesen a Vámegyüttműködési Tanács létrehozásáról szóló, 1950. december 15-i egyezmény hozta létre. A Harmonizált Áruleíró és Kódrendszerről szóló nemzetközi egyezmény szerint e szerv feladata, hogy ajánlásokat fogalmazzon meg a Szerződő Felek számára a szóban forgó egyezmény módosításáról.</w:t>
      </w:r>
    </w:p>
    <w:p>
      <w:pPr>
        <w:rPr>
          <w:noProof/>
        </w:rPr>
      </w:pPr>
      <w:r>
        <w:rPr>
          <w:noProof/>
        </w:rPr>
        <w:t>A Vámigazgatások Világszervezetének Tanácsa júniusi ülésén a HR-egyezmény 16. cikkének megfelelően várhatóan ajánlást tesz majd a HR-egyezmény Szerződő Felei számára az említett egyezmény mellékletének (HR-nómenklatúra) módosítására vonatkozóan, amelyet az ajánlás megtételétől számított hat hónapot követően elfogadottnak fognak tekinteni, ha egyik Szerződő Fél sem él kifogással. Az elfogadott módosítások a nemzetközi jog értelmében hatálybalépésük időpontjától az összes Szerződő Félre nézve kötelezőek, és a Szerződő Felek vám- és statisztikai nómenklatúráját összhangba kell hozni a módosított Harmonizált Rendszerrel. Elfogadását követően az ajánlást tehát bele kell foglalni az uniós jogszabályokba, nevezetesen a vám- és a statisztikai nómenklatúráról, valamint a Közös Vámtarifáról szóló 2658/87/EGK tanácsi rendelet 1. mellékletébe. Ennek jogalapja az, hogy az említett rendelet 1. cikke (2) bekezdésének a) pontja szerint „</w:t>
      </w:r>
      <w:r>
        <w:rPr>
          <w:i/>
          <w:noProof/>
        </w:rPr>
        <w:t>(2) A Kombinált Nómenklatúra alkotóelemei: a) a Harmonizált Rendszer szerinti nómenklatúra;</w:t>
      </w:r>
      <w:r>
        <w:rPr>
          <w:noProof/>
        </w:rPr>
        <w:t xml:space="preserve">”. </w:t>
      </w:r>
    </w:p>
    <w:p>
      <w:pPr>
        <w:rPr>
          <w:noProof/>
        </w:rPr>
      </w:pPr>
      <w:r>
        <w:rPr>
          <w:noProof/>
        </w:rPr>
        <w:t>A tervezett jogi aktus nem egészíti ki és nem módosítja a megállapodás intézményi keretét.</w:t>
      </w:r>
    </w:p>
    <w:p>
      <w:pPr>
        <w:rPr>
          <w:noProof/>
        </w:rPr>
      </w:pPr>
      <w:r>
        <w:rPr>
          <w:noProof/>
        </w:rPr>
        <w:t>Ezért a javasolt határozat eljárási jogalapja az EUMSZ 218. cikkének (9) bekezdése.</w:t>
      </w:r>
    </w:p>
    <w:p>
      <w:pPr>
        <w:keepNext/>
        <w:tabs>
          <w:tab w:val="left" w:pos="850"/>
        </w:tabs>
        <w:ind w:left="850" w:hanging="850"/>
        <w:outlineLvl w:val="1"/>
        <w:rPr>
          <w:b/>
          <w:noProof/>
        </w:rPr>
      </w:pPr>
      <w:r>
        <w:rPr>
          <w:b/>
          <w:noProof/>
        </w:rPr>
        <w:t>4.2.</w:t>
      </w:r>
      <w:r>
        <w:rPr>
          <w:noProof/>
        </w:rPr>
        <w:tab/>
      </w:r>
      <w:r>
        <w:rPr>
          <w:b/>
          <w:noProof/>
        </w:rPr>
        <w:t>Anyagi jogalap</w:t>
      </w:r>
    </w:p>
    <w:p>
      <w:pPr>
        <w:keepNext/>
        <w:tabs>
          <w:tab w:val="left" w:pos="850"/>
        </w:tabs>
        <w:ind w:left="850" w:hanging="850"/>
        <w:outlineLvl w:val="2"/>
        <w:rPr>
          <w:i/>
          <w:noProof/>
        </w:rPr>
      </w:pPr>
      <w:r>
        <w:rPr>
          <w:i/>
          <w:noProof/>
        </w:rPr>
        <w:t>4.2.1.</w:t>
      </w:r>
      <w:r>
        <w:rPr>
          <w:noProof/>
        </w:rPr>
        <w:tab/>
      </w:r>
      <w:r>
        <w:rPr>
          <w:i/>
          <w:noProof/>
        </w:rPr>
        <w:t>Általános elvek</w:t>
      </w:r>
    </w:p>
    <w:p>
      <w:pPr>
        <w:rPr>
          <w:noProof/>
        </w:rPr>
      </w:pPr>
      <w:r>
        <w:rPr>
          <w:noProof/>
        </w:rPr>
        <w:t>Az EUMSZ 218. cikkének (9) bekezdése szerinti határozat anyagi jogalapja elsősorban azon tervezett jogi aktus célkitűzésétől és tartalmától függ, amellyel kapcsolatban az Unió által képviselendő álláspont meghatározásra kerül. Amennyiben a tervezett jogi aktus kettős célkitűzést követ, vagy két összetevőből áll, és ezek egyike elsődlegesként vagy döntő jellegűként azonosítható, míg a másik pusztán járulékos jellegű, az EUMSZ 218. cikkének (9) bekezdése szerinti határozatot egyetlen jogalapra, azaz az elsődleges, illetve döntő jellegű célkitűzés vagy összetevő által megkövetelt jogalapra kell alapítani.</w:t>
      </w:r>
    </w:p>
    <w:p>
      <w:pPr>
        <w:keepNext/>
        <w:tabs>
          <w:tab w:val="left" w:pos="850"/>
        </w:tabs>
        <w:ind w:left="850" w:hanging="850"/>
        <w:outlineLvl w:val="2"/>
        <w:rPr>
          <w:i/>
          <w:noProof/>
        </w:rPr>
      </w:pPr>
      <w:r>
        <w:rPr>
          <w:i/>
          <w:noProof/>
        </w:rPr>
        <w:t>4.2.2.</w:t>
      </w:r>
      <w:r>
        <w:rPr>
          <w:noProof/>
        </w:rPr>
        <w:tab/>
      </w:r>
      <w:r>
        <w:rPr>
          <w:i/>
          <w:noProof/>
        </w:rPr>
        <w:t>A jelen esetre történő alkalmazás</w:t>
      </w:r>
    </w:p>
    <w:p>
      <w:pPr>
        <w:rPr>
          <w:noProof/>
        </w:rPr>
      </w:pPr>
      <w:r>
        <w:rPr>
          <w:noProof/>
        </w:rPr>
        <w:t>A tervezett jogi aktus elsődleges célkitűzése és tartalma a vámunióval kapcsolatos, ezért a javasolt határozat anyagi jogalapja az EUMSZ 28. cikkének (1) bekezdése.</w:t>
      </w:r>
    </w:p>
    <w:p>
      <w:pPr>
        <w:rPr>
          <w:noProof/>
        </w:rPr>
      </w:pPr>
      <w:r>
        <w:rPr>
          <w:noProof/>
        </w:rPr>
        <w:t>4.3. Következtetés</w:t>
      </w:r>
    </w:p>
    <w:p>
      <w:pPr>
        <w:rPr>
          <w:noProof/>
        </w:rPr>
      </w:pPr>
      <w:r>
        <w:rPr>
          <w:noProof/>
        </w:rPr>
        <w:t>A javasolt határozat jogalapja ezért az EUMSZ 28. cikkének (1) bekezdése, összefüggésben az EUMSZ 218. cikkének (9) bekezdésével.</w:t>
      </w:r>
    </w:p>
    <w:p>
      <w:pPr>
        <w:keepNext/>
        <w:tabs>
          <w:tab w:val="left" w:pos="850"/>
        </w:tabs>
        <w:spacing w:before="360"/>
        <w:ind w:left="850" w:hanging="850"/>
        <w:outlineLvl w:val="0"/>
        <w:rPr>
          <w:b/>
          <w:smallCaps/>
          <w:noProof/>
        </w:rPr>
      </w:pPr>
      <w:r>
        <w:rPr>
          <w:b/>
          <w:smallCaps/>
          <w:noProof/>
        </w:rPr>
        <w:t>5.</w:t>
      </w:r>
      <w:r>
        <w:rPr>
          <w:noProof/>
        </w:rPr>
        <w:tab/>
      </w:r>
      <w:r>
        <w:rPr>
          <w:b/>
          <w:smallCaps/>
          <w:noProof/>
        </w:rPr>
        <w:t xml:space="preserve">Költségvetési vonzatok </w:t>
      </w:r>
    </w:p>
    <w:p>
      <w:pPr>
        <w:rPr>
          <w:noProof/>
        </w:rPr>
      </w:pPr>
      <w:r>
        <w:rPr>
          <w:noProof/>
        </w:rPr>
        <w:t xml:space="preserve">A javaslat nincs hatással az uniós költségvetésre. </w:t>
      </w:r>
    </w:p>
    <w:p>
      <w:pPr>
        <w:keepNext/>
        <w:tabs>
          <w:tab w:val="left" w:pos="850"/>
        </w:tabs>
        <w:spacing w:before="360"/>
        <w:ind w:left="850" w:hanging="850"/>
        <w:outlineLvl w:val="0"/>
        <w:rPr>
          <w:b/>
          <w:smallCaps/>
          <w:noProof/>
        </w:rPr>
      </w:pPr>
      <w:r>
        <w:rPr>
          <w:b/>
          <w:smallCaps/>
          <w:noProof/>
        </w:rPr>
        <w:t>6.</w:t>
      </w:r>
      <w:r>
        <w:rPr>
          <w:noProof/>
        </w:rPr>
        <w:tab/>
      </w:r>
      <w:r>
        <w:rPr>
          <w:b/>
          <w:smallCaps/>
          <w:noProof/>
        </w:rPr>
        <w:t>A tervezett jogi aktus kihirdetése</w:t>
      </w:r>
    </w:p>
    <w:p>
      <w:pPr>
        <w:rPr>
          <w:noProof/>
        </w:rPr>
      </w:pPr>
      <w:r>
        <w:rPr>
          <w:noProof/>
        </w:rPr>
        <w:t>Tárgytalan.</w:t>
      </w:r>
    </w:p>
    <w:p>
      <w:pPr>
        <w:spacing w:before="0" w:after="200" w:line="276" w:lineRule="auto"/>
        <w:jc w:val="left"/>
        <w:rPr>
          <w:noProof/>
        </w:rPr>
      </w:pPr>
      <w:r>
        <w:rPr>
          <w:noProof/>
        </w:rPr>
        <w:br w:type="page"/>
      </w:r>
    </w:p>
    <w:p>
      <w:pPr>
        <w:spacing w:before="0" w:after="0"/>
        <w:ind w:left="5103"/>
        <w:jc w:val="left"/>
        <w:rPr>
          <w:noProof/>
        </w:rPr>
      </w:pPr>
      <w:r>
        <w:rPr>
          <w:noProof/>
        </w:rPr>
        <w:t>2019/</w:t>
      </w:r>
      <w:r>
        <w:rPr>
          <w:noProof/>
          <w:color w:val="FF0000"/>
        </w:rPr>
        <w:t xml:space="preserve">XXX </w:t>
      </w:r>
      <w:r>
        <w:rPr>
          <w:noProof/>
        </w:rPr>
        <w:t>(NLE)</w:t>
      </w:r>
    </w:p>
    <w:p>
      <w:pPr>
        <w:spacing w:before="360" w:after="0"/>
        <w:jc w:val="center"/>
        <w:rPr>
          <w:noProof/>
        </w:rPr>
      </w:pPr>
      <w:r>
        <w:rPr>
          <w:noProof/>
        </w:rPr>
        <w:t>Javaslat</w:t>
      </w:r>
    </w:p>
    <w:p>
      <w:pPr>
        <w:spacing w:before="360" w:after="0"/>
        <w:jc w:val="center"/>
        <w:rPr>
          <w:b/>
          <w:noProof/>
        </w:rPr>
      </w:pPr>
      <w:r>
        <w:rPr>
          <w:b/>
          <w:noProof/>
        </w:rPr>
        <w:t>A TANÁCS HATÁROZATA</w:t>
      </w:r>
    </w:p>
    <w:p>
      <w:pPr>
        <w:spacing w:before="360" w:after="360"/>
        <w:jc w:val="center"/>
        <w:rPr>
          <w:b/>
          <w:noProof/>
        </w:rPr>
      </w:pPr>
      <w:r>
        <w:rPr>
          <w:b/>
          <w:noProof/>
        </w:rPr>
        <w:t>az Európai Unió által a Vámigazgatások Világszervezetének Tanácsában a szóban forgó világszervezetnek a 16. cikk alapján beterjesztett, a Harmonizált Rendszer módosítására irányuló ajánlásával kapcsolatban képviselendő álláspontról</w:t>
      </w:r>
    </w:p>
    <w:p>
      <w:pPr>
        <w:keepNext/>
        <w:spacing w:before="600"/>
        <w:rPr>
          <w:b/>
          <w:noProof/>
        </w:rPr>
      </w:pPr>
      <w:r>
        <w:rPr>
          <w:b/>
          <w:noProof/>
        </w:rPr>
        <w:t>AZ EURÓPAI UNIÓ TANÁCSA,</w:t>
      </w:r>
    </w:p>
    <w:p>
      <w:pPr>
        <w:rPr>
          <w:noProof/>
        </w:rPr>
      </w:pPr>
      <w:r>
        <w:rPr>
          <w:noProof/>
        </w:rPr>
        <w:t>tekintettel az Európai Unió működéséről szóló szerződésre és különösen annak 28. cikke (1) bekezdésére, összefüggésben 218. cikke (9) bekezdésével,</w:t>
      </w:r>
    </w:p>
    <w:p>
      <w:pPr>
        <w:rPr>
          <w:noProof/>
        </w:rPr>
      </w:pPr>
      <w:r>
        <w:rPr>
          <w:noProof/>
        </w:rPr>
        <w:t>tekintettel az Európai Bizottság javaslatára,</w:t>
      </w:r>
    </w:p>
    <w:p>
      <w:pPr>
        <w:rPr>
          <w:noProof/>
        </w:rPr>
      </w:pPr>
      <w:r>
        <w:rPr>
          <w:noProof/>
        </w:rPr>
        <w:t>mivel:</w:t>
      </w:r>
    </w:p>
    <w:p>
      <w:pPr>
        <w:ind w:left="709" w:hanging="709"/>
        <w:rPr>
          <w:noProof/>
        </w:rPr>
      </w:pPr>
      <w:r>
        <w:rPr>
          <w:noProof/>
        </w:rPr>
        <w:t>(1)</w:t>
      </w:r>
      <w:r>
        <w:rPr>
          <w:noProof/>
        </w:rPr>
        <w:tab/>
        <w:t>A Harmonizált Áruleíró és Kódrendszerről szóló nemzetközi egyezményt (a továbbiakban: HR-egyezmény) az Unió a 87/369/EGK tanácsi határozat</w:t>
      </w:r>
      <w:r>
        <w:rPr>
          <w:rStyle w:val="FootnoteReference"/>
          <w:noProof/>
        </w:rPr>
        <w:footnoteReference w:customMarkFollows="1" w:id="6"/>
        <w:t>1</w:t>
      </w:r>
      <w:r>
        <w:rPr>
          <w:noProof/>
        </w:rPr>
        <w:t xml:space="preserve"> révén megkötötte, és a HR-egyezmény 1988. január 1-jén hatályba lépett. </w:t>
      </w:r>
    </w:p>
    <w:p>
      <w:pPr>
        <w:ind w:left="709" w:hanging="709"/>
        <w:rPr>
          <w:noProof/>
        </w:rPr>
      </w:pPr>
      <w:r>
        <w:rPr>
          <w:noProof/>
        </w:rPr>
        <w:t>(2)</w:t>
      </w:r>
      <w:r>
        <w:rPr>
          <w:noProof/>
        </w:rPr>
        <w:tab/>
        <w:t xml:space="preserve">A HR-egyezmény 7. cikke szerint a Harmonizált Rendszer Bizottság javaslatokat készíthet a Vámigazgatások Világszervezetének Tanácsa számára a HR-nómenklatúra módosításáról. A HR-egyezmény 16. cikke szerint a Vámigazgatások Világszervezetének Tanácsa ajánlást tehet e módosításról a Szerződő Felek számára.  </w:t>
      </w:r>
    </w:p>
    <w:p>
      <w:pPr>
        <w:ind w:left="709" w:hanging="709"/>
        <w:rPr>
          <w:noProof/>
        </w:rPr>
      </w:pPr>
      <w:r>
        <w:rPr>
          <w:noProof/>
        </w:rPr>
        <w:t>(3)</w:t>
      </w:r>
      <w:r>
        <w:rPr>
          <w:noProof/>
        </w:rPr>
        <w:tab/>
        <w:t>A Vámigazgatások Világszervezetének Tanácsa júniusi ülésén a Szerződő Felek ajánlása alapján a HR-nómenklatúra módosításáról szóló határozatot tervez elfogadni. Az említett ajánlás a Harmonizált Rendszer Bizottság által elkészített javaslat alapján kerül elfogadásra, melyet az említett bizottság a 2019. március 19–29-i 63. ülésszakán véglegesített. A javaslatban foglaltak 2022. január 1-jén lépnek hatályba.</w:t>
      </w:r>
    </w:p>
    <w:p>
      <w:pPr>
        <w:ind w:left="709" w:hanging="709"/>
        <w:rPr>
          <w:rFonts w:eastAsia="Arial Unicode MS"/>
          <w:noProof/>
        </w:rPr>
      </w:pPr>
      <w:r>
        <w:rPr>
          <w:noProof/>
        </w:rPr>
        <w:t>(4)</w:t>
      </w:r>
      <w:r>
        <w:rPr>
          <w:noProof/>
        </w:rPr>
        <w:tab/>
        <w:t xml:space="preserve">Kiemelkedően fontos, hogy a HR-nómenklatúra naprakész legyen, összhangban álljon a kereskedelmi szokások alakulásával és az új technológiák fejlődésével, valamint a lehető legjobban tükrözze a felhasználók igényeit. Az előterjesztett ajánlás számos olyan módosítást tartalmaz, amely figyelembe veszi a nómenklatúra korszerűsítésének, illetve a környezetéhez való hozzáigazításának szükségességét. </w:t>
      </w:r>
    </w:p>
    <w:p>
      <w:pPr>
        <w:ind w:left="709" w:hanging="709"/>
        <w:rPr>
          <w:noProof/>
        </w:rPr>
      </w:pPr>
      <w:r>
        <w:rPr>
          <w:noProof/>
        </w:rPr>
        <w:t>(5)</w:t>
      </w:r>
      <w:r>
        <w:rPr>
          <w:noProof/>
        </w:rPr>
        <w:tab/>
        <w:t>Tekintettel arra, hogy a HR-nómenklatúra módosítására vonatkozó ajánlást a Vámigazgatások Világszervezetének Tanácsa keretében kell elfogadni, helyénvaló meghatározni az Unió által képviselendő álláspontot, mivel a HR-egyezmény 16. cikke szerinti elfogadását követően az ajánlás kötelező lesz az Unióra nézve, és meghatározó módon befolyásolhatja majd az uniós szabályozást, nevezetesen a 2658/87/EGK tanácsi rendelet</w:t>
      </w:r>
      <w:r>
        <w:rPr>
          <w:rStyle w:val="FootnoteReference"/>
          <w:noProof/>
        </w:rPr>
        <w:footnoteReference w:customMarkFollows="1" w:id="7"/>
        <w:t>2</w:t>
      </w:r>
      <w:r>
        <w:rPr>
          <w:noProof/>
        </w:rPr>
        <w:t xml:space="preserve"> I. mellékletének tartalmát.</w:t>
      </w:r>
    </w:p>
    <w:p>
      <w:pPr>
        <w:ind w:left="709" w:hanging="709"/>
        <w:rPr>
          <w:noProof/>
        </w:rPr>
      </w:pPr>
      <w:r>
        <w:rPr>
          <w:noProof/>
        </w:rPr>
        <w:t>(6)</w:t>
      </w:r>
      <w:r>
        <w:rPr>
          <w:noProof/>
        </w:rPr>
        <w:tab/>
        <w:t>A Vámigazgatások Világszervezetének Tanácsában képviselendő uniós álláspont részben már a Harmonizált Rendszer Bizottság 63. ülése előtt kialakításra került</w:t>
      </w:r>
      <w:r>
        <w:rPr>
          <w:rStyle w:val="FootnoteReference"/>
          <w:noProof/>
        </w:rPr>
        <w:footnoteReference w:customMarkFollows="1" w:id="8"/>
        <w:t>3</w:t>
      </w:r>
      <w:r>
        <w:rPr>
          <w:noProof/>
        </w:rPr>
        <w:t>.</w:t>
      </w:r>
    </w:p>
    <w:p>
      <w:pPr>
        <w:ind w:left="709" w:hanging="709"/>
        <w:rPr>
          <w:noProof/>
        </w:rPr>
      </w:pPr>
      <w:r>
        <w:rPr>
          <w:noProof/>
        </w:rPr>
        <w:t>(7)</w:t>
      </w:r>
      <w:r>
        <w:rPr>
          <w:noProof/>
        </w:rPr>
        <w:tab/>
        <w:t>Helyénvaló támogatni a HR-nómenklatúra módosítástervezetét, valamint az esetlegesen szükségesnek ítélt kisebb szerkesztési változtatásokat,</w:t>
      </w:r>
    </w:p>
    <w:p>
      <w:pPr>
        <w:keepNext/>
        <w:rPr>
          <w:noProof/>
        </w:rPr>
      </w:pPr>
      <w:r>
        <w:rPr>
          <w:noProof/>
        </w:rPr>
        <w:t>ELFOGADTA EZT A HATÁROZATOT:</w:t>
      </w:r>
    </w:p>
    <w:p>
      <w:pPr>
        <w:keepNext/>
        <w:spacing w:before="360"/>
        <w:jc w:val="center"/>
        <w:rPr>
          <w:i/>
          <w:noProof/>
        </w:rPr>
      </w:pPr>
      <w:r>
        <w:rPr>
          <w:i/>
          <w:noProof/>
        </w:rPr>
        <w:t>1. cikk</w:t>
      </w:r>
    </w:p>
    <w:p>
      <w:pPr>
        <w:rPr>
          <w:noProof/>
        </w:rPr>
      </w:pPr>
      <w:r>
        <w:rPr>
          <w:noProof/>
        </w:rPr>
        <w:t>Az Unió által a Vámigazgatások Világszervezetének Tanácsa keretében a 2019. júniusi ülésen képviselendő álláspont az, hogy támogatni kell a Harmonizált Rendszernek az NC2626B1b számú dokumentum (HSC/63/March 2019 jelzetű jelentés) R. mellékletében foglalt módosítására irányuló, 16. cikk szerinti ajánlás tervezetét.</w:t>
      </w:r>
    </w:p>
    <w:p>
      <w:pPr>
        <w:rPr>
          <w:noProof/>
        </w:rPr>
      </w:pPr>
      <w:r>
        <w:rPr>
          <w:noProof/>
          <w:color w:val="000000"/>
        </w:rPr>
        <w:t>Az Unió képviselői – a Vámigazgatások Világszervezetének következő ülésein bekövetkezett fejlemények fényében – a tagállamokkal való konzultáció, illetve a helyszíni koordinációs ülések nyomán, a Tanács újabb határozata nélkül jóváhagyhatják a 16. cikk szerinti ajánlás tervezetének kisebb szerkesztési módosításait.</w:t>
      </w:r>
      <w:r>
        <w:rPr>
          <w:noProof/>
        </w:rPr>
        <w:t xml:space="preserve"> </w:t>
      </w:r>
    </w:p>
    <w:p>
      <w:pPr>
        <w:keepNext/>
        <w:spacing w:before="360"/>
        <w:jc w:val="center"/>
        <w:rPr>
          <w:i/>
          <w:noProof/>
        </w:rPr>
      </w:pPr>
      <w:r>
        <w:rPr>
          <w:i/>
          <w:noProof/>
        </w:rPr>
        <w:t>2. cikk</w:t>
      </w:r>
    </w:p>
    <w:p>
      <w:pPr>
        <w:rPr>
          <w:noProof/>
        </w:rPr>
      </w:pPr>
      <w:r>
        <w:rPr>
          <w:noProof/>
        </w:rPr>
        <w:t>Ennek a határozatnak a Bizottság a címzettje.</w:t>
      </w:r>
    </w:p>
    <w:p>
      <w:pPr>
        <w:keepNext/>
        <w:spacing w:after="0"/>
        <w:rPr>
          <w:noProof/>
        </w:rPr>
      </w:pPr>
      <w:r>
        <w:rPr>
          <w:noProof/>
        </w:rPr>
        <w:t>Kelt Brüsszelben, -án/-én.</w:t>
      </w:r>
    </w:p>
    <w:p>
      <w:pPr>
        <w:keepNext/>
        <w:tabs>
          <w:tab w:val="left" w:pos="4252"/>
        </w:tabs>
        <w:spacing w:before="720" w:after="0"/>
        <w:rPr>
          <w:i/>
          <w:noProof/>
        </w:rPr>
      </w:pPr>
      <w:r>
        <w:rPr>
          <w:noProof/>
        </w:rPr>
        <w:tab/>
      </w:r>
      <w:r>
        <w:rPr>
          <w:i/>
          <w:noProof/>
        </w:rPr>
        <w:t>a Tanács részéről</w:t>
      </w:r>
    </w:p>
    <w:p>
      <w:pPr>
        <w:tabs>
          <w:tab w:val="left" w:pos="4252"/>
        </w:tabs>
        <w:spacing w:before="0" w:after="0"/>
        <w:jc w:val="left"/>
        <w:rPr>
          <w:noProof/>
        </w:rPr>
      </w:pPr>
      <w:r>
        <w:rPr>
          <w:noProof/>
        </w:rPr>
        <w:tab/>
      </w:r>
      <w:r>
        <w:rPr>
          <w:i/>
          <w:noProof/>
        </w:rPr>
        <w:t xml:space="preserve">az elnök </w:t>
      </w:r>
    </w:p>
    <w:sectPr>
      <w:footerReference w:type="default" r:id="rId16"/>
      <w:footerReference w:type="first" r:id="rId17"/>
      <w:pgSz w:w="11907" w:h="16840"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HU</w:t>
    </w:r>
    <w:r>
      <w:rPr>
        <w:rFonts w:ascii="Arial" w:hAnsi="Arial" w:cs="Arial"/>
        <w:b/>
        <w:sz w:val="48"/>
      </w:rPr>
      <w:tab/>
    </w:r>
    <w:r>
      <w:rPr>
        <w:rFonts w:ascii="Arial" w:hAnsi="Arial" w:cs="Arial"/>
        <w:b/>
        <w:sz w:val="48"/>
      </w:rPr>
      <w:tab/>
    </w:r>
    <w:r>
      <w:tab/>
    </w:r>
    <w:r>
      <w:rPr>
        <w:rFonts w:ascii="Arial" w:hAnsi="Arial" w:cs="Arial"/>
        <w:b/>
        <w:sz w:val="48"/>
      </w:rPr>
      <w:t>HU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HU</w:t>
    </w:r>
    <w:r>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tab/>
    </w:r>
    <w:r>
      <w:rPr>
        <w:rFonts w:ascii="Arial" w:hAnsi="Arial" w:cs="Arial"/>
        <w:b/>
        <w:sz w:val="48"/>
      </w:rPr>
      <w:t>HU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1988. évi bevezetése óta a HR-nómenklatúrát öt alkalommal vizsgálták felül. A felülvizsgált változatok 1996-ban, 2002-ben, 2007-ben, 2012-ben és 2017-ben léptek hatályba.</w:t>
      </w:r>
    </w:p>
  </w:footnote>
  <w:footnote w:id="2">
    <w:p>
      <w:pPr>
        <w:pStyle w:val="FootnoteText"/>
      </w:pPr>
      <w:r>
        <w:rPr>
          <w:rStyle w:val="FootnoteReference"/>
        </w:rPr>
        <w:footnoteRef/>
      </w:r>
      <w:r>
        <w:tab/>
        <w:t>A Tanács 87/369/EGK határozata (1987. április 7.)</w:t>
      </w:r>
      <w:r>
        <w:rPr>
          <w:color w:val="0000FF"/>
          <w:sz w:val="24"/>
        </w:rPr>
        <w:t xml:space="preserve"> </w:t>
      </w:r>
      <w:r>
        <w:t>az összehangolt áruleíró és kódrendszerről szóló nemzetközi egyezmény és az azt módosító jegyzőkönyv megkötéséről (HL L 198., 1987.7.20., 1. o.).</w:t>
      </w:r>
    </w:p>
  </w:footnote>
  <w:footnote w:id="3">
    <w:p>
      <w:pPr>
        <w:pStyle w:val="FootnoteText"/>
        <w:ind w:left="142" w:hanging="142"/>
      </w:pPr>
      <w:r>
        <w:rPr>
          <w:rStyle w:val="FootnoteReference"/>
        </w:rPr>
        <w:footnoteRef/>
      </w:r>
      <w:r>
        <w:tab/>
        <w:t>ST 7138 2019 INIT – A Tanács határozata az Európai Unió által a Vámigazgatások Világszervezetében a Harmonizált Rendszerrel kapcsolatosan képviselendő álláspontról.</w:t>
      </w:r>
    </w:p>
  </w:footnote>
  <w:footnote w:id="4">
    <w:p>
      <w:pPr>
        <w:pStyle w:val="FootnoteText"/>
        <w:ind w:left="142" w:hanging="153"/>
      </w:pPr>
      <w:r>
        <w:rPr>
          <w:rStyle w:val="FootnoteReference"/>
        </w:rPr>
        <w:footnoteRef/>
      </w:r>
      <w:r>
        <w:tab/>
        <w:t>ST 7208 2019 ADD 1 – A Tanács határozata az Európai Unió által a Vámigazgatások Világszervezetében a Harmonizált Rendszerrel kapcsolatosan képviselendő álláspontról – Elfogadás – A Bizottság nyilatkozata.</w:t>
      </w:r>
    </w:p>
  </w:footnote>
  <w:footnote w:id="5">
    <w:p>
      <w:pPr>
        <w:pStyle w:val="FootnoteText"/>
      </w:pPr>
      <w:r>
        <w:rPr>
          <w:rStyle w:val="FootnoteReference"/>
        </w:rPr>
        <w:footnoteRef/>
      </w:r>
      <w:r>
        <w:tab/>
        <w:t xml:space="preserve">A Bíróság 2014. október 7-i ítélete, Németország kontra Tanács, C-399/12, ECLI:EU:C:2014:2258, 61–64. pont. </w:t>
      </w:r>
    </w:p>
  </w:footnote>
  <w:footnote w:id="6">
    <w:p>
      <w:pPr>
        <w:pStyle w:val="FootnoteText"/>
      </w:pPr>
      <w:r>
        <w:rPr>
          <w:rStyle w:val="FootnoteReference"/>
        </w:rPr>
        <w:t>1</w:t>
      </w:r>
      <w:r>
        <w:tab/>
        <w:t>A Tanács 87/369/EGK határozata (1987. április 7.) az összehangolt áruleíró és kódrendszerről szóló nemzetközi egyezmény és az azt módosító jegyzőkönyv megkötéséről (HL L 198., 1987.7.20., 1. o.).</w:t>
      </w:r>
    </w:p>
  </w:footnote>
  <w:footnote w:id="7">
    <w:p>
      <w:pPr>
        <w:pStyle w:val="FootnoteText"/>
      </w:pPr>
      <w:r>
        <w:rPr>
          <w:rStyle w:val="FootnoteReference"/>
        </w:rPr>
        <w:t>2</w:t>
      </w:r>
      <w:r>
        <w:tab/>
        <w:t>A Tanács 2658/87/EGK rendelete (1987. július 23.) a vám- és a statisztikai nómenklatúráról, valamint a Közös Vámtarifáról (HL L 256., 1987.9.7., 1. o.).</w:t>
      </w:r>
    </w:p>
  </w:footnote>
  <w:footnote w:id="8">
    <w:p>
      <w:pPr>
        <w:pStyle w:val="FootnoteText"/>
      </w:pPr>
      <w:r>
        <w:rPr>
          <w:rStyle w:val="FootnoteReference"/>
        </w:rPr>
        <w:t>3</w:t>
      </w:r>
      <w:r>
        <w:tab/>
        <w:t>ST 7138 2019 INIT – A Tanács határozata az Európai Unió által a Vámigazgatások Világszervezetében a Harmonizált Rendszerrel kapcsolatosan képviselendő álláspontról; ST 7208 2019 ADD 1 – A Tanács határozata az Európai Unió által a Vámigazgatások Világszervezetében a Harmonizált Rendszerrel kapcsolatosan képviselendő álláspontról – Elfogadás – A Bizottság nyilatkozata.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947A72D4"/>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3822ED58"/>
    <w:lvl w:ilvl="0">
      <w:start w:val="1"/>
      <w:numFmt w:val="decimal"/>
      <w:pStyle w:val="ListNumber3"/>
      <w:lvlText w:val="%1."/>
      <w:lvlJc w:val="left"/>
      <w:pPr>
        <w:tabs>
          <w:tab w:val="num" w:pos="926"/>
        </w:tabs>
        <w:ind w:left="926" w:hanging="360"/>
      </w:pPr>
    </w:lvl>
  </w:abstractNum>
  <w:abstractNum w:abstractNumId="2">
    <w:nsid w:val="FFFFFF7F"/>
    <w:multiLevelType w:val="singleLevel"/>
    <w:tmpl w:val="17DCC21A"/>
    <w:lvl w:ilvl="0">
      <w:start w:val="1"/>
      <w:numFmt w:val="decimal"/>
      <w:pStyle w:val="ListNumber2"/>
      <w:lvlText w:val="%1."/>
      <w:lvlJc w:val="left"/>
      <w:pPr>
        <w:tabs>
          <w:tab w:val="num" w:pos="643"/>
        </w:tabs>
        <w:ind w:left="643" w:hanging="360"/>
      </w:pPr>
    </w:lvl>
  </w:abstractNum>
  <w:abstractNum w:abstractNumId="3">
    <w:nsid w:val="FFFFFF81"/>
    <w:multiLevelType w:val="singleLevel"/>
    <w:tmpl w:val="149C1B54"/>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817AA238"/>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8"/>
    <w:multiLevelType w:val="singleLevel"/>
    <w:tmpl w:val="E08CEFD2"/>
    <w:lvl w:ilvl="0">
      <w:start w:val="1"/>
      <w:numFmt w:val="decimal"/>
      <w:pStyle w:val="ListNumber"/>
      <w:lvlText w:val="%1."/>
      <w:lvlJc w:val="left"/>
      <w:pPr>
        <w:tabs>
          <w:tab w:val="num" w:pos="360"/>
        </w:tabs>
        <w:ind w:left="360" w:hanging="360"/>
      </w:pPr>
    </w:lvl>
  </w:abstractNum>
  <w:abstractNum w:abstractNumId="6">
    <w:nsid w:val="FFFFFF89"/>
    <w:multiLevelType w:val="singleLevel"/>
    <w:tmpl w:val="29F61EB6"/>
    <w:lvl w:ilvl="0">
      <w:start w:val="1"/>
      <w:numFmt w:val="bullet"/>
      <w:pStyle w:val="ListBullet"/>
      <w:lvlText w:val=""/>
      <w:lvlJc w:val="left"/>
      <w:pPr>
        <w:tabs>
          <w:tab w:val="num" w:pos="360"/>
        </w:tabs>
        <w:ind w:left="360" w:hanging="360"/>
      </w:pPr>
      <w:rPr>
        <w:rFonts w:ascii="Symbol" w:hAnsi="Symbol" w:hint="default"/>
      </w:rPr>
    </w:lvl>
  </w:abstractNum>
  <w:abstractNum w:abstractNumId="7">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8">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1">
    <w:nsid w:val="2D293CE3"/>
    <w:multiLevelType w:val="multilevel"/>
    <w:tmpl w:val="8D7C4D2A"/>
    <w:lvl w:ilvl="0">
      <w:start w:val="1"/>
      <w:numFmt w:val="decimal"/>
      <w:pStyle w:val="LegalNumPar"/>
      <w:lvlText w:val="%1."/>
      <w:lvlJc w:val="left"/>
      <w:pPr>
        <w:ind w:left="476" w:hanging="476"/>
      </w:pPr>
      <w:rPr>
        <w:rFonts w:hint="default"/>
      </w:rPr>
    </w:lvl>
    <w:lvl w:ilvl="1">
      <w:start w:val="1"/>
      <w:numFmt w:val="lowerLetter"/>
      <w:pStyle w:val="LegalNumPar2"/>
      <w:lvlText w:val="%2."/>
      <w:lvlJc w:val="left"/>
      <w:pPr>
        <w:ind w:left="953" w:hanging="477"/>
      </w:pPr>
      <w:rPr>
        <w:rFonts w:hint="default"/>
      </w:rPr>
    </w:lvl>
    <w:lvl w:ilvl="2">
      <w:start w:val="1"/>
      <w:numFmt w:val="lowerRoman"/>
      <w:pStyle w:val="LegalNumPar3"/>
      <w:lvlText w:val="%3."/>
      <w:lvlJc w:val="left"/>
      <w:pPr>
        <w:ind w:left="1429" w:hanging="47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3D73F7A"/>
    <w:multiLevelType w:val="singleLevel"/>
    <w:tmpl w:val="26365734"/>
    <w:lvl w:ilvl="0">
      <w:start w:val="1"/>
      <w:numFmt w:val="bullet"/>
      <w:pStyle w:val="ListBullet2"/>
      <w:lvlText w:val=""/>
      <w:lvlJc w:val="left"/>
      <w:pPr>
        <w:tabs>
          <w:tab w:val="num" w:pos="1134"/>
        </w:tabs>
        <w:ind w:left="1134" w:hanging="283"/>
      </w:pPr>
      <w:rPr>
        <w:rFonts w:ascii="Symbol" w:hAnsi="Symbol" w:hint="default"/>
      </w:rPr>
    </w:lvl>
  </w:abstractNum>
  <w:abstractNum w:abstractNumId="22">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21"/>
  </w:num>
  <w:num w:numId="2">
    <w:abstractNumId w:val="6"/>
  </w:num>
  <w:num w:numId="3">
    <w:abstractNumId w:val="4"/>
  </w:num>
  <w:num w:numId="4">
    <w:abstractNumId w:val="3"/>
  </w:num>
  <w:num w:numId="5">
    <w:abstractNumId w:val="5"/>
  </w:num>
  <w:num w:numId="6">
    <w:abstractNumId w:val="2"/>
  </w:num>
  <w:num w:numId="7">
    <w:abstractNumId w:val="1"/>
  </w:num>
  <w:num w:numId="8">
    <w:abstractNumId w:val="0"/>
  </w:num>
  <w:num w:numId="9">
    <w:abstractNumId w:val="18"/>
    <w:lvlOverride w:ilvl="0">
      <w:startOverride w:val="1"/>
    </w:lvlOverride>
  </w:num>
  <w:num w:numId="10">
    <w:abstractNumId w:val="14"/>
    <w:lvlOverride w:ilvl="0">
      <w:startOverride w:val="1"/>
    </w:lvlOverride>
  </w:num>
  <w:num w:numId="11">
    <w:abstractNumId w:val="11"/>
  </w:num>
  <w:num w:numId="12">
    <w:abstractNumId w:val="18"/>
    <w:lvlOverride w:ilvl="0">
      <w:startOverride w:val="1"/>
    </w:lvlOverride>
  </w:num>
  <w:num w:numId="13">
    <w:abstractNumId w:val="18"/>
  </w:num>
  <w:num w:numId="14">
    <w:abstractNumId w:val="12"/>
  </w:num>
  <w:num w:numId="15">
    <w:abstractNumId w:val="20"/>
  </w:num>
  <w:num w:numId="16">
    <w:abstractNumId w:val="10"/>
  </w:num>
  <w:num w:numId="17">
    <w:abstractNumId w:val="13"/>
  </w:num>
  <w:num w:numId="18">
    <w:abstractNumId w:val="8"/>
  </w:num>
  <w:num w:numId="19">
    <w:abstractNumId w:val="19"/>
  </w:num>
  <w:num w:numId="20">
    <w:abstractNumId w:val="7"/>
  </w:num>
  <w:num w:numId="21">
    <w:abstractNumId w:val="14"/>
  </w:num>
  <w:num w:numId="22">
    <w:abstractNumId w:val="16"/>
  </w:num>
  <w:num w:numId="23">
    <w:abstractNumId w:val="17"/>
  </w:num>
  <w:num w:numId="24">
    <w:abstractNumId w:val="9"/>
  </w:num>
  <w:num w:numId="25">
    <w:abstractNumId w:val="15"/>
  </w:num>
  <w:num w:numId="26">
    <w:abstractNumId w:val="22"/>
  </w:num>
  <w:num w:numId="27">
    <w:abstractNumId w:val="18"/>
  </w:num>
  <w:num w:numId="28">
    <w:abstractNumId w:val="12"/>
  </w:num>
  <w:num w:numId="29">
    <w:abstractNumId w:val="20"/>
  </w:num>
  <w:num w:numId="30">
    <w:abstractNumId w:val="10"/>
  </w:num>
  <w:num w:numId="31">
    <w:abstractNumId w:val="13"/>
  </w:num>
  <w:num w:numId="32">
    <w:abstractNumId w:val="8"/>
  </w:num>
  <w:num w:numId="33">
    <w:abstractNumId w:val="19"/>
  </w:num>
  <w:num w:numId="34">
    <w:abstractNumId w:val="7"/>
  </w:num>
  <w:num w:numId="35">
    <w:abstractNumId w:val="14"/>
  </w:num>
  <w:num w:numId="36">
    <w:abstractNumId w:val="16"/>
  </w:num>
  <w:num w:numId="37">
    <w:abstractNumId w:val="17"/>
  </w:num>
  <w:num w:numId="38">
    <w:abstractNumId w:val="9"/>
  </w:num>
  <w:num w:numId="39">
    <w:abstractNumId w:val="15"/>
  </w:num>
  <w:num w:numId="40">
    <w:abstractNumId w:val="2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6-07 10:37:12"/>
    <w:docVar w:name="DQCResult_Distribution" w:val="0;0"/>
    <w:docVar w:name="DQCResult_DocumentContent" w:val="0;0"/>
    <w:docVar w:name="DQCResult_DocumentSize" w:val="0;0"/>
    <w:docVar w:name="DQCResult_DocumentVersions" w:val="0;0"/>
    <w:docVar w:name="DQCResult_InvalidFootnotes" w:val="0;3"/>
    <w:docVar w:name="DQCResult_LinkedStyles" w:val="0;0"/>
    <w:docVar w:name="DQCResult_ModifiedMargins" w:val="0;25"/>
    <w:docVar w:name="DQCResult_ModifiedMarkers" w:val="0;0"/>
    <w:docVar w:name="DQCResult_ModifiedNumbering" w:val="0;0"/>
    <w:docVar w:name="DQCResult_Objects" w:val="0;0"/>
    <w:docVar w:name="DQCResult_Sections" w:val="0;0"/>
    <w:docVar w:name="DQCResult_StructureCheck" w:val="0;0"/>
    <w:docVar w:name="DQCResult_SuperfluousWhitespace" w:val="0;5"/>
    <w:docVar w:name="DQCResult_UnknownFonts" w:val="0;0"/>
    <w:docVar w:name="DQCResult_UnknownStyles" w:val="0;3"/>
    <w:docVar w:name="DQCStatus" w:val="Green"/>
    <w:docVar w:name="DQCVersion" w:val="3"/>
    <w:docVar w:name="DQCWithWarnings" w:val="0"/>
    <w:docVar w:name="LW_CORRIGENDUM" w:val="&lt;UNUSED&gt;"/>
    <w:docVar w:name="LW_COVERPAGE_EXISTS" w:val="True"/>
    <w:docVar w:name="LW_COVERPAGE_GUID" w:val="E773E362-33CE-4ABE-8E66-42A46E111DBA"/>
    <w:docVar w:name="LW_COVERPAGE_TYPE" w:val="1"/>
    <w:docVar w:name="LW_CROSSREFERENCE" w:val="&lt;UNUSED&gt;"/>
    <w:docVar w:name="LW_DocType" w:val="COM"/>
    <w:docVar w:name="LW_EMISSION" w:val="2019.6.3."/>
    <w:docVar w:name="LW_EMISSION_ISODATE" w:val="2019-06-03"/>
    <w:docVar w:name="LW_EMISSION_LOCATION" w:val="BRX"/>
    <w:docVar w:name="LW_EMISSION_PREFIX" w:val="Brüsszel, "/>
    <w:docVar w:name="LW_EMISSION_SUFFIX" w:val=" "/>
    <w:docVar w:name="LW_ID_DOCMODEL" w:val="SJ-043"/>
    <w:docVar w:name="LW_ID_DOCSIGNATURE" w:val="SJ-019"/>
    <w:docVar w:name="LW_ID_DOCSTRUCTURE" w:val="COM/PL/ORG"/>
    <w:docVar w:name="LW_ID_DOCTYPE" w:val="SJ-043"/>
    <w:docVar w:name="LW_ID_EXP.MOTIFS.NEW" w:val="EM_PL2_"/>
    <w:docVar w:name="LW_ID_STATUT" w:val="SJ-019"/>
    <w:docVar w:name="LW_INTERETEEE.CP" w:val="&lt;UNUSED&gt;"/>
    <w:docVar w:name="LW_LANGUE" w:val="HU"/>
    <w:docVar w:name="LW_LEVEL_OF_SENSITIVITY" w:val="Standard treatment"/>
    <w:docVar w:name="LW_NOM.INST" w:val="EURÓPAI BIZOTTSÁG"/>
    <w:docVar w:name="LW_NOM.INST_JOINTDOC" w:val="&lt;EMPTY&gt;"/>
    <w:docVar w:name="LW_PART_NBR" w:val="1"/>
    <w:docVar w:name="LW_PART_NBR_TOTAL" w:val="1"/>
    <w:docVar w:name="LW_REF.II.NEW.CP" w:val="&lt;UNUSED&gt;"/>
    <w:docVar w:name="LW_REF.II.NEW.CP_NUMBER" w:val="&lt;UNUSED&gt;"/>
    <w:docVar w:name="LW_REF.II.NEW.CP_YEAR" w:val="2019"/>
    <w:docVar w:name="LW_REF.INST.NEW" w:val="COM"/>
    <w:docVar w:name="LW_REF.INST.NEW_ADOPTED" w:val="final"/>
    <w:docVar w:name="LW_REF.INST.NEW_TEXT" w:val="(2019) 262"/>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Javaslat"/>
    <w:docVar w:name="LW_SUPERTITRE" w:val="&lt;UNUSED&gt;"/>
    <w:docVar w:name="LW_TITRE.OBJ.CP" w:val="&lt;FMT:Bold&gt;az Európai Unió által a Vámigazgatások Világszervezetének Tanácsában a szóban forgó világszervezetnek a 16. cikk alapján beterjesztett, a Harmonizált Rendszer módosítására irányuló ajánlásával kapcsolatban képviselend\u337? álláspontról&lt;/FMT&gt;"/>
    <w:docVar w:name="LW_TYPE.DOC.CP" w:val="A TANÁCS HATÁROZATA"/>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hu-HU"/>
    </w:rPr>
  </w:style>
  <w:style w:type="paragraph" w:styleId="Heading1">
    <w:name w:val="heading 1"/>
    <w:basedOn w:val="Normal"/>
    <w:next w:val="Text1"/>
    <w:link w:val="Heading1Char"/>
    <w:uiPriority w:val="9"/>
    <w:qFormat/>
    <w:pPr>
      <w:keepNext/>
      <w:numPr>
        <w:numId w:val="3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2">
    <w:name w:val="List Bullet 2"/>
    <w:basedOn w:val="Normal"/>
    <w:pPr>
      <w:numPr>
        <w:numId w:val="1"/>
      </w:numPr>
    </w:pPr>
    <w:rPr>
      <w:rFonts w:eastAsia="Times New Roman"/>
    </w:rPr>
  </w:style>
  <w:style w:type="paragraph" w:styleId="ListBullet">
    <w:name w:val="List Bullet"/>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hu-HU"/>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hu-HU"/>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hu-HU"/>
    </w:rPr>
  </w:style>
  <w:style w:type="character" w:styleId="Hyperlink">
    <w:name w:val="Hyperlink"/>
    <w:basedOn w:val="DefaultParagraphFont"/>
    <w:uiPriority w:val="99"/>
    <w:unhideWhenUsed/>
    <w:rPr>
      <w:color w:val="0000FF" w:themeColor="hyperlink"/>
      <w:u w:val="single"/>
    </w:rPr>
  </w:style>
  <w:style w:type="paragraph" w:styleId="ListParagraph">
    <w:name w:val="List Paragraph"/>
    <w:basedOn w:val="Normal"/>
    <w:uiPriority w:val="34"/>
    <w:qFormat/>
    <w:pPr>
      <w:ind w:left="720"/>
      <w:contextualSpacing/>
    </w:pPr>
  </w:style>
  <w:style w:type="paragraph" w:customStyle="1" w:styleId="LegalNumPar">
    <w:name w:val="LegalNumPar"/>
    <w:basedOn w:val="Normal"/>
    <w:pPr>
      <w:numPr>
        <w:numId w:val="11"/>
      </w:numPr>
      <w:spacing w:line="360" w:lineRule="auto"/>
    </w:pPr>
  </w:style>
  <w:style w:type="paragraph" w:customStyle="1" w:styleId="LegalNumPar2">
    <w:name w:val="LegalNumPar2"/>
    <w:basedOn w:val="Normal"/>
    <w:pPr>
      <w:numPr>
        <w:ilvl w:val="1"/>
        <w:numId w:val="11"/>
      </w:numPr>
      <w:spacing w:line="360" w:lineRule="auto"/>
    </w:pPr>
  </w:style>
  <w:style w:type="paragraph" w:customStyle="1" w:styleId="LegalNumPar3">
    <w:name w:val="LegalNumPar3"/>
    <w:basedOn w:val="Normal"/>
    <w:pPr>
      <w:numPr>
        <w:ilvl w:val="2"/>
        <w:numId w:val="11"/>
      </w:numPr>
      <w:spacing w:line="360" w:lineRule="auto"/>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hu-HU"/>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hu-HU"/>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7"/>
      </w:numPr>
    </w:pPr>
  </w:style>
  <w:style w:type="paragraph" w:customStyle="1" w:styleId="Tiret1">
    <w:name w:val="Tiret 1"/>
    <w:basedOn w:val="Point1"/>
    <w:pPr>
      <w:numPr>
        <w:numId w:val="28"/>
      </w:numPr>
    </w:pPr>
  </w:style>
  <w:style w:type="paragraph" w:customStyle="1" w:styleId="Tiret2">
    <w:name w:val="Tiret 2"/>
    <w:basedOn w:val="Point2"/>
    <w:pPr>
      <w:numPr>
        <w:numId w:val="29"/>
      </w:numPr>
    </w:pPr>
  </w:style>
  <w:style w:type="paragraph" w:customStyle="1" w:styleId="Tiret3">
    <w:name w:val="Tiret 3"/>
    <w:basedOn w:val="Point3"/>
    <w:pPr>
      <w:numPr>
        <w:numId w:val="30"/>
      </w:numPr>
    </w:pPr>
  </w:style>
  <w:style w:type="paragraph" w:customStyle="1" w:styleId="Tiret4">
    <w:name w:val="Tiret 4"/>
    <w:basedOn w:val="Point4"/>
    <w:pPr>
      <w:numPr>
        <w:numId w:val="3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2"/>
      </w:numPr>
    </w:pPr>
  </w:style>
  <w:style w:type="paragraph" w:customStyle="1" w:styleId="NumPar2">
    <w:name w:val="NumPar 2"/>
    <w:basedOn w:val="Normal"/>
    <w:next w:val="Text1"/>
    <w:pPr>
      <w:numPr>
        <w:ilvl w:val="1"/>
        <w:numId w:val="32"/>
      </w:numPr>
    </w:pPr>
  </w:style>
  <w:style w:type="paragraph" w:customStyle="1" w:styleId="NumPar3">
    <w:name w:val="NumPar 3"/>
    <w:basedOn w:val="Normal"/>
    <w:next w:val="Text1"/>
    <w:pPr>
      <w:numPr>
        <w:ilvl w:val="2"/>
        <w:numId w:val="32"/>
      </w:numPr>
    </w:pPr>
  </w:style>
  <w:style w:type="paragraph" w:customStyle="1" w:styleId="NumPar4">
    <w:name w:val="NumPar 4"/>
    <w:basedOn w:val="Normal"/>
    <w:next w:val="Text1"/>
    <w:pPr>
      <w:numPr>
        <w:ilvl w:val="3"/>
        <w:numId w:val="3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4"/>
      </w:numPr>
    </w:pPr>
  </w:style>
  <w:style w:type="paragraph" w:customStyle="1" w:styleId="Point1number">
    <w:name w:val="Point 1 (number)"/>
    <w:basedOn w:val="Normal"/>
    <w:pPr>
      <w:numPr>
        <w:ilvl w:val="2"/>
        <w:numId w:val="34"/>
      </w:numPr>
    </w:pPr>
  </w:style>
  <w:style w:type="paragraph" w:customStyle="1" w:styleId="Point2number">
    <w:name w:val="Point 2 (number)"/>
    <w:basedOn w:val="Normal"/>
    <w:pPr>
      <w:numPr>
        <w:ilvl w:val="4"/>
        <w:numId w:val="34"/>
      </w:numPr>
    </w:pPr>
  </w:style>
  <w:style w:type="paragraph" w:customStyle="1" w:styleId="Point3number">
    <w:name w:val="Point 3 (number)"/>
    <w:basedOn w:val="Normal"/>
    <w:pPr>
      <w:numPr>
        <w:ilvl w:val="6"/>
        <w:numId w:val="34"/>
      </w:numPr>
    </w:pPr>
  </w:style>
  <w:style w:type="paragraph" w:customStyle="1" w:styleId="Point0letter">
    <w:name w:val="Point 0 (letter)"/>
    <w:basedOn w:val="Normal"/>
    <w:pPr>
      <w:numPr>
        <w:ilvl w:val="1"/>
        <w:numId w:val="34"/>
      </w:numPr>
    </w:pPr>
  </w:style>
  <w:style w:type="paragraph" w:customStyle="1" w:styleId="Point1letter">
    <w:name w:val="Point 1 (letter)"/>
    <w:basedOn w:val="Normal"/>
    <w:pPr>
      <w:numPr>
        <w:ilvl w:val="3"/>
        <w:numId w:val="34"/>
      </w:numPr>
    </w:pPr>
  </w:style>
  <w:style w:type="paragraph" w:customStyle="1" w:styleId="Point2letter">
    <w:name w:val="Point 2 (letter)"/>
    <w:basedOn w:val="Normal"/>
    <w:pPr>
      <w:numPr>
        <w:ilvl w:val="5"/>
        <w:numId w:val="34"/>
      </w:numPr>
    </w:pPr>
  </w:style>
  <w:style w:type="paragraph" w:customStyle="1" w:styleId="Point3letter">
    <w:name w:val="Point 3 (letter)"/>
    <w:basedOn w:val="Normal"/>
    <w:pPr>
      <w:numPr>
        <w:ilvl w:val="7"/>
        <w:numId w:val="34"/>
      </w:numPr>
    </w:pPr>
  </w:style>
  <w:style w:type="paragraph" w:customStyle="1" w:styleId="Point4letter">
    <w:name w:val="Point 4 (letter)"/>
    <w:basedOn w:val="Normal"/>
    <w:pPr>
      <w:numPr>
        <w:ilvl w:val="8"/>
        <w:numId w:val="34"/>
      </w:numPr>
    </w:pPr>
  </w:style>
  <w:style w:type="paragraph" w:customStyle="1" w:styleId="Bullet0">
    <w:name w:val="Bullet 0"/>
    <w:basedOn w:val="Normal"/>
    <w:pPr>
      <w:numPr>
        <w:numId w:val="35"/>
      </w:numPr>
    </w:pPr>
  </w:style>
  <w:style w:type="paragraph" w:customStyle="1" w:styleId="Bullet1">
    <w:name w:val="Bullet 1"/>
    <w:basedOn w:val="Normal"/>
    <w:pPr>
      <w:numPr>
        <w:numId w:val="36"/>
      </w:numPr>
    </w:pPr>
  </w:style>
  <w:style w:type="paragraph" w:customStyle="1" w:styleId="Bullet2">
    <w:name w:val="Bullet 2"/>
    <w:basedOn w:val="Normal"/>
    <w:pPr>
      <w:numPr>
        <w:numId w:val="37"/>
      </w:numPr>
    </w:pPr>
  </w:style>
  <w:style w:type="paragraph" w:customStyle="1" w:styleId="Bullet3">
    <w:name w:val="Bullet 3"/>
    <w:basedOn w:val="Normal"/>
    <w:pPr>
      <w:numPr>
        <w:numId w:val="38"/>
      </w:numPr>
    </w:pPr>
  </w:style>
  <w:style w:type="paragraph" w:customStyle="1" w:styleId="Bullet4">
    <w:name w:val="Bullet 4"/>
    <w:basedOn w:val="Normal"/>
    <w:pPr>
      <w:numPr>
        <w:numId w:val="39"/>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hu-HU"/>
    </w:rPr>
  </w:style>
  <w:style w:type="paragraph" w:styleId="Heading1">
    <w:name w:val="heading 1"/>
    <w:basedOn w:val="Normal"/>
    <w:next w:val="Text1"/>
    <w:link w:val="Heading1Char"/>
    <w:uiPriority w:val="9"/>
    <w:qFormat/>
    <w:pPr>
      <w:keepNext/>
      <w:numPr>
        <w:numId w:val="3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2">
    <w:name w:val="List Bullet 2"/>
    <w:basedOn w:val="Normal"/>
    <w:pPr>
      <w:numPr>
        <w:numId w:val="1"/>
      </w:numPr>
    </w:pPr>
    <w:rPr>
      <w:rFonts w:eastAsia="Times New Roman"/>
    </w:rPr>
  </w:style>
  <w:style w:type="paragraph" w:styleId="ListBullet">
    <w:name w:val="List Bullet"/>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hu-HU"/>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hu-HU"/>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hu-HU"/>
    </w:rPr>
  </w:style>
  <w:style w:type="character" w:styleId="Hyperlink">
    <w:name w:val="Hyperlink"/>
    <w:basedOn w:val="DefaultParagraphFont"/>
    <w:uiPriority w:val="99"/>
    <w:unhideWhenUsed/>
    <w:rPr>
      <w:color w:val="0000FF" w:themeColor="hyperlink"/>
      <w:u w:val="single"/>
    </w:rPr>
  </w:style>
  <w:style w:type="paragraph" w:styleId="ListParagraph">
    <w:name w:val="List Paragraph"/>
    <w:basedOn w:val="Normal"/>
    <w:uiPriority w:val="34"/>
    <w:qFormat/>
    <w:pPr>
      <w:ind w:left="720"/>
      <w:contextualSpacing/>
    </w:pPr>
  </w:style>
  <w:style w:type="paragraph" w:customStyle="1" w:styleId="LegalNumPar">
    <w:name w:val="LegalNumPar"/>
    <w:basedOn w:val="Normal"/>
    <w:pPr>
      <w:numPr>
        <w:numId w:val="11"/>
      </w:numPr>
      <w:spacing w:line="360" w:lineRule="auto"/>
    </w:pPr>
  </w:style>
  <w:style w:type="paragraph" w:customStyle="1" w:styleId="LegalNumPar2">
    <w:name w:val="LegalNumPar2"/>
    <w:basedOn w:val="Normal"/>
    <w:pPr>
      <w:numPr>
        <w:ilvl w:val="1"/>
        <w:numId w:val="11"/>
      </w:numPr>
      <w:spacing w:line="360" w:lineRule="auto"/>
    </w:pPr>
  </w:style>
  <w:style w:type="paragraph" w:customStyle="1" w:styleId="LegalNumPar3">
    <w:name w:val="LegalNumPar3"/>
    <w:basedOn w:val="Normal"/>
    <w:pPr>
      <w:numPr>
        <w:ilvl w:val="2"/>
        <w:numId w:val="11"/>
      </w:numPr>
      <w:spacing w:line="360" w:lineRule="auto"/>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hu-HU"/>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hu-HU"/>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7"/>
      </w:numPr>
    </w:pPr>
  </w:style>
  <w:style w:type="paragraph" w:customStyle="1" w:styleId="Tiret1">
    <w:name w:val="Tiret 1"/>
    <w:basedOn w:val="Point1"/>
    <w:pPr>
      <w:numPr>
        <w:numId w:val="28"/>
      </w:numPr>
    </w:pPr>
  </w:style>
  <w:style w:type="paragraph" w:customStyle="1" w:styleId="Tiret2">
    <w:name w:val="Tiret 2"/>
    <w:basedOn w:val="Point2"/>
    <w:pPr>
      <w:numPr>
        <w:numId w:val="29"/>
      </w:numPr>
    </w:pPr>
  </w:style>
  <w:style w:type="paragraph" w:customStyle="1" w:styleId="Tiret3">
    <w:name w:val="Tiret 3"/>
    <w:basedOn w:val="Point3"/>
    <w:pPr>
      <w:numPr>
        <w:numId w:val="30"/>
      </w:numPr>
    </w:pPr>
  </w:style>
  <w:style w:type="paragraph" w:customStyle="1" w:styleId="Tiret4">
    <w:name w:val="Tiret 4"/>
    <w:basedOn w:val="Point4"/>
    <w:pPr>
      <w:numPr>
        <w:numId w:val="3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2"/>
      </w:numPr>
    </w:pPr>
  </w:style>
  <w:style w:type="paragraph" w:customStyle="1" w:styleId="NumPar2">
    <w:name w:val="NumPar 2"/>
    <w:basedOn w:val="Normal"/>
    <w:next w:val="Text1"/>
    <w:pPr>
      <w:numPr>
        <w:ilvl w:val="1"/>
        <w:numId w:val="32"/>
      </w:numPr>
    </w:pPr>
  </w:style>
  <w:style w:type="paragraph" w:customStyle="1" w:styleId="NumPar3">
    <w:name w:val="NumPar 3"/>
    <w:basedOn w:val="Normal"/>
    <w:next w:val="Text1"/>
    <w:pPr>
      <w:numPr>
        <w:ilvl w:val="2"/>
        <w:numId w:val="32"/>
      </w:numPr>
    </w:pPr>
  </w:style>
  <w:style w:type="paragraph" w:customStyle="1" w:styleId="NumPar4">
    <w:name w:val="NumPar 4"/>
    <w:basedOn w:val="Normal"/>
    <w:next w:val="Text1"/>
    <w:pPr>
      <w:numPr>
        <w:ilvl w:val="3"/>
        <w:numId w:val="3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4"/>
      </w:numPr>
    </w:pPr>
  </w:style>
  <w:style w:type="paragraph" w:customStyle="1" w:styleId="Point1number">
    <w:name w:val="Point 1 (number)"/>
    <w:basedOn w:val="Normal"/>
    <w:pPr>
      <w:numPr>
        <w:ilvl w:val="2"/>
        <w:numId w:val="34"/>
      </w:numPr>
    </w:pPr>
  </w:style>
  <w:style w:type="paragraph" w:customStyle="1" w:styleId="Point2number">
    <w:name w:val="Point 2 (number)"/>
    <w:basedOn w:val="Normal"/>
    <w:pPr>
      <w:numPr>
        <w:ilvl w:val="4"/>
        <w:numId w:val="34"/>
      </w:numPr>
    </w:pPr>
  </w:style>
  <w:style w:type="paragraph" w:customStyle="1" w:styleId="Point3number">
    <w:name w:val="Point 3 (number)"/>
    <w:basedOn w:val="Normal"/>
    <w:pPr>
      <w:numPr>
        <w:ilvl w:val="6"/>
        <w:numId w:val="34"/>
      </w:numPr>
    </w:pPr>
  </w:style>
  <w:style w:type="paragraph" w:customStyle="1" w:styleId="Point0letter">
    <w:name w:val="Point 0 (letter)"/>
    <w:basedOn w:val="Normal"/>
    <w:pPr>
      <w:numPr>
        <w:ilvl w:val="1"/>
        <w:numId w:val="34"/>
      </w:numPr>
    </w:pPr>
  </w:style>
  <w:style w:type="paragraph" w:customStyle="1" w:styleId="Point1letter">
    <w:name w:val="Point 1 (letter)"/>
    <w:basedOn w:val="Normal"/>
    <w:pPr>
      <w:numPr>
        <w:ilvl w:val="3"/>
        <w:numId w:val="34"/>
      </w:numPr>
    </w:pPr>
  </w:style>
  <w:style w:type="paragraph" w:customStyle="1" w:styleId="Point2letter">
    <w:name w:val="Point 2 (letter)"/>
    <w:basedOn w:val="Normal"/>
    <w:pPr>
      <w:numPr>
        <w:ilvl w:val="5"/>
        <w:numId w:val="34"/>
      </w:numPr>
    </w:pPr>
  </w:style>
  <w:style w:type="paragraph" w:customStyle="1" w:styleId="Point3letter">
    <w:name w:val="Point 3 (letter)"/>
    <w:basedOn w:val="Normal"/>
    <w:pPr>
      <w:numPr>
        <w:ilvl w:val="7"/>
        <w:numId w:val="34"/>
      </w:numPr>
    </w:pPr>
  </w:style>
  <w:style w:type="paragraph" w:customStyle="1" w:styleId="Point4letter">
    <w:name w:val="Point 4 (letter)"/>
    <w:basedOn w:val="Normal"/>
    <w:pPr>
      <w:numPr>
        <w:ilvl w:val="8"/>
        <w:numId w:val="34"/>
      </w:numPr>
    </w:pPr>
  </w:style>
  <w:style w:type="paragraph" w:customStyle="1" w:styleId="Bullet0">
    <w:name w:val="Bullet 0"/>
    <w:basedOn w:val="Normal"/>
    <w:pPr>
      <w:numPr>
        <w:numId w:val="35"/>
      </w:numPr>
    </w:pPr>
  </w:style>
  <w:style w:type="paragraph" w:customStyle="1" w:styleId="Bullet1">
    <w:name w:val="Bullet 1"/>
    <w:basedOn w:val="Normal"/>
    <w:pPr>
      <w:numPr>
        <w:numId w:val="36"/>
      </w:numPr>
    </w:pPr>
  </w:style>
  <w:style w:type="paragraph" w:customStyle="1" w:styleId="Bullet2">
    <w:name w:val="Bullet 2"/>
    <w:basedOn w:val="Normal"/>
    <w:pPr>
      <w:numPr>
        <w:numId w:val="37"/>
      </w:numPr>
    </w:pPr>
  </w:style>
  <w:style w:type="paragraph" w:customStyle="1" w:styleId="Bullet3">
    <w:name w:val="Bullet 3"/>
    <w:basedOn w:val="Normal"/>
    <w:pPr>
      <w:numPr>
        <w:numId w:val="38"/>
      </w:numPr>
    </w:pPr>
  </w:style>
  <w:style w:type="paragraph" w:customStyle="1" w:styleId="Bullet4">
    <w:name w:val="Bullet 4"/>
    <w:basedOn w:val="Normal"/>
    <w:pPr>
      <w:numPr>
        <w:numId w:val="39"/>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631656">
      <w:bodyDiv w:val="1"/>
      <w:marLeft w:val="0"/>
      <w:marRight w:val="0"/>
      <w:marTop w:val="0"/>
      <w:marBottom w:val="0"/>
      <w:divBdr>
        <w:top w:val="none" w:sz="0" w:space="0" w:color="auto"/>
        <w:left w:val="none" w:sz="0" w:space="0" w:color="auto"/>
        <w:bottom w:val="none" w:sz="0" w:space="0" w:color="auto"/>
        <w:right w:val="none" w:sz="0" w:space="0" w:color="auto"/>
      </w:divBdr>
      <w:divsChild>
        <w:div w:id="1581325626">
          <w:marLeft w:val="0"/>
          <w:marRight w:val="0"/>
          <w:marTop w:val="0"/>
          <w:marBottom w:val="0"/>
          <w:divBdr>
            <w:top w:val="none" w:sz="0" w:space="0" w:color="auto"/>
            <w:left w:val="none" w:sz="0" w:space="0" w:color="auto"/>
            <w:bottom w:val="none" w:sz="0" w:space="0" w:color="auto"/>
            <w:right w:val="none" w:sz="0" w:space="0" w:color="auto"/>
          </w:divBdr>
        </w:div>
        <w:div w:id="1447892907">
          <w:marLeft w:val="0"/>
          <w:marRight w:val="0"/>
          <w:marTop w:val="0"/>
          <w:marBottom w:val="0"/>
          <w:divBdr>
            <w:top w:val="none" w:sz="0" w:space="0" w:color="auto"/>
            <w:left w:val="none" w:sz="0" w:space="0" w:color="auto"/>
            <w:bottom w:val="none" w:sz="0" w:space="0" w:color="auto"/>
            <w:right w:val="none" w:sz="0" w:space="0" w:color="auto"/>
          </w:divBdr>
        </w:div>
      </w:divsChild>
    </w:div>
    <w:div w:id="648749548">
      <w:bodyDiv w:val="1"/>
      <w:marLeft w:val="0"/>
      <w:marRight w:val="0"/>
      <w:marTop w:val="0"/>
      <w:marBottom w:val="0"/>
      <w:divBdr>
        <w:top w:val="none" w:sz="0" w:space="0" w:color="auto"/>
        <w:left w:val="none" w:sz="0" w:space="0" w:color="auto"/>
        <w:bottom w:val="none" w:sz="0" w:space="0" w:color="auto"/>
        <w:right w:val="none" w:sz="0" w:space="0" w:color="auto"/>
      </w:divBdr>
    </w:div>
    <w:div w:id="721291991">
      <w:bodyDiv w:val="1"/>
      <w:marLeft w:val="0"/>
      <w:marRight w:val="0"/>
      <w:marTop w:val="0"/>
      <w:marBottom w:val="0"/>
      <w:divBdr>
        <w:top w:val="none" w:sz="0" w:space="0" w:color="auto"/>
        <w:left w:val="none" w:sz="0" w:space="0" w:color="auto"/>
        <w:bottom w:val="none" w:sz="0" w:space="0" w:color="auto"/>
        <w:right w:val="none" w:sz="0" w:space="0" w:color="auto"/>
      </w:divBdr>
    </w:div>
    <w:div w:id="1211305809">
      <w:bodyDiv w:val="1"/>
      <w:marLeft w:val="0"/>
      <w:marRight w:val="0"/>
      <w:marTop w:val="0"/>
      <w:marBottom w:val="0"/>
      <w:divBdr>
        <w:top w:val="none" w:sz="0" w:space="0" w:color="auto"/>
        <w:left w:val="none" w:sz="0" w:space="0" w:color="auto"/>
        <w:bottom w:val="none" w:sz="0" w:space="0" w:color="auto"/>
        <w:right w:val="none" w:sz="0" w:space="0" w:color="auto"/>
      </w:divBdr>
      <w:divsChild>
        <w:div w:id="1765494187">
          <w:marLeft w:val="0"/>
          <w:marRight w:val="0"/>
          <w:marTop w:val="0"/>
          <w:marBottom w:val="0"/>
          <w:divBdr>
            <w:top w:val="none" w:sz="0" w:space="0" w:color="auto"/>
            <w:left w:val="none" w:sz="0" w:space="0" w:color="auto"/>
            <w:bottom w:val="none" w:sz="0" w:space="0" w:color="auto"/>
            <w:right w:val="none" w:sz="0" w:space="0" w:color="auto"/>
          </w:divBdr>
        </w:div>
        <w:div w:id="1173301576">
          <w:marLeft w:val="0"/>
          <w:marRight w:val="0"/>
          <w:marTop w:val="0"/>
          <w:marBottom w:val="0"/>
          <w:divBdr>
            <w:top w:val="none" w:sz="0" w:space="0" w:color="auto"/>
            <w:left w:val="none" w:sz="0" w:space="0" w:color="auto"/>
            <w:bottom w:val="none" w:sz="0" w:space="0" w:color="auto"/>
            <w:right w:val="none" w:sz="0" w:space="0" w:color="auto"/>
          </w:divBdr>
        </w:div>
        <w:div w:id="1415012100">
          <w:marLeft w:val="0"/>
          <w:marRight w:val="0"/>
          <w:marTop w:val="0"/>
          <w:marBottom w:val="0"/>
          <w:divBdr>
            <w:top w:val="none" w:sz="0" w:space="0" w:color="auto"/>
            <w:left w:val="none" w:sz="0" w:space="0" w:color="auto"/>
            <w:bottom w:val="none" w:sz="0" w:space="0" w:color="auto"/>
            <w:right w:val="none" w:sz="0" w:space="0" w:color="auto"/>
          </w:divBdr>
        </w:div>
      </w:divsChild>
    </w:div>
    <w:div w:id="1296329896">
      <w:bodyDiv w:val="1"/>
      <w:marLeft w:val="0"/>
      <w:marRight w:val="0"/>
      <w:marTop w:val="0"/>
      <w:marBottom w:val="0"/>
      <w:divBdr>
        <w:top w:val="none" w:sz="0" w:space="0" w:color="auto"/>
        <w:left w:val="none" w:sz="0" w:space="0" w:color="auto"/>
        <w:bottom w:val="none" w:sz="0" w:space="0" w:color="auto"/>
        <w:right w:val="none" w:sz="0" w:space="0" w:color="auto"/>
      </w:divBdr>
    </w:div>
    <w:div w:id="1564607662">
      <w:bodyDiv w:val="1"/>
      <w:marLeft w:val="0"/>
      <w:marRight w:val="0"/>
      <w:marTop w:val="0"/>
      <w:marBottom w:val="0"/>
      <w:divBdr>
        <w:top w:val="none" w:sz="0" w:space="0" w:color="auto"/>
        <w:left w:val="none" w:sz="0" w:space="0" w:color="auto"/>
        <w:bottom w:val="none" w:sz="0" w:space="0" w:color="auto"/>
        <w:right w:val="none" w:sz="0" w:space="0" w:color="auto"/>
      </w:divBdr>
    </w:div>
    <w:div w:id="1801651571">
      <w:bodyDiv w:val="1"/>
      <w:marLeft w:val="0"/>
      <w:marRight w:val="0"/>
      <w:marTop w:val="0"/>
      <w:marBottom w:val="0"/>
      <w:divBdr>
        <w:top w:val="none" w:sz="0" w:space="0" w:color="auto"/>
        <w:left w:val="none" w:sz="0" w:space="0" w:color="auto"/>
        <w:bottom w:val="none" w:sz="0" w:space="0" w:color="auto"/>
        <w:right w:val="none" w:sz="0" w:space="0" w:color="auto"/>
      </w:divBdr>
    </w:div>
    <w:div w:id="2043048399">
      <w:bodyDiv w:val="1"/>
      <w:marLeft w:val="0"/>
      <w:marRight w:val="0"/>
      <w:marTop w:val="0"/>
      <w:marBottom w:val="0"/>
      <w:divBdr>
        <w:top w:val="none" w:sz="0" w:space="0" w:color="auto"/>
        <w:left w:val="none" w:sz="0" w:space="0" w:color="auto"/>
        <w:bottom w:val="none" w:sz="0" w:space="0" w:color="auto"/>
        <w:right w:val="none" w:sz="0" w:space="0" w:color="auto"/>
      </w:divBdr>
      <w:divsChild>
        <w:div w:id="173081647">
          <w:marLeft w:val="0"/>
          <w:marRight w:val="0"/>
          <w:marTop w:val="0"/>
          <w:marBottom w:val="0"/>
          <w:divBdr>
            <w:top w:val="none" w:sz="0" w:space="0" w:color="auto"/>
            <w:left w:val="none" w:sz="0" w:space="0" w:color="auto"/>
            <w:bottom w:val="none" w:sz="0" w:space="0" w:color="auto"/>
            <w:right w:val="none" w:sz="0" w:space="0" w:color="auto"/>
          </w:divBdr>
        </w:div>
        <w:div w:id="293950752">
          <w:marLeft w:val="0"/>
          <w:marRight w:val="0"/>
          <w:marTop w:val="0"/>
          <w:marBottom w:val="0"/>
          <w:divBdr>
            <w:top w:val="none" w:sz="0" w:space="0" w:color="auto"/>
            <w:left w:val="none" w:sz="0" w:space="0" w:color="auto"/>
            <w:bottom w:val="none" w:sz="0" w:space="0" w:color="auto"/>
            <w:right w:val="none" w:sz="0" w:space="0" w:color="auto"/>
          </w:divBdr>
        </w:div>
        <w:div w:id="1103844438">
          <w:marLeft w:val="0"/>
          <w:marRight w:val="0"/>
          <w:marTop w:val="0"/>
          <w:marBottom w:val="0"/>
          <w:divBdr>
            <w:top w:val="none" w:sz="0" w:space="0" w:color="auto"/>
            <w:left w:val="none" w:sz="0" w:space="0" w:color="auto"/>
            <w:bottom w:val="none" w:sz="0" w:space="0" w:color="auto"/>
            <w:right w:val="none" w:sz="0" w:space="0" w:color="auto"/>
          </w:divBdr>
        </w:div>
      </w:divsChild>
    </w:div>
    <w:div w:id="2076972413">
      <w:bodyDiv w:val="1"/>
      <w:marLeft w:val="0"/>
      <w:marRight w:val="0"/>
      <w:marTop w:val="0"/>
      <w:marBottom w:val="0"/>
      <w:divBdr>
        <w:top w:val="none" w:sz="0" w:space="0" w:color="auto"/>
        <w:left w:val="none" w:sz="0" w:space="0" w:color="auto"/>
        <w:bottom w:val="none" w:sz="0" w:space="0" w:color="auto"/>
        <w:right w:val="none" w:sz="0" w:space="0" w:color="auto"/>
      </w:divBdr>
      <w:divsChild>
        <w:div w:id="785738253">
          <w:marLeft w:val="0"/>
          <w:marRight w:val="0"/>
          <w:marTop w:val="0"/>
          <w:marBottom w:val="0"/>
          <w:divBdr>
            <w:top w:val="none" w:sz="0" w:space="0" w:color="auto"/>
            <w:left w:val="none" w:sz="0" w:space="0" w:color="auto"/>
            <w:bottom w:val="none" w:sz="0" w:space="0" w:color="auto"/>
            <w:right w:val="none" w:sz="0" w:space="0" w:color="auto"/>
          </w:divBdr>
        </w:div>
        <w:div w:id="634289064">
          <w:marLeft w:val="0"/>
          <w:marRight w:val="0"/>
          <w:marTop w:val="0"/>
          <w:marBottom w:val="0"/>
          <w:divBdr>
            <w:top w:val="none" w:sz="0" w:space="0" w:color="auto"/>
            <w:left w:val="none" w:sz="0" w:space="0" w:color="auto"/>
            <w:bottom w:val="none" w:sz="0" w:space="0" w:color="auto"/>
            <w:right w:val="none" w:sz="0" w:space="0" w:color="auto"/>
          </w:divBdr>
        </w:div>
        <w:div w:id="2492374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4C8B2586-370F-4BE5-95F0-617D5FE4E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8</Pages>
  <Words>1839</Words>
  <Characters>13486</Characters>
  <Application>Microsoft Office Word</Application>
  <DocSecurity>0</DocSecurity>
  <Lines>228</Lines>
  <Paragraphs>92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15233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WES PDFC Administrator</cp:lastModifiedBy>
  <cp:revision>15</cp:revision>
  <cp:lastPrinted>2019-05-21T15:14:00Z</cp:lastPrinted>
  <dcterms:created xsi:type="dcterms:W3CDTF">2019-06-06T09:11:00Z</dcterms:created>
  <dcterms:modified xsi:type="dcterms:W3CDTF">2019-06-07T08:37:00Z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6.0.1, Build 20180503</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SJ-043</vt:lpwstr>
  </property>
  <property fmtid="{D5CDD505-2E9C-101B-9397-08002B2CF9AE}" pid="10" name="DQCStatus">
    <vt:lpwstr>Green (DQC version 03)</vt:lpwstr>
  </property>
</Properties>
</file>