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C370D10-37D7-4F56-AB91-68133FC573D2" style="width:450.75pt;height:3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t>DŮVODOVÁ ZPRÁVA</w:t>
      </w:r>
    </w:p>
    <w:p>
      <w:pPr>
        <w:keepNext/>
        <w:tabs>
          <w:tab w:val="left" w:pos="850"/>
        </w:tabs>
        <w:spacing w:before="360"/>
        <w:ind w:left="850" w:hanging="850"/>
        <w:outlineLvl w:val="0"/>
        <w:rPr>
          <w:b/>
          <w:smallCaps/>
          <w:noProof/>
        </w:rPr>
      </w:pPr>
      <w:r>
        <w:rPr>
          <w:b/>
          <w:smallCaps/>
          <w:noProof/>
        </w:rPr>
        <w:t>1.</w:t>
      </w:r>
      <w:r>
        <w:rPr>
          <w:noProof/>
        </w:rPr>
        <w:tab/>
      </w:r>
      <w:r>
        <w:rPr>
          <w:b/>
          <w:smallCaps/>
          <w:noProof/>
        </w:rPr>
        <w:t>Předmět návrhu</w:t>
      </w:r>
    </w:p>
    <w:p>
      <w:pPr>
        <w:rPr>
          <w:rFonts w:eastAsia="Arial Unicode MS"/>
          <w:noProof/>
        </w:rPr>
      </w:pPr>
      <w:r>
        <w:rPr>
          <w:noProof/>
        </w:rPr>
        <w:t>Tento návrh se týká rozhodnutí o postoji, který má být jménem Unie zaujat v Radě Světové celní organizace v souvislosti s plánovaným přijetím návrhu doporučení, které se týká změny nomenklatury harmonizovaného systému (HS).</w:t>
      </w:r>
    </w:p>
    <w:p>
      <w:pPr>
        <w:keepNext/>
        <w:tabs>
          <w:tab w:val="left" w:pos="850"/>
        </w:tabs>
        <w:spacing w:before="360"/>
        <w:ind w:left="850" w:hanging="850"/>
        <w:outlineLvl w:val="0"/>
        <w:rPr>
          <w:b/>
          <w:smallCaps/>
          <w:noProof/>
        </w:rPr>
      </w:pPr>
      <w:r>
        <w:rPr>
          <w:b/>
          <w:smallCaps/>
          <w:noProof/>
        </w:rPr>
        <w:t>2.</w:t>
      </w:r>
      <w:r>
        <w:rPr>
          <w:noProof/>
        </w:rPr>
        <w:tab/>
      </w:r>
      <w:r>
        <w:rPr>
          <w:b/>
          <w:smallCaps/>
          <w:noProof/>
        </w:rPr>
        <w:t>Souvislosti návrhu</w:t>
      </w:r>
    </w:p>
    <w:p>
      <w:pPr>
        <w:keepNext/>
        <w:tabs>
          <w:tab w:val="left" w:pos="850"/>
        </w:tabs>
        <w:ind w:left="850" w:hanging="850"/>
        <w:outlineLvl w:val="1"/>
        <w:rPr>
          <w:b/>
          <w:noProof/>
        </w:rPr>
      </w:pPr>
      <w:r>
        <w:rPr>
          <w:b/>
          <w:noProof/>
        </w:rPr>
        <w:t>2.1.</w:t>
      </w:r>
      <w:r>
        <w:rPr>
          <w:noProof/>
        </w:rPr>
        <w:tab/>
      </w:r>
      <w:r>
        <w:rPr>
          <w:b/>
          <w:noProof/>
        </w:rPr>
        <w:t>Mezinárodní úmluva o harmonizovaném systému popisu a číselného označování zboží</w:t>
      </w:r>
    </w:p>
    <w:p>
      <w:pPr>
        <w:rPr>
          <w:rFonts w:eastAsia="Arial Unicode MS"/>
          <w:noProof/>
        </w:rPr>
      </w:pPr>
      <w:r>
        <w:rPr>
          <w:noProof/>
        </w:rPr>
        <w:t>Cílem Mezinárodní úmluvy o harmonizovaném systému popisu a číselného označování zboží (dále jen „úmluva“) je usnadňovat mezinárodní obchod a sběr, porovnání a analýzu statistik, zejména v souvislosti s mezinárodním obchodem. Příloha úmluvy obsahuje nomenklaturu HS, která je mezinárodním harmonizovaným systémem, jenž umožňuje zúčastněným zemím klasifikovat obchodované zboží pro celní účely na společném základě. Nomenklatura HS obsahuje zejména popis zboží, které se řadí do čísel a položek, a jejich související číselné kódy založené na systému 6místných kódů. Nomenklatura HS se reviduje jednou za pět let</w:t>
      </w:r>
      <w:r>
        <w:rPr>
          <w:rStyle w:val="FootnoteReference"/>
          <w:noProof/>
        </w:rPr>
        <w:footnoteReference w:id="1"/>
      </w:r>
      <w:r>
        <w:rPr>
          <w:noProof/>
        </w:rPr>
        <w:t xml:space="preserve">. Používá ji více než 190 správních orgánů po celém světě a díky tomu se podle ní klasifikuje více než 98 % veškerého zboží, s nímž se po světě obchoduje. </w:t>
      </w:r>
    </w:p>
    <w:p>
      <w:pPr>
        <w:rPr>
          <w:rFonts w:eastAsia="Arial Unicode MS"/>
          <w:noProof/>
        </w:rPr>
      </w:pPr>
      <w:r>
        <w:rPr>
          <w:noProof/>
        </w:rPr>
        <w:t>Úmluva vstoupila v platnost dne 1. ledna 1988.</w:t>
      </w:r>
    </w:p>
    <w:p>
      <w:pPr>
        <w:rPr>
          <w:rFonts w:eastAsia="Arial Unicode MS"/>
          <w:noProof/>
        </w:rPr>
      </w:pPr>
      <w:r>
        <w:rPr>
          <w:noProof/>
        </w:rPr>
        <w:t>Evropská unie a všechny členské státy jsou smluvními stranami úmluvy</w:t>
      </w:r>
      <w:r>
        <w:rPr>
          <w:rStyle w:val="FootnoteReference"/>
          <w:noProof/>
        </w:rPr>
        <w:footnoteReference w:id="2"/>
      </w:r>
      <w:r>
        <w:rPr>
          <w:noProof/>
        </w:rPr>
        <w:t>.</w:t>
      </w:r>
    </w:p>
    <w:p>
      <w:pPr>
        <w:keepNext/>
        <w:tabs>
          <w:tab w:val="left" w:pos="850"/>
        </w:tabs>
        <w:ind w:left="850" w:hanging="850"/>
        <w:outlineLvl w:val="1"/>
        <w:rPr>
          <w:b/>
          <w:noProof/>
        </w:rPr>
      </w:pPr>
      <w:r>
        <w:rPr>
          <w:b/>
          <w:noProof/>
        </w:rPr>
        <w:t>2.2.</w:t>
      </w:r>
      <w:r>
        <w:rPr>
          <w:noProof/>
        </w:rPr>
        <w:tab/>
      </w:r>
      <w:r>
        <w:rPr>
          <w:b/>
          <w:noProof/>
        </w:rPr>
        <w:t>Světová celní organizace (WCO)</w:t>
      </w:r>
    </w:p>
    <w:p>
      <w:pPr>
        <w:rPr>
          <w:rFonts w:eastAsia="Arial Unicode MS"/>
          <w:noProof/>
        </w:rPr>
      </w:pPr>
      <w:r>
        <w:rPr>
          <w:noProof/>
        </w:rPr>
        <w:t>Světová celní organizace (WCO), založená v roce 1952 jako Rada pro celní spolupráci, je nezávislým mezivládním orgánem, jehož úkolem je posilovat účelnost a efektivitu celních správ. WCO nabízí svým členům řadu úmluv a dalších mezinárodních nástrojů, technickou pomoc a možnosti školení. Organizace v současnosti zastupuje 182 celních správ po celém světě.</w:t>
      </w:r>
    </w:p>
    <w:p>
      <w:pPr>
        <w:rPr>
          <w:rFonts w:eastAsia="Arial Unicode MS"/>
          <w:noProof/>
        </w:rPr>
      </w:pPr>
      <w:r>
        <w:rPr>
          <w:noProof/>
        </w:rPr>
        <w:t xml:space="preserve">Řídicím orgánem WCO je Rada, které při plnění jejího poslání pomáhá sekretariát a řada odborných a poradních výborů. </w:t>
      </w:r>
    </w:p>
    <w:p>
      <w:pPr>
        <w:rPr>
          <w:rFonts w:eastAsiaTheme="majorEastAsia"/>
          <w:bCs/>
          <w:noProof/>
          <w:szCs w:val="26"/>
        </w:rPr>
      </w:pPr>
      <w:r>
        <w:rPr>
          <w:noProof/>
        </w:rPr>
        <w:t>Odborným výborem, který má v rámci WCO na starosti přípravnou činnost související s úmluvou, je Výbor pro harmonizovaný systém. K hlavním úkolům Výboru pro harmonizovaný systém patří:</w:t>
      </w:r>
    </w:p>
    <w:p>
      <w:pPr>
        <w:pStyle w:val="Bullet0"/>
        <w:numPr>
          <w:ilvl w:val="0"/>
          <w:numId w:val="10"/>
        </w:numPr>
        <w:rPr>
          <w:noProof/>
        </w:rPr>
      </w:pPr>
      <w:r>
        <w:rPr>
          <w:noProof/>
        </w:rPr>
        <w:t xml:space="preserve">zajišťovat jednotný výklad a uplatňování právních textů upravujících harmonizovaný systém, mimo jiné řešením sporů mezi smluvními stranami ohledně zařazování zboží, čímž se usnadňuje obchod, </w:t>
      </w:r>
    </w:p>
    <w:p>
      <w:pPr>
        <w:pStyle w:val="Bullet0"/>
        <w:rPr>
          <w:noProof/>
        </w:rPr>
      </w:pPr>
      <w:r>
        <w:rPr>
          <w:noProof/>
        </w:rPr>
        <w:t xml:space="preserve">navrhovat změny a aktualizace harmonizovaného systému, aby se zohlednil technologický vývoj, změny ve struktuře obchodu i další potřeby jeho uživatelů, </w:t>
      </w:r>
    </w:p>
    <w:p>
      <w:pPr>
        <w:pStyle w:val="Bullet0"/>
        <w:rPr>
          <w:noProof/>
        </w:rPr>
      </w:pPr>
      <w:r>
        <w:rPr>
          <w:noProof/>
        </w:rPr>
        <w:t>podporovat široké uplatňování harmonizovaného systému a zabývat se obecnými a politickými otázkami, které se tohoto systému týkají.</w:t>
      </w:r>
    </w:p>
    <w:p>
      <w:pPr>
        <w:ind w:left="720"/>
        <w:contextualSpacing/>
        <w:rPr>
          <w:rFonts w:eastAsiaTheme="majorEastAsia"/>
          <w:bCs/>
          <w:noProof/>
          <w:szCs w:val="26"/>
        </w:rPr>
      </w:pPr>
    </w:p>
    <w:p>
      <w:pPr>
        <w:rPr>
          <w:rFonts w:eastAsiaTheme="majorEastAsia"/>
          <w:bCs/>
          <w:noProof/>
          <w:szCs w:val="26"/>
        </w:rPr>
      </w:pPr>
      <w:r>
        <w:rPr>
          <w:noProof/>
        </w:rPr>
        <w:t>Rada WCO zvažuje návrhy na změny úmluvy, předložené Výborem pro harmonizovaný systém, a může je doporučit smluvním stranám. Změny doporučené Radou WCO jsou považovány za přijaté, pokud žádná ze smluvních stran do šesti měsíců od oznámení změn nevznese námitku.</w:t>
      </w:r>
    </w:p>
    <w:p>
      <w:pPr>
        <w:rPr>
          <w:rFonts w:eastAsiaTheme="majorEastAsia"/>
          <w:bCs/>
          <w:noProof/>
          <w:szCs w:val="26"/>
        </w:rPr>
      </w:pPr>
      <w:r>
        <w:rPr>
          <w:noProof/>
        </w:rPr>
        <w:t>Postoje, které Unie v rámci WCO ohledně HS zaujímá, jsou přijímány ve spolupráci s členskými státy. Unie a její členské státy mají v Radě WCO společně pouze jeden hlas.</w:t>
      </w:r>
    </w:p>
    <w:p>
      <w:pPr>
        <w:keepNext/>
        <w:tabs>
          <w:tab w:val="left" w:pos="850"/>
        </w:tabs>
        <w:ind w:left="850" w:hanging="850"/>
        <w:outlineLvl w:val="1"/>
        <w:rPr>
          <w:b/>
          <w:noProof/>
        </w:rPr>
      </w:pPr>
      <w:r>
        <w:rPr>
          <w:b/>
          <w:noProof/>
        </w:rPr>
        <w:t>2.3.</w:t>
      </w:r>
      <w:r>
        <w:rPr>
          <w:noProof/>
        </w:rPr>
        <w:tab/>
      </w:r>
      <w:r>
        <w:rPr>
          <w:b/>
          <w:noProof/>
        </w:rPr>
        <w:t>Zamýšlený akt Rady WCO</w:t>
      </w:r>
    </w:p>
    <w:p>
      <w:pPr>
        <w:rPr>
          <w:rFonts w:eastAsia="Arial Unicode MS"/>
          <w:noProof/>
        </w:rPr>
      </w:pPr>
      <w:r>
        <w:rPr>
          <w:noProof/>
        </w:rPr>
        <w:t>Na svém 133. a 134. zasedání (ve dnech 27. až 29. června 2019) má Rada WCO přijmout doporučení podle článku 16 úmluvy o HS, které se týká změn nomenklatury HS (dále jen „zamýšlený akt“). Revidovaná nomenklatura HS vstoupí v platnost v roce 2022.</w:t>
      </w:r>
    </w:p>
    <w:p>
      <w:pPr>
        <w:rPr>
          <w:rFonts w:eastAsia="Arial Unicode MS"/>
          <w:noProof/>
        </w:rPr>
      </w:pPr>
      <w:r>
        <w:rPr>
          <w:noProof/>
        </w:rPr>
        <w:t xml:space="preserve">Doporučení bylo vypracováno ve dnech 19.–29. března 2019 během 63. zasedání Výboru pro harmonizovaný systém. </w:t>
      </w:r>
    </w:p>
    <w:p>
      <w:pPr>
        <w:rPr>
          <w:rFonts w:eastAsia="Arial Unicode MS"/>
          <w:noProof/>
        </w:rPr>
      </w:pPr>
      <w:r>
        <w:rPr>
          <w:noProof/>
        </w:rPr>
        <w:t>Návrh doporučení obsahuje 355 souborů změn nomenklatury HS, které mají odrážet vývoj ve struktuře obchodu, rozvoj nových technologií a potřebu modernizovat nebo přizpůsobit nomenklaturu jejímu prostředí. Navrhované změny mají zejména:</w:t>
      </w:r>
    </w:p>
    <w:p>
      <w:pPr>
        <w:pStyle w:val="Tiret0"/>
        <w:numPr>
          <w:ilvl w:val="0"/>
          <w:numId w:val="12"/>
        </w:numPr>
        <w:rPr>
          <w:noProof/>
        </w:rPr>
      </w:pPr>
      <w:r>
        <w:rPr>
          <w:noProof/>
        </w:rPr>
        <w:t>zjednodušit nomenklaturu tím, že se zruší položky a podpoložky s malým objemem obchodu, čímž se zajistí aktuálnost harmonizovaného systému a jeho soulad s vývojem produktů,</w:t>
      </w:r>
    </w:p>
    <w:p>
      <w:pPr>
        <w:pStyle w:val="ListParagraph"/>
        <w:rPr>
          <w:rFonts w:eastAsia="Arial Unicode MS"/>
          <w:noProof/>
        </w:rPr>
      </w:pPr>
    </w:p>
    <w:p>
      <w:pPr>
        <w:pStyle w:val="Tiret0"/>
        <w:rPr>
          <w:noProof/>
        </w:rPr>
      </w:pPr>
      <w:r>
        <w:rPr>
          <w:noProof/>
        </w:rPr>
        <w:t>usnadnit zařazení v souladu s platnými mezinárodními normami nebo s přihlédnutím k novým výrobkům nebo vývoji ve složení výrobků (přípravky pro buněčnou terapii, 3D tiskárny, ploché panelové displeje, jogurty, potravinářské výrobky z hmyzu, panenský olivový olej, nové tabákové výrobky, drony, polovodiče a transduktory atd.),</w:t>
      </w:r>
    </w:p>
    <w:p>
      <w:pPr>
        <w:pStyle w:val="ListParagraph"/>
        <w:rPr>
          <w:rFonts w:eastAsia="Arial Unicode MS"/>
          <w:noProof/>
        </w:rPr>
      </w:pPr>
    </w:p>
    <w:p>
      <w:pPr>
        <w:pStyle w:val="Tiret0"/>
        <w:rPr>
          <w:noProof/>
        </w:rPr>
      </w:pPr>
      <w:r>
        <w:rPr>
          <w:noProof/>
        </w:rPr>
        <w:t>lépe sladit francouzské a anglické znění nomenklatury s cílem zajistit jednotné uplatňování a snížit stávající nebo potenciální rozdíly v zařazování,</w:t>
      </w:r>
    </w:p>
    <w:p>
      <w:pPr>
        <w:pStyle w:val="ListParagraph"/>
        <w:rPr>
          <w:rFonts w:eastAsia="Arial Unicode MS"/>
          <w:noProof/>
        </w:rPr>
      </w:pPr>
    </w:p>
    <w:p>
      <w:pPr>
        <w:pStyle w:val="Tiret0"/>
        <w:rPr>
          <w:noProof/>
        </w:rPr>
      </w:pPr>
      <w:r>
        <w:rPr>
          <w:noProof/>
        </w:rPr>
        <w:t>usnadnit boj proti podvodům a nezákonnému obchodu a ochranu zdraví a životního prostředí vytvářením čísel a položek v různých oblastech (syntetické diamanty, chemické látky, kulturní statky, fentanyl, odpad atd.).</w:t>
      </w:r>
    </w:p>
    <w:p>
      <w:pPr>
        <w:rPr>
          <w:rFonts w:eastAsia="Arial Unicode MS"/>
          <w:noProof/>
        </w:rPr>
      </w:pPr>
      <w:r>
        <w:rPr>
          <w:noProof/>
        </w:rPr>
        <w:t>Návrhy předložily mezinárodní organizace (kimberleyský proces, FAO, Basilejská úmluva a Rotterdamská úmluva, Mezinárodní rada pro olivy atd.), smluvní strany a sekretariát WCO. Mezi uvedené změny patří několik návrhů předložených EU (fotosenzitivní a termosenzitivní desky, laminované tkaniny, nafukovací čluny, elektronické textilie, skleněná vlákna, 3D tiskárny, žáruvzdorné keramické materiály, stroje ke kování, jogurt, poznámka 3 ke kapitole 27, ohýbací tužky).</w:t>
      </w:r>
    </w:p>
    <w:p>
      <w:pPr>
        <w:rPr>
          <w:rFonts w:eastAsia="Arial Unicode MS"/>
          <w:noProof/>
        </w:rPr>
      </w:pPr>
      <w:r>
        <w:rPr>
          <w:noProof/>
        </w:rPr>
        <w:t>Návrh doporučení je zařazen jako příloha R do zprávy ze 63. zasedání Výboru pro HS v březnu 2019 (dokument NC2626B1b-HSC/63 – březen 2019).</w:t>
      </w:r>
    </w:p>
    <w:p>
      <w:pPr>
        <w:keepNext/>
        <w:tabs>
          <w:tab w:val="left" w:pos="850"/>
        </w:tabs>
        <w:spacing w:before="360"/>
        <w:ind w:left="850" w:hanging="850"/>
        <w:outlineLvl w:val="0"/>
        <w:rPr>
          <w:b/>
          <w:smallCaps/>
          <w:noProof/>
        </w:rPr>
      </w:pPr>
      <w:r>
        <w:rPr>
          <w:b/>
          <w:smallCaps/>
          <w:noProof/>
        </w:rPr>
        <w:t>3.</w:t>
      </w:r>
      <w:r>
        <w:rPr>
          <w:noProof/>
        </w:rPr>
        <w:tab/>
      </w:r>
      <w:r>
        <w:rPr>
          <w:b/>
          <w:smallCaps/>
          <w:noProof/>
        </w:rPr>
        <w:t>Postoj, který má být zaujat jménem Unie</w:t>
      </w:r>
    </w:p>
    <w:p>
      <w:pPr>
        <w:rPr>
          <w:noProof/>
        </w:rPr>
      </w:pPr>
      <w:r>
        <w:rPr>
          <w:noProof/>
        </w:rPr>
        <w:t>Cílem navrhovaného postoje je vyjádřit podporu návrhu doporučení, které se týká změny nomenklatury HS.</w:t>
      </w:r>
    </w:p>
    <w:p>
      <w:pPr>
        <w:rPr>
          <w:noProof/>
        </w:rPr>
      </w:pPr>
      <w:r>
        <w:rPr>
          <w:noProof/>
        </w:rPr>
        <w:t>Pro EU je důležité, aby toto doporučení bylo přijato, neboť jeho cílem je aktualizovat a modernizovat nomenklaturu HS, jakož i zjednodušit a usnadnit zařazování výrobků. Je rovněž důležité poznamenat, že EU k této modernizaci zásadně přispěla, jelikož v tomto přezkumném cyklu předložila velkou část příslušných návrhů.</w:t>
      </w:r>
    </w:p>
    <w:p>
      <w:pPr>
        <w:rPr>
          <w:noProof/>
        </w:rPr>
      </w:pPr>
      <w:r>
        <w:rPr>
          <w:noProof/>
        </w:rPr>
        <w:t>Průběžně probíhaly konzultace s členskými státy v rámci skupiny celních odborníků (koordinace HS/WCO) a v rámci Rady a v případě potřeby s útvary Komise.</w:t>
      </w:r>
    </w:p>
    <w:p>
      <w:pPr>
        <w:rPr>
          <w:noProof/>
        </w:rPr>
      </w:pPr>
      <w:r>
        <w:rPr>
          <w:noProof/>
        </w:rPr>
        <w:t>Pokud jde o změnu týkající se nových tabákových výrobků, postoj EU byl stanoven rozhodnutím Rady před konáním výše uvedeného zasedání Výboru pro HS</w:t>
      </w:r>
      <w:r>
        <w:rPr>
          <w:rStyle w:val="FootnoteReference"/>
          <w:noProof/>
        </w:rPr>
        <w:footnoteReference w:id="3"/>
      </w:r>
      <w:r>
        <w:rPr>
          <w:noProof/>
        </w:rPr>
        <w:t>. Vzhledem k tomu, že se uvedené rozhodnutí Rady odchýlilo od návrhu Komise, vydala Komise prohlášení</w:t>
      </w:r>
      <w:r>
        <w:rPr>
          <w:rStyle w:val="FootnoteReference"/>
          <w:noProof/>
        </w:rPr>
        <w:footnoteReference w:id="4"/>
      </w:r>
      <w:r>
        <w:rPr>
          <w:noProof/>
        </w:rPr>
        <w:t>, v němž připomněla práci, která v současnosti probíhá pod záštitou Rámcové úmluvy Světové zdravotnické organizace o kontrole tabáku a která se týká povahy emisí z nových tabákových výrobků, a poukázala na to, že výsledky se možná bude třeba zabývat v pozdější fázi, pokud se objeví důkazy, jež budou významné pro posouzení objektivních charakteristik a vlastností uvedených výrobků pro celní účely.</w:t>
      </w:r>
    </w:p>
    <w:p>
      <w:pPr>
        <w:rPr>
          <w:noProof/>
        </w:rPr>
      </w:pPr>
      <w:r>
        <w:rPr>
          <w:noProof/>
        </w:rPr>
        <w:t>Navrhovaný postoj je tedy následující:</w:t>
      </w:r>
    </w:p>
    <w:p>
      <w:pPr>
        <w:pStyle w:val="Tiret0"/>
        <w:numPr>
          <w:ilvl w:val="0"/>
          <w:numId w:val="9"/>
        </w:numPr>
        <w:ind w:left="851" w:hanging="851"/>
        <w:rPr>
          <w:noProof/>
        </w:rPr>
      </w:pPr>
      <w:r>
        <w:rPr>
          <w:noProof/>
        </w:rPr>
        <w:t>pokud jde o doporučení, Unie by měla přijetí doporučení podpořit,</w:t>
      </w:r>
    </w:p>
    <w:p>
      <w:pPr>
        <w:pStyle w:val="Tiret0"/>
        <w:rPr>
          <w:noProof/>
        </w:rPr>
      </w:pPr>
      <w:r>
        <w:rPr>
          <w:noProof/>
        </w:rPr>
        <w:t>Unie by měla případně rovněž podpořit další redakční změny, které může navrhnout sekretariát Světové celní organizace.</w:t>
      </w:r>
    </w:p>
    <w:p>
      <w:pPr>
        <w:rPr>
          <w:noProof/>
        </w:rPr>
      </w:pPr>
      <w:r>
        <w:rPr>
          <w:noProof/>
        </w:rPr>
        <w:t xml:space="preserve">Navrhovaný postoj EU je v souladu se zavedenou celní politikou a judikaturou Soudního dvora Evropské unie, podle nichž se zboží při dovozu zařazuje v závislosti na objektivních charakteristikách a vlastnostech. </w:t>
      </w:r>
    </w:p>
    <w:p>
      <w:pPr>
        <w:rPr>
          <w:noProof/>
        </w:rPr>
      </w:pPr>
      <w:r>
        <w:rPr>
          <w:noProof/>
        </w:rPr>
        <w:t xml:space="preserve">Navrhovaný postoj je nezbytný k tomu, aby EU mohla vyjádřit svůj postoj na příštím zasedání Rady WCO. </w:t>
      </w:r>
    </w:p>
    <w:p>
      <w:pPr>
        <w:keepNext/>
        <w:tabs>
          <w:tab w:val="left" w:pos="850"/>
        </w:tabs>
        <w:spacing w:before="360"/>
        <w:ind w:left="850" w:hanging="850"/>
        <w:outlineLvl w:val="0"/>
        <w:rPr>
          <w:b/>
          <w:smallCaps/>
          <w:noProof/>
        </w:rPr>
      </w:pPr>
      <w:r>
        <w:rPr>
          <w:b/>
          <w:smallCaps/>
          <w:noProof/>
        </w:rPr>
        <w:t>4.</w:t>
      </w:r>
      <w:r>
        <w:rPr>
          <w:noProof/>
        </w:rPr>
        <w:tab/>
      </w:r>
      <w:r>
        <w:rPr>
          <w:b/>
          <w:smallCaps/>
          <w:noProof/>
        </w:rPr>
        <w:t>Právní základ</w:t>
      </w:r>
    </w:p>
    <w:p>
      <w:pPr>
        <w:keepNext/>
        <w:tabs>
          <w:tab w:val="left" w:pos="850"/>
        </w:tabs>
        <w:ind w:left="850" w:hanging="850"/>
        <w:outlineLvl w:val="2"/>
        <w:rPr>
          <w:i/>
          <w:noProof/>
        </w:rPr>
      </w:pPr>
      <w:r>
        <w:rPr>
          <w:i/>
          <w:noProof/>
        </w:rPr>
        <w:t>4.1.1.</w:t>
      </w:r>
      <w:r>
        <w:rPr>
          <w:noProof/>
        </w:rPr>
        <w:tab/>
      </w:r>
      <w:r>
        <w:rPr>
          <w:i/>
          <w:noProof/>
        </w:rPr>
        <w:t>Zásady</w:t>
      </w:r>
    </w:p>
    <w:p>
      <w:pPr>
        <w:rPr>
          <w:noProof/>
        </w:rPr>
      </w:pPr>
      <w:r>
        <w:rPr>
          <w:noProof/>
        </w:rPr>
        <w:t xml:space="preserve">Ustanovení čl. 218 odst. 9 Smlouvy o fungování Evropské unie (SFEU) zavádí rozhodnutí, kterými se stanoví </w:t>
      </w:r>
      <w:r>
        <w:rPr>
          <w:i/>
          <w:noProof/>
        </w:rPr>
        <w:t>„postoje, které mají být jménem Unie zaujaty v orgánu zřízeném dohodou, má-li tento orgán přijímat akty s právními účinky, s výjimkou aktů, které doplňují nebo pozměňují institucionální rámec dohody“</w:t>
      </w:r>
      <w:r>
        <w:rPr>
          <w:noProof/>
        </w:rPr>
        <w:t>.</w:t>
      </w:r>
    </w:p>
    <w:p>
      <w:pPr>
        <w:rPr>
          <w:noProof/>
        </w:rPr>
      </w:pPr>
      <w:r>
        <w:rPr>
          <w:noProof/>
        </w:rPr>
        <w:t xml:space="preserve">Pojem </w:t>
      </w:r>
      <w:r>
        <w:rPr>
          <w:i/>
          <w:noProof/>
        </w:rPr>
        <w:t>„akty s právními účinky“</w:t>
      </w:r>
      <w:r>
        <w:rPr>
          <w:noProof/>
        </w:rPr>
        <w:t xml:space="preserve"> zahrnuje akty s právními účinky na základě pravidel mezinárodního práva, kterými se řídí dotyčný orgán. Zahrnuje rovněž nástroje, které podle mezinárodního práva nemají závazný účinek, ale mohou </w:t>
      </w:r>
      <w:r>
        <w:rPr>
          <w:i/>
          <w:noProof/>
        </w:rPr>
        <w:t>„rozhodujícím způsobem ovlivnit obsah právní úpravy přijaté zákonodárcem Unie“</w:t>
      </w:r>
      <w:r>
        <w:rPr>
          <w:rStyle w:val="FootnoteReference"/>
          <w:noProof/>
        </w:rPr>
        <w:footnoteReference w:id="5"/>
      </w:r>
      <w:r>
        <w:rPr>
          <w:noProof/>
        </w:rPr>
        <w:t>.</w:t>
      </w:r>
    </w:p>
    <w:p>
      <w:pPr>
        <w:rPr>
          <w:noProof/>
        </w:rPr>
      </w:pPr>
      <w:r>
        <w:rPr>
          <w:noProof/>
        </w:rPr>
        <w:t>Procesněprávním základem navrhovaného rozhodnutí, kterým se stanoví postoj, jenž se má zaujmout jménem Unie ohledně zamýšleného aktu, je proto čl. 218 odst. 9 SFEU.</w:t>
      </w:r>
    </w:p>
    <w:p>
      <w:pPr>
        <w:keepNext/>
        <w:tabs>
          <w:tab w:val="left" w:pos="850"/>
        </w:tabs>
        <w:ind w:left="850" w:hanging="850"/>
        <w:outlineLvl w:val="2"/>
        <w:rPr>
          <w:i/>
          <w:noProof/>
        </w:rPr>
      </w:pPr>
      <w:r>
        <w:rPr>
          <w:i/>
          <w:noProof/>
        </w:rPr>
        <w:t>4.1.2.</w:t>
      </w:r>
      <w:r>
        <w:rPr>
          <w:noProof/>
        </w:rPr>
        <w:tab/>
      </w:r>
      <w:r>
        <w:rPr>
          <w:i/>
          <w:noProof/>
        </w:rPr>
        <w:t>Použití na stávající případ</w:t>
      </w:r>
    </w:p>
    <w:p>
      <w:pPr>
        <w:rPr>
          <w:noProof/>
        </w:rPr>
      </w:pPr>
      <w:r>
        <w:rPr>
          <w:noProof/>
        </w:rPr>
        <w:t>Rada WCO je orgán zřízený dohodou, a sice Úmluvou o zřízení Rady pro celní spolupráci ze dne 15. prosince 1950. Podle Mezinárodní úmluvy o harmonizovaném systému popisu a číselného označování zboží je orgánem odpovědným za vydávání doporučení smluvním stranám ohledně změn úmluvy.</w:t>
      </w:r>
    </w:p>
    <w:p>
      <w:pPr>
        <w:rPr>
          <w:noProof/>
        </w:rPr>
      </w:pPr>
      <w:r>
        <w:rPr>
          <w:noProof/>
        </w:rPr>
        <w:t xml:space="preserve">Očekává se, že Rada WCO na svém červnovém zasedání doporučí smluvním stranám HS podle článku 16 úmluvy o HS změnu přílohy uvedené úmluvy (nomenklatury HS), která bude považována za přijatou po šesti měsících, pokud žádná smluvní strana nevznese námitku. Přijaté změny jsou podle mezinárodního práva závazné pro všechny smluvní strany, jakmile vstoupí v platnost, a celní a statistická nomenklatura každé smluvní strany musí být s pozměněným harmonizovaným systémem uvedena do souladu. Jakmile bude doporučení přijato, bude proto začleněno do právních předpisů EU, a konkrétně do přílohy 1 nařízení Rady (EHS) č. 2658/87 o celní a statistické nomenklatuře a o společném celním sazebníku. Důvodem je čl. 2 písm. a) uvedeného nařízení, který stanoví: </w:t>
      </w:r>
      <w:r>
        <w:rPr>
          <w:i/>
          <w:noProof/>
        </w:rPr>
        <w:t>„2</w:t>
      </w:r>
      <w:r>
        <w:rPr>
          <w:noProof/>
        </w:rPr>
        <w:t>.</w:t>
      </w:r>
      <w:r>
        <w:rPr>
          <w:i/>
          <w:noProof/>
        </w:rPr>
        <w:t> Kombinovaná nomenklatura se skládá z: nomenklatury harmonizovaného systému;“.</w:t>
      </w:r>
      <w:r>
        <w:rPr>
          <w:noProof/>
        </w:rPr>
        <w:t xml:space="preserve"> </w:t>
      </w:r>
    </w:p>
    <w:p>
      <w:pPr>
        <w:rPr>
          <w:noProof/>
        </w:rPr>
      </w:pPr>
      <w:r>
        <w:rPr>
          <w:noProof/>
        </w:rPr>
        <w:t>Zamýšlený akt nedoplňuje ani nepozměňuje institucionální rámec úmluvy.</w:t>
      </w:r>
    </w:p>
    <w:p>
      <w:pPr>
        <w:rPr>
          <w:noProof/>
        </w:rPr>
      </w:pPr>
      <w:r>
        <w:rPr>
          <w:noProof/>
        </w:rPr>
        <w:t>Procesněprávním základem navrhovaného rozhodnutí je tudíž čl. 218 odst. 9 SFEU.</w:t>
      </w:r>
    </w:p>
    <w:p>
      <w:pPr>
        <w:keepNext/>
        <w:tabs>
          <w:tab w:val="left" w:pos="850"/>
        </w:tabs>
        <w:ind w:left="850" w:hanging="850"/>
        <w:outlineLvl w:val="1"/>
        <w:rPr>
          <w:b/>
          <w:noProof/>
        </w:rPr>
      </w:pPr>
      <w:r>
        <w:rPr>
          <w:b/>
          <w:noProof/>
        </w:rPr>
        <w:t>4.2.</w:t>
      </w:r>
      <w:r>
        <w:rPr>
          <w:noProof/>
        </w:rPr>
        <w:tab/>
      </w:r>
      <w:r>
        <w:rPr>
          <w:b/>
          <w:noProof/>
        </w:rPr>
        <w:t>Hmotněprávní základ</w:t>
      </w:r>
    </w:p>
    <w:p>
      <w:pPr>
        <w:keepNext/>
        <w:tabs>
          <w:tab w:val="left" w:pos="850"/>
        </w:tabs>
        <w:ind w:left="850" w:hanging="850"/>
        <w:outlineLvl w:val="2"/>
        <w:rPr>
          <w:i/>
          <w:noProof/>
        </w:rPr>
      </w:pPr>
      <w:r>
        <w:rPr>
          <w:i/>
          <w:noProof/>
        </w:rPr>
        <w:t>4.2.1.</w:t>
      </w:r>
      <w:r>
        <w:rPr>
          <w:noProof/>
        </w:rPr>
        <w:tab/>
      </w:r>
      <w:r>
        <w:rPr>
          <w:i/>
          <w:noProof/>
        </w:rPr>
        <w:t>Zásady</w:t>
      </w:r>
    </w:p>
    <w:p>
      <w:pPr>
        <w:rPr>
          <w:noProof/>
        </w:rPr>
      </w:pPr>
      <w:r>
        <w:rPr>
          <w:noProof/>
        </w:rPr>
        <w:t>Hmotněprávní základ rozhodnutí podle čl. 218 odst. 9 SFEU závisí v první řadě na cíli a obsahu zamýšleného aktu, v jehož souvislosti je postoj jménem Unie zaujat. Sleduje-li zamýšlený akt dvojí účel nebo má-li dvě složky a lze-li jeden z těchto účelů nebo jednu z těchto složek identifikovat jako hlavní, zatímco druhý účel či druhá složka je pouze vedlejší, musí být rozhodnutí přijaté podle čl. 218 odst. 9 SFEU založeno na jediném hmotněprávním základu, a sice na tom, který si žádá hlavní nebo převažující účel nebo složka.</w:t>
      </w:r>
    </w:p>
    <w:p>
      <w:pPr>
        <w:keepNext/>
        <w:tabs>
          <w:tab w:val="left" w:pos="850"/>
        </w:tabs>
        <w:ind w:left="850" w:hanging="850"/>
        <w:outlineLvl w:val="2"/>
        <w:rPr>
          <w:i/>
          <w:noProof/>
        </w:rPr>
      </w:pPr>
      <w:r>
        <w:rPr>
          <w:i/>
          <w:noProof/>
        </w:rPr>
        <w:t>4.2.2.</w:t>
      </w:r>
      <w:r>
        <w:rPr>
          <w:noProof/>
        </w:rPr>
        <w:tab/>
      </w:r>
      <w:r>
        <w:rPr>
          <w:i/>
          <w:noProof/>
        </w:rPr>
        <w:t>Použití na stávající případ</w:t>
      </w:r>
    </w:p>
    <w:p>
      <w:pPr>
        <w:rPr>
          <w:noProof/>
        </w:rPr>
      </w:pPr>
      <w:r>
        <w:rPr>
          <w:noProof/>
        </w:rPr>
        <w:t>Protože hlavní cíl a obsah zamýšleného aktu se týkají celní unie, hmotněprávní základem navrhovaného rozhodnutí je čl. 28 odst. 1 SFEU.</w:t>
      </w:r>
    </w:p>
    <w:p>
      <w:pPr>
        <w:rPr>
          <w:noProof/>
        </w:rPr>
      </w:pPr>
      <w:r>
        <w:rPr>
          <w:noProof/>
        </w:rPr>
        <w:t>4.3. Závěr</w:t>
      </w:r>
    </w:p>
    <w:p>
      <w:pPr>
        <w:rPr>
          <w:noProof/>
        </w:rPr>
      </w:pPr>
      <w:r>
        <w:rPr>
          <w:noProof/>
        </w:rPr>
        <w:t>Právním základem navrhovaného rozhodnutí by měl být čl. 28 odst. 1 SFEU ve spojení s čl. 218 odst. 9 SFEU.</w:t>
      </w:r>
    </w:p>
    <w:p>
      <w:pPr>
        <w:keepNext/>
        <w:tabs>
          <w:tab w:val="left" w:pos="850"/>
        </w:tabs>
        <w:spacing w:before="360"/>
        <w:ind w:left="850" w:hanging="850"/>
        <w:outlineLvl w:val="0"/>
        <w:rPr>
          <w:b/>
          <w:smallCaps/>
          <w:noProof/>
        </w:rPr>
      </w:pPr>
      <w:r>
        <w:rPr>
          <w:b/>
          <w:smallCaps/>
          <w:noProof/>
        </w:rPr>
        <w:t>5.</w:t>
      </w:r>
      <w:r>
        <w:rPr>
          <w:noProof/>
        </w:rPr>
        <w:tab/>
      </w:r>
      <w:r>
        <w:rPr>
          <w:b/>
          <w:smallCaps/>
          <w:noProof/>
        </w:rPr>
        <w:t xml:space="preserve">Rozpočtové důsledky </w:t>
      </w:r>
    </w:p>
    <w:p>
      <w:pPr>
        <w:rPr>
          <w:noProof/>
        </w:rPr>
      </w:pPr>
      <w:r>
        <w:rPr>
          <w:noProof/>
        </w:rPr>
        <w:t xml:space="preserve">Návrh nemá žádné důsledky pro rozpočet Evropské unie. </w:t>
      </w:r>
    </w:p>
    <w:p>
      <w:pPr>
        <w:keepNext/>
        <w:tabs>
          <w:tab w:val="left" w:pos="850"/>
        </w:tabs>
        <w:spacing w:before="360"/>
        <w:ind w:left="850" w:hanging="850"/>
        <w:outlineLvl w:val="0"/>
        <w:rPr>
          <w:b/>
          <w:smallCaps/>
          <w:noProof/>
        </w:rPr>
      </w:pPr>
      <w:r>
        <w:rPr>
          <w:b/>
          <w:smallCaps/>
          <w:noProof/>
        </w:rPr>
        <w:t>6.</w:t>
      </w:r>
      <w:r>
        <w:rPr>
          <w:noProof/>
        </w:rPr>
        <w:tab/>
      </w:r>
      <w:r>
        <w:rPr>
          <w:b/>
          <w:smallCaps/>
          <w:noProof/>
        </w:rPr>
        <w:t>Zveřejnění zamýšleného aktu</w:t>
      </w:r>
    </w:p>
    <w:p>
      <w:pPr>
        <w:rPr>
          <w:noProof/>
        </w:rPr>
      </w:pPr>
      <w:r>
        <w:rPr>
          <w:noProof/>
        </w:rPr>
        <w:t>–</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Návrh</w:t>
      </w:r>
    </w:p>
    <w:p>
      <w:pPr>
        <w:spacing w:before="360" w:after="0"/>
        <w:jc w:val="center"/>
        <w:rPr>
          <w:b/>
          <w:noProof/>
        </w:rPr>
      </w:pPr>
      <w:r>
        <w:rPr>
          <w:b/>
          <w:noProof/>
        </w:rPr>
        <w:t>ROZHODNUTÍ RADY</w:t>
      </w:r>
    </w:p>
    <w:p>
      <w:pPr>
        <w:spacing w:before="360" w:after="360"/>
        <w:jc w:val="center"/>
        <w:rPr>
          <w:b/>
          <w:noProof/>
        </w:rPr>
      </w:pPr>
      <w:r>
        <w:rPr>
          <w:b/>
          <w:noProof/>
        </w:rPr>
        <w:t>o postoji, který má být zaujat jménem Evropské unie v rámci Rady Světové celní organizace v souvislosti s doporučením WCO podle článku 16, kterým se mění harmonizovaný systém</w:t>
      </w:r>
    </w:p>
    <w:p>
      <w:pPr>
        <w:keepNext/>
        <w:spacing w:before="600"/>
        <w:rPr>
          <w:b/>
          <w:noProof/>
        </w:rPr>
      </w:pPr>
      <w:r>
        <w:rPr>
          <w:b/>
          <w:noProof/>
        </w:rPr>
        <w:t>RADA EVROPSKÉ UNIE,</w:t>
      </w:r>
    </w:p>
    <w:p>
      <w:pPr>
        <w:rPr>
          <w:noProof/>
        </w:rPr>
      </w:pPr>
      <w:r>
        <w:rPr>
          <w:noProof/>
        </w:rPr>
        <w:t>s ohledem na Smlouvu o fungování Evropské unie, a zejména na čl. 28 odst. 1 ve spojení s čl. 218 odst. 9 této smlouvy,</w:t>
      </w:r>
    </w:p>
    <w:p>
      <w:pPr>
        <w:rPr>
          <w:noProof/>
        </w:rPr>
      </w:pPr>
      <w:r>
        <w:rPr>
          <w:noProof/>
        </w:rPr>
        <w:t>s ohledem na návrh Evropské komise,</w:t>
      </w:r>
    </w:p>
    <w:p>
      <w:pPr>
        <w:rPr>
          <w:noProof/>
        </w:rPr>
      </w:pPr>
      <w:r>
        <w:rPr>
          <w:noProof/>
        </w:rPr>
        <w:t>vzhledem k těmto důvodům:</w:t>
      </w:r>
    </w:p>
    <w:p>
      <w:pPr>
        <w:ind w:left="709" w:hanging="709"/>
        <w:rPr>
          <w:noProof/>
        </w:rPr>
      </w:pPr>
      <w:r>
        <w:rPr>
          <w:noProof/>
        </w:rPr>
        <w:t>(1)</w:t>
      </w:r>
      <w:r>
        <w:rPr>
          <w:noProof/>
        </w:rPr>
        <w:tab/>
        <w:t>Unie uzavřela Mezinárodní úmluvu o harmonizovaném systému popisu a číselného označování zboží (dále jen „úmluva“) rozhodnutím Rady 87/369</w:t>
      </w:r>
      <w:r>
        <w:rPr>
          <w:rStyle w:val="FootnoteReference"/>
          <w:noProof/>
        </w:rPr>
        <w:footnoteReference w:customMarkFollows="1" w:id="6"/>
        <w:t>1</w:t>
      </w:r>
      <w:r>
        <w:rPr>
          <w:noProof/>
        </w:rPr>
        <w:t xml:space="preserve"> a úmluva vstoupila v platnost dne 1. ledna 1988. </w:t>
      </w:r>
    </w:p>
    <w:p>
      <w:pPr>
        <w:ind w:left="709" w:hanging="709"/>
        <w:rPr>
          <w:noProof/>
        </w:rPr>
      </w:pPr>
      <w:r>
        <w:rPr>
          <w:noProof/>
        </w:rPr>
        <w:t>(2)</w:t>
      </w:r>
      <w:r>
        <w:rPr>
          <w:noProof/>
        </w:rPr>
        <w:tab/>
        <w:t>Podle článku 7 úmluvy může Výbor pro harmonizovaný systém připravovat pro Radu WCO návrhy změn nomenklatury HS. Rada WCO může na základě článku 16 úmluvy tuto změnu doporučit smluvním stranám.</w:t>
      </w:r>
    </w:p>
    <w:p>
      <w:pPr>
        <w:ind w:left="709" w:hanging="709"/>
        <w:rPr>
          <w:noProof/>
        </w:rPr>
      </w:pPr>
      <w:r>
        <w:rPr>
          <w:noProof/>
        </w:rPr>
        <w:t>(3)</w:t>
      </w:r>
      <w:r>
        <w:rPr>
          <w:noProof/>
        </w:rPr>
        <w:tab/>
        <w:t>Očekává se, že Rada WCO na svých červnových zasedáních rozhodne o doporučení smluvním stranám, které se týká změny nomenklatury HS. Toto doporučení bude přijato na základě návrhu vypracovaného Výborem pro harmonizovaný systém a dokončeného na jeho 63. zasedání ve dnech 19. až 29. března 2019. Doporučení vstoupí v platnost 1. ledna 2022.</w:t>
      </w:r>
    </w:p>
    <w:p>
      <w:pPr>
        <w:ind w:left="709" w:hanging="709"/>
        <w:rPr>
          <w:rFonts w:eastAsia="Arial Unicode MS"/>
          <w:noProof/>
        </w:rPr>
      </w:pPr>
      <w:r>
        <w:rPr>
          <w:noProof/>
        </w:rPr>
        <w:t>(4)</w:t>
      </w:r>
      <w:r>
        <w:rPr>
          <w:noProof/>
        </w:rPr>
        <w:tab/>
        <w:t xml:space="preserve">Je nanejvýš důležité, aby byla nomenklatura HS průběžně aktualizována, byla v souladu s vývojem ve struktuře obchodu a rozvojem nových technologií a aby co nejvíce odrážela potřeby uživatelů. Navrhované doporučení obsahuje celou řadu změn, které zohledňují potřebu modernizovat nebo přizpůsobit nomenklaturu jejímu prostředí. </w:t>
      </w:r>
    </w:p>
    <w:p>
      <w:pPr>
        <w:ind w:left="709" w:hanging="709"/>
        <w:rPr>
          <w:noProof/>
        </w:rPr>
      </w:pPr>
      <w:r>
        <w:rPr>
          <w:noProof/>
        </w:rPr>
        <w:t>(5)</w:t>
      </w:r>
      <w:r>
        <w:rPr>
          <w:noProof/>
        </w:rPr>
        <w:tab/>
        <w:t>Vzhledem k tomu, že doporučení o změně nomenklatury HS má být přijato Radou WCO, je vhodné stanovit postoj, který má být zaujat jménem Unie, protože toto doporučení bude po svém přijetí podle článku 16 úmluvy pro Unii závazné a bude moci rozhodujícím způsobem ovlivnit obsah práva Unie, konkrétně přílohy I nařízení Rady (EHS) č. 2658/87</w:t>
      </w:r>
      <w:r>
        <w:rPr>
          <w:rStyle w:val="FootnoteReference"/>
          <w:noProof/>
        </w:rPr>
        <w:footnoteReference w:customMarkFollows="1" w:id="7"/>
        <w:t>2</w:t>
      </w:r>
      <w:r>
        <w:rPr>
          <w:noProof/>
        </w:rPr>
        <w:t>.</w:t>
      </w:r>
    </w:p>
    <w:p>
      <w:pPr>
        <w:ind w:left="709" w:hanging="709"/>
        <w:rPr>
          <w:noProof/>
        </w:rPr>
      </w:pPr>
      <w:r>
        <w:rPr>
          <w:noProof/>
        </w:rPr>
        <w:t>(6)</w:t>
      </w:r>
      <w:r>
        <w:rPr>
          <w:noProof/>
        </w:rPr>
        <w:tab/>
        <w:t>Částečný postoj EU, který má být v rámci WCO zaujat, byl stanoven již před 63. zasedáním Výboru pro harmonizovaný systém</w:t>
      </w:r>
      <w:r>
        <w:rPr>
          <w:rStyle w:val="FootnoteReference"/>
          <w:noProof/>
        </w:rPr>
        <w:footnoteReference w:customMarkFollows="1" w:id="8"/>
        <w:t>3</w:t>
      </w:r>
      <w:r>
        <w:rPr>
          <w:noProof/>
        </w:rPr>
        <w:t>.</w:t>
      </w:r>
    </w:p>
    <w:p>
      <w:pPr>
        <w:ind w:left="709" w:hanging="709"/>
        <w:rPr>
          <w:noProof/>
        </w:rPr>
      </w:pPr>
      <w:r>
        <w:rPr>
          <w:noProof/>
        </w:rPr>
        <w:t>7)</w:t>
      </w:r>
      <w:r>
        <w:rPr>
          <w:noProof/>
        </w:rPr>
        <w:tab/>
        <w:t>Je vhodné podpořit návrh změny nomenklatury HS a jakékoli drobné redakční změny, které mohou být považovány za nezbytné,</w:t>
      </w:r>
    </w:p>
    <w:p>
      <w:pPr>
        <w:keepNext/>
        <w:rPr>
          <w:noProof/>
        </w:rPr>
      </w:pPr>
      <w:r>
        <w:rPr>
          <w:noProof/>
        </w:rPr>
        <w:t>PŘIJALA TOTO ROZHODNUTÍ:</w:t>
      </w:r>
    </w:p>
    <w:p>
      <w:pPr>
        <w:keepNext/>
        <w:spacing w:before="360"/>
        <w:jc w:val="center"/>
        <w:rPr>
          <w:i/>
          <w:noProof/>
        </w:rPr>
      </w:pPr>
      <w:r>
        <w:rPr>
          <w:i/>
          <w:noProof/>
        </w:rPr>
        <w:t>Článek 1</w:t>
      </w:r>
    </w:p>
    <w:p>
      <w:pPr>
        <w:rPr>
          <w:noProof/>
        </w:rPr>
      </w:pPr>
      <w:r>
        <w:rPr>
          <w:noProof/>
        </w:rPr>
        <w:t>Postojem, který má být zaujat jménem Unie na zasedání Rady WCO v červnu 2019, je vyjádření podpory návrhu doporučení podle článku 16 týkajícího se změny harmonizovaného systému, jak je uvedeno v příloze R dokumentu NC2626B1b (zpráva HSC/63 – březen 2019).</w:t>
      </w:r>
    </w:p>
    <w:p>
      <w:pPr>
        <w:rPr>
          <w:noProof/>
        </w:rPr>
      </w:pPr>
      <w:r>
        <w:rPr>
          <w:noProof/>
          <w:color w:val="000000"/>
        </w:rPr>
        <w:t>Zástupci Unie se mohou dohodnout na menších redakčních změnách návrhu doporučení podle článku 16 s ohledem na vývoj na nadcházejících zasedáních Rady WCO, během konzultací s členskými státy nebo koordinačních schůzek na místě bez dalšího rozhodnutí Rady.</w:t>
      </w:r>
      <w:r>
        <w:rPr>
          <w:noProof/>
        </w:rPr>
        <w:t xml:space="preserve"> </w:t>
      </w:r>
    </w:p>
    <w:p>
      <w:pPr>
        <w:keepNext/>
        <w:spacing w:before="360"/>
        <w:jc w:val="center"/>
        <w:rPr>
          <w:i/>
          <w:noProof/>
        </w:rPr>
      </w:pPr>
      <w:r>
        <w:rPr>
          <w:i/>
          <w:noProof/>
        </w:rPr>
        <w:t>Článek 2</w:t>
      </w:r>
    </w:p>
    <w:p>
      <w:pPr>
        <w:rPr>
          <w:noProof/>
        </w:rPr>
      </w:pPr>
      <w:r>
        <w:rPr>
          <w:noProof/>
        </w:rPr>
        <w:t>Toto rozhodnutí je určeno Komisi.</w:t>
      </w:r>
    </w:p>
    <w:p>
      <w:pPr>
        <w:keepNext/>
        <w:spacing w:after="0"/>
        <w:rPr>
          <w:noProof/>
        </w:rPr>
      </w:pPr>
      <w:r>
        <w:rPr>
          <w:noProof/>
        </w:rPr>
        <w:t>V Bruselu dne</w:t>
      </w:r>
    </w:p>
    <w:p>
      <w:pPr>
        <w:keepNext/>
        <w:tabs>
          <w:tab w:val="left" w:pos="4252"/>
        </w:tabs>
        <w:spacing w:before="720" w:after="0"/>
        <w:rPr>
          <w:i/>
          <w:noProof/>
        </w:rPr>
      </w:pPr>
      <w:r>
        <w:rPr>
          <w:noProof/>
        </w:rPr>
        <w:tab/>
      </w:r>
      <w:r>
        <w:rPr>
          <w:i/>
          <w:noProof/>
        </w:rPr>
        <w:t>Za Radu</w:t>
      </w:r>
    </w:p>
    <w:p>
      <w:pPr>
        <w:tabs>
          <w:tab w:val="left" w:pos="4252"/>
        </w:tabs>
        <w:spacing w:before="0" w:after="0"/>
        <w:jc w:val="left"/>
        <w:rPr>
          <w:noProof/>
        </w:rPr>
      </w:pPr>
      <w:r>
        <w:rPr>
          <w:noProof/>
        </w:rPr>
        <w:tab/>
      </w:r>
      <w:r>
        <w:rPr>
          <w:i/>
          <w:noProof/>
        </w:rPr>
        <w:t xml:space="preserve">předseda/předsedkyně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 svého zavedení v roce 1988 byla nomenklatura HS revidována pětkrát. Revize vstoupily v platnost v letech 1996, 2002, 2007, 2012 a 2017.</w:t>
      </w:r>
    </w:p>
  </w:footnote>
  <w:footnote w:id="2">
    <w:p>
      <w:pPr>
        <w:pStyle w:val="FootnoteText"/>
      </w:pPr>
      <w:r>
        <w:rPr>
          <w:rStyle w:val="FootnoteReference"/>
        </w:rPr>
        <w:footnoteRef/>
      </w:r>
      <w:r>
        <w:tab/>
        <w:t>Rozhodnutí Rady 87/369/EHS ze dne 7. dubna 1987 o uzavření Mezinárodní úmluvy o</w:t>
      </w:r>
      <w:r>
        <w:rPr>
          <w:color w:val="0000FF"/>
          <w:sz w:val="24"/>
        </w:rPr>
        <w:t xml:space="preserve"> </w:t>
      </w:r>
      <w:r>
        <w:t>harmonizovaném systému popisu a číselného označování zboží a protokolu o její změně (Úř. věst. L 198, 20.7.1987, s. 1).</w:t>
      </w:r>
    </w:p>
  </w:footnote>
  <w:footnote w:id="3">
    <w:p>
      <w:pPr>
        <w:pStyle w:val="FootnoteText"/>
        <w:ind w:left="142" w:hanging="142"/>
      </w:pPr>
      <w:r>
        <w:rPr>
          <w:rStyle w:val="FootnoteReference"/>
        </w:rPr>
        <w:footnoteRef/>
      </w:r>
      <w:r>
        <w:tab/>
        <w:t>Dokument ST 7138 2019 INIT, rozhodnutí Rady o postoji, který má být zaujat jménem Evropské unie v rámci Světové celní organizace v souvislosti s harmonizovaným systémem.</w:t>
      </w:r>
    </w:p>
  </w:footnote>
  <w:footnote w:id="4">
    <w:p>
      <w:pPr>
        <w:pStyle w:val="FootnoteText"/>
        <w:ind w:left="142" w:hanging="153"/>
      </w:pPr>
      <w:r>
        <w:rPr>
          <w:rStyle w:val="FootnoteReference"/>
        </w:rPr>
        <w:footnoteRef/>
      </w:r>
      <w:r>
        <w:tab/>
        <w:t>Dokument ST 7208 2019 ADD 1, rozhodnutí Rady o postoji, který má být zaujat jménem Evropské unie v rámci Světové celní organizace v souvislosti s harmonizovaným systémem – přijetí – prohlášení Komise.</w:t>
      </w:r>
    </w:p>
  </w:footnote>
  <w:footnote w:id="5">
    <w:p>
      <w:pPr>
        <w:pStyle w:val="FootnoteText"/>
      </w:pPr>
      <w:r>
        <w:rPr>
          <w:rStyle w:val="FootnoteReference"/>
        </w:rPr>
        <w:footnoteRef/>
      </w:r>
      <w:r>
        <w:tab/>
        <w:t xml:space="preserve">Rozsudek Soudního dvora ze dne 7. října 2014, Německo v. Rada, věc C-399/12, ECLI:EU:C:2014:2258, body 61 až 64. </w:t>
      </w:r>
    </w:p>
  </w:footnote>
  <w:footnote w:id="6">
    <w:p>
      <w:pPr>
        <w:pStyle w:val="FootnoteText"/>
      </w:pPr>
      <w:r>
        <w:rPr>
          <w:rStyle w:val="FootnoteReference"/>
        </w:rPr>
        <w:t>1</w:t>
      </w:r>
      <w:r>
        <w:tab/>
        <w:t>Rozhodnutí Rady 87/369/EHS ze dne 7. dubna 1987 o uzavření Mezinárodní úmluvy o harmonizovaném systému popisu a číselného označování zboží a protokolu o její změně (Úř.věst. L 198, 20.7.1987, s. 1).</w:t>
      </w:r>
    </w:p>
  </w:footnote>
  <w:footnote w:id="7">
    <w:p>
      <w:pPr>
        <w:pStyle w:val="FootnoteText"/>
      </w:pPr>
      <w:r>
        <w:rPr>
          <w:rStyle w:val="FootnoteReference"/>
        </w:rPr>
        <w:t>2</w:t>
      </w:r>
      <w:r>
        <w:tab/>
        <w:t>Nařízení Rady (EHS) č. 2658/87 ze dne 23. července 1987 o celní a statistické nomenklatuře a o společném celním sazebníku (Úř. věst. L 256, 7.9.1987, s. 1).</w:t>
      </w:r>
    </w:p>
  </w:footnote>
  <w:footnote w:id="8">
    <w:p>
      <w:pPr>
        <w:pStyle w:val="FootnoteText"/>
      </w:pPr>
      <w:r>
        <w:rPr>
          <w:rStyle w:val="FootnoteReference"/>
        </w:rPr>
        <w:t>3</w:t>
      </w:r>
      <w:r>
        <w:tab/>
        <w:t>Dokument ST 7138 2019 INIT, rozhodnutí Rady o postoji, který má být zaujat jménem Evropské unie v rámci Světové celní organizace v souvislosti s harmonizovaným systémem; dokument ST 7208 2019 ADD 1, rozhodnutí Rady o postoji, který má být zaujat jménem Evropské unie v rámci Světové celní organizace v souvislosti s harmonizovaným systémem – přijetí – prohlášení Komise.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 w:numId="27">
    <w:abstractNumId w:val="18"/>
  </w:num>
  <w:num w:numId="28">
    <w:abstractNumId w:val="12"/>
  </w:num>
  <w:num w:numId="29">
    <w:abstractNumId w:val="20"/>
  </w:num>
  <w:num w:numId="30">
    <w:abstractNumId w:val="10"/>
  </w:num>
  <w:num w:numId="31">
    <w:abstractNumId w:val="13"/>
  </w:num>
  <w:num w:numId="32">
    <w:abstractNumId w:val="8"/>
  </w:num>
  <w:num w:numId="33">
    <w:abstractNumId w:val="19"/>
  </w:num>
  <w:num w:numId="34">
    <w:abstractNumId w:val="7"/>
  </w:num>
  <w:num w:numId="35">
    <w:abstractNumId w:val="14"/>
  </w:num>
  <w:num w:numId="36">
    <w:abstractNumId w:val="16"/>
  </w:num>
  <w:num w:numId="37">
    <w:abstractNumId w:val="17"/>
  </w:num>
  <w:num w:numId="38">
    <w:abstractNumId w:val="9"/>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0:37:18"/>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2C370D10-37D7-4F56-AB91-68133FC573D2"/>
    <w:docVar w:name="LW_COVERPAGE_TYPE" w:val="1"/>
    <w:docVar w:name="LW_CROSSREFERENCE" w:val="&lt;UNUSED&gt;"/>
    <w:docVar w:name="LW_DocType" w:val="COM"/>
    <w:docVar w:name="LW_EMISSION" w:val="3.6.2019"/>
    <w:docVar w:name="LW_EMISSION_ISODATE" w:val="2019-06-03"/>
    <w:docVar w:name="LW_EMISSION_LOCATION" w:val="BRX"/>
    <w:docVar w:name="LW_EMISSION_PREFIX" w:val="V Bruselu dn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lt;FMT:Bold&gt;o postoji, který má být zaujat jménem Evropské unie v rámci Rady Sv\u283?tové celní organizace v souvislosti s doporu\u269?ením WCO podle \u269?lánku 16, kterým se m\u283?ní harmonizovaný systém&lt;/FMT&gt;"/>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748D4F-F5BE-4711-8FB5-00287B4F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1855</Words>
  <Characters>10687</Characters>
  <Application>Microsoft Office Word</Application>
  <DocSecurity>0</DocSecurity>
  <Lines>205</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2019-05-21T15:14:00Z</cp:lastPrinted>
  <dcterms:created xsi:type="dcterms:W3CDTF">2019-06-06T12:28:00Z</dcterms:created>
  <dcterms:modified xsi:type="dcterms:W3CDTF">2019-06-07T08:37:00Z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