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5B610A9-DA3C-4F02-932A-935016AE94F5"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b/>
          <w:noProof/>
          <w:u w:val="single"/>
        </w:rPr>
      </w:pPr>
      <w:bookmarkStart w:id="0" w:name="_GoBack"/>
      <w:bookmarkEnd w:id="0"/>
      <w:r>
        <w:rPr>
          <w:b/>
          <w:noProof/>
          <w:u w:val="single"/>
        </w:rPr>
        <w:lastRenderedPageBreak/>
        <w:t>PERUSTELUT</w:t>
      </w:r>
    </w:p>
    <w:p>
      <w:pPr>
        <w:keepNext/>
        <w:tabs>
          <w:tab w:val="left" w:pos="850"/>
        </w:tabs>
        <w:spacing w:before="360"/>
        <w:ind w:left="850" w:hanging="850"/>
        <w:outlineLvl w:val="0"/>
        <w:rPr>
          <w:b/>
          <w:smallCaps/>
          <w:noProof/>
        </w:rPr>
      </w:pPr>
      <w:r>
        <w:rPr>
          <w:b/>
          <w:smallCaps/>
          <w:noProof/>
        </w:rPr>
        <w:t>1.</w:t>
      </w:r>
      <w:r>
        <w:rPr>
          <w:noProof/>
        </w:rPr>
        <w:tab/>
      </w:r>
      <w:r>
        <w:rPr>
          <w:b/>
          <w:smallCaps/>
          <w:noProof/>
        </w:rPr>
        <w:t>Ehdotuksen kohde</w:t>
      </w:r>
    </w:p>
    <w:p>
      <w:pPr>
        <w:rPr>
          <w:rFonts w:eastAsia="Arial Unicode MS"/>
          <w:noProof/>
        </w:rPr>
      </w:pPr>
      <w:r>
        <w:rPr>
          <w:noProof/>
        </w:rPr>
        <w:t>Tämä ehdotus koskee päätöstä Maailman tullijärjestön neuvostossa unionin puolesta otettavan kannan vahvistamisesta harmonoidun järjestelmän nimikkeistön (”HS-nimikkeistö”) muuttamista koskevan suositusluonnoksen hyväksymiseen.</w:t>
      </w:r>
    </w:p>
    <w:p>
      <w:pPr>
        <w:keepNext/>
        <w:tabs>
          <w:tab w:val="left" w:pos="850"/>
        </w:tabs>
        <w:spacing w:before="360"/>
        <w:ind w:left="850" w:hanging="850"/>
        <w:outlineLvl w:val="0"/>
        <w:rPr>
          <w:b/>
          <w:smallCaps/>
          <w:noProof/>
        </w:rPr>
      </w:pPr>
      <w:r>
        <w:rPr>
          <w:b/>
          <w:smallCaps/>
          <w:noProof/>
        </w:rPr>
        <w:t>2.</w:t>
      </w:r>
      <w:r>
        <w:rPr>
          <w:noProof/>
        </w:rPr>
        <w:tab/>
      </w:r>
      <w:r>
        <w:rPr>
          <w:b/>
          <w:smallCaps/>
          <w:noProof/>
        </w:rPr>
        <w:t>Ehdotuksen tausta</w:t>
      </w:r>
    </w:p>
    <w:p>
      <w:pPr>
        <w:keepNext/>
        <w:tabs>
          <w:tab w:val="left" w:pos="850"/>
        </w:tabs>
        <w:ind w:left="850" w:hanging="850"/>
        <w:outlineLvl w:val="1"/>
        <w:rPr>
          <w:b/>
          <w:noProof/>
        </w:rPr>
      </w:pPr>
      <w:r>
        <w:rPr>
          <w:b/>
          <w:noProof/>
        </w:rPr>
        <w:t>2.1.</w:t>
      </w:r>
      <w:r>
        <w:rPr>
          <w:noProof/>
        </w:rPr>
        <w:tab/>
      </w:r>
      <w:r>
        <w:rPr>
          <w:b/>
          <w:noProof/>
        </w:rPr>
        <w:t>Harmonoitua tavarankuvaus- ja koodausjärjestelmää koskeva kansainvälinen yleissopimus</w:t>
      </w:r>
    </w:p>
    <w:p>
      <w:pPr>
        <w:rPr>
          <w:rFonts w:eastAsia="Arial Unicode MS"/>
          <w:noProof/>
        </w:rPr>
      </w:pPr>
      <w:r>
        <w:rPr>
          <w:noProof/>
        </w:rPr>
        <w:t>Harmonoitua tavarankuvaus- ja koodausjärjestelmää koskevan kansainvälisen yleissopimuksen (”sopimus”) tarkoituksena on helpottaa kansainvälistä kauppaa sekä tilastojen ja erityisesti kansainvälistä kauppaa koskevien tilastojen keräämistä, vertailua ja analysointia. Sen liitteenä on HS-nimikkeistö, joka on kansainvälinen yhdenmukaistettu järjestelmä, jonka avulla osallistujamaat voivat luokitella tavarat tullitarkoituksia varten yhteistä perustaa käyttäen. HS-nimikkeistössä on nimikkeissä ja alanimikkeissä olevia tavaran kuvauksia, joihin liittyy 6-numeroiseen koodijärjestelmään perustuvia numerokoodeja. HS-nimikkeistö tarkistetaan viiden vuoden välein</w:t>
      </w:r>
      <w:r>
        <w:rPr>
          <w:rStyle w:val="FootnoteReference"/>
          <w:noProof/>
        </w:rPr>
        <w:footnoteReference w:id="1"/>
      </w:r>
      <w:r>
        <w:rPr>
          <w:noProof/>
        </w:rPr>
        <w:t xml:space="preserve">. Yli 190 julkishallintoa soveltaa sitä eri puolilla maailmaa. Näin ollen yli 98 % kaikista maailmassa kaupattavista tavaroista luokitellaan sitä käyttäen. </w:t>
      </w:r>
    </w:p>
    <w:p>
      <w:pPr>
        <w:rPr>
          <w:rFonts w:eastAsia="Arial Unicode MS"/>
          <w:noProof/>
        </w:rPr>
      </w:pPr>
      <w:r>
        <w:rPr>
          <w:noProof/>
        </w:rPr>
        <w:t>Sopimus tuli voimaan 1. tammikuuta 1988.</w:t>
      </w:r>
    </w:p>
    <w:p>
      <w:pPr>
        <w:rPr>
          <w:rFonts w:eastAsia="Arial Unicode MS"/>
          <w:noProof/>
        </w:rPr>
      </w:pPr>
      <w:r>
        <w:rPr>
          <w:noProof/>
        </w:rPr>
        <w:t>Euroopan unioni ja kaikki sen jäsenvaltiot ovat yleissopimuksen</w:t>
      </w:r>
      <w:r>
        <w:rPr>
          <w:rStyle w:val="FootnoteReference"/>
          <w:noProof/>
        </w:rPr>
        <w:footnoteReference w:id="2"/>
      </w:r>
      <w:r>
        <w:rPr>
          <w:noProof/>
        </w:rPr>
        <w:t xml:space="preserve"> osapuolia.</w:t>
      </w:r>
    </w:p>
    <w:p>
      <w:pPr>
        <w:keepNext/>
        <w:tabs>
          <w:tab w:val="left" w:pos="850"/>
        </w:tabs>
        <w:ind w:left="850" w:hanging="850"/>
        <w:outlineLvl w:val="1"/>
        <w:rPr>
          <w:b/>
          <w:noProof/>
        </w:rPr>
      </w:pPr>
      <w:r>
        <w:rPr>
          <w:b/>
          <w:noProof/>
        </w:rPr>
        <w:t>2.2.</w:t>
      </w:r>
      <w:r>
        <w:rPr>
          <w:noProof/>
        </w:rPr>
        <w:tab/>
      </w:r>
      <w:r>
        <w:rPr>
          <w:b/>
          <w:noProof/>
        </w:rPr>
        <w:t>Maailman tullijärjestö (WCO)</w:t>
      </w:r>
    </w:p>
    <w:p>
      <w:pPr>
        <w:rPr>
          <w:rFonts w:eastAsia="Arial Unicode MS"/>
          <w:noProof/>
        </w:rPr>
      </w:pPr>
      <w:r>
        <w:rPr>
          <w:noProof/>
        </w:rPr>
        <w:t>Vuonna 1952 tulliyhteistyöneuvostona perustettu Maailman tullijärjestö (”WCO”) on riippumaton hallitustenvälinen elin, jonka tehtävänä on parantaa tullihallintojen vaikuttavuutta ja tehokkuutta. WCO tarjoaa jäsenilleen useita yleissopimuksia ja muita kansainvälisiä välineitä sekä teknistä apua ja koulutusta. WCO:n jäseninä on tällä hetkellä 182 tullilaitosta eri puolilla maailmaa.</w:t>
      </w:r>
    </w:p>
    <w:p>
      <w:pPr>
        <w:rPr>
          <w:rFonts w:eastAsia="Arial Unicode MS"/>
          <w:noProof/>
        </w:rPr>
      </w:pPr>
      <w:r>
        <w:rPr>
          <w:noProof/>
        </w:rPr>
        <w:t xml:space="preserve">WCO:n hallintoelin on neuvosto, jolla on tehtäviensä hoidossa käytössä sihteeristön ja useiden teknisten ja neuvoa-antavien komiteoiden pätevyys ja taidot. </w:t>
      </w:r>
    </w:p>
    <w:p>
      <w:pPr>
        <w:rPr>
          <w:rFonts w:eastAsiaTheme="majorEastAsia"/>
          <w:bCs/>
          <w:noProof/>
          <w:szCs w:val="26"/>
        </w:rPr>
      </w:pPr>
      <w:r>
        <w:rPr>
          <w:noProof/>
        </w:rPr>
        <w:t>WCO:n tekninen komitea, joka vastaa sopimukseen liittyvästä valmistelutyöstä, on harmonoidun järjestelmän komitea (”HS-komitea”). HS-komitean päätehtävät ovat seuraavat:</w:t>
      </w:r>
    </w:p>
    <w:p>
      <w:pPr>
        <w:pStyle w:val="Bullet0"/>
        <w:numPr>
          <w:ilvl w:val="0"/>
          <w:numId w:val="10"/>
        </w:numPr>
        <w:rPr>
          <w:noProof/>
        </w:rPr>
      </w:pPr>
      <w:r>
        <w:rPr>
          <w:noProof/>
        </w:rPr>
        <w:t xml:space="preserve">HS:n oikeudellisten tekstien yhdenmukaisen tulkinnan ja soveltamisen varmistaminen mm. ratkaisemalla sopimuspuolten väliset luokituskiistat, mikä helpottaa kauppaa; </w:t>
      </w:r>
    </w:p>
    <w:p>
      <w:pPr>
        <w:pStyle w:val="Bullet0"/>
        <w:rPr>
          <w:noProof/>
        </w:rPr>
      </w:pPr>
      <w:r>
        <w:rPr>
          <w:noProof/>
        </w:rPr>
        <w:t xml:space="preserve">muutosten ja päivitysten ehdottaminen HS:ään, jotta voidaan ottaa huomioon teknologian kehitys ja muutokset kaupan rakenteissa sekä muut HS:n käyttäjien tarpeet; </w:t>
      </w:r>
    </w:p>
    <w:p>
      <w:pPr>
        <w:pStyle w:val="Bullet0"/>
        <w:rPr>
          <w:noProof/>
        </w:rPr>
      </w:pPr>
      <w:r>
        <w:rPr>
          <w:noProof/>
        </w:rPr>
        <w:t>HS:n laajan soveltamisen edistäminen ja siihen liittyvien yleisten ja poliittisten kysymysten tarkasteleminen.</w:t>
      </w:r>
    </w:p>
    <w:p>
      <w:pPr>
        <w:ind w:left="720"/>
        <w:contextualSpacing/>
        <w:rPr>
          <w:rFonts w:eastAsiaTheme="majorEastAsia"/>
          <w:bCs/>
          <w:noProof/>
          <w:szCs w:val="26"/>
        </w:rPr>
      </w:pPr>
    </w:p>
    <w:p>
      <w:pPr>
        <w:rPr>
          <w:rFonts w:eastAsiaTheme="majorEastAsia"/>
          <w:bCs/>
          <w:noProof/>
          <w:szCs w:val="26"/>
        </w:rPr>
      </w:pPr>
      <w:r>
        <w:rPr>
          <w:noProof/>
        </w:rPr>
        <w:t>WCO:n neuvosto tutkii HS-komitean valmistelemia sopimuksen muutosehdotuksia ja voi suositella niitä sopimuspuolille. WCO:n neuvoston suosittelemat muutokset katsotaan hyväksytyiksi, jos yksikään sopimuspuoli ei vastusta niitä kuuden kuukauden kuluessa niiden tiedoksiantamisesta.</w:t>
      </w:r>
    </w:p>
    <w:p>
      <w:pPr>
        <w:rPr>
          <w:rFonts w:eastAsiaTheme="majorEastAsia"/>
          <w:bCs/>
          <w:noProof/>
          <w:szCs w:val="26"/>
        </w:rPr>
      </w:pPr>
      <w:r>
        <w:rPr>
          <w:noProof/>
        </w:rPr>
        <w:t>WCO:ssa esitettävät HS:ää koskevat unionin kannat koordinoidaan jäsenvaltioiden kanssa. Unionilla ja sen jäsenvaltioilla on WCO:n neuvostossa yhteensä vain yksi ääni.</w:t>
      </w:r>
    </w:p>
    <w:p>
      <w:pPr>
        <w:keepNext/>
        <w:tabs>
          <w:tab w:val="left" w:pos="850"/>
        </w:tabs>
        <w:ind w:left="850" w:hanging="850"/>
        <w:outlineLvl w:val="1"/>
        <w:rPr>
          <w:b/>
          <w:noProof/>
        </w:rPr>
      </w:pPr>
      <w:r>
        <w:rPr>
          <w:b/>
          <w:noProof/>
        </w:rPr>
        <w:t>2.3.</w:t>
      </w:r>
      <w:r>
        <w:rPr>
          <w:noProof/>
        </w:rPr>
        <w:tab/>
      </w:r>
      <w:r>
        <w:rPr>
          <w:b/>
          <w:noProof/>
        </w:rPr>
        <w:t>WCO:n neuvoston suunniteltu säädös</w:t>
      </w:r>
    </w:p>
    <w:p>
      <w:pPr>
        <w:rPr>
          <w:rFonts w:eastAsia="Arial Unicode MS"/>
          <w:noProof/>
        </w:rPr>
      </w:pPr>
      <w:r>
        <w:rPr>
          <w:noProof/>
        </w:rPr>
        <w:t>WCO:n neuvoston on määrä hyväksyä 27.–29. kesäkuuta 2019 pidettävässä 133. ja 134. istunnossaan HS:n yleissopimuksen 16 artiklan nojalla suositus, joka koskee HS-nimikkeistön muuttamista (”suunniteltu säädös”). Tarkistettu HS-nimikkeistö tulee voimaan vuonna 2022.</w:t>
      </w:r>
    </w:p>
    <w:p>
      <w:pPr>
        <w:rPr>
          <w:rFonts w:eastAsia="Arial Unicode MS"/>
          <w:noProof/>
        </w:rPr>
      </w:pPr>
      <w:r>
        <w:rPr>
          <w:noProof/>
        </w:rPr>
        <w:t xml:space="preserve">Suositus laadittiin 19.–29. maaliskuuta 2019 pidetyssä HS-komitean 63. istunnossa. </w:t>
      </w:r>
    </w:p>
    <w:p>
      <w:pPr>
        <w:rPr>
          <w:rFonts w:eastAsia="Arial Unicode MS"/>
          <w:noProof/>
        </w:rPr>
      </w:pPr>
      <w:r>
        <w:rPr>
          <w:noProof/>
        </w:rPr>
        <w:t>Suositusluonnokseen sisältyy 355 muutosta HS-nimikkeistöön. Näiden muutosten tarkoituksena on ottaa huomioon kaupan rakenteiden ja uusien teknologioiden kehitys sekä tarve nykyaikaistaa nimikkeistöä tai mukauttaa se ympäristöönsä. Ehdotettuihin muutoksiin kuuluvat etenkin seuraavat:</w:t>
      </w:r>
    </w:p>
    <w:p>
      <w:pPr>
        <w:pStyle w:val="Tiret0"/>
        <w:numPr>
          <w:ilvl w:val="0"/>
          <w:numId w:val="12"/>
        </w:numPr>
        <w:rPr>
          <w:noProof/>
        </w:rPr>
      </w:pPr>
      <w:r>
        <w:rPr>
          <w:noProof/>
        </w:rPr>
        <w:t>nimikkeistöä yksinkertaistetaan poistamalla sellaisia nimikkeitä ja alanimikkeitä, joihin kuuluvien tavaroiden kauppa on vähäistä. Tarkoituksena on pitää nimikkeistö ajan tasalla ja tuotekehityksen tahdissa;</w:t>
      </w:r>
    </w:p>
    <w:p>
      <w:pPr>
        <w:pStyle w:val="ListParagraph"/>
        <w:rPr>
          <w:rFonts w:eastAsia="Arial Unicode MS"/>
          <w:noProof/>
        </w:rPr>
      </w:pPr>
    </w:p>
    <w:p>
      <w:pPr>
        <w:pStyle w:val="Tiret0"/>
        <w:rPr>
          <w:noProof/>
        </w:rPr>
      </w:pPr>
      <w:r>
        <w:rPr>
          <w:noProof/>
        </w:rPr>
        <w:t>luokittelua helpotetaan parantamalla johdonmukaisuutta kansainvälisesti sovellettavien standardien kanssa tai ottamalla huomioon uudet tuotteet tai tuotteiden koostumuksen kehittyminen (soluterapiassa käytettävät tuotteet, 3D-tulostimet, litteät näytöt, jogurtit, hyönteiselintarvikkeet, neitsytoliiviöljy, uudet tupakkatuotteet, droonit, puolijohteet, muuntimet jne.);</w:t>
      </w:r>
    </w:p>
    <w:p>
      <w:pPr>
        <w:pStyle w:val="ListParagraph"/>
        <w:rPr>
          <w:rFonts w:eastAsia="Arial Unicode MS"/>
          <w:noProof/>
        </w:rPr>
      </w:pPr>
    </w:p>
    <w:p>
      <w:pPr>
        <w:pStyle w:val="Tiret0"/>
        <w:rPr>
          <w:noProof/>
        </w:rPr>
      </w:pPr>
      <w:r>
        <w:rPr>
          <w:noProof/>
        </w:rPr>
        <w:t>nimikkeistön ranskan- ja englanninkielisiä toisintoja yhtenäistetään, jotta voidaan varmistaa yhdenmukainen soveltaminen ja vähentää olemassa olevia tai mahdollisia eroja luokittelussa;</w:t>
      </w:r>
    </w:p>
    <w:p>
      <w:pPr>
        <w:pStyle w:val="ListParagraph"/>
        <w:rPr>
          <w:rFonts w:eastAsia="Arial Unicode MS"/>
          <w:noProof/>
        </w:rPr>
      </w:pPr>
    </w:p>
    <w:p>
      <w:pPr>
        <w:pStyle w:val="Tiret0"/>
        <w:rPr>
          <w:noProof/>
        </w:rPr>
      </w:pPr>
      <w:r>
        <w:rPr>
          <w:noProof/>
        </w:rPr>
        <w:t>petosten ja laittoman kaupan torjuntaa sekä terveyden ja ympäristön suojelua helpotetaan luomalla nimikkeitä ja alanimikkeitä eri aloilla (synteettiset timantit, kemikaalit, kulttuuriesineet, fentanyyli, jätteet jne.).</w:t>
      </w:r>
    </w:p>
    <w:p>
      <w:pPr>
        <w:rPr>
          <w:rFonts w:eastAsia="Arial Unicode MS"/>
          <w:noProof/>
        </w:rPr>
      </w:pPr>
      <w:r>
        <w:rPr>
          <w:noProof/>
        </w:rPr>
        <w:t>Ehdotuksia saatiin eri kansainvälisiltä järjestöiltä (Kimberleyn prosessi, FAO, Baselin ja Rotterdamin yleissopimukset, kansainvälinen oliiviöljyneuvosto jne.), sopimuspuolilta ja WCO:n sihteeristöltä. Muutosten joukossa on useita EU:n esittämiä ehdotuksia (esim. valo- ja lämpöherkät levyt, laminoidut kankaat, ilmatäytteiset veneet, elektroniset tekstiilit, lasikuidut, 3D-tulostimet, tulenkestävä keramiikka, takomakoneet, jogurtti, 27 ryhmän 3 huomautus, taipuisat lyijykynät).</w:t>
      </w:r>
    </w:p>
    <w:p>
      <w:pPr>
        <w:rPr>
          <w:rFonts w:eastAsia="Arial Unicode MS"/>
          <w:noProof/>
        </w:rPr>
      </w:pPr>
      <w:r>
        <w:rPr>
          <w:noProof/>
        </w:rPr>
        <w:t>Suositusluonnos on maaliskuussa 2019 pidetyn HS-komitean 63. kokouksen raportin liite R (asiakirja NC2626B1b-HSC/63/March 2019).</w:t>
      </w:r>
    </w:p>
    <w:p>
      <w:pPr>
        <w:keepNext/>
        <w:tabs>
          <w:tab w:val="left" w:pos="850"/>
        </w:tabs>
        <w:spacing w:before="360"/>
        <w:ind w:left="850" w:hanging="850"/>
        <w:outlineLvl w:val="0"/>
        <w:rPr>
          <w:b/>
          <w:smallCaps/>
          <w:noProof/>
        </w:rPr>
      </w:pPr>
      <w:r>
        <w:rPr>
          <w:b/>
          <w:smallCaps/>
          <w:noProof/>
        </w:rPr>
        <w:t>3.</w:t>
      </w:r>
      <w:r>
        <w:rPr>
          <w:noProof/>
        </w:rPr>
        <w:tab/>
      </w:r>
      <w:r>
        <w:rPr>
          <w:b/>
          <w:smallCaps/>
          <w:noProof/>
        </w:rPr>
        <w:t>Unionin puolesta otettava kanta</w:t>
      </w:r>
    </w:p>
    <w:p>
      <w:pPr>
        <w:rPr>
          <w:noProof/>
        </w:rPr>
      </w:pPr>
      <w:r>
        <w:rPr>
          <w:noProof/>
        </w:rPr>
        <w:t>Ehdotettavassa kannassa tuetaan HS-nimikkeistön muuttamista koskevaa suositusluonnosta.</w:t>
      </w:r>
    </w:p>
    <w:p>
      <w:pPr>
        <w:rPr>
          <w:noProof/>
        </w:rPr>
      </w:pPr>
      <w:r>
        <w:rPr>
          <w:noProof/>
        </w:rPr>
        <w:t>EU:lle on tärkeää, että tällainen suositus hyväksytään, koska sillä pyritään ajantasaistamaan ja nykyaikaistamaan HS-nimikkeistöä sekä yksinkertaistamaan ja helpottamaan tuotteiden luokittelua. On myös tärkeää huomata, että EU oli yksi aktiivisimmista osapuolista tässä nykyaikaistamishankkeessa, koska se toimitti suuren osan ehdotuksista tätä uudelleentarkastelusykliä varten.</w:t>
      </w:r>
    </w:p>
    <w:p>
      <w:pPr>
        <w:rPr>
          <w:noProof/>
        </w:rPr>
      </w:pPr>
      <w:r>
        <w:rPr>
          <w:noProof/>
        </w:rPr>
        <w:t>Neuvotteluja käytiin jatkuvasti jäsenvaltioiden kanssa tulliasiantuntijaryhmässä (HS/WCO-kooordinointijaosto) ja neuvostossa sekä tarvittaessa komission yksiköiden kanssa.</w:t>
      </w:r>
    </w:p>
    <w:p>
      <w:pPr>
        <w:rPr>
          <w:noProof/>
        </w:rPr>
      </w:pPr>
      <w:r>
        <w:rPr>
          <w:noProof/>
        </w:rPr>
        <w:t>EU:n kanta uusia tupakkatuotteita koskevaan muutokseen vahvistettiin neuvoston päätöksellä</w:t>
      </w:r>
      <w:r>
        <w:rPr>
          <w:rStyle w:val="FootnoteReference"/>
          <w:noProof/>
        </w:rPr>
        <w:footnoteReference w:id="3"/>
      </w:r>
      <w:r>
        <w:rPr>
          <w:noProof/>
        </w:rPr>
        <w:t xml:space="preserve"> ennen edellä mainittua HS-komitean istuntoa. Koska neuvoston päätös poikkesi komission ehdotuksesta, komissio on antanut lausuman</w:t>
      </w:r>
      <w:r>
        <w:rPr>
          <w:rStyle w:val="FootnoteReference"/>
          <w:noProof/>
        </w:rPr>
        <w:footnoteReference w:id="4"/>
      </w:r>
      <w:r>
        <w:rPr>
          <w:noProof/>
        </w:rPr>
        <w:t xml:space="preserve"> palauttaakseen mieliin tupakoinnin torjuntaa koskevassa WHO:n puitesopimuksessa tällä hetkellä tehtävän työn, joka koskee uusien tupakkatuotteiden tuottamien päästöjen luonnetta, ja sen, että tuloksia saattaa olla tarpeen käsitellä myöhemmässä vaiheessa, jos saadaan sellaista uutta näyttöä, jolla on merkitystä arvioitaessa tällaisten tuotteiden objektiivisia ominaispiirteitä ja ominaisuuksia tullitarkoituksia varten.</w:t>
      </w:r>
    </w:p>
    <w:p>
      <w:pPr>
        <w:rPr>
          <w:noProof/>
        </w:rPr>
      </w:pPr>
      <w:r>
        <w:rPr>
          <w:noProof/>
        </w:rPr>
        <w:t>Ehdotettava kanta on näin ollen seuraava:</w:t>
      </w:r>
    </w:p>
    <w:p>
      <w:pPr>
        <w:pStyle w:val="Tiret0"/>
        <w:numPr>
          <w:ilvl w:val="0"/>
          <w:numId w:val="9"/>
        </w:numPr>
        <w:ind w:left="851" w:hanging="851"/>
        <w:rPr>
          <w:noProof/>
        </w:rPr>
      </w:pPr>
      <w:r>
        <w:rPr>
          <w:noProof/>
        </w:rPr>
        <w:t>Unionin olisi tuettava suosituksen hyväksymistä.</w:t>
      </w:r>
    </w:p>
    <w:p>
      <w:pPr>
        <w:pStyle w:val="Tiret0"/>
        <w:rPr>
          <w:noProof/>
        </w:rPr>
      </w:pPr>
      <w:r>
        <w:rPr>
          <w:noProof/>
        </w:rPr>
        <w:t>Unionin olisi tarvittaessa tuettava myös WCO:n sihteeristön mahdollisesti ehdottamia toimituksellisia lisämuutoksia.</w:t>
      </w:r>
    </w:p>
    <w:p>
      <w:pPr>
        <w:rPr>
          <w:noProof/>
        </w:rPr>
      </w:pPr>
      <w:r>
        <w:rPr>
          <w:noProof/>
        </w:rPr>
        <w:t xml:space="preserve">Ehdotettava EU:n kanta noudattaa sellaista tullipolitiikkaa ja Euroopan unionin tuomioistuimen oikeuskäytäntöä, joka on vakiintunut luokiteltaessa tuontitavaroita niiden objektiivisten ominaispiirteiden ja ominaisuuksien perusteella. </w:t>
      </w:r>
    </w:p>
    <w:p>
      <w:pPr>
        <w:rPr>
          <w:noProof/>
        </w:rPr>
      </w:pPr>
      <w:r>
        <w:rPr>
          <w:noProof/>
        </w:rPr>
        <w:t xml:space="preserve">Ehdotettava kanta on tarpeen, jotta EU voi esittää kantansa seuraavassa WCO:n neuvostossa. </w:t>
      </w:r>
    </w:p>
    <w:p>
      <w:pPr>
        <w:keepNext/>
        <w:tabs>
          <w:tab w:val="left" w:pos="850"/>
        </w:tabs>
        <w:spacing w:before="360"/>
        <w:ind w:left="850" w:hanging="850"/>
        <w:outlineLvl w:val="0"/>
        <w:rPr>
          <w:b/>
          <w:smallCaps/>
          <w:noProof/>
        </w:rPr>
      </w:pPr>
      <w:r>
        <w:rPr>
          <w:b/>
          <w:smallCaps/>
          <w:noProof/>
        </w:rPr>
        <w:t>4.</w:t>
      </w:r>
      <w:r>
        <w:rPr>
          <w:noProof/>
        </w:rPr>
        <w:tab/>
      </w:r>
      <w:r>
        <w:rPr>
          <w:b/>
          <w:smallCaps/>
          <w:noProof/>
        </w:rPr>
        <w:t>Oikeusperusta</w:t>
      </w:r>
    </w:p>
    <w:p>
      <w:pPr>
        <w:keepNext/>
        <w:tabs>
          <w:tab w:val="left" w:pos="850"/>
        </w:tabs>
        <w:ind w:left="850" w:hanging="850"/>
        <w:outlineLvl w:val="2"/>
        <w:rPr>
          <w:i/>
          <w:noProof/>
        </w:rPr>
      </w:pPr>
      <w:r>
        <w:rPr>
          <w:i/>
          <w:noProof/>
        </w:rPr>
        <w:t>4.1.1.</w:t>
      </w:r>
      <w:r>
        <w:rPr>
          <w:noProof/>
        </w:rPr>
        <w:tab/>
      </w:r>
      <w:r>
        <w:rPr>
          <w:i/>
          <w:noProof/>
        </w:rPr>
        <w:t>Periaatteet</w:t>
      </w:r>
    </w:p>
    <w:p>
      <w:pPr>
        <w:rPr>
          <w:noProof/>
        </w:rPr>
      </w:pPr>
      <w:r>
        <w:rPr>
          <w:noProof/>
        </w:rPr>
        <w:t>Euroopan unionin toiminnasta tehdyn sopimuksen, jäljempänä ’SEUT-sopimus’, 218 artiklan 9 kohdassa määrätään päätöksistä ”</w:t>
      </w:r>
      <w:r>
        <w:rPr>
          <w:i/>
          <w:noProof/>
        </w:rPr>
        <w:t>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r>
        <w:rPr>
          <w:noProof/>
        </w:rPr>
        <w:t>”.</w:t>
      </w:r>
    </w:p>
    <w:p>
      <w:pPr>
        <w:rPr>
          <w:noProof/>
        </w:rPr>
      </w:pPr>
      <w:r>
        <w:rPr>
          <w:noProof/>
        </w:rPr>
        <w:t>Ilmaisu ”</w:t>
      </w:r>
      <w:r>
        <w:rPr>
          <w:i/>
          <w:noProof/>
        </w:rPr>
        <w:t>säädökset, joilla on oikeusvaikutuksia</w:t>
      </w:r>
      <w:r>
        <w:rPr>
          <w:noProof/>
        </w:rPr>
        <w:t>”, kattaa myös säädökset, joilla on oikeusvaikutuksia kyseiseen elimeen sovellettavan kansainvälisen oikeuden nojalla. Se kattaa myös välineet, joilla ei ole sitovaa vaikutusta kansainvälisen oikeuden nojalla mutta jotka ”voivat vaikuttaa ratkaisevasti sen säännöstön sisältöön, jonka unionin lainsäätäjä antaa”</w:t>
      </w:r>
      <w:r>
        <w:rPr>
          <w:rStyle w:val="FootnoteReference"/>
          <w:noProof/>
        </w:rPr>
        <w:footnoteReference w:id="5"/>
      </w:r>
      <w:r>
        <w:rPr>
          <w:noProof/>
        </w:rPr>
        <w:t>.</w:t>
      </w:r>
    </w:p>
    <w:p>
      <w:pPr>
        <w:rPr>
          <w:noProof/>
        </w:rPr>
      </w:pPr>
      <w:r>
        <w:rPr>
          <w:noProof/>
        </w:rPr>
        <w:t>Sen vuoksi unionin puolesta otettavan kannan vahvistamista ja suunniteltua säädöstä koskevan päätösehdotuksen menettelyllinen oikeusperusta on SEUT-sopimuksen 218 artiklan 9 kohta.</w:t>
      </w:r>
    </w:p>
    <w:p>
      <w:pPr>
        <w:keepNext/>
        <w:tabs>
          <w:tab w:val="left" w:pos="850"/>
        </w:tabs>
        <w:ind w:left="850" w:hanging="850"/>
        <w:outlineLvl w:val="2"/>
        <w:rPr>
          <w:i/>
          <w:noProof/>
        </w:rPr>
      </w:pPr>
      <w:r>
        <w:rPr>
          <w:i/>
          <w:noProof/>
        </w:rPr>
        <w:t>4.2.1.</w:t>
      </w:r>
      <w:r>
        <w:rPr>
          <w:noProof/>
        </w:rPr>
        <w:tab/>
      </w:r>
      <w:r>
        <w:rPr>
          <w:i/>
          <w:noProof/>
        </w:rPr>
        <w:t>Soveltaminen tässä asiassa</w:t>
      </w:r>
    </w:p>
    <w:p>
      <w:pPr>
        <w:rPr>
          <w:noProof/>
        </w:rPr>
      </w:pPr>
      <w:r>
        <w:rPr>
          <w:noProof/>
        </w:rPr>
        <w:t>WCO:n neuvosto on sopimuksella eli 15. joulukuuta 1950 tehdyllä tulliyhteistyöneuvoston perustamisesta tehdyllä yleissopimuksella perustettu elin. Se on elin, joka vastaa harmonoitua tavarankuvaus- ja koodausjärjestelmää koskevan kansainvälisen yleissopimuksen nojalla kyseisen yleissopimuksen muuttamista koskevien suositusten antamisesta sopimuspuolille.</w:t>
      </w:r>
    </w:p>
    <w:p>
      <w:pPr>
        <w:rPr>
          <w:noProof/>
        </w:rPr>
      </w:pPr>
      <w:r>
        <w:rPr>
          <w:noProof/>
        </w:rPr>
        <w:t>WCO:n neuvoston odotetaan suosittelevan HS-yleissopimuksen 16 artiklan nojalla HS:n sopimuspuolille mainitun yleissopimuksen liitteen (HS-nimikkeistön) muuttamista kesäkuun kokouksessaan. Muutos katsotaan hyväksytyksi kuuden kuukauden kuluessa, ellei jokin sopimuspuoli vastusta sitä. Hyväksytyt muutokset sitovat kansainvälisen oikeuden nojalla kaikkia sopimuspuolia heti, kun ne tulevat voimaan, ja kunkin sopimuspuolen tariffi- ja tilastonimikkeistö on saatettava yhdenmukaiseksi muutetun harmonoidun järjestelmän kanssa. Kun suositus on hyväksytty, se otetaan osaksi EU:n lainsäädäntöä eli se lisätään tariffi- ja tilastonimikkeistöstä ja yhteisestä tullitariffista annetun neuvoston asetuksen (ETY) N:o 2658/87 liitteeseen 1. Tämä johtuu siitä, että mainitun asetuksen 2 artiklan a alakohdassa todetaan seuraavaa: ”2.</w:t>
      </w:r>
      <w:r>
        <w:rPr>
          <w:i/>
          <w:noProof/>
        </w:rPr>
        <w:t> Yhdistettyyn nimikkeistöön sisältyvät: a) harmonoidun järjestelmän nimikkeistö;”.</w:t>
      </w:r>
      <w:r>
        <w:rPr>
          <w:noProof/>
        </w:rPr>
        <w:t xml:space="preserve"> </w:t>
      </w:r>
    </w:p>
    <w:p>
      <w:pPr>
        <w:rPr>
          <w:noProof/>
        </w:rPr>
      </w:pPr>
      <w:r>
        <w:rPr>
          <w:noProof/>
        </w:rPr>
        <w:t>Suunnitellulla säädöksellä ei täydennetä eikä muuteta sopimuksen institutionaalisia rakenteita.</w:t>
      </w:r>
    </w:p>
    <w:p>
      <w:pPr>
        <w:rPr>
          <w:noProof/>
        </w:rPr>
      </w:pPr>
      <w:r>
        <w:rPr>
          <w:noProof/>
        </w:rPr>
        <w:t>Tämän vuoksi ehdotetun päätöksen menettelyllinen oikeusperusta on SEUT-sopimuksen 218 artiklan 9 kohta.</w:t>
      </w:r>
    </w:p>
    <w:p>
      <w:pPr>
        <w:keepNext/>
        <w:tabs>
          <w:tab w:val="left" w:pos="850"/>
        </w:tabs>
        <w:ind w:left="850" w:hanging="850"/>
        <w:outlineLvl w:val="1"/>
        <w:rPr>
          <w:b/>
          <w:noProof/>
        </w:rPr>
      </w:pPr>
      <w:r>
        <w:rPr>
          <w:b/>
          <w:noProof/>
        </w:rPr>
        <w:t>4.2.</w:t>
      </w:r>
      <w:r>
        <w:rPr>
          <w:noProof/>
        </w:rPr>
        <w:tab/>
      </w:r>
      <w:r>
        <w:rPr>
          <w:b/>
          <w:noProof/>
        </w:rPr>
        <w:t>Aineellinen oikeusperusta</w:t>
      </w:r>
    </w:p>
    <w:p>
      <w:pPr>
        <w:keepNext/>
        <w:tabs>
          <w:tab w:val="left" w:pos="850"/>
        </w:tabs>
        <w:ind w:left="850" w:hanging="850"/>
        <w:outlineLvl w:val="2"/>
        <w:rPr>
          <w:i/>
          <w:noProof/>
        </w:rPr>
      </w:pPr>
      <w:r>
        <w:rPr>
          <w:i/>
          <w:noProof/>
        </w:rPr>
        <w:t>4.2.1.</w:t>
      </w:r>
      <w:r>
        <w:rPr>
          <w:noProof/>
        </w:rPr>
        <w:tab/>
      </w:r>
      <w:r>
        <w:rPr>
          <w:i/>
          <w:noProof/>
        </w:rPr>
        <w:t>Periaatteet</w:t>
      </w:r>
    </w:p>
    <w:p>
      <w:pPr>
        <w:rPr>
          <w:noProof/>
        </w:rPr>
      </w:pPr>
      <w:r>
        <w:rPr>
          <w:noProof/>
        </w:rPr>
        <w:t>SEUT-sopimuksen 218 artiklan 9 kohdan nojalla annettavan päätöksen aineellinen oikeusperusta määräytyy ensisijaisesti sen suunnitellun säädöksen tavoitteen ja sisällön perusteella, jota unionin puolesta otettava kanta koskee. Jos suunnitellulla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keepNext/>
        <w:tabs>
          <w:tab w:val="left" w:pos="850"/>
        </w:tabs>
        <w:ind w:left="850" w:hanging="850"/>
        <w:outlineLvl w:val="2"/>
        <w:rPr>
          <w:i/>
          <w:noProof/>
        </w:rPr>
      </w:pPr>
      <w:r>
        <w:rPr>
          <w:i/>
          <w:noProof/>
        </w:rPr>
        <w:t>4.2.2.</w:t>
      </w:r>
      <w:r>
        <w:rPr>
          <w:noProof/>
        </w:rPr>
        <w:tab/>
      </w:r>
      <w:r>
        <w:rPr>
          <w:i/>
          <w:noProof/>
        </w:rPr>
        <w:t>Soveltaminen tässä asiassa</w:t>
      </w:r>
    </w:p>
    <w:p>
      <w:pPr>
        <w:rPr>
          <w:noProof/>
        </w:rPr>
      </w:pPr>
      <w:r>
        <w:rPr>
          <w:noProof/>
        </w:rPr>
        <w:t>Koska suunnitellun säädöksen pääasiallinen tavoite ja sisältö liittyvät tulliliittoon, päätösehdotuksen aineellinen oikeusperusta on SEUT-sopimuksen 28 artiklan 1 kohta.</w:t>
      </w:r>
    </w:p>
    <w:p>
      <w:pPr>
        <w:rPr>
          <w:noProof/>
        </w:rPr>
      </w:pPr>
      <w:r>
        <w:rPr>
          <w:noProof/>
        </w:rPr>
        <w:t>4.3. Päätelmät</w:t>
      </w:r>
    </w:p>
    <w:p>
      <w:pPr>
        <w:rPr>
          <w:noProof/>
        </w:rPr>
      </w:pPr>
      <w:r>
        <w:rPr>
          <w:noProof/>
        </w:rPr>
        <w:t>Ehdotetun päätöksen oikeusperustana tulisi olla SEUT-sopimuksen 28 artiklan 1 kohta yhdessä SEUT-sopimuksen 218 artiklan 9 kohdan kanssa.</w:t>
      </w:r>
    </w:p>
    <w:p>
      <w:pPr>
        <w:keepNext/>
        <w:tabs>
          <w:tab w:val="left" w:pos="850"/>
        </w:tabs>
        <w:spacing w:before="360"/>
        <w:ind w:left="850" w:hanging="850"/>
        <w:outlineLvl w:val="0"/>
        <w:rPr>
          <w:b/>
          <w:smallCaps/>
          <w:noProof/>
        </w:rPr>
      </w:pPr>
      <w:r>
        <w:rPr>
          <w:b/>
          <w:smallCaps/>
          <w:noProof/>
        </w:rPr>
        <w:t>5.</w:t>
      </w:r>
      <w:r>
        <w:rPr>
          <w:noProof/>
        </w:rPr>
        <w:tab/>
      </w:r>
      <w:r>
        <w:rPr>
          <w:b/>
          <w:smallCaps/>
          <w:noProof/>
        </w:rPr>
        <w:t xml:space="preserve">Talousarviovaikutukset </w:t>
      </w:r>
    </w:p>
    <w:p>
      <w:pPr>
        <w:rPr>
          <w:noProof/>
        </w:rPr>
      </w:pPr>
      <w:r>
        <w:rPr>
          <w:noProof/>
        </w:rPr>
        <w:t xml:space="preserve">Ehdotuksella ei ole vaikutuksia Euroopan unionin talousarvioon. </w:t>
      </w:r>
    </w:p>
    <w:p>
      <w:pPr>
        <w:keepNext/>
        <w:tabs>
          <w:tab w:val="left" w:pos="850"/>
        </w:tabs>
        <w:spacing w:before="360"/>
        <w:ind w:left="850" w:hanging="850"/>
        <w:outlineLvl w:val="0"/>
        <w:rPr>
          <w:b/>
          <w:smallCaps/>
          <w:noProof/>
        </w:rPr>
      </w:pPr>
      <w:r>
        <w:rPr>
          <w:b/>
          <w:smallCaps/>
          <w:noProof/>
        </w:rPr>
        <w:t>6.</w:t>
      </w:r>
      <w:r>
        <w:rPr>
          <w:noProof/>
        </w:rPr>
        <w:tab/>
      </w:r>
      <w:r>
        <w:rPr>
          <w:b/>
          <w:smallCaps/>
          <w:noProof/>
        </w:rPr>
        <w:t>Suunnitellun säädöksen julkaiseminen</w:t>
      </w:r>
    </w:p>
    <w:p>
      <w:pPr>
        <w:rPr>
          <w:noProof/>
        </w:rPr>
      </w:pPr>
      <w:r>
        <w:rPr>
          <w:noProof/>
        </w:rPr>
        <w:t>Ei sovelleta.</w:t>
      </w:r>
    </w:p>
    <w:p>
      <w:pPr>
        <w:spacing w:before="0" w:after="0"/>
        <w:ind w:left="5103"/>
        <w:jc w:val="left"/>
        <w:rPr>
          <w:noProof/>
        </w:rPr>
      </w:pPr>
      <w:r>
        <w:rPr>
          <w:noProof/>
        </w:rPr>
        <w:t>2019/</w:t>
      </w:r>
      <w:r>
        <w:rPr>
          <w:noProof/>
          <w:color w:val="FF0000"/>
        </w:rPr>
        <w:t xml:space="preserve">XXX </w:t>
      </w:r>
      <w:r>
        <w:rPr>
          <w:noProof/>
        </w:rPr>
        <w:t>(NLE)</w:t>
      </w:r>
    </w:p>
    <w:p>
      <w:pPr>
        <w:spacing w:before="360" w:after="0"/>
        <w:jc w:val="center"/>
        <w:rPr>
          <w:noProof/>
        </w:rPr>
      </w:pPr>
      <w:r>
        <w:rPr>
          <w:noProof/>
        </w:rPr>
        <w:t>Ehdotus</w:t>
      </w:r>
    </w:p>
    <w:p>
      <w:pPr>
        <w:spacing w:before="360" w:after="0"/>
        <w:jc w:val="center"/>
        <w:rPr>
          <w:b/>
          <w:noProof/>
        </w:rPr>
      </w:pPr>
      <w:r>
        <w:rPr>
          <w:b/>
          <w:noProof/>
        </w:rPr>
        <w:t>NEUVOSTON PÄÄTÖS</w:t>
      </w:r>
    </w:p>
    <w:p>
      <w:pPr>
        <w:spacing w:before="360" w:after="360"/>
        <w:jc w:val="center"/>
        <w:rPr>
          <w:b/>
          <w:noProof/>
        </w:rPr>
      </w:pPr>
      <w:r>
        <w:rPr>
          <w:b/>
          <w:noProof/>
        </w:rPr>
        <w:t>Maailman tullijärjestön neuvostossa Euroopan unionin puolesta otettavasta kannasta harmonoidun järjestelmän muuttamista koskevaan harmonoidun järjestelmän yleissopimuksen 16 artiklan nojalla annettavaan suositukseen</w:t>
      </w:r>
    </w:p>
    <w:p>
      <w:pPr>
        <w:keepNext/>
        <w:spacing w:before="600"/>
        <w:rPr>
          <w:b/>
          <w:noProof/>
        </w:rPr>
      </w:pPr>
      <w:r>
        <w:rPr>
          <w:b/>
          <w:noProof/>
        </w:rPr>
        <w:t>EUROOPAN UNIONIN NEUVOSTO, joka</w:t>
      </w:r>
    </w:p>
    <w:p>
      <w:pPr>
        <w:rPr>
          <w:noProof/>
        </w:rPr>
      </w:pPr>
      <w:r>
        <w:rPr>
          <w:noProof/>
        </w:rPr>
        <w:t>ottaa huomioon Euroopan unionin toiminnasta tehdyn sopimuksen ja erityisesti sen 28 artiklan 1 kohdan yhdessä sen 218 artiklan 9 kohdan kanssa,</w:t>
      </w:r>
    </w:p>
    <w:p>
      <w:pPr>
        <w:rPr>
          <w:noProof/>
        </w:rPr>
      </w:pPr>
      <w:r>
        <w:rPr>
          <w:noProof/>
        </w:rPr>
        <w:t>ottaa huomioon Euroopan komission ehdotuksen,</w:t>
      </w:r>
    </w:p>
    <w:p>
      <w:pPr>
        <w:rPr>
          <w:noProof/>
        </w:rPr>
      </w:pPr>
      <w:r>
        <w:rPr>
          <w:noProof/>
        </w:rPr>
        <w:t>sekä katsoo seuraavaa:</w:t>
      </w:r>
    </w:p>
    <w:p>
      <w:pPr>
        <w:ind w:left="709" w:hanging="709"/>
        <w:rPr>
          <w:noProof/>
        </w:rPr>
      </w:pPr>
      <w:r>
        <w:rPr>
          <w:noProof/>
        </w:rPr>
        <w:t>(1)</w:t>
      </w:r>
      <w:r>
        <w:rPr>
          <w:noProof/>
        </w:rPr>
        <w:tab/>
        <w:t>Unioni teki neuvoston päätöksellä 87/369</w:t>
      </w:r>
      <w:r>
        <w:rPr>
          <w:rStyle w:val="FootnoteReference"/>
          <w:noProof/>
        </w:rPr>
        <w:footnoteReference w:customMarkFollows="1" w:id="6"/>
        <w:t>1</w:t>
      </w:r>
      <w:r>
        <w:rPr>
          <w:noProof/>
        </w:rPr>
        <w:t xml:space="preserve"> kansainvälisen yleissopimuksen harmonoidusta tavarankuvaus- ja koodausjärjestelmästä, jäljempänä ’sopimus’, joka tuli voimaan 1 päivänä tammikuuta 1988. </w:t>
      </w:r>
    </w:p>
    <w:p>
      <w:pPr>
        <w:ind w:left="709" w:hanging="709"/>
        <w:rPr>
          <w:noProof/>
        </w:rPr>
      </w:pPr>
      <w:r>
        <w:rPr>
          <w:noProof/>
        </w:rPr>
        <w:t>(2)</w:t>
      </w:r>
      <w:r>
        <w:rPr>
          <w:noProof/>
        </w:rPr>
        <w:tab/>
        <w:t xml:space="preserve">Sopimuksen 7 artiklan nojalla harmonoidun järjestelmän komitea voi valmistella WCO:n neuvostolle ehdotuksia harmonoidun järjestelmän nimikkeistön muuttamiseksi. Sopimuksen 16 artiklan nojalla WCO:n neuvosto voi suositella tällaisia muutoksia sopimuspuolille.  </w:t>
      </w:r>
    </w:p>
    <w:p>
      <w:pPr>
        <w:ind w:left="709" w:hanging="709"/>
        <w:rPr>
          <w:noProof/>
        </w:rPr>
      </w:pPr>
      <w:r>
        <w:rPr>
          <w:noProof/>
        </w:rPr>
        <w:t>(3)</w:t>
      </w:r>
      <w:r>
        <w:rPr>
          <w:noProof/>
        </w:rPr>
        <w:tab/>
        <w:t>WCO:n neuvoston odotetaan päättävän kesäkuussa pidettävässä istunnossaan sopimuspuolille esitettävästä suosituksesta, joka koskee harmonoidun järjestelmän muuttamista. Tällainen suositus hyväksytään harmonoidun järjestelmän komitean valmisteleman ehdotuksen pohjalta, joka saatiin valmiiksi komitean 19–29 päivänä maaliskuuta 2019 pidetyssä 63. kokouksessa. Se tulee voimaan 1 päivänä helmikuuta 2022.</w:t>
      </w:r>
    </w:p>
    <w:p>
      <w:pPr>
        <w:ind w:left="709" w:hanging="709"/>
        <w:rPr>
          <w:rFonts w:eastAsia="Arial Unicode MS"/>
          <w:noProof/>
        </w:rPr>
      </w:pPr>
      <w:r>
        <w:rPr>
          <w:noProof/>
        </w:rPr>
        <w:t>(4)</w:t>
      </w:r>
      <w:r>
        <w:rPr>
          <w:noProof/>
        </w:rPr>
        <w:tab/>
        <w:t xml:space="preserve">On erittäin tärkeää, että harmonoidun järjestelmän nimikkeistö pidetään ajan tasalla ja että se pysyy kaupan rakenteiden ja uusien teknologioiden kehittymisen tahdissa ja että siinä otetaan huomioon käyttäjien tarpeet mahdollisimman tarkoin. Suositusehdotus sisältää useita muutoksia, joissa otetaan huomioon tarve nykyaikaistaa nimikkeistöä tai mukauttaa se ympäristöönsä. </w:t>
      </w:r>
    </w:p>
    <w:p>
      <w:pPr>
        <w:ind w:left="709" w:hanging="709"/>
        <w:rPr>
          <w:noProof/>
        </w:rPr>
      </w:pPr>
      <w:r>
        <w:rPr>
          <w:noProof/>
        </w:rPr>
        <w:t>(5)</w:t>
      </w:r>
      <w:r>
        <w:rPr>
          <w:noProof/>
        </w:rPr>
        <w:tab/>
        <w:t>Koska mainittu harmonoidun järjestelmän nimikkeistön muuttamista koskeva suositusehdotus edellyttää WCO:n neuvoston hyväksyntää, on aiheellista vahvistaa unionin puolesta otettava kanta, sillä kun suositus on hyväksytty sopimuksen 16 artiklan nojalla, se sitoo unionia ja voi vaikuttaa ratkaisevasti unionin oikeuden sisältöön eli tariffi- ja tilastonimikkeistöstä ja yhteisestä tullitariffista annetun neuvoston asetuksen (ETY) N:o 2658/87</w:t>
      </w:r>
      <w:r>
        <w:rPr>
          <w:rStyle w:val="FootnoteReference"/>
          <w:noProof/>
        </w:rPr>
        <w:footnoteReference w:customMarkFollows="1" w:id="7"/>
        <w:t>2</w:t>
      </w:r>
      <w:r>
        <w:rPr>
          <w:noProof/>
        </w:rPr>
        <w:t xml:space="preserve"> liitteeseen I.</w:t>
      </w:r>
    </w:p>
    <w:p>
      <w:pPr>
        <w:ind w:left="709" w:hanging="709"/>
        <w:rPr>
          <w:noProof/>
        </w:rPr>
      </w:pPr>
      <w:r>
        <w:rPr>
          <w:noProof/>
        </w:rPr>
        <w:t>(6)</w:t>
      </w:r>
      <w:r>
        <w:rPr>
          <w:noProof/>
        </w:rPr>
        <w:tab/>
        <w:t>WCO:ssa otettava EU:n osittainen kanta vahvistettiin jo ennen harmonoidun järjestelmän komitean 63. kokousta</w:t>
      </w:r>
      <w:r>
        <w:rPr>
          <w:rStyle w:val="FootnoteReference"/>
          <w:noProof/>
        </w:rPr>
        <w:footnoteReference w:customMarkFollows="1" w:id="8"/>
        <w:t>3</w:t>
      </w:r>
      <w:r>
        <w:rPr>
          <w:noProof/>
        </w:rPr>
        <w:t>.</w:t>
      </w:r>
    </w:p>
    <w:p>
      <w:pPr>
        <w:ind w:left="709" w:hanging="709"/>
        <w:rPr>
          <w:noProof/>
        </w:rPr>
      </w:pPr>
      <w:r>
        <w:rPr>
          <w:noProof/>
        </w:rPr>
        <w:t>(7)</w:t>
      </w:r>
      <w:r>
        <w:rPr>
          <w:noProof/>
        </w:rPr>
        <w:tab/>
        <w:t>On asianmukaista tukea harmonoidun järjestelmän nimikkeistön muutosluonnosta ja mahdollisia tarpeellisiksi katsottavia pieniä toimituksellisia muutoksia,</w:t>
      </w:r>
    </w:p>
    <w:p>
      <w:pPr>
        <w:keepNext/>
        <w:rPr>
          <w:noProof/>
        </w:rPr>
      </w:pPr>
      <w:r>
        <w:rPr>
          <w:noProof/>
        </w:rPr>
        <w:t>ON HYVÄKSYNYT TÄMÄN PÄÄTÖKSEN:</w:t>
      </w:r>
    </w:p>
    <w:p>
      <w:pPr>
        <w:keepNext/>
        <w:spacing w:before="360"/>
        <w:jc w:val="center"/>
        <w:rPr>
          <w:i/>
          <w:noProof/>
        </w:rPr>
      </w:pPr>
      <w:r>
        <w:rPr>
          <w:i/>
          <w:noProof/>
        </w:rPr>
        <w:t>1 artikla</w:t>
      </w:r>
    </w:p>
    <w:p>
      <w:pPr>
        <w:rPr>
          <w:noProof/>
        </w:rPr>
      </w:pPr>
      <w:r>
        <w:rPr>
          <w:noProof/>
        </w:rPr>
        <w:t>Maailman tullijärjestön neuvoston kesäkuun 2019 istunnoissa unionin puolesta otettavana kantana on tukea harmonoidun järjestelmän muuttamista koskevaa 16 artiklan nojalla annettavaa suositusluonnosta, sellaisena kuin se on asiakirjan NC2626B1b (Report HSC/63/March 2019) liitteessä R.</w:t>
      </w:r>
    </w:p>
    <w:p>
      <w:pPr>
        <w:rPr>
          <w:noProof/>
        </w:rPr>
      </w:pPr>
      <w:r>
        <w:rPr>
          <w:noProof/>
          <w:color w:val="000000"/>
        </w:rPr>
        <w:t>Unionin edustajat voivat sopia, että 16 artiklan nojalla annettavaan suositusluonnokseen tehdään jäsenvaltioita kuullen pieniä toimituksellisia muutoksia tulevien WCO:n neuvoston istuntojen tulosten vuoksi tai että niitä tehdään paikalla järjestettävissä koordinointikokouksissa ilman uutta neuvoston päätöstä.</w:t>
      </w:r>
      <w:r>
        <w:rPr>
          <w:noProof/>
        </w:rPr>
        <w:t xml:space="preserve"> </w:t>
      </w:r>
    </w:p>
    <w:p>
      <w:pPr>
        <w:keepNext/>
        <w:spacing w:before="360"/>
        <w:jc w:val="center"/>
        <w:rPr>
          <w:i/>
          <w:noProof/>
        </w:rPr>
      </w:pPr>
      <w:r>
        <w:rPr>
          <w:i/>
          <w:noProof/>
        </w:rPr>
        <w:t>2 artikla</w:t>
      </w:r>
    </w:p>
    <w:p>
      <w:pPr>
        <w:rPr>
          <w:noProof/>
        </w:rPr>
      </w:pPr>
      <w:r>
        <w:rPr>
          <w:noProof/>
        </w:rPr>
        <w:t>Tämä päätös on osoitettu komissiolle.</w:t>
      </w:r>
    </w:p>
    <w:p>
      <w:pPr>
        <w:keepNext/>
        <w:spacing w:after="0"/>
        <w:rPr>
          <w:noProof/>
        </w:rPr>
      </w:pPr>
      <w:r>
        <w:rPr>
          <w:noProof/>
        </w:rPr>
        <w:t>Tehty Brysselissä</w:t>
      </w:r>
    </w:p>
    <w:p>
      <w:pPr>
        <w:keepNext/>
        <w:tabs>
          <w:tab w:val="left" w:pos="4252"/>
        </w:tabs>
        <w:spacing w:before="720" w:after="0"/>
        <w:rPr>
          <w:i/>
          <w:noProof/>
        </w:rPr>
      </w:pPr>
      <w:r>
        <w:rPr>
          <w:noProof/>
        </w:rPr>
        <w:tab/>
      </w:r>
      <w:r>
        <w:rPr>
          <w:i/>
          <w:noProof/>
        </w:rPr>
        <w:t>Neuvoston puolesta</w:t>
      </w:r>
    </w:p>
    <w:p>
      <w:pPr>
        <w:tabs>
          <w:tab w:val="left" w:pos="4252"/>
        </w:tabs>
        <w:spacing w:before="0" w:after="0"/>
        <w:jc w:val="left"/>
        <w:rPr>
          <w:noProof/>
        </w:rPr>
      </w:pPr>
      <w:r>
        <w:rPr>
          <w:noProof/>
        </w:rPr>
        <w:tab/>
      </w:r>
      <w:r>
        <w:rPr>
          <w:i/>
          <w:noProof/>
        </w:rPr>
        <w:t xml:space="preserve">Puheenjohtaja </w:t>
      </w:r>
    </w:p>
    <w:sectPr>
      <w:footerReference w:type="default" r:id="rId16"/>
      <w:footerReference w:type="first" r:id="rId1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Se otettiin käyttöön vuonna 1988, jonka jälkeen sitä on tarkistettu viisi kertaa. Kyseiset tarkistukset tulivat voimaan vuosina 1996, 2002, 2007, 2012 ja 2017.</w:t>
      </w:r>
    </w:p>
  </w:footnote>
  <w:footnote w:id="2">
    <w:p>
      <w:pPr>
        <w:pStyle w:val="FootnoteText"/>
      </w:pPr>
      <w:r>
        <w:rPr>
          <w:rStyle w:val="FootnoteReference"/>
        </w:rPr>
        <w:footnoteRef/>
      </w:r>
      <w:r>
        <w:tab/>
        <w:t xml:space="preserve">Neuvoston päätös 87/369/ETY, tehty 7 päivänä huhtikuuta 1987, harmonisoitua tavarankuvaus- ja </w:t>
      </w:r>
      <w:r>
        <w:noBreakHyphen/>
        <w:t>koodausjärjestelmää koskevan kansainvälisen yleissopimuksen ja siihen liittyvän muutospöytäkirjan hyväksymisestä (EYVL L 198, 20.7.1987, s. 1).</w:t>
      </w:r>
    </w:p>
  </w:footnote>
  <w:footnote w:id="3">
    <w:p>
      <w:pPr>
        <w:pStyle w:val="FootnoteText"/>
        <w:ind w:left="142" w:hanging="142"/>
      </w:pPr>
      <w:r>
        <w:rPr>
          <w:rStyle w:val="FootnoteReference"/>
        </w:rPr>
        <w:footnoteRef/>
      </w:r>
      <w:r>
        <w:tab/>
        <w:t>ST 7138 2019 INIT, neuvoston päätös Maailman tullijärjestössä Euroopan unionin puolesta otettavasta kannasta harmonoituun järjestelmään.</w:t>
      </w:r>
    </w:p>
  </w:footnote>
  <w:footnote w:id="4">
    <w:p>
      <w:pPr>
        <w:pStyle w:val="FootnoteText"/>
        <w:ind w:left="142" w:hanging="153"/>
      </w:pPr>
      <w:r>
        <w:rPr>
          <w:rStyle w:val="FootnoteReference"/>
        </w:rPr>
        <w:footnoteRef/>
      </w:r>
      <w:r>
        <w:tab/>
        <w:t>ST 7208 2019 ADD 1, neuvoston päätös Maailman tullijärjestössä Euroopan unionin puolesta otettavasta kannasta harmonoituun järjestelmään - Hyväksyminen - Komission lausuma.</w:t>
      </w:r>
    </w:p>
  </w:footnote>
  <w:footnote w:id="5">
    <w:p>
      <w:pPr>
        <w:pStyle w:val="FootnoteText"/>
        <w:ind w:left="142" w:hanging="153"/>
      </w:pPr>
      <w:r>
        <w:rPr>
          <w:rStyle w:val="FootnoteReference"/>
        </w:rPr>
        <w:footnoteRef/>
      </w:r>
      <w:r>
        <w:rPr>
          <w:rStyle w:val="FootnoteReference"/>
        </w:rPr>
        <w:tab/>
      </w:r>
      <w:r>
        <w:t xml:space="preserve">Euroopan unionin tuomioistuimen tuomio 7.10.2014, Saksa v. neuvosto, C-399/12, ECLI:EU:C:2014:2258, 61–64 kohta. </w:t>
      </w:r>
    </w:p>
  </w:footnote>
  <w:footnote w:id="6">
    <w:p>
      <w:pPr>
        <w:pStyle w:val="FootnoteText"/>
      </w:pPr>
      <w:r>
        <w:rPr>
          <w:rStyle w:val="FootnoteReference"/>
        </w:rPr>
        <w:t>1</w:t>
      </w:r>
      <w:r>
        <w:tab/>
        <w:t>Neuvoston päätös 87/369/ETY, tehty 7 päivänä huhtikuuta 1987, harmonisoitua tavarankuvaus- ja -koodausjärjestelmää koskevan kansainvälisen yleissopimuksen ja siihen liittyvän muutospöytäkirjan hyväksymisestä (EYVL L 198, 20.7.1987, s. 1).</w:t>
      </w:r>
    </w:p>
  </w:footnote>
  <w:footnote w:id="7">
    <w:p>
      <w:pPr>
        <w:pStyle w:val="FootnoteText"/>
      </w:pPr>
      <w:r>
        <w:rPr>
          <w:rStyle w:val="FootnoteReference"/>
        </w:rPr>
        <w:t>2</w:t>
      </w:r>
      <w:r>
        <w:tab/>
        <w:t>Neuvoston asetus (ETY) N:o 2658/87, annettu 23 päivänä heinäkuuta 1987, tariffi- ja tilastonimikkeistöstä ja yhteisestä tullitariffista (EYVL L 256, 7.9.1987, s. 1).</w:t>
      </w:r>
    </w:p>
  </w:footnote>
  <w:footnote w:id="8">
    <w:p>
      <w:pPr>
        <w:pStyle w:val="FootnoteText"/>
      </w:pPr>
      <w:r>
        <w:rPr>
          <w:rStyle w:val="FootnoteReference"/>
        </w:rPr>
        <w:t>3</w:t>
      </w:r>
      <w:r>
        <w:tab/>
        <w:t>ST 7138 2019 INIT, neuvoston päätös Maailman tullijärjestössä Euroopan unionin puolesta otettavasta kannasta harmonoituun järjestelmään. ST 7208 2019 ADD 1, neuvoston päätös Maailman tullijärjestössä Euroopan unionin puolesta otettavasta kannasta harmonoituun järjestelmään - Hyväksyminen - Komission lausuma.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7A72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22ED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DCC2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9C1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AA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E08CEFD2"/>
    <w:lvl w:ilvl="0">
      <w:start w:val="1"/>
      <w:numFmt w:val="decimal"/>
      <w:pStyle w:val="ListNumber"/>
      <w:lvlText w:val="%1."/>
      <w:lvlJc w:val="left"/>
      <w:pPr>
        <w:tabs>
          <w:tab w:val="num" w:pos="360"/>
        </w:tabs>
        <w:ind w:left="360" w:hanging="360"/>
      </w:pPr>
    </w:lvl>
  </w:abstractNum>
  <w:abstractNum w:abstractNumId="6">
    <w:nsid w:val="FFFFFF89"/>
    <w:multiLevelType w:val="singleLevel"/>
    <w:tmpl w:val="29F61EB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18"/>
    <w:lvlOverride w:ilvl="0">
      <w:startOverride w:val="1"/>
    </w:lvlOverride>
  </w:num>
  <w:num w:numId="10">
    <w:abstractNumId w:val="14"/>
    <w:lvlOverride w:ilvl="0">
      <w:startOverride w:val="1"/>
    </w:lvlOverride>
  </w:num>
  <w:num w:numId="11">
    <w:abstractNumId w:val="11"/>
  </w:num>
  <w:num w:numId="12">
    <w:abstractNumId w:val="18"/>
    <w:lvlOverride w:ilvl="0">
      <w:startOverride w:val="1"/>
    </w:lvlOverride>
  </w:num>
  <w:num w:numId="13">
    <w:abstractNumId w:val="18"/>
  </w:num>
  <w:num w:numId="14">
    <w:abstractNumId w:val="12"/>
  </w:num>
  <w:num w:numId="15">
    <w:abstractNumId w:val="20"/>
  </w:num>
  <w:num w:numId="16">
    <w:abstractNumId w:val="10"/>
  </w:num>
  <w:num w:numId="17">
    <w:abstractNumId w:val="13"/>
  </w:num>
  <w:num w:numId="18">
    <w:abstractNumId w:val="8"/>
  </w:num>
  <w:num w:numId="19">
    <w:abstractNumId w:val="19"/>
  </w:num>
  <w:num w:numId="20">
    <w:abstractNumId w:val="7"/>
  </w:num>
  <w:num w:numId="21">
    <w:abstractNumId w:val="14"/>
  </w:num>
  <w:num w:numId="22">
    <w:abstractNumId w:val="16"/>
  </w:num>
  <w:num w:numId="23">
    <w:abstractNumId w:val="17"/>
  </w:num>
  <w:num w:numId="24">
    <w:abstractNumId w:val="9"/>
  </w:num>
  <w:num w:numId="25">
    <w:abstractNumId w:val="15"/>
  </w:num>
  <w:num w:numId="26">
    <w:abstractNumId w:val="22"/>
  </w:num>
  <w:num w:numId="27">
    <w:abstractNumId w:val="18"/>
  </w:num>
  <w:num w:numId="28">
    <w:abstractNumId w:val="12"/>
  </w:num>
  <w:num w:numId="29">
    <w:abstractNumId w:val="20"/>
  </w:num>
  <w:num w:numId="30">
    <w:abstractNumId w:val="10"/>
  </w:num>
  <w:num w:numId="31">
    <w:abstractNumId w:val="13"/>
  </w:num>
  <w:num w:numId="32">
    <w:abstractNumId w:val="8"/>
  </w:num>
  <w:num w:numId="33">
    <w:abstractNumId w:val="19"/>
  </w:num>
  <w:num w:numId="34">
    <w:abstractNumId w:val="7"/>
  </w:num>
  <w:num w:numId="35">
    <w:abstractNumId w:val="14"/>
  </w:num>
  <w:num w:numId="36">
    <w:abstractNumId w:val="16"/>
  </w:num>
  <w:num w:numId="37">
    <w:abstractNumId w:val="17"/>
  </w:num>
  <w:num w:numId="38">
    <w:abstractNumId w:val="9"/>
  </w:num>
  <w:num w:numId="39">
    <w:abstractNumId w:val="15"/>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7 10:36:06"/>
    <w:docVar w:name="DQCResult_Distribution" w:val="0;0"/>
    <w:docVar w:name="DQCResult_DocumentContent" w:val="0;0"/>
    <w:docVar w:name="DQCResult_DocumentSize" w:val="0;0"/>
    <w:docVar w:name="DQCResult_DocumentVersions" w:val="0;0"/>
    <w:docVar w:name="DQCResult_InvalidFootnotes" w:val="0;3"/>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E5B610A9-DA3C-4F02-932A-935016AE94F5"/>
    <w:docVar w:name="LW_COVERPAGE_TYPE" w:val="1"/>
    <w:docVar w:name="LW_CROSSREFERENCE" w:val="&lt;UNUSED&gt;"/>
    <w:docVar w:name="LW_DocType" w:val="COM"/>
    <w:docVar w:name="LW_EMISSION" w:val="3.6.2019"/>
    <w:docVar w:name="LW_EMISSION_ISODATE" w:val="2019-06-03"/>
    <w:docVar w:name="LW_EMISSION_LOCATION" w:val="BRX"/>
    <w:docVar w:name="LW_EMISSION_PREFIX" w:val="Bry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Maailman tullijärjestön neuvostossa Euroopan unionin puolesta otettavasta kannasta harmonoidun järjestelmän muuttamista koskevaan harmonoidun järjestelmän yleissopimuksen 16 artiklan nojalla annettavaan suositukseen"/>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656">
      <w:bodyDiv w:val="1"/>
      <w:marLeft w:val="0"/>
      <w:marRight w:val="0"/>
      <w:marTop w:val="0"/>
      <w:marBottom w:val="0"/>
      <w:divBdr>
        <w:top w:val="none" w:sz="0" w:space="0" w:color="auto"/>
        <w:left w:val="none" w:sz="0" w:space="0" w:color="auto"/>
        <w:bottom w:val="none" w:sz="0" w:space="0" w:color="auto"/>
        <w:right w:val="none" w:sz="0" w:space="0" w:color="auto"/>
      </w:divBdr>
      <w:divsChild>
        <w:div w:id="1581325626">
          <w:marLeft w:val="0"/>
          <w:marRight w:val="0"/>
          <w:marTop w:val="0"/>
          <w:marBottom w:val="0"/>
          <w:divBdr>
            <w:top w:val="none" w:sz="0" w:space="0" w:color="auto"/>
            <w:left w:val="none" w:sz="0" w:space="0" w:color="auto"/>
            <w:bottom w:val="none" w:sz="0" w:space="0" w:color="auto"/>
            <w:right w:val="none" w:sz="0" w:space="0" w:color="auto"/>
          </w:divBdr>
        </w:div>
        <w:div w:id="1447892907">
          <w:marLeft w:val="0"/>
          <w:marRight w:val="0"/>
          <w:marTop w:val="0"/>
          <w:marBottom w:val="0"/>
          <w:divBdr>
            <w:top w:val="none" w:sz="0" w:space="0" w:color="auto"/>
            <w:left w:val="none" w:sz="0" w:space="0" w:color="auto"/>
            <w:bottom w:val="none" w:sz="0" w:space="0" w:color="auto"/>
            <w:right w:val="none" w:sz="0" w:space="0" w:color="auto"/>
          </w:divBdr>
        </w:div>
      </w:divsChild>
    </w:div>
    <w:div w:id="648749548">
      <w:bodyDiv w:val="1"/>
      <w:marLeft w:val="0"/>
      <w:marRight w:val="0"/>
      <w:marTop w:val="0"/>
      <w:marBottom w:val="0"/>
      <w:divBdr>
        <w:top w:val="none" w:sz="0" w:space="0" w:color="auto"/>
        <w:left w:val="none" w:sz="0" w:space="0" w:color="auto"/>
        <w:bottom w:val="none" w:sz="0" w:space="0" w:color="auto"/>
        <w:right w:val="none" w:sz="0" w:space="0" w:color="auto"/>
      </w:divBdr>
    </w:div>
    <w:div w:id="721291991">
      <w:bodyDiv w:val="1"/>
      <w:marLeft w:val="0"/>
      <w:marRight w:val="0"/>
      <w:marTop w:val="0"/>
      <w:marBottom w:val="0"/>
      <w:divBdr>
        <w:top w:val="none" w:sz="0" w:space="0" w:color="auto"/>
        <w:left w:val="none" w:sz="0" w:space="0" w:color="auto"/>
        <w:bottom w:val="none" w:sz="0" w:space="0" w:color="auto"/>
        <w:right w:val="none" w:sz="0" w:space="0" w:color="auto"/>
      </w:divBdr>
    </w:div>
    <w:div w:id="1211305809">
      <w:bodyDiv w:val="1"/>
      <w:marLeft w:val="0"/>
      <w:marRight w:val="0"/>
      <w:marTop w:val="0"/>
      <w:marBottom w:val="0"/>
      <w:divBdr>
        <w:top w:val="none" w:sz="0" w:space="0" w:color="auto"/>
        <w:left w:val="none" w:sz="0" w:space="0" w:color="auto"/>
        <w:bottom w:val="none" w:sz="0" w:space="0" w:color="auto"/>
        <w:right w:val="none" w:sz="0" w:space="0" w:color="auto"/>
      </w:divBdr>
      <w:divsChild>
        <w:div w:id="1765494187">
          <w:marLeft w:val="0"/>
          <w:marRight w:val="0"/>
          <w:marTop w:val="0"/>
          <w:marBottom w:val="0"/>
          <w:divBdr>
            <w:top w:val="none" w:sz="0" w:space="0" w:color="auto"/>
            <w:left w:val="none" w:sz="0" w:space="0" w:color="auto"/>
            <w:bottom w:val="none" w:sz="0" w:space="0" w:color="auto"/>
            <w:right w:val="none" w:sz="0" w:space="0" w:color="auto"/>
          </w:divBdr>
        </w:div>
        <w:div w:id="1173301576">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sChild>
    </w:div>
    <w:div w:id="1296329896">
      <w:bodyDiv w:val="1"/>
      <w:marLeft w:val="0"/>
      <w:marRight w:val="0"/>
      <w:marTop w:val="0"/>
      <w:marBottom w:val="0"/>
      <w:divBdr>
        <w:top w:val="none" w:sz="0" w:space="0" w:color="auto"/>
        <w:left w:val="none" w:sz="0" w:space="0" w:color="auto"/>
        <w:bottom w:val="none" w:sz="0" w:space="0" w:color="auto"/>
        <w:right w:val="none" w:sz="0" w:space="0" w:color="auto"/>
      </w:divBdr>
    </w:div>
    <w:div w:id="1564607662">
      <w:bodyDiv w:val="1"/>
      <w:marLeft w:val="0"/>
      <w:marRight w:val="0"/>
      <w:marTop w:val="0"/>
      <w:marBottom w:val="0"/>
      <w:divBdr>
        <w:top w:val="none" w:sz="0" w:space="0" w:color="auto"/>
        <w:left w:val="none" w:sz="0" w:space="0" w:color="auto"/>
        <w:bottom w:val="none" w:sz="0" w:space="0" w:color="auto"/>
        <w:right w:val="none" w:sz="0" w:space="0" w:color="auto"/>
      </w:divBdr>
    </w:div>
    <w:div w:id="1801651571">
      <w:bodyDiv w:val="1"/>
      <w:marLeft w:val="0"/>
      <w:marRight w:val="0"/>
      <w:marTop w:val="0"/>
      <w:marBottom w:val="0"/>
      <w:divBdr>
        <w:top w:val="none" w:sz="0" w:space="0" w:color="auto"/>
        <w:left w:val="none" w:sz="0" w:space="0" w:color="auto"/>
        <w:bottom w:val="none" w:sz="0" w:space="0" w:color="auto"/>
        <w:right w:val="none" w:sz="0" w:space="0" w:color="auto"/>
      </w:divBdr>
    </w:div>
    <w:div w:id="2043048399">
      <w:bodyDiv w:val="1"/>
      <w:marLeft w:val="0"/>
      <w:marRight w:val="0"/>
      <w:marTop w:val="0"/>
      <w:marBottom w:val="0"/>
      <w:divBdr>
        <w:top w:val="none" w:sz="0" w:space="0" w:color="auto"/>
        <w:left w:val="none" w:sz="0" w:space="0" w:color="auto"/>
        <w:bottom w:val="none" w:sz="0" w:space="0" w:color="auto"/>
        <w:right w:val="none" w:sz="0" w:space="0" w:color="auto"/>
      </w:divBdr>
      <w:divsChild>
        <w:div w:id="173081647">
          <w:marLeft w:val="0"/>
          <w:marRight w:val="0"/>
          <w:marTop w:val="0"/>
          <w:marBottom w:val="0"/>
          <w:divBdr>
            <w:top w:val="none" w:sz="0" w:space="0" w:color="auto"/>
            <w:left w:val="none" w:sz="0" w:space="0" w:color="auto"/>
            <w:bottom w:val="none" w:sz="0" w:space="0" w:color="auto"/>
            <w:right w:val="none" w:sz="0" w:space="0" w:color="auto"/>
          </w:divBdr>
        </w:div>
        <w:div w:id="293950752">
          <w:marLeft w:val="0"/>
          <w:marRight w:val="0"/>
          <w:marTop w:val="0"/>
          <w:marBottom w:val="0"/>
          <w:divBdr>
            <w:top w:val="none" w:sz="0" w:space="0" w:color="auto"/>
            <w:left w:val="none" w:sz="0" w:space="0" w:color="auto"/>
            <w:bottom w:val="none" w:sz="0" w:space="0" w:color="auto"/>
            <w:right w:val="none" w:sz="0" w:space="0" w:color="auto"/>
          </w:divBdr>
        </w:div>
        <w:div w:id="1103844438">
          <w:marLeft w:val="0"/>
          <w:marRight w:val="0"/>
          <w:marTop w:val="0"/>
          <w:marBottom w:val="0"/>
          <w:divBdr>
            <w:top w:val="none" w:sz="0" w:space="0" w:color="auto"/>
            <w:left w:val="none" w:sz="0" w:space="0" w:color="auto"/>
            <w:bottom w:val="none" w:sz="0" w:space="0" w:color="auto"/>
            <w:right w:val="none" w:sz="0" w:space="0" w:color="auto"/>
          </w:divBdr>
        </w:div>
      </w:divsChild>
    </w:div>
    <w:div w:id="2076972413">
      <w:bodyDiv w:val="1"/>
      <w:marLeft w:val="0"/>
      <w:marRight w:val="0"/>
      <w:marTop w:val="0"/>
      <w:marBottom w:val="0"/>
      <w:divBdr>
        <w:top w:val="none" w:sz="0" w:space="0" w:color="auto"/>
        <w:left w:val="none" w:sz="0" w:space="0" w:color="auto"/>
        <w:bottom w:val="none" w:sz="0" w:space="0" w:color="auto"/>
        <w:right w:val="none" w:sz="0" w:space="0" w:color="auto"/>
      </w:divBdr>
      <w:divsChild>
        <w:div w:id="785738253">
          <w:marLeft w:val="0"/>
          <w:marRight w:val="0"/>
          <w:marTop w:val="0"/>
          <w:marBottom w:val="0"/>
          <w:divBdr>
            <w:top w:val="none" w:sz="0" w:space="0" w:color="auto"/>
            <w:left w:val="none" w:sz="0" w:space="0" w:color="auto"/>
            <w:bottom w:val="none" w:sz="0" w:space="0" w:color="auto"/>
            <w:right w:val="none" w:sz="0" w:space="0" w:color="auto"/>
          </w:divBdr>
        </w:div>
        <w:div w:id="634289064">
          <w:marLeft w:val="0"/>
          <w:marRight w:val="0"/>
          <w:marTop w:val="0"/>
          <w:marBottom w:val="0"/>
          <w:divBdr>
            <w:top w:val="none" w:sz="0" w:space="0" w:color="auto"/>
            <w:left w:val="none" w:sz="0" w:space="0" w:color="auto"/>
            <w:bottom w:val="none" w:sz="0" w:space="0" w:color="auto"/>
            <w:right w:val="none" w:sz="0" w:space="0" w:color="auto"/>
          </w:divBdr>
        </w:div>
        <w:div w:id="24923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33EBB4-07AA-4B6A-BDC0-7EE2AFDC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1517</Words>
  <Characters>12492</Characters>
  <Application>Microsoft Office Word</Application>
  <DocSecurity>0</DocSecurity>
  <Lines>215</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15</cp:revision>
  <cp:lastPrinted>2019-05-21T15:14:00Z</cp:lastPrinted>
  <dcterms:created xsi:type="dcterms:W3CDTF">2019-06-05T08:09:00Z</dcterms:created>
  <dcterms:modified xsi:type="dcterms:W3CDTF">2019-06-07T08:36:00Z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