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9FD7E5A-07A0-4B6B-9100-BEC9BE40ED3F" style="width:450.75pt;height:36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2019/0129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στο πλαίσιο του Συμβουλίου του Παγκόσμιου Οργανισμού Τελωνείων όσον αφορά σύσταση του ΠΟΤ βάσει του άρθρου 16 για την τροποποίηση του Εναρμονισμένου Συστήματος</w:t>
      </w:r>
    </w:p>
    <w:p>
      <w:pPr>
        <w:jc w:val="center"/>
        <w:rPr>
          <w:b/>
          <w:noProof/>
          <w:u w:val="single"/>
        </w:rPr>
      </w:pPr>
      <w:r>
        <w:rPr>
          <w:b/>
          <w:noProof/>
          <w:u w:val="single"/>
        </w:rPr>
        <w:t>ΑΙΤΙΟΛΟΓΙΚΗ ΕΚΘΕΣΗ</w:t>
      </w:r>
    </w:p>
    <w:p>
      <w:pPr>
        <w:keepNext/>
        <w:tabs>
          <w:tab w:val="left" w:pos="850"/>
        </w:tabs>
        <w:spacing w:before="360"/>
        <w:ind w:left="850" w:hanging="850"/>
        <w:outlineLvl w:val="0"/>
        <w:rPr>
          <w:b/>
          <w:smallCaps/>
          <w:noProof/>
        </w:rPr>
      </w:pPr>
      <w:r>
        <w:rPr>
          <w:b/>
          <w:smallCaps/>
          <w:noProof/>
        </w:rPr>
        <w:t>1.</w:t>
      </w:r>
      <w:r>
        <w:rPr>
          <w:noProof/>
        </w:rPr>
        <w:tab/>
      </w:r>
      <w:r>
        <w:rPr>
          <w:b/>
          <w:smallCaps/>
          <w:noProof/>
        </w:rPr>
        <w:t>Αντικείμενο της πρότασης</w:t>
      </w:r>
    </w:p>
    <w:p>
      <w:pPr>
        <w:rPr>
          <w:rFonts w:eastAsia="Arial Unicode MS"/>
          <w:noProof/>
        </w:rPr>
      </w:pPr>
      <w:r>
        <w:rPr>
          <w:noProof/>
        </w:rPr>
        <w:t>Η παρούσα πρόταση αφορά την απόφαση για τον καθορισμό της θέσης που πρέπει να ληφθεί εξ ονόματος της Ένωσης στο πλαίσιο του Συμβουλίου του Παγκόσμιου Οργανισμού Τελωνείων σε σχέση με την προβλεπόμενη έγκριση σχεδίου σύστασης το οποίο αφορά την τροποποίηση της ονοματολογίας του Εναρμονισμένου Συστήματος (ΕΣ).</w:t>
      </w:r>
    </w:p>
    <w:p>
      <w:pPr>
        <w:keepNext/>
        <w:tabs>
          <w:tab w:val="left" w:pos="850"/>
        </w:tabs>
        <w:spacing w:before="360"/>
        <w:ind w:left="850" w:hanging="850"/>
        <w:outlineLvl w:val="0"/>
        <w:rPr>
          <w:b/>
          <w:smallCaps/>
          <w:noProof/>
        </w:rPr>
      </w:pPr>
      <w:r>
        <w:rPr>
          <w:b/>
          <w:smallCaps/>
          <w:noProof/>
        </w:rPr>
        <w:t>2.</w:t>
      </w:r>
      <w:r>
        <w:rPr>
          <w:noProof/>
        </w:rPr>
        <w:tab/>
      </w:r>
      <w:r>
        <w:rPr>
          <w:b/>
          <w:smallCaps/>
          <w:noProof/>
        </w:rPr>
        <w:t>Πλαίσιο της πρότασης</w:t>
      </w:r>
    </w:p>
    <w:p>
      <w:pPr>
        <w:keepNext/>
        <w:tabs>
          <w:tab w:val="left" w:pos="850"/>
        </w:tabs>
        <w:ind w:left="850" w:hanging="850"/>
        <w:outlineLvl w:val="1"/>
        <w:rPr>
          <w:b/>
          <w:noProof/>
        </w:rPr>
      </w:pPr>
      <w:r>
        <w:rPr>
          <w:b/>
          <w:noProof/>
        </w:rPr>
        <w:t>2.1.</w:t>
      </w:r>
      <w:r>
        <w:rPr>
          <w:noProof/>
        </w:rPr>
        <w:tab/>
      </w:r>
      <w:r>
        <w:rPr>
          <w:b/>
          <w:noProof/>
        </w:rPr>
        <w:t>Η διεθνής σύμβαση για το εναρμονισμένο σύστημα περιγραφής και κωδικοποίησης εμπορευμάτων</w:t>
      </w:r>
    </w:p>
    <w:p>
      <w:pPr>
        <w:rPr>
          <w:rFonts w:eastAsia="Arial Unicode MS"/>
          <w:noProof/>
        </w:rPr>
      </w:pPr>
      <w:r>
        <w:rPr>
          <w:noProof/>
        </w:rPr>
        <w:t>Η διεθνής σύμβαση για το εναρμονισμένο σύστημα περιγραφής και κωδικοποίησης των εμπορευμάτων («η συμφωνία») έχει ως στόχο να διευκολύνει το διεθνές εμπόριο και τη συλλογή, τη σύγκριση και την ανάλυση στατιστικών στοιχείων, ιδίως εκείνων που αφορούν το διεθνές εμπόριο. Περιλαμβάνει ως παράρτημα την ονοματολογία του ΕΣ, η οποία είναι ένα διεθνές εναρμονισμένο σύστημα που επιτρέπει στις συμμετέχουσες χώρες να κατατάσσουν επί κοινής βάσεως τα εμπορεύματα που αποτελούν αντικείμενο συναλλαγών, για δασμολογικούς σκοπούς. Ειδικότερα, η ονοματολογία του ΕΣ περιλαμβάνει την περιγραφή των εμπορευμάτων, τα οποία κατατάσσονται σε κλάσεις και διακρίσεις, και τους σχετικούς αριθμητικούς κωδικούς τους, με βάση ένα σύστημα εξαψήφιων κωδικών. Η ονοματολογία του ΕΣ αναθεωρείται ανά πενταετία</w:t>
      </w:r>
      <w:r>
        <w:rPr>
          <w:rStyle w:val="FootnoteReference"/>
          <w:noProof/>
        </w:rPr>
        <w:footnoteReference w:id="1"/>
      </w:r>
      <w:r>
        <w:rPr>
          <w:noProof/>
        </w:rPr>
        <w:t xml:space="preserve"> και εφαρμόζεται από περισσότερες των 190 τελωνειακών διοικήσεων παγκοσμίως. Κατά συνέπεια, πάνω από το 98 % του συνόλου των εμπορευμάτων που αποτελούν αντικείμενο εμπορικών συναλλαγών στον κόσμο κατατάσσονται βάσει της ονοματολογίας αυτής. </w:t>
      </w:r>
    </w:p>
    <w:p>
      <w:pPr>
        <w:rPr>
          <w:rFonts w:eastAsia="Arial Unicode MS"/>
          <w:noProof/>
        </w:rPr>
      </w:pPr>
      <w:r>
        <w:rPr>
          <w:noProof/>
        </w:rPr>
        <w:t>Η συμφωνία τέθηκε σε ισχύ την 1η Ιανουαρίου 1988.</w:t>
      </w:r>
    </w:p>
    <w:p>
      <w:pPr>
        <w:rPr>
          <w:rFonts w:eastAsia="Arial Unicode MS"/>
          <w:noProof/>
        </w:rPr>
      </w:pPr>
      <w:r>
        <w:rPr>
          <w:noProof/>
        </w:rPr>
        <w:t>Η Ευρωπαϊκή Ένωση και όλα τα κράτη μέλη είναι συμβαλλόμενα μέρη της συμφωνίας</w:t>
      </w:r>
      <w:r>
        <w:rPr>
          <w:rStyle w:val="FootnoteReference"/>
          <w:noProof/>
        </w:rPr>
        <w:footnoteReference w:id="2"/>
      </w:r>
      <w:r>
        <w:rPr>
          <w:noProof/>
        </w:rPr>
        <w:t>.</w:t>
      </w:r>
    </w:p>
    <w:p>
      <w:pPr>
        <w:keepNext/>
        <w:tabs>
          <w:tab w:val="left" w:pos="850"/>
        </w:tabs>
        <w:ind w:left="850" w:hanging="850"/>
        <w:outlineLvl w:val="1"/>
        <w:rPr>
          <w:b/>
          <w:noProof/>
        </w:rPr>
      </w:pPr>
      <w:r>
        <w:rPr>
          <w:b/>
          <w:noProof/>
        </w:rPr>
        <w:t>2.2.</w:t>
      </w:r>
      <w:r>
        <w:rPr>
          <w:noProof/>
        </w:rPr>
        <w:tab/>
      </w:r>
      <w:r>
        <w:rPr>
          <w:b/>
          <w:noProof/>
        </w:rPr>
        <w:t>Ο Παγκόσμιος Οργανισμός Τελωνείων (ΠΟΤ)</w:t>
      </w:r>
    </w:p>
    <w:p>
      <w:pPr>
        <w:rPr>
          <w:rFonts w:eastAsia="Arial Unicode MS"/>
          <w:noProof/>
        </w:rPr>
      </w:pPr>
      <w:r>
        <w:rPr>
          <w:noProof/>
        </w:rPr>
        <w:t>Ο Παγκόσμιος Οργανισμός Τελωνείων (ΠΟΤ), που ιδρύθηκε το 1952 ως Συμβούλιο Τελωνειακής Συνεργασίας, είναι ανεξάρτητος διακυβερνητικός οργανισμός που έχει ως αποστολή να ενισχύει την αποτελεσματικότητα και την αποδοτικότητα των τελωνειακών διοικήσεων. Ο ΠΟΤ προσφέρει στα μέλη του μια σειρά από συμβάσεις και άλλα διεθνή μέσα, καθώς και υπηρεσίες τεχνικής βοήθειας και κατάρτισης. Σήμερα, ο ΠΟΤ εκπροσωπεί 182 τελωνειακές διοικήσεις σε όλο τον κόσμο.</w:t>
      </w:r>
    </w:p>
    <w:p>
      <w:pPr>
        <w:rPr>
          <w:rFonts w:eastAsia="Arial Unicode MS"/>
          <w:noProof/>
        </w:rPr>
      </w:pPr>
      <w:r>
        <w:rPr>
          <w:noProof/>
        </w:rPr>
        <w:t xml:space="preserve">Το διευθυντικό όργανο του ΠΟΤ είναι το Συμβούλιο, το οποίο στηρίζεται στη Γραμματεία και σε μια σειρά τεχνικών και συμβουλευτικών επιτροπών για την εκπλήρωση της αποστολής του. </w:t>
      </w:r>
    </w:p>
    <w:p>
      <w:pPr>
        <w:rPr>
          <w:rFonts w:eastAsiaTheme="majorEastAsia"/>
          <w:bCs/>
          <w:noProof/>
          <w:szCs w:val="26"/>
        </w:rPr>
      </w:pPr>
      <w:r>
        <w:rPr>
          <w:noProof/>
        </w:rPr>
        <w:t>Η τεχνική επιτροπή του ΠΟΤ που είναι επιφορτισμένη με τις προπαρασκευαστικές εργασίες που σχετίζονται με τη συμφωνία είναι η Επιτροπή του ΕΣ. Τα κυριότερα καθήκοντα της Επιτροπής του ΕΣ είναι τα εξής:</w:t>
      </w:r>
    </w:p>
    <w:p>
      <w:pPr>
        <w:pStyle w:val="Bullet0"/>
        <w:numPr>
          <w:ilvl w:val="0"/>
          <w:numId w:val="10"/>
        </w:numPr>
        <w:rPr>
          <w:noProof/>
        </w:rPr>
      </w:pPr>
      <w:r>
        <w:rPr>
          <w:noProof/>
        </w:rPr>
        <w:t xml:space="preserve">να διασφαλίζει την ομοιόμορφη ερμηνεία και εφαρμογή των νομικών κειμένων του Εναρμονισμένου Συστήματος, μεταξύ άλλων με την επίλυση των διαφορών σχετικά με την κατάταξη των εμπορευμάτων μεταξύ των συμβαλλόμενων μερών, ώστε να διευκολύνεται το εμπόριο· </w:t>
      </w:r>
    </w:p>
    <w:p>
      <w:pPr>
        <w:pStyle w:val="Bullet0"/>
        <w:rPr>
          <w:noProof/>
        </w:rPr>
      </w:pPr>
      <w:r>
        <w:rPr>
          <w:noProof/>
        </w:rPr>
        <w:t xml:space="preserve">να προτείνει τροποποιήσεις και επικαιροποιήσεις του Εναρμονισμένου Συστήματος ώστε να λαμβάνονται υπόψη οι τεχνολογικές εξελίξεις και οι αλλαγές στις εμπορικές πρακτικές, καθώς και άλλες ανάγκες των χρηστών του Εναρμονισμένου Συστήματος· </w:t>
      </w:r>
    </w:p>
    <w:p>
      <w:pPr>
        <w:pStyle w:val="Bullet0"/>
        <w:rPr>
          <w:noProof/>
        </w:rPr>
      </w:pPr>
      <w:r>
        <w:rPr>
          <w:noProof/>
        </w:rPr>
        <w:t>να προωθεί την ευρεία εφαρμογή του Εναρμονισμένου Συστήματος και να εξετάζει γενικά θέματα και θέματα πολιτικής που το αφορούν.</w:t>
      </w:r>
    </w:p>
    <w:p>
      <w:pPr>
        <w:ind w:left="720"/>
        <w:contextualSpacing/>
        <w:rPr>
          <w:rFonts w:eastAsiaTheme="majorEastAsia"/>
          <w:bCs/>
          <w:noProof/>
          <w:szCs w:val="26"/>
        </w:rPr>
      </w:pPr>
    </w:p>
    <w:p>
      <w:pPr>
        <w:rPr>
          <w:rFonts w:eastAsiaTheme="majorEastAsia"/>
          <w:bCs/>
          <w:noProof/>
          <w:szCs w:val="26"/>
        </w:rPr>
      </w:pPr>
      <w:r>
        <w:rPr>
          <w:noProof/>
        </w:rPr>
        <w:t>Το Συμβούλιο του ΠΟΤ εξετάζει προτάσεις για τροποποιήσεις της συμφωνίας, τις οποίες επεξεργάζεται η Επιτροπή του ΕΣ, και μπορεί να εισηγηθεί στα συμβαλλόμενα μέρη την έγκρισή τους. Οι τροποποιήσεις τις οποίες εισηγείται το Συμβούλιο του ΠΟΤ θεωρείται ότι έχουν γίνει δεκτές εάν κανένα συμβαλλόμενο μέρος δεν διατυπώσει αντίρρηση εντός έξι μηνών από την κοινοποίησή τους σε αυτά.</w:t>
      </w:r>
    </w:p>
    <w:p>
      <w:pPr>
        <w:rPr>
          <w:rFonts w:eastAsiaTheme="majorEastAsia"/>
          <w:bCs/>
          <w:noProof/>
          <w:szCs w:val="26"/>
        </w:rPr>
      </w:pPr>
      <w:r>
        <w:rPr>
          <w:noProof/>
        </w:rPr>
        <w:t>Οι θέσεις που πρέπει να λάβει η Ένωση στο πλαίσιο του ΠΟΤ όσον αφορά το ΕΣ αποφασίζονται σε συντονισμό με τα κράτη μέλη. Η Ένωση και τα κράτη μέλη της έχουν από κοινού μία μόνο ψήφο στο Συμβούλιο του ΠΟΤ.</w:t>
      </w:r>
    </w:p>
    <w:p>
      <w:pPr>
        <w:keepNext/>
        <w:tabs>
          <w:tab w:val="left" w:pos="850"/>
        </w:tabs>
        <w:ind w:left="850" w:hanging="850"/>
        <w:outlineLvl w:val="1"/>
        <w:rPr>
          <w:b/>
          <w:noProof/>
        </w:rPr>
      </w:pPr>
      <w:r>
        <w:rPr>
          <w:b/>
          <w:noProof/>
        </w:rPr>
        <w:t>2.3.</w:t>
      </w:r>
      <w:r>
        <w:rPr>
          <w:noProof/>
        </w:rPr>
        <w:tab/>
      </w:r>
      <w:r>
        <w:rPr>
          <w:b/>
          <w:noProof/>
        </w:rPr>
        <w:t>Η προβλεπόμενη πράξη του Συμβουλίου του ΠΟΤ</w:t>
      </w:r>
    </w:p>
    <w:p>
      <w:pPr>
        <w:rPr>
          <w:rFonts w:eastAsia="Arial Unicode MS"/>
          <w:noProof/>
        </w:rPr>
      </w:pPr>
      <w:r>
        <w:rPr>
          <w:noProof/>
        </w:rPr>
        <w:t>Κατά την 133</w:t>
      </w:r>
      <w:r>
        <w:rPr>
          <w:noProof/>
          <w:vertAlign w:val="superscript"/>
        </w:rPr>
        <w:t>η</w:t>
      </w:r>
      <w:r>
        <w:rPr>
          <w:noProof/>
        </w:rPr>
        <w:t>και την 134</w:t>
      </w:r>
      <w:r>
        <w:rPr>
          <w:noProof/>
          <w:vertAlign w:val="superscript"/>
        </w:rPr>
        <w:t>η</w:t>
      </w:r>
      <w:r>
        <w:rPr>
          <w:noProof/>
        </w:rPr>
        <w:t xml:space="preserve"> σύνοδό του (27-29 Ιουνίου 2019), το Συμβούλιο του ΠΟΤ πρόκειται να εγκρίνει τη σύσταση σχετικά με τις τροποποιήσεις της ονοματολογίας του ΕΣ, κατ’ εφαρμογή του άρθρου 16 της σύμβασης του ΕΣ («η προβλεπόμενη πράξη»). Η αναθεωρημένη ονοματολογία του ΕΣ θα αρχίσει να ισχύει το 2022.</w:t>
      </w:r>
    </w:p>
    <w:p>
      <w:pPr>
        <w:rPr>
          <w:rFonts w:eastAsia="Arial Unicode MS"/>
          <w:noProof/>
        </w:rPr>
      </w:pPr>
      <w:r>
        <w:rPr>
          <w:noProof/>
        </w:rPr>
        <w:t xml:space="preserve">Η σύσταση εκπονήθηκε κατά τη διάρκεια της εξηκοστής τρίτης συνόδου της Επιτροπής του ΕΣ, από τις 19 έως τις 29 Μαρτίου 2019. </w:t>
      </w:r>
    </w:p>
    <w:p>
      <w:pPr>
        <w:rPr>
          <w:rFonts w:eastAsia="Arial Unicode MS"/>
          <w:noProof/>
        </w:rPr>
      </w:pPr>
      <w:r>
        <w:rPr>
          <w:noProof/>
        </w:rPr>
        <w:t>Το σχέδιο σύστασης περιλαμβάνει 355 σειρές τροποποιήσεων στην ονοματολογία του ΕΣ, σκοπός των οποίων είναι να αποτυπώσουν την εξέλιξη των εμπορικών πρακτικών, την ανάπτυξη νέων τεχνολογιών και την ανάγκη εκσυγχρονισμού ή προσαρμογής της ονοματολογίας στο περιβάλλον της. Ειδικότερα, οι προτεινόμενες τροποποιήσεις:</w:t>
      </w:r>
    </w:p>
    <w:p>
      <w:pPr>
        <w:pStyle w:val="Tiret0"/>
        <w:numPr>
          <w:ilvl w:val="0"/>
          <w:numId w:val="12"/>
        </w:numPr>
        <w:rPr>
          <w:noProof/>
        </w:rPr>
      </w:pPr>
      <w:r>
        <w:rPr>
          <w:noProof/>
        </w:rPr>
        <w:t>απλουστεύουν την ονοματολογία απαλείφοντας κλάσεις και διακρίσεις με χαμηλό όγκο εμπορικών συναλλαγών, διατηρώντας με τον τρόπο αυτόν το ΕΣ επικαιροποιημένο και προσαρμοσμένο στην εξέλιξη των προϊόντων.</w:t>
      </w:r>
    </w:p>
    <w:p>
      <w:pPr>
        <w:pStyle w:val="ListParagraph"/>
        <w:rPr>
          <w:rFonts w:eastAsia="Arial Unicode MS"/>
          <w:noProof/>
        </w:rPr>
      </w:pPr>
    </w:p>
    <w:p>
      <w:pPr>
        <w:pStyle w:val="Tiret0"/>
        <w:rPr>
          <w:noProof/>
        </w:rPr>
      </w:pPr>
      <w:r>
        <w:rPr>
          <w:noProof/>
        </w:rPr>
        <w:t>διευκολύνουν την κατάταξη σύμφωνα με τα ισχύοντα διεθνή πρότυπα, ή λαμβάνοντας υπόψη νέα προϊόντα ή την εξέλιξη της σύνθεσης των προϊόντων (προϊόντα κυτταρικής θεραπείας, εκτυπωτές 3D, επίπεδες οθόνες, γιαούρτια, προϊόντα διατροφής από έντομα, παρθένα ελαιόλαδα, νέα προϊόντα καπνού, μη επανδρωμένα αεροσκάφη, ημιαγωγοί και μετατροπείς, κ.λπ.).</w:t>
      </w:r>
    </w:p>
    <w:p>
      <w:pPr>
        <w:pStyle w:val="ListParagraph"/>
        <w:rPr>
          <w:rFonts w:eastAsia="Arial Unicode MS"/>
          <w:noProof/>
        </w:rPr>
      </w:pPr>
    </w:p>
    <w:p>
      <w:pPr>
        <w:pStyle w:val="Tiret0"/>
        <w:rPr>
          <w:noProof/>
        </w:rPr>
      </w:pPr>
      <w:r>
        <w:rPr>
          <w:noProof/>
        </w:rPr>
        <w:t>εναρμονίζουν τη γαλλική και την αγγλική έκδοση της ονοματολογίας, ώστε να εξασφαλιστεί η ομοιόμορφη εφαρμογή και να μειωθούν οι υπάρχουσες ή οι πιθανές αποκλίσεις όσον αφορά την κατάταξη.</w:t>
      </w:r>
    </w:p>
    <w:p>
      <w:pPr>
        <w:pStyle w:val="ListParagraph"/>
        <w:rPr>
          <w:rFonts w:eastAsia="Arial Unicode MS"/>
          <w:noProof/>
        </w:rPr>
      </w:pPr>
    </w:p>
    <w:p>
      <w:pPr>
        <w:pStyle w:val="Tiret0"/>
        <w:rPr>
          <w:noProof/>
        </w:rPr>
      </w:pPr>
      <w:r>
        <w:rPr>
          <w:noProof/>
        </w:rPr>
        <w:t>διευκολύνουν την καταπολέμηση της απάτης και του παράνομου εμπορίου και την προστασία της υγείας και του περιβάλλοντος με τη δημιουργία κλάσεων και διακρίσεων σε διάφορους τομείς (συνθετικά διαμάντια, χημικά, πολιτιστικά αγαθά, φαιντανύλη, απόβλητα, κ.λπ.).</w:t>
      </w:r>
    </w:p>
    <w:p>
      <w:pPr>
        <w:rPr>
          <w:rFonts w:eastAsia="Arial Unicode MS"/>
          <w:noProof/>
        </w:rPr>
      </w:pPr>
      <w:r>
        <w:rPr>
          <w:noProof/>
        </w:rPr>
        <w:t>Προτάσεις υποβλήθηκαν από διεθνείς οργανισμούς (διαδικασία Κίμπερλυ, FAO, συμβάσεις της Βασιλείας και του Ρότερνταμ, διεθνές συμβούλιο ελαιολάδου, κ.λπ.), από τα συμβαλλόμενα μέρη και από τη Γραμματεία του ΠΟΤ. Μεταξύ αυτών περιλαμβάνονται διάφορες προτάσεις που υπέβαλε η ΕΕ (π.χ. φωτοευαίσθητες και θερμοευαίσθητες πλάκες, λαμιναρισμένα υφάσματα, φουσκωτά σκάφη, ηλεκτρονικά υφάσματα, ίνες υάλου, 3D εκτυπωτές, πυρίμαχα κεραμικά, πρέσες σφυρηλασίας, γιαούρτι, σημείωση 3 στο κεφάλαιο 27, εύκαμπτα μολύβια).</w:t>
      </w:r>
    </w:p>
    <w:p>
      <w:pPr>
        <w:rPr>
          <w:rFonts w:eastAsia="Arial Unicode MS"/>
          <w:noProof/>
        </w:rPr>
      </w:pPr>
      <w:r>
        <w:rPr>
          <w:noProof/>
        </w:rPr>
        <w:t>Το σχέδιο σύστασης περιλαμβάνεται ως παράρτημα ΙΗ στην έκθεση της 63</w:t>
      </w:r>
      <w:r>
        <w:rPr>
          <w:noProof/>
          <w:vertAlign w:val="superscript"/>
        </w:rPr>
        <w:t>ης</w:t>
      </w:r>
      <w:r>
        <w:rPr>
          <w:noProof/>
        </w:rPr>
        <w:t xml:space="preserve"> συνεδρίασης της επιτροπής του ΕΣ, η οποία διεξήχθη τον Μάρτιο του 2019 (έγγρ. NC2626B1b-HSC/63/March 2019).</w:t>
      </w:r>
    </w:p>
    <w:p>
      <w:pPr>
        <w:keepNext/>
        <w:tabs>
          <w:tab w:val="left" w:pos="850"/>
        </w:tabs>
        <w:spacing w:before="360"/>
        <w:ind w:left="850" w:hanging="850"/>
        <w:outlineLvl w:val="0"/>
        <w:rPr>
          <w:b/>
          <w:smallCaps/>
          <w:noProof/>
        </w:rPr>
      </w:pPr>
      <w:r>
        <w:rPr>
          <w:b/>
          <w:smallCaps/>
          <w:noProof/>
        </w:rPr>
        <w:t>3.</w:t>
      </w:r>
      <w:r>
        <w:rPr>
          <w:noProof/>
        </w:rPr>
        <w:tab/>
      </w:r>
      <w:r>
        <w:rPr>
          <w:b/>
          <w:smallCaps/>
          <w:noProof/>
        </w:rPr>
        <w:t>Θέση που πρέπει να ληφθεί εξ ονόματος της Ένωσης</w:t>
      </w:r>
    </w:p>
    <w:p>
      <w:pPr>
        <w:rPr>
          <w:noProof/>
        </w:rPr>
      </w:pPr>
      <w:r>
        <w:rPr>
          <w:noProof/>
        </w:rPr>
        <w:t>Στόχος της προτεινόμενης θέσης είναι να εκφραστεί η στήριξη του σχεδίου τροποποίησης της ονοματολογίας του ΕΣ.</w:t>
      </w:r>
    </w:p>
    <w:p>
      <w:pPr>
        <w:rPr>
          <w:noProof/>
        </w:rPr>
      </w:pPr>
      <w:r>
        <w:rPr>
          <w:noProof/>
        </w:rPr>
        <w:t>Είναι σημαντικό για την ΕΕ να εγκριθεί η εν λόγω σύσταση, καθώς αποσκοπεί στην επικαιροποίηση και τον εκσυγχρονισμό της ονοματολογίας του ΕΣ και στην απλούστευση και διευκόλυνση της κατάταξης των προϊόντων. Είναι επίσης σημαντικό να σημειωθεί ότι η ΕΕ ήταν ένας από τους σημαντικότερους συντελεστές αυτής της προσπάθειας εκσυγχρονισμού, δεδομένου ότι υπέβαλε μεγάλο μέρος των προτάσεων στο πλαίσιο αυτού του κύκλου επανεξέτασης.</w:t>
      </w:r>
    </w:p>
    <w:p>
      <w:pPr>
        <w:rPr>
          <w:noProof/>
        </w:rPr>
      </w:pPr>
      <w:r>
        <w:rPr>
          <w:noProof/>
        </w:rPr>
        <w:t>Διαβουλεύσεις διεξάγονταν σε συνεχή βάση με τα κράτη μέλη στο πλαίσιο της ομάδας εμπειρογνωμόνων για τελωνειακά θέματα (συντονισμός ΕΣ/ΠΟΤ), στο πλαίσιο του Συμβουλίου και, κατά περίπτωση, με τις υπηρεσίες της Επιτροπής.</w:t>
      </w:r>
    </w:p>
    <w:p>
      <w:pPr>
        <w:rPr>
          <w:noProof/>
        </w:rPr>
      </w:pPr>
      <w:r>
        <w:rPr>
          <w:noProof/>
        </w:rPr>
        <w:t>Όσον αφορά την τροποποίηση σχετικά με τα νέα προϊόντα καπνού, η θέση της ΕΕ θεσπίστηκε με απόφαση του Συμβουλίου πριν από την ανωτέρω συνεδρίαση της Επιτροπής του ΕΣ</w:t>
      </w:r>
      <w:r>
        <w:rPr>
          <w:rStyle w:val="FootnoteReference"/>
          <w:noProof/>
        </w:rPr>
        <w:footnoteReference w:id="3"/>
      </w:r>
      <w:r>
        <w:rPr>
          <w:noProof/>
        </w:rPr>
        <w:t>. Δεδομένου ότι η απόφαση του Συμβουλίου αποκλίνει από την πρόταση της Επιτροπής, η Επιτροπή προέβη σε δήλωση</w:t>
      </w:r>
      <w:r>
        <w:rPr>
          <w:rStyle w:val="FootnoteReference"/>
          <w:noProof/>
        </w:rPr>
        <w:footnoteReference w:id="4"/>
      </w:r>
      <w:r>
        <w:rPr>
          <w:noProof/>
        </w:rPr>
        <w:t>, υπενθυμίζοντας τις εργασίες που διεξάγονται επί του παρόντος από τη σύμβαση-πλαίσιο του ΠΟΥ για τον έλεγχο του καπνού σχετικά με τη φύση των εκπομπών που παράγονται από τα νέα προϊόντα καπνού, και ότι τα αποτελέσματα ενδέχεται να χρειαστεί να αντιμετωπιστούν σε μεταγενέστερο στάδιο, εάν υπάρξουν νέα στοιχεία για την εκτίμηση των αντικειμενικών χαρακτηριστικών και ιδιοτήτων των εν λόγω προϊόντων για τελωνειακούς σκοπούς.</w:t>
      </w:r>
    </w:p>
    <w:p>
      <w:pPr>
        <w:rPr>
          <w:noProof/>
        </w:rPr>
      </w:pPr>
      <w:r>
        <w:rPr>
          <w:noProof/>
        </w:rPr>
        <w:t>Η προτεινόμενη θέση έχει ως εξής:</w:t>
      </w:r>
    </w:p>
    <w:p>
      <w:pPr>
        <w:pStyle w:val="Tiret0"/>
        <w:numPr>
          <w:ilvl w:val="0"/>
          <w:numId w:val="9"/>
        </w:numPr>
        <w:ind w:left="851" w:hanging="851"/>
        <w:rPr>
          <w:noProof/>
        </w:rPr>
      </w:pPr>
      <w:r>
        <w:rPr>
          <w:noProof/>
        </w:rPr>
        <w:t>Όσον αφορά τη σύσταση, η Ένωση θα πρέπει να υποστηρίξει την έγκρισή της.</w:t>
      </w:r>
    </w:p>
    <w:p>
      <w:pPr>
        <w:pStyle w:val="Tiret0"/>
        <w:rPr>
          <w:noProof/>
        </w:rPr>
      </w:pPr>
      <w:r>
        <w:rPr>
          <w:noProof/>
        </w:rPr>
        <w:t>Ενδεχομένως, η Ένωση θα πρέπει επίσης να υποστηρίξει περαιτέρω συντακτικές τροποποιήσεις που ενδεχομένως προταθούν από τη Γραμματεία του ΠΟΤ.</w:t>
      </w:r>
    </w:p>
    <w:p>
      <w:pPr>
        <w:rPr>
          <w:noProof/>
        </w:rPr>
      </w:pPr>
      <w:r>
        <w:rPr>
          <w:noProof/>
        </w:rPr>
        <w:t xml:space="preserve">Η προτεινόμενη θέση της ΕΕ συνάδει με την καθιερωμένη τελωνειακή πολιτική και τη νομολογία του Δικαστηρίου της Ευρωπαϊκής Ένωσης για την κατάταξη των εμπορευμάτων κατά την εισαγωγή τους βάσει των αντικειμενικών χαρακτηριστικών και των ιδιοτήτων τους. </w:t>
      </w:r>
    </w:p>
    <w:p>
      <w:pPr>
        <w:rPr>
          <w:noProof/>
        </w:rPr>
      </w:pPr>
      <w:r>
        <w:rPr>
          <w:noProof/>
        </w:rPr>
        <w:t xml:space="preserve">Η προτεινόμενη θέση είναι αναγκαία ώστε να είναι η ΕΕ σε θέση να εκφράσει τη γνώμη της στην επόμενη συνεδρίαση του Συμβουλίου του ΠΟΤ. </w:t>
      </w:r>
    </w:p>
    <w:p>
      <w:pPr>
        <w:keepNext/>
        <w:tabs>
          <w:tab w:val="left" w:pos="850"/>
        </w:tabs>
        <w:spacing w:before="360"/>
        <w:ind w:left="850" w:hanging="850"/>
        <w:outlineLvl w:val="0"/>
        <w:rPr>
          <w:b/>
          <w:smallCaps/>
          <w:noProof/>
        </w:rPr>
      </w:pPr>
      <w:r>
        <w:rPr>
          <w:b/>
          <w:smallCaps/>
          <w:noProof/>
        </w:rPr>
        <w:t>4.</w:t>
      </w:r>
      <w:r>
        <w:rPr>
          <w:noProof/>
        </w:rPr>
        <w:tab/>
      </w:r>
      <w:r>
        <w:rPr>
          <w:b/>
          <w:smallCaps/>
          <w:noProof/>
        </w:rPr>
        <w:t>Νομική βάση</w:t>
      </w:r>
    </w:p>
    <w:p>
      <w:pPr>
        <w:keepNext/>
        <w:tabs>
          <w:tab w:val="left" w:pos="850"/>
        </w:tabs>
        <w:ind w:left="850" w:hanging="850"/>
        <w:outlineLvl w:val="2"/>
        <w:rPr>
          <w:i/>
          <w:noProof/>
        </w:rPr>
      </w:pPr>
      <w:r>
        <w:rPr>
          <w:i/>
          <w:noProof/>
        </w:rPr>
        <w:t>4.1.1.</w:t>
      </w:r>
      <w:r>
        <w:rPr>
          <w:noProof/>
        </w:rPr>
        <w:tab/>
      </w:r>
      <w:r>
        <w:rPr>
          <w:i/>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εν λόγω όργανο. Περιλαμβάνει επίσης πράξεις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5"/>
      </w:r>
      <w:r>
        <w:rPr>
          <w:noProof/>
        </w:rPr>
        <w:t>.</w:t>
      </w:r>
    </w:p>
    <w:p>
      <w:pPr>
        <w:rPr>
          <w:noProof/>
        </w:rPr>
      </w:pPr>
      <w:r>
        <w:rPr>
          <w:noProof/>
        </w:rPr>
        <w:t>Ως εκ τούτου, η διαδικαστική νομική βάση της προτεινόμενης απόφασης για τον καθορισμό της θέσης που πρέπει να ληφθεί εξ ονόματος της Ένωσης και αφορά την προβλεπόμενη πράξη είναι το άρθρο 218 παράγραφος 9 της ΣΛΕΕ.</w:t>
      </w:r>
    </w:p>
    <w:p>
      <w:pPr>
        <w:keepNext/>
        <w:tabs>
          <w:tab w:val="left" w:pos="850"/>
        </w:tabs>
        <w:ind w:left="850" w:hanging="850"/>
        <w:outlineLvl w:val="2"/>
        <w:rPr>
          <w:i/>
          <w:noProof/>
        </w:rPr>
      </w:pPr>
      <w:r>
        <w:rPr>
          <w:i/>
          <w:noProof/>
        </w:rPr>
        <w:t>4.1.2.</w:t>
      </w:r>
      <w:r>
        <w:rPr>
          <w:noProof/>
        </w:rPr>
        <w:tab/>
      </w:r>
      <w:r>
        <w:rPr>
          <w:i/>
          <w:noProof/>
        </w:rPr>
        <w:t>Εφαρμογή στην προκειμένη περίπτωση</w:t>
      </w:r>
    </w:p>
    <w:p>
      <w:pPr>
        <w:rPr>
          <w:noProof/>
        </w:rPr>
      </w:pPr>
      <w:r>
        <w:rPr>
          <w:noProof/>
        </w:rPr>
        <w:t>Το Συμβούλιο του ΠΟΤ είναι όργανο που έχει συσταθεί με συμφωνία, δηλαδή τη σύμβαση για τη σύσταση Συμβουλίου Τελωνειακής Συνεργασίας της 15ης Δεκεμβρίου 1950. Είναι ο αρμόδιος φορέας, δυνάμει της διεθνούς σύμβασης για το εναρμονισμένο σύστημα περιγραφής και κωδικοποίησης των εμπορευμάτων, για την έκδοση συστάσεων προς τα συμβαλλόμενα μέρη για την τροποποίηση της εν λόγω σύμβασης.</w:t>
      </w:r>
    </w:p>
    <w:p>
      <w:pPr>
        <w:rPr>
          <w:noProof/>
        </w:rPr>
      </w:pPr>
      <w:r>
        <w:rPr>
          <w:noProof/>
        </w:rPr>
        <w:t>Το Συμβούλιο του ΠΟΤ αναμένεται, σύμφωνα με το άρθρο 16 της σύμβασης του ΕΣ, να εισηγηθεί στα συμβαλλόμενα μέρη του ΕΣ τροποποίηση του παραρτήματος της εν λόγω σύμβασης (η ονοματολογία του ΕΣ) στη συνεδρίασή του του Ιουνίου, η οποία θα θεωρηθεί αποδεκτή εντός έξι μηνών, εκτός αν κάποιο από τα συμβαλλόμενα μέρη προβάλει αντιρρήσεις. Οι εγκριθείσες τροποποιήσεις είναι δεσμευτικές βάσει του διεθνούς δικαίου για όλα τα συμβαλλόμενα μέρη μόλις τεθούν σε ισχύ και η δασμολογική/στατιστική ονοματολογία κάθε συμβαλλόμενου μέρους πρέπει να είναι σύμφωνη με το τροποποιημένο Εναρμονισμένο Σύστημα. Μετά την έγκρισή της, η σύσταση θα ενσωματωθεί στη νομοθεσία της ΕΕ, και συγκεκριμένα: στο παράρτημα 1 του κανονισμού (ΕΟΚ) αριθ. 2658/87 του Συμβουλίου για τη δασμολογική και στατιστική ονοματολογία και το κοινό δασμολόγιο, δεδομένου ότι το άρθρο 2 στοιχείο α) του εν λόγω κανονισμού ορίζει:</w:t>
      </w:r>
      <w:r>
        <w:rPr>
          <w:i/>
          <w:noProof/>
        </w:rPr>
        <w:t xml:space="preserve"> « 2.  Η συνδυασμένη ονοματολογία περιλαμβάνει: α) την ονοματολογία του εναρμονισμένου συστήματος·»</w:t>
      </w:r>
      <w:r>
        <w:rPr>
          <w:noProof/>
        </w:rPr>
        <w:t xml:space="preserve"> </w:t>
      </w:r>
    </w:p>
    <w:p>
      <w:pPr>
        <w:rPr>
          <w:noProof/>
        </w:rPr>
      </w:pPr>
      <w:r>
        <w:rPr>
          <w:noProof/>
        </w:rPr>
        <w:t>Η προβλεπόμενη πράξη δεν συμπληρώνει ούτε τροποποιεί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keepNext/>
        <w:tabs>
          <w:tab w:val="left" w:pos="850"/>
        </w:tabs>
        <w:ind w:left="850" w:hanging="850"/>
        <w:outlineLvl w:val="1"/>
        <w:rPr>
          <w:b/>
          <w:noProof/>
        </w:rPr>
      </w:pPr>
      <w:r>
        <w:rPr>
          <w:b/>
          <w:noProof/>
        </w:rPr>
        <w:t>4.2.</w:t>
      </w:r>
      <w:r>
        <w:rPr>
          <w:noProof/>
        </w:rPr>
        <w:tab/>
      </w:r>
      <w:r>
        <w:rPr>
          <w:b/>
          <w:noProof/>
        </w:rPr>
        <w:t>Ουσιαστική νομική βάση</w:t>
      </w:r>
    </w:p>
    <w:p>
      <w:pPr>
        <w:keepNext/>
        <w:tabs>
          <w:tab w:val="left" w:pos="850"/>
        </w:tabs>
        <w:ind w:left="850" w:hanging="850"/>
        <w:outlineLvl w:val="2"/>
        <w:rPr>
          <w:i/>
          <w:noProof/>
        </w:rPr>
      </w:pPr>
      <w:r>
        <w:rPr>
          <w:i/>
          <w:noProof/>
        </w:rPr>
        <w:t>4.2.1.</w:t>
      </w:r>
      <w:r>
        <w:rPr>
          <w:noProof/>
        </w:rPr>
        <w:tab/>
      </w:r>
      <w:r>
        <w:rPr>
          <w:i/>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προβλεπόμενη πράξη επιδιώκει διττό σκοπό ή έχει δύο συνιστώσες και εάν ένας από τους σκοπούς ή μία από τις συνιστώσες μπορεί να χαρακτηριστεί ως ο/η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εκείνη που επιβάλλει ο/η κύριος/-α ή πρωτεύων/-ουσα σκοπός ή συνιστώσα.</w:t>
      </w:r>
    </w:p>
    <w:p>
      <w:pPr>
        <w:keepNext/>
        <w:tabs>
          <w:tab w:val="left" w:pos="850"/>
        </w:tabs>
        <w:ind w:left="850" w:hanging="850"/>
        <w:outlineLvl w:val="2"/>
        <w:rPr>
          <w:i/>
          <w:noProof/>
        </w:rPr>
      </w:pPr>
      <w:r>
        <w:rPr>
          <w:i/>
          <w:noProof/>
        </w:rPr>
        <w:t>4.2.2.</w:t>
      </w:r>
      <w:r>
        <w:rPr>
          <w:noProof/>
        </w:rPr>
        <w:tab/>
      </w:r>
      <w:r>
        <w:rPr>
          <w:i/>
          <w:noProof/>
        </w:rPr>
        <w:t>Εφαρμογή στην προκειμένη περίπτωση</w:t>
      </w:r>
    </w:p>
    <w:p>
      <w:pPr>
        <w:rPr>
          <w:noProof/>
        </w:rPr>
      </w:pPr>
      <w:r>
        <w:rPr>
          <w:noProof/>
        </w:rPr>
        <w:t>Δεδομένου ότι ο κύριος στόχος και το περιεχόμενο της προβλεπόμενης πράξης αφορούν την τελωνειακή ένωση, η ουσιαστική νομική βάση της προτεινόμενης απόφασης είναι το άρθρο 28 παράγραφος 1 της ΣΛΕΕ.</w:t>
      </w:r>
    </w:p>
    <w:p>
      <w:pPr>
        <w:rPr>
          <w:noProof/>
        </w:rPr>
      </w:pPr>
      <w:r>
        <w:rPr>
          <w:noProof/>
        </w:rPr>
        <w:t>4.3. Συμπέρασμα</w:t>
      </w:r>
    </w:p>
    <w:p>
      <w:pPr>
        <w:rPr>
          <w:noProof/>
        </w:rPr>
      </w:pPr>
      <w:r>
        <w:rPr>
          <w:noProof/>
        </w:rPr>
        <w:t>Το άρθρο 28 παράγραφος 1 της ΣΛΕΕ, σε συνδυασμό με το άρθρο 218 παράγραφος 9 της ΣΛΕΕ, θα πρέπει να αποτελέσει τη νομική βάση της προτεινόμενης απόφασης.</w:t>
      </w:r>
    </w:p>
    <w:p>
      <w:pPr>
        <w:keepNext/>
        <w:tabs>
          <w:tab w:val="left" w:pos="850"/>
        </w:tabs>
        <w:spacing w:before="360"/>
        <w:ind w:left="850" w:hanging="850"/>
        <w:outlineLvl w:val="0"/>
        <w:rPr>
          <w:b/>
          <w:smallCaps/>
          <w:noProof/>
        </w:rPr>
      </w:pPr>
      <w:r>
        <w:rPr>
          <w:b/>
          <w:smallCaps/>
          <w:noProof/>
        </w:rPr>
        <w:t>5.</w:t>
      </w:r>
      <w:r>
        <w:rPr>
          <w:noProof/>
        </w:rPr>
        <w:tab/>
      </w:r>
      <w:r>
        <w:rPr>
          <w:b/>
          <w:smallCaps/>
          <w:noProof/>
        </w:rPr>
        <w:t xml:space="preserve">Δημοσιονομικές επιπτώσεις </w:t>
      </w:r>
    </w:p>
    <w:p>
      <w:pPr>
        <w:rPr>
          <w:noProof/>
        </w:rPr>
      </w:pPr>
      <w:r>
        <w:rPr>
          <w:noProof/>
        </w:rPr>
        <w:t xml:space="preserve">Η πρόταση δεν έχει καμία επίπτωση στον προϋπολογισμό της Ευρωπαϊκής Ένωσης. </w:t>
      </w:r>
    </w:p>
    <w:p>
      <w:pPr>
        <w:keepNext/>
        <w:tabs>
          <w:tab w:val="left" w:pos="850"/>
        </w:tabs>
        <w:spacing w:before="360"/>
        <w:ind w:left="850" w:hanging="850"/>
        <w:outlineLvl w:val="0"/>
        <w:rPr>
          <w:b/>
          <w:smallCaps/>
          <w:noProof/>
        </w:rPr>
      </w:pPr>
      <w:r>
        <w:rPr>
          <w:b/>
          <w:smallCaps/>
          <w:noProof/>
        </w:rPr>
        <w:t>6.</w:t>
      </w:r>
      <w:r>
        <w:rPr>
          <w:noProof/>
        </w:rPr>
        <w:tab/>
      </w:r>
      <w:r>
        <w:rPr>
          <w:b/>
          <w:smallCaps/>
          <w:noProof/>
        </w:rPr>
        <w:t>Δημοσίευση της προβλεπόμενης πράξης</w:t>
      </w:r>
    </w:p>
    <w:p>
      <w:pPr>
        <w:rPr>
          <w:noProof/>
        </w:rPr>
      </w:pPr>
      <w:r>
        <w:rPr>
          <w:noProof/>
        </w:rPr>
        <w:t>Καμία</w:t>
      </w:r>
    </w:p>
    <w:p>
      <w:pPr>
        <w:spacing w:before="0" w:after="200" w:line="276" w:lineRule="auto"/>
        <w:jc w:val="left"/>
        <w:rPr>
          <w:noProof/>
        </w:rPr>
      </w:pPr>
      <w:r>
        <w:rPr>
          <w:noProof/>
        </w:rPr>
        <w:br w:type="page"/>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Πρόταση</w:t>
      </w:r>
    </w:p>
    <w:p>
      <w:pPr>
        <w:spacing w:before="360" w:after="0"/>
        <w:jc w:val="center"/>
        <w:rPr>
          <w:b/>
          <w:noProof/>
        </w:rPr>
      </w:pPr>
      <w:r>
        <w:rPr>
          <w:b/>
          <w:noProof/>
        </w:rPr>
        <w:t>ΑΠΟΦΑΣΗ ΤΟΥ ΣΥΜΒΟΥΛΙΟΥ</w:t>
      </w:r>
    </w:p>
    <w:p>
      <w:pPr>
        <w:spacing w:before="360" w:after="360"/>
        <w:jc w:val="center"/>
        <w:rPr>
          <w:b/>
          <w:noProof/>
        </w:rPr>
      </w:pPr>
      <w:r>
        <w:rPr>
          <w:b/>
          <w:noProof/>
        </w:rPr>
        <w:t>σχετικά με τη θέση που πρέπει να ληφθεί εξ ονόματος της Ευρωπαϊκής Ένωσης στο πλαίσιο του Συμβουλίου του Παγκόσμιου Οργανισμού Τελωνείων όσον αφορά σύσταση του ΠΟΤ βάσει του άρθρου 16 για την τροποποίηση του Εναρμονισμένου Συστήματος</w:t>
      </w:r>
    </w:p>
    <w:p>
      <w:pPr>
        <w:keepNext/>
        <w:spacing w:before="600"/>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28 παράγραφος 1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ind w:left="709" w:hanging="709"/>
        <w:rPr>
          <w:noProof/>
        </w:rPr>
      </w:pPr>
      <w:r>
        <w:rPr>
          <w:noProof/>
        </w:rPr>
        <w:t>(1)</w:t>
      </w:r>
      <w:r>
        <w:rPr>
          <w:noProof/>
        </w:rPr>
        <w:tab/>
        <w:t>Η διεθνής σύμβαση για το εναρμονισμένο σύστημα περιγραφής και κωδικοποίησης των εμπορευμάτων («η συμφωνία»), η οποία συνήφθη από την Ένωση με την απόφαση 87/369 του Συμβουλίου</w:t>
      </w:r>
      <w:r>
        <w:rPr>
          <w:rStyle w:val="FootnoteReference"/>
          <w:noProof/>
        </w:rPr>
        <w:footnoteReference w:customMarkFollows="1" w:id="6"/>
        <w:t>1</w:t>
      </w:r>
      <w:r>
        <w:rPr>
          <w:noProof/>
        </w:rPr>
        <w:t xml:space="preserve">, τέθηκε σε ισχύ την 1η Ιανουαρίου 1988. </w:t>
      </w:r>
    </w:p>
    <w:p>
      <w:pPr>
        <w:ind w:left="709" w:hanging="709"/>
        <w:rPr>
          <w:noProof/>
        </w:rPr>
      </w:pPr>
      <w:r>
        <w:rPr>
          <w:noProof/>
        </w:rPr>
        <w:t>(2)</w:t>
      </w:r>
      <w:r>
        <w:rPr>
          <w:noProof/>
        </w:rPr>
        <w:tab/>
        <w:t xml:space="preserve">Δυνάμει του άρθρου 7 της συμφωνίας, η Επιτροπή του Εναρμονισμένου Συστήματος μπορεί να εκπονεί για το Συμβούλιο του ΠΟΤ προτάσεις τροποποίησης της ονοματολογίας του Εναρμονισμένου Συστήματος. Βάσει του άρθρου 16 της συμφωνίας, το Συμβούλιο του ΠΟΤ μπορεί να εισηγηθεί την εν λόγω τροποποίηση στα συμβαλλόμενα μέρη.  </w:t>
      </w:r>
    </w:p>
    <w:p>
      <w:pPr>
        <w:ind w:left="709" w:hanging="709"/>
        <w:rPr>
          <w:noProof/>
        </w:rPr>
      </w:pPr>
      <w:r>
        <w:rPr>
          <w:noProof/>
        </w:rPr>
        <w:t>(3)</w:t>
      </w:r>
      <w:r>
        <w:rPr>
          <w:noProof/>
        </w:rPr>
        <w:tab/>
        <w:t>Το Συμβούλιο του ΠΟΤ αναμένεται να αποφασίσει σχετικά με σύσταση προς τα συμβαλλόμενα μέρη για τροποποίηση της ονοματολογίας του ΕΣ</w:t>
      </w:r>
      <w:r>
        <w:rPr>
          <w:i/>
          <w:noProof/>
        </w:rPr>
        <w:t xml:space="preserve"> </w:t>
      </w:r>
      <w:r>
        <w:rPr>
          <w:noProof/>
        </w:rPr>
        <w:t>κατά τις συνόδους του του Ιουνίου. Η εν λόγω σύσταση θα εγκριθεί βάσει πρότασης που θα εκπονήσει η Επιτροπή του Εναρμονισμένου Συστήματος, και θα οριστικοποιηθεί κατά την 63</w:t>
      </w:r>
      <w:r>
        <w:rPr>
          <w:noProof/>
          <w:vertAlign w:val="superscript"/>
        </w:rPr>
        <w:t>η</w:t>
      </w:r>
      <w:r>
        <w:rPr>
          <w:noProof/>
        </w:rPr>
        <w:t xml:space="preserve"> συνεδρίασή της στις 19-29 Μαρτίου 2019. Θα αρχίσει να ισχύει την 1η Ιανουαρίου 2022.</w:t>
      </w:r>
    </w:p>
    <w:p>
      <w:pPr>
        <w:ind w:left="709" w:hanging="709"/>
        <w:rPr>
          <w:rFonts w:eastAsia="Arial Unicode MS"/>
          <w:noProof/>
        </w:rPr>
      </w:pPr>
      <w:r>
        <w:rPr>
          <w:noProof/>
        </w:rPr>
        <w:t>(4)</w:t>
      </w:r>
      <w:r>
        <w:rPr>
          <w:noProof/>
        </w:rPr>
        <w:tab/>
        <w:t xml:space="preserve">Είναι εξαιρετικά σημαντικό  για την ονοματολογία του Εναρμονισμένου Συστήματος να επικαιροποιείται διαρκώς ώστε να λαμβάνεται υπόψη η εξέλιξη των εμπορικών πρακτικών και η ανάπτυξης νέων τεχνολογιών, και να αντικατοπτρίζει όσο το δυνατόν καλύτερα τις ανάγκες των χρηστών. Η προτεινόμενη σύσταση περιλαμβάνει αρκετές σειρές τροποποιήσεων που λαμβάνουν υπόψη την ανάγκη εκσυγχρονισμού ή προσαρμογής της ονοματολογίας στο περιβάλλον της. </w:t>
      </w:r>
    </w:p>
    <w:p>
      <w:pPr>
        <w:ind w:left="709" w:hanging="709"/>
        <w:rPr>
          <w:noProof/>
        </w:rPr>
      </w:pPr>
      <w:r>
        <w:rPr>
          <w:noProof/>
        </w:rPr>
        <w:t>(5)</w:t>
      </w:r>
      <w:r>
        <w:rPr>
          <w:noProof/>
        </w:rPr>
        <w:tab/>
        <w:t>Δεδομένου ότι η εν λόγω σύσταση για τροποποίηση της ονοματολογίας του ΕΣ πρόκειται να εγκριθεί από το Συμβούλιο του ΠΟΤ, είναι σκόπιμο να καθοριστεί η θέση που πρέπει να ληφθεί εξ ονόματος της Ένωσης, δεδομένου ότι, μετά την αποδοχή της βάσει του άρθρου 16 της συμφωνίας, η σύσταση θα είναι δεσμευτική για την Ένωση και ικανή να επηρεάσει αποφασιστικά το περιεχόμενο του δικαίου της Ένωσης, και συγκεκριμένα το παράρτημα 1 του κανονισμού (ΕΟΚ) αριθ. 2658/87 του Συμβουλίου</w:t>
      </w:r>
      <w:r>
        <w:rPr>
          <w:rStyle w:val="FootnoteReference"/>
          <w:noProof/>
        </w:rPr>
        <w:footnoteReference w:customMarkFollows="1" w:id="7"/>
        <w:t>2</w:t>
      </w:r>
      <w:r>
        <w:rPr>
          <w:noProof/>
        </w:rPr>
        <w:t>.</w:t>
      </w:r>
    </w:p>
    <w:p>
      <w:pPr>
        <w:ind w:left="709" w:hanging="709"/>
        <w:rPr>
          <w:noProof/>
        </w:rPr>
      </w:pPr>
      <w:r>
        <w:rPr>
          <w:noProof/>
        </w:rPr>
        <w:t>(6)</w:t>
      </w:r>
      <w:r>
        <w:rPr>
          <w:noProof/>
        </w:rPr>
        <w:tab/>
        <w:t>Μια μερική θέση της ΕΕ στον ΠΟΤ είχε ήδη καθοριστεί πριν από την 63</w:t>
      </w:r>
      <w:r>
        <w:rPr>
          <w:noProof/>
          <w:vertAlign w:val="superscript"/>
        </w:rPr>
        <w:t>η</w:t>
      </w:r>
      <w:r>
        <w:rPr>
          <w:noProof/>
        </w:rPr>
        <w:t xml:space="preserve"> συνεδρίαση της Επιτροπής του Εναρμονισμένου Συστήματος</w:t>
      </w:r>
      <w:r>
        <w:rPr>
          <w:rStyle w:val="FootnoteReference"/>
          <w:noProof/>
        </w:rPr>
        <w:footnoteReference w:customMarkFollows="1" w:id="8"/>
        <w:t>3</w:t>
      </w:r>
      <w:r>
        <w:rPr>
          <w:noProof/>
        </w:rPr>
        <w:t>.</w:t>
      </w:r>
    </w:p>
    <w:p>
      <w:pPr>
        <w:ind w:left="709" w:hanging="709"/>
        <w:rPr>
          <w:noProof/>
        </w:rPr>
      </w:pPr>
      <w:r>
        <w:rPr>
          <w:noProof/>
        </w:rPr>
        <w:t>7)</w:t>
      </w:r>
      <w:r>
        <w:rPr>
          <w:noProof/>
        </w:rPr>
        <w:tab/>
        <w:t>Είναι σκόπιμο να υποστηριχθεί το σχέδιο τροποποίησης της ονοματολογίας του ΕΣ, καθώς και οι ήσσονος σημασίας συντακτικές αλλαγές που ενδεχομένως κριθούν αναγκαίες,</w:t>
      </w:r>
    </w:p>
    <w:p>
      <w:pPr>
        <w:keepNext/>
        <w:rPr>
          <w:noProof/>
        </w:rPr>
      </w:pPr>
      <w:r>
        <w:rPr>
          <w:noProof/>
        </w:rPr>
        <w:t>ΕΞΕΔΩΣΕ ΤΗΝ ΠΑΡΟΥΣΑ ΑΠΟΦΑΣΗ:</w:t>
      </w:r>
    </w:p>
    <w:p>
      <w:pPr>
        <w:keepNext/>
        <w:spacing w:before="360"/>
        <w:jc w:val="center"/>
        <w:rPr>
          <w:i/>
          <w:noProof/>
        </w:rPr>
      </w:pPr>
      <w:r>
        <w:rPr>
          <w:i/>
          <w:noProof/>
        </w:rPr>
        <w:t>Άρθρο 1</w:t>
      </w:r>
    </w:p>
    <w:p>
      <w:pPr>
        <w:rPr>
          <w:noProof/>
        </w:rPr>
      </w:pPr>
      <w:r>
        <w:rPr>
          <w:noProof/>
        </w:rPr>
        <w:t>Η θέση που πρέπει να ληφθεί εξ ονόματος της Ένωσης στις συνόδους του Ιουνίου 2019 του Συμβουλίου του ΠΟΤ είναι η υποστήριξη του σχεδίου σύστασης βάσει του άρθρου 16 σχετικά με την τροποποίηση του Εναρμονισμένου Συστήματος, όπως ορίζεται στο παράρτημα R του εγγράφου NC2626B1b (Έκθεση HSC/63/Μάρτιος 2019).</w:t>
      </w:r>
    </w:p>
    <w:p>
      <w:pPr>
        <w:rPr>
          <w:noProof/>
        </w:rPr>
      </w:pPr>
      <w:r>
        <w:rPr>
          <w:noProof/>
          <w:color w:val="000000"/>
        </w:rPr>
        <w:t>Οι εκπρόσωποι της Ένωσης μπορούν να συμφωνήσουν για ήσσονος σημασίας συντακτικές αλλαγές στο σχέδιο σύστασης βάσει του άρθρου 16, υπό το φως των εξελίξεων κατά τις προσεχείς συνεδριάσεις του Συμβουλίου του ΠΟΤ, σε διαβούλευση με τα κράτη μέλη, ή κατά τη διάρκεια επιτόπιων συνεδριάσεων συντονισμού, χωρίς περαιτέρω απόφαση του Συμβουλίου.</w:t>
      </w:r>
      <w:r>
        <w:rPr>
          <w:noProof/>
        </w:rPr>
        <w:t xml:space="preserve"> </w:t>
      </w:r>
    </w:p>
    <w:p>
      <w:pPr>
        <w:keepNext/>
        <w:spacing w:before="360"/>
        <w:jc w:val="center"/>
        <w:rPr>
          <w:i/>
          <w:noProof/>
        </w:rPr>
      </w:pPr>
      <w:r>
        <w:rPr>
          <w:i/>
          <w:noProof/>
        </w:rPr>
        <w:t>Άρθρο 2</w:t>
      </w:r>
    </w:p>
    <w:p>
      <w:pPr>
        <w:rPr>
          <w:noProof/>
        </w:rPr>
      </w:pPr>
      <w:r>
        <w:rPr>
          <w:noProof/>
        </w:rPr>
        <w:t>Η παρούσα απόφαση απευθύνεται στην Επιτροπή.</w:t>
      </w:r>
    </w:p>
    <w:p>
      <w:pPr>
        <w:keepNext/>
        <w:spacing w:after="0"/>
        <w:rPr>
          <w:noProof/>
        </w:rPr>
      </w:pPr>
      <w:r>
        <w:rPr>
          <w:noProof/>
        </w:rPr>
        <w:t>Βρυξέλλες,</w:t>
      </w:r>
    </w:p>
    <w:p>
      <w:pPr>
        <w:keepNext/>
        <w:tabs>
          <w:tab w:val="left" w:pos="4252"/>
        </w:tabs>
        <w:spacing w:before="720" w:after="0"/>
        <w:rPr>
          <w:i/>
          <w:noProof/>
        </w:rPr>
      </w:pPr>
      <w:r>
        <w:rPr>
          <w:noProof/>
        </w:rPr>
        <w:tab/>
      </w:r>
      <w:r>
        <w:rPr>
          <w:i/>
          <w:noProof/>
        </w:rPr>
        <w:t>Για το Συμβούλιο</w:t>
      </w:r>
    </w:p>
    <w:p>
      <w:pPr>
        <w:tabs>
          <w:tab w:val="left" w:pos="4252"/>
        </w:tabs>
        <w:spacing w:before="0" w:after="0"/>
        <w:jc w:val="left"/>
        <w:rPr>
          <w:noProof/>
        </w:rPr>
      </w:pPr>
      <w:r>
        <w:rPr>
          <w:noProof/>
        </w:rPr>
        <w:tab/>
      </w:r>
      <w:r>
        <w:rPr>
          <w:i/>
          <w:noProof/>
        </w:rPr>
        <w:t xml:space="preserve">Ο Πρόεδρος </w:t>
      </w: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 τη θέσπισή της το 1988, η ονοματολογία του ΕΣ έχει αναθεωρηθεί πέντε φορές. Οι εν λόγω αναθεωρήσεις τέθηκαν σε ισχύ το 1996, το 2002, το 2007, το 2012 και το 2017.</w:t>
      </w:r>
    </w:p>
  </w:footnote>
  <w:footnote w:id="2">
    <w:p>
      <w:pPr>
        <w:pStyle w:val="FootnoteText"/>
      </w:pPr>
      <w:r>
        <w:rPr>
          <w:rStyle w:val="FootnoteReference"/>
        </w:rPr>
        <w:footnoteRef/>
      </w:r>
      <w:r>
        <w:tab/>
        <w:t>Απόφαση 87/369 του Συμβουλίου, της 7ης Απριλίου 1987, για τη σύναψη της διεθνούς σύμβασης για το</w:t>
      </w:r>
      <w:r>
        <w:rPr>
          <w:color w:val="0000FF"/>
          <w:sz w:val="24"/>
        </w:rPr>
        <w:t xml:space="preserve"> </w:t>
      </w:r>
      <w:r>
        <w:t>εναρμονισμένο σύστημα περιγραφής και κωδικοποίησης των εμπορευμάτων, καθώς και του τροποποιητικού της πρωτοκόλλου (ΕΕ L 198 της 20.7.1987, σ. 1).</w:t>
      </w:r>
    </w:p>
  </w:footnote>
  <w:footnote w:id="3">
    <w:p>
      <w:pPr>
        <w:pStyle w:val="FootnoteText"/>
        <w:ind w:left="142" w:hanging="142"/>
      </w:pPr>
      <w:r>
        <w:rPr>
          <w:rStyle w:val="FootnoteReference"/>
        </w:rPr>
        <w:footnoteRef/>
      </w:r>
      <w:r>
        <w:tab/>
        <w:t>ST 7138 2019 INIT, απόφαση του Συμβουλίου σχετικά με τη θέση που πρέπει να ληφθεί εξ ονόματος της Ευρωπαϊκής Ένωσης στο πλαίσιο του Παγκόσμιου Οργανισμού Τελωνείων όσον αφορά το Εναρμονισμένο Σύστημα.</w:t>
      </w:r>
    </w:p>
  </w:footnote>
  <w:footnote w:id="4">
    <w:p>
      <w:pPr>
        <w:pStyle w:val="FootnoteText"/>
        <w:ind w:left="142" w:hanging="153"/>
      </w:pPr>
      <w:r>
        <w:rPr>
          <w:rStyle w:val="FootnoteReference"/>
        </w:rPr>
        <w:footnoteRef/>
      </w:r>
      <w:r>
        <w:tab/>
        <w:t xml:space="preserve">ST 7208 2019 ADD 1, απόφαση του Συμβουλίου σχετικά με τη θέση που πρέπει να ληφθεί εξ ονόματος της Ευρωπαϊκής Ένωσης στο πλαίσιο του Παγκόσμιου Οργανισμού Τελωνείων όσον αφορά το Εναρμονισμένο Σύστημα – Έγκριση – Δήλωση της Επιτροπής. </w:t>
      </w:r>
    </w:p>
  </w:footnote>
  <w:footnote w:id="5">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6">
    <w:p>
      <w:pPr>
        <w:pStyle w:val="FootnoteText"/>
      </w:pPr>
      <w:r>
        <w:rPr>
          <w:rStyle w:val="FootnoteReference"/>
        </w:rPr>
        <w:t>1</w:t>
      </w:r>
      <w:r>
        <w:tab/>
        <w:t>Απόφαση 87/369/ΕΟΚ του Συμβουλίου, της 7ης Απριλίου 1987, για τη σύναψη της διεθνούς σύμβασης για το εναρμονισμένο σύστημα περιγραφής και κωδικοποίησης των εμπορευμάτων, καθώς και του τροποποιητικού της πρωτοκόλλου (ΕΕ L 198 της 20.7.1987, σ. 1).</w:t>
      </w:r>
    </w:p>
  </w:footnote>
  <w:footnote w:id="7">
    <w:p>
      <w:pPr>
        <w:pStyle w:val="FootnoteText"/>
      </w:pPr>
      <w:r>
        <w:rPr>
          <w:rStyle w:val="FootnoteReference"/>
        </w:rPr>
        <w:t>2</w:t>
      </w:r>
      <w:r>
        <w:tab/>
        <w:t>Κανονισμός (ΕΟΚ) αριθ. 2658/87 του Συμβουλίου, της 23ης Ιουλίου 1987, σχετικά με τη δασμολογική και στατιστική ονοματολογία και το κοινό δασμολόγιο (ΕΕ L 256 της 7.9.1987).</w:t>
      </w:r>
    </w:p>
  </w:footnote>
  <w:footnote w:id="8">
    <w:p>
      <w:pPr>
        <w:pStyle w:val="FootnoteText"/>
      </w:pPr>
      <w:r>
        <w:rPr>
          <w:rStyle w:val="FootnoteReference"/>
        </w:rPr>
        <w:t>3</w:t>
      </w:r>
      <w:r>
        <w:tab/>
        <w:t xml:space="preserve">ST 7138 2019 INIT, απόφαση του Συμβουλίου σχετικά με τη θέση που πρέπει να ληφθεί εξ ονόματος της Ευρωπαϊκής Ένωσης στο πλαίσιο του Παγκόσμιου Οργανισμού Τελωνείων όσον αφορά το Εναρμονισμένο Σύστημα· ST 7208 2019 ADD 1, απόφαση του Συμβουλίου σχετικά με τη θέση που πρέπει να ληφθεί εξ ονόματος της Ευρωπαϊκής Ένωσης στο πλαίσιο του Παγκόσμιου Οργανισμού Τελωνείων όσον αφορά το Εναρμονισμένο Σύστημα – Έγκριση – Δήλωση της Επιτροπής.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0:37:08"/>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49FD7E5A-07A0-4B6B-9100-BEC9BE40ED3F"/>
    <w:docVar w:name="LW_COVERPAGE_TYPE" w:val="1"/>
    <w:docVar w:name="LW_CROSSREFERENCE" w:val="&lt;UNUSED&gt;"/>
    <w:docVar w:name="LW_DocType" w:val="COM"/>
    <w:docVar w:name="LW_EMISSION" w:val="3.6.2019"/>
    <w:docVar w:name="LW_EMISSION_ISODATE" w:val="2019-06-03"/>
    <w:docVar w:name="LW_EMISSION_LOCATION" w:val="BRX"/>
    <w:docVar w:name="LW_EMISSION_PREFIX" w:val="\u914?\u961?\u965?\u958?\u941?\u955?\u955?\u949?\u962?,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29"/>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9?\u965? \u931?\u965?\u956?\u946?\u959?\u965?\u955?\u943?\u959?\u965? \u964?\u959?\u965? \u928?\u945?\u947?\u954?\u972?\u963?\u956?\u953?\u959?\u965? \u927?\u961?\u947?\u945?\u957?\u953?\u963?\u956?\u959?\u973? \u932?\u949?\u955?\u969?\u957?\u949?\u943?\u969?\u957? \u972?\u963?\u959?\u957? \u945?\u966?\u959?\u961?\u940? \u963?\u973?\u963?\u964?\u945?\u963?\u951? \u964?\u959?\u965? \u928?\u927?\u932? \u946?\u940?\u963?\u949?\u953? \u964?\u959?\u965? \u940?\u961?\u952?\u961?\u959?\u965? 16 \u947?\u953?\u945? \u964?\u951?\u957? \u964?\u961?\u959?\u960?\u959?\u960?\u959?\u943?\u951?\u963?\u951? \u964?\u959?\u965? \u917?\u957?\u945?\u961?\u956?\u959?\u957?\u953?\u963?\u956?\u941?\u957?\u959?\u965? \u931?\u965?\u963?\u964?\u942?\u956?\u945?\u964?\u959?\u962?"/>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B73B6E-B1C0-4F87-A1B5-810F3D59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2366</Words>
  <Characters>13611</Characters>
  <Application>Microsoft Office Word</Application>
  <DocSecurity>0</DocSecurity>
  <Lines>252</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2019-05-21T15:14:00Z</cp:lastPrinted>
  <dcterms:created xsi:type="dcterms:W3CDTF">2019-06-06T14:10:00Z</dcterms:created>
  <dcterms:modified xsi:type="dcterms:W3CDTF">2019-06-07T08:37:00Z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