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9741B20-B7C4-4ADE-876C-147DD64F58A0" style="width:450.75pt;height:448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pStyle w:val="Title"/>
        <w:rPr>
          <w:rFonts w:ascii="Times New Roman" w:hAnsi="Times New Roman"/>
          <w:noProof/>
          <w:sz w:val="24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</w:rPr>
        <w:lastRenderedPageBreak/>
        <w:t>Πίνακας 1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ΠΟΛΥΕΤΕΣ ΔΗΜΟΣΙΟΝΟΜΙΚΟ ΠΛΑΙΣΙΟ (ΕΕ-28) ΠΡΟΣΑΡΜΟΣΜΕΝΟ ΓΙΑ ΤΟ 2020*</w:t>
      </w: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5560"/>
        <w:gridCol w:w="1220"/>
        <w:gridCol w:w="1220"/>
        <w:gridCol w:w="1220"/>
        <w:gridCol w:w="1220"/>
        <w:gridCol w:w="1220"/>
        <w:gridCol w:w="1220"/>
        <w:gridCol w:w="1220"/>
        <w:gridCol w:w="1180"/>
      </w:tblGrid>
      <w:tr>
        <w:trPr>
          <w:trHeight w:val="103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  <w:t xml:space="preserve">(σε εκατ. </w:t>
            </w: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en-GB" w:eastAsia="en-GB" w:bidi="ar-SA"/>
              </w:rPr>
              <w:t>EUR</w:t>
            </w: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  <w:t xml:space="preserve"> - σε τιμές του 2011)</w:t>
            </w:r>
          </w:p>
        </w:tc>
      </w:tr>
      <w:tr>
        <w:trPr>
          <w:trHeight w:val="52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ΠΙΣΤΩΣΕΙΣ ΑΝΑΛΗΨΗΣ ΥΠΟΧΡΕΩΣΕΩΝ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Σύνολο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br/>
              <w:t>2014-2020</w:t>
            </w:r>
          </w:p>
        </w:tc>
      </w:tr>
      <w:tr>
        <w:trPr>
          <w:trHeight w:val="39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 w:bidi="ar-SA"/>
              </w:rPr>
              <w:t>1. Έξυπνη και χωρίς αποκλεισμούς ανάπτυξη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49 713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72 047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62 771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65 277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66 528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68 214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70 004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454 554</w:t>
            </w:r>
          </w:p>
        </w:tc>
      </w:tr>
      <w:tr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1α: Ανταγωνιστικότητα για τη ανάπτυξη και την απασχόληση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15 605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16 321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16 726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17 693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18 490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19 700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21 079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125 614</w:t>
            </w:r>
          </w:p>
        </w:tc>
      </w:tr>
      <w:tr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1β: Οικονομική, κοινωνική και εδαφική συνοχή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34 108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55 726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46 045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47 584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48 038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48 514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48 925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328 940</w:t>
            </w:r>
          </w:p>
        </w:tc>
      </w:tr>
      <w:tr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2. Βιώσιμη ανάπτυξη: Φυσικοί πόροι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46 981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59 765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58 204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53 448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52 466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51 503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50 558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372 925</w:t>
            </w:r>
          </w:p>
        </w:tc>
      </w:tr>
      <w:tr>
        <w:trPr>
          <w:trHeight w:val="57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εκ των οποίων: Δαπάνες σχετικές με την αγορά και άμεσες ενισχύσεις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41 254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40 825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39 808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39 201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38 446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37 452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36 723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273 709</w:t>
            </w:r>
          </w:p>
        </w:tc>
      </w:tr>
      <w:tr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3. Ασφάλεια και ιθαγένεια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1 637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2 269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2 306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2 312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2 391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2 469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15 673</w:t>
            </w:r>
          </w:p>
        </w:tc>
      </w:tr>
      <w:tr>
        <w:trPr>
          <w:trHeight w:val="33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4. Η Ευρώπη στον κόσμο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7 854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8 083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8 375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8 764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8 794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58 704</w:t>
            </w:r>
          </w:p>
        </w:tc>
      </w:tr>
      <w:tr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 xml:space="preserve">5. Διοίκηση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8 385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8 589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8 807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9 417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61 629</w:t>
            </w:r>
          </w:p>
        </w:tc>
      </w:tr>
      <w:tr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εκ των οποίων: Διοικητικές δαπάνες των θεσμικών οργάνων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6 649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6 791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6 955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7 110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7 278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7 425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7 590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49 798</w:t>
            </w:r>
          </w:p>
        </w:tc>
      </w:tr>
      <w:tr>
        <w:trPr>
          <w:trHeight w:val="39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 xml:space="preserve">6. Αντισταθμίσεις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27</w:t>
            </w:r>
          </w:p>
        </w:tc>
      </w:tr>
      <w:tr>
        <w:trPr>
          <w:trHeight w:val="39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ΣΥΝΟΛΟ ΠΙΣΤΩΣΕΩΝ ΑΝΑΛΗΨΗΣ ΥΠΟΧΡΕΩΣΕΩΝ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114 430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150 549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140 151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138 196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138 866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140 078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141 242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963 512</w:t>
            </w:r>
          </w:p>
        </w:tc>
      </w:tr>
      <w:tr>
        <w:trPr>
          <w:trHeight w:val="39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ως ποσοστό του ΑΕΕ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0,99%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1,00%</w:t>
            </w:r>
          </w:p>
        </w:tc>
      </w:tr>
      <w:tr>
        <w:trPr>
          <w:trHeight w:val="18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</w:tr>
      <w:tr>
        <w:trPr>
          <w:trHeight w:val="31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ΣΥΝΟΛΟ ΠΙΣΤΩΣΕΩΝ ΠΛΗΡΩΜΩΝ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127 932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130 003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118 374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112 322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134 376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142 285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144 274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909 566</w:t>
            </w:r>
          </w:p>
        </w:tc>
      </w:tr>
      <w:tr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ως ποσοστό του ΑΕΕ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1,01%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0,95%</w:t>
            </w:r>
          </w:p>
        </w:tc>
      </w:tr>
      <w:tr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Διαθέσιμο περιθώριο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0,36%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0,41%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0,23%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0,19%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0,19%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0,27%</w:t>
            </w:r>
          </w:p>
        </w:tc>
      </w:tr>
      <w:tr>
        <w:trPr>
          <w:trHeight w:val="21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Ανώτατο όριο ιδίων πόρων ως ποσοστό του ΑΕΕ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1,20%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1,22%</w:t>
            </w:r>
          </w:p>
        </w:tc>
      </w:tr>
    </w:tbl>
    <w:p>
      <w:pPr>
        <w:rPr>
          <w:noProof/>
        </w:rPr>
      </w:pPr>
    </w:p>
    <w:p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* υποκείμενο ΑΕΕ βάσει του ΕΣΛ 2010 από το 2018 και μετά </w:t>
      </w:r>
      <w:r>
        <w:rPr>
          <w:noProof/>
        </w:rPr>
        <w:br w:type="page"/>
      </w: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Πίνακας 2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ΠΟΛΥΕΤΕΣ ΔΗΜΟΣΙΟΝΟΜΙΚΟ ΠΛΑΙΣΙΟ (ΕΕ-28) ΠΡΟΣΑΡΜΟΣΜΕΝΟ ΓΙΑ ΤΟ 2020*</w:t>
      </w:r>
    </w:p>
    <w:tbl>
      <w:tblPr>
        <w:tblW w:w="15252" w:type="dxa"/>
        <w:tblInd w:w="93" w:type="dxa"/>
        <w:tblLook w:val="04A0" w:firstRow="1" w:lastRow="0" w:firstColumn="1" w:lastColumn="0" w:noHBand="0" w:noVBand="1"/>
      </w:tblPr>
      <w:tblGrid>
        <w:gridCol w:w="5552"/>
        <w:gridCol w:w="1220"/>
        <w:gridCol w:w="1220"/>
        <w:gridCol w:w="1220"/>
        <w:gridCol w:w="1220"/>
        <w:gridCol w:w="1220"/>
        <w:gridCol w:w="1220"/>
        <w:gridCol w:w="1220"/>
        <w:gridCol w:w="1160"/>
      </w:tblGrid>
      <w:tr>
        <w:trPr>
          <w:trHeight w:val="27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  <w:t xml:space="preserve">(σε εκατ. </w:t>
            </w: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en-GB" w:eastAsia="en-GB" w:bidi="ar-SA"/>
              </w:rPr>
              <w:t>EUR</w:t>
            </w: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en-GB" w:bidi="ar-SA"/>
              </w:rPr>
              <w:t xml:space="preserve"> - σε τρέχουσες τιμές)</w:t>
            </w:r>
          </w:p>
        </w:tc>
      </w:tr>
      <w:tr>
        <w:trPr>
          <w:trHeight w:val="525"/>
        </w:trPr>
        <w:tc>
          <w:tcPr>
            <w:tcW w:w="5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ΠΙΣΤΩΣΕΙΣ ΑΝΑΛΗΨΗΣ ΥΠΟΧΡΕΩΣΕΩΝ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2020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Σύνολο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br/>
              <w:t>2014-2020</w:t>
            </w:r>
          </w:p>
        </w:tc>
      </w:tr>
      <w:tr>
        <w:trPr>
          <w:trHeight w:val="315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 w:bidi="ar-SA"/>
              </w:rPr>
              <w:t>1. Έξυπνη και χωρίς αποκλεισμούς ανάπτυξη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52 756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77 986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69 304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73 512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76 420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79 924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83 661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513 563</w:t>
            </w:r>
          </w:p>
        </w:tc>
      </w:tr>
      <w:tr>
        <w:trPr>
          <w:trHeight w:val="300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1α: Ανταγωνιστικότητα για τη ανάπτυξη και την απασχόληση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16 560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17 666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18 467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19 925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21 239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23 082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25 191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142 130</w:t>
            </w:r>
          </w:p>
        </w:tc>
      </w:tr>
      <w:tr>
        <w:trPr>
          <w:trHeight w:val="300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1β: Οικονομική, κοινωνική και εδαφική συνοχή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36 196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60 320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50 837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53 587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55 181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56 842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58 470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371 433</w:t>
            </w:r>
          </w:p>
        </w:tc>
      </w:tr>
      <w:tr>
        <w:trPr>
          <w:trHeight w:val="300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2. Βιώσιμη ανάπτυξη: Φυσικοί πόροι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49 857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64 692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64 262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60 191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60 267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60 344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60 421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420 034</w:t>
            </w:r>
          </w:p>
        </w:tc>
      </w:tr>
      <w:tr>
        <w:trPr>
          <w:trHeight w:val="510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εκ των οποίων: Δαπάνες σχετικές με την αγορά και άμεσες ενισχύσεις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43 779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44 190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43 951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44 146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44 163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43 881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43 888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307 998</w:t>
            </w:r>
          </w:p>
        </w:tc>
      </w:tr>
      <w:tr>
        <w:trPr>
          <w:trHeight w:val="345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3. Ασφάλεια και ιθαγένεια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1 737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2 456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2 546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2 578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2 656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2 951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17 725</w:t>
            </w:r>
          </w:p>
        </w:tc>
      </w:tr>
      <w:tr>
        <w:trPr>
          <w:trHeight w:val="330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4. Η Ευρώπη στον κόσμο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8 749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9 432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10 268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10 510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66 262</w:t>
            </w:r>
          </w:p>
        </w:tc>
      </w:tr>
      <w:tr>
        <w:trPr>
          <w:trHeight w:val="315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 xml:space="preserve">5. Διοίκηση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8 721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9 918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10 346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10 786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11 254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69 584</w:t>
            </w:r>
          </w:p>
        </w:tc>
      </w:tr>
      <w:tr>
        <w:trPr>
          <w:trHeight w:val="315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εκ των οποίων: Διοικητικές δαπάνες των θεσμικών οργάνων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7 056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7 351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7 679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8 007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8 360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8 700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9 071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56 224</w:t>
            </w:r>
          </w:p>
        </w:tc>
      </w:tr>
      <w:tr>
        <w:trPr>
          <w:trHeight w:val="315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 xml:space="preserve">6. Αντισταθμίσεις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29</w:t>
            </w:r>
          </w:p>
        </w:tc>
      </w:tr>
      <w:tr>
        <w:trPr>
          <w:trHeight w:val="390"/>
        </w:trPr>
        <w:tc>
          <w:tcPr>
            <w:tcW w:w="5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ΣΥΝΟΛΟ ΠΙΣΤΩΣΕΩΝ ΑΝΑΛΗΨΗΣ ΥΠΟΧΡΕΩΣΕΩΝ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121 435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162 959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154 738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155 631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159 514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164 123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168 797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1 087 197</w:t>
            </w:r>
          </w:p>
        </w:tc>
      </w:tr>
      <w:tr>
        <w:trPr>
          <w:trHeight w:val="390"/>
        </w:trPr>
        <w:tc>
          <w:tcPr>
            <w:tcW w:w="5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ως ποσοστό του ΑΕΕ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0,99%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1,02%</w:t>
            </w:r>
          </w:p>
        </w:tc>
      </w:tr>
      <w:tr>
        <w:trPr>
          <w:trHeight w:val="15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</w:p>
        </w:tc>
      </w:tr>
      <w:tr>
        <w:trPr>
          <w:trHeight w:val="390"/>
        </w:trPr>
        <w:tc>
          <w:tcPr>
            <w:tcW w:w="5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ΣΥΝΟΛΟ ΠΙΣΤΩΣΕΩΝ ΠΛΗΡΩΜΩΝ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135 762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140 719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130 694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126 492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154 355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166 709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172 420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 w:eastAsia="en-GB" w:bidi="ar-SA"/>
              </w:rPr>
              <w:t>1 027 151</w:t>
            </w:r>
          </w:p>
        </w:tc>
      </w:tr>
      <w:tr>
        <w:trPr>
          <w:trHeight w:val="195"/>
        </w:trPr>
        <w:tc>
          <w:tcPr>
            <w:tcW w:w="5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ως ποσοστό του ΑΕΕ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1,01%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0,96%</w:t>
            </w:r>
          </w:p>
        </w:tc>
      </w:tr>
      <w:tr>
        <w:trPr>
          <w:trHeight w:val="390"/>
        </w:trPr>
        <w:tc>
          <w:tcPr>
            <w:tcW w:w="5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Διαθέσιμο περιθώριο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0,35%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0,39%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0,19%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0,19%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0,26%</w:t>
            </w:r>
          </w:p>
        </w:tc>
      </w:tr>
      <w:tr>
        <w:trPr>
          <w:trHeight w:val="270"/>
        </w:trPr>
        <w:tc>
          <w:tcPr>
            <w:tcW w:w="5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 w:bidi="ar-SA"/>
              </w:rPr>
              <w:t>Ανώτατο όριο ιδίων πόρων ως ποσοστό του ΑΕΕ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 w:bidi="ar-SA"/>
              </w:rPr>
              <w:t>1,22%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* υποκείμενο ΑΕΕ βάσει του ΕΣΛ 2010 από το 2018 και μετά 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55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963?\u964?\u951?\u957?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9741B20-B7C4-4ADE-876C-147DD64F58A0"/>
    <w:docVar w:name="LW_COVERPAGE_TYPE" w:val="1"/>
    <w:docVar w:name="LW_CROSSREFERENCE" w:val="&lt;UNUSED&gt;"/>
    <w:docVar w:name="LW_DocType" w:val="NORMAL"/>
    <w:docVar w:name="LW_EMISSION" w:val="15.5.2019"/>
    <w:docVar w:name="LW_EMISSION_ISODATE" w:val="2019-05-15"/>
    <w:docVar w:name="LW_EMISSION_LOCATION" w:val="BRX"/>
    <w:docVar w:name="LW_EMISSION_PREFIX" w:val="Βρυξέλλες, "/>
    <w:docVar w:name="LW_EMISSION_SUFFIX" w:val=" "/>
    <w:docVar w:name="LW_ID_DOCTYPE_NONLW" w:val="CP-039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.CP" w:val="\u932?\u949?\u967?\u957?\u953?\u954?\u942? \u960?\u961?\u959?\u963?\u945?\u961?\u956?\u959?\u947?\u942? \u964?\u959?\u965? \u948?\u951?\u956?\u959?\u963?\u953?\u959?\u957?\u959?\u956?\u953?\u954?\u959?\u973? \u960?\u955?\u945?\u953?\u963?\u943?\u959?\u965? \u947?\u953?\u945? \u964?\u959? 2020 \u963?\u949? \u963?\u965?\u957?\u940?\u961?\u964?\u951?\u963?\u951? \u956?\u949? \u964?\u951?\u957? \u949?\u958?\u941?\u955?\u953?\u958?\u951? \u964?\u959?\u965? \u913?\u917?\u917? (\u917?\u931?\u923? 2010) _x000b_(\u902?\u961?\u952?\u961?\u959? 6 \u964?\u959?\u965? \u954?\u945?\u957?\u959?\u957?\u953?\u963?\u956?\u959?\u973? \u945?\u961?\u953?\u952?. 1311/2013 \u964?\u959?\u965? \u931?\u965?\u956?\u946?\u959?\u965?\u955?\u943?\u959?\u965? \u947?\u953?\u945? \u964?\u959?\u957? \u954?\u945?\u952?\u959?\u961?\u953?\u963?\u956?\u972? \u964?\u959?\u965? \u960?\u959?\u955?\u965?\u949?\u964?\u959?\u973?\u962? \u948?\u951?\u956?\u959?\u963?\u953?\u959?\u957?\u959?\u956?\u953?\u954?\u959?\u973? \u960?\u955?\u945?\u953?\u963?\u943?\u959?\u965? \u947?\u953?\u945? \u964?\u951?\u957? \u960?\u949?\u961?\u943?\u959?\u948?\u959? 2014-2020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928?\u913?\u929?\u913?\u929?\u932?\u919?\u924?\u913?_x000b_"/>
    <w:docVar w:name="LW_TYPEACTEPRINCIPAL.CP" w:val="\u913?\u925?\u913?\u922?\u927?\u921?\u925?\u937?\u931?\u919? \u932?\u919?\u931? \u917?\u928?\u921?\u932?\u929?\u927?\u928?\u919?\u931? \u928?\u929?\u927?\u931? \u932?\u927? \u931?\u933?\u924?\u914?\u927?\u933?\u923?\u921?\u927? \u922?\u913?\u921? \u932?\u927? \u917?\u933?\u929?\u937?\u928?\u913?\u938?\u922?\u927? \u922?\u927?\u921?\u925?\u927?\u914?\u927?\u933?\u923?\u921?\u927? 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6FDD6F-D18B-4872-96E9-30D62773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698</Words>
  <Characters>2629</Characters>
  <Application>Microsoft Office Word</Application>
  <DocSecurity>0</DocSecurity>
  <Lines>375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 Diana (SG)</dc:creator>
  <cp:lastModifiedBy>WES PDFC Administrator</cp:lastModifiedBy>
  <cp:revision>10</cp:revision>
  <dcterms:created xsi:type="dcterms:W3CDTF">2019-05-16T11:06:00Z</dcterms:created>
  <dcterms:modified xsi:type="dcterms:W3CDTF">2019-05-20T13:15:00Z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