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47" w:rsidRDefault="002B7AD0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E88A314BB6A425893FC1906608F39AB" style="width:451.05pt;height:366.35pt">
            <v:imagedata r:id="rId12" o:title=""/>
          </v:shape>
        </w:pict>
      </w:r>
    </w:p>
    <w:p w:rsidR="00342647" w:rsidRDefault="00342647">
      <w:pPr>
        <w:rPr>
          <w:noProof/>
        </w:rPr>
        <w:sectPr w:rsidR="00342647">
          <w:footerReference w:type="default" r:id="rId13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42647" w:rsidRDefault="002B7AD0">
      <w:pPr>
        <w:pStyle w:val="Exposdesmotifstitre"/>
        <w:rPr>
          <w:noProof/>
        </w:rPr>
      </w:pPr>
      <w:r>
        <w:rPr>
          <w:noProof/>
        </w:rPr>
        <w:lastRenderedPageBreak/>
        <w:t>INDOKOLÁS</w:t>
      </w:r>
    </w:p>
    <w:p w:rsidR="00342647" w:rsidRDefault="002B7AD0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 w:rsidR="00342647" w:rsidRDefault="002B7AD0"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>Általános háttér</w:t>
      </w:r>
    </w:p>
    <w:p w:rsidR="00342647" w:rsidRDefault="002B7AD0">
      <w:pPr>
        <w:spacing w:after="0"/>
        <w:rPr>
          <w:noProof/>
        </w:rPr>
      </w:pPr>
      <w:r>
        <w:rPr>
          <w:noProof/>
        </w:rPr>
        <w:t>A vállalkozások hagyományosan legitim gyakorlatnak</w:t>
      </w:r>
      <w:r>
        <w:rPr>
          <w:noProof/>
        </w:rPr>
        <w:t xml:space="preserve"> tekintik az adótervezést azon az alapon, hogy általa jogszerű eljárások alkalmazásával csökkenthetik adókötelezettségeiket. Az elmúlt években azonban az adótervezési gyakorlatok kifinomultabbá váltak, gyakran több joghatóságon ívelnek át, és hozzájárulnak</w:t>
      </w:r>
      <w:r>
        <w:rPr>
          <w:noProof/>
        </w:rPr>
        <w:t xml:space="preserve"> az adóköteles nyereség kedvezőbb adórendszerekkel rendelkező államokba történő átcsoportosításához. Az adótervezés ezen „agresszív” módja számos formában jelentkezhet. Ilyen lehet valamely adórendszer technikai részletszabályaiban rejlő előnyök, illetve k</w:t>
      </w:r>
      <w:r>
        <w:rPr>
          <w:noProof/>
        </w:rPr>
        <w:t>ét vagy több adórendszer közötti eltérések kihasználása az adókötelezettségek elkerülése vagy csökkentése érdekében. Az agresszív adótervezés következménye a kétszeres levonás (amikor valamely költségelemet a keletkezés országában és az illetékesség ország</w:t>
      </w:r>
      <w:r>
        <w:rPr>
          <w:noProof/>
        </w:rPr>
        <w:t>ában is levonnak a kimutatásokban) és az adóztatás kettős elmaradása (amikor valamely jövedelem sem a keletkezés országában, sem a jövedelemtulajdonos illetékességének országában nem adózik)</w:t>
      </w:r>
      <w:r>
        <w:rPr>
          <w:rStyle w:val="FootnoteReference"/>
          <w:noProof/>
        </w:rPr>
        <w:footnoteReference w:id="1"/>
      </w:r>
      <w:r>
        <w:rPr>
          <w:noProof/>
        </w:rPr>
        <w:t>. Ezeket a gyakorlatokat sok esetben elősegítik a nemzeti hatóság</w:t>
      </w:r>
      <w:r>
        <w:rPr>
          <w:noProof/>
        </w:rPr>
        <w:t>ok feltételes adómegállapítási határozatai, amelyekben a hatóság megerősíti valamely vállalkozás számára, hogy egy meghatározott ügylet hogyan adózik majd a hatályos jogszabályok alapján, és ezáltal jogbiztonságot nyújt a kialakított konstrukcióra vonatkoz</w:t>
      </w:r>
      <w:r>
        <w:rPr>
          <w:noProof/>
        </w:rPr>
        <w:t>óan. Jóllehet a tagállamok kötelesek biztosítani, hogy feltételes adómegállapítási gyakorlatuk megfeleljen a hatályos uniós és nemzeti jogi előírásoknak, a feltételes adómegállapítással kapcsolatos átláthatóság hiánya hátrányosan érintheti azokat az ország</w:t>
      </w:r>
      <w:r>
        <w:rPr>
          <w:noProof/>
        </w:rPr>
        <w:t>okat, amelyekhez az adómegállapítási határozatok kedvezményezettjei kapcsolódnak.</w:t>
      </w:r>
    </w:p>
    <w:p w:rsidR="00342647" w:rsidRDefault="002B7AD0">
      <w:pPr>
        <w:rPr>
          <w:noProof/>
        </w:rPr>
      </w:pPr>
      <w:r>
        <w:rPr>
          <w:noProof/>
        </w:rPr>
        <w:t xml:space="preserve">Az adókikerülésnek és az adócsalásnak sok esetben van határokon átnyúló dimenziója. A globalizáció és az adózók növekvő mobilitása megnehezíti, hogy a tagállamok megfelelően </w:t>
      </w:r>
      <w:r>
        <w:rPr>
          <w:noProof/>
        </w:rPr>
        <w:t xml:space="preserve">mérjék fel az adóbázist.  Ez a jelenség hátrányosan érintheti az adórendszerek működését, adókikerüléshez és adócsaláshoz vezethet, és veszélyeztetheti a belső piac működését. </w:t>
      </w:r>
    </w:p>
    <w:p w:rsidR="00342647" w:rsidRDefault="002B7AD0">
      <w:pPr>
        <w:rPr>
          <w:noProof/>
        </w:rPr>
      </w:pPr>
      <w:r>
        <w:rPr>
          <w:noProof/>
        </w:rPr>
        <w:t>A tagállamok következésképpen csak közös fellépés révén küzdhetnek meg hatékony</w:t>
      </w:r>
      <w:r>
        <w:rPr>
          <w:noProof/>
        </w:rPr>
        <w:t>an e problémával. Éppen ezért a tagállamok adóhatóságai közötti közigazgatási együttműködés javítása központi célkitűzés a Bizottság e területen kialakított stratégiájában.</w:t>
      </w:r>
    </w:p>
    <w:p w:rsidR="00342647" w:rsidRDefault="002B7AD0">
      <w:pPr>
        <w:rPr>
          <w:noProof/>
          <w:szCs w:val="24"/>
        </w:rPr>
      </w:pPr>
      <w:r>
        <w:rPr>
          <w:noProof/>
        </w:rPr>
        <w:t>A tagállamok közötti segítségnyújtással foglalkozó korábbi irányelv (77/799/EGK tan</w:t>
      </w:r>
      <w:r>
        <w:rPr>
          <w:noProof/>
        </w:rPr>
        <w:t>ácsi irányelv) helyébe lépett 2011/16/EU tanácsi irányelv elfogadása a fokozottabb adóigazgatási együttműködéssel kapcsolatos tagállami igényekre adott választ.</w:t>
      </w:r>
    </w:p>
    <w:p w:rsidR="00342647" w:rsidRDefault="002B7AD0">
      <w:pPr>
        <w:rPr>
          <w:noProof/>
        </w:rPr>
      </w:pPr>
      <w:r>
        <w:rPr>
          <w:noProof/>
        </w:rPr>
        <w:t>Jelen javaslatunk célja, hogy a határokon átnyúló vonatkozású feltételes adómegállapítási határ</w:t>
      </w:r>
      <w:r>
        <w:rPr>
          <w:noProof/>
        </w:rPr>
        <w:t>ozatokkal és az előzetes árképzési megállapodásokkal kapcsolatos automatikus információcsere kötelező előírása révén elősegítse, hogy a 2011/16/EU irányelv biztosítsa az adóigazgatások közötti átfogó és hatékony közigazgatási együttműködést. A feltételes a</w:t>
      </w:r>
      <w:r>
        <w:rPr>
          <w:noProof/>
        </w:rPr>
        <w:t>dómegállapítási határozatot kibocsátó tagállamban alacsony mértékű jövedelemadó-fizetési kötelezettséghez vezető, adózási megfontolások által vezérelt konstrukciók eredményeként más érintett tagállamokban is alacsony maradhat az adóköteles jövedelem, és ez</w:t>
      </w:r>
      <w:r>
        <w:rPr>
          <w:noProof/>
        </w:rPr>
        <w:t xml:space="preserve">által azokban is szűkülhet az adóbázis. </w:t>
      </w:r>
    </w:p>
    <w:p w:rsidR="00342647" w:rsidRDefault="002B7AD0">
      <w:pPr>
        <w:rPr>
          <w:noProof/>
        </w:rPr>
      </w:pPr>
      <w:r>
        <w:rPr>
          <w:noProof/>
        </w:rPr>
        <w:t>A jelen javaslat kötelezővé teszi a tagállamok számára, hogy a határokon átnyúló vonatkozású feltételes adómegállapítási határozatokkal és az előzetes árképzési megállapodásokkal kapcsolatos alapvető információkat a</w:t>
      </w:r>
      <w:r>
        <w:rPr>
          <w:noProof/>
        </w:rPr>
        <w:t xml:space="preserve">utomatikusan megosszák az összes többi tagállammal. Ez azon az elven alapul, e határozatok potenciális hatását és relevanciáját a többi tagállam, </w:t>
      </w:r>
      <w:r>
        <w:rPr>
          <w:noProof/>
        </w:rPr>
        <w:lastRenderedPageBreak/>
        <w:t>nem pedig az intézkedésről határozó tagállam képes legjobban felmérni. Megfelelő esetben az információt fogadó</w:t>
      </w:r>
      <w:r>
        <w:rPr>
          <w:noProof/>
        </w:rPr>
        <w:t xml:space="preserve"> tagállam további, részletesebb tájékoztatást kérhet. </w:t>
      </w:r>
    </w:p>
    <w:p w:rsidR="00342647" w:rsidRDefault="002B7AD0">
      <w:pPr>
        <w:rPr>
          <w:noProof/>
        </w:rPr>
      </w:pPr>
      <w:r>
        <w:rPr>
          <w:noProof/>
        </w:rPr>
        <w:t>A javaslat kifejezetten úgy került kidolgozásra, hogy a határozatokkal kapcsolatos automatikus információcsere a 2011/16/EU irányelv meglévő, az információcsere gyakorlati eljárásaira vonatkozó rendelk</w:t>
      </w:r>
      <w:r>
        <w:rPr>
          <w:noProof/>
        </w:rPr>
        <w:t>ezéseire, egyebek mellett formanyomtatványok használatára épüljön. A javaslat az OECD szintjén végzett nemzetközi tevékenységgel és az adóalap-erózió és a nyereségátcsoportosítás (BEPS) tekintetében az OECD keretében tett erőfeszítésekkel is összhangban va</w:t>
      </w:r>
      <w:r>
        <w:rPr>
          <w:noProof/>
        </w:rPr>
        <w:t>n.</w:t>
      </w:r>
    </w:p>
    <w:p w:rsidR="00342647" w:rsidRDefault="002B7AD0">
      <w:pPr>
        <w:rPr>
          <w:noProof/>
        </w:rPr>
      </w:pPr>
      <w:r>
        <w:rPr>
          <w:noProof/>
        </w:rPr>
        <w:t>2012 során a vállalkozások adózására vonatkozó magatartási kódexszel foglalkozó csoport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áttekintette a feltételes adómegállapítással kapcsolatos tagállami gyakorlatokat. A csoport meghatározta, melyek azok a határokon átnyúló vonatkozású feltételes adó</w:t>
      </w:r>
      <w:r>
        <w:rPr>
          <w:noProof/>
        </w:rPr>
        <w:t>megállapítási határozatok, amelyekről spontán módon kell információt cserélni, és javasolta egy olyan modellútmutató kidolgozását, amelyet a tagállamok referenciaként használhatnának belső gyakorlatuk kialakítása során</w:t>
      </w:r>
      <w:r>
        <w:rPr>
          <w:rStyle w:val="FootnoteReference"/>
          <w:noProof/>
        </w:rPr>
        <w:footnoteReference w:id="3"/>
      </w:r>
      <w:r>
        <w:rPr>
          <w:noProof/>
        </w:rPr>
        <w:t>. A modellútmutató megállapította, ho</w:t>
      </w:r>
      <w:r>
        <w:rPr>
          <w:noProof/>
        </w:rPr>
        <w:t>gy a határokon átnyúló vonatkozású feltételes adómegállapítási határozatokról szóló spontán információcserének meg kell felelnie a 2011/16/EU irányelv 9. cikkében foglalt szabályoknak, azt elektronikus formanyomtatványok használatával és az irányelvben meg</w:t>
      </w:r>
      <w:r>
        <w:rPr>
          <w:noProof/>
        </w:rPr>
        <w:t>határozott elektronikus úton kell végrehajtani, az említett irányelv 10. cikkének megfelelően legkésőbb egy hónappal a határozat kibocsátását követően. A mintadokumentum továbbá előírta, hogy a tagállamok biztosítsák a tagállamok között e tárgyban folytata</w:t>
      </w:r>
      <w:r>
        <w:rPr>
          <w:noProof/>
        </w:rPr>
        <w:t>ndó információcserét lehetővé tevő megfelelő csatornákat, valamint gondoskodjanak a határozatokat kiadó tisztviselők színvonalas képzéséről és eligazításáról. Emellett a spontán információcsere tartalmi vonatkozásairól is tartalmazott iránymutatást. E mode</w:t>
      </w:r>
      <w:r>
        <w:rPr>
          <w:noProof/>
        </w:rPr>
        <w:t xml:space="preserve">llútmutató azonban jogilag nem kötelező. A gyakorlatban a tagállamok még akkor is alig cserélnek információt a feltételes adómegállapítási határozatokról vagy a transzferár-megállapodásokról, ha ezek más országokat is érintenek. </w:t>
      </w:r>
    </w:p>
    <w:p w:rsidR="00342647" w:rsidRDefault="002B7AD0">
      <w:pPr>
        <w:rPr>
          <w:noProof/>
        </w:rPr>
      </w:pPr>
      <w:r>
        <w:rPr>
          <w:noProof/>
        </w:rPr>
        <w:t>Következésképpen szükséges</w:t>
      </w:r>
      <w:r>
        <w:rPr>
          <w:noProof/>
        </w:rPr>
        <w:t>nek tűnik következetesebb és kötelező erejű megközelítést alkalmazni az Unióban a határozatokkal kapcsolatos információcserére vonatkozóan annak biztosítása érdekében, hogy amennyiben valamely tagállam határokon átnyúló vonatkozású feltételes adómegállapít</w:t>
      </w:r>
      <w:r>
        <w:rPr>
          <w:noProof/>
        </w:rPr>
        <w:t xml:space="preserve">ási határozatot vagy transzferár-megállapodást fogad el, bármely más érintett tagállam megtehesse a megfelelő, szükséges intézkedéseket. </w:t>
      </w:r>
    </w:p>
    <w:p w:rsidR="00342647" w:rsidRDefault="002B7AD0">
      <w:pPr>
        <w:rPr>
          <w:noProof/>
        </w:rPr>
      </w:pPr>
      <w:r>
        <w:rPr>
          <w:noProof/>
        </w:rPr>
        <w:t>A Bizottság 2014. december 16-án elkötelezte magát aziránt, hogy ilyen irányú javaslatot terjesszen elő a határokon át</w:t>
      </w:r>
      <w:r>
        <w:rPr>
          <w:noProof/>
        </w:rPr>
        <w:t>nyúló vonatkozású feltételes adómegállapításra vonatkozó automatikus információcseréről. Ezt a kötelezettségvállalást a Bizottság 2015. évi munkaprogramja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is tükrözi.</w:t>
      </w:r>
    </w:p>
    <w:p w:rsidR="00342647" w:rsidRDefault="002B7AD0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AZ ÉRDEKELT FELEKKEL FOLYTATOTT KONZULTÁCIÓK ÉS A HATÁSVIZSGÁLATOK EREDMÉNYEI</w:t>
      </w:r>
    </w:p>
    <w:p w:rsidR="00342647" w:rsidRDefault="002B7AD0"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>Az</w:t>
      </w:r>
      <w:r>
        <w:rPr>
          <w:noProof/>
        </w:rPr>
        <w:t xml:space="preserve"> adócsalás és az adókikerülés elleni cselekvési terv és a vonatkozó ajánlások (COM(2012) 722) keretében, valamint más fórumokon folytatott konzultációk</w:t>
      </w:r>
    </w:p>
    <w:p w:rsidR="00342647" w:rsidRDefault="002B7AD0">
      <w:pPr>
        <w:rPr>
          <w:noProof/>
        </w:rPr>
      </w:pPr>
      <w:r>
        <w:rPr>
          <w:noProof/>
        </w:rPr>
        <w:t>Az Európai Parlament 2013. május 21-én elfogadott állásfoglalásában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üdvözölte a Bizottság cselekvési te</w:t>
      </w:r>
      <w:r>
        <w:rPr>
          <w:noProof/>
        </w:rPr>
        <w:t xml:space="preserve">rvét és ajánlásait, sürgette a tagállamokat kötelezettségvállalásaik nyomon követésére és a bizottsági cselekvési terv felkarolására, valamint hangsúlyozta, hogy az Uniónak vezető szerepet kell vállalnia az adócsalás, az adókikerülés és az adóparadicsomok </w:t>
      </w:r>
      <w:r>
        <w:rPr>
          <w:noProof/>
        </w:rPr>
        <w:t>elleni küzdelemről folyó, globális szintű megbeszéléseken, mindenekelőtt az információcsere előmozdításával kapcsolatban.</w:t>
      </w:r>
    </w:p>
    <w:p w:rsidR="00342647" w:rsidRDefault="002B7AD0">
      <w:pPr>
        <w:rPr>
          <w:noProof/>
        </w:rPr>
      </w:pPr>
      <w:r>
        <w:rPr>
          <w:noProof/>
        </w:rPr>
        <w:t>Az Európai Gazdasági és Szociális Bizottság (EGSZB) 2013. április 17-én véleményt fogadott el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 Az EGSZB elfogadta a Bizottság </w:t>
      </w:r>
      <w:r>
        <w:rPr>
          <w:noProof/>
        </w:rPr>
        <w:t>cselekvési tervét, és támogatta az adócsalás és adókikerülés visszaszorításával kapcsolatos gyakorlati megoldások feltárását célzó bizottsági erőfeszítéseket.</w:t>
      </w:r>
    </w:p>
    <w:p w:rsidR="00342647" w:rsidRDefault="002B7AD0">
      <w:pPr>
        <w:rPr>
          <w:noProof/>
        </w:rPr>
      </w:pPr>
      <w:r>
        <w:rPr>
          <w:noProof/>
        </w:rPr>
        <w:t>Az elmúlt években a tagállamok a vállalkozások adózására vonatkozó magatartási kódexszel foglalko</w:t>
      </w:r>
      <w:r>
        <w:rPr>
          <w:noProof/>
        </w:rPr>
        <w:t>zó csoportban együttműködtek a határokon átnyúló vonatkozású feltételes adómegállapítási határozatok és a transzferárazás területére vonatkozó információcsere javítása érdekében. A magatartási kódexszel foglalkozó csoport jelentések útján rendszeresen tájé</w:t>
      </w:r>
      <w:r>
        <w:rPr>
          <w:noProof/>
        </w:rPr>
        <w:t>koztatta a Tanácsot következtetéseiről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 w:rsidR="00342647" w:rsidRDefault="002B7AD0"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>Tagállamok</w:t>
      </w:r>
    </w:p>
    <w:p w:rsidR="00342647" w:rsidRDefault="002B7AD0">
      <w:pPr>
        <w:rPr>
          <w:noProof/>
        </w:rPr>
      </w:pPr>
      <w:r>
        <w:rPr>
          <w:noProof/>
        </w:rPr>
        <w:t>Az irányelv a tagállamok által 2014-ben elfogadott modellútmutatón alapul, és így a tagállamok képviselői által különböző európai fórumokon elvégzett eddigi munkát tükrözi. A tagállamok egy ideje már</w:t>
      </w:r>
      <w:r>
        <w:rPr>
          <w:noProof/>
        </w:rPr>
        <w:t xml:space="preserve"> megbeszéléseket folytatnak a feltételes adómegállapítási határozatokra vonatkozó információcseréről, ám mindeddig ez nem vezetett az információcsere hatékony kereteinek kialakításához.</w:t>
      </w:r>
    </w:p>
    <w:p w:rsidR="00342647" w:rsidRDefault="002B7AD0"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>Szubszidiaritás és arányosság</w:t>
      </w:r>
    </w:p>
    <w:p w:rsidR="00342647" w:rsidRDefault="002B7AD0">
      <w:pPr>
        <w:rPr>
          <w:noProof/>
        </w:rPr>
      </w:pPr>
      <w:r>
        <w:rPr>
          <w:noProof/>
        </w:rPr>
        <w:t>A javaslat összhangban van a szubsz</w:t>
      </w:r>
      <w:r>
        <w:rPr>
          <w:noProof/>
        </w:rPr>
        <w:t>idiaritásnak és az arányosságnak az Európai Unióról szóló szerződés 5. cikkének (3), illetve (4) bekezdésében kifejtett elveivel.</w:t>
      </w:r>
    </w:p>
    <w:p w:rsidR="00342647" w:rsidRDefault="002B7AD0">
      <w:pPr>
        <w:rPr>
          <w:noProof/>
        </w:rPr>
      </w:pPr>
      <w:r>
        <w:rPr>
          <w:noProof/>
        </w:rPr>
        <w:t>Az EUMSZ 115. cikke rendelkezik a tagállamok olyan törvényi, rendeleti vagy közigazgatási rendelkezéseinek közelítéséről, amel</w:t>
      </w:r>
      <w:r>
        <w:rPr>
          <w:noProof/>
        </w:rPr>
        <w:t xml:space="preserve">yek közvetlenül érintik a belső piac megteremtését vagy működését, és szükségessé teszik a törvények közelítését. </w:t>
      </w:r>
    </w:p>
    <w:p w:rsidR="00342647" w:rsidRDefault="002B7AD0">
      <w:pPr>
        <w:rPr>
          <w:noProof/>
        </w:rPr>
      </w:pPr>
      <w:r>
        <w:rPr>
          <w:noProof/>
        </w:rPr>
        <w:t>Az egyes tagállamok egyedileg végrehajtott, koordinálatlan intézkedései révén nem érhető el elegendő mértékben az a cél, hogy minden tagállam</w:t>
      </w:r>
      <w:r>
        <w:rPr>
          <w:noProof/>
        </w:rPr>
        <w:t xml:space="preserve"> elegendő információval rendelkezzen a határokon átnyúló vonatkozású feltételes adómegállapítási határozatokról és az előzetes árképzési megállapodásokról. Ezért közös és kötelező jellegű megközelítés keretében kell megállapítani az azon feltételes adómegá</w:t>
      </w:r>
      <w:r>
        <w:rPr>
          <w:noProof/>
        </w:rPr>
        <w:t>llapítási határozatokra vonatkozó információcsere szabályait, amelyek egynél több tagállam adóbázisát érinthetik. A határokon átnyúló dimenzió a javasolt fellépésnek is szerves része. A határokon átnyúló vonatkozású feltételes adómegállapítási határozatokr</w:t>
      </w:r>
      <w:r>
        <w:rPr>
          <w:noProof/>
        </w:rPr>
        <w:t>a és az előzetes árképzési megállapodásokra vonatkozó hatékony információcsere ezért csak uniós szintű fellépés révén valósítható meg.</w:t>
      </w:r>
    </w:p>
    <w:p w:rsidR="00342647" w:rsidRDefault="002B7AD0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Jóllehet a modellútmutató elfogadása előrelépésnek tekinthető, jogi aktus elfogadása hatékonyabb megoldásnak tűnik. </w:t>
      </w:r>
      <w:r>
        <w:rPr>
          <w:noProof/>
        </w:rPr>
        <w:t>Ezenfelül mindaddig nem várható az átláthatóság megvalósulása, amíg a kibocsátó tagállam fogja saját jogi keretei alapján értékelni, hogy egy adott határozat mennyiben releváns más tagállamok számára. Az adózók kihasználhatják az információcserére vonatkoz</w:t>
      </w:r>
      <w:r>
        <w:rPr>
          <w:noProof/>
        </w:rPr>
        <w:t>ó közös szabályok hiányát olyan konstrukciók létrehozása érdekében, amelyek segítségével alacsony adómértéket alkalmazó országokba csoportosítják át nyereségüket; ezek az országok nem feltétlenül azonosak a nyereségtermelő gazdasági tevékenység és az érték</w:t>
      </w:r>
      <w:r>
        <w:rPr>
          <w:noProof/>
        </w:rPr>
        <w:t>teremtés helyszínével.</w:t>
      </w:r>
      <w:r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Mivel a feltételes adómegállapítás sok esetben határokon átnyúló konstrukciókra vonatkozik, a tagállamok egymásra vannak utalva, ha teljes képet akarnak alkotni. Ebből kifolyólag a tagállamok egyedi fellépése helyett a tagállamok e</w:t>
      </w:r>
      <w:r>
        <w:rPr>
          <w:noProof/>
        </w:rPr>
        <w:t>gyüttműködése jobban biztosítja a feltételes adómegállapítási határozatokra vonatkozó eredményes és hiánytalan információcserét. A harmonizált uniós megközelítés eredményesebben biztosítja az átláthatóságot és az adóigazgatások közötti együttműködést az ad</w:t>
      </w:r>
      <w:r>
        <w:rPr>
          <w:noProof/>
        </w:rPr>
        <w:t xml:space="preserve">ókikerülés elleni küzdelemben. </w:t>
      </w:r>
    </w:p>
    <w:p w:rsidR="00342647" w:rsidRDefault="002B7AD0">
      <w:pPr>
        <w:rPr>
          <w:noProof/>
        </w:rPr>
      </w:pPr>
      <w:r>
        <w:rPr>
          <w:noProof/>
        </w:rPr>
        <w:t>A szakpolitikai fellépés tárgyaként azonosított probléma a határokon átnyúló vonatkozással rendelkező feltételes adómegállapítási határozatok átláthatóságának hiánya, ami negatívan hat a belső piac megfelelő működésére. A sz</w:t>
      </w:r>
      <w:r>
        <w:rPr>
          <w:noProof/>
        </w:rPr>
        <w:t>akpolitikai válasz a határokon átnyúló elemmel rendelkező határozatokra korlátozódik. A válasz kétlépcsős megközelítést foglal magában, amely szerint a tagállamoknak minden más uniós tagállamot tájékoztatniuk kell az irányelvben meghatározott egyes alapvet</w:t>
      </w:r>
      <w:r>
        <w:rPr>
          <w:noProof/>
        </w:rPr>
        <w:t>ő információkról. A megosztandó információknak egyfelől a lehető legtömörebbnek kell lenniük, másfelől elegendőnek kell lenniük ahhoz, hogy abból az információt fogadó tagállam megállapíthassa, szüksége van-e részletesebb adatokra. A második lépcsőben azok</w:t>
      </w:r>
      <w:r>
        <w:rPr>
          <w:noProof/>
        </w:rPr>
        <w:t xml:space="preserve"> a tagállamok, amelyek alá tudják támasztani, hogy az információ előreláthatóan releváns számukra, részletesebb tájékoztatást kérhetnek az irányelv meglévő rendelkezéseinek megfelelően. Következésképpen a javaslat az azonosított problémára adott legarányos</w:t>
      </w:r>
      <w:r>
        <w:rPr>
          <w:noProof/>
        </w:rPr>
        <w:t>abb megoldást képviseli, mivel azokra a feltételes adómegállapítási határozatokra és előzetes árképzési megállapodásokra korlátozódik, amelyek határokon átnyúló elemmel rendelkeznek.  Emellett a javaslat olyan alapvető információk automatikus cseréjéről re</w:t>
      </w:r>
      <w:r>
        <w:rPr>
          <w:noProof/>
        </w:rPr>
        <w:t>ndelkezik, amelyek alapján minden egyes tagállam meghatározhatja, kérjen-e további, részletesebb információkat. A javasolt módosítások ebből kifolyólag nem terjednek túl a szóban forgó problémák kezeléséhez és ezen keresztül a belső piac megfelelő és haték</w:t>
      </w:r>
      <w:r>
        <w:rPr>
          <w:noProof/>
        </w:rPr>
        <w:t xml:space="preserve">ony működése vonatkozásában a Szerződésekben előírt célok eléréséhez szükséges mértéken. </w:t>
      </w:r>
    </w:p>
    <w:p w:rsidR="00342647" w:rsidRDefault="002B7AD0">
      <w:pPr>
        <w:pStyle w:val="ManualHeading2"/>
        <w:rPr>
          <w:noProof/>
        </w:rPr>
      </w:pPr>
      <w:r>
        <w:rPr>
          <w:noProof/>
        </w:rPr>
        <w:t>2.4.</w:t>
      </w:r>
      <w:r>
        <w:rPr>
          <w:noProof/>
        </w:rPr>
        <w:tab/>
        <w:t>Bizottsági szolgálati munkadokumentum</w:t>
      </w:r>
    </w:p>
    <w:p w:rsidR="00342647" w:rsidRDefault="002B7AD0">
      <w:pPr>
        <w:rPr>
          <w:noProof/>
        </w:rPr>
      </w:pPr>
      <w:r>
        <w:rPr>
          <w:noProof/>
        </w:rPr>
        <w:t>A jelen javaslatot kísérő bizottsági szolgálati munkadokumentum az eredményesség, hatékonyság, koherencia, társadalmi hatás</w:t>
      </w:r>
      <w:r>
        <w:rPr>
          <w:noProof/>
        </w:rPr>
        <w:t xml:space="preserve"> és alapvető jogok szempontjai alapján értékeli a szakpolitikai alternatívákat. A Bizottság a kiválasztott szakpolitikai opció támogatása érdekében elkészítette az alternatívák elemzését. </w:t>
      </w:r>
    </w:p>
    <w:p w:rsidR="00342647" w:rsidRDefault="002B7AD0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 JAVASLAT JOGI ELEMEI</w:t>
      </w:r>
    </w:p>
    <w:p w:rsidR="00342647" w:rsidRDefault="002B7AD0">
      <w:pPr>
        <w:rPr>
          <w:noProof/>
        </w:rPr>
      </w:pPr>
      <w:r>
        <w:rPr>
          <w:noProof/>
        </w:rPr>
        <w:t xml:space="preserve">E javaslat célja annak biztosítása, hogy </w:t>
      </w:r>
      <w:r>
        <w:rPr>
          <w:noProof/>
        </w:rPr>
        <w:t xml:space="preserve">a határokon átnyúló vonatkozású feltételes adómegállapítási határozatokra és az előzetes árképzési megállapodásokra vonatkozó információkat a tagállamok automatikusan megosszák egymással az új 8a. cikkben foglalt feltételek teljesülése esetén. </w:t>
      </w:r>
    </w:p>
    <w:p w:rsidR="00342647" w:rsidRDefault="002B7AD0">
      <w:pPr>
        <w:rPr>
          <w:noProof/>
        </w:rPr>
      </w:pPr>
      <w:r>
        <w:rPr>
          <w:noProof/>
        </w:rPr>
        <w:t>Ennek érdek</w:t>
      </w:r>
      <w:r>
        <w:rPr>
          <w:noProof/>
        </w:rPr>
        <w:t>ében a javaslat módosítja a 2014/107/EU irányelvvel módosított 2011/16/EU irányelvet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a határokon átnyúló vonatkozású feltételes adómegállapítási határozatokra és az előzetes árképzési megállapodásokra vonatkozó automatikus információcsere bevezetése révén</w:t>
      </w:r>
      <w:r>
        <w:rPr>
          <w:noProof/>
        </w:rPr>
        <w:t xml:space="preserve">.  </w:t>
      </w:r>
    </w:p>
    <w:p w:rsidR="00342647" w:rsidRDefault="002B7AD0">
      <w:pPr>
        <w:rPr>
          <w:noProof/>
        </w:rPr>
      </w:pPr>
      <w:r>
        <w:rPr>
          <w:noProof/>
        </w:rPr>
        <w:t>Nevezetesen, a javasolt irányelv 1. cikkének 3. pontja új 8a. cikket illeszt a meglévő irányelvbe, amely cikk megállapítja a javasolt irányelvben meghatározott, annak 1. cikkének 1. pontja által a meglévő irányelvbe beillesztendő feltételes adómegállap</w:t>
      </w:r>
      <w:r>
        <w:rPr>
          <w:noProof/>
        </w:rPr>
        <w:t>ítási határozattípusokra és transzferármegállapodás-típusokra vonatkozó kötelező, automatikus információcsere hatályát és feltételeit. A 8a. cikk (1) bekezdése arról rendelkezik, hogy a tagállamok illetékes hatóságai automatikus csere útján tájékoztatják a</w:t>
      </w:r>
      <w:r>
        <w:rPr>
          <w:noProof/>
        </w:rPr>
        <w:t>z összes többi tagállam illetékes hatóságát az általuk kiadott vagy módosított, a fogalommeghatározásban definiált feltételes adómegállapítási határozatokról. Ez a kötelezettség kiterjed a javasolt irányelv hatálybalépését megelőző tíz évben kiadott azon f</w:t>
      </w:r>
      <w:r>
        <w:rPr>
          <w:noProof/>
        </w:rPr>
        <w:t>eltételes adómegállapítási határozatokra, amelyek az irányelv hatálybalépésekor még hatályban vannak (8a. cikk (2) bekezdés).</w:t>
      </w:r>
    </w:p>
    <w:p w:rsidR="00342647" w:rsidRDefault="002B7AD0">
      <w:pPr>
        <w:rPr>
          <w:noProof/>
        </w:rPr>
      </w:pPr>
      <w:r>
        <w:rPr>
          <w:noProof/>
        </w:rPr>
        <w:t>A javasolt irányelv 1. cikkének 6. pontja lehetővé teszi, hogy a Bizottság biztonságos központi adattárat hozzon létre a jelen jav</w:t>
      </w:r>
      <w:r>
        <w:rPr>
          <w:noProof/>
        </w:rPr>
        <w:t>aslat keretében továbbított információk rögzítése céljából. Ez a központi adattár megkönnyítené az információcserét, és elősegítené a tagállamok arra vonatkozó feladatának teljesítését, hogy az egymás között megosztott határozatokat megvizsgálják, és azokr</w:t>
      </w:r>
      <w:r>
        <w:rPr>
          <w:noProof/>
        </w:rPr>
        <w:t xml:space="preserve">a reagáljanak. </w:t>
      </w:r>
    </w:p>
    <w:p w:rsidR="00342647" w:rsidRDefault="002B7AD0">
      <w:pPr>
        <w:rPr>
          <w:noProof/>
        </w:rPr>
      </w:pPr>
      <w:r>
        <w:rPr>
          <w:noProof/>
        </w:rPr>
        <w:t>A javasolt irányelv emellett aktualizálja a 2011. évi irányelvet azáltal, hogy annak a visszajelzésre, az információcserével kapcsolatos gyakorlati intézkedésekre és a közigazgatási együttműködés értékelésére vonatkozó szabályait kiterjeszt</w:t>
      </w:r>
      <w:r>
        <w:rPr>
          <w:noProof/>
        </w:rPr>
        <w:t>i a határokon átnyúló vonatkozású feltételes adómegállapítási határozatokra és az előzetes árképzési megállapodásokra vonatkozó automatikus információcserére.</w:t>
      </w:r>
    </w:p>
    <w:p w:rsidR="00342647" w:rsidRDefault="002B7AD0">
      <w:pPr>
        <w:rPr>
          <w:noProof/>
        </w:rPr>
      </w:pPr>
      <w:r>
        <w:rPr>
          <w:noProof/>
        </w:rPr>
        <w:t>E módosítások tárgya ugyanazon jogalap alá tartozik, mint a 2011/16/EU irányelv, nevezetesen az E</w:t>
      </w:r>
      <w:r>
        <w:rPr>
          <w:noProof/>
        </w:rPr>
        <w:t>urópai Unió működéséről szóló szerződés (EUMSZ) 115. cikke alá, amely a belső piac megfelelő működését hivatott biztosítani.</w:t>
      </w:r>
    </w:p>
    <w:p w:rsidR="00342647" w:rsidRDefault="002B7AD0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HATÁSOK</w:t>
      </w:r>
    </w:p>
    <w:p w:rsidR="00342647" w:rsidRDefault="002B7AD0">
      <w:pPr>
        <w:rPr>
          <w:noProof/>
        </w:rPr>
      </w:pPr>
      <w:r>
        <w:rPr>
          <w:noProof/>
        </w:rPr>
        <w:t>A javaslat uniós költségvetésre gyakorolt hatását a javaslatot kísérő pénzügyi kimutatás mutatja be; a köl</w:t>
      </w:r>
      <w:r>
        <w:rPr>
          <w:noProof/>
        </w:rPr>
        <w:t>tségek a rendelkezésre álló forrásokból fedezhetők. A kialakítandó informatikai eszközök költségeit, továbbá a tagállamok közötti információcsere megkönnyítésére és az információk tárolására hivatott, a Bizottság által létrehozható központi adattár költség</w:t>
      </w:r>
      <w:r>
        <w:rPr>
          <w:noProof/>
        </w:rPr>
        <w:t>eit az 1286/2013/EU rendelet által bevezetett, a tagállamok adóhatóságai közötti közigazgatási együttműködés javítását célzó tevékenységeknek pénzügyi támogatást biztosító Fiscalis 2020 programból kell finanszírozni.</w:t>
      </w:r>
    </w:p>
    <w:p w:rsidR="00342647" w:rsidRDefault="00342647">
      <w:pPr>
        <w:rPr>
          <w:noProof/>
        </w:rPr>
        <w:sectPr w:rsidR="00342647">
          <w:footerReference w:type="default" r:id="rId14"/>
          <w:footerReference w:type="first" r:id="rId15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342647" w:rsidRDefault="002B7AD0">
      <w:pPr>
        <w:pStyle w:val="Rfrenceinterinstitutionnelle"/>
        <w:rPr>
          <w:noProof/>
        </w:rPr>
      </w:pPr>
      <w:r>
        <w:rPr>
          <w:noProof/>
        </w:rPr>
        <w:t>2015/0068 (CNS)</w:t>
      </w:r>
    </w:p>
    <w:p w:rsidR="00342647" w:rsidRDefault="002B7AD0">
      <w:pPr>
        <w:pStyle w:val="Statut"/>
        <w:rPr>
          <w:noProof/>
        </w:rPr>
      </w:pPr>
      <w:r>
        <w:rPr>
          <w:noProof/>
        </w:rPr>
        <w:t>Javaslat</w:t>
      </w:r>
    </w:p>
    <w:p w:rsidR="00342647" w:rsidRDefault="002B7AD0">
      <w:pPr>
        <w:pStyle w:val="Typedudocument"/>
        <w:rPr>
          <w:noProof/>
        </w:rPr>
      </w:pPr>
      <w:r>
        <w:rPr>
          <w:noProof/>
        </w:rPr>
        <w:t>A TANÁCS IRÁNYELVE</w:t>
      </w:r>
    </w:p>
    <w:p w:rsidR="00342647" w:rsidRDefault="002B7AD0">
      <w:pPr>
        <w:pStyle w:val="Titreobjet"/>
        <w:rPr>
          <w:noProof/>
        </w:rPr>
      </w:pPr>
      <w:r>
        <w:rPr>
          <w:noProof/>
        </w:rPr>
        <w:t>a 2011/16/EU irányelvnek az adózás területére vonatkozó kötelező automatikus információcsere tekintetében történő módosításáról</w:t>
      </w:r>
    </w:p>
    <w:p w:rsidR="00342647" w:rsidRDefault="002B7AD0">
      <w:pPr>
        <w:pStyle w:val="Institutionquiagit"/>
        <w:rPr>
          <w:noProof/>
        </w:rPr>
      </w:pPr>
      <w:r>
        <w:rPr>
          <w:noProof/>
        </w:rPr>
        <w:t xml:space="preserve">AZ EURÓPAI UNIÓ </w:t>
      </w:r>
      <w:r>
        <w:rPr>
          <w:noProof/>
        </w:rPr>
        <w:t>TANÁCSA,</w:t>
      </w:r>
    </w:p>
    <w:p w:rsidR="00342647" w:rsidRDefault="002B7AD0">
      <w:pPr>
        <w:rPr>
          <w:noProof/>
        </w:rPr>
      </w:pPr>
      <w:r>
        <w:rPr>
          <w:noProof/>
        </w:rPr>
        <w:t>tekintettel az Európai Unió működéséről szóló szerződésre és különösen annak 115. cikkére,</w:t>
      </w:r>
    </w:p>
    <w:p w:rsidR="00342647" w:rsidRDefault="002B7AD0">
      <w:pPr>
        <w:rPr>
          <w:noProof/>
        </w:rPr>
      </w:pPr>
      <w:r>
        <w:rPr>
          <w:noProof/>
        </w:rPr>
        <w:t>tekintettel az Európai Bizottság javaslatára,</w:t>
      </w:r>
    </w:p>
    <w:p w:rsidR="00342647" w:rsidRDefault="002B7AD0">
      <w:pPr>
        <w:rPr>
          <w:noProof/>
        </w:rPr>
      </w:pPr>
      <w:r>
        <w:rPr>
          <w:noProof/>
        </w:rPr>
        <w:t>a jogalkotási aktus tervezete nemzeti parlamenteknek való megküldését követően,</w:t>
      </w:r>
    </w:p>
    <w:p w:rsidR="00342647" w:rsidRDefault="002B7AD0">
      <w:pPr>
        <w:rPr>
          <w:noProof/>
        </w:rPr>
      </w:pPr>
      <w:r>
        <w:rPr>
          <w:noProof/>
        </w:rPr>
        <w:t>tekintettel az Európai Parlame</w:t>
      </w:r>
      <w:r>
        <w:rPr>
          <w:noProof/>
        </w:rPr>
        <w:t>nt véleményére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</w:t>
      </w:r>
    </w:p>
    <w:p w:rsidR="00342647" w:rsidRDefault="002B7AD0">
      <w:pPr>
        <w:rPr>
          <w:noProof/>
        </w:rPr>
      </w:pPr>
      <w:r>
        <w:rPr>
          <w:noProof/>
        </w:rPr>
        <w:t>tekintettel az Európai Gazdasági és Szociális Bizottság véleményére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, </w:t>
      </w:r>
    </w:p>
    <w:p w:rsidR="00342647" w:rsidRDefault="002B7AD0">
      <w:pPr>
        <w:rPr>
          <w:noProof/>
        </w:rPr>
      </w:pPr>
      <w:r>
        <w:rPr>
          <w:noProof/>
        </w:rPr>
        <w:t>tekintettel a Régiók Bizottságának véleményére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</w:t>
      </w:r>
    </w:p>
    <w:p w:rsidR="00342647" w:rsidRDefault="002B7AD0">
      <w:pPr>
        <w:rPr>
          <w:noProof/>
        </w:rPr>
      </w:pPr>
      <w:r>
        <w:rPr>
          <w:noProof/>
        </w:rPr>
        <w:t>különleges jogalkotási eljárás keretében,</w:t>
      </w:r>
    </w:p>
    <w:p w:rsidR="00342647" w:rsidRDefault="002B7AD0">
      <w:pPr>
        <w:rPr>
          <w:noProof/>
        </w:rPr>
      </w:pPr>
      <w:r>
        <w:rPr>
          <w:noProof/>
        </w:rPr>
        <w:t>mivel:</w:t>
      </w:r>
    </w:p>
    <w:p w:rsidR="00342647" w:rsidRDefault="002B7AD0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A határokon átnyúló adókikerülés, az agresszív adótervezés és a </w:t>
      </w:r>
      <w:r>
        <w:rPr>
          <w:noProof/>
        </w:rPr>
        <w:t>káros adóverseny problémája az elmúlt években egyre súlyosabb kihívásként merült fel, és az Európai Unióban és világszerte előtérbe került. Az adóbázis-erózió jelentősen csökkenti a nemzeti adóbevételeket, ami nehezíti, hogy a tagállamok növekedésbarát adó</w:t>
      </w:r>
      <w:r>
        <w:rPr>
          <w:noProof/>
        </w:rPr>
        <w:t>politikát alkalmazzanak. Az adózási megfontolások által vezérelt konstrukciók esetében hozott feltételes adómegállapítási határozatok mesterségesen magas jövedelmek alacsony mértékű megadóztatásához vezetnek a feltételes adómegállapítási határozatot kibocs</w:t>
      </w:r>
      <w:r>
        <w:rPr>
          <w:noProof/>
        </w:rPr>
        <w:t>átó országban, és minden egyéb érintett országban mesterségesen alacsony szintű adóköteles jövedelmet eredményezhetnek. Sürgősen szükség van ezért az átláthatóság növelésére. Ennek érdekében meg kell erősíteni a 2011/16/EU tanácsi irányelv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által létrehozo</w:t>
      </w:r>
      <w:r>
        <w:rPr>
          <w:noProof/>
        </w:rPr>
        <w:t xml:space="preserve">tt eszközöket és mechanizmusokat. </w:t>
      </w:r>
    </w:p>
    <w:p w:rsidR="00342647" w:rsidRDefault="002B7AD0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2014. december 18-i következtetéseiben az Európai Tanács hangsúlyozta, hogy sürgősen elő kell mozdítani az adókikerülés és az agresszív adótervezés elleni küzdelemre irányuló erőfeszítéseket mind globális, mind uniós szinten. Kiemelve az átláthatóság fonto</w:t>
      </w:r>
      <w:r>
        <w:rPr>
          <w:noProof/>
        </w:rPr>
        <w:t xml:space="preserve">sságát, az Európai Tanács üdvözölte a Bizottság azon szándékát, hogy javaslatot terjesszen elő a feltételes adómegállapításokra vonatkozó információk EU-n belüli automatikus cseréjéről. </w:t>
      </w:r>
    </w:p>
    <w:p w:rsidR="00342647" w:rsidRDefault="002B7AD0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2011/16/EU irányelv öt meghatározott esetben és konkrét határid</w:t>
      </w:r>
      <w:r>
        <w:rPr>
          <w:noProof/>
        </w:rPr>
        <w:t>őket előírva rendelkezik a tagállamok közötti kötelező spontán információcseréről. Az azon esetekre vonatkozó spontán információcsere, amikor egy tagállam hatáskörrel rendelkező hatóságának oka van feltételezni, hogy egy másik tagállamban adóbevétel-kiesés</w:t>
      </w:r>
      <w:r>
        <w:rPr>
          <w:noProof/>
        </w:rPr>
        <w:t xml:space="preserve"> következhet be, már ma is alkalmazandó azokra a határokon átnyúló vonatkozással rendelkező feltételes adómegállapítási határozatokra, amelyeket egy tagállam egy meghatározott adózónak címez az adózási rendelkezések jövőbeli értelmezése és alkalmazása tárg</w:t>
      </w:r>
      <w:r>
        <w:rPr>
          <w:noProof/>
        </w:rPr>
        <w:t>yában.</w:t>
      </w:r>
    </w:p>
    <w:p w:rsidR="00342647" w:rsidRDefault="002B7AD0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határokon átnyúló vonatkozású feltételes adómegállapítási határozatokra és az előzetes árképzési megállapodásokra vonatkozó spontán információcsere hatékonyságát azonban számos fontos gyakorlati nehézség akadályozza, melyek egyike, hogy a hatá</w:t>
      </w:r>
      <w:r>
        <w:rPr>
          <w:noProof/>
        </w:rPr>
        <w:t xml:space="preserve">rozatot kibocsátó tagállam mérlegelheti, mely más tagállamokat értesítsen.   </w:t>
      </w:r>
    </w:p>
    <w:p w:rsidR="00342647" w:rsidRDefault="002B7AD0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A határokon átnyúló vonatkozású feltételes adómegállapítási határozatokra és az előzetes árképzési megállapodásokra vonatkozó kötelező automatikus információcsere esetében a </w:t>
      </w:r>
      <w:r>
        <w:rPr>
          <w:noProof/>
        </w:rPr>
        <w:t>hatékony információcsere biztosítása céljából meg kell tiltani az információcsere megtagadásának lehetőségét, amennyiben az üzleti, ipari vagy szakmai titok, kereskedelmi folyamat vagy olyan információ felfedéséhez vezet, amelynek felfedése sérti a közrend</w:t>
      </w:r>
      <w:r>
        <w:rPr>
          <w:noProof/>
        </w:rPr>
        <w:t>et. Az üzleti érdekek védelmét megfelelően biztosítja a tagállamok között kötelezően megosztandó információk korlátozott jellege.</w:t>
      </w:r>
    </w:p>
    <w:p w:rsidR="00342647" w:rsidRDefault="002B7AD0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határokon átnyúló vonatkozású feltételes adómegállapítási határozatokra és az előzetes árképzési megállapodásokra vonatk</w:t>
      </w:r>
      <w:r>
        <w:rPr>
          <w:noProof/>
        </w:rPr>
        <w:t>ozó kötelező automatikus információcsere előnyeinek kihasználása érdekében az információkat a határozatok/megállapodások kibocsátását követően haladéktalanul továbbítani kell, és ennek érdekében az információközlésre rendszeres időközöket kell megállapítan</w:t>
      </w:r>
      <w:r>
        <w:rPr>
          <w:noProof/>
        </w:rPr>
        <w:t xml:space="preserve">i. </w:t>
      </w:r>
    </w:p>
    <w:p w:rsidR="00342647" w:rsidRDefault="002B7AD0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 határokon átnyúló vonatkozású feltételes adómegállapítási határozatokra és az előzetes árképzési megállapodásokra vonatkozó kötelező automatikus információcserének minden egyes esetben egyes alapvető információk meghatározott körére kell kiterjed</w:t>
      </w:r>
      <w:r>
        <w:rPr>
          <w:noProof/>
        </w:rPr>
        <w:t>nie, melyet minden tagállamnak meg kell küldeni. A Bizottságnak az információcseréhez használandó formanyomtatvány megállapítása tekintetében a 2011/16/EU irányelvben meghatározott eljárás alapján el kell fogadnia az információcsere standardizálása érdekéb</w:t>
      </w:r>
      <w:r>
        <w:rPr>
          <w:noProof/>
        </w:rPr>
        <w:t xml:space="preserve">en szükséges intézkedéseket. Ezt az eljárást kell alkalmazni az információcsere végrehajtásához szükséges rendelkezések és gyakorlati intézkedések elfogadása esetében is. </w:t>
      </w:r>
    </w:p>
    <w:p w:rsidR="00342647" w:rsidRDefault="002B7AD0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A tagállamoknak a megosztandó alapvető információkat a Bizottsággal is közölniük</w:t>
      </w:r>
      <w:r>
        <w:rPr>
          <w:noProof/>
        </w:rPr>
        <w:t xml:space="preserve"> kell. Ez lehetővé teszi, hogy a Bizottság mindenkor nyomon követhesse és értékelhesse a határokon átnyúló vonatkozású feltételes adómegállapítási határozatokra és az előzetes árképzési megállapodásokra vonatkozó automatikus információcsere tényleges alkal</w:t>
      </w:r>
      <w:r>
        <w:rPr>
          <w:noProof/>
        </w:rPr>
        <w:t xml:space="preserve">mazását. Ez a tájékoztatás nem mentesíti a tagállamokat azon kötelezettségük alól, hogy az állami támogatásokat bejelentsék a Bizottságnak. </w:t>
      </w:r>
    </w:p>
    <w:p w:rsidR="00342647" w:rsidRDefault="002B7AD0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Minden hatékony automatikus információcsere-rendszer működésének szükséges eleme az információt fogadó tagállam</w:t>
      </w:r>
      <w:r>
        <w:rPr>
          <w:noProof/>
        </w:rPr>
        <w:t xml:space="preserve"> információt közlő tagállam felé történő visszajelzése. Célszerű ezért olyan intézkedéseket megállapítani, amelyek lehetővé teszik a visszajelzést abban az esetben, ha az információt felhasználták, és a 2011/16/EU irányelv egyéb rendelkezései alapján nem a</w:t>
      </w:r>
      <w:r>
        <w:rPr>
          <w:noProof/>
        </w:rPr>
        <w:t>dható visszajelzés.</w:t>
      </w:r>
    </w:p>
    <w:p w:rsidR="00342647" w:rsidRDefault="002B7AD0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Lehetővé kell tenni, hogy további információk – ezen belül a határokon átnyúló vonatkozású feltételes adómegállapítási határozatok és az előzetes árképzési megállapodások teljes szövegének – az azokat kibocsátó tagállamtól való bek</w:t>
      </w:r>
      <w:r>
        <w:rPr>
          <w:noProof/>
        </w:rPr>
        <w:t>érése tekintetében a tagállamok támaszkodhassanak a 2011/16/EU irányelv megkeresésre történő információcserére vonatkozó 5. cikkére.</w:t>
      </w:r>
    </w:p>
    <w:p w:rsidR="00342647" w:rsidRDefault="002B7AD0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A tagállamoknak minden szükséges intézkedést meg kell hozniuk annak érdekében, hogy a határokon átnyúló vonatkozású fe</w:t>
      </w:r>
      <w:r>
        <w:rPr>
          <w:noProof/>
        </w:rPr>
        <w:t xml:space="preserve">ltételes adómegállapítási határozatokra és az előzetes árképzési megállapodásokra vonatkozó hatékony és lehető legszélesebb körű kötelező automatikus információcsere útjában álló akadályokat felszámolják. </w:t>
      </w:r>
    </w:p>
    <w:p w:rsidR="00342647" w:rsidRDefault="002B7AD0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Az erőforrások hatékony felhasználása és az i</w:t>
      </w:r>
      <w:r>
        <w:rPr>
          <w:noProof/>
        </w:rPr>
        <w:t>nformációcsere előmozdítása érdekében, továbbá annak elkerülése érdekében, hogy minden egyes tagállam hasonló fejlesztések végrehajtására kényszerüljön információtárolási rendszerében, valamennyi tagállam és a Bizottság számára hozzáférhető központi adattá</w:t>
      </w:r>
      <w:r>
        <w:rPr>
          <w:noProof/>
        </w:rPr>
        <w:t>r létrehozásáról kell rendelkezni, amelybe a tagállamok feltölthetik, és amelyben tárolhatják az információkat, ahelyett hogy e-mail útján osztanák meg azokat. Az adattár létrehozásához szükséges gyakorlati intézkedéseket a Bizottságnak a 2011/16/EU iránye</w:t>
      </w:r>
      <w:r>
        <w:rPr>
          <w:noProof/>
        </w:rPr>
        <w:t>lv 26. cikkének (2) bekezdésében említett eljárással összhangban kell elfogadnia.</w:t>
      </w:r>
    </w:p>
    <w:p w:rsidR="00342647" w:rsidRDefault="002B7AD0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Az információk, statisztikai adatok és jelentések benyújtására a 2011/16/EU irányelvben megállapított határidőket ki kell terjeszteni, tekintettel a 2014/107/EU irányelv</w:t>
      </w:r>
      <w:r>
        <w:rPr>
          <w:noProof/>
        </w:rPr>
        <w:t xml:space="preserve"> és a jelen irányelv által bevezetett módosítások jellegére és mértékére. E kiterjesztésnek biztosítania kell, hogy a benyújtandó információk figyelembe vehessék a módosításokból eredő tapasztalatokat. A kiterjesztést mind a tagállamok által 2016. július 1</w:t>
      </w:r>
      <w:r>
        <w:rPr>
          <w:noProof/>
        </w:rPr>
        <w:t>-ig benyújtandó statisztikai adatokra és egyéb információkra, mind a Bizottság által 2017. július 1-ig benyújtandó jelentésre és – megfelelő esetben – javaslatra alkalmazni kell.</w:t>
      </w:r>
    </w:p>
    <w:p w:rsidR="00342647" w:rsidRDefault="002B7AD0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A 2011/16/EU irányelv által képviselt fokozatos megközelítés jegyében he</w:t>
      </w:r>
      <w:r>
        <w:rPr>
          <w:noProof/>
        </w:rPr>
        <w:t>lyénvaló a 2011/16/EU irányelv 8. cikkének (1) bekezdésében meghatározott, meglévő kötelező automatikus információcsere határidőit kiigazítani annak biztosítása érdekében, hogy az egyes kategóriákra vonatkozóan rendelkezésre álló információk közlésére azon</w:t>
      </w:r>
      <w:r>
        <w:rPr>
          <w:noProof/>
        </w:rPr>
        <w:t xml:space="preserve"> adóév végét követő kilenc hónapon belül kerüljön sor, amelyikre az információk vonatkoznak. </w:t>
      </w:r>
    </w:p>
    <w:p w:rsidR="00342647" w:rsidRDefault="002B7AD0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Módosítani kell a titoktartásra vonatkozó meglévő rendelkezéseket annak érdekében, hogy azok tükrözzék a kötelező automatikus információcsere kiterjesztését </w:t>
      </w:r>
      <w:r>
        <w:rPr>
          <w:noProof/>
        </w:rPr>
        <w:t xml:space="preserve">a határokon átnyúló vonatkozású feltételes adómegállapítási határozatokra és az előzetes árképzési megállapodásokra.  </w:t>
      </w:r>
    </w:p>
    <w:p w:rsidR="00342647" w:rsidRDefault="002B7AD0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Ez az irányelv tiszteletben tartja az alapvető jogokat, és szem előtt tartja különösen az Európai Unió Alapjogi Chartájában elismert</w:t>
      </w:r>
      <w:r>
        <w:rPr>
          <w:noProof/>
        </w:rPr>
        <w:t xml:space="preserve"> alapelveket. Ezen belül mindenekelőtt teljes mértékben biztosítani kívánja a személyes adatok védelmének és a vállalkozás szabadságának tiszteletben tartását. </w:t>
      </w:r>
    </w:p>
    <w:p w:rsidR="00342647" w:rsidRDefault="002B7AD0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Mivel ezen irányelv célját, nevezetesen a tagállamok közötti, a belső piac megfelelő működ</w:t>
      </w:r>
      <w:r>
        <w:rPr>
          <w:noProof/>
        </w:rPr>
        <w:t>ésével összeegyeztethető hatékony közigazgatási együttműködést a tagállamok nem tudják kielégítően megvalósítani, az Unió szintjén azonban a szükséges egységesség és hatékonyság miatt e célok jobban megvalósíthatók, az Unió intézkedéseket hozhat az Európai</w:t>
      </w:r>
      <w:r>
        <w:rPr>
          <w:noProof/>
        </w:rPr>
        <w:t xml:space="preserve"> Unióról szóló szerződés 5. cikkében foglalt szubszidiaritás elvének megfelelően. Az említett cikkben foglalt arányosság elvének megfelelően ez az irányelv nem lépi túl az e cél eléréséhez szükséges mértéket. </w:t>
      </w:r>
    </w:p>
    <w:p w:rsidR="00342647" w:rsidRDefault="002B7AD0"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A tagállamoknak és a Bizottságnak a magya</w:t>
      </w:r>
      <w:r>
        <w:rPr>
          <w:noProof/>
        </w:rPr>
        <w:t>rázó dokumentumokról szóló, 2011. szeptember 28-i együttes politikai nyilatkozatával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összhangban a tagállamok vállalták, hogy az átültető intézkedéseikről szóló értesítéshez indokolt esetben egy vagy több olyan dokumentumot mellékelnek, amely megmagyarázz</w:t>
      </w:r>
      <w:r>
        <w:rPr>
          <w:noProof/>
        </w:rPr>
        <w:t>a az irányelv elemei és az azt átültető nemzeti jogi eszközök megfelelő részei közötti kapcsolatot. Ezen irányelv tekintetében a jogalkotó az ilyen dokumentum(ok) megküldését indokoltnak tekinti.</w:t>
      </w:r>
    </w:p>
    <w:p w:rsidR="00342647" w:rsidRDefault="002B7AD0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 xml:space="preserve">A 2011/16/EU irányelvet ezért ennek megfelelően </w:t>
      </w:r>
      <w:r>
        <w:rPr>
          <w:noProof/>
        </w:rPr>
        <w:t>módosítani kell,</w:t>
      </w:r>
    </w:p>
    <w:p w:rsidR="00342647" w:rsidRDefault="002B7AD0">
      <w:pPr>
        <w:pStyle w:val="Formuledadoption"/>
        <w:rPr>
          <w:noProof/>
        </w:rPr>
      </w:pPr>
      <w:r>
        <w:rPr>
          <w:noProof/>
        </w:rPr>
        <w:t>ELFOGADTA EZT AZ IRÁNYELVET:</w:t>
      </w:r>
    </w:p>
    <w:p w:rsidR="00342647" w:rsidRDefault="002B7AD0">
      <w:pPr>
        <w:pStyle w:val="Titrearticle"/>
        <w:rPr>
          <w:noProof/>
        </w:rPr>
      </w:pPr>
      <w:r>
        <w:rPr>
          <w:noProof/>
        </w:rPr>
        <w:t>1. cikk</w:t>
      </w:r>
    </w:p>
    <w:p w:rsidR="00342647" w:rsidRDefault="002B7AD0">
      <w:pPr>
        <w:rPr>
          <w:noProof/>
        </w:rPr>
      </w:pPr>
      <w:r>
        <w:rPr>
          <w:noProof/>
        </w:rPr>
        <w:t>A 2011/16/EU irányelv a következőképpen módosul:</w:t>
      </w:r>
    </w:p>
    <w:p w:rsidR="00342647" w:rsidRDefault="002B7AD0">
      <w:pPr>
        <w:rPr>
          <w:b/>
          <w:noProof/>
        </w:rPr>
      </w:pPr>
      <w:r>
        <w:rPr>
          <w:noProof/>
        </w:rPr>
        <w:t>1.</w:t>
      </w:r>
      <w:r>
        <w:rPr>
          <w:noProof/>
        </w:rPr>
        <w:tab/>
        <w:t>A 3. cikk a következőképpen módosul:</w:t>
      </w:r>
    </w:p>
    <w:p w:rsidR="00342647" w:rsidRDefault="002B7AD0">
      <w:pPr>
        <w:rPr>
          <w:b/>
          <w:noProof/>
        </w:rPr>
      </w:pPr>
      <w:r>
        <w:rPr>
          <w:noProof/>
        </w:rPr>
        <w:tab/>
        <w:t>a) a 9. pont helyébe a következő szöveg lép: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„9.  „automatikus csere” :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a) a 8. cikk (1) bekezdése és a 8a. cik</w:t>
      </w:r>
      <w:r>
        <w:rPr>
          <w:noProof/>
        </w:rPr>
        <w:t>k alkalmazásában előre meghatározott információk előzetes megkeresés nélküli, rendszeres, előre meghatározott időközönként történő közlése egy másik tagállammal. A 8. cikk (1) bekezdésének alkalmazásában a rendelkezésre álló információra való hivatkozás az</w:t>
      </w:r>
      <w:r>
        <w:rPr>
          <w:noProof/>
        </w:rPr>
        <w:t xml:space="preserve"> információt közlő tagállam adónyilvántartásaiban szereplő, az adott tagállam információgyűjtésre és -feldolgozásra szolgáló eljárásaival összhangban visszakereshető információra vonatkozik;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b) a 8. cikk (3a) bekezdésének alkalmazásában más tagállamban ill</w:t>
      </w:r>
      <w:r>
        <w:rPr>
          <w:noProof/>
        </w:rPr>
        <w:t xml:space="preserve">etékességgel rendelkező személyekre vonatkozó, előre meghatározott információk előzetes megkeresés nélküli, rendszeres, előre meghatározott időközönként történő közlése az adott személy illetékessége szerinti tagállammal. A 8. cikk (3a) bekezdésével, a 8. </w:t>
      </w:r>
      <w:r>
        <w:rPr>
          <w:noProof/>
        </w:rPr>
        <w:t>cikk (7a) bekezdésével, a 21. cikk (2) bekezdésével, valamint a 25. cikk (2) és (3) bekezdésével összefüggésben minden, nagy kezdőbetűvel írt fogalom jelentése megegyezik az I. mellékletben foglalt megfelelő fogalommeghatározással;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c) a 8. cikk (1) és (3a)</w:t>
      </w:r>
      <w:r>
        <w:rPr>
          <w:noProof/>
        </w:rPr>
        <w:t xml:space="preserve"> bekezdése, valamint a 8a. cikk kivételével minden egyéb rendelkezés alkalmazásában előre meghatározott információknak az e pont a) és b) alpontja szerinti rendszeres közlése;”</w:t>
      </w:r>
    </w:p>
    <w:p w:rsidR="00342647" w:rsidRDefault="002B7AD0">
      <w:pPr>
        <w:ind w:left="720"/>
        <w:rPr>
          <w:b/>
          <w:noProof/>
        </w:rPr>
      </w:pPr>
      <w:r>
        <w:rPr>
          <w:noProof/>
        </w:rPr>
        <w:t>b) a szöveg az alábbi 14., 15. és 16. ponttal egészül ki: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„14. „határokon átnyú</w:t>
      </w:r>
      <w:r>
        <w:rPr>
          <w:noProof/>
        </w:rPr>
        <w:t>ló vonatkozású feltételes adómegállapítási határozat” : bármely, akár adóellenőrzés keretében kibocsátott megállapodás, állásfoglalás vagy más hasonló hatású eszköz vagy intézkedés: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a) amelyet egy tagállam vagy a tagállam területi vagy közigazgatási alegys</w:t>
      </w:r>
      <w:r>
        <w:rPr>
          <w:noProof/>
        </w:rPr>
        <w:t xml:space="preserve">égének kormánya, adóhatósága vagy ezek nevében eljáró személy ad ki bármely személy részére;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b) amely a tagállam vagy annak területi vagy közigazgatási alegysége nemzeti adójogszabályainak igazgatásával vagy végrehajtásával kapcsolatos jogi vagy közigazga</w:t>
      </w:r>
      <w:r>
        <w:rPr>
          <w:noProof/>
        </w:rPr>
        <w:t>tási rendelkezés értelmezésére vagy alkalmazására vonatkozik;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c) amely határokon átnyúló ügyletre vagy arra a kérdésre vonatkozik, hogy a jogi személy által a másik tagállamban folytatott tevékenység állandó telephely létrehozását jelenti-e; valamint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d) a</w:t>
      </w:r>
      <w:r>
        <w:rPr>
          <w:noProof/>
        </w:rPr>
        <w:t xml:space="preserve">melyet az ügyletet, a másik tagállamban potenciálisan állandó telephely létrehozását jelentő tevékenység folytatását vagy az ügylet, ügyletsorozat vagy tevékenység időszakára vonatkozó adóbevallás benyújtását megelőzően adtak ki.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 határokon átnyúló ügyle</w:t>
      </w:r>
      <w:r>
        <w:rPr>
          <w:noProof/>
        </w:rPr>
        <w:t>t egyebek mellett vonatkozhat befektetésre, áruk, szolgáltatások, finanszírozás nyújtására vagy tárgyi vagy immateriális eszközök használatára, és abban a határokon átnyúló vonatkozású feltételes adómegállapítási határozat címzettjének nem kell közvetlenül</w:t>
      </w:r>
      <w:r>
        <w:rPr>
          <w:noProof/>
        </w:rPr>
        <w:t xml:space="preserve"> részt vennie;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15. „előzetes árképzési megállapodás” : bármely, akár adóellenőrzés keretében kibocsátott olyan megállapodás, állásfoglalás vagy más hasonló hatású eszköz vagy intézkedés, amelyet egy tagállam vagy a tagállam területi vagy közigazgatási aleg</w:t>
      </w:r>
      <w:r>
        <w:rPr>
          <w:noProof/>
        </w:rPr>
        <w:t>ységének kormánya, adóhatósága vagy ezek nevében eljáró személy ad ki bármely személy részére, és amely kapcsolt vállalkozások határokon átnyúló ügyleteit megelőzően meghatározza az ezen ügyletek transzferárazásának megállapítására alkalmazandó megfelelő k</w:t>
      </w:r>
      <w:r>
        <w:rPr>
          <w:noProof/>
        </w:rPr>
        <w:t>ritériumokat vagy egy állandó telephely nyereségrészesedésére vonatkozó szabályokat.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Vállalkozások akkor minősülnek kapcsolt vállalkozásnak, ha egy vállalkozás egy másik irányításában, ellenőrzésében vagy tőkéjében közvetve vagy közvetlenül részt vesz vagy</w:t>
      </w:r>
      <w:r>
        <w:rPr>
          <w:noProof/>
        </w:rPr>
        <w:t xml:space="preserve"> részesedéssel rendelkezik, vagy ha a vállalkozások irányításában, ellenőrzésében vagy tőkéjében közvetve vagy közvetlenül azonos személyek vesznek részt vagy rendelkeznek részesedéssel.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 transzferárak azok az árak, amelyeken valamely vállalkozás fizikai</w:t>
      </w:r>
      <w:r>
        <w:rPr>
          <w:noProof/>
        </w:rPr>
        <w:t xml:space="preserve"> termékeket, immateriális tulajdont vagy szolgáltatásokat ad át vagy nyújt kapcsolt vállalkozásai számára; a „transzferárazás” ennek megfelelően értendő;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16. A 14. pont alkalmazásában a „határokon átnyúló ügylet” olyan ügylet vagy ügyletsorozat, amelyben: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a) az ügylet vagy ügyletsorozat nem minden részes fele rendelkezik adózási szempontból illetőséggel abban a tagállamban, amelyik a feltételes adómegállapítási határozatot kiadta; vagy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b) az ügylet vagy ügyletsorozat bármely részes fele adózási szempontból</w:t>
      </w:r>
      <w:r>
        <w:rPr>
          <w:noProof/>
        </w:rPr>
        <w:t xml:space="preserve"> egyidejűleg egynél több joghatóságban rendelkezik illetőséggel; vagy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c) az ügylet vagy ügyletsorozat egyik részes fele állandó telephelyen keresztül másik tagállamban folytat tevékenységet, és az ügylet vagy ügyletsorozat az állandó telephely tevékenység</w:t>
      </w:r>
      <w:r>
        <w:rPr>
          <w:noProof/>
        </w:rPr>
        <w:t xml:space="preserve">ének egészét vagy részét képezi. A határokon átnyúló ügylet vagy ügyletsorozat fogalmába beleértendők egyetlen jogi személy azon intézkedései is, amelyeket másik tagállamban állandó telephelyen keresztül folytatott üzleti tevékenységével kapcsolatban hoz. </w:t>
      </w:r>
      <w:r>
        <w:rPr>
          <w:noProof/>
        </w:rPr>
        <w:t xml:space="preserve">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A 15. pont alkalmazásában a „határokon átnyúló ügylet” olyan ügylet vagy ügyletsorozat, amelyben adózási szempontból nem egyetlen tagállam területén illetőséggel rendelkező kapcsolt vállalkozások vesznek részt.” </w:t>
      </w:r>
    </w:p>
    <w:p w:rsidR="00342647" w:rsidRDefault="002B7AD0">
      <w:pPr>
        <w:ind w:left="720" w:hanging="720"/>
        <w:rPr>
          <w:b/>
          <w:noProof/>
        </w:rPr>
      </w:pPr>
      <w:r>
        <w:rPr>
          <w:noProof/>
        </w:rPr>
        <w:t>2.</w:t>
      </w:r>
      <w:r>
        <w:rPr>
          <w:noProof/>
        </w:rPr>
        <w:tab/>
        <w:t>A 8. cikk a következőképpen módosul:</w:t>
      </w:r>
      <w:r>
        <w:rPr>
          <w:b/>
          <w:noProof/>
        </w:rPr>
        <w:t xml:space="preserve"> </w:t>
      </w:r>
    </w:p>
    <w:p w:rsidR="00342647" w:rsidRDefault="002B7AD0">
      <w:pPr>
        <w:ind w:left="720" w:hanging="720"/>
        <w:rPr>
          <w:noProof/>
        </w:rPr>
      </w:pPr>
      <w:r>
        <w:rPr>
          <w:noProof/>
        </w:rPr>
        <w:tab/>
        <w:t>a) a (4) és az (5) bekezdést el kell hagyni;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b) a (6) bekezdés helyébe a következő szöveg lép: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„(6)  Az információ közlésére az alábbiak szerint kerül sor: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a) az (1) bekezdésben meghatározott kategóriák esetében: évente legalább egyszer, a tagállam azon a</w:t>
      </w:r>
      <w:r>
        <w:rPr>
          <w:noProof/>
        </w:rPr>
        <w:t>dóévének végét követő kilenc hónapon belül, amelyikre az információk vonatkoznak;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b) a (3a) bekezdésben meghatározott adatok esetében: évente, azon naptári év vagy más adatszolgáltatási időszak végét követő kilenc hónapon belül, amelyikre az információk vo</w:t>
      </w:r>
      <w:r>
        <w:rPr>
          <w:noProof/>
        </w:rPr>
        <w:t>natkoznak.”</w:t>
      </w:r>
    </w:p>
    <w:p w:rsidR="00342647" w:rsidRDefault="002B7AD0">
      <w:pPr>
        <w:tabs>
          <w:tab w:val="left" w:pos="709"/>
        </w:tabs>
        <w:ind w:left="709" w:hanging="709"/>
        <w:rPr>
          <w:b/>
          <w:noProof/>
        </w:rPr>
      </w:pPr>
      <w:r>
        <w:rPr>
          <w:b/>
          <w:noProof/>
        </w:rPr>
        <w:t xml:space="preserve"> </w:t>
      </w:r>
      <w:r>
        <w:rPr>
          <w:noProof/>
        </w:rPr>
        <w:t>3.</w:t>
      </w:r>
      <w:r>
        <w:rPr>
          <w:noProof/>
        </w:rPr>
        <w:tab/>
        <w:t>A szöveg a következő 8a. és 8b. cikkel egészül ki: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„8a. cikk</w:t>
      </w:r>
    </w:p>
    <w:p w:rsidR="00342647" w:rsidRDefault="002B7AD0">
      <w:pPr>
        <w:ind w:left="720"/>
        <w:rPr>
          <w:b/>
          <w:noProof/>
        </w:rPr>
      </w:pPr>
      <w:r>
        <w:rPr>
          <w:b/>
          <w:noProof/>
        </w:rPr>
        <w:t>A határokon átnyúló vonatkozású feltételes adómegállapítási határozatokra és az előzetes árképzési megállapodásokra vonatkozó kötelező automatikus információcsere hatálya és felté</w:t>
      </w:r>
      <w:r>
        <w:rPr>
          <w:b/>
          <w:noProof/>
        </w:rPr>
        <w:t>telei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(1) Amennyiben egy tagállam ezen irányelv hatálybalépését követően határokon átnyúló vonatkozású feltételes adómegállapítási határozatot vagy előzetes árképzési megállapodást bocsát ki vagy módosít, hatáskörrel rendelkező hatósága automatikus csere ú</w:t>
      </w:r>
      <w:r>
        <w:rPr>
          <w:noProof/>
        </w:rPr>
        <w:t>tján információt közöl erről minden más tagállam hatáskörrel rendelkező hatóságával és az Európai Bizottsággal.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(2) A tagállamok hatáskörrel rendelkező hatóságai azokról a határokon átnyúló vonatkozású feltételes adómegállapítási határozatokról és előzetes</w:t>
      </w:r>
      <w:r>
        <w:rPr>
          <w:noProof/>
        </w:rPr>
        <w:t xml:space="preserve"> árképzési megállapodásokról is információt közölnek minden más tagállam hatáskörrel rendelkező hatóságával és az Európai Bizottsággal, amelyeket ezen irányelv hatálybalépése előtt tíz évvel kezdődő időszakban bocsátottak ki és ezen irányelv hatálybalépése</w:t>
      </w:r>
      <w:r>
        <w:rPr>
          <w:noProof/>
        </w:rPr>
        <w:t xml:space="preserve"> napján is hatályosak.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(3) Az (1) bekezdés nem alkalmazandó abban az esetben, ha a határokon átnyúló vonatkozású feltételes adómegállapítási határozat kizárólag egy vagy több természetes személy adózásával kapcsolatos.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(4) Az információ közlésére az alábbi</w:t>
      </w:r>
      <w:r>
        <w:rPr>
          <w:noProof/>
        </w:rPr>
        <w:t>ak szerint kerül sor: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a) az (1) bekezdés alkalmazásában továbbított információk tekintetében azon negyedév végét követő egy hónapon belül, amelyikben a határokon átnyúló vonatkozású feltételes adómegállapítási határozatot vagy az előzetes árképzési megálla</w:t>
      </w:r>
      <w:r>
        <w:rPr>
          <w:noProof/>
        </w:rPr>
        <w:t>podást kibocsátották vagy módosították;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b) a (2) bekezdés alkalmazásában továbbított információk tekintetében 2016. december 31. előtt.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(5) Az e cikk alkalmazásában a tagállam által közölt információk legalább a következőkre terjednek ki: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a) az adózó és m</w:t>
      </w:r>
      <w:r>
        <w:rPr>
          <w:noProof/>
        </w:rPr>
        <w:t>egfelelő esetben azon vállalkozáscsoport azonosítása, amelyhez az adózó tartozik;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b) a határokon átnyúló vonatkozású feltételes adómegállapítási határozat vagy az előzetes árképzési megállapodás tartalma, beleértve a vonatkozó üzleti tevékenység, ügylet va</w:t>
      </w:r>
      <w:r>
        <w:rPr>
          <w:noProof/>
        </w:rPr>
        <w:t xml:space="preserve">gy ügyletsorozat ismertetését;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c) előzetes árképzési megállapodás esetében a transzferárazás vagy a transzferár megállapítására alkalmazott kritériumok ismertetése;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d) azon tagállamok azonosítása, amelyeket a határokon átnyúló vonatkozású feltételes adóm</w:t>
      </w:r>
      <w:r>
        <w:rPr>
          <w:noProof/>
        </w:rPr>
        <w:t xml:space="preserve">egállapítási határozat vagy az előzetes árképzési megállapodás közvetlenül vagy közvetve érinthet; </w:t>
      </w:r>
    </w:p>
    <w:p w:rsidR="00342647" w:rsidRDefault="002B7AD0">
      <w:pPr>
        <w:ind w:left="720" w:hanging="11"/>
        <w:rPr>
          <w:noProof/>
        </w:rPr>
      </w:pPr>
      <w:r>
        <w:rPr>
          <w:noProof/>
        </w:rPr>
        <w:t>e) a természetes személyek kivételével más tagállamok azon személyeinek azonosítása, amelyeket a határokon átnyúló vonatkozású feltételes adómegállapítási h</w:t>
      </w:r>
      <w:r>
        <w:rPr>
          <w:noProof/>
        </w:rPr>
        <w:t>atározat vagy az előzetes árképzési megállapodás közvetlenül vagy közvetve érinthet (annak a tagállamnak a megjelölésével, amelyhez az érintett személyek kapcsolódnak).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(6) Az információcsere elősegítése érdekében a Bizottság elfogadja az e cikk végrehajtá</w:t>
      </w:r>
      <w:r>
        <w:rPr>
          <w:noProof/>
        </w:rPr>
        <w:t>sához szükséges rendelkezéseket és gyakorlati intézkedéseket, ideértve az e cikk (5) bekezdésében említett információk közlésének standardizálására irányuló, a 20. cikk (5) bekezdése szerinti formanyomtatvány létrehozását célzó eljárás részét alkotó rendel</w:t>
      </w:r>
      <w:r>
        <w:rPr>
          <w:noProof/>
        </w:rPr>
        <w:t xml:space="preserve">kezéseket.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(7) Az a hatáskörrel rendelkező hatóság, amellyel az információt az (1) bekezdésnek megfelelően közölték, azonnal, de legkésőbb a kézhezvétel után hét munkanappal – lehetőség szerint elektronikus úton – visszaigazolja az információt közlő hatós</w:t>
      </w:r>
      <w:r>
        <w:rPr>
          <w:noProof/>
        </w:rPr>
        <w:t xml:space="preserve">ágnak az információ kézhezvételét. 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(8) Az 5. cikknek megfelelően a tagállamok további információt kérhetnek, ezen belül kérhetik a határokon átnyúló vonatkozású feltételes adómegállapítási határozat vagy az előzetes árképzési megállapodás teljes szövegéne</w:t>
      </w:r>
      <w:r>
        <w:rPr>
          <w:noProof/>
        </w:rPr>
        <w:t>k átadását a kibocsátó tagállamtól.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(9) A 17. cikk (4) bekezdése nem alkalmazandó az e cikk (1) és (2) bekezdése értelmében közölt információkra.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8b. cikk</w:t>
      </w:r>
    </w:p>
    <w:p w:rsidR="00342647" w:rsidRDefault="002B7AD0">
      <w:pPr>
        <w:ind w:left="720"/>
        <w:rPr>
          <w:b/>
          <w:noProof/>
        </w:rPr>
      </w:pPr>
      <w:r>
        <w:rPr>
          <w:b/>
          <w:noProof/>
        </w:rPr>
        <w:t>Az automatikus cserére vonatkozó statisztika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(1) 2017. október 1. előtt a tagállamok éves alapon </w:t>
      </w:r>
      <w:r>
        <w:rPr>
          <w:noProof/>
        </w:rPr>
        <w:t>statisztikai adatokat küldenek a Bizottságnak a 8. és a 8a. cikk alapján végrehajtott automatikus információcsere volumenéről, valamint – a lehetőségekhez mérten – információkat továbbítanak a Bizottságnak a végrehajtott információcserékhez és az esetleges</w:t>
      </w:r>
      <w:r>
        <w:rPr>
          <w:noProof/>
        </w:rPr>
        <w:t xml:space="preserve"> változásokhoz kapcsolódó adminisztratív és egyéb releváns költségekről és az információcsere előnyeiről, az adóhatóságok és a harmadik felek tekintetében egyaránt.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(2) A Bizottság 2018. október 1. előtt jelentést nyújt be, amelyben áttekinti és értékeli a</w:t>
      </w:r>
      <w:r>
        <w:rPr>
          <w:noProof/>
        </w:rPr>
        <w:t>z e cikk (1) bekezdése alapján kapott statisztikai adatokat és információkat, így például az automatikus információcsere adminisztratív és egyéb kapcsolódó költségeit és előnyeit, valamint az ezekhez kapcsolódó gyakorlati kérdéseket. A Bizottság adott eset</w:t>
      </w:r>
      <w:r>
        <w:rPr>
          <w:noProof/>
        </w:rPr>
        <w:t>ben javaslatot nyújt be a Tanácsnak a 8. cikk (1) bekezdésében megállapított jövedelem- és tőkekategóriákkal és/vagy feltételekkel kapcsolatban, ideértve azt a feltételt is, hogy rendelkezésre álljanak a más tagállamban illetőséggel rendelkező személyekkel</w:t>
      </w:r>
      <w:r>
        <w:rPr>
          <w:noProof/>
        </w:rPr>
        <w:t xml:space="preserve"> kapcsolatos információk.”</w:t>
      </w:r>
    </w:p>
    <w:p w:rsidR="00342647" w:rsidRDefault="002B7AD0">
      <w:pPr>
        <w:rPr>
          <w:b/>
          <w:noProof/>
        </w:rPr>
      </w:pPr>
      <w:r>
        <w:rPr>
          <w:noProof/>
        </w:rPr>
        <w:t>4.</w:t>
      </w:r>
      <w:r>
        <w:rPr>
          <w:noProof/>
        </w:rPr>
        <w:tab/>
        <w:t>A 14. cikk a következő (3) bekezdéssel egészül ki: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„(3) Amennyiben a tagállam a 8a. cikk alapján más tagállam által közölt információt felhasználja, késedelem nélkül, de a kért információ felhasználásának eredményéről való ért</w:t>
      </w:r>
      <w:r>
        <w:rPr>
          <w:noProof/>
        </w:rPr>
        <w:t xml:space="preserve">esülést követően legfeljebb három hónappal visszajelzést küld arról az információt küldő, hatáskörrel rendelkező hatóságnak, kivéve akkor, ha e cikk (1) bekezdése alapján már küldött visszajelzést. Az erre vonatkozó gyakorlati intézkedéseket a Bizottság a </w:t>
      </w:r>
      <w:r>
        <w:rPr>
          <w:noProof/>
        </w:rPr>
        <w:t>26. cikk (2) bekezdésében említett eljárással összhangban határozza meg.”</w:t>
      </w:r>
    </w:p>
    <w:p w:rsidR="00342647" w:rsidRDefault="002B7AD0">
      <w:pPr>
        <w:rPr>
          <w:b/>
          <w:noProof/>
        </w:rPr>
      </w:pPr>
      <w:r>
        <w:rPr>
          <w:noProof/>
        </w:rPr>
        <w:t>5.</w:t>
      </w:r>
      <w:r>
        <w:rPr>
          <w:noProof/>
        </w:rPr>
        <w:tab/>
        <w:t>A 20. cikk a következő (5) bekezdéssel egészül ki: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„(5) A határokon átnyúló vonatkozású feltételes adómegállapítási határozatokra és az előzetes árképzési megállapodásokra vonatko</w:t>
      </w:r>
      <w:r>
        <w:rPr>
          <w:noProof/>
        </w:rPr>
        <w:t>zó, 8a. cikk szerinti automatikus információcseréhez formanyomtatványt kell használni azt követően, hogy a formanyomtatványt a 26. cikk (2) bekezdésében említett eljárásnak megfelelően a Bizottság elfogadta.”</w:t>
      </w:r>
    </w:p>
    <w:p w:rsidR="00342647" w:rsidRDefault="002B7AD0">
      <w:pPr>
        <w:rPr>
          <w:b/>
          <w:noProof/>
        </w:rPr>
      </w:pPr>
      <w:r>
        <w:rPr>
          <w:noProof/>
        </w:rPr>
        <w:t>6.</w:t>
      </w:r>
      <w:r>
        <w:rPr>
          <w:noProof/>
        </w:rPr>
        <w:tab/>
        <w:t>A 21. cikk a következő (5) bekezdéssel egész</w:t>
      </w:r>
      <w:r>
        <w:rPr>
          <w:noProof/>
        </w:rPr>
        <w:t>ül ki: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„(5) A Bizottság biztonságos központi adattárat hoz létre, amelyben a 8a. cikk (1) és (2) bekezdésében előírt automatikus információcsere végrehajtása érdekében az ezen irányelv 8a. cikke keretében közlendő információk rögzíthetők. A Bizottság hozzá</w:t>
      </w:r>
      <w:r>
        <w:rPr>
          <w:noProof/>
        </w:rPr>
        <w:t>fér az adattárban rögzített információkhoz. A Bizottság a 26. cikk (2) bekezdésében említett eljárással összhangban elfogadja a szükséges gyakorlati intézkedéseket.”</w:t>
      </w:r>
    </w:p>
    <w:p w:rsidR="00342647" w:rsidRDefault="002B7AD0"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A 23. cikk a következőképpen módosul:</w:t>
      </w:r>
    </w:p>
    <w:p w:rsidR="00342647" w:rsidRDefault="002B7AD0">
      <w:pPr>
        <w:ind w:firstLine="720"/>
        <w:rPr>
          <w:noProof/>
        </w:rPr>
      </w:pPr>
      <w:r>
        <w:rPr>
          <w:noProof/>
        </w:rPr>
        <w:t>a) a (3) bekezdés helyébe a következő szöveg lép: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„(3) A tagállamok éves értékelést nyújtanak be a Bizottságnak a 8. és a 8a. cikkben említett automatikus információcsere hatékonyságáról, valamint a gyakorlatban elért eredményekről. A Bizottság a 26. cikk (2) bekezdésében említett eljárással összhangban </w:t>
      </w:r>
      <w:r>
        <w:rPr>
          <w:noProof/>
        </w:rPr>
        <w:t>megállapítja az éves jelentés formáját, illetve benyújtásának feltételeit.”;</w:t>
      </w:r>
    </w:p>
    <w:p w:rsidR="00342647" w:rsidRDefault="002B7AD0">
      <w:pPr>
        <w:ind w:left="709"/>
        <w:rPr>
          <w:b/>
          <w:noProof/>
        </w:rPr>
      </w:pPr>
      <w:r>
        <w:rPr>
          <w:noProof/>
        </w:rPr>
        <w:t>b) az (5) és a (6) bekezdést el kell hagyni.</w:t>
      </w:r>
    </w:p>
    <w:p w:rsidR="00342647" w:rsidRDefault="002B7AD0">
      <w:pPr>
        <w:rPr>
          <w:b/>
          <w:noProof/>
        </w:rPr>
      </w:pPr>
      <w:r>
        <w:rPr>
          <w:noProof/>
        </w:rPr>
        <w:t>8.</w:t>
      </w:r>
      <w:r>
        <w:rPr>
          <w:noProof/>
        </w:rPr>
        <w:tab/>
        <w:t>A szöveg a következő 23a. cikkel egészül ki: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„23a. cikk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Az információk bizalmassága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 xml:space="preserve">(1) A Bizottsággal az ezen irányelv értelmében </w:t>
      </w:r>
      <w:r>
        <w:rPr>
          <w:noProof/>
        </w:rPr>
        <w:t>közölt információkat a Bizottság az uniós hatóságokra alkalmazandó rendelkezésekkel összhangban bizalmasan kezeli.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(2) A tagállamok által a 23. cikk értelmében a Bizottsággal közölt információkat, valamint a Bizottság által ezen információk felhasználásáva</w:t>
      </w:r>
      <w:r>
        <w:rPr>
          <w:noProof/>
        </w:rPr>
        <w:t>l készített bármely jelentést vagy dokumentumot továbbítani lehet a többi tagállamnak. Az ilyen módon továbbított információkra hivatalos titoktartási kötelezettség vonatkozik, és azok ugyanolyan védelmet élveznek, mint amilyet az információt fogadó tagáll</w:t>
      </w:r>
      <w:r>
        <w:rPr>
          <w:noProof/>
        </w:rPr>
        <w:t>am nemzeti joga az ilyen jellegű információknak biztosít.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Az első albekezdésben említett, a Bizottság által készített jelentéseket és dokumentumokat a tagállamok kizárólag elemzési célokra használhatják fel, és a Bizottság kifejezett hozzájárulása nélkül n</w:t>
      </w:r>
      <w:r>
        <w:rPr>
          <w:noProof/>
        </w:rPr>
        <w:t>em tehetik közzé és nem bocsáthatják más személy vagy szervezet rendelkezésére.”</w:t>
      </w:r>
    </w:p>
    <w:p w:rsidR="00342647" w:rsidRDefault="002B7AD0">
      <w:pPr>
        <w:rPr>
          <w:b/>
          <w:noProof/>
        </w:rPr>
      </w:pPr>
      <w:r>
        <w:rPr>
          <w:noProof/>
        </w:rPr>
        <w:t>9.</w:t>
      </w:r>
      <w:r>
        <w:rPr>
          <w:noProof/>
        </w:rPr>
        <w:tab/>
        <w:t>A 25. cikk a következő (1a) bekezdéssel egészül ki:</w:t>
      </w:r>
    </w:p>
    <w:p w:rsidR="00342647" w:rsidRDefault="002B7AD0">
      <w:pPr>
        <w:ind w:left="720"/>
        <w:rPr>
          <w:noProof/>
        </w:rPr>
      </w:pPr>
      <w:r>
        <w:rPr>
          <w:noProof/>
        </w:rPr>
        <w:t>„(1a) A személyes adatoknak ezen irányelv alapján az uniós intézmények vagy szervek által végzett feldolgozására a 45/20</w:t>
      </w:r>
      <w:r>
        <w:rPr>
          <w:noProof/>
        </w:rPr>
        <w:t>01/EK rendelet alkalmazandó. Ezen irányelv helyes alkalmazása érdekében azonban a 45/2001/EK rendelet 11. cikkében, 12. cikkének (1) bekezdésében, valamint 13–17. cikkében meghatározott kötelezettségek és jogok alkalmazási körét az említett rendelet 20. ci</w:t>
      </w:r>
      <w:r>
        <w:rPr>
          <w:noProof/>
        </w:rPr>
        <w:t>kke (1) bekezdésének b) pontjában említett érdekek védelme céljából szükséges mértékben korlátozni kell.”</w:t>
      </w:r>
    </w:p>
    <w:p w:rsidR="00342647" w:rsidRDefault="002B7AD0">
      <w:pPr>
        <w:pStyle w:val="Titrearticle"/>
        <w:rPr>
          <w:noProof/>
        </w:rPr>
      </w:pPr>
      <w:r>
        <w:rPr>
          <w:noProof/>
        </w:rPr>
        <w:t>2. cikk</w:t>
      </w:r>
    </w:p>
    <w:p w:rsidR="00342647" w:rsidRDefault="002B7AD0">
      <w:pPr>
        <w:pStyle w:val="ManualNumPar1"/>
        <w:ind w:left="709" w:hanging="709"/>
        <w:rPr>
          <w:noProof/>
        </w:rPr>
      </w:pPr>
      <w:r>
        <w:rPr>
          <w:noProof/>
        </w:rPr>
        <w:t>(1)</w:t>
      </w:r>
      <w:r>
        <w:rPr>
          <w:noProof/>
        </w:rPr>
        <w:tab/>
        <w:t>A tagállamok legkésőbb 2015. december 31-ig elfogadják és kihirdetik azokat a törvényi, rendeleti és közigazgatási rendelkezéseket, amelye</w:t>
      </w:r>
      <w:r>
        <w:rPr>
          <w:noProof/>
        </w:rPr>
        <w:t>k szükségesek ahhoz, hogy ennek az irányelvnek megfeleljenek. E rendelkezések szövegét haladéktalanul megküldik a Bizottság számára.</w:t>
      </w:r>
    </w:p>
    <w:p w:rsidR="00342647" w:rsidRDefault="002B7AD0">
      <w:pPr>
        <w:pStyle w:val="Text1"/>
        <w:ind w:left="709"/>
        <w:rPr>
          <w:noProof/>
        </w:rPr>
      </w:pPr>
      <w:r>
        <w:rPr>
          <w:noProof/>
        </w:rPr>
        <w:t>Ezeket a rendelkezéseket 2016. január 1-jétől alkalmazzák.</w:t>
      </w:r>
    </w:p>
    <w:p w:rsidR="00342647" w:rsidRDefault="002B7AD0">
      <w:pPr>
        <w:pStyle w:val="Text1"/>
        <w:ind w:left="709"/>
        <w:rPr>
          <w:noProof/>
        </w:rPr>
      </w:pPr>
      <w:r>
        <w:rPr>
          <w:noProof/>
        </w:rPr>
        <w:t>Amikor a tagállamok elfogadják ezeket a rendelkezéseket, azokban</w:t>
      </w:r>
      <w:r>
        <w:rPr>
          <w:noProof/>
        </w:rPr>
        <w:t xml:space="preserve"> hivatkozni kell erre az irányelvre, vagy azokhoz hivatalos kihirdetésük alkalmával ilyen hivatkozást kell fűzni. A hivatkozás módját a tagállamok határozzák meg.</w:t>
      </w:r>
    </w:p>
    <w:p w:rsidR="00342647" w:rsidRDefault="002B7AD0">
      <w:pPr>
        <w:pStyle w:val="ManualNumPar1"/>
        <w:ind w:left="709" w:hanging="709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A tagállamok közlik a Bizottsággal nemzeti joguk azon főbb rendelkezéseinek szövegét, </w:t>
      </w:r>
      <w:r>
        <w:rPr>
          <w:noProof/>
        </w:rPr>
        <w:t>amelyeket az ezen irányelv által szabályozott területen fogadnak el.</w:t>
      </w:r>
    </w:p>
    <w:p w:rsidR="00342647" w:rsidRDefault="002B7AD0">
      <w:pPr>
        <w:pStyle w:val="Titrearticle"/>
        <w:rPr>
          <w:noProof/>
        </w:rPr>
      </w:pPr>
      <w:r>
        <w:rPr>
          <w:noProof/>
        </w:rPr>
        <w:t>3. cikk</w:t>
      </w:r>
    </w:p>
    <w:p w:rsidR="00342647" w:rsidRDefault="002B7AD0">
      <w:pPr>
        <w:rPr>
          <w:noProof/>
        </w:rPr>
      </w:pPr>
      <w:r>
        <w:rPr>
          <w:noProof/>
        </w:rPr>
        <w:t xml:space="preserve">Ez az irányelv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huszadik napon lép hatályba.</w:t>
      </w:r>
    </w:p>
    <w:p w:rsidR="00342647" w:rsidRDefault="002B7AD0">
      <w:pPr>
        <w:pStyle w:val="Titrearticle"/>
        <w:rPr>
          <w:noProof/>
        </w:rPr>
      </w:pPr>
      <w:r>
        <w:rPr>
          <w:noProof/>
        </w:rPr>
        <w:t>4. cikk</w:t>
      </w:r>
    </w:p>
    <w:p w:rsidR="00342647" w:rsidRDefault="002B7AD0">
      <w:pPr>
        <w:rPr>
          <w:noProof/>
        </w:rPr>
      </w:pPr>
      <w:r>
        <w:rPr>
          <w:noProof/>
        </w:rPr>
        <w:t>Ennek az irányelvnek a tagállamok a címzettjei.</w:t>
      </w:r>
    </w:p>
    <w:p w:rsidR="00342647" w:rsidRDefault="002B7AD0">
      <w:pPr>
        <w:pStyle w:val="Fait"/>
        <w:rPr>
          <w:noProof/>
        </w:rPr>
      </w:pPr>
      <w:r>
        <w:rPr>
          <w:noProof/>
        </w:rPr>
        <w:t xml:space="preserve">Kelt Brüsszelben, </w:t>
      </w:r>
    </w:p>
    <w:p w:rsidR="00342647" w:rsidRDefault="002B7AD0"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 w:rsidR="00342647" w:rsidRDefault="002B7AD0">
      <w:pPr>
        <w:pStyle w:val="Personnequisigne"/>
        <w:rPr>
          <w:noProof/>
        </w:rPr>
      </w:pPr>
      <w:r>
        <w:rPr>
          <w:noProof/>
        </w:rPr>
        <w:tab/>
        <w:t>az elnök</w:t>
      </w:r>
    </w:p>
    <w:p w:rsidR="00342647" w:rsidRDefault="00342647">
      <w:pPr>
        <w:rPr>
          <w:noProof/>
        </w:rPr>
        <w:sectPr w:rsidR="00342647"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342647" w:rsidRDefault="002B7AD0">
      <w:pPr>
        <w:pStyle w:val="Fichefinanciretitre"/>
        <w:rPr>
          <w:noProof/>
        </w:rPr>
      </w:pPr>
      <w:r>
        <w:rPr>
          <w:noProof/>
        </w:rPr>
        <w:t>PÉNZÜGYI KIMUTATÁS</w:t>
      </w:r>
    </w:p>
    <w:p w:rsidR="00342647" w:rsidRDefault="002B7AD0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JAVASLAT/KEZDEMÉNYEZÉS FŐBB ADATAI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A javaslat/kezdeményezés címe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A tevékenységalapú irányítás / tevékenységalapú költségvetés-tervezés keretébe tartozó érintett szakpoliti</w:t>
      </w:r>
      <w:r>
        <w:rPr>
          <w:b w:val="0"/>
          <w:noProof/>
        </w:rPr>
        <w:t>kai terület(ek)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A javaslat/kezdeményezés típusa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Célkitűzés(ek)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A javaslat/kezdeményezés indoklása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Az intézkedés és a pénzügyi hatás időtartama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Tervezett irányítási módszer(ek) </w:t>
      </w:r>
    </w:p>
    <w:p w:rsidR="00342647" w:rsidRDefault="002B7AD0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IRÁNYÍTÁSI INTÉZKEDÉSEK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A nyomon követésre és a jelentéstételre vonatkozó rendelkezések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Irányítási és kontrollrendszer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A csalások és a szabálytalanságok megelőzésére vonatkozó intézkedések </w:t>
      </w:r>
    </w:p>
    <w:p w:rsidR="00342647" w:rsidRDefault="002B7AD0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A JAVASLAT/KEZDEMÉNYEZÉS BECSÜLT PÉNZÜGYI HATÁSA </w:t>
      </w:r>
    </w:p>
    <w:p w:rsidR="00342647" w:rsidRDefault="002B7AD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>A többéves pénzüg</w:t>
      </w:r>
      <w:r>
        <w:rPr>
          <w:b w:val="0"/>
          <w:noProof/>
        </w:rPr>
        <w:t xml:space="preserve">yi keret mely fejezetét/fejezeteit és a költségvetés mely kiadási tételét/tételeit érintik a kiadások? </w:t>
      </w:r>
    </w:p>
    <w:p w:rsidR="00342647" w:rsidRDefault="002B7AD0"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A kiadásokra gyakorolt becsült hatás</w:t>
      </w:r>
      <w:r>
        <w:rPr>
          <w:noProof/>
        </w:rPr>
        <w:t xml:space="preserve"> </w:t>
      </w:r>
    </w:p>
    <w:p w:rsidR="00342647" w:rsidRDefault="002B7AD0"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A kiadásokra gyakorolt becsült hatás összegzése </w:t>
      </w:r>
    </w:p>
    <w:p w:rsidR="00342647" w:rsidRDefault="002B7AD0"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</w:r>
      <w:r>
        <w:rPr>
          <w:noProof/>
        </w:rPr>
        <w:t xml:space="preserve">Az operatív előirányzatokra gyakorolt becsült hatás </w:t>
      </w:r>
    </w:p>
    <w:p w:rsidR="00342647" w:rsidRDefault="002B7AD0"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Az igazgatási előirányzatokra gyakorolt becsült hatás</w:t>
      </w:r>
    </w:p>
    <w:p w:rsidR="00342647" w:rsidRDefault="002B7AD0"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A jelenlegi többéves pénzügyi kerettel való összeegyeztethetőség</w:t>
      </w:r>
    </w:p>
    <w:p w:rsidR="00342647" w:rsidRDefault="002B7AD0"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Harmadik felek részvétele a finanszírozásban </w:t>
      </w:r>
    </w:p>
    <w:p w:rsidR="00342647" w:rsidRDefault="002B7AD0">
      <w:pPr>
        <w:pStyle w:val="ManualHeading2"/>
        <w:jc w:val="left"/>
        <w:rPr>
          <w:b w:val="0"/>
          <w:noProof/>
        </w:rPr>
        <w:sectPr w:rsidR="00342647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A bevételre gyakorolt becsült pénzügyi hatás</w:t>
      </w:r>
    </w:p>
    <w:p w:rsidR="00342647" w:rsidRDefault="002B7AD0">
      <w:pPr>
        <w:jc w:val="center"/>
        <w:rPr>
          <w:noProof/>
        </w:rPr>
      </w:pPr>
      <w:r>
        <w:rPr>
          <w:b/>
          <w:noProof/>
          <w:u w:val="single"/>
        </w:rPr>
        <w:t>PÉNZÜGYI KIMUTATÁS</w:t>
      </w:r>
    </w:p>
    <w:p w:rsidR="00342647" w:rsidRDefault="002B7AD0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A JAVASLAT/KEZDEMÉNYEZÉS FŐBB ADATAI </w:t>
      </w:r>
    </w:p>
    <w:p w:rsidR="00342647" w:rsidRDefault="002B7AD0"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A javaslat/kezdeményezés címe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Javaslat – A Tanács irányelve a 2011/16/EU irányelvnek </w:t>
      </w:r>
      <w:r>
        <w:rPr>
          <w:noProof/>
        </w:rPr>
        <w:tab/>
      </w:r>
      <w:r>
        <w:rPr>
          <w:noProof/>
        </w:rPr>
        <w:br/>
        <w:t>az adózás területére vonatko</w:t>
      </w:r>
      <w:r>
        <w:rPr>
          <w:noProof/>
        </w:rPr>
        <w:t>zó információcsere tekintetében történő módosításáról</w:t>
      </w:r>
    </w:p>
    <w:p w:rsidR="00342647" w:rsidRDefault="002B7AD0"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A tevékenységalapú irányítás / tevékenységalapú költségvetés-tervezés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keretébe tartozó érintett szakpolitikai terület(ek)</w:t>
      </w:r>
      <w:r>
        <w:rPr>
          <w:i/>
          <w:noProof/>
        </w:rPr>
        <w:t xml:space="preserve">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14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14.03</w:t>
      </w:r>
    </w:p>
    <w:p w:rsidR="00342647" w:rsidRDefault="002B7AD0"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A javaslat/kezdeményezés típusa </w:t>
      </w:r>
    </w:p>
    <w:p w:rsidR="00342647" w:rsidRDefault="002B7AD0"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FD"/>
      </w:r>
      <w:r>
        <w:rPr>
          <w:noProof/>
        </w:rPr>
        <w:t xml:space="preserve"> A javaslat/kezdeményezés</w:t>
      </w:r>
      <w:r>
        <w:rPr>
          <w:noProof/>
        </w:rPr>
        <w:t xml:space="preserve"> </w:t>
      </w:r>
      <w:r>
        <w:rPr>
          <w:b/>
          <w:noProof/>
        </w:rPr>
        <w:t>új intézkedésre</w:t>
      </w:r>
      <w:r>
        <w:rPr>
          <w:noProof/>
        </w:rPr>
        <w:t xml:space="preserve"> irányul</w:t>
      </w:r>
      <w:r>
        <w:rPr>
          <w:b/>
          <w:noProof/>
          <w:sz w:val="22"/>
        </w:rPr>
        <w:t xml:space="preserve"> </w:t>
      </w:r>
    </w:p>
    <w:p w:rsidR="00342647" w:rsidRDefault="002B7AD0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A javaslat/kezdeményezés </w:t>
      </w:r>
      <w:r>
        <w:rPr>
          <w:b/>
          <w:noProof/>
        </w:rPr>
        <w:t>kísérleti projektet / előkészítő intézkedést követő új intézkedésre</w:t>
      </w:r>
      <w:r>
        <w:rPr>
          <w:rStyle w:val="FootnoteReference"/>
          <w:b/>
          <w:noProof/>
        </w:rPr>
        <w:footnoteReference w:id="16"/>
      </w:r>
      <w:r>
        <w:rPr>
          <w:noProof/>
        </w:rPr>
        <w:t xml:space="preserve"> irányul</w:t>
      </w:r>
      <w:r>
        <w:rPr>
          <w:noProof/>
          <w:sz w:val="22"/>
        </w:rPr>
        <w:t xml:space="preserve"> </w:t>
      </w:r>
    </w:p>
    <w:p w:rsidR="00342647" w:rsidRDefault="002B7AD0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A javaslat/kezdeményezés </w:t>
      </w:r>
      <w:r>
        <w:rPr>
          <w:b/>
          <w:noProof/>
        </w:rPr>
        <w:t>jelenlegi intézkedés meghosszabbítására</w:t>
      </w:r>
      <w:r>
        <w:rPr>
          <w:noProof/>
        </w:rPr>
        <w:t xml:space="preserve"> irányul</w:t>
      </w:r>
      <w:r>
        <w:rPr>
          <w:noProof/>
          <w:sz w:val="22"/>
        </w:rPr>
        <w:t xml:space="preserve"> </w:t>
      </w:r>
    </w:p>
    <w:p w:rsidR="00342647" w:rsidRDefault="002B7AD0"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A javaslat/kezdeményezés </w:t>
      </w:r>
      <w:r>
        <w:rPr>
          <w:b/>
          <w:noProof/>
        </w:rPr>
        <w:t xml:space="preserve">új intézkedésnek </w:t>
      </w:r>
      <w:r>
        <w:rPr>
          <w:b/>
          <w:noProof/>
        </w:rPr>
        <w:t>megfelelően módosított intézkedésre</w:t>
      </w:r>
      <w:r>
        <w:rPr>
          <w:noProof/>
        </w:rPr>
        <w:t xml:space="preserve"> irányul </w:t>
      </w:r>
    </w:p>
    <w:p w:rsidR="00342647" w:rsidRDefault="002B7AD0"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Célkitűzés(ek)</w:t>
      </w:r>
    </w:p>
    <w:p w:rsidR="00342647" w:rsidRDefault="002B7AD0"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A javaslat/kezdeményezés által érintett többéves bizottsági stratégiai célkitűzés(ek)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Bizottság 2015. évi munkaprogramjában megjelölt prioritások közé tartozik a méltányosabb megköz</w:t>
      </w:r>
      <w:r>
        <w:rPr>
          <w:noProof/>
        </w:rPr>
        <w:t>elítés az adózás terén, többek között a feltételes adómegállapításokkal kapcsolatos automatikus információcsere biztosítása révén – a jelenlegi javaslat éppen ez utóbbira irányul.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>Konkrét célkitűzés(ek) és a tevékenységalapú irányítás/tevékenységala</w:t>
      </w:r>
      <w:r>
        <w:rPr>
          <w:noProof/>
        </w:rPr>
        <w:t xml:space="preserve">pú költségvetés-tervezés keretébe tartozó érintett tevékenység(ek)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 xml:space="preserve">Konkrét célkitűzés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Fiscalis program konkrét célja az adócsalás, az adókikerülés és az agresszív adótervezés elleni küzdelemnek, valamint az adózással kapcsolatos uniós jog végrehajtásán</w:t>
      </w:r>
      <w:r>
        <w:rPr>
          <w:noProof/>
        </w:rPr>
        <w:t xml:space="preserve">ak a támogatása az információcsere biztosítása, a közigazgatási együttműködés elősegítése, valamint szükséges és indokolt esetben a részt vevő országok közigazgatási kapacitásának bővítése révén, az adóhatóságok adminisztratív terheinek és az adófizetőket </w:t>
      </w:r>
      <w:r>
        <w:rPr>
          <w:noProof/>
        </w:rPr>
        <w:t>terhelő megfelelési költségeknek a csökkentése érdekében.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 tevékenységalapú irányítás / tevékenységalapú költségvetés-tervezés keretébe tartozó érintett tevékenység(ek)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ABB 3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Várható eredmény(ek) és hatás(ok)</w:t>
      </w:r>
    </w:p>
    <w:p w:rsidR="00342647" w:rsidRDefault="002B7AD0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 xml:space="preserve">Tüntesse fel, milyen hatásokat </w:t>
      </w:r>
      <w:r>
        <w:rPr>
          <w:i/>
          <w:noProof/>
          <w:sz w:val="20"/>
        </w:rPr>
        <w:t>gyakorolhat a javaslat/kezdeményezés a kedvezményezettekre/célcsoportokra.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feltételes adómegállapításokkal kapcsolatos automatikus információcsere a tagállamok között először is azt jelenti, hogy minden tagállam képes lesz megfelelően felmérni, hogy egy </w:t>
      </w:r>
      <w:r>
        <w:rPr>
          <w:noProof/>
        </w:rPr>
        <w:t xml:space="preserve">másik tagállam feltételes adómegállapításai milyen (akár nem szándékolt) hatást gyakorolnak rá, valamint képes lesz ennek alapján reagálni.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Másodszor, az a tény, hogy átláthatóbbá válnak a feltételes adómegállapítások, várhatóan fokozottan ösztönzi majd a</w:t>
      </w:r>
      <w:r>
        <w:rPr>
          <w:noProof/>
        </w:rPr>
        <w:t xml:space="preserve"> tisztességesebb adóverseny biztosítását. A feltételes adómegállapításokkal kapcsolatos automatikus információcsere egyúttal visszatarthatja a vállalkozásokat a feltételes adómegállapításokon alapuló agresszív adótervezéstől, mivel a többi tagállam is rend</w:t>
      </w:r>
      <w:r>
        <w:rPr>
          <w:noProof/>
        </w:rPr>
        <w:t xml:space="preserve">elkezni fog a mesterséges megállapodások és a nyereségátcsoportosítás felderítéséhez és kezeléséhez szükséges információkkal. 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Eredmény- és hatásmutatók </w:t>
      </w:r>
    </w:p>
    <w:p w:rsidR="00342647" w:rsidRDefault="002B7AD0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Tüntesse fel a javaslat/kezdeményezés megvalósításának nyomon követését lehetővé tevő mutatókat</w:t>
      </w:r>
      <w:r>
        <w:rPr>
          <w:i/>
          <w:noProof/>
          <w:sz w:val="20"/>
        </w:rPr>
        <w:t>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javaslat az általa módosítandó irányelvben (vagyis a 2011/16/EU irányelvben) lefektetett követelményekhez igazodik a következők tekintetében: i. az információcserére vonatkozó statisztikák évente történő benyújtása a tagállamok által, ii. ezen statiszt</w:t>
      </w:r>
      <w:r>
        <w:rPr>
          <w:noProof/>
        </w:rPr>
        <w:t>ikákon alapuló jelentés benyújtása a Bizottság által, valamint iii. az automatikus információcsere eredményességére vonatkozó értékelés évente történő benyújtása a tagállamok által.</w:t>
      </w:r>
    </w:p>
    <w:p w:rsidR="00342647" w:rsidRDefault="002B7AD0"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A javaslat/kezdeményezés indoklása </w:t>
      </w:r>
    </w:p>
    <w:p w:rsidR="00342647" w:rsidRDefault="002B7AD0"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>Rövid vagy hosszú távon ki</w:t>
      </w:r>
      <w:r>
        <w:rPr>
          <w:noProof/>
        </w:rPr>
        <w:t xml:space="preserve">elégítendő szükséglet(ek)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közigazgatási együttműködésről szóló irányelv (2011/16/EU) ugyan előírja a feltételes adómegállapítási határozatot kibocsátó tagállam számára az információk más érintett tagállamokkal való közlését, azt azonban a kibocsátó </w:t>
      </w:r>
      <w:r>
        <w:rPr>
          <w:noProof/>
        </w:rPr>
        <w:t>tagállam dönti el, hogy mely tagállamok számára lehet releváns az információ. Ugyanakkor a feltételes adómegállapítási határozatot kibocsátó tagállam nem feltétlenül tudja mindig, hogy mely más tagállamok lehetnek érintettek. Ezen túlmenően jelenleg több k</w:t>
      </w:r>
      <w:r>
        <w:rPr>
          <w:noProof/>
        </w:rPr>
        <w:t>ivétel is van a közzétételi követelmény alól. Ez a javaslat arra kötelezné a feltételes adómegállapítási határozatot kibocsátó tagállamokat, hogy automatikusan szolgáltassanak információt valamennyi tagállamnak. Így az információ relevanciájáról a kibocsát</w:t>
      </w:r>
      <w:r>
        <w:rPr>
          <w:noProof/>
        </w:rPr>
        <w:t>ó helyett a fogadó tagállam döntene, és megszűnnének a közzétételi követelmény alóli jelenlegi kivételek.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Az uniós részvételből adódó többletérték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önállóan fellépő tagállamok nem feltétlenül tudnak teljes körű információkhoz jutni a más tagállamo</w:t>
      </w:r>
      <w:r>
        <w:rPr>
          <w:noProof/>
        </w:rPr>
        <w:t>k által kibocsátott feltételes adómegállapítási határozatokról, még akkor sem, ha azok saját adóbázisukat érintik. A kötelező erejű uniós megközelítés az egyetlen módja a teljes körű átláthatóság és együttműködés biztosításának e területen.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 xml:space="preserve">Hasonló </w:t>
      </w:r>
      <w:r>
        <w:rPr>
          <w:noProof/>
        </w:rPr>
        <w:t>korábbi tapasztalatok tanulsága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feltételes adómegállapításokkal kapcsolatos, jelenleg nem automatikus információcsere mindeddig nem tette átláthatóvá ezt a területet. Jelenleg egyes adófizetők az átláthatóság hiányát kihasználva olyan struktúrákat alakít</w:t>
      </w:r>
      <w:r>
        <w:rPr>
          <w:noProof/>
        </w:rPr>
        <w:t>anak ki, amelyek révén nyereségüket alacsony adókulcsú országokba csoportosítják át. Ezen országok nem feltétlenül azonosak a nyereségtermelő gazdasági tevékenység folytatásának és az értékteremtésnek a helyszínével. Az adóhatóságok közötti automatikus inf</w:t>
      </w:r>
      <w:r>
        <w:rPr>
          <w:noProof/>
        </w:rPr>
        <w:t>ormációcsere más adóügyi területeken – például a megtakarításokból származó jövedelem terén – bevett gyakorlat, és jó eredményeket hozott. Az automatikus információcsere immár globális szinten is elfogadott mint az adóhatóságok legjobb eszköze az adókikerü</w:t>
      </w:r>
      <w:r>
        <w:rPr>
          <w:noProof/>
        </w:rPr>
        <w:t>léssel és adócsalással szemben.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Egyéb pénzügyi eszközökkel való összeegyeztethetőség és lehetséges szinergia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javaslat a közigazgatási együttműködésről szóló irányelv (2011/16/EU) módosítására irányul, így e javaslat alkalmazásában is rendelkezésre</w:t>
      </w:r>
      <w:r>
        <w:rPr>
          <w:noProof/>
        </w:rPr>
        <w:t xml:space="preserve"> fognak állni az említett irányelv szerint már létrehozott vagy még a kidolgozás fázisában lévő eljárások, megállapodások és informatikai eszközök. </w:t>
      </w:r>
    </w:p>
    <w:p w:rsidR="00342647" w:rsidRDefault="00342647">
      <w:pPr>
        <w:rPr>
          <w:noProof/>
        </w:rPr>
        <w:sectPr w:rsidR="00342647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342647" w:rsidRDefault="002B7AD0">
      <w:pPr>
        <w:pStyle w:val="ManualHeading2"/>
        <w:rPr>
          <w:bCs/>
          <w:noProof/>
          <w:szCs w:val="24"/>
        </w:rPr>
      </w:pPr>
      <w:r>
        <w:t>1.6.</w:t>
      </w:r>
      <w:r>
        <w:tab/>
      </w:r>
      <w:r>
        <w:rPr>
          <w:noProof/>
        </w:rPr>
        <w:t xml:space="preserve">Az intézkedés és a pénzügyi hatás időtartama </w:t>
      </w:r>
    </w:p>
    <w:p w:rsidR="00342647" w:rsidRDefault="002B7AD0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javaslat/kezdeményezés </w:t>
      </w:r>
      <w:r>
        <w:rPr>
          <w:b/>
          <w:noProof/>
        </w:rPr>
        <w:t>határ</w:t>
      </w:r>
      <w:r>
        <w:rPr>
          <w:b/>
          <w:noProof/>
        </w:rPr>
        <w:t>ozott időtartamra</w:t>
      </w:r>
      <w:r>
        <w:rPr>
          <w:noProof/>
        </w:rPr>
        <w:t xml:space="preserve"> vonatkozik</w:t>
      </w:r>
      <w:r>
        <w:rPr>
          <w:b/>
          <w:noProof/>
        </w:rPr>
        <w:t xml:space="preserve"> 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javaslat/kezdeményezés időtartama: ÉÉÉÉ [HH/NN]-tól/-től ÉÉÉÉ [HH/NN]-ig 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Pénzügyi hatás: ÉÉÉÉ-tól/-től ÉÉÉÉ-ig </w:t>
      </w:r>
    </w:p>
    <w:p w:rsidR="00342647" w:rsidRDefault="002B7AD0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A javaslat/kezdeményezés </w:t>
      </w:r>
      <w:r>
        <w:rPr>
          <w:b/>
          <w:noProof/>
        </w:rPr>
        <w:t>határozatlan időtartamra</w:t>
      </w:r>
      <w:r>
        <w:rPr>
          <w:noProof/>
        </w:rPr>
        <w:t xml:space="preserve"> vonatkozik</w:t>
      </w:r>
    </w:p>
    <w:p w:rsidR="00342647" w:rsidRDefault="002B7AD0">
      <w:pPr>
        <w:pStyle w:val="ListDash1"/>
        <w:rPr>
          <w:rFonts w:eastAsia="Calibri"/>
          <w:noProof/>
        </w:rPr>
      </w:pPr>
      <w:r>
        <w:rPr>
          <w:noProof/>
        </w:rPr>
        <w:t>Beindítási időszak: ÉÉÉÉ-tól/-től ÉÉÉÉ-ig</w:t>
      </w:r>
    </w:p>
    <w:p w:rsidR="00342647" w:rsidRDefault="002B7AD0">
      <w:pPr>
        <w:pStyle w:val="ListDash1"/>
        <w:rPr>
          <w:rFonts w:eastAsia="Calibri"/>
          <w:noProof/>
        </w:rPr>
      </w:pPr>
      <w:r>
        <w:rPr>
          <w:noProof/>
        </w:rPr>
        <w:t xml:space="preserve">E </w:t>
      </w:r>
      <w:r>
        <w:rPr>
          <w:noProof/>
        </w:rPr>
        <w:t>javaslat 2016. január 1-jén lép hatályba,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t>azt követően: rendes ütem.</w:t>
      </w:r>
    </w:p>
    <w:p w:rsidR="00342647" w:rsidRDefault="002B7AD0"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Tervezett irányítási módszer(ek)</w:t>
      </w:r>
      <w:r>
        <w:rPr>
          <w:rStyle w:val="FootnoteReference"/>
          <w:noProof/>
        </w:rPr>
        <w:footnoteReference w:id="17"/>
      </w:r>
      <w:r>
        <w:rPr>
          <w:rStyle w:val="FootnoteReference"/>
          <w:noProof/>
        </w:rPr>
        <w:t xml:space="preserve"> </w:t>
      </w:r>
    </w:p>
    <w:p w:rsidR="00342647" w:rsidRDefault="002B7AD0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Bizottság általi </w:t>
      </w:r>
      <w:r>
        <w:rPr>
          <w:b/>
          <w:noProof/>
        </w:rPr>
        <w:t>közvetlen irányítás</w:t>
      </w:r>
    </w:p>
    <w:p w:rsidR="00342647" w:rsidRDefault="002B7AD0">
      <w:pPr>
        <w:pStyle w:val="ListDash2"/>
        <w:rPr>
          <w:rFonts w:cs="EUAlbertina"/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a Bizottság szervezeti egységein keresztül, ideértve az uniós küldöttségek személyzetét; </w:t>
      </w:r>
      <w:r>
        <w:rPr>
          <w:noProof/>
        </w:rPr>
        <w:tab/>
      </w:r>
      <w:r>
        <w:rPr>
          <w:noProof/>
        </w:rPr>
        <w:br/>
        <w:t xml:space="preserve"> </w:t>
      </w:r>
      <w:r>
        <w:rPr>
          <w:noProof/>
        </w:rPr>
        <w:tab/>
        <w:t>a Fiscalis 20</w:t>
      </w:r>
      <w:r>
        <w:rPr>
          <w:noProof/>
        </w:rPr>
        <w:t>20 program irányítása közvetlenül történik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végrehajtó ügynökségeken keresztül </w:t>
      </w:r>
    </w:p>
    <w:p w:rsidR="00342647" w:rsidRDefault="002B7AD0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Megosztott irányítás</w:t>
      </w:r>
      <w:r>
        <w:rPr>
          <w:noProof/>
        </w:rPr>
        <w:t xml:space="preserve"> a tagállamokkal </w:t>
      </w:r>
    </w:p>
    <w:p w:rsidR="00342647" w:rsidRDefault="002B7AD0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Közvetett irányítás</w:t>
      </w:r>
      <w:r>
        <w:rPr>
          <w:noProof/>
        </w:rPr>
        <w:t>, a végrehajtási feladatokat az alábbiaknak delegálva: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harmadik országok vagy az általuk kijelölt szervek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nemzetközi szervezetek és ügynökségeik (nevezze meg)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az EBB és az Európai Beruházási Alap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költségvetési rendelet 208. és 209. cikkében említett szervek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közjogi szervek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magánjog alapján működő, közfeladatot ellátó szervek, olyan mértékben, amenny</w:t>
      </w:r>
      <w:r>
        <w:rPr>
          <w:noProof/>
        </w:rPr>
        <w:t>iben megfelelő pénzügyi garanciákat nyújtanak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valamely tagállam magánjoga alapján működő, köz- és magánszféra közötti partnerség végrehajtásával megbízott és megfelelő pénzügyi garanciákat nyújtó szervek</w:t>
      </w:r>
    </w:p>
    <w:p w:rsidR="00342647" w:rsidRDefault="002B7AD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az EUSZ V. címének értelmében a KKBP terén kon</w:t>
      </w:r>
      <w:r>
        <w:rPr>
          <w:noProof/>
        </w:rPr>
        <w:t>krét fellépések végrehajtásával megbízott, és a vonatkozó alap-jogiaktusban meghatározott személyek.</w:t>
      </w:r>
    </w:p>
    <w:p w:rsidR="00342647" w:rsidRDefault="002B7AD0"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Egynél több irányítási módszer feltüntetése esetén kérjük, adjon részletes felvilágosítást a „Megjegyzések” rovatban.</w:t>
      </w:r>
    </w:p>
    <w:p w:rsidR="00342647" w:rsidRDefault="002B7AD0">
      <w:pPr>
        <w:rPr>
          <w:noProof/>
        </w:rPr>
      </w:pPr>
      <w:r>
        <w:rPr>
          <w:noProof/>
        </w:rPr>
        <w:t xml:space="preserve">Megjegyzések </w:t>
      </w:r>
    </w:p>
    <w:p w:rsidR="00342647" w:rsidRDefault="002B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irányítás tekintetéb</w:t>
      </w:r>
      <w:r>
        <w:rPr>
          <w:noProof/>
        </w:rPr>
        <w:t xml:space="preserve">en a javaslat semmilyen változást nem eredményez. A 2011/16/EU irányelv 21. cikke szerint a Bizottság a bizottsági eljárásrendet követve, a tagállamokkal együttműködve kidolgozza az információcsere egységes formanyomtatványait és formátumait. A tagállamok </w:t>
      </w:r>
      <w:r>
        <w:rPr>
          <w:noProof/>
        </w:rPr>
        <w:t>közötti információcseréhez szükséges közös kommunikációs hálózatot (CCN) illetően a Bizottság felelős a CCN-hálózat bármely, az információcsere lehetővé tételéhez szükséges fejlesztéséért, és a tagállamok felelősek saját rendszereiknek bármely, az informác</w:t>
      </w:r>
      <w:r>
        <w:rPr>
          <w:noProof/>
        </w:rPr>
        <w:t>ió CCN-hálózat útján történő cseréjét lehetővé tevő fejlesztéséért.</w:t>
      </w:r>
    </w:p>
    <w:p w:rsidR="00342647" w:rsidRDefault="002B7AD0"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IRÁNYÍTÁSI INTÉZKEDÉSEK </w:t>
      </w:r>
    </w:p>
    <w:p w:rsidR="00342647" w:rsidRDefault="002B7AD0"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A nyomon követésre és a jelentéstételre vonatkozó rendelkezések </w:t>
      </w:r>
    </w:p>
    <w:p w:rsidR="00342647" w:rsidRDefault="002B7AD0"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Gyakoriság és feltételek.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Fiscalis program keretében a nyomon követés és a jelentéstétel</w:t>
      </w:r>
      <w:r>
        <w:rPr>
          <w:noProof/>
        </w:rPr>
        <w:t xml:space="preserve"> az alábbiak szerint zajlik.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Az e kezdeményezéshez, illetve más együttes fellépésekhez szükséges előkészítő tevékenységeket, valamint a közös képzési tevékenységeket rendszeresen nyomon követik a résztvevők és a fellépéseket irányító szereplők inputjainak </w:t>
      </w:r>
      <w:r>
        <w:rPr>
          <w:noProof/>
        </w:rPr>
        <w:t>felhasználásával. Az inputokat egységes formanyomtatványok segítségével gyűjtik, és az inputok alapján kerülnek meghatározásra a Fiscalis 2020 program teljesítménymérési keretében (PMF) rögzített mutatók. Az információcseréhez kapcsolódó egyéb kiadásokat a</w:t>
      </w:r>
      <w:r>
        <w:rPr>
          <w:noProof/>
        </w:rPr>
        <w:t xml:space="preserve"> PMF 1.4.4. szakaszában leírt, illetve a PMF-ben egységesített mechanizmus szerint követik nyomon.</w:t>
      </w:r>
    </w:p>
    <w:p w:rsidR="00342647" w:rsidRDefault="002B7AD0"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Irányítási és kontrollrendszer </w:t>
      </w:r>
    </w:p>
    <w:p w:rsidR="00342647" w:rsidRDefault="002B7AD0"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Felismert kockázat(ok)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kezdeményezésnek a Fiscalis 2020 támogatásával történő végrehajtásához fűződő lehetsége</w:t>
      </w:r>
      <w:r>
        <w:rPr>
          <w:noProof/>
        </w:rPr>
        <w:t>s kockázatok az alábbiakhoz kapcsolódnak: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tagállamok és a tagjelölt országok konzorciumával aláírt támogatási megállapodás végrehajtása.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program keretében kötött közbeszerzési szerződések végrehajtása.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A működő belső kontrollrendszerrel kapcsola</w:t>
      </w:r>
      <w:r>
        <w:rPr>
          <w:noProof/>
        </w:rPr>
        <w:t>tos információk.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belső kontrollrendszer felépítése ugyanaz, mint a Fiscalis 2020 programban, és a kezdeményezés valamennyi operatív kiadását felöleli.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alkalmazott ellenőrzési stratégia fő elemei a következők: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Közbeszerzési szerződések esetében: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köz</w:t>
      </w:r>
      <w:r>
        <w:rPr>
          <w:noProof/>
        </w:rPr>
        <w:t>beszerzések tekintetében a költségvetési rendeletben meghatározott ellenőrzési eljárásokat kell alkalmazni. A közbeszerzési szerződést a Bizottság szolgálatai által a kifizetés érdekében végzett ellenőrzési eljárás után kötik meg, figyelembe véve a szerződ</w:t>
      </w:r>
      <w:r>
        <w:rPr>
          <w:noProof/>
        </w:rPr>
        <w:t>éses kötelezettségeket, valamint a hatékony pénzgazdálkodást és általános irányítást. A csalás elleni intézkedésekről (ellenőrzések, jelentések stb.) a Bizottság és a kedvezményezettek között létrejött minden szerződés rendelkezik. A részletese referencia-</w:t>
      </w:r>
      <w:r>
        <w:rPr>
          <w:noProof/>
        </w:rPr>
        <w:t>feltételeket meg kell állapítani, és azok képezik az egyes konkrét szerződések alapját. Az elfogadási eljárás szigorúan a TAXUD TEMPO módszertant követi: a célkitűzéseket felülvizsgálják, szükség esetén módosítják, és végül kifejezetten elfogadják (vagy el</w:t>
      </w:r>
      <w:r>
        <w:rPr>
          <w:noProof/>
        </w:rPr>
        <w:t xml:space="preserve">utasítják). „Elfogadólevél” hiányában számla nem fizethető ki.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közbeszerzések technikai ellenőrzése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Adóügyi és Vámuniós Főigazgatóság végzi a célkitűzések ellenőrzését, és felügyeli a vállalkozók tevékenységét, valamint az általuk nyújtott szolgáltat</w:t>
      </w:r>
      <w:r>
        <w:rPr>
          <w:noProof/>
        </w:rPr>
        <w:t xml:space="preserve">ásokat. Emellett rendszeresen minőség- és biztonság-ellenőrzéseket végez az alvállalkozóinál. A minőségellenőrzések során ellenőrzik az alvállalkozók tényleges folyamatainak a minőségterveikben meghatározott szabályoknak és eljárásoknak való megfelelését. </w:t>
      </w:r>
      <w:r>
        <w:rPr>
          <w:noProof/>
        </w:rPr>
        <w:t xml:space="preserve">A biztonságellenőrzések a konkrét folyamatokra, eljárásokra és rendszerekre koncentrálnak.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fenti ellenőrzések mellett az Adóügyi és Vámuniós Főigazgatóság elvégzi a hagyományos költségvetési ellenőrzéseket.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kötelezettségvállalások előzetes vizsgálata</w:t>
      </w:r>
      <w:r>
        <w:rPr>
          <w:noProof/>
        </w:rPr>
        <w:t xml:space="preserve">: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Adóügyi és Vámuniós Főigazgatóság valamennyi kötelezettségvállalását megvizsgálja a humánerőforrási és a pénzügyi részleg vezetője. Ennek következtében a kötelezettségvállalás alá eső összegek 100%-ára terjed ki az előzetes vizsgálat. Ez az eljárás m</w:t>
      </w:r>
      <w:r>
        <w:rPr>
          <w:noProof/>
        </w:rPr>
        <w:t>agas szinten biztosítja az ügyletek jogszerűségét és szabályszerűségét.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kifizetések előzetes vizsgálata: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kifizetések 100%-át előzetesen vizsgálják. Ezen túlmenően hetente legalább (minden kiadási kategóriából) egy kifizetést kiválasztanak a </w:t>
      </w:r>
      <w:r>
        <w:rPr>
          <w:noProof/>
        </w:rPr>
        <w:t>humánerőforrási és a pénzügyi részleg vezetője által végzett előzetes vizsgálat céljából. A vizsgálat terjedelmére nem határoztak meg célt, mivel annak célja a kifizetések „véletlenszerű” ellenőrzése, annak megvizsgálása érdekében, hogy valamennyi kifizeté</w:t>
      </w:r>
      <w:r>
        <w:rPr>
          <w:noProof/>
        </w:rPr>
        <w:t>st az előírásoknak megfelelően készítettek-e elő. A fennmaradó kifizetéseket a hatályos szabályok szerint naponta dolgozzák fel. A továbbruházott felhatalmazás alapján engedélyezésre jogosult tisztviselők nyilatkozatai: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átruházott felhatalmazás által en</w:t>
      </w:r>
      <w:r>
        <w:rPr>
          <w:noProof/>
        </w:rPr>
        <w:t xml:space="preserve">gedélyezésre jogosult tisztviselők nyilatkozatai: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Valamennyi átruházott felhatalmazás által engedélyezésre jogosult tisztviselő az érintett éves tevékenységi jelentést alátámasztó nyilatkozatokat ír alá. E nyilatkozatok a program szerinti műveletekre vona</w:t>
      </w:r>
      <w:r>
        <w:rPr>
          <w:noProof/>
        </w:rPr>
        <w:t>tkoznak. A továbbruházott felhatalmazás alapján engedélyezésre jogosult tisztviselők nyilatkoznak arról, hogy a költségvetés végrehajtásához kapcsolódó műveleteket a pénzgazdálkodás hatékonyságának alapelvével összhangban hajtották végre, hogy az alkalmazo</w:t>
      </w:r>
      <w:r>
        <w:rPr>
          <w:noProof/>
        </w:rPr>
        <w:t>tt irányítási és ellenőrzési rendszerek kellő biztosítékot nyújtottak az ügyletek jogszerűségét és szabályszerűségét illetően, valamint, hogy az ezekhez a műveletekhez kapcsolódó kockázatokat megfelelően azonosították, jelentették, és végrehajtották a kock</w:t>
      </w:r>
      <w:r>
        <w:rPr>
          <w:noProof/>
        </w:rPr>
        <w:t xml:space="preserve">ázatokat enyhítő intézkedéseket. </w:t>
      </w:r>
    </w:p>
    <w:p w:rsidR="00342647" w:rsidRDefault="002B7AD0"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Az ellenőrzések költsége és haszna, a várt hibaarány értékelése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kialakított ellenőrzési mechanizmusok lehetővé teszik az Adóügyi és Vámuniós Főigazgatóság számára, hogy kellőképpen biztosítsa a kiadások minőségét</w:t>
      </w:r>
      <w:r>
        <w:rPr>
          <w:noProof/>
        </w:rPr>
        <w:t xml:space="preserve"> és szabályszerűségét, valamint csökkentse a meg nem felelés kockázatát. A fenti ellenőrzési stratégiai intézkedések a 2%-ban megjelölt célérték alá csökkentik a lehetséges kockázatokat, és valamennyi kedvezményezettet elérik. A további kockázatcsökkentést</w:t>
      </w:r>
      <w:r>
        <w:rPr>
          <w:noProof/>
        </w:rPr>
        <w:t xml:space="preserve"> szolgáló kiegészítő intézkedések aránytalanul magas költséget eredményeznének, és ezért ilyenek nincsenek előirányozva. 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fenti ellenőrzési stratégia végrehajtásával járó összköltség – a Fiscalis 2020 program keretébe tartozó valamennyi kiadás tekintetéb</w:t>
      </w:r>
      <w:r>
        <w:rPr>
          <w:noProof/>
        </w:rPr>
        <w:t>en – az összes kifizetés 1,6 %-ára van korlátozva. Ez az arány várhatóan a jelenlegi kezdeményezés tekintetében is megmarad.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program ellenőrzési stratégiája hatékonynak tekinthető ahhoz, hogy a meg nem felelés kockázatát gyakorlatilag nullára csökkentse,</w:t>
      </w:r>
      <w:r>
        <w:rPr>
          <w:noProof/>
        </w:rPr>
        <w:t xml:space="preserve"> és a kapcsolódó kockázatokkal arányos legyen.</w:t>
      </w:r>
    </w:p>
    <w:p w:rsidR="00342647" w:rsidRDefault="002B7AD0"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A csalások és a szabálytalanságok megelőzésére vonatkozó intézkedések </w:t>
      </w:r>
    </w:p>
    <w:p w:rsidR="00342647" w:rsidRDefault="002B7AD0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Tüntesse fel a meglévő vagy tervezett megelőző és védintézkedéseket.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Az Európai Csalás Elleni Hivatal (OLAF) a 1073/1999/EK európai </w:t>
      </w:r>
      <w:r>
        <w:rPr>
          <w:noProof/>
        </w:rPr>
        <w:t xml:space="preserve">parlamenti és tanács rendeletben ( 1 ), valamint a 2185/96/Euratom, EK tanácsi rendeletben ( 2 ) foglalt rendelkezéseknek és eljárásoknak megfelelően – nyomozásokat, többek között helyszíni ellenőrzéseket és vizsgálatokat folytathat annak megállapítására, </w:t>
      </w:r>
      <w:r>
        <w:rPr>
          <w:noProof/>
        </w:rPr>
        <w:t>hogy valamely támogatási megállapodással, támogatási határozattal vagy az e rendelet alapján finanszírozott szerződéssel összefüggésben történt-e az Unió pénzügyi érdekeit sértő csalás, korrupció vagy más jogellenes cselekmény.</w:t>
      </w:r>
    </w:p>
    <w:p w:rsidR="00342647" w:rsidRDefault="00342647">
      <w:pPr>
        <w:rPr>
          <w:noProof/>
        </w:rPr>
        <w:sectPr w:rsidR="00342647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342647" w:rsidRDefault="002B7AD0"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>A</w:t>
      </w:r>
      <w:r>
        <w:rPr>
          <w:noProof/>
        </w:rPr>
        <w:t xml:space="preserve"> JAVASLAT/KEZDEMÉNYEZÉS BECSÜLT PÉNZÜGYI HATÁSA </w:t>
      </w:r>
    </w:p>
    <w:p w:rsidR="00342647" w:rsidRDefault="002B7AD0"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A többéves pénzügyi keret mely fejezetét/fejezeteit és a költségvetés mely kiadási tételét/tételeit érintik a kiadások? </w:t>
      </w:r>
    </w:p>
    <w:p w:rsidR="00342647" w:rsidRDefault="002B7AD0">
      <w:pPr>
        <w:pStyle w:val="ListBullet1"/>
        <w:rPr>
          <w:noProof/>
        </w:rPr>
      </w:pPr>
      <w:r>
        <w:rPr>
          <w:noProof/>
        </w:rPr>
        <w:t>Jelenlegi költségvetési tételek – a Fiscalis 2020 program teljes mértékben lefedi</w:t>
      </w:r>
      <w:r>
        <w:rPr>
          <w:noProof/>
        </w:rPr>
        <w:t xml:space="preserve"> ezeket</w:t>
      </w:r>
    </w:p>
    <w:p w:rsidR="00342647" w:rsidRDefault="002B7AD0">
      <w:pPr>
        <w:pStyle w:val="Text1"/>
        <w:rPr>
          <w:noProof/>
        </w:rPr>
      </w:pPr>
      <w:r>
        <w:rPr>
          <w:noProof/>
        </w:rPr>
        <w:t xml:space="preserve">A többéves pénzügyi keret fejezetei, azon belül pedig a költségvetési tételek </w:t>
      </w:r>
      <w:r>
        <w:rPr>
          <w:noProof/>
          <w:u w:val="single"/>
        </w:rPr>
        <w:t>sorrendjében</w:t>
      </w:r>
      <w:r>
        <w:rPr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 w:rsidR="00342647">
        <w:tc>
          <w:tcPr>
            <w:tcW w:w="1080" w:type="dxa"/>
            <w:vMerge w:val="restart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A többéves pénzügyi keret fejezete</w:t>
            </w:r>
          </w:p>
        </w:tc>
        <w:tc>
          <w:tcPr>
            <w:tcW w:w="3960" w:type="dxa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Költségvetési tétel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Kiadás</w:t>
            </w:r>
            <w:r>
              <w:rPr>
                <w:noProof/>
                <w:sz w:val="18"/>
              </w:rPr>
              <w:br/>
              <w:t>típusa</w:t>
            </w:r>
          </w:p>
        </w:tc>
        <w:tc>
          <w:tcPr>
            <w:tcW w:w="4440" w:type="dxa"/>
            <w:gridSpan w:val="4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Hozzájárulás </w:t>
            </w:r>
          </w:p>
        </w:tc>
      </w:tr>
      <w:tr w:rsidR="00342647">
        <w:tc>
          <w:tcPr>
            <w:tcW w:w="1080" w:type="dxa"/>
            <w:vMerge/>
            <w:vAlign w:val="center"/>
          </w:tcPr>
          <w:p w:rsidR="00342647" w:rsidRDefault="00342647"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 w:rsidR="00342647" w:rsidRDefault="002B7AD0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Szám </w:t>
            </w:r>
            <w:r>
              <w:rPr>
                <w:noProof/>
                <w:sz w:val="22"/>
              </w:rPr>
              <w:br/>
            </w:r>
            <w:r>
              <w:rPr>
                <w:noProof/>
              </w:rPr>
              <w:t>1A Versenyképesség a növekedésért és foglalkoztatásért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diff./nem </w:t>
            </w:r>
            <w:r>
              <w:rPr>
                <w:noProof/>
                <w:sz w:val="18"/>
              </w:rPr>
              <w:t>diff.</w:t>
            </w:r>
            <w:r>
              <w:rPr>
                <w:rStyle w:val="FootnoteReference"/>
                <w:noProof/>
                <w:sz w:val="18"/>
              </w:rPr>
              <w:footnoteReference w:id="18"/>
            </w:r>
          </w:p>
        </w:tc>
        <w:tc>
          <w:tcPr>
            <w:tcW w:w="956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EFTA-országoktól</w:t>
            </w:r>
            <w:r>
              <w:rPr>
                <w:rStyle w:val="FootnoteReference"/>
                <w:noProof/>
                <w:sz w:val="18"/>
              </w:rPr>
              <w:footnoteReference w:id="19"/>
            </w:r>
          </w:p>
          <w:p w:rsidR="00342647" w:rsidRDefault="00342647"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tagjelölt országoktól</w:t>
            </w:r>
            <w:r>
              <w:rPr>
                <w:rStyle w:val="FootnoteReference"/>
                <w:noProof/>
                <w:sz w:val="18"/>
              </w:rPr>
              <w:footnoteReference w:id="20"/>
            </w:r>
          </w:p>
          <w:p w:rsidR="00342647" w:rsidRDefault="00342647"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harmadik országoktól</w:t>
            </w:r>
          </w:p>
        </w:tc>
        <w:tc>
          <w:tcPr>
            <w:tcW w:w="1448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a költségvetési rendelet 21. cikke (2) bekezdésének b) pontja értelmében </w:t>
            </w:r>
          </w:p>
        </w:tc>
      </w:tr>
      <w:tr w:rsidR="00342647">
        <w:tc>
          <w:tcPr>
            <w:tcW w:w="1080" w:type="dxa"/>
            <w:vAlign w:val="center"/>
          </w:tcPr>
          <w:p w:rsidR="00342647" w:rsidRDefault="00342647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 w:rsidR="00342647" w:rsidRDefault="002B7AD0">
            <w:pPr>
              <w:spacing w:before="60"/>
              <w:rPr>
                <w:noProof/>
              </w:rPr>
            </w:pPr>
            <w:r>
              <w:rPr>
                <w:noProof/>
              </w:rPr>
              <w:t>14.0301 (Az adórendszerek működésének javítása)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diff.</w:t>
            </w:r>
          </w:p>
        </w:tc>
        <w:tc>
          <w:tcPr>
            <w:tcW w:w="956" w:type="dxa"/>
          </w:tcPr>
          <w:p w:rsidR="00342647" w:rsidRDefault="002B7AD0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Szám</w:t>
            </w:r>
          </w:p>
        </w:tc>
        <w:tc>
          <w:tcPr>
            <w:tcW w:w="1080" w:type="dxa"/>
          </w:tcPr>
          <w:p w:rsidR="00342647" w:rsidRDefault="002B7AD0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Szám</w:t>
            </w:r>
          </w:p>
        </w:tc>
        <w:tc>
          <w:tcPr>
            <w:tcW w:w="956" w:type="dxa"/>
          </w:tcPr>
          <w:p w:rsidR="00342647" w:rsidRDefault="002B7AD0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Szám</w:t>
            </w:r>
          </w:p>
        </w:tc>
        <w:tc>
          <w:tcPr>
            <w:tcW w:w="1448" w:type="dxa"/>
          </w:tcPr>
          <w:p w:rsidR="00342647" w:rsidRDefault="002B7AD0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Szám</w:t>
            </w:r>
          </w:p>
        </w:tc>
      </w:tr>
    </w:tbl>
    <w:p w:rsidR="00342647" w:rsidRDefault="002B7AD0">
      <w:pPr>
        <w:pStyle w:val="ListBullet1"/>
        <w:rPr>
          <w:noProof/>
        </w:rPr>
      </w:pPr>
      <w:r>
        <w:rPr>
          <w:noProof/>
        </w:rPr>
        <w:t xml:space="preserve">Létrehozandó új költségvetési tételek </w:t>
      </w:r>
    </w:p>
    <w:p w:rsidR="00342647" w:rsidRDefault="002B7AD0">
      <w:pPr>
        <w:pStyle w:val="Text1"/>
        <w:rPr>
          <w:i/>
          <w:noProof/>
          <w:sz w:val="20"/>
        </w:rPr>
      </w:pPr>
      <w:r>
        <w:rPr>
          <w:i/>
          <w:noProof/>
        </w:rPr>
        <w:t xml:space="preserve">A többéves pénzügyi keret fejezetei, azon belül pedig a költségvetési tételek </w:t>
      </w:r>
      <w:r>
        <w:rPr>
          <w:i/>
          <w:noProof/>
          <w:u w:val="single"/>
        </w:rPr>
        <w:t>sorrendjében</w:t>
      </w:r>
      <w:r>
        <w:rPr>
          <w:i/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 w:rsidR="00342647">
        <w:tc>
          <w:tcPr>
            <w:tcW w:w="1080" w:type="dxa"/>
            <w:vMerge w:val="restart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 többéves pénzügyi keret fejezete</w:t>
            </w:r>
          </w:p>
        </w:tc>
        <w:tc>
          <w:tcPr>
            <w:tcW w:w="3960" w:type="dxa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Költségvetési tétel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Kiadás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típusa</w:t>
            </w:r>
          </w:p>
        </w:tc>
        <w:tc>
          <w:tcPr>
            <w:tcW w:w="4440" w:type="dxa"/>
            <w:gridSpan w:val="4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Hozzájárulás </w:t>
            </w:r>
          </w:p>
        </w:tc>
      </w:tr>
      <w:tr w:rsidR="00342647">
        <w:tc>
          <w:tcPr>
            <w:tcW w:w="1080" w:type="dxa"/>
            <w:vMerge/>
            <w:vAlign w:val="center"/>
          </w:tcPr>
          <w:p w:rsidR="00342647" w:rsidRDefault="00342647"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 w:rsidR="00342647" w:rsidRDefault="002B7AD0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Szám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[Megnevezés…]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diff./nem diff.</w:t>
            </w:r>
          </w:p>
        </w:tc>
        <w:tc>
          <w:tcPr>
            <w:tcW w:w="956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EFTA-országoktól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tagjelölt országoktól</w:t>
            </w:r>
          </w:p>
        </w:tc>
        <w:tc>
          <w:tcPr>
            <w:tcW w:w="956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harmadik országoktól</w:t>
            </w:r>
          </w:p>
        </w:tc>
        <w:tc>
          <w:tcPr>
            <w:tcW w:w="1448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a költségvetési rendelet 21. cikke (2) bekezdésének b) pontja értelmében </w:t>
            </w:r>
          </w:p>
        </w:tc>
      </w:tr>
      <w:tr w:rsidR="00342647">
        <w:tc>
          <w:tcPr>
            <w:tcW w:w="1080" w:type="dxa"/>
            <w:vAlign w:val="center"/>
          </w:tcPr>
          <w:p w:rsidR="00342647" w:rsidRDefault="00342647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 w:rsidR="00342647" w:rsidRDefault="002B7AD0">
            <w:pPr>
              <w:spacing w:before="60"/>
              <w:rPr>
                <w:noProof/>
              </w:rPr>
            </w:pPr>
            <w:r>
              <w:rPr>
                <w:noProof/>
                <w:sz w:val="22"/>
              </w:rPr>
              <w:t>[XX.YY.YY.YY]</w:t>
            </w:r>
          </w:p>
          <w:p w:rsidR="00342647" w:rsidRDefault="00342647"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56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IGEN/NEM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IGEN/NEM</w:t>
            </w:r>
          </w:p>
        </w:tc>
        <w:tc>
          <w:tcPr>
            <w:tcW w:w="956" w:type="dxa"/>
            <w:vAlign w:val="center"/>
          </w:tcPr>
          <w:p w:rsidR="00342647" w:rsidRDefault="002B7AD0"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IGEN/NEM</w:t>
            </w:r>
          </w:p>
        </w:tc>
        <w:tc>
          <w:tcPr>
            <w:tcW w:w="1448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IGEN/NEM</w:t>
            </w:r>
          </w:p>
        </w:tc>
      </w:tr>
    </w:tbl>
    <w:p w:rsidR="00342647" w:rsidRDefault="00342647">
      <w:pPr>
        <w:rPr>
          <w:noProof/>
        </w:rPr>
        <w:sectPr w:rsidR="00342647"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 w:rsidR="00342647" w:rsidRDefault="002B7AD0"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>A kiadásokra gyakorolt becsült hatás</w:t>
      </w:r>
    </w:p>
    <w:p w:rsidR="00342647" w:rsidRDefault="002B7AD0">
      <w:pPr>
        <w:pStyle w:val="Text1"/>
        <w:rPr>
          <w:noProof/>
        </w:rPr>
      </w:pPr>
      <w:r>
        <w:rPr>
          <w:noProof/>
          <w:highlight w:val="lightGray"/>
        </w:rPr>
        <w:t xml:space="preserve">[Ezt a részt az </w:t>
      </w:r>
      <w:hyperlink r:id="rId16">
        <w:r>
          <w:rPr>
            <w:rStyle w:val="Hyperlink"/>
            <w:b/>
            <w:noProof/>
            <w:color w:val="auto"/>
            <w:highlight w:val="lightGray"/>
          </w:rPr>
          <w:t>igazgatási jellegű adatok költségvetési táblázatában</w:t>
        </w:r>
      </w:hyperlink>
      <w:r>
        <w:rPr>
          <w:noProof/>
          <w:highlight w:val="lightGray"/>
        </w:rPr>
        <w:t xml:space="preserve"> (a pénzügyi kimutatás mellékletében található második dokumentum) kell kitölteni, és a szolgálatközi konzul</w:t>
      </w:r>
      <w:r>
        <w:rPr>
          <w:noProof/>
          <w:highlight w:val="lightGray"/>
        </w:rPr>
        <w:t>tációhoz fel kell tölteni a CISNET-re.]</w:t>
      </w:r>
    </w:p>
    <w:p w:rsidR="00342647" w:rsidRDefault="002B7AD0">
      <w:pPr>
        <w:pStyle w:val="ManualHeading3"/>
        <w:rPr>
          <w:noProof/>
        </w:rPr>
      </w:pPr>
      <w:r>
        <w:t>3.2.1.</w:t>
      </w:r>
      <w:r>
        <w:tab/>
      </w:r>
      <w:r>
        <w:rPr>
          <w:noProof/>
        </w:rPr>
        <w:t>A kiadásokra gyakorolt becsült hatás összegzése</w:t>
      </w:r>
    </w:p>
    <w:p w:rsidR="00342647" w:rsidRDefault="002B7AD0">
      <w:pPr>
        <w:pStyle w:val="Text1"/>
        <w:rPr>
          <w:i/>
          <w:noProof/>
        </w:rPr>
      </w:pPr>
      <w:r>
        <w:rPr>
          <w:i/>
          <w:noProof/>
        </w:rPr>
        <w:t>A FISCALIS 2020 program pénzügyi keretösszege magában foglalja az alább említett alkalmazásokat. További alkalmazásokra nem lesz szükség.</w:t>
      </w:r>
    </w:p>
    <w:p w:rsidR="00342647" w:rsidRDefault="002B7AD0">
      <w:pPr>
        <w:jc w:val="right"/>
        <w:rPr>
          <w:noProof/>
          <w:sz w:val="20"/>
        </w:rPr>
      </w:pPr>
      <w:r>
        <w:rPr>
          <w:noProof/>
          <w:sz w:val="20"/>
        </w:rPr>
        <w:t>millió EUR (három tized</w:t>
      </w:r>
      <w:r>
        <w:rPr>
          <w:noProof/>
          <w:sz w:val="20"/>
        </w:rPr>
        <w:t>esjegyig)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342647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342647" w:rsidRDefault="002B7AD0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 többéves pénzügyi keret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>fejezete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Szám</w:t>
            </w:r>
          </w:p>
        </w:tc>
        <w:tc>
          <w:tcPr>
            <w:tcW w:w="7817" w:type="dxa"/>
            <w:vAlign w:val="center"/>
          </w:tcPr>
          <w:p w:rsidR="00342647" w:rsidRDefault="002B7AD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1A Versenyképesség a növekedésért és foglalkoztatásért</w:t>
            </w:r>
          </w:p>
        </w:tc>
      </w:tr>
    </w:tbl>
    <w:p w:rsidR="00342647" w:rsidRDefault="00342647"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 w:rsidR="00342647">
        <w:tc>
          <w:tcPr>
            <w:tcW w:w="3960" w:type="dxa"/>
            <w:vAlign w:val="center"/>
          </w:tcPr>
          <w:p w:rsidR="00342647" w:rsidRDefault="002B7AD0"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FŐIGAZGATÓSÁG: </w:t>
            </w:r>
            <w:r>
              <w:rPr>
                <w:noProof/>
              </w:rPr>
              <w:t>TAXUD</w:t>
            </w:r>
          </w:p>
        </w:tc>
        <w:tc>
          <w:tcPr>
            <w:tcW w:w="1560" w:type="dxa"/>
            <w:gridSpan w:val="2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 w:rsidR="00342647" w:rsidRDefault="0034264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2016.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  <w:r>
              <w:rPr>
                <w:rStyle w:val="FootnoteReference"/>
                <w:noProof/>
                <w:sz w:val="20"/>
              </w:rPr>
              <w:footnoteReference w:id="21"/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2017.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2604" w:type="dxa"/>
            <w:gridSpan w:val="3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20"/>
              </w:rPr>
              <w:t xml:space="preserve">2020. </w:t>
            </w:r>
            <w:r>
              <w:rPr>
                <w:noProof/>
                <w:sz w:val="20"/>
              </w:rPr>
              <w:t>év</w:t>
            </w: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ÖSSZESEN</w:t>
            </w:r>
          </w:p>
        </w:tc>
      </w:tr>
      <w:tr w:rsidR="00342647">
        <w:trPr>
          <w:trHeight w:val="213"/>
        </w:trPr>
        <w:tc>
          <w:tcPr>
            <w:tcW w:w="6054" w:type="dxa"/>
            <w:gridSpan w:val="4"/>
            <w:vAlign w:val="center"/>
          </w:tcPr>
          <w:p w:rsidR="00342647" w:rsidRDefault="002B7AD0"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342647" w:rsidRDefault="00342647">
            <w:pPr>
              <w:rPr>
                <w:b/>
                <w:noProof/>
                <w:sz w:val="20"/>
              </w:rPr>
            </w:pPr>
          </w:p>
        </w:tc>
      </w:tr>
      <w:tr w:rsidR="00342647">
        <w:trPr>
          <w:trHeight w:val="277"/>
        </w:trPr>
        <w:tc>
          <w:tcPr>
            <w:tcW w:w="3960" w:type="dxa"/>
            <w:vMerge w:val="restart"/>
            <w:vAlign w:val="center"/>
          </w:tcPr>
          <w:p w:rsidR="00342647" w:rsidRDefault="002B7AD0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Költségvetési tétel száma: </w:t>
            </w:r>
            <w:r>
              <w:rPr>
                <w:noProof/>
              </w:rPr>
              <w:t>14.0301</w:t>
            </w: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  <w:tr w:rsidR="00342647">
        <w:tc>
          <w:tcPr>
            <w:tcW w:w="3960" w:type="dxa"/>
            <w:vMerge/>
          </w:tcPr>
          <w:p w:rsidR="00342647" w:rsidRDefault="0034264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gridSpan w:val="2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  <w:tr w:rsidR="00342647">
        <w:tc>
          <w:tcPr>
            <w:tcW w:w="3960" w:type="dxa"/>
            <w:vMerge w:val="restart"/>
            <w:vAlign w:val="center"/>
          </w:tcPr>
          <w:p w:rsidR="00342647" w:rsidRDefault="002B7AD0">
            <w:pPr>
              <w:rPr>
                <w:noProof/>
              </w:rPr>
            </w:pPr>
            <w:r>
              <w:rPr>
                <w:noProof/>
                <w:sz w:val="20"/>
              </w:rPr>
              <w:t>Költségvetési tétel száma</w:t>
            </w: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</w:tr>
      <w:tr w:rsidR="00342647">
        <w:tc>
          <w:tcPr>
            <w:tcW w:w="3960" w:type="dxa"/>
            <w:vMerge/>
          </w:tcPr>
          <w:p w:rsidR="00342647" w:rsidRDefault="0034264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gridSpan w:val="2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</w:tr>
      <w:tr w:rsidR="00342647">
        <w:trPr>
          <w:trHeight w:val="231"/>
        </w:trPr>
        <w:tc>
          <w:tcPr>
            <w:tcW w:w="6054" w:type="dxa"/>
            <w:gridSpan w:val="4"/>
            <w:vAlign w:val="center"/>
          </w:tcPr>
          <w:p w:rsidR="00342647" w:rsidRDefault="002B7AD0"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Bizonyos egyedi programok keretéből finanszírozott igazgatási előirányzatok</w:t>
            </w:r>
            <w:r>
              <w:rPr>
                <w:rStyle w:val="FootnoteReference"/>
                <w:noProof/>
                <w:sz w:val="21"/>
              </w:rPr>
              <w:footnoteReference w:id="22"/>
            </w:r>
            <w:r>
              <w:rPr>
                <w:noProof/>
                <w:sz w:val="21"/>
              </w:rPr>
              <w:t xml:space="preserve"> </w:t>
            </w:r>
          </w:p>
          <w:p w:rsidR="00342647" w:rsidRDefault="00342647"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rPr>
                <w:noProof/>
              </w:rPr>
            </w:pPr>
          </w:p>
        </w:tc>
      </w:tr>
      <w:tr w:rsidR="00342647">
        <w:trPr>
          <w:trHeight w:val="319"/>
        </w:trPr>
        <w:tc>
          <w:tcPr>
            <w:tcW w:w="3960" w:type="dxa"/>
            <w:vAlign w:val="center"/>
          </w:tcPr>
          <w:p w:rsidR="00342647" w:rsidRDefault="002B7AD0"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Költségvetési tétel száma</w:t>
            </w:r>
          </w:p>
        </w:tc>
        <w:tc>
          <w:tcPr>
            <w:tcW w:w="1440" w:type="dxa"/>
            <w:vAlign w:val="center"/>
          </w:tcPr>
          <w:p w:rsidR="00342647" w:rsidRDefault="00342647"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342647" w:rsidRDefault="002B7AD0"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40" w:after="40"/>
              <w:jc w:val="right"/>
              <w:rPr>
                <w:noProof/>
              </w:rPr>
            </w:pPr>
          </w:p>
        </w:tc>
      </w:tr>
      <w:tr w:rsidR="00342647">
        <w:tc>
          <w:tcPr>
            <w:tcW w:w="3960" w:type="dxa"/>
            <w:vMerge w:val="restart"/>
            <w:vAlign w:val="center"/>
          </w:tcPr>
          <w:p w:rsidR="00342647" w:rsidRDefault="002B7AD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Az</w:t>
            </w:r>
            <w:r>
              <w:rPr>
                <w:b/>
                <w:noProof/>
              </w:rPr>
              <w:t xml:space="preserve"> Adóügyi és Vámuniós Főigazgatósághoz tartozó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>előirányzatok ÖSSZESEN</w:t>
            </w:r>
          </w:p>
        </w:tc>
        <w:tc>
          <w:tcPr>
            <w:tcW w:w="1440" w:type="dxa"/>
            <w:vAlign w:val="center"/>
          </w:tcPr>
          <w:p w:rsidR="00342647" w:rsidRDefault="002B7A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vAlign w:val="center"/>
          </w:tcPr>
          <w:p w:rsidR="00342647" w:rsidRDefault="002B7AD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  <w:tr w:rsidR="00342647">
        <w:tc>
          <w:tcPr>
            <w:tcW w:w="3960" w:type="dxa"/>
            <w:vMerge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342647" w:rsidRDefault="002B7A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gridSpan w:val="2"/>
            <w:vAlign w:val="center"/>
          </w:tcPr>
          <w:p w:rsidR="00342647" w:rsidRDefault="002B7AD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 w:rsidR="00342647" w:rsidRDefault="002B7AD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</w:tbl>
    <w:p w:rsidR="00342647" w:rsidRDefault="002B7AD0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 w:rsidR="00342647">
        <w:trPr>
          <w:trHeight w:val="277"/>
        </w:trPr>
        <w:tc>
          <w:tcPr>
            <w:tcW w:w="3960" w:type="dxa"/>
            <w:vMerge w:val="restart"/>
            <w:vAlign w:val="center"/>
          </w:tcPr>
          <w:p w:rsidR="00342647" w:rsidRDefault="002B7AD0"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 ÖSSZESEN</w:t>
            </w: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  <w:tr w:rsidR="00342647">
        <w:tc>
          <w:tcPr>
            <w:tcW w:w="3960" w:type="dxa"/>
            <w:vMerge/>
          </w:tcPr>
          <w:p w:rsidR="00342647" w:rsidRDefault="0034264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  <w:tr w:rsidR="00342647">
        <w:trPr>
          <w:trHeight w:val="533"/>
        </w:trPr>
        <w:tc>
          <w:tcPr>
            <w:tcW w:w="5400" w:type="dxa"/>
            <w:gridSpan w:val="2"/>
            <w:vAlign w:val="center"/>
          </w:tcPr>
          <w:p w:rsidR="00342647" w:rsidRDefault="002B7AD0"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Bizonyos egyedi programok keretéből finanszírozott igazgatási előirányzatok ÖSSZESEN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342647">
        <w:tc>
          <w:tcPr>
            <w:tcW w:w="3960" w:type="dxa"/>
            <w:vMerge w:val="restart"/>
            <w:shd w:val="thinDiagStripe" w:color="C0C0C0" w:fill="auto"/>
            <w:vAlign w:val="center"/>
          </w:tcPr>
          <w:p w:rsidR="00342647" w:rsidRDefault="002B7AD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A többéves pénzügyi keret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1A fejezetéhez tartozó előirányzatok ÖSSZESEN</w:t>
            </w:r>
          </w:p>
        </w:tc>
        <w:tc>
          <w:tcPr>
            <w:tcW w:w="1440" w:type="dxa"/>
            <w:vAlign w:val="center"/>
          </w:tcPr>
          <w:p w:rsidR="00342647" w:rsidRDefault="002B7A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  <w:tr w:rsidR="00342647">
        <w:tc>
          <w:tcPr>
            <w:tcW w:w="3960" w:type="dxa"/>
            <w:vMerge/>
            <w:shd w:val="thinDiagStripe" w:color="C0C0C0" w:fill="auto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342647" w:rsidRDefault="002B7A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</w:tbl>
    <w:p w:rsidR="00342647" w:rsidRDefault="002B7AD0"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Amennyiben a javaslat/kezdeményezés több fejezetet is érint: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 w:rsidR="00342647">
        <w:trPr>
          <w:trHeight w:val="277"/>
        </w:trPr>
        <w:tc>
          <w:tcPr>
            <w:tcW w:w="3960" w:type="dxa"/>
            <w:vMerge w:val="restart"/>
            <w:vAlign w:val="center"/>
          </w:tcPr>
          <w:p w:rsidR="00342647" w:rsidRDefault="002B7AD0"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 ÖSSZESEN</w:t>
            </w: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342647">
        <w:tc>
          <w:tcPr>
            <w:tcW w:w="3960" w:type="dxa"/>
            <w:vMerge/>
          </w:tcPr>
          <w:p w:rsidR="00342647" w:rsidRDefault="0034264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342647" w:rsidRDefault="002B7AD0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342647">
        <w:trPr>
          <w:trHeight w:val="533"/>
        </w:trPr>
        <w:tc>
          <w:tcPr>
            <w:tcW w:w="5400" w:type="dxa"/>
            <w:gridSpan w:val="2"/>
            <w:vAlign w:val="center"/>
          </w:tcPr>
          <w:p w:rsidR="00342647" w:rsidRDefault="002B7AD0"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Bizonyos egyedi programok keretéből finanszírozott igazgatási előirányzatok ÖSSZESEN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342647">
        <w:tc>
          <w:tcPr>
            <w:tcW w:w="3960" w:type="dxa"/>
            <w:vMerge w:val="restart"/>
            <w:shd w:val="thinDiagStripe" w:color="C0C0C0" w:fill="auto"/>
            <w:vAlign w:val="center"/>
          </w:tcPr>
          <w:p w:rsidR="00342647" w:rsidRDefault="002B7AD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A többéves pénzügyi keret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1–4. FEJEZETÉHEZ tartozó </w:t>
            </w:r>
            <w:r>
              <w:rPr>
                <w:b/>
                <w:noProof/>
                <w:sz w:val="22"/>
              </w:rPr>
              <w:t>előirányzatok ÖSSZESEN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(Referenciaösszeg)</w:t>
            </w:r>
          </w:p>
        </w:tc>
        <w:tc>
          <w:tcPr>
            <w:tcW w:w="1440" w:type="dxa"/>
            <w:vAlign w:val="center"/>
          </w:tcPr>
          <w:p w:rsidR="00342647" w:rsidRDefault="002B7A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342647">
        <w:tc>
          <w:tcPr>
            <w:tcW w:w="3960" w:type="dxa"/>
            <w:vMerge/>
            <w:shd w:val="thinDiagStripe" w:color="C0C0C0" w:fill="auto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342647" w:rsidRDefault="002B7A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vAlign w:val="center"/>
          </w:tcPr>
          <w:p w:rsidR="00342647" w:rsidRDefault="002B7AD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 w:rsidR="00342647" w:rsidRDefault="00342647">
      <w:pPr>
        <w:rPr>
          <w:noProof/>
        </w:rPr>
      </w:pPr>
    </w:p>
    <w:p w:rsidR="00342647" w:rsidRDefault="002B7AD0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342647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342647" w:rsidRDefault="002B7AD0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>A többéves pénzügyi keret</w:t>
            </w:r>
            <w:r>
              <w:rPr>
                <w:b/>
                <w:noProof/>
                <w:sz w:val="22"/>
              </w:rPr>
              <w:t xml:space="preserve"> fejezete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 w:rsidR="00342647" w:rsidRDefault="002B7AD0"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„Igazgatási kiadások”</w:t>
            </w:r>
          </w:p>
        </w:tc>
      </w:tr>
    </w:tbl>
    <w:p w:rsidR="00342647" w:rsidRDefault="002B7AD0">
      <w:pPr>
        <w:jc w:val="right"/>
        <w:rPr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 w:rsidR="00342647"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342647" w:rsidRDefault="00342647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342647" w:rsidRDefault="0034264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2016.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2017.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2604" w:type="dxa"/>
            <w:gridSpan w:val="3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20"/>
              </w:rPr>
              <w:t>2020.</w:t>
            </w:r>
            <w:r>
              <w:rPr>
                <w:noProof/>
                <w:sz w:val="20"/>
              </w:rPr>
              <w:t xml:space="preserve"> év</w:t>
            </w:r>
          </w:p>
        </w:tc>
        <w:tc>
          <w:tcPr>
            <w:tcW w:w="1777" w:type="dxa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ÖSSZESEN</w:t>
            </w:r>
          </w:p>
        </w:tc>
      </w:tr>
      <w:tr w:rsidR="00342647">
        <w:trPr>
          <w:gridAfter w:val="10"/>
          <w:wAfter w:w="9947" w:type="dxa"/>
        </w:trPr>
        <w:tc>
          <w:tcPr>
            <w:tcW w:w="3960" w:type="dxa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FŐIGAZGATÓSÁG: </w:t>
            </w:r>
            <w:r>
              <w:rPr>
                <w:noProof/>
              </w:rPr>
              <w:t>TAXUD</w:t>
            </w:r>
          </w:p>
        </w:tc>
      </w:tr>
      <w:tr w:rsidR="00342647">
        <w:trPr>
          <w:trHeight w:val="313"/>
        </w:trPr>
        <w:tc>
          <w:tcPr>
            <w:tcW w:w="6054" w:type="dxa"/>
            <w:gridSpan w:val="3"/>
            <w:vAlign w:val="center"/>
          </w:tcPr>
          <w:p w:rsidR="00342647" w:rsidRDefault="002B7AD0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Humánerőforrás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</w:tr>
      <w:tr w:rsidR="00342647">
        <w:trPr>
          <w:trHeight w:val="351"/>
        </w:trPr>
        <w:tc>
          <w:tcPr>
            <w:tcW w:w="6054" w:type="dxa"/>
            <w:gridSpan w:val="3"/>
            <w:vAlign w:val="center"/>
          </w:tcPr>
          <w:p w:rsidR="00342647" w:rsidRDefault="002B7AD0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Egyéb igazgatási kiadások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</w:tr>
      <w:tr w:rsidR="00342647">
        <w:tc>
          <w:tcPr>
            <w:tcW w:w="3960" w:type="dxa"/>
            <w:vAlign w:val="center"/>
          </w:tcPr>
          <w:p w:rsidR="00342647" w:rsidRDefault="002B7AD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Adóügyi és Vámuniós Főigazgatóság ÖSSZESEN</w:t>
            </w:r>
          </w:p>
        </w:tc>
        <w:tc>
          <w:tcPr>
            <w:tcW w:w="2094" w:type="dxa"/>
            <w:gridSpan w:val="2"/>
            <w:vAlign w:val="center"/>
          </w:tcPr>
          <w:p w:rsidR="00342647" w:rsidRDefault="002B7AD0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Előirányzatok 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</w:tr>
    </w:tbl>
    <w:p w:rsidR="00342647" w:rsidRDefault="00342647"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 w:rsidR="00342647">
        <w:tc>
          <w:tcPr>
            <w:tcW w:w="3960" w:type="dxa"/>
            <w:shd w:val="thinDiagStripe" w:color="C0C0C0" w:fill="auto"/>
            <w:vAlign w:val="center"/>
          </w:tcPr>
          <w:p w:rsidR="00342647" w:rsidRDefault="002B7AD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A többéves pénzügyi keret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>5. FEJEZETÉHEZ tartozó előirányzatok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 xml:space="preserve">ÖSSZESEN </w:t>
            </w:r>
          </w:p>
        </w:tc>
        <w:tc>
          <w:tcPr>
            <w:tcW w:w="2094" w:type="dxa"/>
            <w:vAlign w:val="center"/>
          </w:tcPr>
          <w:p w:rsidR="00342647" w:rsidRDefault="002B7AD0"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(Összes kötelezettségvállalási előirányzat = Összes kifizetési előirányzat)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 w:rsidR="00342647" w:rsidRDefault="002B7AD0">
      <w:pPr>
        <w:jc w:val="right"/>
        <w:rPr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 w:rsidR="00342647"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342647" w:rsidRDefault="00342647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342647" w:rsidRDefault="0034264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2016.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  <w:r>
              <w:rPr>
                <w:rStyle w:val="FootnoteReference"/>
                <w:noProof/>
                <w:sz w:val="20"/>
              </w:rPr>
              <w:footnoteReference w:id="23"/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2017.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2604" w:type="dxa"/>
            <w:gridSpan w:val="3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2020.</w:t>
            </w:r>
            <w:r>
              <w:rPr>
                <w:noProof/>
                <w:sz w:val="18"/>
              </w:rPr>
              <w:t xml:space="preserve"> év</w:t>
            </w:r>
          </w:p>
        </w:tc>
        <w:tc>
          <w:tcPr>
            <w:tcW w:w="1777" w:type="dxa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ÖSSZESEN</w:t>
            </w:r>
          </w:p>
        </w:tc>
      </w:tr>
      <w:tr w:rsidR="00342647">
        <w:tc>
          <w:tcPr>
            <w:tcW w:w="3960" w:type="dxa"/>
            <w:vMerge w:val="restart"/>
            <w:shd w:val="clear" w:color="auto" w:fill="C0C0C0"/>
            <w:vAlign w:val="center"/>
          </w:tcPr>
          <w:p w:rsidR="00342647" w:rsidRDefault="002B7AD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A többéves pénzügyi keret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>1–5. FEJEZETÉHEZ tartozó előirányzatok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 xml:space="preserve">ÖSSZESEN </w:t>
            </w:r>
          </w:p>
        </w:tc>
        <w:tc>
          <w:tcPr>
            <w:tcW w:w="2094" w:type="dxa"/>
            <w:gridSpan w:val="2"/>
            <w:vAlign w:val="center"/>
          </w:tcPr>
          <w:p w:rsidR="00342647" w:rsidRDefault="002B7AD0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0,858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0,958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0,758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0,758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</w:tr>
      <w:tr w:rsidR="00342647">
        <w:tc>
          <w:tcPr>
            <w:tcW w:w="3960" w:type="dxa"/>
            <w:vMerge/>
            <w:shd w:val="clear" w:color="auto" w:fill="C0C0C0"/>
          </w:tcPr>
          <w:p w:rsidR="00342647" w:rsidRDefault="00342647"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342647" w:rsidRDefault="002B7AD0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0,858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1,558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0,958</w:t>
            </w:r>
          </w:p>
        </w:tc>
        <w:tc>
          <w:tcPr>
            <w:tcW w:w="868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0,758</w:t>
            </w: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777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</w:tr>
    </w:tbl>
    <w:p w:rsidR="00342647" w:rsidRDefault="00342647">
      <w:pPr>
        <w:rPr>
          <w:noProof/>
        </w:rPr>
        <w:sectPr w:rsidR="00342647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342647" w:rsidRDefault="002B7AD0"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Az operatív előirányzatokra gyakorolt becsült hatás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t xml:space="preserve">A javaslat/kezdeményezés nem vonja maga után operatív előirányzatok felhasználását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javaslat/kezdeményezés az alábbi operatív előirányzatok felhasználását vonja maga után:</w:t>
      </w:r>
    </w:p>
    <w:p w:rsidR="00342647" w:rsidRDefault="002B7AD0">
      <w:pPr>
        <w:jc w:val="right"/>
        <w:rPr>
          <w:noProof/>
          <w:sz w:val="20"/>
        </w:rPr>
      </w:pPr>
      <w:r>
        <w:rPr>
          <w:noProof/>
          <w:sz w:val="20"/>
        </w:rPr>
        <w:t>Kötelezettségvállalási előirányzatok, millió EUR (három tizedesjegyig)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 w:rsidR="00342647">
        <w:trPr>
          <w:jc w:val="center"/>
        </w:trPr>
        <w:tc>
          <w:tcPr>
            <w:tcW w:w="1423" w:type="dxa"/>
            <w:vMerge w:val="restart"/>
            <w:vAlign w:val="center"/>
          </w:tcPr>
          <w:p w:rsidR="00342647" w:rsidRDefault="002B7AD0"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Tüntesse </w:t>
            </w:r>
            <w:r>
              <w:rPr>
                <w:b/>
                <w:noProof/>
                <w:sz w:val="18"/>
              </w:rPr>
              <w:t xml:space="preserve">fel a célkitűzéseket és a teljesítéseket </w:t>
            </w:r>
          </w:p>
          <w:p w:rsidR="00342647" w:rsidRDefault="00342647"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2016.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260" w:type="dxa"/>
            <w:gridSpan w:val="2"/>
            <w:vAlign w:val="center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2017.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440" w:type="dxa"/>
            <w:gridSpan w:val="2"/>
            <w:vAlign w:val="center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2018.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620" w:type="dxa"/>
            <w:gridSpan w:val="3"/>
            <w:vAlign w:val="center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2019.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3600" w:type="dxa"/>
            <w:gridSpan w:val="6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2020.</w:t>
            </w:r>
            <w:r>
              <w:rPr>
                <w:noProof/>
                <w:sz w:val="18"/>
              </w:rPr>
              <w:t xml:space="preserve"> év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ÖSSZESEN</w:t>
            </w:r>
          </w:p>
        </w:tc>
      </w:tr>
      <w:tr w:rsidR="00342647">
        <w:trPr>
          <w:jc w:val="center"/>
        </w:trPr>
        <w:tc>
          <w:tcPr>
            <w:tcW w:w="1423" w:type="dxa"/>
            <w:vMerge/>
            <w:vAlign w:val="center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 w:rsidR="00342647" w:rsidRDefault="002B7AD0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TELJESÍTÉSEK</w:t>
            </w:r>
          </w:p>
        </w:tc>
      </w:tr>
      <w:tr w:rsidR="00342647"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 w:rsidR="00342647" w:rsidRDefault="0034264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Típus</w:t>
            </w:r>
            <w:r>
              <w:rPr>
                <w:rStyle w:val="FootnoteReference"/>
                <w:noProof/>
                <w:sz w:val="18"/>
              </w:rPr>
              <w:footnoteReference w:id="24"/>
            </w:r>
          </w:p>
          <w:p w:rsidR="00342647" w:rsidRDefault="00342647"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Átlagos költség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342647" w:rsidRDefault="002B7AD0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342647" w:rsidRDefault="002B7AD0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342647" w:rsidRDefault="002B7AD0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342647" w:rsidRDefault="002B7AD0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342647" w:rsidRDefault="002B7AD0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342647" w:rsidRDefault="002B7AD0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342647" w:rsidRDefault="002B7AD0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Összesített szám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Teljes</w:t>
            </w:r>
            <w:r>
              <w:rPr>
                <w:noProof/>
                <w:sz w:val="18"/>
              </w:rPr>
              <w:t xml:space="preserve"> költség</w:t>
            </w:r>
          </w:p>
        </w:tc>
      </w:tr>
      <w:tr w:rsidR="00342647">
        <w:trPr>
          <w:jc w:val="center"/>
        </w:trPr>
        <w:tc>
          <w:tcPr>
            <w:tcW w:w="2844" w:type="dxa"/>
            <w:gridSpan w:val="3"/>
            <w:vAlign w:val="center"/>
          </w:tcPr>
          <w:p w:rsidR="00342647" w:rsidRDefault="002B7AD0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 KONKRÉT CÉLKITŰZÉS</w:t>
            </w:r>
            <w:r>
              <w:rPr>
                <w:rStyle w:val="FootnoteReference"/>
                <w:noProof/>
                <w:sz w:val="18"/>
              </w:rPr>
              <w:footnoteReference w:id="25"/>
            </w:r>
            <w:r>
              <w:rPr>
                <w:noProof/>
                <w:sz w:val="18"/>
              </w:rPr>
              <w:t>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trHeight w:hRule="exact" w:val="369"/>
          <w:jc w:val="center"/>
        </w:trPr>
        <w:tc>
          <w:tcPr>
            <w:tcW w:w="1423" w:type="dxa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Teljesítés</w:t>
            </w: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trHeight w:hRule="exact" w:val="369"/>
          <w:jc w:val="center"/>
        </w:trPr>
        <w:tc>
          <w:tcPr>
            <w:tcW w:w="1423" w:type="dxa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Teljesítés</w:t>
            </w: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trHeight w:hRule="exact" w:val="369"/>
          <w:jc w:val="center"/>
        </w:trPr>
        <w:tc>
          <w:tcPr>
            <w:tcW w:w="1423" w:type="dxa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Teljesítés</w:t>
            </w: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 konkrét célkitűzés részösszege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jc w:val="center"/>
        </w:trPr>
        <w:tc>
          <w:tcPr>
            <w:tcW w:w="2844" w:type="dxa"/>
            <w:gridSpan w:val="3"/>
            <w:vAlign w:val="center"/>
          </w:tcPr>
          <w:p w:rsidR="00342647" w:rsidRDefault="002B7AD0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2. KONKRÉT CÉLKITŰZÉS...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42647" w:rsidRDefault="00342647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trHeight w:hRule="exact" w:val="369"/>
          <w:jc w:val="center"/>
        </w:trPr>
        <w:tc>
          <w:tcPr>
            <w:tcW w:w="1423" w:type="dxa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Teljesítés</w:t>
            </w: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 w:rsidR="00342647" w:rsidRDefault="002B7A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2. konkrét célkitűzés részösszege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42647" w:rsidRDefault="00342647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342647"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647" w:rsidRDefault="002B7AD0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ÖSSZKÖLTSÉG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647" w:rsidRDefault="00342647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342647" w:rsidRDefault="00342647">
      <w:pPr>
        <w:pStyle w:val="ListParagraph"/>
        <w:ind w:left="360"/>
        <w:rPr>
          <w:rFonts w:ascii="Times New Roman" w:hAnsi="Times New Roman"/>
          <w:b/>
          <w:noProof/>
          <w:sz w:val="18"/>
        </w:rPr>
        <w:sectPr w:rsidR="00342647">
          <w:pgSz w:w="16840" w:h="11907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342647" w:rsidRDefault="002B7AD0">
      <w:pPr>
        <w:pStyle w:val="ListParagraph"/>
        <w:ind w:left="36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 w:val="18"/>
        </w:rPr>
        <w:t>MEGJEGYZÉS:</w:t>
      </w:r>
    </w:p>
    <w:p w:rsidR="00342647" w:rsidRDefault="002B7AD0">
      <w:pPr>
        <w:ind w:left="360"/>
        <w:rPr>
          <w:noProof/>
          <w:sz w:val="20"/>
          <w:szCs w:val="20"/>
        </w:rPr>
      </w:pPr>
      <w:r>
        <w:rPr>
          <w:noProof/>
          <w:sz w:val="20"/>
        </w:rPr>
        <w:t>E javaslat előreláthatóan a következő pozitív hozadékokkal jár: i. a tagállamok információkhoz jutnak más országok feltételes adómegállapításairól, így megalapozottan alkalmazhatnak ellenintézkedéseket, amennyiben azoka</w:t>
      </w:r>
      <w:r>
        <w:rPr>
          <w:noProof/>
          <w:sz w:val="20"/>
        </w:rPr>
        <w:t>t helyénvalónak látják; ii. a nyilvánosság szemében ez egy további lépés lehet annak biztosítása iránt, hogy minden adófizető megfelelően kivegye részét az adófizetésből; iii. a többi tagállam részéről érkező nyomás hatására a tagállamok módosíthatják a fe</w:t>
      </w:r>
      <w:r>
        <w:rPr>
          <w:noProof/>
          <w:sz w:val="20"/>
        </w:rPr>
        <w:t>ltételes adómegállapításokkal kapcsolatos gyakorlatukat; iv. a vállalkozások korlátozhatják agresszív adótervezési struktúráikat. Míg a feltételes adómegállapítási határozatokat kibocsátó tagállamok az adómegállapításokkal kapcsolatos információszolgáltatá</w:t>
      </w:r>
      <w:r>
        <w:rPr>
          <w:noProof/>
          <w:sz w:val="20"/>
        </w:rPr>
        <w:t>s közvetlen következményeként jelentősen nagyobb adminisztratív terhekkel és megfelelési költségekkel számolhatnak, addig ezen költségek – az érintett információk korlátozott jellegéből adódóan – várhatóan mérsékeltek lesznek. Emellett az információszolgál</w:t>
      </w:r>
      <w:r>
        <w:rPr>
          <w:noProof/>
          <w:sz w:val="20"/>
        </w:rPr>
        <w:t>tatásnak már meg kellett volna történnie (vagyis a javaslat nagyrészt pusztán tisztázza és megerősíti a meglévő információszolgáltatási kötelezettségeket).</w:t>
      </w:r>
    </w:p>
    <w:p w:rsidR="00342647" w:rsidRDefault="002B7AD0"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Az igazgatási előirányzatokra gyakorolt becsült hatás</w:t>
      </w:r>
    </w:p>
    <w:p w:rsidR="00342647" w:rsidRDefault="002B7AD0"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Összefoglalás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t xml:space="preserve">A javaslat/kezdeményezés nem vonja maga után igazgatási előirányzatok felhasználását.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javaslat/kezdeményezés az alábbi igazgatási előirányzatok felhasználását vonja maga után:</w:t>
      </w:r>
    </w:p>
    <w:p w:rsidR="00342647" w:rsidRDefault="002B7AD0">
      <w:pPr>
        <w:rPr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 w:rsidR="00342647">
        <w:trPr>
          <w:trHeight w:val="585"/>
        </w:trPr>
        <w:tc>
          <w:tcPr>
            <w:tcW w:w="1980" w:type="dxa"/>
          </w:tcPr>
          <w:p w:rsidR="00342647" w:rsidRDefault="00342647"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2016.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  <w:r>
              <w:rPr>
                <w:rStyle w:val="FootnoteReference"/>
                <w:noProof/>
                <w:sz w:val="16"/>
              </w:rPr>
              <w:footnoteReference w:id="26"/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2017.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2018.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2019.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</w:p>
        </w:tc>
        <w:tc>
          <w:tcPr>
            <w:tcW w:w="3240" w:type="dxa"/>
            <w:vAlign w:val="center"/>
          </w:tcPr>
          <w:p w:rsidR="00342647" w:rsidRDefault="002B7AD0"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2020. </w:t>
            </w:r>
            <w:r>
              <w:rPr>
                <w:noProof/>
                <w:sz w:val="16"/>
              </w:rPr>
              <w:t>év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</w:tr>
    </w:tbl>
    <w:p w:rsidR="00342647" w:rsidRDefault="00342647"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42647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 5. FEJEZETE</w:t>
            </w: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342647">
        <w:trPr>
          <w:trHeight w:val="585"/>
        </w:trPr>
        <w:tc>
          <w:tcPr>
            <w:tcW w:w="1980" w:type="dxa"/>
            <w:vAlign w:val="center"/>
          </w:tcPr>
          <w:p w:rsidR="00342647" w:rsidRDefault="002B7AD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Humánerőforrás 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342647">
        <w:trPr>
          <w:trHeight w:val="585"/>
        </w:trPr>
        <w:tc>
          <w:tcPr>
            <w:tcW w:w="1980" w:type="dxa"/>
            <w:vAlign w:val="center"/>
          </w:tcPr>
          <w:p w:rsidR="00342647" w:rsidRDefault="002B7AD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Egyéb igazgatási kiadások 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0,030</w:t>
            </w: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342647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A többéves pénzügyi keret 5. FEJEZETÉNEK részösszege 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 w:rsidR="00342647" w:rsidRDefault="00342647"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42647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 5. FEJEZETÉBE</w:t>
            </w:r>
            <w:r>
              <w:rPr>
                <w:rStyle w:val="FootnoteReference"/>
                <w:b/>
                <w:noProof/>
                <w:sz w:val="16"/>
              </w:rPr>
              <w:footnoteReference w:id="27"/>
            </w:r>
            <w:r>
              <w:rPr>
                <w:b/>
                <w:noProof/>
                <w:sz w:val="16"/>
              </w:rPr>
              <w:t xml:space="preserve"> bele nem tartozó előirányzatok </w:t>
            </w:r>
          </w:p>
          <w:p w:rsidR="00342647" w:rsidRDefault="00342647"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342647">
        <w:trPr>
          <w:trHeight w:val="585"/>
        </w:trPr>
        <w:tc>
          <w:tcPr>
            <w:tcW w:w="1980" w:type="dxa"/>
            <w:vAlign w:val="center"/>
          </w:tcPr>
          <w:p w:rsidR="00342647" w:rsidRDefault="002B7AD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Humánerőforrás </w:t>
            </w: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342647">
        <w:trPr>
          <w:trHeight w:val="585"/>
        </w:trPr>
        <w:tc>
          <w:tcPr>
            <w:tcW w:w="1980" w:type="dxa"/>
            <w:vAlign w:val="center"/>
          </w:tcPr>
          <w:p w:rsidR="00342647" w:rsidRDefault="002B7AD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Egyéb igazgatási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kiadások</w:t>
            </w: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342647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A többéves pénzügyi keret 5. FEJEZETÉBE bele nem tartozó előirányzatok részösszege </w:t>
            </w: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 w:rsidR="00342647" w:rsidRDefault="00342647"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42647"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2B7AD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2B7AD0">
            <w:pPr>
              <w:spacing w:before="20" w:after="20"/>
              <w:jc w:val="right"/>
              <w:rPr>
                <w:noProof/>
              </w:rPr>
            </w:pPr>
            <w:r>
              <w:rPr>
                <w:noProof/>
              </w:rPr>
              <w:t>0,558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647" w:rsidRDefault="00342647">
            <w:pPr>
              <w:spacing w:before="20" w:after="20"/>
              <w:jc w:val="right"/>
              <w:rPr>
                <w:noProof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647" w:rsidRDefault="00342647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 w:rsidR="00342647" w:rsidRDefault="002B7AD0">
      <w:pPr>
        <w:rPr>
          <w:noProof/>
          <w:sz w:val="18"/>
        </w:rPr>
      </w:pPr>
      <w:r>
        <w:rPr>
          <w:noProof/>
          <w:sz w:val="18"/>
        </w:rPr>
        <w:t>A humánerőforrással és más igazgatási kiadásokkal kapcsolatos előirányzat-igényeket az adott főigazgatóság rendelkezésére álló, az intézkedés irányításához rendelt előirányzatokkal és/vagy az adott főigazgatóságon</w:t>
      </w:r>
      <w:r>
        <w:rPr>
          <w:noProof/>
          <w:sz w:val="18"/>
        </w:rPr>
        <w:t xml:space="preserve"> belüli átcsoportosítással kell teljesíteni. A források adott esetben a költségvetési korlátok betartása mellett kiegészíthetők az éves elosztási eljárás keretében az irányító főigazgatósághoz rendelt további juttatásokkal.</w:t>
      </w:r>
    </w:p>
    <w:p w:rsidR="00342647" w:rsidRDefault="00342647">
      <w:pPr>
        <w:rPr>
          <w:noProof/>
          <w:sz w:val="18"/>
        </w:rPr>
        <w:sectPr w:rsidR="00342647">
          <w:headerReference w:type="default" r:id="rId21"/>
          <w:footerReference w:type="default" r:id="rId22"/>
          <w:headerReference w:type="first" r:id="rId23"/>
          <w:footerReference w:type="first" r:id="rId24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 w:rsidR="00342647" w:rsidRDefault="002B7AD0"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Becsült humánerőforrás-szükségletek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javaslat/kezdeményezés nem igényel humánerőforrást.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javaslat/kezdeményezés az alábbi humánerőforrás-igénnyel jár:</w:t>
      </w:r>
    </w:p>
    <w:p w:rsidR="00342647" w:rsidRDefault="002B7AD0"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 xml:space="preserve">A </w:t>
      </w:r>
      <w:r>
        <w:rPr>
          <w:i/>
          <w:noProof/>
          <w:sz w:val="20"/>
        </w:rPr>
        <w:t>becsléseket teljes munkaidős egyenértékben kell kifejezni</w:t>
      </w:r>
    </w:p>
    <w:tbl>
      <w:tblPr>
        <w:tblW w:w="5544" w:type="pct"/>
        <w:jc w:val="center"/>
        <w:tblInd w:w="-2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 w:rsidR="00342647" w:rsidRDefault="00342647"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2016.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2017.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2018.</w:t>
            </w:r>
            <w:r>
              <w:rPr>
                <w:noProof/>
                <w:sz w:val="16"/>
              </w:rPr>
              <w:t xml:space="preserve"> év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2019.</w:t>
            </w:r>
            <w:r>
              <w:rPr>
                <w:noProof/>
                <w:sz w:val="16"/>
              </w:rPr>
              <w:t xml:space="preserve"> év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2020.</w:t>
            </w:r>
            <w:r>
              <w:rPr>
                <w:noProof/>
                <w:sz w:val="16"/>
              </w:rPr>
              <w:t xml:space="preserve"> év</w:t>
            </w: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 w:rsidR="00342647" w:rsidRDefault="002B7AD0"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A létszámtervben szereplő álláshelyek (tisztviselők és ideiglenes alkalmazottak)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342647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 w:rsidR="00342647" w:rsidRDefault="00342647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(a központban és a bizottsági képviseleteken)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(a küldöttségeknél)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(közvetett kutatás)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(közvetlen kutatás)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  <w:tr w:rsidR="00342647">
        <w:trPr>
          <w:gridAfter w:val="4"/>
          <w:wAfter w:w="571" w:type="pct"/>
          <w:trHeight w:val="248"/>
          <w:jc w:val="center"/>
        </w:trPr>
        <w:tc>
          <w:tcPr>
            <w:tcW w:w="4429" w:type="pct"/>
            <w:gridSpan w:val="6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Külső munkatársak teljes munkaidős egyenértékben (FTE) kifejezve</w:t>
            </w:r>
            <w:r>
              <w:rPr>
                <w:rStyle w:val="FootnoteReference"/>
                <w:b/>
                <w:noProof/>
                <w:sz w:val="16"/>
              </w:rPr>
              <w:footnoteReference w:id="28"/>
            </w:r>
          </w:p>
          <w:p w:rsidR="00342647" w:rsidRDefault="00342647"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a teljes keretből)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és JED a küldöttségeknél)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9"/>
            </w:r>
          </w:p>
          <w:p w:rsidR="00342647" w:rsidRDefault="00342647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 a központban</w:t>
            </w:r>
          </w:p>
          <w:p w:rsidR="00342647" w:rsidRDefault="00342647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 w:rsidR="00342647" w:rsidRDefault="00342647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a küldöttségeknél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(AC, END, INT közvetett kutatásban)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m.</w:t>
            </w: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közvetlen kutatásban)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Egyéb </w:t>
            </w:r>
            <w:r>
              <w:rPr>
                <w:noProof/>
                <w:sz w:val="16"/>
              </w:rPr>
              <w:t>költségvetési tétel (kérjük megnevezni)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p.m.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  <w:tr w:rsidR="00342647"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2B7AD0">
            <w:pPr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647" w:rsidRDefault="00342647">
            <w:pPr>
              <w:spacing w:beforeLines="20" w:before="48" w:afterLines="20" w:after="48"/>
              <w:jc w:val="center"/>
              <w:rPr>
                <w:noProof/>
              </w:rPr>
            </w:pPr>
          </w:p>
        </w:tc>
      </w:tr>
    </w:tbl>
    <w:p w:rsidR="00342647" w:rsidRDefault="002B7AD0"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az érintett szakpolitikai terület vagy költségvetési cím.</w:t>
      </w:r>
    </w:p>
    <w:p w:rsidR="00342647" w:rsidRDefault="002B7AD0"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 xml:space="preserve">A humánerőforrás-igényeknek az adott főigazgatóság rendelkezésére álló, az intézkedés irányításához </w:t>
      </w:r>
      <w:r>
        <w:rPr>
          <w:noProof/>
          <w:sz w:val="18"/>
        </w:rPr>
        <w:t>rendelt és/vagy az adott főigazgatóságon belül átcsoportosított személyzettel kell eleget tenni. A források adott esetben a meglévő költségvetési korlátok betartása mellett kiegészíthetők az éves elosztási eljárás keretében az irányító főigazgatósághoz ren</w:t>
      </w:r>
      <w:r>
        <w:rPr>
          <w:noProof/>
          <w:sz w:val="18"/>
        </w:rPr>
        <w:t>delt további juttatásokkal.</w:t>
      </w:r>
    </w:p>
    <w:p w:rsidR="00342647" w:rsidRDefault="002B7AD0">
      <w:pPr>
        <w:rPr>
          <w:noProof/>
          <w:sz w:val="20"/>
        </w:rPr>
      </w:pPr>
      <w:r>
        <w:rPr>
          <w:noProof/>
          <w:sz w:val="20"/>
        </w:rPr>
        <w:t>Az elvégzendő feladatok leírása: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 w:rsidR="00342647">
        <w:tc>
          <w:tcPr>
            <w:tcW w:w="3240" w:type="dxa"/>
          </w:tcPr>
          <w:p w:rsidR="00342647" w:rsidRDefault="002B7AD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Tisztviselők és ideiglenes alkalmazottak</w:t>
            </w:r>
          </w:p>
        </w:tc>
        <w:tc>
          <w:tcPr>
            <w:tcW w:w="7200" w:type="dxa"/>
          </w:tcPr>
          <w:p w:rsidR="00342647" w:rsidRDefault="002B7AD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tagállamokkal tartott találkozók előkészítése és a tagállamokkal folytatott levelezés lebonyolítása; (a tagállamokkal való megbeszélések függvényében) a</w:t>
            </w:r>
            <w:r>
              <w:rPr>
                <w:noProof/>
                <w:sz w:val="20"/>
              </w:rPr>
              <w:t xml:space="preserve"> formanyomtatványokkal, az informatikai formátumokkal és a központi adatbázissal kapcsolatos munka;  az informatikai rendszerrel kapcsolatos munka kihelyezése külső szolgáltatókhoz.</w:t>
            </w:r>
          </w:p>
        </w:tc>
      </w:tr>
      <w:tr w:rsidR="00342647">
        <w:tc>
          <w:tcPr>
            <w:tcW w:w="3240" w:type="dxa"/>
          </w:tcPr>
          <w:p w:rsidR="00342647" w:rsidRDefault="002B7AD0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Külső munkatársak</w:t>
            </w:r>
          </w:p>
        </w:tc>
        <w:tc>
          <w:tcPr>
            <w:tcW w:w="7200" w:type="dxa"/>
          </w:tcPr>
          <w:p w:rsidR="00342647" w:rsidRDefault="002B7AD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Nincs</w:t>
            </w:r>
          </w:p>
        </w:tc>
      </w:tr>
    </w:tbl>
    <w:p w:rsidR="00342647" w:rsidRDefault="00342647">
      <w:pPr>
        <w:rPr>
          <w:noProof/>
        </w:rPr>
        <w:sectPr w:rsidR="00342647"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 w:rsidR="00342647" w:rsidRDefault="002B7AD0"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>A jelenlegi többéve</w:t>
      </w:r>
      <w:r>
        <w:rPr>
          <w:noProof/>
        </w:rPr>
        <w:t xml:space="preserve">s pénzügyi kerettel való összeegyeztethetőség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 összeegyeztethető a jelenlegi többéves pénzügyi kerettel.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javaslat/kezdeményezés miatt szükséges a többéves pénzügyi keret vonatkozó fejezetének átprogramozása.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 xml:space="preserve">Fejtse ki, miként kell </w:t>
      </w:r>
      <w:r>
        <w:rPr>
          <w:noProof/>
          <w:sz w:val="20"/>
        </w:rPr>
        <w:t>átprogramozni a pénzügyi keretet: tüntesse fel az érintett költségvetési tételeket és a megfelelő összegeket.</w:t>
      </w:r>
    </w:p>
    <w:p w:rsidR="00342647" w:rsidRDefault="0034264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javaslat/kezdeményezés miatt szükség van a rugalmassági eszköz alkalmazására vagy a többéves pénzügyi keret felülvizsgálatára.</w:t>
      </w:r>
    </w:p>
    <w:p w:rsidR="00342647" w:rsidRDefault="002B7AD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Fejtse ki a sz</w:t>
      </w:r>
      <w:r>
        <w:rPr>
          <w:noProof/>
          <w:sz w:val="20"/>
        </w:rPr>
        <w:t>ükségleteket: tüntesse fel az érintett fejezeteket és költségvetési tételeket és a megfelelő összegeket.</w:t>
      </w:r>
    </w:p>
    <w:p w:rsidR="00342647" w:rsidRDefault="0034264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342647" w:rsidRDefault="002B7AD0"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Harmadik felek részvétele a finanszírozásban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t xml:space="preserve">A javaslat/kezdeményezés nem irányoz elő harmadik felek általi társfinanszírozást. </w:t>
      </w:r>
    </w:p>
    <w:p w:rsidR="00342647" w:rsidRDefault="002B7AD0">
      <w:pPr>
        <w:pStyle w:val="ListDash1"/>
        <w:rPr>
          <w:noProof/>
        </w:rPr>
      </w:pPr>
      <w:r>
        <w:rPr>
          <w:strike/>
          <w:noProof/>
        </w:rPr>
        <w:t xml:space="preserve">A </w:t>
      </w:r>
      <w:r>
        <w:rPr>
          <w:strike/>
          <w:noProof/>
        </w:rPr>
        <w:t>javaslat/kezdeményezés az alábbi becsült társfinanszírozást irányozza elő</w:t>
      </w:r>
      <w:r>
        <w:rPr>
          <w:noProof/>
        </w:rPr>
        <w:t>:</w:t>
      </w:r>
    </w:p>
    <w:p w:rsidR="00342647" w:rsidRDefault="002B7AD0">
      <w:pPr>
        <w:jc w:val="right"/>
        <w:rPr>
          <w:noProof/>
          <w:sz w:val="20"/>
        </w:rPr>
      </w:pPr>
      <w:r>
        <w:rPr>
          <w:noProof/>
          <w:sz w:val="20"/>
        </w:rPr>
        <w:t>előirányzatok, millió EUR (három tizedesjegyig)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 w:rsidR="00342647">
        <w:trPr>
          <w:cantSplit/>
        </w:trPr>
        <w:tc>
          <w:tcPr>
            <w:tcW w:w="2340" w:type="dxa"/>
          </w:tcPr>
          <w:p w:rsidR="00342647" w:rsidRDefault="00342647"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64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2"/>
              </w:rPr>
              <w:t>N+1.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64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2"/>
              </w:rPr>
              <w:t>N+2.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64" w:type="dxa"/>
            <w:vAlign w:val="center"/>
          </w:tcPr>
          <w:p w:rsidR="00342647" w:rsidRDefault="002B7AD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2"/>
              </w:rPr>
              <w:t>N+3.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2892" w:type="dxa"/>
            <w:gridSpan w:val="3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A táblázat a hatás időtartamának megfelelően (vö. 1.6. pont) további évekkel bővíthető</w:t>
            </w:r>
          </w:p>
        </w:tc>
        <w:tc>
          <w:tcPr>
            <w:tcW w:w="1158" w:type="dxa"/>
            <w:vAlign w:val="center"/>
          </w:tcPr>
          <w:p w:rsidR="00342647" w:rsidRDefault="002B7AD0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Összesen</w:t>
            </w:r>
          </w:p>
        </w:tc>
      </w:tr>
      <w:tr w:rsidR="00342647">
        <w:trPr>
          <w:cantSplit/>
        </w:trPr>
        <w:tc>
          <w:tcPr>
            <w:tcW w:w="2340" w:type="dxa"/>
          </w:tcPr>
          <w:p w:rsidR="00342647" w:rsidRDefault="002B7AD0">
            <w:pPr>
              <w:rPr>
                <w:noProof/>
              </w:rPr>
            </w:pPr>
            <w:r>
              <w:rPr>
                <w:noProof/>
                <w:sz w:val="20"/>
              </w:rPr>
              <w:t>Tüntesse fel a társfinanszírozó szervet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 w:rsidR="00342647">
        <w:trPr>
          <w:cantSplit/>
        </w:trPr>
        <w:tc>
          <w:tcPr>
            <w:tcW w:w="2340" w:type="dxa"/>
          </w:tcPr>
          <w:p w:rsidR="00342647" w:rsidRDefault="002B7AD0"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Társfinanszírozott előirányzatok ÖSSZESEN </w:t>
            </w: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 w:rsidR="00342647" w:rsidRDefault="00342647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 w:rsidR="00342647" w:rsidRDefault="002B7AD0">
      <w:pPr>
        <w:rPr>
          <w:noProof/>
        </w:rPr>
      </w:pPr>
      <w:r>
        <w:rPr>
          <w:noProof/>
        </w:rPr>
        <w:br/>
      </w:r>
    </w:p>
    <w:p w:rsidR="00342647" w:rsidRDefault="002B7AD0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A bevételre gyakorolt becsült pénzügyi hatás 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javaslatnak/kezdeményezésnek nincs pénzügyi hatása a bevételre.</w:t>
      </w:r>
    </w:p>
    <w:p w:rsidR="00342647" w:rsidRDefault="002B7AD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javaslatnak/kezdeményezésnek</w:t>
      </w:r>
      <w:r>
        <w:rPr>
          <w:noProof/>
        </w:rPr>
        <w:t xml:space="preserve"> van pénzügyi hatása – a bevételre gyakorolt hatása a következő:</w:t>
      </w:r>
    </w:p>
    <w:p w:rsidR="00342647" w:rsidRDefault="002B7AD0"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 a saját forrásokra gyakorol hatást </w:t>
      </w:r>
    </w:p>
    <w:p w:rsidR="00342647" w:rsidRDefault="002B7AD0"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 az egyéb bevételekre gyakorol hatást </w:t>
      </w:r>
    </w:p>
    <w:p w:rsidR="00342647" w:rsidRDefault="002B7AD0">
      <w:pPr>
        <w:jc w:val="right"/>
        <w:rPr>
          <w:i/>
          <w:noProof/>
          <w:sz w:val="20"/>
        </w:rPr>
      </w:pPr>
      <w:r>
        <w:rPr>
          <w:noProof/>
        </w:rPr>
        <w:t>millió EUR (három tizedesjegyig)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 w:rsidR="00342647">
        <w:trPr>
          <w:trHeight w:val="388"/>
        </w:trPr>
        <w:tc>
          <w:tcPr>
            <w:tcW w:w="2144" w:type="dxa"/>
            <w:vMerge w:val="restart"/>
            <w:vAlign w:val="center"/>
          </w:tcPr>
          <w:p w:rsidR="00342647" w:rsidRDefault="002B7AD0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Bevételi költségvetési tétel:</w:t>
            </w:r>
          </w:p>
        </w:tc>
        <w:tc>
          <w:tcPr>
            <w:tcW w:w="1276" w:type="dxa"/>
            <w:vMerge w:val="restart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Az aktuális költségvetési </w:t>
            </w:r>
            <w:r>
              <w:rPr>
                <w:noProof/>
                <w:sz w:val="18"/>
              </w:rPr>
              <w:t>évben rendelkezésre álló előirányzatok</w:t>
            </w:r>
          </w:p>
        </w:tc>
        <w:tc>
          <w:tcPr>
            <w:tcW w:w="7200" w:type="dxa"/>
            <w:gridSpan w:val="7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 javaslat/kezdeményezés hatása</w:t>
            </w:r>
            <w:r>
              <w:rPr>
                <w:rStyle w:val="FootnoteReference"/>
                <w:noProof/>
                <w:sz w:val="18"/>
              </w:rPr>
              <w:footnoteReference w:id="30"/>
            </w:r>
          </w:p>
        </w:tc>
      </w:tr>
      <w:tr w:rsidR="00342647">
        <w:trPr>
          <w:trHeight w:val="388"/>
        </w:trPr>
        <w:tc>
          <w:tcPr>
            <w:tcW w:w="2144" w:type="dxa"/>
            <w:vMerge/>
          </w:tcPr>
          <w:p w:rsidR="00342647" w:rsidRDefault="00342647"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 w:rsidR="00342647" w:rsidRDefault="00342647"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N.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900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N+1.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900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N+2.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080" w:type="dxa"/>
            <w:vAlign w:val="center"/>
          </w:tcPr>
          <w:p w:rsidR="00342647" w:rsidRDefault="002B7AD0"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N+3.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3240" w:type="dxa"/>
            <w:gridSpan w:val="3"/>
            <w:vAlign w:val="center"/>
          </w:tcPr>
          <w:p w:rsidR="00342647" w:rsidRDefault="002B7AD0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A táblázat a hatás időtartamának megfelelően (vö. 1.6. pont) további évekkel bővíthető</w:t>
            </w:r>
          </w:p>
        </w:tc>
      </w:tr>
      <w:tr w:rsidR="00342647">
        <w:trPr>
          <w:trHeight w:val="388"/>
        </w:trPr>
        <w:tc>
          <w:tcPr>
            <w:tcW w:w="2144" w:type="dxa"/>
            <w:vAlign w:val="center"/>
          </w:tcPr>
          <w:p w:rsidR="00342647" w:rsidRDefault="002B7AD0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… jogcímcsoport</w:t>
            </w:r>
          </w:p>
        </w:tc>
        <w:tc>
          <w:tcPr>
            <w:tcW w:w="1276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342647" w:rsidRDefault="00342647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 w:rsidR="00342647" w:rsidRDefault="002B7AD0">
      <w:pPr>
        <w:pStyle w:val="Text1"/>
        <w:rPr>
          <w:noProof/>
          <w:sz w:val="20"/>
        </w:rPr>
      </w:pPr>
      <w:r>
        <w:rPr>
          <w:noProof/>
          <w:sz w:val="20"/>
        </w:rPr>
        <w:t xml:space="preserve">Az egyéb címzett bevételek esetében </w:t>
      </w:r>
      <w:r>
        <w:rPr>
          <w:noProof/>
          <w:sz w:val="20"/>
        </w:rPr>
        <w:t>tüntesse fel az érintett kiadáshoz tartozó költségvetési tétel(eke)t.</w:t>
      </w:r>
    </w:p>
    <w:p w:rsidR="00342647" w:rsidRDefault="0034264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342647" w:rsidRDefault="002B7AD0">
      <w:pPr>
        <w:pStyle w:val="Text1"/>
        <w:rPr>
          <w:noProof/>
          <w:sz w:val="20"/>
        </w:rPr>
      </w:pPr>
      <w:r>
        <w:rPr>
          <w:noProof/>
          <w:sz w:val="20"/>
        </w:rPr>
        <w:t>Ismertesse a bevételre gyakorolt hatás számításának módszerét.</w:t>
      </w:r>
    </w:p>
    <w:p w:rsidR="00342647" w:rsidRDefault="0034264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342647" w:rsidRDefault="00342647">
      <w:pPr>
        <w:rPr>
          <w:noProof/>
        </w:rPr>
      </w:pPr>
    </w:p>
    <w:sectPr w:rsidR="00342647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47" w:rsidRDefault="002B7AD0">
      <w:pPr>
        <w:spacing w:before="0" w:after="0"/>
      </w:pPr>
      <w:r>
        <w:separator/>
      </w:r>
    </w:p>
  </w:endnote>
  <w:endnote w:type="continuationSeparator" w:id="0">
    <w:p w:rsidR="00342647" w:rsidRDefault="002B7A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 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2B7AD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2B7AD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  <w:r>
      <w:tab/>
    </w:r>
    <w:r>
      <w:fldChar w:fldCharType="begin"/>
    </w:r>
    <w:r>
      <w:instrText xml:space="preserve"> DOCVARI</w:instrText>
    </w:r>
    <w:r>
      <w:instrText xml:space="preserve">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3426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2B7AD0"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342647"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2B7AD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34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47" w:rsidRDefault="002B7AD0">
      <w:pPr>
        <w:spacing w:before="0" w:after="0"/>
      </w:pPr>
      <w:r>
        <w:separator/>
      </w:r>
    </w:p>
  </w:footnote>
  <w:footnote w:type="continuationSeparator" w:id="0">
    <w:p w:rsidR="00342647" w:rsidRDefault="002B7AD0">
      <w:pPr>
        <w:spacing w:before="0" w:after="0"/>
      </w:pPr>
      <w:r>
        <w:continuationSeparator/>
      </w:r>
    </w:p>
  </w:footnote>
  <w:footnote w:id="1">
    <w:p w:rsidR="00342647" w:rsidRDefault="002B7AD0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A Bizottság 2012. december 6-i ajánlása</w:t>
        </w:r>
      </w:hyperlink>
      <w:r>
        <w:t xml:space="preserve"> az agresszív adótervezésről.</w:t>
      </w:r>
    </w:p>
  </w:footnote>
  <w:footnote w:id="2">
    <w:p w:rsidR="00342647" w:rsidRDefault="002B7AD0">
      <w:pPr>
        <w:pStyle w:val="FootnoteText"/>
        <w:ind w:left="142" w:hanging="142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OJ 98/C 2/01</w:t>
      </w:r>
    </w:p>
  </w:footnote>
  <w:footnote w:id="3">
    <w:p w:rsidR="00342647" w:rsidRDefault="002B7AD0">
      <w:pPr>
        <w:pStyle w:val="FootnoteText"/>
        <w:ind w:left="142" w:hanging="142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10903/12 FISC 77 sz. dokumentum.</w:t>
      </w:r>
    </w:p>
  </w:footnote>
  <w:footnote w:id="4">
    <w:p w:rsidR="00342647" w:rsidRDefault="002B7AD0">
      <w:pPr>
        <w:pStyle w:val="FootnoteText"/>
        <w:ind w:left="142" w:hanging="142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</w:r>
      <w:hyperlink r:id="rId2">
        <w:r>
          <w:rPr>
            <w:rStyle w:val="Hyperlink"/>
            <w:lang w:val="pl-PL"/>
          </w:rPr>
          <w:t>http://ec.europa.eu/priorities/work-programme/index_en.htm</w:t>
        </w:r>
      </w:hyperlink>
      <w:r>
        <w:rPr>
          <w:lang w:val="pl-PL"/>
        </w:rPr>
        <w:t xml:space="preserve"> </w:t>
      </w:r>
    </w:p>
  </w:footnote>
  <w:footnote w:id="5">
    <w:p w:rsidR="00342647" w:rsidRDefault="002B7AD0">
      <w:pPr>
        <w:spacing w:before="0" w:after="0"/>
        <w:ind w:left="142" w:hanging="142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</w:r>
      <w:r>
        <w:rPr>
          <w:sz w:val="20"/>
          <w:lang w:val="pl-PL"/>
        </w:rPr>
        <w:t>Az Európai Parlament 2013. május 21-i állásfoglalása az adócsalás, az adóelkerülés és az adóparadicsomok elleni küzdelemről (Kleva-jelentés) - 2013/2025(INI).</w:t>
      </w:r>
    </w:p>
  </w:footnote>
  <w:footnote w:id="6">
    <w:p w:rsidR="00342647" w:rsidRDefault="002B7AD0">
      <w:pPr>
        <w:spacing w:before="0" w:after="0"/>
        <w:ind w:left="142" w:hanging="142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</w:r>
      <w:r>
        <w:rPr>
          <w:sz w:val="20"/>
          <w:lang w:val="pl-PL"/>
        </w:rPr>
        <w:t>Az Európai Gazdasági és Szociális</w:t>
      </w:r>
      <w:r>
        <w:rPr>
          <w:sz w:val="20"/>
          <w:lang w:val="pl-PL"/>
        </w:rPr>
        <w:t xml:space="preserve"> Bizottság 2013. április 17-i véleménye a következőről: A Bizottság közleménye az Európai Parlamentnek és a Tanácsnak – Az adócsalás és az adókikerülés elleni küzdelem megerősítésére irányuló cselekvési terv (COM(2012) 722 final) (Dandea-jelentés) - CESE 1</w:t>
      </w:r>
      <w:r>
        <w:rPr>
          <w:sz w:val="20"/>
          <w:lang w:val="pl-PL"/>
        </w:rPr>
        <w:t>01/2013.</w:t>
      </w:r>
    </w:p>
  </w:footnote>
  <w:footnote w:id="7">
    <w:p w:rsidR="00342647" w:rsidRDefault="002B7AD0">
      <w:pPr>
        <w:pStyle w:val="FootnoteText"/>
        <w:ind w:left="142" w:hanging="142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 xml:space="preserve">A vállalkozások adózására vonatkozó magatartási kódexszel foglalkozó csoport nyilvános jelentései </w:t>
      </w:r>
      <w:hyperlink r:id="rId3">
        <w:r>
          <w:rPr>
            <w:rStyle w:val="Hyperlink"/>
            <w:lang w:val="pl-PL"/>
          </w:rPr>
          <w:t>itt</w:t>
        </w:r>
      </w:hyperlink>
      <w:r>
        <w:rPr>
          <w:lang w:val="pl-PL"/>
        </w:rPr>
        <w:t xml:space="preserve"> olvashatók</w:t>
      </w:r>
      <w:r>
        <w:rPr>
          <w:rStyle w:val="Hyperlink"/>
          <w:lang w:val="pl-PL"/>
        </w:rPr>
        <w:t>.</w:t>
      </w:r>
    </w:p>
  </w:footnote>
  <w:footnote w:id="8">
    <w:p w:rsidR="00342647" w:rsidRDefault="002B7AD0">
      <w:pPr>
        <w:pStyle w:val="FootnoteText"/>
        <w:ind w:left="142" w:hanging="142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Amint azt az OECD BEPS-projektje is vizsgálta.</w:t>
      </w:r>
    </w:p>
  </w:footnote>
  <w:footnote w:id="9">
    <w:p w:rsidR="00342647" w:rsidRDefault="002B7AD0"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L 359., 2014.12.16.</w:t>
      </w:r>
    </w:p>
  </w:footnote>
  <w:footnote w:id="10">
    <w:p w:rsidR="00342647" w:rsidRDefault="002B7AD0"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C… , , . .o.</w:t>
      </w:r>
    </w:p>
  </w:footnote>
  <w:footnote w:id="11">
    <w:p w:rsidR="00342647" w:rsidRDefault="002B7AD0"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C… , , . .o.</w:t>
      </w:r>
    </w:p>
  </w:footnote>
  <w:footnote w:id="12">
    <w:p w:rsidR="00342647" w:rsidRDefault="002B7AD0"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C… , , . .o.</w:t>
      </w:r>
    </w:p>
  </w:footnote>
  <w:footnote w:id="13">
    <w:p w:rsidR="00342647" w:rsidRDefault="002B7AD0"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A Tanács 2011. február 15-i 2</w:t>
      </w:r>
      <w:r>
        <w:rPr>
          <w:lang w:val="pt-PT"/>
        </w:rPr>
        <w:t>011/16/EU irányelve az adózás területén történő közigazgatási együttműködésről és a 77/799/EGK irányelv hatályon kívül helyezéséről (HL L 64., 2011.3.11., 1. o.).</w:t>
      </w:r>
    </w:p>
  </w:footnote>
  <w:footnote w:id="14">
    <w:p w:rsidR="00342647" w:rsidRDefault="002B7AD0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HL C 369., 2011.12.17., 14. o.</w:t>
      </w:r>
    </w:p>
  </w:footnote>
  <w:footnote w:id="15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Tevékenységalapú irányítás: ABM (</w:t>
      </w:r>
      <w:r>
        <w:rPr>
          <w:i/>
        </w:rPr>
        <w:t>Activity Based Management</w:t>
      </w:r>
      <w:r>
        <w:t>), tevékenységalapú költségvetés-tervezés: ABB (</w:t>
      </w:r>
      <w:r>
        <w:rPr>
          <w:i/>
        </w:rPr>
        <w:t>Activity Based Budgeting</w:t>
      </w:r>
      <w:r>
        <w:t>).</w:t>
      </w:r>
    </w:p>
  </w:footnote>
  <w:footnote w:id="16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 költségvetési rendelet 54. cikke (2) bekezdésének a) vagy b) pontja szerint.</w:t>
      </w:r>
    </w:p>
  </w:footnote>
  <w:footnote w:id="17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Az egyes irányítási módszerek ismertetése, valamint a költségvetési rendeletre való megfelelő hiva</w:t>
      </w:r>
      <w:r>
        <w:t xml:space="preserve">tkozások megtalálhatók a Költségvetési Főigazgatóság honlapján: </w:t>
      </w:r>
      <w:r>
        <w:rPr>
          <w:sz w:val="18"/>
        </w:rPr>
        <w:t>http://www.cc.cec/budg/man/budgmanag/budgmanag_en.html</w:t>
      </w:r>
    </w:p>
  </w:footnote>
  <w:footnote w:id="18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rPr>
          <w:lang w:val="de-DE"/>
        </w:rPr>
        <w:tab/>
        <w:t xml:space="preserve">Diff. = Differenciált előirányzatok / Nem diff. </w:t>
      </w:r>
      <w:r>
        <w:t>= Nem differenciált előirányzatok.</w:t>
      </w:r>
    </w:p>
  </w:footnote>
  <w:footnote w:id="19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EFTA: Európai Szabadkereskedelmi Társulás.</w:t>
      </w:r>
    </w:p>
  </w:footnote>
  <w:footnote w:id="20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t>Tagjelölt országok és adott esetben a nyugat-balkáni potenciális tagjelölt országok.</w:t>
      </w:r>
    </w:p>
  </w:footnote>
  <w:footnote w:id="21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 2016. év a javaslat/kezdeményezés végrehajtásának első éve.</w:t>
      </w:r>
    </w:p>
  </w:footnote>
  <w:footnote w:id="22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Technikai és/vagy igazgatási segítségnyújtás, valamint uniós programok és/vagy intézkedések végrehajtásáh</w:t>
      </w:r>
      <w:r>
        <w:t>oz biztosított támogatási kiadások (korábban: BA-tételek), közvetett kutatás, közvetlen kutatás.</w:t>
      </w:r>
    </w:p>
  </w:footnote>
  <w:footnote w:id="23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 2016. év a javaslat/kezdeményezés végrehajtásának első éve.</w:t>
      </w:r>
    </w:p>
  </w:footnote>
  <w:footnote w:id="24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 teljesítés a nyújtandó termékekre és szolgáltatásokra vonatkozik (pl. finanszírozott diákcs</w:t>
      </w:r>
      <w:r>
        <w:t>erék száma, épített utak hossza kilométerben stb.).</w:t>
      </w:r>
    </w:p>
  </w:footnote>
  <w:footnote w:id="25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Az 1.4.2. szakaszban („Konkrét célkitűzések...”) feltüntetett célkitűzés.</w:t>
      </w:r>
    </w:p>
  </w:footnote>
  <w:footnote w:id="26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 2016. év a javaslat/kezdeményezés végrehajtásának első éve.</w:t>
      </w:r>
    </w:p>
  </w:footnote>
  <w:footnote w:id="27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Technikai és/vagy igazgatási segítségnyújtás, valamint uniós p</w:t>
      </w:r>
      <w:r>
        <w:t>rogramok és/vagy intézkedések végrehajtásához biztosított támogatási kiadások (korábban: BA-tételek), közvetett kutatás, közvetlen kutatás.</w:t>
      </w:r>
    </w:p>
  </w:footnote>
  <w:footnote w:id="28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AC=szerződéses alkalmazott; AL=helyi alkalmazott; END=kirendelt nemzeti szakértő; INT=kölcsönmunkaerő (átmeneti al</w:t>
      </w:r>
      <w:r>
        <w:t>kalmazott); JED=küldöttségi pályakezdő szakértő.</w:t>
      </w:r>
    </w:p>
  </w:footnote>
  <w:footnote w:id="29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Az operatív előirányzatokból finanszírozott külső munkatársakra vonatkozó részleges felső határérték (korábban: BA-tételek).</w:t>
      </w:r>
    </w:p>
  </w:footnote>
  <w:footnote w:id="30">
    <w:p w:rsidR="00342647" w:rsidRDefault="002B7AD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 tradicionális saját források (vámok, cukorilletékek) tekintetében nettó össz</w:t>
      </w:r>
      <w:r>
        <w:t>egeket, vagyis a 25 %-kal (beszedési költségek) csökkentett bruttó összegeket kell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342647"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342647"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3426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47" w:rsidRDefault="00342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606A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B49C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73E1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30C0C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EE33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08B82B26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6EE75F5"/>
    <w:multiLevelType w:val="multilevel"/>
    <w:tmpl w:val="DE226A70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 w:hint="default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67E1619A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6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6"/>
  </w:num>
  <w:num w:numId="5">
    <w:abstractNumId w:val="20"/>
  </w:num>
  <w:num w:numId="6">
    <w:abstractNumId w:val="27"/>
  </w:num>
  <w:num w:numId="7">
    <w:abstractNumId w:val="4"/>
  </w:num>
  <w:num w:numId="8">
    <w:abstractNumId w:val="28"/>
    <w:lvlOverride w:ilvl="0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6"/>
  </w:num>
  <w:num w:numId="17">
    <w:abstractNumId w:val="25"/>
  </w:num>
  <w:num w:numId="18">
    <w:abstractNumId w:val="22"/>
  </w:num>
  <w:num w:numId="19">
    <w:abstractNumId w:val="19"/>
  </w:num>
  <w:num w:numId="20">
    <w:abstractNumId w:val="11"/>
  </w:num>
  <w:num w:numId="21">
    <w:abstractNumId w:val="23"/>
  </w:num>
  <w:num w:numId="22">
    <w:abstractNumId w:val="10"/>
  </w:num>
  <w:num w:numId="23">
    <w:abstractNumId w:val="12"/>
  </w:num>
  <w:num w:numId="24">
    <w:abstractNumId w:val="8"/>
  </w:num>
  <w:num w:numId="25">
    <w:abstractNumId w:val="21"/>
  </w:num>
  <w:num w:numId="26">
    <w:abstractNumId w:val="7"/>
  </w:num>
  <w:num w:numId="27">
    <w:abstractNumId w:val="13"/>
  </w:num>
  <w:num w:numId="28">
    <w:abstractNumId w:val="17"/>
  </w:num>
  <w:num w:numId="29">
    <w:abstractNumId w:val="18"/>
  </w:num>
  <w:num w:numId="30">
    <w:abstractNumId w:val="9"/>
  </w:num>
  <w:num w:numId="31">
    <w:abstractNumId w:val="16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19 10:15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4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4E88A314BB6A425893FC1906608F39AB"/>
    <w:docVar w:name="LW_CROSSREFERENCE" w:val="{SWD(2015) 60 final}"/>
    <w:docVar w:name="LW_DocType" w:val="COM"/>
    <w:docVar w:name="LW_EMISSION" w:val="2015.3.18."/>
    <w:docVar w:name="LW_EMISSION_ISODATE" w:val="2015-03-18"/>
    <w:docVar w:name="LW_EMISSION_LOCATION" w:val="BRX"/>
    <w:docVar w:name="LW_EMISSION_PREFIX" w:val="Brüsszel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68"/>
    <w:docVar w:name="LW_REF.II.NEW.CP_YEAR" w:val="2015"/>
    <w:docVar w:name="LW_REF.INST.NEW" w:val="COM"/>
    <w:docVar w:name="LW_REF.INST.NEW_ADOPTED" w:val="final"/>
    <w:docVar w:name="LW_REF.INST.NEW_TEXT" w:val="(2015) 135"/>
    <w:docVar w:name="LW_REF.INTERNE" w:val="&lt;UNUSED&gt;"/>
    <w:docVar w:name="LW_SOUS.TITRE.OBJ.CP" w:val="&lt;UNUSED&gt;"/>
    <w:docVar w:name="LW_STATUT.CP" w:val="Javaslat"/>
    <w:docVar w:name="LW_SUPERTITRE" w:val="&lt;UNUSED&gt;"/>
    <w:docVar w:name="LW_TITRE.OBJ.CP" w:val="a 2011/16/EU irányelvnek az adózás területére vonatkozó kötelez\u337? automatikus információcsere tekintetében történ\u337? módosításáról"/>
    <w:docVar w:name="LW_TYPE.DOC.CP" w:val="A TANÁCS IRÁNYELVE"/>
  </w:docVars>
  <w:rsids>
    <w:rsidRoot w:val="00342647"/>
    <w:rsid w:val="002B7AD0"/>
    <w:rsid w:val="003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uiPriority w:val="99"/>
    <w:pPr>
      <w:numPr>
        <w:numId w:val="6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4">
    <w:name w:val="List Bullet 4"/>
    <w:basedOn w:val="Normal"/>
    <w:uiPriority w:val="99"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Verdana" w:eastAsia="Times New Roman" w:hAnsi="Verdana"/>
      <w:sz w:val="20"/>
      <w:szCs w:val="24"/>
    </w:rPr>
  </w:style>
  <w:style w:type="paragraph" w:styleId="NoSpacing">
    <w:name w:val="No Spacing"/>
    <w:uiPriority w:val="1"/>
    <w:qFormat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 Albertina" w:eastAsia="Times New Roman" w:hAnsi="EU Albertina" w:cs="EU Albertina"/>
      <w:color w:val="000000"/>
      <w:sz w:val="24"/>
      <w:szCs w:val="24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ListDash3">
    <w:name w:val="List Dash 3"/>
    <w:basedOn w:val="Text3"/>
    <w:pPr>
      <w:numPr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  <w:spacing w:before="0" w:after="240"/>
    </w:pPr>
    <w:rPr>
      <w:rFonts w:eastAsia="Times New Roman"/>
      <w:szCs w:val="20"/>
    </w:rPr>
  </w:style>
  <w:style w:type="numbering" w:customStyle="1" w:styleId="Style2">
    <w:name w:val="Style2"/>
    <w:pPr>
      <w:numPr>
        <w:numId w:val="16"/>
      </w:numPr>
    </w:pPr>
  </w:style>
  <w:style w:type="numbering" w:customStyle="1" w:styleId="Style1">
    <w:name w:val="Style1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uiPriority w:val="99"/>
    <w:pPr>
      <w:numPr>
        <w:numId w:val="6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4">
    <w:name w:val="List Bullet 4"/>
    <w:basedOn w:val="Normal"/>
    <w:uiPriority w:val="99"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Verdana" w:eastAsia="Times New Roman" w:hAnsi="Verdana"/>
      <w:sz w:val="20"/>
      <w:szCs w:val="24"/>
    </w:rPr>
  </w:style>
  <w:style w:type="paragraph" w:styleId="NoSpacing">
    <w:name w:val="No Spacing"/>
    <w:uiPriority w:val="1"/>
    <w:qFormat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 Albertina" w:eastAsia="Times New Roman" w:hAnsi="EU Albertina" w:cs="EU Albertina"/>
      <w:color w:val="000000"/>
      <w:sz w:val="24"/>
      <w:szCs w:val="24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ListDash3">
    <w:name w:val="List Dash 3"/>
    <w:basedOn w:val="Text3"/>
    <w:pPr>
      <w:numPr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  <w:spacing w:before="0" w:after="240"/>
    </w:pPr>
    <w:rPr>
      <w:rFonts w:eastAsia="Times New Roman"/>
      <w:szCs w:val="20"/>
    </w:rPr>
  </w:style>
  <w:style w:type="numbering" w:customStyle="1" w:styleId="Style2">
    <w:name w:val="Style2"/>
    <w:pPr>
      <w:numPr>
        <w:numId w:val="16"/>
      </w:numPr>
    </w:pPr>
  </w:style>
  <w:style w:type="numbering" w:customStyle="1" w:styleId="Style1">
    <w:name w:val="Style1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.cec/budg/leg/internal/leg-070_internal_en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ilium.europa.eu/register/en/content/out/?typ=SET&amp;i=ADV&amp;RESULTSET=1&amp;DOC_ID=&amp;DOS_INTERINST=&amp;DOC_TITLE=Code+Conduct+Business+Taxation+Report&amp;CONTENTS=&amp;DOC_SUBJECT=&amp;DOC_DATE=&amp;document_date_single_comparator=&amp;document_date_single_date=&amp;document_date_from_date=&amp;document_date_to_date=&amp;MEET_DATE=&amp;meeting_date_single_comparator=&amp;meeting_date_single_date=&amp;meeting_date_from_date=&amp;meeting_date_to_date=&amp;DOC_LANCD=EN&amp;ROWSPP=25&amp;NRROWS=500&amp;ORDERBY=DOC_DATE+DESC" TargetMode="External"/><Relationship Id="rId2" Type="http://schemas.openxmlformats.org/officeDocument/2006/relationships/hyperlink" Target="http://ec.europa.eu/priorities/work-programme/index_en.htm" TargetMode="External"/><Relationship Id="rId1" Type="http://schemas.openxmlformats.org/officeDocument/2006/relationships/hyperlink" Target="http://ec.europa.eu/taxation_customs/resources/documents/taxation/tax_fraud_evasion/c_2012_8806_h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908B55AC52C4FAF7A8AE6DC3F0E00" ma:contentTypeVersion="0" ma:contentTypeDescription="Create a new document." ma:contentTypeScope="" ma:versionID="e1674feb5aa7bee42ad47ea36a32e5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E787-327E-44B8-BFA2-5BA46F2D4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D3AC5-7441-4333-BCA2-F9F1C305B3E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FE735B-F98B-4419-85C3-5BDC7C752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7A676-1694-4CD4-9208-BE711B53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25</Pages>
  <Words>8123</Words>
  <Characters>59948</Characters>
  <Application>Microsoft Office Word</Application>
  <DocSecurity>0</DocSecurity>
  <Lines>1933</Lines>
  <Paragraphs>872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20</cp:revision>
  <dcterms:created xsi:type="dcterms:W3CDTF">2015-03-18T16:41:00Z</dcterms:created>
  <dcterms:modified xsi:type="dcterms:W3CDTF">2015-03-19T09:26:00Z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ContentTypeId">
    <vt:lpwstr>0x010100929908B55AC52C4FAF7A8AE6DC3F0E00</vt:lpwstr>
  </property>
  <property fmtid="{D5CDD505-2E9C-101B-9397-08002B2CF9AE}" pid="11" name="DQCStatus">
    <vt:lpwstr>Yellow (DQC version 02)</vt:lpwstr>
  </property>
</Properties>
</file>