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FB8110C89AA4F11A841CCA473E6525B" style="width:450.75pt;height:366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rPr>
          <w:noProof/>
        </w:rPr>
      </w:pPr>
      <w:r>
        <w:rPr>
          <w:noProof/>
        </w:rPr>
        <w:t xml:space="preserve">L-atti li ġew adottati matul dawn l-aħħar deċennji eżawrew l-effetti kollha tagħhom iżda, teknikament, għadhom fis-seħħ. Minħabba l-karattru temporanju tagħhom jew inkella minħabba li l-kontenut tagħhom ġie inkorporat f'atti sussegwenti, dawn issa ma għadhomx validi. Fil-ftehim interistituzzjonali tagħhom, il-Parlament Ewropew, il-Kunsill u l-Kummissjoni, qablu dwar tfassil aħjar tal-liġijiet, li l-liġi Komunitarja għandha tiġi aġġornata u mqassra billi jitneħħew l-atti li ma għadhomx japplikaw. L-atti li ma għadhomx rilevanti għandhom jitneħħew mill-"acquis communautaire", sabiex titjieb it-trasparenza u ċ-ċertezza tal-liġi tal-Unjoni. </w:t>
      </w:r>
    </w:p>
    <w:p>
      <w:r>
        <w:rPr>
          <w:noProof/>
        </w:rPr>
        <w:t>Il-Kummissjoni wettqet diversi eżerċizzji sabiex tneħħi mill-acquis il-leġiżlazzjoni li ma għadhiex valida, xi drabi permezz tal-proċedura tradizzjonali tat-tħassir, xi drabi billi tiddikjara l-atti rilevanti tal-Kummissjoni bħala ma għadhomx validi. Il-Kummissjoni identifikat ukoll żewġ atti tal-Kunsill relatati mal-Politika Agrikola Komuni, li huma bbażati fuq l-Artikoli 42 u 43 tat-Trattat (li qabel kienu l-Artikoli 36 u 37), li eżawrew l-effetti prattiċi kollha, iżda li formalment għadhom fis-seħħ. Mhuwiex fl-ambitu tas-setgħat tal-Kummissjoni li tiddikjara l-atti li ġew adottati mill-Kunsill bħala atti li ma għadhomx validi. Fl-interess taċ-ċertezza legali, il-Kummissjoni tissuġġerixxi li l-atti elenkati f'din il-proposta għandhom jitħassru mill-Kunsill u mill-Parlament Ewropew.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2015/0090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jħassar id-Direttiva tal-Kunsill 76/621/KEE dwar l-iffissar tal-livell massimu ta’ aċidu erukiku fiż-żjut u x-xaħmijiet u r-Regolament (KE) Nru 320/2006 li jistabilixxi skema temporanja għar-ristrutturar tal-industrija taz-zokkor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b'mod partikolari l-ewwel subparagrafu tal-Artikolu 42 u l-Artikolu 43(2)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t-trażmissjoni tal-abbozz tal-att leġiżlattiv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1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It-titjib fit-trasparenza tal-liġi tal-Unjoni huwa element essenzjali tal-istrateġija għat-tfassil aħjar tal-liġijiet li qed tiġi implimentata mill-istituzzjonijiet tal-Unjoni. F’dak il-kuntest huwa xieraq li dawk l-atti li ma għadx għandhom effett reali jitneħħew mil-leġiżlazzjoni li hija fis-seħħ.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L-atti legali li ġejjin, marbuta mal-politika agrikola komuni, ma għadomx validi, minkejja li formalment għadhom fis-seħħ:</w:t>
      </w:r>
    </w:p>
    <w:p>
      <w:pPr>
        <w:pStyle w:val="Point1"/>
        <w:rPr>
          <w:noProof/>
        </w:rPr>
      </w:pPr>
      <w:r>
        <w:rPr>
          <w:noProof/>
        </w:rPr>
        <w:t>–</w:t>
      </w:r>
      <w:r>
        <w:rPr>
          <w:noProof/>
        </w:rPr>
        <w:tab/>
        <w:t>Id-Direttiva tal-Kunsill 76/621/KEE</w:t>
      </w:r>
      <w:r>
        <w:rPr>
          <w:rStyle w:val="FootnoteReference"/>
          <w:noProof/>
        </w:rPr>
        <w:footnoteReference w:id="2"/>
      </w:r>
      <w:r>
        <w:rPr>
          <w:noProof/>
        </w:rPr>
        <w:t>. Il-kontenut ta' dik id-Direttiva ġie indirizzat mir-Regolament tal-Kummissjoni (KE) Nru 1881/2006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Point1"/>
        <w:rPr>
          <w:noProof/>
        </w:rPr>
      </w:pPr>
      <w:r>
        <w:rPr>
          <w:noProof/>
        </w:rPr>
        <w:t>–</w:t>
      </w:r>
      <w:r>
        <w:rPr>
          <w:noProof/>
        </w:rPr>
        <w:tab/>
        <w:t>Ir-Regolament tal-Kunsill (KE) Nru 320/2006</w:t>
      </w:r>
      <w:r>
        <w:rPr>
          <w:rStyle w:val="FootnoteReference"/>
          <w:noProof/>
        </w:rPr>
        <w:footnoteReference w:id="4"/>
      </w:r>
      <w:r>
        <w:rPr>
          <w:noProof/>
        </w:rPr>
        <w:t>. L-iskema temporanja stabbilita minn dak ir-Regolament kienet applikabbli biss sas-sena tas-suq 2009/2010.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Għal raġunijiet ta’ ċertezza u ċarezza tad-dritt, dawn l-atti legali li ma għadhomx validi għandhom jitħassru,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Id-Direttiva 76/621/KEE u r-Regolament (KE) Nru 320/2006 qed jitħassru.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rPr>
          <w:noProof/>
        </w:rPr>
      </w:pPr>
      <w:r>
        <w:rPr>
          <w:noProof/>
        </w:rPr>
        <w:t>Dan ir-Regolament għandu jidħol fis-seħħ fit-tielet jum wara l-pubblikazzjoni tiegħu f'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ĠU C , , p. 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Id-Direttiva tal-Kunsill 76/621/KEE tal-20 ta' Lulju 1976 dwar l-iffissar tal-livell massimu ta’ aċidu erukiku fiż-żjut u x-xaħmijiet maħsubin bħala tali għall-konsum mill-bniedem u fl-oġġetti tal-ikel li fihom żjut u xaħmijiet miżjudin (ĠU L 202, 28.7.1976, p. 35).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tal-Kummissjoni (KE) Nru 1881/2006 tad-19 ta’ Diċembru 2006 li jiffissa l-livelli massimi ta’ ċerti kontaminanti fl-oġġetti tal-ikel (ĠU L 364, 20.12.2006, p. 5).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320/2006 tal-20 ta’ Frar 2006 li jistabbilixxi skema temporanja għar-ristrutturar tal-industrija taz-zokkor fil-Komunità u li jemenda r-Regolament (KE) Nru 1290/2005 dwar il-finanzjament tal-politika agrikola komuni (ĠU L 58, 28.2.2006, p. 42).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E80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8701E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C001B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7D881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B2E4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08EB2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B9CF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8C497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3-27 14:09:1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7FB8110C89AA4F11A841CCA473E6525B"/>
    <w:docVar w:name="LW_CROSSREFERENCE" w:val="&lt;UNUSED&gt;"/>
    <w:docVar w:name="LW_DocType" w:val="COM"/>
    <w:docVar w:name="LW_EMISSION" w:val="22.4.2015"/>
    <w:docVar w:name="LW_EMISSION_ISODATE" w:val="2015-04-22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90"/>
    <w:docVar w:name="LW_REF.II.NEW.CP_YEAR" w:val="2015"/>
    <w:docVar w:name="LW_REF.INST.NEW" w:val="COM"/>
    <w:docVar w:name="LW_REF.INST.NEW_ADOPTED" w:val="final"/>
    <w:docVar w:name="LW_REF.INST.NEW_TEXT" w:val="(2015) 174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li j\u295?assar id-Direttiva tal-Kunsill 76/621/KEE dwar l-iffissar tal-livell massimu ta\u8217? a\u267?idu erukiku fi\u380?-\u380?jut u x-xa\u295?mijiet u r-Regolament (KE) Nru 320/2006 li jistabilixxi skema temporanja g\u295?ar-ristrutturar tal-industrija taz-zokkor"/>
    <w:docVar w:name="LW_TYPE.DOC.CP" w:val="REGOLAMENT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426</Words>
  <Characters>3113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dcterms:created xsi:type="dcterms:W3CDTF">2015-03-27T13:09:00Z</dcterms:created>
  <dcterms:modified xsi:type="dcterms:W3CDTF">2015-04-22T10:08:00Z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20141001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_AdHocReviewCycleID">
    <vt:i4>1524624416</vt:i4>
  </property>
  <property fmtid="{D5CDD505-2E9C-101B-9397-08002B2CF9AE}" pid="11" name="_NewReviewCycle">
    <vt:lpwstr/>
  </property>
  <property fmtid="{D5CDD505-2E9C-101B-9397-08002B2CF9AE}" pid="12" name="_EmailSubject">
    <vt:lpwstr>Emailing: 680536cleanversion 2015 03 16 Reg.docx</vt:lpwstr>
  </property>
  <property fmtid="{D5CDD505-2E9C-101B-9397-08002B2CF9AE}" pid="13" name="_AuthorEmail">
    <vt:lpwstr>Karen.Van-Craenenbroeck@ec.europa.eu</vt:lpwstr>
  </property>
  <property fmtid="{D5CDD505-2E9C-101B-9397-08002B2CF9AE}" pid="14" name="_AuthorEmailDisplayName">
    <vt:lpwstr>VAN CRAENENBROECK Karen (AGRI)</vt:lpwstr>
  </property>
  <property fmtid="{D5CDD505-2E9C-101B-9397-08002B2CF9AE}" pid="15" name="_ReviewingToolsShownOnce">
    <vt:lpwstr/>
  </property>
  <property fmtid="{D5CDD505-2E9C-101B-9397-08002B2CF9AE}" pid="16" name="DQCStatus">
    <vt:lpwstr>Yellow (DQC version 03)</vt:lpwstr>
  </property>
</Properties>
</file>