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25DA9512CCFE44B1823F36ADDB7C1482" style="width:450.7pt;height:365.6pt">
            <v:imagedata r:id="rId8" o:title=""/>
          </v:shape>
        </w:pict>
      </w:r>
    </w:p>
    <w:p>
      <w:pPr>
        <w:rPr>
          <w:noProof/>
        </w:rPr>
        <w:sectPr>
          <w:footerReference w:type="default" r:id="rId9"/>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PASKAIDROJUMA RAKSTS</w:t>
      </w:r>
    </w:p>
    <w:p>
      <w:pPr>
        <w:rPr>
          <w:noProof/>
        </w:rPr>
      </w:pPr>
      <w:r>
        <w:rPr>
          <w:noProof/>
        </w:rPr>
        <w:t xml:space="preserve">Iepriekšējās desmitgadēs pieņemtie tiesību akti ir zaudējuši savu juridisko ietekmi, bet formāli vēl aizvien ir spēkā. Tos vairs neizmanto tāpēc, ka tie ir īslaicīgi, vai tāpēc, ka to saturs ir iekļauts vēlāk pieņemtos tiesību aktos. Eiropas Parlaments, Padome un Komisija Iestāžu nolīgumā par labāku tiesību aktu izstrādi vienojās, ka Kopienas tiesību akti ir jāatjaunina un to apjoms jāsamazina, atceļot tiesību aktus, kuri netiek piemēroti. Tiesību akti, kas zaudējuši savu nozīmīgumu, jāsvītro no </w:t>
      </w:r>
      <w:r>
        <w:rPr>
          <w:i/>
          <w:noProof/>
        </w:rPr>
        <w:t>acquis communautaire</w:t>
      </w:r>
      <w:r>
        <w:rPr>
          <w:noProof/>
        </w:rPr>
        <w:t xml:space="preserve">, lai uzlabotu Savienības tiesību aktu pārredzamību un noteiktību. </w:t>
      </w:r>
    </w:p>
    <w:p>
      <w:r>
        <w:rPr>
          <w:noProof/>
        </w:rPr>
        <w:t xml:space="preserve">Komisija ir veikusi vairākus pasākumus, lai no </w:t>
      </w:r>
      <w:r>
        <w:rPr>
          <w:i/>
          <w:noProof/>
        </w:rPr>
        <w:t>acquis</w:t>
      </w:r>
      <w:r>
        <w:rPr>
          <w:noProof/>
        </w:rPr>
        <w:t xml:space="preserve"> kopuma tiktu svītroti novecojuši tiesību akti, gan izmantojot parasto atcelšanas procedūru, gan paziņojot, ka attiecīgie Komisijas tiesību akti ir novecojuši. Komisija ir apzinājusi divus Padomes tiesību aktus saistībā ar kopējo lauksaimniecības politiku, kuri pamatojas uz Līguma 42. un 43. pantu (bijušais 36. un 37. pants) un kuri zaudējuši savu praktisko ietekmi, bet formāli vēl aizvien ir spēkā. Komisijai nav pilnvaru paziņot, ka Padomes pieņemti tiesību akti ir novecojuši. Juridiskās noteiktības labad Komisija ierosina Padomei un Eiropas Parlamentam atcelt šajā priekšlikumā uzskaitītos tiesību aktus.</w:t>
      </w:r>
    </w:p>
    <w:p>
      <w:pPr>
        <w:rPr>
          <w:noProof/>
        </w:rPr>
        <w:sectPr>
          <w:footerReference w:type="default" r:id="rId10"/>
          <w:footerReference w:type="first" r:id="rId11"/>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2015/0090 (COD)</w:t>
      </w:r>
    </w:p>
    <w:p>
      <w:pPr>
        <w:pStyle w:val="Statut"/>
        <w:rPr>
          <w:noProof/>
        </w:rPr>
      </w:pPr>
      <w:r>
        <w:rPr>
          <w:noProof/>
        </w:rPr>
        <w:t>Priekšlikums</w:t>
      </w:r>
    </w:p>
    <w:p>
      <w:pPr>
        <w:pStyle w:val="Typedudocument"/>
        <w:rPr>
          <w:noProof/>
        </w:rPr>
      </w:pPr>
      <w:r>
        <w:rPr>
          <w:noProof/>
        </w:rPr>
        <w:t>EIROPAS PARLAMENTA UN PADOMES REGULA,</w:t>
      </w:r>
    </w:p>
    <w:p>
      <w:pPr>
        <w:pStyle w:val="Titreobjet"/>
        <w:rPr>
          <w:noProof/>
        </w:rPr>
      </w:pPr>
      <w:r>
        <w:rPr>
          <w:noProof/>
        </w:rPr>
        <w:t>ar ko atceļ Padomes Direktīvu 76/621/EEK, kas attiecas uz erukskābes maksimālā līmeņa noteikšanu eļļās un taukos, un Padomes Regulu (EK) Nr. 320/2006, ar ko nosaka pagaidu shēmu cukura rūpniecības restrukturizācijai</w:t>
      </w:r>
    </w:p>
    <w:p>
      <w:pPr>
        <w:pStyle w:val="Institutionquiagit"/>
        <w:rPr>
          <w:noProof/>
        </w:rPr>
      </w:pPr>
      <w:r>
        <w:rPr>
          <w:noProof/>
        </w:rPr>
        <w:t>EIROPAS PARLAMENTS UN EIROPAS SAVIENĪBAS PADOME,</w:t>
      </w:r>
    </w:p>
    <w:p>
      <w:pPr>
        <w:rPr>
          <w:noProof/>
        </w:rPr>
      </w:pPr>
      <w:r>
        <w:rPr>
          <w:noProof/>
        </w:rPr>
        <w:t>ņemot vērā Līgumu par Eiropas Savienības darbību un jo īpaši tā 42. panta pirmo daļu un 43. panta 2. punktu,</w:t>
      </w:r>
    </w:p>
    <w:p>
      <w:pPr>
        <w:rPr>
          <w:noProof/>
        </w:rPr>
      </w:pPr>
      <w:r>
        <w:rPr>
          <w:noProof/>
        </w:rPr>
        <w:t>ņemot vērā Eiropas Komisijas priekšlikumu,</w:t>
      </w:r>
    </w:p>
    <w:p>
      <w:pPr>
        <w:rPr>
          <w:noProof/>
        </w:rPr>
      </w:pPr>
      <w:r>
        <w:rPr>
          <w:noProof/>
        </w:rPr>
        <w:t>pēc leģislatīvā akta projekta nosūtīšanas valstu parlamentiem,</w:t>
      </w:r>
    </w:p>
    <w:p>
      <w:pPr>
        <w:rPr>
          <w:noProof/>
        </w:rPr>
      </w:pPr>
      <w:r>
        <w:rPr>
          <w:noProof/>
        </w:rPr>
        <w:t>ņemot vērā Eiropas Ekonomikas un sociālo lietu komitejas atzinumu</w:t>
      </w:r>
      <w:r>
        <w:rPr>
          <w:rStyle w:val="FootnoteReference"/>
          <w:noProof/>
        </w:rPr>
        <w:footnoteReference w:id="1"/>
      </w:r>
      <w:r>
        <w:rPr>
          <w:noProof/>
        </w:rPr>
        <w:t>,</w:t>
      </w:r>
    </w:p>
    <w:p>
      <w:pPr>
        <w:rPr>
          <w:noProof/>
        </w:rPr>
      </w:pPr>
      <w:r>
        <w:rPr>
          <w:noProof/>
        </w:rPr>
        <w:t>saskaņā ar parasto likumdošanas procedūru,</w:t>
      </w:r>
    </w:p>
    <w:p>
      <w:pPr>
        <w:rPr>
          <w:noProof/>
        </w:rPr>
      </w:pPr>
      <w:r>
        <w:rPr>
          <w:noProof/>
        </w:rPr>
        <w:t>tā kā:</w:t>
      </w:r>
    </w:p>
    <w:p>
      <w:pPr>
        <w:pStyle w:val="ManualConsidrant"/>
        <w:rPr>
          <w:noProof/>
        </w:rPr>
      </w:pPr>
      <w:r>
        <w:t>(1)</w:t>
      </w:r>
      <w:r>
        <w:tab/>
      </w:r>
      <w:r>
        <w:rPr>
          <w:noProof/>
        </w:rPr>
        <w:t>Viens no būtiskākajiem elementiem Savienības iestāžu īstenotajā stratēģijā par likumdošanas procesa uzlabošanu ir Savienības tiesību pārskatāmības pilnveidošana. Šajā sakarā ir lietderīgi no aktīvā tiesību aktu kopuma svītrot tos tiesību aktus, kuriem vairs nav faktiskas ietekmes.</w:t>
      </w:r>
    </w:p>
    <w:p>
      <w:pPr>
        <w:pStyle w:val="ManualConsidrant"/>
        <w:rPr>
          <w:noProof/>
        </w:rPr>
      </w:pPr>
      <w:r>
        <w:t>(2)</w:t>
      </w:r>
      <w:r>
        <w:tab/>
      </w:r>
      <w:r>
        <w:rPr>
          <w:noProof/>
        </w:rPr>
        <w:t>Turpmāk norādītie ar kopējo lauksaimniecības politiku saistītie tiesību akti ir novecojuši, lai arī formāli tie vēl aizvien ir spēkā:</w:t>
      </w:r>
    </w:p>
    <w:p>
      <w:pPr>
        <w:pStyle w:val="Point1"/>
        <w:rPr>
          <w:noProof/>
        </w:rPr>
      </w:pPr>
      <w:r>
        <w:rPr>
          <w:noProof/>
        </w:rPr>
        <w:t>–</w:t>
      </w:r>
      <w:r>
        <w:rPr>
          <w:noProof/>
        </w:rPr>
        <w:tab/>
        <w:t>Padomes Direktīva 76/621/EEK</w:t>
      </w:r>
      <w:r>
        <w:rPr>
          <w:rStyle w:val="FootnoteReference"/>
          <w:noProof/>
        </w:rPr>
        <w:footnoteReference w:id="2"/>
      </w:r>
      <w:r>
        <w:rPr>
          <w:noProof/>
        </w:rPr>
        <w:t>. Minētās direktīvas saturs ir iekļauts Komisijas Regulā (EK) Nr. 1881/2006</w:t>
      </w:r>
      <w:r>
        <w:rPr>
          <w:rStyle w:val="FootnoteReference"/>
          <w:noProof/>
        </w:rPr>
        <w:footnoteReference w:id="3"/>
      </w:r>
      <w:r>
        <w:rPr>
          <w:noProof/>
        </w:rPr>
        <w:t>;</w:t>
      </w:r>
    </w:p>
    <w:p>
      <w:pPr>
        <w:pStyle w:val="Point1"/>
        <w:rPr>
          <w:noProof/>
        </w:rPr>
      </w:pPr>
      <w:r>
        <w:rPr>
          <w:noProof/>
        </w:rPr>
        <w:t>–</w:t>
      </w:r>
      <w:r>
        <w:rPr>
          <w:noProof/>
        </w:rPr>
        <w:tab/>
        <w:t>Padomes Regula (EK) Nr. 320/2006</w:t>
      </w:r>
      <w:r>
        <w:rPr>
          <w:rStyle w:val="FootnoteReference"/>
          <w:noProof/>
        </w:rPr>
        <w:footnoteReference w:id="4"/>
      </w:r>
      <w:r>
        <w:rPr>
          <w:noProof/>
        </w:rPr>
        <w:t>. Ar minēto regulu noteiktā pagaidu shēma bija spēkā vienīgi līdz 2009./2010. tirdzniecības gadam.</w:t>
      </w:r>
    </w:p>
    <w:p>
      <w:pPr>
        <w:pStyle w:val="ManualConsidrant"/>
        <w:rPr>
          <w:noProof/>
        </w:rPr>
      </w:pPr>
      <w:r>
        <w:t>(3)</w:t>
      </w:r>
      <w:r>
        <w:tab/>
      </w:r>
      <w:r>
        <w:rPr>
          <w:noProof/>
        </w:rPr>
        <w:t>Juridiskās drošības un skaidrības labad minētie novecojušie tiesību akti būtu jāatceļ,</w:t>
      </w:r>
    </w:p>
    <w:p>
      <w:pPr>
        <w:pStyle w:val="Formuledadoption"/>
        <w:rPr>
          <w:noProof/>
        </w:rPr>
      </w:pPr>
      <w:r>
        <w:rPr>
          <w:noProof/>
        </w:rPr>
        <w:t>IR PIEŅĒMUŠI ŠO REGULU.</w:t>
      </w:r>
    </w:p>
    <w:p>
      <w:pPr>
        <w:pStyle w:val="Titrearticle"/>
        <w:rPr>
          <w:noProof/>
        </w:rPr>
      </w:pPr>
      <w:r>
        <w:rPr>
          <w:noProof/>
        </w:rPr>
        <w:t>1. pants</w:t>
      </w:r>
    </w:p>
    <w:p>
      <w:pPr>
        <w:rPr>
          <w:noProof/>
        </w:rPr>
      </w:pPr>
      <w:r>
        <w:rPr>
          <w:noProof/>
        </w:rPr>
        <w:t>Direktīva 76/621/EEK un Regula (EK) Nr. 320/2006 tiek atceltas.</w:t>
      </w:r>
    </w:p>
    <w:p>
      <w:pPr>
        <w:pStyle w:val="Titrearticle"/>
        <w:rPr>
          <w:noProof/>
        </w:rPr>
      </w:pPr>
      <w:r>
        <w:rPr>
          <w:noProof/>
        </w:rPr>
        <w:lastRenderedPageBreak/>
        <w:t>2. pants</w:t>
      </w:r>
    </w:p>
    <w:p>
      <w:pPr>
        <w:rPr>
          <w:noProof/>
        </w:rPr>
      </w:pPr>
      <w:r>
        <w:rPr>
          <w:noProof/>
        </w:rPr>
        <w:t xml:space="preserve">Šī regula stājas spēkā trešajā dienā pēc tās publicēšanas </w:t>
      </w:r>
      <w:r>
        <w:rPr>
          <w:i/>
          <w:noProof/>
        </w:rPr>
        <w:t>Eiropas Savienības Oficiālajā Vēstnesī</w:t>
      </w:r>
      <w:r>
        <w:rPr>
          <w:noProof/>
        </w:rPr>
        <w:t>.</w:t>
      </w:r>
    </w:p>
    <w:p>
      <w:pPr>
        <w:pStyle w:val="Applicationdirecte"/>
        <w:rPr>
          <w:noProof/>
        </w:rPr>
      </w:pPr>
      <w:r>
        <w:rPr>
          <w:noProof/>
        </w:rPr>
        <w:t>Šī regula uzliek saistības kopumā un ir tieši piemērojama visās dalībvalstīs.</w:t>
      </w:r>
    </w:p>
    <w:p>
      <w:pPr>
        <w:pStyle w:val="Fait"/>
        <w:rPr>
          <w:noProof/>
        </w:rPr>
      </w:pPr>
      <w:r>
        <w:rPr>
          <w:noProof/>
        </w:rPr>
        <w:t>Briselē,</w:t>
      </w:r>
    </w:p>
    <w:p>
      <w:pPr>
        <w:pStyle w:val="Institutionquisigne"/>
        <w:rPr>
          <w:noProof/>
        </w:rPr>
      </w:pPr>
      <w:r>
        <w:rPr>
          <w:noProof/>
        </w:rPr>
        <w:t>Eiropas Parlamenta vārdā —</w:t>
      </w:r>
      <w:r>
        <w:rPr>
          <w:noProof/>
        </w:rPr>
        <w:tab/>
        <w:t>Padomes vārdā —</w:t>
      </w:r>
    </w:p>
    <w:p>
      <w:pPr>
        <w:pStyle w:val="Personnequisigne"/>
        <w:rPr>
          <w:noProof/>
        </w:rPr>
      </w:pPr>
      <w:r>
        <w:rPr>
          <w:noProof/>
        </w:rPr>
        <w:t>priekšsēdētājs</w:t>
      </w:r>
      <w:r>
        <w:rPr>
          <w:noProof/>
        </w:rPr>
        <w:tab/>
        <w:t>priekšsēdētājs</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US"/>
        </w:rPr>
      </w:pPr>
      <w:r>
        <w:rPr>
          <w:rStyle w:val="FootnoteReference"/>
        </w:rPr>
        <w:footnoteRef/>
      </w:r>
      <w:r>
        <w:tab/>
        <w:t>OV C , , . lpp.</w:t>
      </w:r>
    </w:p>
  </w:footnote>
  <w:footnote w:id="2">
    <w:p>
      <w:pPr>
        <w:pStyle w:val="FootnoteText"/>
      </w:pPr>
      <w:r>
        <w:rPr>
          <w:rStyle w:val="FootnoteReference"/>
        </w:rPr>
        <w:footnoteRef/>
      </w:r>
      <w:r>
        <w:tab/>
        <w:t>Padomes 1976. gada 20. jūlija Direktīva 76/621/EEK, kas attiecas uz erukskābes maksimālā līmeņa noteikšanu eļļās un taukos, kuri paredzēti lietošanai pārtikā, un pārtikas produktos, kuri satur pievienotas eļļas vai taukus (OV L 202, 28.7.1976., 35. lpp.).</w:t>
      </w:r>
    </w:p>
  </w:footnote>
  <w:footnote w:id="3">
    <w:p>
      <w:pPr>
        <w:pStyle w:val="FootnoteText"/>
      </w:pPr>
      <w:r>
        <w:rPr>
          <w:rStyle w:val="FootnoteReference"/>
        </w:rPr>
        <w:footnoteRef/>
      </w:r>
      <w:r>
        <w:tab/>
        <w:t>Komisijas 2006. gada 19. decembra Regula (EK) Nr. 1881/2006, ar ko nosaka konkrētu piesārņotāju maksimāli pieļaujamo koncentrāciju pārtikas produktos (OV L 364, 20.12.2006., 5. lpp.).</w:t>
      </w:r>
    </w:p>
  </w:footnote>
  <w:footnote w:id="4">
    <w:p>
      <w:pPr>
        <w:pStyle w:val="FootnoteText"/>
      </w:pPr>
      <w:r>
        <w:rPr>
          <w:rStyle w:val="FootnoteReference"/>
        </w:rPr>
        <w:footnoteRef/>
      </w:r>
      <w:r>
        <w:tab/>
        <w:t>Padomes 2006. gada 20. februāra Regula (EK) Nr. 320/2006, ar ko nosaka pagaidu shēmu cukura rūpniecības restrukturizācijai Kopienā un groza Regulu (EK) Nr. 1290/2005 par kopējās lauksaimniecības politikas finansēšanu (OV L 58, 28.2.2006., 42.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E8004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C8701E8A"/>
    <w:lvl w:ilvl="0">
      <w:start w:val="1"/>
      <w:numFmt w:val="decimal"/>
      <w:pStyle w:val="ListNumber3"/>
      <w:lvlText w:val="%1."/>
      <w:lvlJc w:val="left"/>
      <w:pPr>
        <w:tabs>
          <w:tab w:val="num" w:pos="926"/>
        </w:tabs>
        <w:ind w:left="926" w:hanging="360"/>
      </w:pPr>
    </w:lvl>
  </w:abstractNum>
  <w:abstractNum w:abstractNumId="2">
    <w:nsid w:val="FFFFFF7F"/>
    <w:multiLevelType w:val="singleLevel"/>
    <w:tmpl w:val="3C001B42"/>
    <w:lvl w:ilvl="0">
      <w:start w:val="1"/>
      <w:numFmt w:val="decimal"/>
      <w:pStyle w:val="ListNumber2"/>
      <w:lvlText w:val="%1."/>
      <w:lvlJc w:val="left"/>
      <w:pPr>
        <w:tabs>
          <w:tab w:val="num" w:pos="643"/>
        </w:tabs>
        <w:ind w:left="643" w:hanging="360"/>
      </w:pPr>
    </w:lvl>
  </w:abstractNum>
  <w:abstractNum w:abstractNumId="3">
    <w:nsid w:val="FFFFFF81"/>
    <w:multiLevelType w:val="singleLevel"/>
    <w:tmpl w:val="A7D8814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AB2E49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08EB2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AB9CFD3C"/>
    <w:lvl w:ilvl="0">
      <w:start w:val="1"/>
      <w:numFmt w:val="decimal"/>
      <w:pStyle w:val="ListNumber"/>
      <w:lvlText w:val="%1."/>
      <w:lvlJc w:val="left"/>
      <w:pPr>
        <w:tabs>
          <w:tab w:val="num" w:pos="360"/>
        </w:tabs>
        <w:ind w:left="360" w:hanging="360"/>
      </w:pPr>
    </w:lvl>
  </w:abstractNum>
  <w:abstractNum w:abstractNumId="7">
    <w:nsid w:val="FFFFFF89"/>
    <w:multiLevelType w:val="singleLevel"/>
    <w:tmpl w:val="D8C497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hideSpellingErrors/>
  <w:hideGrammaticalErrors/>
  <w:attachedTemplate r:id="rId1"/>
  <w:revisionView w:markup="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4-22 12:07: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2"/>
    <w:docVar w:name="DQCWithWarnings" w:val="0"/>
    <w:docVar w:name="LW_CONFIDENCE" w:val=" "/>
    <w:docVar w:name="LW_CONST_RESTREINT_UE" w:val="RESTREINT UE"/>
    <w:docVar w:name="LW_CORRIGENDUM" w:val="&lt;UNUSED&gt;"/>
    <w:docVar w:name="LW_COVERPAGE_GUID" w:val="25DA9512CCFE44B1823F36ADDB7C1482"/>
    <w:docVar w:name="LW_CROSSREFERENCE" w:val="&lt;UNUSED&gt;"/>
    <w:docVar w:name="LW_DocType" w:val="COM"/>
    <w:docVar w:name="LW_EMISSION" w:val="22.4.2015"/>
    <w:docVar w:name="LW_EMISSION_ISODATE" w:val="2015-04-22"/>
    <w:docVar w:name="LW_EMISSION_LOCATION" w:val="BRX"/>
    <w:docVar w:name="LW_EMISSION_PREFIX" w:val="Briselē, "/>
    <w:docVar w:name="LW_EMISSION_SUFFIX" w:val="."/>
    <w:docVar w:name="LW_ID_DOCMODEL" w:val="SJ-023"/>
    <w:docVar w:name="LW_ID_DOCSIGNATURE" w:val="SJ-023"/>
    <w:docVar w:name="LW_ID_DOCSTRUCTURE" w:val="COM/PL/ORG"/>
    <w:docVar w:name="LW_ID_DOCTYPE" w:val="SJ-023"/>
    <w:docVar w:name="LW_ID_STATUT" w:val="SJ-023"/>
    <w:docVar w:name="LW_INTERETEEE.CP" w:val="&lt;UNUSED&gt;"/>
    <w:docVar w:name="LW_LANGUE" w:val="LV"/>
    <w:docVar w:name="LW_MARKING" w:val="&lt;UNUSED&gt;"/>
    <w:docVar w:name="LW_NOM.INST" w:val="EIROPAS KOMISIJA"/>
    <w:docVar w:name="LW_NOM.INST_JOINTDOC" w:val="&lt;EMPTY&gt;"/>
    <w:docVar w:name="LW_PART_NBR" w:val="1"/>
    <w:docVar w:name="LW_PART_NBR_TOTAL" w:val="1"/>
    <w:docVar w:name="LW_REF.II.NEW.CP" w:val="COD"/>
    <w:docVar w:name="LW_REF.II.NEW.CP_NUMBER" w:val="0090"/>
    <w:docVar w:name="LW_REF.II.NEW.CP_YEAR" w:val="2015"/>
    <w:docVar w:name="LW_REF.INST.NEW" w:val="COM"/>
    <w:docVar w:name="LW_REF.INST.NEW_ADOPTED" w:val="final"/>
    <w:docVar w:name="LW_REF.INST.NEW_TEXT" w:val="(2015) 174"/>
    <w:docVar w:name="LW_REF.INTERNE" w:val="&lt;UNUSED&gt;"/>
    <w:docVar w:name="LW_SOUS.TITRE.OBJ.CP" w:val="&lt;UNUSED&gt;"/>
    <w:docVar w:name="LW_STATUT.CP" w:val="Priek\u353?likums"/>
    <w:docVar w:name="LW_SUPERTITRE" w:val="&lt;UNUSED&gt;"/>
    <w:docVar w:name="LW_TITRE.OBJ.CP" w:val="ar ko atce\u316? Padomes Direkt\u299?vu 76/621/EEK, kas attiecas uz eruksk\u257?bes maksim\u257?l\u257? l\u299?me\u326?a noteik\u353?anu e\u316?\u316?\u257?s un taukos, un Padomes Regulu (EK) Nr. 320/2006, ar ko nosaka pagaidu sh\u275?mu cukura r\u363?pniec\u299?bas restrukturiz\u257?cijai"/>
    <w:docVar w:name="LW_TYPE.DOC.CP" w:val="EIROPAS PARLAMENTA UN PADOMES REGULA,"/>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lv-LV"/>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4"/>
      </w:numPr>
    </w:pPr>
  </w:style>
  <w:style w:type="paragraph" w:customStyle="1" w:styleId="Tiret1">
    <w:name w:val="Tiret 1"/>
    <w:basedOn w:val="Point1"/>
    <w:pPr>
      <w:numPr>
        <w:numId w:val="25"/>
      </w:numPr>
    </w:pPr>
  </w:style>
  <w:style w:type="paragraph" w:customStyle="1" w:styleId="Tiret2">
    <w:name w:val="Tiret 2"/>
    <w:basedOn w:val="Point2"/>
    <w:pPr>
      <w:numPr>
        <w:numId w:val="26"/>
      </w:numPr>
    </w:pPr>
  </w:style>
  <w:style w:type="paragraph" w:customStyle="1" w:styleId="Tiret3">
    <w:name w:val="Tiret 3"/>
    <w:basedOn w:val="Point3"/>
    <w:pPr>
      <w:numPr>
        <w:numId w:val="27"/>
      </w:numPr>
    </w:pPr>
  </w:style>
  <w:style w:type="paragraph" w:customStyle="1" w:styleId="Tiret4">
    <w:name w:val="Tiret 4"/>
    <w:basedOn w:val="Point4"/>
    <w:pPr>
      <w:numPr>
        <w:numId w:val="2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9"/>
      </w:numPr>
    </w:pPr>
  </w:style>
  <w:style w:type="paragraph" w:customStyle="1" w:styleId="NumPar2">
    <w:name w:val="NumPar 2"/>
    <w:basedOn w:val="Normal"/>
    <w:next w:val="Text1"/>
    <w:pPr>
      <w:numPr>
        <w:ilvl w:val="1"/>
        <w:numId w:val="29"/>
      </w:numPr>
    </w:pPr>
  </w:style>
  <w:style w:type="paragraph" w:customStyle="1" w:styleId="NumPar3">
    <w:name w:val="NumPar 3"/>
    <w:basedOn w:val="Normal"/>
    <w:next w:val="Text1"/>
    <w:pPr>
      <w:numPr>
        <w:ilvl w:val="2"/>
        <w:numId w:val="29"/>
      </w:numPr>
    </w:pPr>
  </w:style>
  <w:style w:type="paragraph" w:customStyle="1" w:styleId="NumPar4">
    <w:name w:val="NumPar 4"/>
    <w:basedOn w:val="Normal"/>
    <w:next w:val="Text1"/>
    <w:pPr>
      <w:numPr>
        <w:ilvl w:val="3"/>
        <w:numId w:val="2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1"/>
      </w:numPr>
    </w:pPr>
  </w:style>
  <w:style w:type="paragraph" w:customStyle="1" w:styleId="Point1number">
    <w:name w:val="Point 1 (number)"/>
    <w:basedOn w:val="Normal"/>
    <w:pPr>
      <w:numPr>
        <w:ilvl w:val="2"/>
        <w:numId w:val="31"/>
      </w:numPr>
    </w:pPr>
  </w:style>
  <w:style w:type="paragraph" w:customStyle="1" w:styleId="Point2number">
    <w:name w:val="Point 2 (number)"/>
    <w:basedOn w:val="Normal"/>
    <w:pPr>
      <w:numPr>
        <w:ilvl w:val="4"/>
        <w:numId w:val="31"/>
      </w:numPr>
    </w:pPr>
  </w:style>
  <w:style w:type="paragraph" w:customStyle="1" w:styleId="Point3number">
    <w:name w:val="Point 3 (number)"/>
    <w:basedOn w:val="Normal"/>
    <w:pPr>
      <w:numPr>
        <w:ilvl w:val="6"/>
        <w:numId w:val="31"/>
      </w:numPr>
    </w:pPr>
  </w:style>
  <w:style w:type="paragraph" w:customStyle="1" w:styleId="Point0letter">
    <w:name w:val="Point 0 (letter)"/>
    <w:basedOn w:val="Normal"/>
    <w:pPr>
      <w:numPr>
        <w:ilvl w:val="1"/>
        <w:numId w:val="31"/>
      </w:numPr>
    </w:pPr>
  </w:style>
  <w:style w:type="paragraph" w:customStyle="1" w:styleId="Point1letter">
    <w:name w:val="Point 1 (letter)"/>
    <w:basedOn w:val="Normal"/>
    <w:pPr>
      <w:numPr>
        <w:ilvl w:val="3"/>
        <w:numId w:val="31"/>
      </w:numPr>
    </w:pPr>
  </w:style>
  <w:style w:type="paragraph" w:customStyle="1" w:styleId="Point2letter">
    <w:name w:val="Point 2 (letter)"/>
    <w:basedOn w:val="Normal"/>
    <w:pPr>
      <w:numPr>
        <w:ilvl w:val="5"/>
        <w:numId w:val="31"/>
      </w:numPr>
    </w:pPr>
  </w:style>
  <w:style w:type="paragraph" w:customStyle="1" w:styleId="Point3letter">
    <w:name w:val="Point 3 (letter)"/>
    <w:basedOn w:val="Normal"/>
    <w:pPr>
      <w:numPr>
        <w:ilvl w:val="7"/>
        <w:numId w:val="31"/>
      </w:numPr>
    </w:pPr>
  </w:style>
  <w:style w:type="paragraph" w:customStyle="1" w:styleId="Point4letter">
    <w:name w:val="Point 4 (letter)"/>
    <w:basedOn w:val="Normal"/>
    <w:pPr>
      <w:numPr>
        <w:ilvl w:val="8"/>
        <w:numId w:val="31"/>
      </w:numPr>
    </w:pPr>
  </w:style>
  <w:style w:type="paragraph" w:customStyle="1" w:styleId="Bullet0">
    <w:name w:val="Bullet 0"/>
    <w:basedOn w:val="Normal"/>
    <w:pPr>
      <w:numPr>
        <w:numId w:val="32"/>
      </w:numPr>
    </w:pPr>
  </w:style>
  <w:style w:type="paragraph" w:customStyle="1" w:styleId="Bullet1">
    <w:name w:val="Bullet 1"/>
    <w:basedOn w:val="Normal"/>
    <w:pPr>
      <w:numPr>
        <w:numId w:val="33"/>
      </w:numPr>
    </w:pPr>
  </w:style>
  <w:style w:type="paragraph" w:customStyle="1" w:styleId="Bullet2">
    <w:name w:val="Bullet 2"/>
    <w:basedOn w:val="Normal"/>
    <w:pPr>
      <w:numPr>
        <w:numId w:val="34"/>
      </w:numPr>
    </w:pPr>
  </w:style>
  <w:style w:type="paragraph" w:customStyle="1" w:styleId="Bullet3">
    <w:name w:val="Bullet 3"/>
    <w:basedOn w:val="Normal"/>
    <w:pPr>
      <w:numPr>
        <w:numId w:val="35"/>
      </w:numPr>
    </w:pPr>
  </w:style>
  <w:style w:type="paragraph" w:customStyle="1" w:styleId="Bullet4">
    <w:name w:val="Bullet 4"/>
    <w:basedOn w:val="Normal"/>
    <w:pPr>
      <w:numPr>
        <w:numId w:val="3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1</TotalTime>
  <Pages>4</Pages>
  <Words>420</Words>
  <Characters>2647</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18</cp:revision>
  <cp:lastPrinted>2015-03-31T15:29:00Z</cp:lastPrinted>
  <dcterms:created xsi:type="dcterms:W3CDTF">2015-04-01T11:39:00Z</dcterms:created>
  <dcterms:modified xsi:type="dcterms:W3CDTF">2015-04-22T10:07:00Z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AdHocReviewCycleID">
    <vt:i4>1524624416</vt:i4>
  </property>
  <property fmtid="{D5CDD505-2E9C-101B-9397-08002B2CF9AE}" pid="11" name="_NewReviewCycle">
    <vt:lpwstr/>
  </property>
  <property fmtid="{D5CDD505-2E9C-101B-9397-08002B2CF9AE}" pid="12" name="_EmailSubject">
    <vt:lpwstr>Emailing: 680536cleanversion 2015 03 16 Reg.docx</vt:lpwstr>
  </property>
  <property fmtid="{D5CDD505-2E9C-101B-9397-08002B2CF9AE}" pid="13" name="_AuthorEmail">
    <vt:lpwstr>Karen.Van-Craenenbroeck@ec.europa.eu</vt:lpwstr>
  </property>
  <property fmtid="{D5CDD505-2E9C-101B-9397-08002B2CF9AE}" pid="14" name="_AuthorEmailDisplayName">
    <vt:lpwstr>VAN CRAENENBROECK Karen (AGRI)</vt:lpwstr>
  </property>
  <property fmtid="{D5CDD505-2E9C-101B-9397-08002B2CF9AE}" pid="15" name="_ReviewingToolsShownOnce">
    <vt:lpwstr/>
  </property>
  <property fmtid="{D5CDD505-2E9C-101B-9397-08002B2CF9AE}" pid="16" name="DQCStatus">
    <vt:lpwstr>Green (DQC version 02)</vt:lpwstr>
  </property>
</Properties>
</file>