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5029D5C787547B9B490FD5A34727EFA" style="width:450.7pt;height:409.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EXPUNERE DE MOTIVE</w:t>
      </w:r>
    </w:p>
    <w:p>
      <w:pPr>
        <w:pStyle w:val="ManualHeading1"/>
        <w:rPr>
          <w:noProof/>
        </w:rPr>
      </w:pPr>
      <w:r>
        <w:rPr>
          <w:noProof/>
        </w:rPr>
        <w:t>1.</w:t>
      </w:r>
      <w:r>
        <w:rPr>
          <w:noProof/>
        </w:rPr>
        <w:tab/>
        <w:t>CONTEXTUL PROPUNERII</w:t>
      </w:r>
    </w:p>
    <w:p>
      <w:pPr>
        <w:pStyle w:val="ManualHeading2"/>
        <w:rPr>
          <w:noProof/>
        </w:rPr>
      </w:pPr>
      <w:r>
        <w:rPr>
          <w:noProof/>
        </w:rPr>
        <w:t>1.1.</w:t>
      </w:r>
      <w:r>
        <w:rPr>
          <w:noProof/>
        </w:rPr>
        <w:tab/>
        <w:t>Istoricul dosarului</w:t>
      </w:r>
    </w:p>
    <w:p>
      <w:pPr>
        <w:rPr>
          <w:noProof/>
        </w:rPr>
      </w:pPr>
      <w:r>
        <w:rPr>
          <w:noProof/>
        </w:rPr>
        <w:t>Consumatorii și operatorii de comerț electronic cu amănuntul din UE nu profită pe deplin de piața unică. În 2014, doar 15 % dintre consumatori au efectuat achiziții online în alte țări ale UE, deși 44 % au efectuat astfel de achiziții în țara lor de origine; peste trei sferturi (84 %) din vânzările online în 2014 au provenit din țara în care este situată societatea vânzătoare.</w:t>
      </w:r>
      <w:r>
        <w:rPr>
          <w:rStyle w:val="FootnoteReference"/>
          <w:noProof/>
        </w:rPr>
        <w:t xml:space="preserve"> </w:t>
      </w:r>
      <w:r>
        <w:rPr>
          <w:rStyle w:val="FootnoteReference"/>
          <w:noProof/>
        </w:rPr>
        <w:footnoteReference w:id="2"/>
      </w:r>
      <w:r>
        <w:rPr>
          <w:noProof/>
        </w:rPr>
        <w:t xml:space="preserve"> Un studiu efectuat de Parlamentul European a estimat că realizarea unei piețe unice digitale pe deplin funcționale ar aduce o contribuție potențială la PIB-ul european în valoare de 415 miliarde de euro</w:t>
      </w:r>
      <w:r>
        <w:rPr>
          <w:rStyle w:val="FootnoteReference"/>
          <w:noProof/>
        </w:rPr>
        <w:footnoteReference w:id="3"/>
      </w:r>
      <w:r>
        <w:rPr>
          <w:noProof/>
        </w:rPr>
        <w:t>. Beneficiile generate de comerțul electronic transfrontalier sunt estimate la 0,27 % din PIB</w:t>
      </w:r>
      <w:r>
        <w:rPr>
          <w:rStyle w:val="FootnoteReference"/>
          <w:noProof/>
        </w:rPr>
        <w:footnoteReference w:id="4"/>
      </w:r>
      <w:r>
        <w:rPr>
          <w:noProof/>
        </w:rPr>
        <w:t>. De asemenea, comerțul electronic transfrontalier aduce beneficii directe cetățenilor și întreprinderilor, permițându-le să se bucure de o mai mare varietate de produse și servicii și de prețuri mai scăzute datorită creșterii concurenței la nivelul prețurilor.</w:t>
      </w:r>
    </w:p>
    <w:p>
      <w:pPr>
        <w:rPr>
          <w:noProof/>
        </w:rPr>
      </w:pPr>
      <w:r>
        <w:rPr>
          <w:noProof/>
        </w:rPr>
        <w:t>Există numeroase motive pentru care nu se efectuează achiziții din alte state membre sau vânzări către acestea. Comunicarea Comisiei intitulată „O strategie privind piața unică digitală pentru Europa”</w:t>
      </w:r>
      <w:r>
        <w:rPr>
          <w:rStyle w:val="FootnoteReference"/>
          <w:noProof/>
        </w:rPr>
        <w:footnoteReference w:id="5"/>
      </w:r>
      <w:r>
        <w:rPr>
          <w:noProof/>
        </w:rPr>
        <w:t xml:space="preserve"> prevede o serie de măsuri pentru îmbunătățirea accesului consumatorilor și al întreprinderilor la bunuri și servicii online în întreaga Europă. Printre aceste măsuri se numără: eliminarea discriminării geografice nejustificate și a altor forme de discriminare bazate pe locul de reședință sau pe naționalitate</w:t>
      </w:r>
      <w:r>
        <w:rPr>
          <w:rStyle w:val="FootnoteReference"/>
          <w:noProof/>
        </w:rPr>
        <w:footnoteReference w:id="6"/>
      </w:r>
      <w:r>
        <w:rPr>
          <w:noProof/>
        </w:rPr>
        <w:t xml:space="preserve">; îmbunătățirea armonizării normelor privind contractele încheiate cu consumatori pentru vânzări online și alte vânzări de bunuri la distanță, precum și a normelor privind furnizarea de conținut digital; și revizuirea Regulamentului privind cooperarea în materie de protecție a consumatorului. </w:t>
      </w:r>
    </w:p>
    <w:p>
      <w:pPr>
        <w:rPr>
          <w:noProof/>
        </w:rPr>
      </w:pPr>
      <w:r>
        <w:rPr>
          <w:noProof/>
        </w:rPr>
        <w:t>Comunicarea Comisiei din 2012 privind comerțul electronic</w:t>
      </w:r>
      <w:r>
        <w:rPr>
          <w:rStyle w:val="FootnoteReference"/>
          <w:noProof/>
        </w:rPr>
        <w:footnoteReference w:id="7"/>
      </w:r>
      <w:r>
        <w:rPr>
          <w:noProof/>
        </w:rPr>
        <w:t xml:space="preserve"> a identificat îmbunătățirea livrării fizice a bunurilor comandate online drept unul dintre elementele-cheie ale dezvoltării comerțului electronic. În consecință, Foaia de parcurs privind coletele din 2013</w:t>
      </w:r>
      <w:r>
        <w:rPr>
          <w:rStyle w:val="FootnoteReference"/>
          <w:noProof/>
        </w:rPr>
        <w:footnoteReference w:id="8"/>
      </w:r>
      <w:r>
        <w:rPr>
          <w:noProof/>
        </w:rPr>
        <w:t xml:space="preserve"> a Comisiei prevede o serie de măsuri menite să contribuie la realizarea a trei seturi de obiective: (i) sporirea transparenței și a gradului de informare pentru toate părțile interesate de-a lungul lanțului valoric aferent comerțului electronic, (ii) îmbunătățirea disponibilității, calității și caracterului abordabil al soluțiilor în materie de livrare și (iii) perfecționarea procesării reclamațiilor și a mecanismelor de recurs pentru consumatori. Au existat unele îmbunătățiri în ceea ce privește (i) calitatea serviciilor, inclusiv o inițiativă privind interoperabilitatea adoptată de furnizorii de serviciu universal și o a patra cerere de standardizare adresată CEN/TC331</w:t>
      </w:r>
      <w:r>
        <w:rPr>
          <w:rStyle w:val="FootnoteReference"/>
          <w:noProof/>
        </w:rPr>
        <w:footnoteReference w:id="9"/>
      </w:r>
      <w:r>
        <w:rPr>
          <w:noProof/>
        </w:rPr>
        <w:t>, precum și (ii) furnizarea de informații pentru consumatori prin dezvoltarea de mărci europene de încredere pentru achizițiile online</w:t>
      </w:r>
      <w:r>
        <w:rPr>
          <w:rStyle w:val="FootnoteReference"/>
          <w:noProof/>
        </w:rPr>
        <w:footnoteReference w:id="10"/>
      </w:r>
      <w:r>
        <w:rPr>
          <w:noProof/>
        </w:rPr>
        <w:t>. Cu toate acestea, sunt necesare măsuri complementare în domeniul transparenței prețurilor și al supravegherii reglementare consolidate, având în vedere că prețurile pentru anumite servicii transfrontaliere sunt încă ridicate și că nu toate autoritățile naționale de reglementare au capacitatea de a colecta datele necesare pentru a monitoriza evoluția piețelor de colete</w:t>
      </w:r>
      <w:r>
        <w:rPr>
          <w:rStyle w:val="FootnoteReference"/>
          <w:noProof/>
        </w:rPr>
        <w:footnoteReference w:id="11"/>
      </w:r>
      <w:r>
        <w:rPr>
          <w:noProof/>
        </w:rPr>
        <w:t xml:space="preserve"> din cauza diferențelor în ceea ce privește competențele lor și definirea serviciilor de colete. La momentul stabilirii cadrului de reglementare european actual pentru serviciile poștale, și anume Directiva 97/67/CE, accentul s-a pus în primul rând pe expedierea scrisorilor, iar majoritatea serviciilor de livrare de colete se aflau în afara domeniului de aplicare al serviciului universal</w:t>
      </w:r>
      <w:r>
        <w:rPr>
          <w:rStyle w:val="FootnoteReference"/>
          <w:noProof/>
        </w:rPr>
        <w:footnoteReference w:id="12"/>
      </w:r>
      <w:r>
        <w:rPr>
          <w:noProof/>
        </w:rPr>
        <w:t>; în prezent însă, scrisorile reprezintă mai puțin de jumătate din veniturile sectorului poștal european</w:t>
      </w:r>
      <w:r>
        <w:rPr>
          <w:rStyle w:val="FootnoteReference"/>
          <w:noProof/>
        </w:rPr>
        <w:footnoteReference w:id="13"/>
      </w:r>
      <w:r>
        <w:rPr>
          <w:noProof/>
        </w:rPr>
        <w:t xml:space="preserve">. </w:t>
      </w:r>
    </w:p>
    <w:p>
      <w:pPr>
        <w:rPr>
          <w:noProof/>
        </w:rPr>
      </w:pPr>
      <w:r>
        <w:rPr>
          <w:noProof/>
        </w:rPr>
        <w:t>Consumatorii și întreprinderile mici raportează că problemele legate de livrarea de colete, în special prețurile ridicate, îi împiedică să vândă mai mult în alte state membre sau să cumpere mai mult din acestea</w:t>
      </w:r>
      <w:r>
        <w:rPr>
          <w:rStyle w:val="FootnoteReference"/>
          <w:noProof/>
        </w:rPr>
        <w:footnoteReference w:id="14"/>
      </w:r>
      <w:r>
        <w:rPr>
          <w:noProof/>
        </w:rPr>
        <w:t>. Cercetările arată că prețurile publice transfrontaliere practicate de furnizorii de serviciu universal sunt adesea de trei până la de cinci ori mai mari decât prețurile naționale echivalente</w:t>
      </w:r>
      <w:r>
        <w:rPr>
          <w:rStyle w:val="FootnoteReference"/>
          <w:noProof/>
        </w:rPr>
        <w:footnoteReference w:id="15"/>
      </w:r>
      <w:r>
        <w:rPr>
          <w:noProof/>
        </w:rPr>
        <w:t xml:space="preserve"> și că aceste diferențe nu pot fi puse pe seama forței de muncă sau a altor costuri în țara de destinație. Prețurile pentru trimiterile transportate în state membre de origine aparent similare pe distanțe comparabile cunosc uneori variații semnificative, care nu sunt justificate în mod clar de factorii de cost.</w:t>
      </w:r>
    </w:p>
    <w:p>
      <w:pPr>
        <w:rPr>
          <w:noProof/>
        </w:rPr>
      </w:pPr>
      <w:r>
        <w:rPr>
          <w:noProof/>
        </w:rPr>
        <w:t>Există motive multiple care stau la baza existenței unor prețuri ridicate pentru livrarea transfrontalieră de colete. În primul rând, piața livrării transfrontaliere de colete este caracterizată de un număr relativ ridicat de bariere la intrarea pe piață (de exemplu, costuri nerecuperabile). Acestea pot limita o intrare geografică amplă a unui operator concurent, dat fiind că operatorii trebuie să suporte costurile fixe ridicate ale dezvoltării de mari rețele de livrare (și de servicii periodice sau permanente). În cazul în care există concurență, ea se axează pe expeditorii de volum mare, cum ar fi operatorii de comerț electronic cu amănuntul mai mari, care sunt în măsură să negocieze prețurile cu operatorii de servicii de livrare pe baza unor reduceri individuale. Comercianții cu amănuntul mai mici și consumatorii individuali (care adesea nu expediază volume suficiente pentru a fi eligibili pentru reduceri negociate individual</w:t>
      </w:r>
      <w:r>
        <w:rPr>
          <w:rStyle w:val="FootnoteReference"/>
          <w:noProof/>
        </w:rPr>
        <w:footnoteReference w:id="16"/>
      </w:r>
      <w:r>
        <w:rPr>
          <w:noProof/>
        </w:rPr>
        <w:t>) plătesc prețuri publice mult mai mari</w:t>
      </w:r>
      <w:r>
        <w:rPr>
          <w:rStyle w:val="FootnoteReference"/>
          <w:noProof/>
        </w:rPr>
        <w:footnoteReference w:id="17"/>
      </w:r>
      <w:r>
        <w:rPr>
          <w:noProof/>
        </w:rPr>
        <w:t xml:space="preserve"> pentru livrarea transfrontalieră de colete și sunt deserviți de un număr mai mic de operatori, în special în zonele îndepărtate</w:t>
      </w:r>
      <w:r>
        <w:rPr>
          <w:rStyle w:val="FootnoteReference"/>
          <w:noProof/>
        </w:rPr>
        <w:footnoteReference w:id="18"/>
      </w:r>
      <w:r>
        <w:rPr>
          <w:noProof/>
        </w:rPr>
        <w:t>, unde este chiar posibil ca numai furnizorul de serviciu universal să livreze fără perceperea de suprataxe</w:t>
      </w:r>
      <w:r>
        <w:rPr>
          <w:rStyle w:val="FootnoteReference"/>
          <w:noProof/>
        </w:rPr>
        <w:footnoteReference w:id="19"/>
      </w:r>
      <w:r>
        <w:rPr>
          <w:noProof/>
        </w:rPr>
        <w:t>.</w:t>
      </w:r>
    </w:p>
    <w:p>
      <w:pPr>
        <w:rPr>
          <w:noProof/>
        </w:rPr>
      </w:pPr>
      <w:r>
        <w:rPr>
          <w:noProof/>
        </w:rPr>
        <w:t>În al doilea rând, supravegherea reglementară ineficientă, incoerentă sau chiar inexistentă împiedică buna funcționare a pieței unice. Cadrele juridice naționale divergente și diferențele în modul de transpunere de către statele membre a Directivei 97/67/CE au făcut ca numeroase autorități naționale de reglementare să dispună de un mandat limitat în ceea ce privește monitorizarea pieței de livrare transfrontalieră de colete. Drept urmare, acestea nu dispun de informațiile necesare pentru identificarea eventualelor disfuncționalități ale pieței sau a problemelor de reglementare. De asemenea, fragmentarea cadrului de reglementare a serviciilor poștale îngreunează sarcina furnizorilor de servicii poștale de livrare transfrontalieră de colete.</w:t>
      </w:r>
    </w:p>
    <w:p>
      <w:pPr>
        <w:rPr>
          <w:noProof/>
        </w:rPr>
      </w:pPr>
      <w:r>
        <w:rPr>
          <w:noProof/>
        </w:rPr>
        <w:t>În al treilea rând, există o lipsă constantă de informații cu privire la piața serviciilor de livrare a coletelor, inclusiv cu privire la serviciile de livrare, la prețurile și la furnizorii disponibili. Numeroase întreprinderi și persoane fizice au cunoștință doar de câțiva dintre operatorii pe care i-ar putea utiliza și recurg adesea, în mod implicit, la furnizorul de serviciu universal. Aceasta face ca noii operatori să aibă dificultăți în a câștiga cotă de piață și reduce presiunea concurențială asupra operatorilor existenți, ducând la mai puține stimulente în ceea ce privește îmbunătățirea calității serviciilor și la creșterea prețurilor. Pentru a soluționa deficitul de informare, Comisia utilizează finanțarea COSME</w:t>
      </w:r>
      <w:r>
        <w:rPr>
          <w:rStyle w:val="FootnoteReference"/>
          <w:noProof/>
        </w:rPr>
        <w:footnoteReference w:id="20"/>
      </w:r>
      <w:r>
        <w:rPr>
          <w:noProof/>
        </w:rPr>
        <w:t xml:space="preserve">, cu scopul de a sprijini dezvoltarea unei platforme de informare privind serviciile de livrare. Acest lucru va permite ca operatorii de comerț electronic cu amănuntul să fie mai bine informați cu privire la posibilele alternative de livrare și să facă alegeri mai bune. Se așteaptă totodată ca platforma să dezvolte, pe termen mediu, o modalitate de a permite expeditorilor de volume mai mici să își consolideze transporturile, fapt care i-ar putea face eligibili pentru prețuri mai mici. Site-ul web al Comisiei care urmează să fie creat special în temeiul dispozițiilor prezentului regulament va conține un link direct la această platformă. </w:t>
      </w:r>
    </w:p>
    <w:p>
      <w:pPr>
        <w:rPr>
          <w:noProof/>
        </w:rPr>
      </w:pPr>
      <w:r>
        <w:rPr>
          <w:noProof/>
        </w:rPr>
        <w:t>În fine, anumiți operatori de comerț electronic cu amănuntul percep de la clienții lor un preț mai mare pentru livrare decât plătesc ei înșiși</w:t>
      </w:r>
      <w:r>
        <w:rPr>
          <w:rStyle w:val="FootnoteReference"/>
          <w:noProof/>
        </w:rPr>
        <w:footnoteReference w:id="21"/>
      </w:r>
      <w:r>
        <w:rPr>
          <w:noProof/>
        </w:rPr>
        <w:t>. Majorările de acest gen par a fi mai semnificative atunci când este vorba de livrări efectuate către alte țări sau către regiuni îndepărtate sau periferice din interiorul unei țări, de exemplu către insule. În timp ce unii operatori de servicii de livrare percep într-adevăr prețuri mai mari pentru livrările către zonele mai îndepărtate, acest lucru nu este valabil pentru toți: majoritatea furnizorilor de serviciu universal practică un tarif uniform pe întreg teritoriul lor național</w:t>
      </w:r>
      <w:r>
        <w:rPr>
          <w:rStyle w:val="FootnoteReference"/>
          <w:noProof/>
        </w:rPr>
        <w:footnoteReference w:id="22"/>
      </w:r>
      <w:r>
        <w:rPr>
          <w:noProof/>
        </w:rPr>
        <w:t>.</w:t>
      </w:r>
    </w:p>
    <w:p>
      <w:pPr>
        <w:pStyle w:val="ManualHeading2"/>
        <w:rPr>
          <w:noProof/>
        </w:rPr>
      </w:pPr>
      <w:r>
        <w:rPr>
          <w:noProof/>
        </w:rPr>
        <w:t>1.2.</w:t>
      </w:r>
      <w:r>
        <w:rPr>
          <w:noProof/>
        </w:rPr>
        <w:tab/>
        <w:t xml:space="preserve">Obiective </w:t>
      </w:r>
    </w:p>
    <w:p>
      <w:pPr>
        <w:spacing w:after="0"/>
        <w:rPr>
          <w:noProof/>
        </w:rPr>
      </w:pPr>
      <w:r>
        <w:rPr>
          <w:noProof/>
        </w:rPr>
        <w:t>Obiectivul general al prezentului regulament este de a aborda aspecte specifice legate de serviciile de livrare transfrontalieră de colete; prin urmare, el este complementar activităților specifice sectorului, de reglementare și de standardizare descrise mai sus. De asemenea, el are la bază normele privind serviciile de livrare transfrontalieră de colete prevăzute de Directiva 97/67/CE</w:t>
      </w:r>
      <w:r>
        <w:rPr>
          <w:rStyle w:val="FootnoteReference"/>
          <w:noProof/>
        </w:rPr>
        <w:footnoteReference w:id="23"/>
      </w:r>
      <w:r>
        <w:rPr>
          <w:noProof/>
        </w:rPr>
        <w:t>, modificată prin Directiva 2002/39/CE</w:t>
      </w:r>
      <w:r>
        <w:rPr>
          <w:rStyle w:val="FootnoteReference"/>
          <w:noProof/>
        </w:rPr>
        <w:footnoteReference w:id="24"/>
      </w:r>
      <w:r>
        <w:rPr>
          <w:noProof/>
        </w:rPr>
        <w:t xml:space="preserve"> și Directiva 2008/6/CE</w:t>
      </w:r>
      <w:r>
        <w:rPr>
          <w:rStyle w:val="FootnoteReference"/>
          <w:noProof/>
        </w:rPr>
        <w:footnoteReference w:id="25"/>
      </w:r>
      <w:r>
        <w:rPr>
          <w:noProof/>
        </w:rPr>
        <w:t xml:space="preserve"> (denumită în continuare „Directiva 97/67/CE”) și vine în completarea acestora.</w:t>
      </w:r>
    </w:p>
    <w:p>
      <w:pPr>
        <w:rPr>
          <w:noProof/>
        </w:rPr>
      </w:pPr>
      <w:r>
        <w:rPr>
          <w:noProof/>
        </w:rPr>
        <w:t xml:space="preserve">Obiectivele specifice ale propunerii sunt următoarele: </w:t>
      </w:r>
    </w:p>
    <w:p>
      <w:pPr>
        <w:rPr>
          <w:noProof/>
        </w:rPr>
      </w:pPr>
      <w:r>
        <w:rPr>
          <w:noProof/>
        </w:rPr>
        <w:t xml:space="preserve">1) eficientizarea funcționării piețelor a) printr-o supraveghere reglementară a piețelor de colete mai eficientă și mai coerentă și (b) prin stimularea concurenței; precum și </w:t>
      </w:r>
    </w:p>
    <w:p>
      <w:pPr>
        <w:rPr>
          <w:noProof/>
        </w:rPr>
      </w:pPr>
      <w:r>
        <w:rPr>
          <w:noProof/>
        </w:rPr>
        <w:t xml:space="preserve">2) creșterea transparenței tarifelor, cu scopul a) de a reduce diferențele tarifare nejustificate și b) de a reduce tarifele plătite de persoanele fizice și de întreprinderile mici, în special în zonele îndepărtate. </w:t>
      </w:r>
    </w:p>
    <w:p>
      <w:pPr>
        <w:rPr>
          <w:noProof/>
        </w:rPr>
      </w:pPr>
      <w:r>
        <w:rPr>
          <w:noProof/>
        </w:rPr>
        <w:t xml:space="preserve">Aceste obiective vin în sprijinul obiectivelor pieței unice digitale de a intensifica comerțul electronic transfrontalier și incluziunea digitală. </w:t>
      </w:r>
    </w:p>
    <w:p>
      <w:pPr>
        <w:pStyle w:val="ManualHeading2"/>
        <w:rPr>
          <w:noProof/>
        </w:rPr>
      </w:pPr>
      <w:r>
        <w:rPr>
          <w:noProof/>
        </w:rPr>
        <w:t>1.3.</w:t>
      </w:r>
      <w:r>
        <w:rPr>
          <w:noProof/>
        </w:rPr>
        <w:tab/>
        <w:t>Context politic</w:t>
      </w:r>
    </w:p>
    <w:p>
      <w:pPr>
        <w:rPr>
          <w:noProof/>
        </w:rPr>
      </w:pPr>
      <w:r>
        <w:rPr>
          <w:noProof/>
        </w:rPr>
        <w:t>Îmbunătățirea accesului online la bunuri și servicii digitale reprezintă unul dintre cei trei piloni ai Strategiei privind piața unică digitală, care constituie, la rândul său, una dintre cele zece priorități ale Comisiei Juncker. În cadrul Strategiei privind piața unică digitală, Comisia s-a angajat să lanseze, în prima jumătate a anului 2016, o serie de măsuri în vederea îmbunătățirii transparenței prețurilor și a supravegherii reglementare a serviciilor de livrare transfrontalieră de colete.</w:t>
      </w:r>
    </w:p>
    <w:p>
      <w:pPr>
        <w:rPr>
          <w:noProof/>
        </w:rPr>
      </w:pPr>
      <w:r>
        <w:rPr>
          <w:noProof/>
        </w:rPr>
        <w:t>În cadrul reuniunii din 25-26 iunie 2015, Consiliul European și-a exprimat sprijinul pentru Strategia privind piața unică digitală și a confirmat că ea ar trebui să fie utilizată pentru a promova creșterea economică favorabilă incluziunii în toate regiunile UE.</w:t>
      </w:r>
    </w:p>
    <w:p>
      <w:pPr>
        <w:rPr>
          <w:noProof/>
        </w:rPr>
      </w:pPr>
      <w:r>
        <w:rPr>
          <w:noProof/>
        </w:rPr>
        <w:t>Miniștrii din domeniul telecomunicațiilor au dezbătut Strategia privind piața unică digitală în cadrul reuniunii Consiliului Transporturi, Telecomunicații și Energie din 11-12 iunie 2015. Aceștia au salutat obiectivele strategiei și au reiterat importanța unei economii digitizate pentru a promova ocuparea forței de muncă și creșterea economică și pentru a stimula competitivitatea UE. A fost evidențiată necesitatea de a conferi mai multă transparență prețurilor de livrare de colete din întreaga UE.</w:t>
      </w:r>
    </w:p>
    <w:p>
      <w:pPr>
        <w:rPr>
          <w:noProof/>
        </w:rPr>
      </w:pPr>
      <w:r>
        <w:rPr>
          <w:noProof/>
        </w:rPr>
        <w:t>În comunicarea sa intitulată „Pregătirea unui act legislativ privind piața unică digitală”</w:t>
      </w:r>
      <w:r>
        <w:rPr>
          <w:rStyle w:val="FootnoteReference"/>
          <w:noProof/>
        </w:rPr>
        <w:footnoteReference w:id="26"/>
      </w:r>
      <w:r>
        <w:rPr>
          <w:noProof/>
        </w:rPr>
        <w:t>, Parlamentul European a subliniat faptul că serviciile de livrare accesibile, la prețuri rezonabile, eficiente și de înaltă calitate reprezintă o premisă fundamentală pentru un comerț electronic transfrontalier înfloritor. UE și-a exprimat totodată sprijinul pentru măsurile menite să îmbunătățească transparența prețurilor și supravegherea reglementară care vizează buna funcționare a piețelor de livrare transfrontalieră de colete.</w:t>
      </w:r>
    </w:p>
    <w:p>
      <w:pPr>
        <w:pStyle w:val="ManualHeading1"/>
        <w:rPr>
          <w:noProof/>
        </w:rPr>
      </w:pPr>
      <w:r>
        <w:rPr>
          <w:noProof/>
        </w:rPr>
        <w:t>2.</w:t>
      </w:r>
      <w:r>
        <w:rPr>
          <w:noProof/>
        </w:rPr>
        <w:tab/>
        <w:t>REZULTATELE CONSULTĂRILOR CU PĂRȚILE INTERESATE ȘI ALE EVALUĂRILOR IMPACTULUI</w:t>
      </w:r>
    </w:p>
    <w:p>
      <w:pPr>
        <w:pStyle w:val="ManualHeading2"/>
        <w:rPr>
          <w:noProof/>
        </w:rPr>
      </w:pPr>
      <w:r>
        <w:rPr>
          <w:noProof/>
        </w:rPr>
        <w:t>2.1.</w:t>
      </w:r>
      <w:r>
        <w:rPr>
          <w:noProof/>
        </w:rPr>
        <w:tab/>
        <w:t>Opiniile părților interesate</w:t>
      </w:r>
    </w:p>
    <w:p>
      <w:pPr>
        <w:pStyle w:val="Footnoterefernce"/>
        <w:rPr>
          <w:rStyle w:val="FootnoteReference"/>
          <w:noProof/>
        </w:rPr>
      </w:pPr>
      <w:r>
        <w:rPr>
          <w:noProof/>
        </w:rPr>
        <w:t>În perioada mai-august 2015, Comisia a organizat o consultare publică privind livrarea transfrontalieră de colete, la care a primit 361 de răspunsuri. Principalele probleme legate de livrare raportate de consumatori au fost incertitudinea sau imposibilitatea de a alege data și ora livrării, urmate de problema prețurilor. Se pare că peste două treimi dintre consumatorii care au luat în calcul efectuarea unei achiziții online, dar care au abandonat ulterior ideea din cauza preocupărilor legate de livrare, au procedat astfel din cauza prețurilor de livrare ridicate. Întreprinderile mai mici sunt mult mai susceptibile să fi fost nemulțumite de prețurile serviciilor de livrare. Operatorii poștali naționali au fost de părere că interoperabilitatea sistemelor este principala caracteristică care ar putea îmbunătăți serviciile de livrare, în timp ce numeroși alți operatori de servicii de livrare au declarat că intensificarea concurenței ar duce la progrese</w:t>
      </w:r>
      <w:r>
        <w:rPr>
          <w:rStyle w:val="FootnoteReference"/>
          <w:noProof/>
        </w:rPr>
        <w:footnoteReference w:id="27"/>
      </w:r>
      <w:r>
        <w:rPr>
          <w:noProof/>
        </w:rPr>
        <w:t>. Răspunsurile la consultare au fost în concordanță cu o serie de constatări ale sondajului</w:t>
      </w:r>
      <w:r>
        <w:rPr>
          <w:rStyle w:val="FootnoteReference"/>
          <w:noProof/>
        </w:rPr>
        <w:footnoteReference w:id="28"/>
      </w:r>
      <w:r>
        <w:rPr>
          <w:noProof/>
        </w:rPr>
        <w:t>.</w:t>
      </w:r>
    </w:p>
    <w:p>
      <w:pPr>
        <w:autoSpaceDE w:val="0"/>
        <w:autoSpaceDN w:val="0"/>
        <w:adjustRightInd w:val="0"/>
        <w:spacing w:after="0"/>
        <w:rPr>
          <w:noProof/>
        </w:rPr>
      </w:pPr>
      <w:r>
        <w:rPr>
          <w:noProof/>
        </w:rPr>
        <w:t xml:space="preserve">În cadrul atelierului organizat la 18 luni de la publicarea Foii de parcurs privind coletele din 2013, operatorii de comerț electronic cu amănuntul au explicat că, deși consideră că serviciile de livrare oferite s-au îmbunătățit, mai rămân multe de făcut. Tarifele ridicate pentru livrările și retururile transfrontaliere au fost evidențiate drept preocupări deosebite, la acestea adăugându-se interoperabilitatea scăzută și dificultatea de a recurge la furnizori de servicii de livrare diferiți și de a trece de la unul la altul. În cadrul reuniunii din iunie 2015 a Comitetului responsabil cu directiva privind serviciile poștale, au fost raportate diferitele abordări adoptate de autoritățile naționale de reglementare în ceea ce privește piața serviciilor de livrare de colete, recurgându-se totodată și la reuniunile anterioare ale Comitetului responsabil cu directiva privind serviciile poștale pentru a discuta despre aspectele legate de piața livrării transfrontaliere de colete în urma adoptării Cărții verzi din 2012. </w:t>
      </w:r>
    </w:p>
    <w:p>
      <w:pPr>
        <w:pStyle w:val="ManualHeading2"/>
        <w:rPr>
          <w:noProof/>
        </w:rPr>
      </w:pPr>
      <w:r>
        <w:rPr>
          <w:noProof/>
        </w:rPr>
        <w:t>2.2.</w:t>
      </w:r>
      <w:r>
        <w:rPr>
          <w:noProof/>
        </w:rPr>
        <w:tab/>
        <w:t>Expertiză</w:t>
      </w:r>
    </w:p>
    <w:p>
      <w:pPr>
        <w:rPr>
          <w:noProof/>
        </w:rPr>
      </w:pPr>
      <w:r>
        <w:rPr>
          <w:i/>
          <w:noProof/>
        </w:rPr>
        <w:t>FTI Consulting</w:t>
      </w:r>
      <w:r>
        <w:rPr>
          <w:rStyle w:val="FootnoteReference"/>
          <w:noProof/>
        </w:rPr>
        <w:footnoteReference w:id="29"/>
      </w:r>
      <w:r>
        <w:rPr>
          <w:noProof/>
        </w:rPr>
        <w:t xml:space="preserve"> a constatat că furnizorii de serviciu universal dețin putere de piață în cadrul pieței transfrontaliere de colete pentru expeditorii ocazionali mici. </w:t>
      </w:r>
      <w:r>
        <w:rPr>
          <w:i/>
          <w:noProof/>
        </w:rPr>
        <w:t>Copenhagen Economics</w:t>
      </w:r>
      <w:r>
        <w:rPr>
          <w:rStyle w:val="FootnoteReference"/>
          <w:noProof/>
        </w:rPr>
        <w:footnoteReference w:id="30"/>
      </w:r>
      <w:r>
        <w:rPr>
          <w:noProof/>
        </w:rPr>
        <w:t xml:space="preserve"> a stabilit că prețurile pentru livrările transfrontaliere au fost adesea de trei până la de cinci ori mai mari decât echivalentele lor naționale. Universitatea St Louis a concluzionat că prețurile publicate pentru livrarea transfrontalieră de colete practicate de furnizorii de serviciu universal (plătite de persoanele fizice și de întreprinderile mici) au fost de aproape cinci ori mai mari decât echivalentele lor naționale și că forța de muncă sau alte costuri din țara de destinație nu au părut să influențeze din punct de vedere statistic diferența de preț la nivel transfrontalier</w:t>
      </w:r>
      <w:r>
        <w:rPr>
          <w:rStyle w:val="FootnoteReference"/>
          <w:noProof/>
        </w:rPr>
        <w:footnoteReference w:id="31"/>
      </w:r>
      <w:r>
        <w:rPr>
          <w:noProof/>
        </w:rPr>
        <w:t>.</w:t>
      </w:r>
    </w:p>
    <w:p>
      <w:pPr>
        <w:rPr>
          <w:noProof/>
        </w:rPr>
      </w:pPr>
      <w:r>
        <w:rPr>
          <w:noProof/>
        </w:rPr>
        <w:t xml:space="preserve">Grupul autorităților europene de reglementare din domeniul serviciilor poștale (ERGP - </w:t>
      </w:r>
      <w:r>
        <w:rPr>
          <w:i/>
          <w:noProof/>
        </w:rPr>
        <w:t>European's Regulators Group for Postal Services</w:t>
      </w:r>
      <w:r>
        <w:rPr>
          <w:noProof/>
        </w:rPr>
        <w:t>) a examinat o serie de chestiuni referitoare la livrarea transfrontalieră de colete, inclusiv regimurile juridice</w:t>
      </w:r>
      <w:r>
        <w:rPr>
          <w:rStyle w:val="FootnoteReference"/>
          <w:noProof/>
        </w:rPr>
        <w:footnoteReference w:id="32"/>
      </w:r>
      <w:r>
        <w:rPr>
          <w:noProof/>
        </w:rPr>
        <w:t>, natura pieței și funcționarea concurenței</w:t>
      </w:r>
      <w:r>
        <w:rPr>
          <w:rStyle w:val="FootnoteReference"/>
          <w:noProof/>
        </w:rPr>
        <w:footnoteReference w:id="33"/>
      </w:r>
      <w:r>
        <w:rPr>
          <w:noProof/>
        </w:rPr>
        <w:t xml:space="preserve"> și analiza pieței</w:t>
      </w:r>
      <w:r>
        <w:rPr>
          <w:rStyle w:val="FootnoteReference"/>
          <w:noProof/>
        </w:rPr>
        <w:footnoteReference w:id="34"/>
      </w:r>
      <w:r>
        <w:rPr>
          <w:noProof/>
        </w:rPr>
        <w:t>. În 2015, a fost creat un grup de lucru comun împreună cu Organismul Autorităților Europene de Reglementare în Domeniul Comunicațiilor Electronice (OAREC), având obiectivul de a analiza dacă respectivele cunoștințe în materie de reglementare din sectorul comunicațiilor electronice ar putea fi transferate către sectorul de colete</w:t>
      </w:r>
      <w:r>
        <w:rPr>
          <w:rStyle w:val="FootnoteReference"/>
          <w:noProof/>
        </w:rPr>
        <w:footnoteReference w:id="35"/>
      </w:r>
      <w:r>
        <w:rPr>
          <w:noProof/>
        </w:rPr>
        <w:t>. Un studiu realizat de Universitatea din Anvers a constatat lipsa datelor privind piața de colete din UE</w:t>
      </w:r>
      <w:r>
        <w:rPr>
          <w:rStyle w:val="FootnoteReference"/>
          <w:noProof/>
        </w:rPr>
        <w:footnoteReference w:id="36"/>
      </w:r>
      <w:r>
        <w:rPr>
          <w:noProof/>
        </w:rPr>
        <w:t>.</w:t>
      </w:r>
    </w:p>
    <w:p>
      <w:pPr>
        <w:pStyle w:val="ManualHeading2"/>
        <w:rPr>
          <w:noProof/>
        </w:rPr>
      </w:pPr>
      <w:r>
        <w:rPr>
          <w:noProof/>
        </w:rPr>
        <w:t>2.3.</w:t>
      </w:r>
      <w:r>
        <w:rPr>
          <w:noProof/>
        </w:rPr>
        <w:tab/>
        <w:t>Evaluarea impactului propunerii de regulament</w:t>
      </w:r>
    </w:p>
    <w:p>
      <w:pPr>
        <w:rPr>
          <w:noProof/>
        </w:rPr>
      </w:pPr>
      <w:r>
        <w:rPr>
          <w:noProof/>
        </w:rPr>
        <w:t xml:space="preserve">În conformitate cu politica sa pentru „o mai bună reglementare”, Comisia a efectuat o evaluare a impactului diferitelor opțiuni de politică existente. </w:t>
      </w:r>
    </w:p>
    <w:p>
      <w:pPr>
        <w:spacing w:after="0"/>
        <w:rPr>
          <w:noProof/>
        </w:rPr>
      </w:pPr>
      <w:r>
        <w:rPr>
          <w:noProof/>
        </w:rPr>
        <w:t>Au fost examinate cinci grupuri de opțiuni de politică. Măsurile suplimentare care ar putea duce la o consolidare a volumelor de colete provenind de la micii comercianți cu amănuntul au fost respinse, deoarece se preconizează că platforma de informare finanțată prin COSME va dezvolta această capacitate pentru comercianții cu amănuntul mai mici. Reglementarea prețurilor a fost respinsă ca opțiune, întrucât aceasta ar risca să denatureze concurența într-un mediu de piață complex, în special având în vedere lipsa de cunoștințe în materie de reglementare și de piață ale sectorului. Mai mult, există diferențe semnificative între sectoarele telecomunicațiilor și al coletelor, spre exemplu în ceea ce privește structurile de cost, fapt confirmat de Raportul comun al ERGP/OAREC. Menținerea scenariului de referință a fost, de asemenea, respins, deoarece măsurile adoptate până în prezent nu au condus la îmbunătățirea caracterului abordabil sau a supravegherii reglementare a serviciilor transfrontaliere de colete.</w:t>
      </w:r>
    </w:p>
    <w:p>
      <w:pPr>
        <w:spacing w:after="0"/>
        <w:rPr>
          <w:noProof/>
        </w:rPr>
      </w:pPr>
      <w:r>
        <w:rPr>
          <w:noProof/>
        </w:rPr>
        <w:t>Au fost reținute două grupuri de opțiuni, care se concentrează pe transparența prețurilor și pe supravegherea reglementară. Îmbunătățirea transparenței prețurilor pe care operatorii poștali le negociază în mod individual cu operatorii de comerț electronic cu amănuntul mai mari</w:t>
      </w:r>
      <w:r>
        <w:rPr>
          <w:rStyle w:val="FootnoteReference"/>
          <w:noProof/>
        </w:rPr>
        <w:footnoteReference w:id="37"/>
      </w:r>
      <w:r>
        <w:rPr>
          <w:noProof/>
        </w:rPr>
        <w:t xml:space="preserve"> a fost respinsă, deoarece expeditorii mai mari pot beneficia de tarife reduse și negociate. Cerința conform căreia operatorii de comerț electronic cu amănuntul trebuie să publice prețurile pe care le plătesc operatorilor de servicii de livrare a fost, de asemenea, abandonată. Cerința ca toți operatorii să notifice în prealabil autorităților naționale de reglementare orice modificări de prețuri a fost respinsă, deoarece ea ar reprezenta o povară administrativă și ar putea descuraja investițiile și inovarea. </w:t>
      </w:r>
    </w:p>
    <w:p>
      <w:pPr>
        <w:spacing w:after="0"/>
        <w:rPr>
          <w:noProof/>
        </w:rPr>
      </w:pPr>
      <w:r>
        <w:rPr>
          <w:noProof/>
        </w:rPr>
        <w:t xml:space="preserve">Evaluarea impactului a recomandat un pachet de măsuri în vederea îmbunătățirii transparenței tarifelor practicate de furnizorii de serviciu universal și a consolidării supravegherii reglementare a tuturor furnizorilor de servicii de livrare de colete, contribuind la activitatea mai vastă de îmbunătățire a calității și a accesibilității serviciilor de livrare transfrontalieră. </w:t>
      </w:r>
      <w:r>
        <w:rPr>
          <w:rStyle w:val="FootnoteReference"/>
          <w:noProof/>
        </w:rPr>
        <w:footnoteReference w:id="38"/>
      </w:r>
    </w:p>
    <w:p>
      <w:pPr>
        <w:spacing w:after="0"/>
        <w:rPr>
          <w:noProof/>
        </w:rPr>
      </w:pPr>
      <w:r>
        <w:rPr>
          <w:noProof/>
        </w:rPr>
        <w:t xml:space="preserve">Opțiunile preferate nu ar avea un impact social negativ direct sau indirect. În mod indirect, intensificarea comerțului electronic ca urmare a îmbunătățirii caracterului abordabil al prețurilor de livrare ar avea un impact pozitiv asupra creșterii economice, asupra ocupării forței de muncă și asupra bunăstării consumatorilor, în special pentru utilizatorii vulnerabili din zonele periferice. </w:t>
      </w:r>
    </w:p>
    <w:p>
      <w:pPr>
        <w:spacing w:after="0"/>
        <w:rPr>
          <w:noProof/>
        </w:rPr>
      </w:pPr>
      <w:r>
        <w:rPr>
          <w:noProof/>
        </w:rPr>
        <w:t>Nu se preconizează efecte directe asupra mediului. În mod indirect, o accentuare a eficacității pieței ca urmare a creșterii transparenței prețurilor ar putea compensa eventualele efecte negative asupra mediului (de exemplu, mai multe emisii ale vehiculelor) cu efecte pozitive (de exemplu, un sistem de transport de marfă în comun). Nu se preconizează efecte negative asupra drepturilor fundamentale.</w:t>
      </w:r>
    </w:p>
    <w:p>
      <w:pPr>
        <w:pStyle w:val="ManualHeading1"/>
        <w:rPr>
          <w:noProof/>
        </w:rPr>
      </w:pPr>
      <w:r>
        <w:rPr>
          <w:noProof/>
        </w:rPr>
        <w:t>3.</w:t>
      </w:r>
      <w:r>
        <w:rPr>
          <w:noProof/>
        </w:rPr>
        <w:tab/>
        <w:t>ELEMENTELE JURIDICE ALE PROPUNERII</w:t>
      </w:r>
    </w:p>
    <w:p>
      <w:pPr>
        <w:pStyle w:val="ManualHeading2"/>
        <w:rPr>
          <w:noProof/>
        </w:rPr>
      </w:pPr>
      <w:r>
        <w:rPr>
          <w:noProof/>
        </w:rPr>
        <w:t>3.1.</w:t>
      </w:r>
      <w:r>
        <w:rPr>
          <w:noProof/>
        </w:rPr>
        <w:tab/>
        <w:t>Temei juridic</w:t>
      </w:r>
    </w:p>
    <w:p>
      <w:pPr>
        <w:rPr>
          <w:noProof/>
        </w:rPr>
      </w:pPr>
      <w:r>
        <w:rPr>
          <w:noProof/>
        </w:rPr>
        <w:t>Propunerea se bazează pe articolul 114 din Tratatul privind funcționarea Uniunii Europene, deoarece face referire la piața internă a serviciilor de livrare a coletelor și la funcționarea acesteia.</w:t>
      </w:r>
    </w:p>
    <w:p>
      <w:pPr>
        <w:pStyle w:val="ManualHeading2"/>
        <w:rPr>
          <w:noProof/>
        </w:rPr>
      </w:pPr>
      <w:r>
        <w:rPr>
          <w:noProof/>
        </w:rPr>
        <w:t>3.2.</w:t>
      </w:r>
      <w:r>
        <w:rPr>
          <w:noProof/>
        </w:rPr>
        <w:tab/>
        <w:t>Subsidiaritatea</w:t>
      </w:r>
    </w:p>
    <w:p>
      <w:pPr>
        <w:spacing w:after="0"/>
        <w:rPr>
          <w:noProof/>
        </w:rPr>
      </w:pPr>
      <w:r>
        <w:rPr>
          <w:noProof/>
        </w:rPr>
        <w:t>Cadrul de reglementare actual (Directiva 97/67/CE) nu a fost pus în aplicare într-un mod care să permită furnizarea de servicii transfrontaliere de colete la prețuri accesibile pe întreg teritoriul Uniunii Europene, dincolo de serviciul poștal universal</w:t>
      </w:r>
      <w:r>
        <w:rPr>
          <w:rStyle w:val="FootnoteReference"/>
          <w:noProof/>
        </w:rPr>
        <w:footnoteReference w:id="39"/>
      </w:r>
      <w:r>
        <w:rPr>
          <w:noProof/>
        </w:rPr>
        <w:t>. Livrarea transfrontalieră presupune, prin însăși natura sa, furnizarea de servicii de livrare în mai multe state membre și, prin urmare, nu poate fi verificată de autoritățile naționale de reglementare care acționează separat și fără informații referitoare la costurile de livrare practicate în alte state membre, cum ar fi, de exemplu, ratele terminale pe care operatorul din statul membru de destinație le percepe de la operatorul din statul membru de origine. Sunt necesare măsuri la nivelul Uniunii pentru a aborda cauzele subiacente ale acestei probleme. Autoritățile naționale de reglementare sunt desemnate să evalueze dacă serviciile transfrontaliere sunt accesibile, în lumina condițiilor de piață din statul membru în cauză.</w:t>
      </w:r>
    </w:p>
    <w:p>
      <w:pPr>
        <w:spacing w:after="0"/>
        <w:rPr>
          <w:noProof/>
        </w:rPr>
      </w:pPr>
      <w:r>
        <w:rPr>
          <w:noProof/>
        </w:rPr>
        <w:t>Mai mult, divergențele în ceea ce privește normele naționale care reglementează supravegherea reglementară a operatorilor de colete, deși compatibile cu Directiva 97/67/CE, creează o situație de insecuritate juridică și ridică obstacole în calea pieței unice a serviciilor poștale. Sunt necesare măsuri la nivelul Uniunii pentru a stabili cerințe minime privind supravegherea reglementară a tuturor furnizorilor de servicii poștale în întreaga Uniune și, prin urmare, pentru a se evita fragmentarea la nivel de reglementare</w:t>
      </w:r>
      <w:r>
        <w:rPr>
          <w:rStyle w:val="FootnoteReference"/>
          <w:noProof/>
        </w:rPr>
        <w:footnoteReference w:id="40"/>
      </w:r>
      <w:r>
        <w:rPr>
          <w:noProof/>
        </w:rPr>
        <w:t>. Principiul subsidiarității este respectat, deoarece intervenția Uniunii este necesară pentru eliminarea obstacolelor specificate din calea pieței interne.</w:t>
      </w:r>
    </w:p>
    <w:p>
      <w:pPr>
        <w:pStyle w:val="ManualHeading2"/>
        <w:rPr>
          <w:noProof/>
        </w:rPr>
      </w:pPr>
      <w:r>
        <w:rPr>
          <w:noProof/>
        </w:rPr>
        <w:t>3.3.</w:t>
      </w:r>
      <w:r>
        <w:rPr>
          <w:noProof/>
        </w:rPr>
        <w:tab/>
        <w:t>Proporționalitatea</w:t>
      </w:r>
    </w:p>
    <w:p>
      <w:pPr>
        <w:spacing w:after="0"/>
        <w:rPr>
          <w:noProof/>
        </w:rPr>
      </w:pPr>
      <w:r>
        <w:rPr>
          <w:noProof/>
        </w:rPr>
        <w:t>Măsurile luate de Uniune și propuse prin prezentul regulament se limitează la ceea ce este necesar pentru îndeplinirea obiectivelor identificate. Autoreglementarea de către operatorii de servicii de livrare de colete nu a dus la modificări ale supravegherii reglementare, la transparența tarifelor și la progrese concrete în ceea ce privește caracterul abordabil al serviciilor de livrare transfrontalieră de colete pentru expeditorii mici.</w:t>
      </w:r>
    </w:p>
    <w:p>
      <w:pPr>
        <w:spacing w:after="0"/>
        <w:rPr>
          <w:noProof/>
        </w:rPr>
      </w:pPr>
      <w:r>
        <w:rPr>
          <w:noProof/>
        </w:rPr>
        <w:t xml:space="preserve">Măsurile de îmbunătățire a transparenței tarifelor sunt proporționale, deoarece ele sunt limitate și vizează în principal segmentele de piață în care există dovezi legate de numărul limitat de opțiuni, care, împreună cu caracteristicile structurale ale piețelor de livrare transfrontalieră de colete (de exemplu, costuri nerecuperabile ridicate; economii de scară), duc la prețuri ridicate ale serviciilor de livrare transfrontalieră pentru expeditorii de volume mici. Prețurile negociate separat din punct de vedere comercial, utilizate în principal de operatorii de comerț electronic cu amănuntul mai mari (și, de asemenea, oferite de alți operatori decât furnizorii de serviciu universal), se află în afara domeniului de aplicare al măsurii de asigurare a transparenței prețurilor, deși controalele </w:t>
      </w:r>
      <w:r>
        <w:rPr>
          <w:i/>
          <w:noProof/>
        </w:rPr>
        <w:t>ex post</w:t>
      </w:r>
      <w:r>
        <w:rPr>
          <w:noProof/>
        </w:rPr>
        <w:t xml:space="preserve"> în domeniul concurenței vor continua să acopere toți operatorii și toate segmentele de piață. Coletele care intră în domeniul de aplicare al obligației de serviciu universal, care prevede ca tarifele să fie abordabile, orientate în funcție de costuri, transparente și nediscriminatorii, diferă de la un stat membru la altul, astfel încât aceste servicii nu pot fi comparate direct în întreaga Uniune, iar aplicarea Directivei 97/67/CE nu ar duce la rezultatele dorite. </w:t>
      </w:r>
    </w:p>
    <w:p>
      <w:pPr>
        <w:spacing w:after="0"/>
        <w:rPr>
          <w:noProof/>
        </w:rPr>
      </w:pPr>
      <w:r>
        <w:rPr>
          <w:noProof/>
        </w:rPr>
        <w:t>Întreprinderile mici și microîntreprinderile (operatorii de livrare cu mai puțin de 50 de angajați), care sunt stabilite într-un singur stat membru, vor fi scutite de la aceasta, pentru a reduce la minimum povara administrativă asupra întreprinderilor mici care nu desfășoară activități transfrontaliere. Pentru coletele care intră în domeniul de aplicare al măsurii, prezentul regulament va aduce o mai mare certitudine în legătură cu obligațiile juridice și va evita fragmentarea la nivelul întregii Uniuni.</w:t>
      </w:r>
    </w:p>
    <w:p>
      <w:pPr>
        <w:pStyle w:val="ManualHeading2"/>
        <w:rPr>
          <w:noProof/>
        </w:rPr>
      </w:pPr>
      <w:r>
        <w:rPr>
          <w:noProof/>
        </w:rPr>
        <w:t>3.4.</w:t>
      </w:r>
      <w:r>
        <w:rPr>
          <w:noProof/>
        </w:rPr>
        <w:tab/>
        <w:t>Alegerea instrumentului</w:t>
      </w:r>
    </w:p>
    <w:p>
      <w:pPr>
        <w:spacing w:after="0"/>
        <w:rPr>
          <w:noProof/>
        </w:rPr>
      </w:pPr>
      <w:r>
        <w:rPr>
          <w:noProof/>
        </w:rPr>
        <w:t>Comisia propune un regulament, deoarece acesta asigură eliminarea obstacolelor din calea pieței unice prin completarea cadrului de reglementare existent pentru serviciile poștale. Regulamentul include, în special, obligații specifice aplicabile în mod direct pentru autoritățile naționale de reglementare și pentru furnizorii de servicii de livrare de colete; de asemenea, el include un mecanism la nivel european menit să asigure transparența și să evalueze caracterul abordabil al tarifelor pentru livrarea transfrontalieră de colete. Mai mult, un regulament permite luarea de măsuri rapide și reduce la minimum povara administrativă în materie de transpunere pentru statele membre, prevenind totodată eventuala fragmentare a cadrului de reglementare care ar putea rezulta din alte instrumente juridice (de exemplu, o directivă).</w:t>
      </w:r>
    </w:p>
    <w:p>
      <w:pPr>
        <w:pStyle w:val="ManualHeading2"/>
        <w:rPr>
          <w:noProof/>
        </w:rPr>
      </w:pPr>
      <w:r>
        <w:rPr>
          <w:noProof/>
        </w:rPr>
        <w:t>3.5.</w:t>
      </w:r>
      <w:r>
        <w:rPr>
          <w:noProof/>
        </w:rPr>
        <w:tab/>
        <w:t>Structura propunerii și principalele drepturi și obligații</w:t>
      </w:r>
    </w:p>
    <w:p>
      <w:pPr>
        <w:ind w:firstLine="720"/>
        <w:rPr>
          <w:b/>
          <w:noProof/>
        </w:rPr>
      </w:pPr>
      <w:r>
        <w:rPr>
          <w:b/>
          <w:noProof/>
        </w:rPr>
        <w:t>Obiect, domeniu de aplicare și definiții (articolele 1 și 2)</w:t>
      </w:r>
    </w:p>
    <w:p>
      <w:pPr>
        <w:rPr>
          <w:noProof/>
        </w:rPr>
      </w:pPr>
      <w:r>
        <w:rPr>
          <w:noProof/>
        </w:rPr>
        <w:t>Articolele 1 și 2 conțin dispozițiile generale cu privire la obiect și la domeniul de aplicare, inclusiv definițiile relevante. Definițiile sunt complementare celor prevăzute la articolul 2 din Directiva 97/67/CE în ceea ce privește coletele; acestea sunt pe deplin coerente cu cele stabilite în directivă. Astfel cum prevăd dispozițiile relevante adoptate de UPU, termenul de rate terminale este utilizat pentru a acoperi atât cheltuielile terminale (care se aplică scrisorilor</w:t>
      </w:r>
      <w:r>
        <w:rPr>
          <w:rStyle w:val="FootnoteReference"/>
          <w:noProof/>
        </w:rPr>
        <w:footnoteReference w:id="41"/>
      </w:r>
      <w:r>
        <w:rPr>
          <w:noProof/>
        </w:rPr>
        <w:t>), cât și cotele-părți teritoriale de sosire (</w:t>
      </w:r>
      <w:r>
        <w:rPr>
          <w:i/>
          <w:noProof/>
        </w:rPr>
        <w:t>inward land rates</w:t>
      </w:r>
      <w:r>
        <w:rPr>
          <w:noProof/>
        </w:rPr>
        <w:t>) (care se aplică coletelor</w:t>
      </w:r>
      <w:r>
        <w:rPr>
          <w:rStyle w:val="FootnoteReference"/>
          <w:noProof/>
        </w:rPr>
        <w:footnoteReference w:id="42"/>
      </w:r>
      <w:r>
        <w:rPr>
          <w:noProof/>
        </w:rPr>
        <w:t>). În conformitate cu practica relevantă a furnizorilor de servicii de colete și a statelor membre, coletele luate în considerare în domeniul de aplicare al prezentului regulament sunt cele cu o greutate maximă de 31,5 kg. Prin urmare, prezentul regulament nu se va aplica logisticii; de asemenea, el nu se va aplica transportului privit în mod individual, adică independent de vămuire, sortare sau distribuire</w:t>
      </w:r>
      <w:r>
        <w:rPr>
          <w:rStyle w:val="FootnoteReference"/>
          <w:noProof/>
        </w:rPr>
        <w:footnoteReference w:id="43"/>
      </w:r>
      <w:r>
        <w:rPr>
          <w:noProof/>
        </w:rPr>
        <w:t>. Totodată, în deplină conformitate cu dispozițiile corespunzătoare ale Directivei 97/67/CE, în special articolul 2 alineatele (1) și (1a)</w:t>
      </w:r>
      <w:r>
        <w:rPr>
          <w:rStyle w:val="FootnoteReference"/>
          <w:noProof/>
        </w:rPr>
        <w:footnoteReference w:id="44"/>
      </w:r>
      <w:r>
        <w:rPr>
          <w:noProof/>
        </w:rPr>
        <w:t>, nu există nicio cerință ca toate activitățile desfășurate în temeiul articolului 2 alineatul (2) literele (a) și (b) să fie efectuate în mod cumulativ.</w:t>
      </w:r>
    </w:p>
    <w:p>
      <w:pPr>
        <w:ind w:firstLine="720"/>
        <w:rPr>
          <w:b/>
          <w:noProof/>
        </w:rPr>
      </w:pPr>
      <w:r>
        <w:rPr>
          <w:b/>
          <w:noProof/>
        </w:rPr>
        <w:t>Furnizarea de informații (articolul 3)</w:t>
      </w:r>
    </w:p>
    <w:p>
      <w:pPr>
        <w:rPr>
          <w:noProof/>
        </w:rPr>
      </w:pPr>
      <w:r>
        <w:rPr>
          <w:noProof/>
        </w:rPr>
        <w:t xml:space="preserve">Această dispoziție clarifică faptul că furnizarea de informații către autoritățile naționale de reglementare se aplică tuturor furnizorilor de servicii de livrare de colete dincolo de pragul de 50 de angajați, precum și celor care sunt stabiliți în mai multe state membre. Aceasta obligă autoritățile naționale de reglementare să monitorizeze piața și să colecteze un set limitat de date statistice. Ar urma să fie incluși numai operatorii mai mari, în afara celor stabiliți în mai multe state membre și care, prin urmare, furnizează servicii transfrontaliere, astfel încât să se garanteze că autoritățile naționale de reglementare dispun de datele de bază referitoare la gama de colete utilizate pentru comerțul electronic. Respectiva dispoziție îi obligă pe toți furnizorii de servicii de livrare de colete cu peste 50 de angajați să transmită anual un set limitat de informații. Obiectivul este de a unifica și de a clarifica competențele de reglementare, actualmente fragmentate, și de a ține seama de cele mai bune practici existente. În plus, aceste obligații mai coerente sunt și în interesul furnizorilor de servicii de livrare paneuropeană de colete, care fac în prezent obiectul unor cereri de informații diferite din partea unor state membre diferite. Deși cerințele privind informațiile de bază sunt definite la articolul 3, ele vor fi adoptate în forma lor finală prin intermediul actului de punere în aplicare. În acest sens, ERGP ar trebui să ofere consultanță tehnică, Comisiei urmând să îi revină sarcina de a stabili forma pe care aceasta o va lua. </w:t>
      </w:r>
    </w:p>
    <w:p>
      <w:pPr>
        <w:ind w:firstLine="720"/>
        <w:rPr>
          <w:b/>
          <w:noProof/>
        </w:rPr>
      </w:pPr>
      <w:r>
        <w:rPr>
          <w:b/>
          <w:noProof/>
        </w:rPr>
        <w:t>Transparența tarifelor și a ratelor terminale (articolul 4 și anexa)</w:t>
      </w:r>
    </w:p>
    <w:p>
      <w:pPr>
        <w:rPr>
          <w:bCs/>
          <w:noProof/>
        </w:rPr>
      </w:pPr>
      <w:r>
        <w:rPr>
          <w:noProof/>
        </w:rPr>
        <w:t>Articolul 4 alineatul (1) conține obligația furnizorilor de serviciu universal de a transmite anual autorității naționale de reglementare, cel târziu la data de 31 ianuarie, lista publică a tarifelor aplicabile începând cu 1 ianuarie a fiecărui an calendaristic pentru setul specific de servicii din anexă. Cele 15 trimiteri poștale furnizate de furnizorii de serviciu universal cuprinse în anexă sunt cele mai relevante pentru clienții individuali și întreprinderile mici și cele mai utilizate de către aceștia. Alți furnizori de servicii de livrare de colete nu intră în domeniul de aplicare al acestei dispoziții specifice, având în vedere că aceștia se axează, în principiu, pe segmente de piață diferite (și anume, servicii între întreprinderi și operatori de comerț electronic cu amănuntul mai mari). Deși nu toate trimiterile menționate la literele (a) - (o) din anexă ar putea fi furnizate de toți furnizorii de serviciu universal, lista conține cele mai relevante trimiteri prin curierat obișnuit (</w:t>
      </w:r>
      <w:r>
        <w:rPr>
          <w:i/>
          <w:noProof/>
        </w:rPr>
        <w:t>non-express</w:t>
      </w:r>
      <w:r>
        <w:rPr>
          <w:noProof/>
        </w:rPr>
        <w:t xml:space="preserve">) care sunt utilizate în comerțul electronic național și transfrontalier și care sunt, în principiu, disponibile pentru toți cetățenii Uniunii, indiferent de locul unde se află. Această dispoziție referitoare la informarea periodică a autorităților naționale de reglementare în legătură cu tarifele furnizează un set de date incontestabile pentru (a) publicarea pe un site web special creat care va fi găzduit de Comisie și pentru (b) evaluarea caracterului lor abordabil în temeiul articolului 5. </w:t>
      </w:r>
    </w:p>
    <w:p>
      <w:pPr>
        <w:rPr>
          <w:bCs/>
          <w:noProof/>
        </w:rPr>
      </w:pPr>
      <w:r>
        <w:rPr>
          <w:noProof/>
        </w:rPr>
        <w:t xml:space="preserve">Această obligație este limitată la lista publică a tarifelor și, prin urmare, nu include tarifele reduse sau tarifele negociate individual (care fac obiectul unor considerații de ordin comercial). Comisia va publica tarifele până la data de 30 aprilie a fiecărui an calendaristic într-o secțiune creată special pe site-ul web EUROPA al Comisiei. Acest site web nu are un caracter comercial și, în principiu, el nu este menit să conțină date de la alți furnizori, nici de la furnizorii de servicii de curierat rapid. Cu toate acestea, furnizorii de servicii de livrare, alții decât furnizorii de serviciu universal pot, de asemenea, în mod voluntar, să solicite publicarea pe site-ul web a tarifelor lor pentru serviciile de livrare, atât timp cât serviciile de livrare în cauză sunt comparabile și fac obiectul livrării la domiciliu sau la sediul destinatarului, precum și atât timp cât sunt îndeplinite alte criterii aplicabile (a se vedea, de asemenea, considerentul 14). </w:t>
      </w:r>
    </w:p>
    <w:p>
      <w:pPr>
        <w:rPr>
          <w:bCs/>
          <w:noProof/>
        </w:rPr>
      </w:pPr>
      <w:r>
        <w:rPr>
          <w:noProof/>
        </w:rPr>
        <w:t xml:space="preserve">Mai mult, în temeiul articolului 4 alineatele (3) și (4), furnizorii de serviciu universal ar trebui să transmită anual autorităților naționale de reglementare - și, la rândul său, Comisiei - ratele lor terminale (și anume, plățile provenite de la furnizorul de serviciu universal de origine către furnizorul de serviciu universal de destinație pentru costurile cu transportul, sortarea și distribuirea trimiterilor transfrontaliere în statul membru de destinație). Deoarece aceste date au un caracter sensibil din punct de vedere comercial, ele nu vor fi publicate, ci doar vor constitui un punct de plecare pentru tarifele totale. Cu toate acestea, este esențial ca autoritățile naționale de reglementare și Comisia să aibă acces la ratele terminale și să fie la curent cu acestea, deoarece ele furnizează informațiile necesare pentru evaluarea caracterului abordabil în temeiul articolului 5. Furnizarea atât de tarife, cât și de rate terminale constituie o sarcină administrativă foarte limitată pentru furnizorii de serviciu universal. </w:t>
      </w:r>
    </w:p>
    <w:p>
      <w:pPr>
        <w:ind w:firstLine="720"/>
        <w:rPr>
          <w:b/>
          <w:noProof/>
        </w:rPr>
      </w:pPr>
      <w:r>
        <w:rPr>
          <w:b/>
          <w:noProof/>
        </w:rPr>
        <w:t xml:space="preserve">Evaluarea caracterului abordabil al tarifelor (articolul 5) </w:t>
      </w:r>
    </w:p>
    <w:p>
      <w:pPr>
        <w:rPr>
          <w:noProof/>
        </w:rPr>
      </w:pPr>
      <w:r>
        <w:rPr>
          <w:noProof/>
        </w:rPr>
        <w:t>Articolul 5 alineatul (1) obligă autoritățile naționale de reglementare să evalueze caracterul abordabil al tarifelor practicate de furnizorii de serviciu universal obținute în temeiul articolului 4 alineatul (1) pe baza unor elemente obiective. Cele mai importante și mai generice contribuții la această evaluare fac obiectul unei liste neexhaustive prezentate la literele (a) - (c). Printre acestea se numără criterii comune cum ar fi tarifele naționale practicate de furnizorii de serviciu universal, originea și destinația serviciului universal sau nivelul ratelor terminale. Ele pot fi completate de alte criterii având o relevanță deosebită pentru explicarea tarifelor în cauză, cum ar fi costurile specifice cu transportul, costurile cu manipularea sau volumele bilaterale între furnizorii de servicii de livrare. În cazul în care autoritatea națională de reglementare constată că tarifele pentru livrarea transfrontalieră de colete nu sunt accesibile, ea va solicita furnizorului de servicii de livrare de colete în cauză informații și/sau justificări suplimentare. Termenele-limită stabilite sunt operaționale și sunt menite să evite întârzieri în ceea ce privește furnizarea de informații sau de justificări [alineatele (1), (3) și (4)]. În conformitate cu articolul 5 alineatul (4), evaluarea, împreună cu justificarea, dacă este cazul, trebuie să fie comunicate nu numai Comisiei, ci și celorlalte autorități naționale de reglementare. Mai mult, evaluarea ar trebui să fie comunicată și autorităților competente responsabile cu punerea în aplicare a legislației în materie de concurență, care fac obiectul, în egală măsură, unor obligații privind confidențialitatea. Această transparență sporită ar trebui să creeze o presiune semnificativă de a modifica tarifele respective care sunt substanțial mai mari și care ar putea fi considerate inaccesibile sau chiar prohibitive. Transparența la nivelul Uniunii ar trebui asigurată prin articolul 5 alineatul (4), care prevede publicarea de către Comisie, pe același site web special creat, a unei versiuni neconfidențiale a evaluărilor și a justificărilor, care ar trebui să îi fie puse la dispoziție de către autoritățile naționale de reglementare competente. Această publicare le-ar permite tuturor părților interesate, inclusiv autorităților însărcinate cu punerea în aplicare a legislației privind protecția consumatorilor, să fie informate periodic cu privire la această chestiune.</w:t>
      </w:r>
    </w:p>
    <w:p>
      <w:pPr>
        <w:rPr>
          <w:noProof/>
        </w:rPr>
      </w:pPr>
      <w:r>
        <w:rPr>
          <w:noProof/>
        </w:rPr>
        <w:t xml:space="preserve">Principiile de reglementare a caracterului abordabil, orientarea în funcție de costuri, transparența și nediscriminarea prevăzute la articolul 12 din Directiva 97/67/CE se aplică numai coletelor (și scrisorilor) care intră în domeniul de aplicare al obligației de serviciu universal. Autoritățile de reglementare naționale ar trebui să garanteze că tarifele pentru serviciile universale sunt în conformitate cu aceste principii. Autoritățile naționale de reglementare se axează mai mult pe piețele naționale decât pe cele transfrontaliere, inclusiv pentru a asigura caracterul abordabil al serviciilor în cadrul serviciului universal. Așadar, prezentul articol va extinde în mod explicit supravegherea reglementară a autorităților naționale de reglementare la o serie de servicii transfrontaliere furnizate de furnizorul de serviciu universal, care sunt în esență similare, dar nu și echivalente cu cele aferente obligației de serviciu universal în toate statele membre. </w:t>
      </w:r>
    </w:p>
    <w:p>
      <w:pPr>
        <w:ind w:firstLine="720"/>
        <w:rPr>
          <w:b/>
          <w:noProof/>
        </w:rPr>
      </w:pPr>
      <w:r>
        <w:rPr>
          <w:b/>
          <w:noProof/>
        </w:rPr>
        <w:t>Transparența și accesul transfrontalier nediscriminatoriu (articolul 6)</w:t>
      </w:r>
    </w:p>
    <w:p>
      <w:pPr>
        <w:rPr>
          <w:noProof/>
        </w:rPr>
      </w:pPr>
      <w:r>
        <w:rPr>
          <w:noProof/>
        </w:rPr>
        <w:t>Articolul 6 reprezintă, în esență, o codificare a principiilor care au fost analizate în cadrul așa-numitelor decizii REIMS (referitoare la acordurile multilaterale transfrontaliere privind taxele terminale pe care furnizorii de serviciu universal le-au stabilit pentru scrisori/colete)</w:t>
      </w:r>
      <w:r>
        <w:rPr>
          <w:rStyle w:val="FootnoteReference"/>
          <w:noProof/>
        </w:rPr>
        <w:footnoteReference w:id="45"/>
      </w:r>
      <w:r>
        <w:rPr>
          <w:noProof/>
        </w:rPr>
        <w:t>, și are la bază elementele procedurale prevăzute la articolul 3 din Regulamentul (UE) nr. 531/2012</w:t>
      </w:r>
      <w:r>
        <w:rPr>
          <w:rStyle w:val="FootnoteReference"/>
          <w:noProof/>
        </w:rPr>
        <w:footnoteReference w:id="46"/>
      </w:r>
      <w:r>
        <w:rPr>
          <w:noProof/>
        </w:rPr>
        <w:t xml:space="preserve"> privind accesul cu ridicata pentru servicii de roaming. Acesta ar trebui să ofere certitudine juridică pentru furnizorii de serviciu universal - care sunt destinatarii acestei dispoziții - și pentru alți furnizori de servicii de livrare de colete care ar dori să aibă acces la servicii transfrontaliere. Această dispoziție nu abordează chestiuni generale privind accesul în aval, care fac obiectul eventualelor norme naționale și al articolului 12 a cincea liniuță din Directiva 97/67/CE. De asemenea, ea nu vizează chestiuni specifice de acces la anumite elemente de infrastructură în conformitate cu articolul 11a din Directiva 97/67/CE. Este necesar, din motive de securitate juridică și pentru aplicarea principiilor nediscriminării și transparenței, să se acorde operatorilor poștali alternativi concurenți un acces egal la ratele terminale aplicabile părților (și anume, furnizorilor de serviciu universal) la acordul multilateral privind ratele terminale. Sub rezerva unei evaluări de la caz la caz, poate fi justificabil ca ratele terminale pe care trebuie să le plătească operatorii poștali terți să le depășească, în unele cazuri, pe cele care trebuie plătite de furnizorii de serviciu universal. Acest lucru ar putea fi valabil în cazul în care părțile sunt în măsură să demonstreze că respectivele costuri necesare pentru elaborarea, operarea și administrarea acordului, costurile suplimentare generate de acceptarea și manipularea trimiterilor de la operatori poștali nedesemnați și alte costuri asemănătoare nu sunt acoperite de ratele terminale plătite de operatorul de origine. Punctul în care se asigură accesul la acestea este, în principiu, biroul de schimb de sosire desemnat de furnizorul de serviciu universal. Este, de asemenea, important ca accesul transfrontalier să includă toate elementele de rețea asociate, în pofida diferenței de acces în aval în sensul larg, inclusiv, în special, elementele de software și elementele de informare [alineatele (2) și (3)], dat fiind că ele constituie parte integrantă a acordurilor aflate în curs de desfășurare, precum Interconnect, și a oricăror altor acorduri viitoare potențiale similare.</w:t>
      </w:r>
    </w:p>
    <w:p>
      <w:pPr>
        <w:keepNext/>
        <w:ind w:firstLine="720"/>
        <w:rPr>
          <w:b/>
          <w:noProof/>
        </w:rPr>
      </w:pPr>
      <w:r>
        <w:rPr>
          <w:b/>
          <w:noProof/>
        </w:rPr>
        <w:t>Sancțiuni (articolul 7)</w:t>
      </w:r>
    </w:p>
    <w:p>
      <w:pPr>
        <w:rPr>
          <w:noProof/>
        </w:rPr>
      </w:pPr>
      <w:r>
        <w:rPr>
          <w:noProof/>
        </w:rPr>
        <w:t>Aceasta este o dispoziție standard care urmărește să ofere autorităților naționale de reglementare sancțiuni eficiente, proporționale și disuasive pentru încălcarea dreptului UE.</w:t>
      </w:r>
    </w:p>
    <w:p>
      <w:pPr>
        <w:ind w:firstLine="720"/>
        <w:rPr>
          <w:b/>
          <w:noProof/>
        </w:rPr>
      </w:pPr>
      <w:r>
        <w:rPr>
          <w:b/>
          <w:noProof/>
        </w:rPr>
        <w:t>Clauza de revizuire (articolul 8)</w:t>
      </w:r>
    </w:p>
    <w:p>
      <w:pPr>
        <w:rPr>
          <w:noProof/>
        </w:rPr>
      </w:pPr>
      <w:r>
        <w:rPr>
          <w:noProof/>
        </w:rPr>
        <w:t>Articolul 8 conține o obligație de revizuire periodică pentru Comisie. Această revizuire conține, în principal, nu doar aspectele legate în mod direct de regulament [literele (a) - (c)], ci include și alte măsuri de îmbunătățire a disponibilității, accesibilității și caracterului abordabil al livrării transfrontaliere de colete care au fost adoptate în contextul Foii de parcurs privind coletele din 2013 (inclusiv inițiative din partea industriei, standardizare etc.) și care vin în completarea prezentului regulament.</w:t>
      </w:r>
    </w:p>
    <w:p>
      <w:pPr>
        <w:pStyle w:val="ManualHeading1"/>
        <w:rPr>
          <w:noProof/>
        </w:rPr>
      </w:pPr>
      <w:r>
        <w:rPr>
          <w:noProof/>
        </w:rPr>
        <w:t>4.</w:t>
      </w:r>
      <w:r>
        <w:rPr>
          <w:noProof/>
        </w:rPr>
        <w:tab/>
        <w:t xml:space="preserve">IMPLICAȚII BUGETARE </w:t>
      </w:r>
    </w:p>
    <w:p>
      <w:pPr>
        <w:rPr>
          <w:noProof/>
        </w:rPr>
      </w:pPr>
      <w:r>
        <w:rPr>
          <w:noProof/>
        </w:rPr>
        <w:t>Propunerea de regulament nu are implicații asupra bugetului Uniunii.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2016/0149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serviciile de livrare transfrontalieră de colete</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114,</w:t>
      </w:r>
    </w:p>
    <w:p>
      <w:pPr>
        <w:rPr>
          <w:noProof/>
        </w:rPr>
      </w:pPr>
      <w:r>
        <w:rPr>
          <w:noProof/>
        </w:rPr>
        <w:t>Având în vedere propunerea Comisiei Europene,</w:t>
      </w:r>
    </w:p>
    <w:p>
      <w:pPr>
        <w:rPr>
          <w:noProof/>
        </w:rPr>
      </w:pPr>
      <w:r>
        <w:rPr>
          <w:noProof/>
        </w:rPr>
        <w:t>După transmiterea proiectului de act legislativ parlamentelor naționale,</w:t>
      </w:r>
    </w:p>
    <w:p>
      <w:pPr>
        <w:rPr>
          <w:noProof/>
        </w:rPr>
      </w:pPr>
      <w:r>
        <w:rPr>
          <w:noProof/>
        </w:rPr>
        <w:t>Având în vedere avizul Comitetului Economic și Social European</w:t>
      </w:r>
      <w:r>
        <w:rPr>
          <w:rStyle w:val="FootnoteReference"/>
          <w:noProof/>
        </w:rPr>
        <w:footnoteReference w:id="47"/>
      </w:r>
      <w:r>
        <w:rPr>
          <w:noProof/>
        </w:rPr>
        <w:t xml:space="preserve">, </w:t>
      </w:r>
    </w:p>
    <w:p>
      <w:pPr>
        <w:rPr>
          <w:noProof/>
        </w:rPr>
      </w:pPr>
      <w:r>
        <w:rPr>
          <w:noProof/>
        </w:rPr>
        <w:t>Având în vedere avizul Comitetului Regiunilor</w:t>
      </w:r>
      <w:r>
        <w:rPr>
          <w:rStyle w:val="FootnoteReference"/>
          <w:noProof/>
        </w:rPr>
        <w:footnoteReference w:id="48"/>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Tarifele aplicabile expeditorilor de volume mici de colete și de alte trimiteri poștale transfrontaliere, în special întreprinderile mici și mijlocii și persoanele fizice, sunt în continuare relativ ridicate. Acest lucru are un impact negativ direct asupra utilizatorilor care doresc să recurgă la servicii de livrare transfrontalieră de colete, în special în contextul comerțului electronic.</w:t>
      </w:r>
    </w:p>
    <w:p>
      <w:pPr>
        <w:pStyle w:val="ManualConsidrant"/>
        <w:rPr>
          <w:noProof/>
        </w:rPr>
      </w:pPr>
      <w:r>
        <w:t>(2)</w:t>
      </w:r>
      <w:r>
        <w:tab/>
      </w:r>
      <w:r>
        <w:rPr>
          <w:noProof/>
        </w:rPr>
        <w:t>Există diferențe fundamentale între statele membre în ceea ce privește competențele conferite autorităților naționale de reglementare în materie de monitorizare a pieței și supraveghere reglementară a furnizorilor de servicii de livrare de colete. Acest lucru a fost confirmat de un raport comun</w:t>
      </w:r>
      <w:r>
        <w:rPr>
          <w:rStyle w:val="FootnoteReference"/>
          <w:noProof/>
        </w:rPr>
        <w:footnoteReference w:id="49"/>
      </w:r>
      <w:r>
        <w:rPr>
          <w:noProof/>
        </w:rPr>
        <w:t xml:space="preserve"> elaborat de Grupul autorităților europene de reglementare din domeniul serviciilor poștale și de Organismul Autorităților Europene de Reglementare în Domeniul Comunicațiilor Electronice, care a concluzionat că autoritățile naționale de reglementare au nevoie de competențele de reglementare adecvate pentru a interveni și că aceste competențe nu par să fie deținute de toate statele membre. Aceste diferențe duc la sarcini administrative suplimentare și la costuri de asigurare a conformității pentru furnizorii de servicii de livrare de colete care își desfășoară activitatea la nivel transfrontalier. Prin urmare, aceste diferențe constituie un obstacol în calea furnizării transfrontaliere de servicii de livrare de colete și au așadar o incidență directă asupra funcționării pieței interne. </w:t>
      </w:r>
    </w:p>
    <w:p>
      <w:pPr>
        <w:pStyle w:val="ManualConsidrant"/>
        <w:rPr>
          <w:noProof/>
        </w:rPr>
      </w:pPr>
      <w:r>
        <w:t>(3)</w:t>
      </w:r>
      <w:r>
        <w:tab/>
      </w:r>
      <w:r>
        <w:rPr>
          <w:noProof/>
        </w:rPr>
        <w:t xml:space="preserve">Piața serviciilor de livrare transfrontalieră de colete este diversă și complexă, mai mulți furnizori oferind servicii și prețuri diferite în funcție de greutatea, dimensiunea și formatul trimiterilor, precum și în funcție de destinație, caracteristici cu valoare adăugată, cum ar fi soluțiile de trasabilitate, și numărul trimiterilor. Această diversitate face dificilă o comparație a serviciilor de livrare de colete între diferiți furnizori din punctul de vedere al calității și al prețului. Mai mult, expeditorii de volume mici, cum ar fi întreprinderile mici și mijlocii și persoanele fizice, nu sunt de multe ori conștienți de existența diferitelor servicii de livrare de colete oferite. </w:t>
      </w:r>
    </w:p>
    <w:p>
      <w:pPr>
        <w:pStyle w:val="ManualConsidrant"/>
        <w:rPr>
          <w:noProof/>
        </w:rPr>
      </w:pPr>
      <w:r>
        <w:t>(4)</w:t>
      </w:r>
      <w:r>
        <w:tab/>
      </w:r>
      <w:r>
        <w:rPr>
          <w:noProof/>
        </w:rPr>
        <w:t xml:space="preserve">Pentru a îmbunătăți caracterul abordabil al serviciilor de livrare transfrontalieră de colete, în special pentru utilizatorii din regiunile periferice sau slab populate, este necesar să se intensifice transparența listelor publice de tarife pentru un număr limitat de servicii de livrare transfrontalieră de colete furnizate de furnizorii de serviciu universal, care sunt în general utilizate de întreprinderile mici și mijlocii și de persoanele fizice. Transparența listelor publice este necesară, de asemenea, pentru a aborda problema tarifelor ridicate ale serviciilor de livrare transfrontalieră și pentru a reduce, după caz, diferențele tarifare nejustificate între serviciile de livrare națională și transfrontalieră de colete. </w:t>
      </w:r>
    </w:p>
    <w:p>
      <w:pPr>
        <w:pStyle w:val="ManualConsidrant"/>
        <w:rPr>
          <w:noProof/>
        </w:rPr>
      </w:pPr>
      <w:r>
        <w:t>(5)</w:t>
      </w:r>
      <w:r>
        <w:tab/>
      </w:r>
      <w:r>
        <w:rPr>
          <w:noProof/>
        </w:rPr>
        <w:t xml:space="preserve">În majoritatea statelor membre există mai mulți furnizori care oferă servicii de livrare națională de colete, în timp ce doar câțiva dintre aceștia furnizează și servicii de livrare transfrontalieră de colete. În acest context, este esențial să se asigure, pentru a menține și a promova o concurență efectivă și pentru a-i proteja pe utilizatori, accesul transparent și nediscriminatoriu la serviciile și la infrastructura necesare pentru furnizarea de servicii de livrare transfrontalieră de colete. </w:t>
      </w:r>
    </w:p>
    <w:p>
      <w:pPr>
        <w:pStyle w:val="ManualConsidrant"/>
        <w:rPr>
          <w:noProof/>
        </w:rPr>
      </w:pPr>
      <w:r>
        <w:t>(6)</w:t>
      </w:r>
      <w:r>
        <w:tab/>
      </w:r>
      <w:r>
        <w:rPr>
          <w:noProof/>
        </w:rPr>
        <w:t>În prezent, serviciile poștale sunt reglementate de Directiva 97/67/CE a Parlamentului European și a Consiliului</w:t>
      </w:r>
      <w:r>
        <w:rPr>
          <w:rStyle w:val="FootnoteReference"/>
          <w:noProof/>
        </w:rPr>
        <w:footnoteReference w:id="50"/>
      </w:r>
      <w:r>
        <w:rPr>
          <w:noProof/>
        </w:rPr>
        <w:t>. Această directivă stabilește normele comune care reglementează furnizarea de servicii poștale și serviciul poștal universal pe teritoriul Uniunii. Ea se axează în principal, dar nu exclusiv, pe serviciile universale naționale și nu abordează supravegherea reglementară a furnizorilor de servicii de livrare de colete, transparența tarifelor și ratele terminale pentru anumite servicii de livrare transfrontalieră de colete, evaluarea caracterului abordabil al tarifelor pentru anumite servicii de livrare transfrontalieră de colete și accesul transparent și nediscriminatoriu la anumite servicii de livrare transfrontalieră de colete și/sau la infrastructura corespunzătoare. În consecință, în ceea ce privește serviciile de livrare transfrontalieră de colete, prezentul regulament vine în completarea normelor prevăzute în Directiva 97/67/CE.</w:t>
      </w:r>
    </w:p>
    <w:p>
      <w:pPr>
        <w:pStyle w:val="ManualConsidrant"/>
        <w:rPr>
          <w:noProof/>
        </w:rPr>
      </w:pPr>
      <w:r>
        <w:t>(7)</w:t>
      </w:r>
      <w:r>
        <w:tab/>
      </w:r>
      <w:r>
        <w:rPr>
          <w:noProof/>
        </w:rPr>
        <w:t xml:space="preserve">Se estimează că 80 % din trimiterile poștale adresate generate de comerțul electronic în prezent cântăresc mai puțin de două kilograme și că ele sunt adesea procesate în cadrul circuitului poștal al poștei de scrisori. Este important ca aceste trimiteri poștale să facă obiectul prezentului regulament, în special în ceea ce privește cerințele referitoare la transparența tarifelor și la evaluarea caracterului lor abordabil. </w:t>
      </w:r>
    </w:p>
    <w:p>
      <w:pPr>
        <w:pStyle w:val="ManualConsidrant"/>
        <w:rPr>
          <w:noProof/>
        </w:rPr>
      </w:pPr>
      <w:r>
        <w:t>(8)</w:t>
      </w:r>
      <w:r>
        <w:tab/>
      </w:r>
      <w:r>
        <w:rPr>
          <w:noProof/>
        </w:rPr>
        <w:t>Prin urmare, este important să se prevadă o definiție clară a serviciilor de livrare de colete și să se precizeze care sunt trimiterile poștale vizate de respectiva definiție. Este vorba, în special, de trimiteri poștale, altele decât trimiteri de corespondență, care, având în vedere greutatea lor, sunt utilizate în mod obișnuit la expedierea de bunuri și mărfuri. Prin urmare, prezentul regulament ar trebui să vizeze, în conformitate cu practica constantă, trimiterile poștale cu o greutate de până la 31,5 kg, deoarece trimiterile mai grele nu pot fi manipulate de o singură persoană de statură medie fără ajutorul unor mijloace mecanice. În conformitate cu practica actuală și cu Directiva 97/67/CE, fiecare etapă din circuitul poștal, și anume vămuirea, sortarea și livrarea, ar trebui să fie considerată ca făcând parte din serviciile de livrare de colete. Transportul privit în mod individual, care nu are loc coroborat cu una dintre aceste etape, nu ar trebui să intre în domeniul de aplicare al serviciilor de livrare de colete, deoarece, în acest caz, se poate presupune că această activitate face parte din sectorul transporturilor.</w:t>
      </w:r>
    </w:p>
    <w:p>
      <w:pPr>
        <w:pStyle w:val="ManualConsidrant"/>
        <w:rPr>
          <w:noProof/>
        </w:rPr>
      </w:pPr>
      <w:r>
        <w:t>(9)</w:t>
      </w:r>
      <w:r>
        <w:tab/>
      </w:r>
      <w:r>
        <w:rPr>
          <w:noProof/>
        </w:rPr>
        <w:t>Ratele terminale se bazează pe acorduri multilaterale și bilaterale între furnizorii de serviciu universal și sunt menite să garanteze că furnizorul de serviciu universal de destinație este remunerat pentru costurile serviciului furnizat către furnizorul de serviciu universal de origine. Ratele terminale ar trebui să fie definite astfel încât să includă atât cheltuielile terminale, astfel cum sunt definite la articolul 2 alineatul (15) din Directiva 97/67/CE, care se aplică scrisorilor, precum și cotele-părți teritoriale de sosire, care se aplică coletelor.</w:t>
      </w:r>
    </w:p>
    <w:p>
      <w:pPr>
        <w:pStyle w:val="ManualConsidrant"/>
        <w:rPr>
          <w:noProof/>
        </w:rPr>
      </w:pPr>
      <w:r>
        <w:t>(10)</w:t>
      </w:r>
      <w:r>
        <w:tab/>
      </w:r>
      <w:r>
        <w:rPr>
          <w:noProof/>
        </w:rPr>
        <w:t xml:space="preserve">Este necesar ca autoritățile naționale de reglementare să dispună de cunoștințe și de informații în scopuri statistice cu privire la furnizorii de servicii de livrare de colete care își desfășoară activitatea pe piață. Cu toate acestea, pentru a limita sarcina administrativă pentru furnizorii de servicii de livrare de colete mici care sunt activi doar pe o piață națională sau regională, ar trebui să se aplice un prag stabilit în funcție de numărul de persoane care lucrează pentru furnizorul de servicii și care sunt implicate în furnizarea de servicii de livrare de colete. </w:t>
      </w:r>
    </w:p>
    <w:p>
      <w:pPr>
        <w:pStyle w:val="ManualConsidrant"/>
        <w:rPr>
          <w:noProof/>
        </w:rPr>
      </w:pPr>
      <w:r>
        <w:t>(11)</w:t>
      </w:r>
      <w:r>
        <w:tab/>
      </w:r>
      <w:r>
        <w:rPr>
          <w:noProof/>
        </w:rPr>
        <w:t>Sediul unui furnizor va fi determinat în conformitate cu jurisprudența Curții de Justiție. În cazul în care un furnizor dispune de mai multe sedii, este important să se stabilească sediul de la care este furnizat efectiv serviciul în cauză.</w:t>
      </w:r>
    </w:p>
    <w:p>
      <w:pPr>
        <w:pStyle w:val="ManualConsidrant"/>
        <w:rPr>
          <w:noProof/>
        </w:rPr>
      </w:pPr>
      <w:r>
        <w:t>(12)</w:t>
      </w:r>
      <w:r>
        <w:tab/>
      </w:r>
      <w:r>
        <w:rPr>
          <w:noProof/>
        </w:rPr>
        <w:t xml:space="preserve">Atunci când se furnizează informații autorității naționale de reglementare, ar trebui să se țină seama de faptul că este posibil ca furnizorii de servicii de livrare de colete să fi furnizat deja anumite informații aceleiași autorități naționale de reglementare. Serviciile de livrare de colete sunt importante pentru întreprinderile mici și mijlocii și pentru persoanele fizice, iar aceștia din urmă ar trebui să poată face cu ușurință comparații între diverși furnizori. Prin urmare, serviciile pentru care tarifele ar trebui furnizate de furnizorii de serviciu universal ar trebui definite în mod clar. Tarifele respective ar trebui publicate de Comisie pe un site web special creat și ar trebui ca, alături de furnizarea confidențială și periodică a ratelor terminale aferente, acestea să constituie baza pentru evaluarea de către autoritățile naționale de reglementare a caracterului abordabil al tarifelor pentru serviciile de livrare transfrontalieră de colete. Furnizorii de servicii de livrare de colete, alții decât furnizorii de serviciu universal, pot pune la dispoziția autorității lor naționale de reglementare, în mod voluntar și într-o formă comparabilă, tarifele pentru trimiteri similare, cu condiția ca astfel de trimiteri să fie livrate la domiciliul sau la sediul destinatarului. </w:t>
      </w:r>
    </w:p>
    <w:p>
      <w:pPr>
        <w:pStyle w:val="ManualConsidrant"/>
        <w:rPr>
          <w:noProof/>
        </w:rPr>
      </w:pPr>
      <w:r>
        <w:t>(13)</w:t>
      </w:r>
      <w:r>
        <w:tab/>
      </w:r>
      <w:r>
        <w:rPr>
          <w:noProof/>
        </w:rPr>
        <w:t>Având în vedere dimensiunea lor redusă, anumite trimiteri poștale nu ar trebui să facă obiectul obligațiilor prevăzute în ceea ce privește transparența tarifelor. Trimiterile poștale care fac obiectul acestor obligații ar trebui, prin urmare, să aibă o lățime minimă de 20 mm.</w:t>
      </w:r>
    </w:p>
    <w:p>
      <w:pPr>
        <w:pStyle w:val="ManualConsidrant"/>
        <w:rPr>
          <w:noProof/>
        </w:rPr>
      </w:pPr>
      <w:r>
        <w:t>(14)</w:t>
      </w:r>
      <w:r>
        <w:tab/>
      </w:r>
      <w:r>
        <w:rPr>
          <w:noProof/>
        </w:rPr>
        <w:t>Cu ocazia evaluării anuale a caracterului abordabil al tarifelor, autoritățile naționale de reglementare ar trebui să se bazeze pe criterii obiective, cum ar fi tarifele naționale practicate de furnizorii de serviciu universal de origine și de furnizorii de serviciu universal de destinație, precum și nivelul ratelor terminale. Aceste criterii comune pot fi completate de alte criterii având o relevanță deosebită pentru explicarea tarifelor în cauză, cum ar fi costurile specifice cu transportul, costurile cu manipularea și volumele bilaterale între diverșii furnizori de servicii de livrare transfrontalieră de colete.</w:t>
      </w:r>
    </w:p>
    <w:p>
      <w:pPr>
        <w:pStyle w:val="ManualConsidrant"/>
        <w:rPr>
          <w:noProof/>
        </w:rPr>
      </w:pPr>
      <w:r>
        <w:t>(15)</w:t>
      </w:r>
      <w:r>
        <w:tab/>
      </w:r>
      <w:r>
        <w:rPr>
          <w:noProof/>
        </w:rPr>
        <w:t>Tarifele uniforme pentru livrările transfrontaliere către două sau mai multe state membre pot fi importante, dat fiind rolul lor în protejarea coeziunii regionale și sociale. În acest context, ar trebui avut în vedere faptul că comerțul electronic oferă zonelor slab populate noi oportunități de a participa la viața economică. Prin urmare, este necesar să se țină seama pe deplin de orice tarife uniforme pentru evaluarea caracterului abordabil al serviciilor de livrare de colete.</w:t>
      </w:r>
    </w:p>
    <w:p>
      <w:pPr>
        <w:pStyle w:val="ManualConsidrant"/>
        <w:rPr>
          <w:noProof/>
        </w:rPr>
      </w:pPr>
      <w:r>
        <w:t>(16)</w:t>
      </w:r>
      <w:r>
        <w:tab/>
      </w:r>
      <w:r>
        <w:rPr>
          <w:noProof/>
        </w:rPr>
        <w:t>Diferențele semnificative între tarifele naționale și transfrontaliere pentru serviciile de livrare de colete ar trebui să fie justificate cu ajutorul unor criterii obiective, precum costurile suplimentare la transport și o marjă de profit rezonabilă. Furnizorii de serviciu universal care oferă servicii de livrare de colete ar trebui să pună la dispoziție, fără întârziere, o justificare în acest sens.</w:t>
      </w:r>
    </w:p>
    <w:p>
      <w:pPr>
        <w:pStyle w:val="ManualConsidrant"/>
        <w:rPr>
          <w:noProof/>
        </w:rPr>
      </w:pPr>
      <w:r>
        <w:t>(17)</w:t>
      </w:r>
      <w:r>
        <w:tab/>
      </w:r>
      <w:r>
        <w:rPr>
          <w:noProof/>
        </w:rPr>
        <w:t>Pentru a asigura transparența în întreaga Uniune, analiza efectuată de o autoritate națională de reglementare ar trebui transmisă autorităților naționale de reglementare din celelalte state membre și Comisiei. Autoritatea națională de reglementare și Comisia trebuie să asigure confidențialitatea. De asemenea, Comisia poate solicita Grupului autorităților europene de reglementare din domeniul serviciilor poștale să furnizeze o analiză la nivelul Uniunii pe baza contribuțiilor naționale.</w:t>
      </w:r>
    </w:p>
    <w:p>
      <w:pPr>
        <w:pStyle w:val="ManualConsidrant"/>
        <w:rPr>
          <w:noProof/>
        </w:rPr>
      </w:pPr>
      <w:r>
        <w:t>(18)</w:t>
      </w:r>
      <w:r>
        <w:tab/>
      </w:r>
      <w:r>
        <w:rPr>
          <w:noProof/>
        </w:rPr>
        <w:t>Furnizorii de serviciu universal care furnizează servicii de livrare de colete pot încheia acorduri multilaterale și bilaterale cu privire la ratele terminale și pot înființa alte programe menite să faciliteze interconectivitatea rețelelor lor de livrare. Din motive de nediscriminare, furnizorilor de servicii de livrare de colete concurenți trebuie să li se asigure accesul egal la ratele terminale aplicabile între părți în temeiul acordurilor multilaterale. În unele cazuri, poate fi justificabil ca ratele terminale care trebuie plătite furnizorilor de servicii de livrare de colete terți să le depășească pe cele plătite de furnizorii de serviciu universal care sunt părți la aceste acorduri. Acest lucru ar putea fi valabil în cazul în care părțile la un acord multilateral privind ratele terminale sunt în măsură să demonstreze că respectivele costuri necesare pentru elaborarea, operarea și administrarea acordului, costurile suplimentare generate de acceptarea și manipularea trimiterilor provenite de la furnizorii de servicii de livrare de colete nedesemnați și alte costuri asemănătoare nu sunt acoperite de ratele terminale plătite de furnizorul de servicii terț în statul membru de origine.</w:t>
      </w:r>
    </w:p>
    <w:p>
      <w:pPr>
        <w:pStyle w:val="ManualConsidrant"/>
        <w:rPr>
          <w:noProof/>
        </w:rPr>
      </w:pPr>
      <w:r>
        <w:t>(19)</w:t>
      </w:r>
      <w:r>
        <w:tab/>
      </w:r>
      <w:r>
        <w:rPr>
          <w:noProof/>
        </w:rPr>
        <w:t>În practică și din motive operaționale, punctul în care ar trebui să fie asigurat accesul este biroul de schimb de sosire, care poate fi un birou sau o clădire stabilită de furnizorii de serviciu universal în statul membru de destinație pentru manipularea trimiterilor poștale altele decât elementele de corespondență.</w:t>
      </w:r>
    </w:p>
    <w:p>
      <w:pPr>
        <w:pStyle w:val="ManualConsidrant"/>
        <w:rPr>
          <w:noProof/>
        </w:rPr>
      </w:pPr>
      <w:r>
        <w:t>(20)</w:t>
      </w:r>
      <w:r>
        <w:tab/>
      </w:r>
      <w:r>
        <w:rPr>
          <w:noProof/>
        </w:rPr>
        <w:t>Autoritățile naționale de reglementare ar trebui să poată lua măsuri eficiente pentru a monitoriza și a asigura respectarea dispozițiilor prezentului regulament și, în acest sens, să impună sancțiuni financiare sau administrative în cazul încălcării lor.</w:t>
      </w:r>
    </w:p>
    <w:p>
      <w:pPr>
        <w:pStyle w:val="ManualConsidrant"/>
        <w:rPr>
          <w:noProof/>
        </w:rPr>
      </w:pPr>
      <w:r>
        <w:t>(21)</w:t>
      </w:r>
      <w:r>
        <w:tab/>
      </w:r>
      <w:r>
        <w:rPr>
          <w:noProof/>
        </w:rPr>
        <w:t xml:space="preserve">Întrucât piețele serviciilor de livrare de colete evoluează rapid, Comisia ar trebui să reevalueze eficiența și eficacitatea prezentului regulament și să prezinte periodic un raport Parlamentului European și Consiliului. Raportul respectiv ar trebui să fie însoțit, după caz, de propuneri de revizuire adresate Parlamentului European și Consiliului. </w:t>
      </w:r>
    </w:p>
    <w:p>
      <w:pPr>
        <w:pStyle w:val="ManualConsidrant"/>
        <w:rPr>
          <w:noProof/>
        </w:rPr>
      </w:pPr>
      <w:r>
        <w:t>(22)</w:t>
      </w:r>
      <w:r>
        <w:tab/>
      </w:r>
      <w:r>
        <w:rPr>
          <w:noProof/>
        </w:rPr>
        <w:t xml:space="preserve">Pentru a asigura condiții uniforme de punere în aplicare a obligației furnizorilor de servicii de livrare de colete de a transmite informații autorităților naționale de reglementare, Comisiei ar trebuie să i se confere competențe de executare având drept scop elaborarea unui formular de transmitere a acestor informații. Respectivele competențe ar trebui </w:t>
      </w:r>
      <w:r>
        <w:rPr>
          <w:rStyle w:val="italic1"/>
          <w:i w:val="0"/>
          <w:noProof/>
        </w:rPr>
        <w:t xml:space="preserve">exercitate </w:t>
      </w:r>
      <w:r>
        <w:rPr>
          <w:noProof/>
        </w:rPr>
        <w:t>în conformitate cu Regulamentul (UE) nr. 182/2011 al Parlamentului European și al Consiliului</w:t>
      </w:r>
      <w:r>
        <w:rPr>
          <w:rStyle w:val="FootnoteReference"/>
          <w:noProof/>
        </w:rPr>
        <w:footnoteReference w:id="51"/>
      </w:r>
      <w:r>
        <w:rPr>
          <w:noProof/>
        </w:rPr>
        <w:t>.</w:t>
      </w:r>
    </w:p>
    <w:p>
      <w:pPr>
        <w:pStyle w:val="ManualConsidrant"/>
        <w:rPr>
          <w:noProof/>
        </w:rPr>
      </w:pPr>
      <w:r>
        <w:t>(23)</w:t>
      </w:r>
      <w:r>
        <w:tab/>
      </w:r>
      <w:r>
        <w:rPr>
          <w:noProof/>
        </w:rPr>
        <w:t>Prezentul regulament respectă drepturile fundamentale și se conformează principiilor recunoscute, în special, de Carta drepturilor fundamentale a Uniunii Europene, și ar trebui să fie pus în aplicare în conformitate cu aceste drepturi și principii.</w:t>
      </w:r>
    </w:p>
    <w:p>
      <w:pPr>
        <w:pStyle w:val="ManualConsidrant"/>
        <w:rPr>
          <w:noProof/>
        </w:rPr>
      </w:pPr>
      <w:r>
        <w:t>(24)</w:t>
      </w:r>
      <w:r>
        <w:tab/>
      </w:r>
      <w:r>
        <w:rPr>
          <w:noProof/>
        </w:rPr>
        <w:t>Directiva (UE) 2016/680 a Parlamentului European și a Consiliului</w:t>
      </w:r>
      <w:r>
        <w:rPr>
          <w:rStyle w:val="FootnoteReference"/>
          <w:noProof/>
        </w:rPr>
        <w:footnoteReference w:id="52"/>
      </w:r>
      <w:r>
        <w:rPr>
          <w:noProof/>
        </w:rPr>
        <w:t xml:space="preserve"> și Regulamentul (UE) 2016/679 al Parlamentului European și al Consiliului</w:t>
      </w:r>
      <w:r>
        <w:rPr>
          <w:rStyle w:val="FootnoteReference"/>
          <w:noProof/>
        </w:rPr>
        <w:footnoteReference w:id="53"/>
      </w:r>
      <w:r>
        <w:rPr>
          <w:noProof/>
        </w:rPr>
        <w:t xml:space="preserve"> se aplică prelucrării datelor cu caracter personal în cadrul prezentului regulament.</w:t>
      </w:r>
    </w:p>
    <w:p>
      <w:pPr>
        <w:pStyle w:val="ManualConsidrant"/>
        <w:rPr>
          <w:noProof/>
        </w:rPr>
      </w:pPr>
      <w:r>
        <w:t>(25)</w:t>
      </w:r>
      <w:r>
        <w:tab/>
      </w:r>
      <w:r>
        <w:rPr>
          <w:noProof/>
        </w:rPr>
        <w:t>Deoarece obiectivele prezentului regulament, și anume de a stabili principiile de reglementare și normele necesare pentru a îmbunătăți supravegherea reglementară, de a îmbunătăți transparența prețurilor și de a stabili anumite principii în ceea ce privește serviciile de livrare transfrontalieră de colete care ar trebui să sprijine concurența, nu pot fi realizate în mod satisfăcător de către statele membre și, prin urmare, având în vedere amploarea și efectele lor, ele pot fi realizate mai bine la nivelul Uniunii, Uniunea poate adopta măsuri în conformitate cu principiul subsidiarității, astfel cum este prevăzut la articolul 5 din Tratatul privind Uniunea Europeană. În conformitate cu principiul proporționalității, astfel cum prevede respectivul articol, prezentul regulament nu depășește ceea ce este necesar pentru atingerea acestui obiectiv.</w:t>
      </w:r>
    </w:p>
    <w:p>
      <w:pPr>
        <w:pStyle w:val="Formuledadoption"/>
        <w:rPr>
          <w:noProof/>
        </w:rPr>
      </w:pPr>
      <w:r>
        <w:rPr>
          <w:noProof/>
        </w:rPr>
        <w:t>ADOPTĂ PREZENTUL REGULAMENT:</w:t>
      </w:r>
    </w:p>
    <w:p>
      <w:pPr>
        <w:pStyle w:val="SectionTitle"/>
        <w:rPr>
          <w:noProof/>
        </w:rPr>
      </w:pPr>
      <w:r>
        <w:rPr>
          <w:noProof/>
        </w:rPr>
        <w:t>CAPITOLUL I</w:t>
      </w:r>
    </w:p>
    <w:p>
      <w:pPr>
        <w:pStyle w:val="NormalCentered"/>
        <w:rPr>
          <w:b/>
          <w:noProof/>
        </w:rPr>
      </w:pPr>
      <w:r>
        <w:rPr>
          <w:b/>
          <w:noProof/>
        </w:rPr>
        <w:t>Obiect și definiții</w:t>
      </w:r>
    </w:p>
    <w:p>
      <w:pPr>
        <w:pStyle w:val="Titrearticle"/>
        <w:rPr>
          <w:noProof/>
        </w:rPr>
      </w:pPr>
      <w:r>
        <w:rPr>
          <w:noProof/>
        </w:rPr>
        <w:t>Articolul 1</w:t>
      </w:r>
      <w:r>
        <w:rPr>
          <w:noProof/>
        </w:rPr>
        <w:br/>
        <w:t xml:space="preserve">Obiect </w:t>
      </w:r>
    </w:p>
    <w:p>
      <w:pPr>
        <w:rPr>
          <w:rStyle w:val="FootnoteReference"/>
          <w:noProof/>
          <w:vertAlign w:val="baseline"/>
        </w:rPr>
      </w:pPr>
      <w:r>
        <w:rPr>
          <w:rStyle w:val="FootnoteReference"/>
          <w:noProof/>
          <w:vertAlign w:val="baseline"/>
        </w:rPr>
        <w:t>Prezentul regulament stabilește norme specifice, pe lângă normele stabilite în Directiva 97/67/CE, în ceea ce privește:</w:t>
      </w:r>
    </w:p>
    <w:p>
      <w:pPr>
        <w:pStyle w:val="Point1letter"/>
        <w:numPr>
          <w:ilvl w:val="3"/>
          <w:numId w:val="3"/>
        </w:numPr>
        <w:rPr>
          <w:noProof/>
        </w:rPr>
      </w:pPr>
      <w:r>
        <w:rPr>
          <w:noProof/>
        </w:rPr>
        <w:t>supravegherea reglementară privind serviciile de livrare de colete;</w:t>
      </w:r>
    </w:p>
    <w:p>
      <w:pPr>
        <w:pStyle w:val="Point1letter"/>
        <w:rPr>
          <w:noProof/>
        </w:rPr>
      </w:pPr>
      <w:r>
        <w:rPr>
          <w:noProof/>
        </w:rPr>
        <w:t>transparența tarifelor și a ratelor terminale pentru anumite servicii de livrare transfrontalieră de colete și evaluarea caracterului abordabil al anumitor tarife transfrontaliere;</w:t>
      </w:r>
    </w:p>
    <w:p>
      <w:pPr>
        <w:pStyle w:val="Point1letter"/>
        <w:rPr>
          <w:noProof/>
        </w:rPr>
      </w:pPr>
      <w:r>
        <w:rPr>
          <w:noProof/>
        </w:rPr>
        <w:t>accesul transparent și nediscriminatoriu la anumite servicii de livrare transfrontalieră de colete și/sau la infrastructura aferentă.</w:t>
      </w:r>
    </w:p>
    <w:p>
      <w:pPr>
        <w:pStyle w:val="Titrearticle"/>
        <w:rPr>
          <w:noProof/>
        </w:rPr>
      </w:pPr>
      <w:r>
        <w:rPr>
          <w:noProof/>
        </w:rPr>
        <w:t>Articolul 2</w:t>
      </w:r>
      <w:r>
        <w:rPr>
          <w:noProof/>
        </w:rPr>
        <w:br/>
        <w:t>Definiții</w:t>
      </w:r>
    </w:p>
    <w:p>
      <w:pPr>
        <w:pStyle w:val="ManualNumPar1"/>
        <w:rPr>
          <w:noProof/>
        </w:rPr>
      </w:pPr>
      <w:r>
        <w:t>1.</w:t>
      </w:r>
      <w:r>
        <w:tab/>
      </w:r>
      <w:r>
        <w:rPr>
          <w:noProof/>
        </w:rPr>
        <w:t xml:space="preserve">În sensul prezentului regulament, se aplică definițiile prevăzute la articolul 2 din Directiva 97/67/CE. </w:t>
      </w:r>
    </w:p>
    <w:p>
      <w:pPr>
        <w:pStyle w:val="ManualNumPar1"/>
        <w:rPr>
          <w:noProof/>
        </w:rPr>
      </w:pPr>
      <w:r>
        <w:t>2.</w:t>
      </w:r>
      <w:r>
        <w:tab/>
      </w:r>
      <w:r>
        <w:rPr>
          <w:noProof/>
        </w:rPr>
        <w:t xml:space="preserve">Pe lângă definițiile la care se face referire la alineatul (1), se aplică următoarele definiții: </w:t>
      </w:r>
    </w:p>
    <w:p>
      <w:pPr>
        <w:pStyle w:val="Point1letter"/>
        <w:numPr>
          <w:ilvl w:val="3"/>
          <w:numId w:val="22"/>
        </w:numPr>
        <w:spacing w:before="0" w:after="240" w:line="276" w:lineRule="auto"/>
        <w:rPr>
          <w:noProof/>
        </w:rPr>
      </w:pPr>
      <w:r>
        <w:rPr>
          <w:noProof/>
        </w:rPr>
        <w:t xml:space="preserve">„serviciile de livrare de colete” înseamnă serviciile care implică vămuirea, sortarea, transportul sau distribuirea trimiterilor poștale, altele decât elementele de corespondență; transportul privit în mod individual nu se consideră a fi un serviciu de livrare de colete; livrarea de trimiteri care depășesc 31,5 kg nu se consideră a fi un serviciu de livrare de colete; </w:t>
      </w:r>
    </w:p>
    <w:p>
      <w:pPr>
        <w:pStyle w:val="Point1letter"/>
        <w:spacing w:before="0" w:after="240" w:line="276" w:lineRule="auto"/>
        <w:rPr>
          <w:noProof/>
        </w:rPr>
      </w:pPr>
      <w:r>
        <w:rPr>
          <w:noProof/>
        </w:rPr>
        <w:t>„furnizor de servicii de livrare de colete” înseamnă o întreprindere care furnizează unul sau mai multe servicii de livrare de colete;</w:t>
      </w:r>
    </w:p>
    <w:p>
      <w:pPr>
        <w:pStyle w:val="Point1letter"/>
        <w:rPr>
          <w:noProof/>
        </w:rPr>
      </w:pPr>
      <w:r>
        <w:rPr>
          <w:noProof/>
        </w:rPr>
        <w:t>„rate terminale” înseamnă plăți efectuate de furnizorul de serviciu universal de origine către furnizorul de serviciu universal de destinație pentru costurile serviciilor de livrare transfrontalieră de colete în statul membru de destinație.</w:t>
      </w:r>
    </w:p>
    <w:p>
      <w:pPr>
        <w:pStyle w:val="SectionTitle"/>
        <w:keepLines/>
        <w:rPr>
          <w:noProof/>
        </w:rPr>
      </w:pPr>
      <w:r>
        <w:rPr>
          <w:noProof/>
        </w:rPr>
        <w:t>CAPITOLUL II</w:t>
      </w:r>
    </w:p>
    <w:p>
      <w:pPr>
        <w:pStyle w:val="NormalCentered"/>
        <w:keepNext/>
        <w:keepLines/>
        <w:rPr>
          <w:b/>
          <w:noProof/>
        </w:rPr>
      </w:pPr>
      <w:r>
        <w:rPr>
          <w:b/>
          <w:noProof/>
        </w:rPr>
        <w:t>Supraveghere reglementară</w:t>
      </w:r>
    </w:p>
    <w:p>
      <w:pPr>
        <w:pStyle w:val="Titrearticle"/>
        <w:rPr>
          <w:noProof/>
        </w:rPr>
      </w:pPr>
      <w:r>
        <w:rPr>
          <w:noProof/>
        </w:rPr>
        <w:t>Articolul 3</w:t>
      </w:r>
      <w:r>
        <w:rPr>
          <w:noProof/>
        </w:rPr>
        <w:br/>
        <w:t>Furnizarea de informații</w:t>
      </w:r>
    </w:p>
    <w:p>
      <w:pPr>
        <w:pStyle w:val="ManualNumPar1"/>
        <w:rPr>
          <w:noProof/>
        </w:rPr>
      </w:pPr>
      <w:r>
        <w:t>1.</w:t>
      </w:r>
      <w:r>
        <w:tab/>
      </w:r>
      <w:r>
        <w:rPr>
          <w:noProof/>
        </w:rPr>
        <w:t xml:space="preserve">Toți furnizorii de servicii de livrare de colete trebuie să comunice următoarele informații autorității naționale de reglementare din statul membru în care își au sediul: </w:t>
      </w:r>
    </w:p>
    <w:p>
      <w:pPr>
        <w:pStyle w:val="Point1letter"/>
        <w:numPr>
          <w:ilvl w:val="3"/>
          <w:numId w:val="24"/>
        </w:numPr>
        <w:rPr>
          <w:noProof/>
        </w:rPr>
      </w:pPr>
      <w:r>
        <w:rPr>
          <w:noProof/>
        </w:rPr>
        <w:t xml:space="preserve">numele furnizorului, statutul și forma sa juridică, numărul de înregistrare în registrul comerțului sau într-un registru similar, numărul de TVA, adresa sediului și o persoană de contact; </w:t>
      </w:r>
    </w:p>
    <w:p>
      <w:pPr>
        <w:pStyle w:val="Point1letter"/>
        <w:spacing w:before="0" w:after="240" w:line="276" w:lineRule="auto"/>
        <w:rPr>
          <w:noProof/>
        </w:rPr>
      </w:pPr>
      <w:r>
        <w:rPr>
          <w:noProof/>
        </w:rPr>
        <w:t>tipul de servicii oferite de furnizor;</w:t>
      </w:r>
    </w:p>
    <w:p>
      <w:pPr>
        <w:pStyle w:val="Point1letter"/>
        <w:spacing w:before="0" w:after="240" w:line="276" w:lineRule="auto"/>
        <w:rPr>
          <w:noProof/>
        </w:rPr>
      </w:pPr>
      <w:r>
        <w:rPr>
          <w:noProof/>
        </w:rPr>
        <w:t xml:space="preserve">condițiile generale de vânzare ale furnizorului, inclusiv o descriere detaliată a procedurii în materie de plângeri. </w:t>
      </w:r>
    </w:p>
    <w:p>
      <w:pPr>
        <w:pStyle w:val="ManualNumPar1"/>
        <w:rPr>
          <w:noProof/>
        </w:rPr>
      </w:pPr>
      <w:r>
        <w:t>2.</w:t>
      </w:r>
      <w:r>
        <w:tab/>
      </w:r>
      <w:r>
        <w:rPr>
          <w:noProof/>
        </w:rPr>
        <w:t xml:space="preserve">În cazul în care are loc o modificare în ceea ce privește informațiile menționate la primul paragraf, furnizorii de servicii de livrare de colete informează autoritatea națională de reglementare cu privire la această modificare în termen de 30 de zile. </w:t>
      </w:r>
    </w:p>
    <w:p>
      <w:pPr>
        <w:pStyle w:val="ManualNumPar1"/>
        <w:rPr>
          <w:noProof/>
        </w:rPr>
      </w:pPr>
      <w:r>
        <w:t>3.</w:t>
      </w:r>
      <w:r>
        <w:tab/>
      </w:r>
      <w:r>
        <w:rPr>
          <w:noProof/>
        </w:rPr>
        <w:t xml:space="preserve">Până la data de 31 martie a fiecărui an calendaristic, toți furnizorii de servicii de livrare de colete trebuie să prezinte următoarele informații autorității naționale de reglementare din statul membru în care își au sediul: </w:t>
      </w:r>
    </w:p>
    <w:p>
      <w:pPr>
        <w:pStyle w:val="Point1letter"/>
        <w:numPr>
          <w:ilvl w:val="3"/>
          <w:numId w:val="25"/>
        </w:numPr>
        <w:spacing w:before="0" w:after="240" w:line="276" w:lineRule="auto"/>
        <w:rPr>
          <w:noProof/>
        </w:rPr>
      </w:pPr>
      <w:r>
        <w:rPr>
          <w:noProof/>
        </w:rPr>
        <w:t>cifra de afaceri anuală generată de serviciile de livrare de colete în anul calendaristic precedent în statul membru în care este stabilit furnizorul, defalcată în funcție de serviciile de livrare de colete referitoare la trimiteri poștale naționale și transfrontaliere care au sosit și care au plecat;</w:t>
      </w:r>
    </w:p>
    <w:p>
      <w:pPr>
        <w:pStyle w:val="Point1letter"/>
        <w:spacing w:before="0" w:after="240" w:line="276" w:lineRule="auto"/>
        <w:rPr>
          <w:noProof/>
        </w:rPr>
      </w:pPr>
      <w:r>
        <w:rPr>
          <w:noProof/>
        </w:rPr>
        <w:t xml:space="preserve">numărul de persoane care au lucrat pentru furnizor și care au fost implicate în anul calendaristic precedent în furnizarea de servicii de livrare de colete în statul membru în care furnizorul este stabilit </w:t>
      </w:r>
    </w:p>
    <w:p>
      <w:pPr>
        <w:pStyle w:val="Point1letter"/>
        <w:spacing w:before="0" w:after="240" w:line="276" w:lineRule="auto"/>
        <w:rPr>
          <w:noProof/>
        </w:rPr>
      </w:pPr>
      <w:r>
        <w:rPr>
          <w:noProof/>
        </w:rPr>
        <w:t>numărul de trimiteri poștale, altele decât elementele de corespondență și a căror greutate nu depășește 31,5 kg, manipulate în anul calendaristic precedent în statul membru în care furnizorul este stabilit, defalcat în funcție de trimiterile poștale naționale și transfrontaliere care au sosit și care au plecat.</w:t>
      </w:r>
    </w:p>
    <w:p>
      <w:pPr>
        <w:pStyle w:val="ManualNumPar1"/>
        <w:rPr>
          <w:noProof/>
        </w:rPr>
      </w:pPr>
      <w:r>
        <w:t>4.</w:t>
      </w:r>
      <w:r>
        <w:tab/>
      </w:r>
      <w:r>
        <w:rPr>
          <w:noProof/>
        </w:rPr>
        <w:t xml:space="preserve">Prin intermediul unui act de punere în aplicare, Comisia elaborează un formular de transmitere a informațiilor menționate la alineatul (1) din prezentul articol. Respectivele acte de punere în aplicare se adoptă în conformitate cu procedura de examinare menționată la articolul 9. </w:t>
      </w:r>
    </w:p>
    <w:p>
      <w:pPr>
        <w:pStyle w:val="ManualNumPar1"/>
        <w:rPr>
          <w:noProof/>
        </w:rPr>
      </w:pPr>
      <w:r>
        <w:t>5.</w:t>
      </w:r>
      <w:r>
        <w:tab/>
      </w:r>
      <w:r>
        <w:rPr>
          <w:noProof/>
        </w:rPr>
        <w:t>Autoritățile naționale de reglementare pot impune cerințe suplimentare în materie de informare, în plus față de cele menționate la alineatele (1) și (2), în cazul în care acestea sunt necesare în vederea asigurării conformității cu prezentul regulament.</w:t>
      </w:r>
    </w:p>
    <w:p>
      <w:pPr>
        <w:pStyle w:val="ManualNumPar1"/>
        <w:rPr>
          <w:noProof/>
        </w:rPr>
      </w:pPr>
      <w:r>
        <w:t>6.</w:t>
      </w:r>
      <w:r>
        <w:tab/>
      </w:r>
      <w:r>
        <w:rPr>
          <w:noProof/>
        </w:rPr>
        <w:t>Un furnizor de servicii de livrare de colete care are în subordine mai puțin de 50 persoane nu face obiectul obligațiilor prevăzute la alineatele (1) și (2), cu excepția cazului în care furnizorul este stabilit în mai mult de un stat membru.</w:t>
      </w:r>
    </w:p>
    <w:p>
      <w:pPr>
        <w:pStyle w:val="Titrearticle"/>
        <w:rPr>
          <w:noProof/>
        </w:rPr>
      </w:pPr>
      <w:r>
        <w:rPr>
          <w:noProof/>
        </w:rPr>
        <w:t>Articolul 4</w:t>
      </w:r>
      <w:r>
        <w:rPr>
          <w:noProof/>
        </w:rPr>
        <w:br/>
        <w:t>Transparența tarifelor și a ratelor terminale</w:t>
      </w:r>
    </w:p>
    <w:p>
      <w:pPr>
        <w:pStyle w:val="ManualNumPar1"/>
        <w:rPr>
          <w:noProof/>
        </w:rPr>
      </w:pPr>
      <w:r>
        <w:t>1.</w:t>
      </w:r>
      <w:r>
        <w:tab/>
      </w:r>
      <w:r>
        <w:rPr>
          <w:noProof/>
        </w:rPr>
        <w:t>Furnizorii de serviciu universal care furnizează servicii de livrare de colete pun la dispoziția autorității naționale de reglementare din statul membru în care sunt stabiliți lista publică a tarifelor aplicabile începând cu data de 1 ianuarie a fiecărui an calendaristic, pentru livrarea trimiterilor poștale care intră în categoriile enumerate în anexă. Aceste informații sunt puse la dispoziție, până cel târziu la data de 31 ianuarie a fiecărui an calendaristic.</w:t>
      </w:r>
    </w:p>
    <w:p>
      <w:pPr>
        <w:pStyle w:val="ManualNumPar1"/>
        <w:rPr>
          <w:noProof/>
        </w:rPr>
      </w:pPr>
      <w:r>
        <w:t>2.</w:t>
      </w:r>
      <w:r>
        <w:tab/>
      </w:r>
      <w:r>
        <w:rPr>
          <w:noProof/>
        </w:rPr>
        <w:t>Autoritățile naționale de reglementare transmit Comisiei, fără întârziere și până cel târziu la data de 28 februarie a fiecărui an calendaristic, listele tarifelor obținute în conformitate cu alineatul (1). Comisia publică aceste liste pe un site web special creat, până cel târziu la data de 30 aprilie a fiecărui an calendaristic.</w:t>
      </w:r>
    </w:p>
    <w:p>
      <w:pPr>
        <w:pStyle w:val="ManualNumPar1"/>
        <w:rPr>
          <w:noProof/>
        </w:rPr>
      </w:pPr>
      <w:r>
        <w:t>3.</w:t>
      </w:r>
      <w:r>
        <w:tab/>
      </w:r>
      <w:r>
        <w:rPr>
          <w:noProof/>
        </w:rPr>
        <w:t>Furnizorii de serviciu universal care oferă servicii de livrare de colete pun la dispoziția autorității naționale de reglementare tarifele terminale aplicabile la data de 1 ianuarie a fiecărui an calendaristic pentru trimiterile poștale provenind din alte state membre. Aceste informații sunt puse la dispoziție până cel târziu la data de 31 ianuarie a fiecărui an calendaristic.</w:t>
      </w:r>
    </w:p>
    <w:p>
      <w:pPr>
        <w:pStyle w:val="ManualNumPar1"/>
        <w:rPr>
          <w:noProof/>
        </w:rPr>
      </w:pPr>
      <w:r>
        <w:t>4.</w:t>
      </w:r>
      <w:r>
        <w:tab/>
      </w:r>
      <w:r>
        <w:rPr>
          <w:noProof/>
        </w:rPr>
        <w:t xml:space="preserve">Autoritățile naționale de reglementare transmit Comisiei și autorităților naționale de reglementare din statul membru de origine ratele terminale obținute în conformitate cu alineatul (3), până cel târziu la data de 28 februarie a fiecărui an calendaristic. </w:t>
      </w:r>
    </w:p>
    <w:p>
      <w:pPr>
        <w:pStyle w:val="Titrearticle"/>
        <w:rPr>
          <w:noProof/>
        </w:rPr>
      </w:pPr>
      <w:r>
        <w:rPr>
          <w:noProof/>
        </w:rPr>
        <w:t>Articolul 5</w:t>
      </w:r>
      <w:r>
        <w:rPr>
          <w:noProof/>
        </w:rPr>
        <w:br/>
        <w:t>Evaluarea caracterului abordabil al tarifelor</w:t>
      </w:r>
    </w:p>
    <w:p>
      <w:pPr>
        <w:pStyle w:val="ManualNumPar1"/>
        <w:rPr>
          <w:noProof/>
        </w:rPr>
      </w:pPr>
      <w:r>
        <w:t>1.</w:t>
      </w:r>
      <w:r>
        <w:tab/>
      </w:r>
      <w:r>
        <w:rPr>
          <w:noProof/>
        </w:rPr>
        <w:t>Autoritatea națională de reglementare evaluează caracterul abordabil al tarifelor transfrontaliere incluse în listele publice ale tarifelor obținute în conformitate cu articolul 4 alineatul (1), în termen de 3 luni de la primirea informațiilor respective. În cadrul evaluării respective, se iau în considerare, în special, următoarele elemente:</w:t>
      </w:r>
    </w:p>
    <w:p>
      <w:pPr>
        <w:pStyle w:val="Point1letter"/>
        <w:numPr>
          <w:ilvl w:val="3"/>
          <w:numId w:val="28"/>
        </w:numPr>
        <w:spacing w:before="0" w:after="240" w:line="276" w:lineRule="auto"/>
        <w:rPr>
          <w:noProof/>
        </w:rPr>
      </w:pPr>
      <w:r>
        <w:rPr>
          <w:noProof/>
        </w:rPr>
        <w:t>tarifele naționale aplicabile serviciilor de livrare de colete comparabile în statul membru de origine și în statul membru de destinație;</w:t>
      </w:r>
    </w:p>
    <w:p>
      <w:pPr>
        <w:pStyle w:val="Point1letter"/>
        <w:spacing w:before="0" w:after="240" w:line="276" w:lineRule="auto"/>
        <w:rPr>
          <w:noProof/>
        </w:rPr>
      </w:pPr>
      <w:r>
        <w:rPr>
          <w:noProof/>
        </w:rPr>
        <w:t>ratele terminale obținute în conformitate cu articolul 4 alineatul (3);</w:t>
      </w:r>
    </w:p>
    <w:p>
      <w:pPr>
        <w:pStyle w:val="Point1letter"/>
        <w:spacing w:before="0" w:after="240" w:line="276" w:lineRule="auto"/>
        <w:rPr>
          <w:noProof/>
        </w:rPr>
      </w:pPr>
      <w:r>
        <w:rPr>
          <w:noProof/>
        </w:rPr>
        <w:t>orice aplicare a unui tarif uniform în două sau mai multe state membre.</w:t>
      </w:r>
    </w:p>
    <w:p>
      <w:pPr>
        <w:pStyle w:val="ManualNumPar1"/>
        <w:rPr>
          <w:noProof/>
        </w:rPr>
      </w:pPr>
      <w:r>
        <w:t>2.</w:t>
      </w:r>
      <w:r>
        <w:tab/>
      </w:r>
      <w:r>
        <w:rPr>
          <w:noProof/>
        </w:rPr>
        <w:t xml:space="preserve">În cazul în care autoritatea națională de reglementare constată că tarifele transfrontaliere menționate la alineatul (1) nu sunt abordabile, aceasta trebuie să solicite informațiile suplimentare și/sau justificarea necesare în ceea ce privește nivelul acestor tarife practicate de furnizorul de serviciu universal. </w:t>
      </w:r>
    </w:p>
    <w:p>
      <w:pPr>
        <w:pStyle w:val="ManualNumPar1"/>
        <w:rPr>
          <w:noProof/>
        </w:rPr>
      </w:pPr>
      <w:r>
        <w:t>3.</w:t>
      </w:r>
      <w:r>
        <w:tab/>
      </w:r>
      <w:r>
        <w:rPr>
          <w:noProof/>
        </w:rPr>
        <w:t>Furnizorul de serviciu universal pune la dispoziția autorității naționale de reglementare informațiile și/sau justificarea menționate la alineatul (2) în termen de 15 de zile lucrătoare de la primirea cererii.</w:t>
      </w:r>
    </w:p>
    <w:p>
      <w:pPr>
        <w:pStyle w:val="ManualNumPar1"/>
        <w:rPr>
          <w:noProof/>
        </w:rPr>
      </w:pPr>
      <w:r>
        <w:t>4.</w:t>
      </w:r>
      <w:r>
        <w:tab/>
      </w:r>
      <w:r>
        <w:rPr>
          <w:noProof/>
        </w:rPr>
        <w:t>Autoritatea națională de reglementare transmite evaluarea, inclusiv orice informații și/sau justificare furnizate în conformitate cu alineatul (3), Comisiei, autorităților naționale de reglementare din celelalte state membre și autorităților naționale din statul membru al autorității naționale de reglementare responsabile cu punerea în aplicare a legislației în materie de concurență. O versiune neconfidențială a acestei evaluări este pusă, de asemenea, la dispoziția Comisiei.</w:t>
      </w:r>
      <w:r>
        <w:rPr>
          <w:i/>
          <w:noProof/>
        </w:rPr>
        <w:t xml:space="preserve"> </w:t>
      </w:r>
      <w:r>
        <w:rPr>
          <w:noProof/>
        </w:rPr>
        <w:t>Informațiile respective sunt furnizate până cel târziu la data de 31 martie a fiecărui an calendaristic.</w:t>
      </w:r>
    </w:p>
    <w:p>
      <w:pPr>
        <w:pStyle w:val="ManualNumPar1"/>
        <w:rPr>
          <w:noProof/>
        </w:rPr>
      </w:pPr>
      <w:r>
        <w:t>5.</w:t>
      </w:r>
      <w:r>
        <w:tab/>
      </w:r>
      <w:r>
        <w:rPr>
          <w:noProof/>
        </w:rPr>
        <w:t>Comisia publică versiunea neconfidențială a evaluării furnizate de autoritățile naționale de reglementare în conformitate cu alineatul (4), pe site-ul web special creat până cel târziu la data de 30 aprilie a fiecărui an calendaristic.</w:t>
      </w:r>
    </w:p>
    <w:p>
      <w:pPr>
        <w:pStyle w:val="Titrearticle"/>
        <w:rPr>
          <w:noProof/>
        </w:rPr>
      </w:pPr>
      <w:r>
        <w:rPr>
          <w:noProof/>
        </w:rPr>
        <w:t>Articolul 6</w:t>
      </w:r>
      <w:r>
        <w:rPr>
          <w:noProof/>
        </w:rPr>
        <w:br/>
        <w:t>Accesul transfrontalier transparent și nediscriminatoriu</w:t>
      </w:r>
    </w:p>
    <w:p>
      <w:pPr>
        <w:pStyle w:val="ManualNumPar1"/>
        <w:rPr>
          <w:noProof/>
        </w:rPr>
      </w:pPr>
      <w:r>
        <w:t>1.</w:t>
      </w:r>
      <w:r>
        <w:tab/>
      </w:r>
      <w:r>
        <w:rPr>
          <w:noProof/>
        </w:rPr>
        <w:t xml:space="preserve">Ori de câte ori furnizorii de serviciu universal care furnizează servicii de livrare de colete încheie acorduri multilaterale cu privire la ratele terminale, ei trebuie să onoreze toate solicitările rezonabile de acces la toate elementele de rețea și la instalațiile aferente, precum și la serviciile relevante și la sistemele de informare, necesare pentru furnizarea de servicii de livrare transfrontalieră de colete. </w:t>
      </w:r>
    </w:p>
    <w:p>
      <w:pPr>
        <w:pStyle w:val="ManualNumPar1"/>
        <w:rPr>
          <w:noProof/>
        </w:rPr>
      </w:pPr>
      <w:r>
        <w:t>2.</w:t>
      </w:r>
      <w:r>
        <w:tab/>
      </w:r>
      <w:r>
        <w:rPr>
          <w:noProof/>
        </w:rPr>
        <w:t>Punctul în care ar trebui să se asigure accesul este biroul de schimb de sosire din statul membru de destinație.</w:t>
      </w:r>
    </w:p>
    <w:p>
      <w:pPr>
        <w:pStyle w:val="ManualNumPar1"/>
        <w:rPr>
          <w:noProof/>
        </w:rPr>
      </w:pPr>
      <w:r>
        <w:t>3.</w:t>
      </w:r>
      <w:r>
        <w:tab/>
      </w:r>
      <w:r>
        <w:rPr>
          <w:noProof/>
        </w:rPr>
        <w:t xml:space="preserve">Furnizorii de serviciu universal menționați la alineatul (1) publică o ofertă de referință. Oferta de referință conține toți termenii și toate condițiile relevante în acest sens, inclusiv prețurile. </w:t>
      </w:r>
    </w:p>
    <w:p>
      <w:pPr>
        <w:pStyle w:val="ManualNumPar1"/>
        <w:rPr>
          <w:noProof/>
        </w:rPr>
      </w:pPr>
      <w:r>
        <w:t>4.</w:t>
      </w:r>
      <w:r>
        <w:tab/>
      </w:r>
      <w:r>
        <w:rPr>
          <w:noProof/>
        </w:rPr>
        <w:t xml:space="preserve">Oferta de referință include toate elementele necesare pentru furnizarea accesului conform dispozițiilor de la alineatul (1), inclusiv condițiile care limitează accesul la servicii și/sau utilizarea acestora în cazul în care aceste condiții sunt autorizate de statele membre în conformitate cu dreptul Uniunii. </w:t>
      </w:r>
    </w:p>
    <w:p>
      <w:pPr>
        <w:pStyle w:val="ManualNumPar1"/>
        <w:rPr>
          <w:noProof/>
        </w:rPr>
      </w:pPr>
      <w:r>
        <w:t>5.</w:t>
      </w:r>
      <w:r>
        <w:tab/>
      </w:r>
      <w:r>
        <w:rPr>
          <w:noProof/>
        </w:rPr>
        <w:t>Înainte de a fi publicată, oferta de referință trebuie să fie aprobată de autoritatea națională de reglementare. Autoritatea națională de reglementare poate, dacă este necesar, să impună schimbări în oferta de referință pentru ca obligațiile prevăzute în prezentul regulament să producă efecte.</w:t>
      </w:r>
    </w:p>
    <w:p>
      <w:pPr>
        <w:pStyle w:val="ManualNumPar1"/>
        <w:rPr>
          <w:noProof/>
        </w:rPr>
      </w:pPr>
      <w:r>
        <w:t>6.</w:t>
      </w:r>
      <w:r>
        <w:tab/>
      </w:r>
      <w:r>
        <w:rPr>
          <w:noProof/>
        </w:rPr>
        <w:t xml:space="preserve">La cerere și pe baza unei oferte de referință, furnizorii de serviciu universal menționați la alineatul (1) pun o ofertă individuală la dispoziția unui furnizor de servicii de livrare de colete care solicită accesul în sensul alineatului respectiv, cel târziu la o lună de la primirea solicitării. Furnizorii de serviciu universal care primesc o cerere de acces și furnizorii care solicită accesul negociază cu bună-credință. </w:t>
      </w:r>
    </w:p>
    <w:p>
      <w:pPr>
        <w:pStyle w:val="ManualNumPar1"/>
        <w:rPr>
          <w:noProof/>
        </w:rPr>
      </w:pPr>
      <w:r>
        <w:t>7.</w:t>
      </w:r>
      <w:r>
        <w:tab/>
      </w:r>
      <w:r>
        <w:rPr>
          <w:noProof/>
        </w:rPr>
        <w:t>În cazul în care nu se ajunge la niciun acord pe baza ofertei individuale menționate la alineatul (6), furnizorul de servicii de livrare de colete care solicită accesul poate înainta autorității naționale de reglementare oferta individuală făcută de furnizorul de serviciu universal. În caz de necesitate, autoritatea națională de reglementare modifică oferta individuală pentru ca obligațiile prevăzute în prezentul articol să producă efecte.</w:t>
      </w:r>
    </w:p>
    <w:p>
      <w:pPr>
        <w:pStyle w:val="ManualNumPar1"/>
        <w:rPr>
          <w:noProof/>
        </w:rPr>
      </w:pPr>
      <w:r>
        <w:t>8.</w:t>
      </w:r>
      <w:r>
        <w:tab/>
      </w:r>
      <w:r>
        <w:rPr>
          <w:noProof/>
        </w:rPr>
        <w:t>Accesul este asigurat în mod operațional într-o perioadă de timp rezonabilă, care nu trebuie să depășească trei luni de la data încheierii contractului.</w:t>
      </w:r>
    </w:p>
    <w:p>
      <w:pPr>
        <w:pStyle w:val="SectionTitle"/>
        <w:rPr>
          <w:noProof/>
        </w:rPr>
      </w:pPr>
      <w:r>
        <w:rPr>
          <w:noProof/>
        </w:rPr>
        <w:t>Capitolul III</w:t>
      </w:r>
    </w:p>
    <w:p>
      <w:pPr>
        <w:pStyle w:val="NormalCentered"/>
        <w:rPr>
          <w:b/>
          <w:noProof/>
        </w:rPr>
      </w:pPr>
      <w:r>
        <w:rPr>
          <w:b/>
          <w:noProof/>
        </w:rPr>
        <w:t>Punerea în aplicare, revizuirea și intrarea în vigoare</w:t>
      </w:r>
    </w:p>
    <w:p>
      <w:pPr>
        <w:pStyle w:val="Titrearticle"/>
        <w:rPr>
          <w:noProof/>
        </w:rPr>
      </w:pPr>
      <w:r>
        <w:rPr>
          <w:noProof/>
        </w:rPr>
        <w:t>Articolul 7</w:t>
      </w:r>
      <w:r>
        <w:rPr>
          <w:noProof/>
        </w:rPr>
        <w:br/>
        <w:t>Sancțiuni</w:t>
      </w:r>
    </w:p>
    <w:p>
      <w:pPr>
        <w:rPr>
          <w:noProof/>
        </w:rPr>
      </w:pPr>
      <w:r>
        <w:rPr>
          <w:noProof/>
        </w:rPr>
        <w:t>Statele membre stabilesc normele privind sancțiunile aplicabile în cazul încălcării dispozițiilor prezentului regulament și iau toate măsurile necesare pentru a garanta punerea în aplicare a acestora. Sancțiunile prevăzute trebuie să fie eficace, proporționale și disuasive.</w:t>
      </w:r>
    </w:p>
    <w:p>
      <w:pPr>
        <w:rPr>
          <w:noProof/>
        </w:rPr>
      </w:pPr>
      <w:r>
        <w:rPr>
          <w:noProof/>
        </w:rPr>
        <w:t>Statele membre notifică aceste dispoziții Comisiei până la data de XX, precum și, fără întârziere, orice modificare ulterioară adusă acestora.</w:t>
      </w:r>
    </w:p>
    <w:p>
      <w:pPr>
        <w:pStyle w:val="Titrearticle"/>
        <w:rPr>
          <w:noProof/>
        </w:rPr>
      </w:pPr>
      <w:r>
        <w:rPr>
          <w:noProof/>
        </w:rPr>
        <w:t>Articolul 8</w:t>
      </w:r>
      <w:r>
        <w:rPr>
          <w:noProof/>
        </w:rPr>
        <w:br/>
        <w:t>Revizuire</w:t>
      </w:r>
    </w:p>
    <w:p>
      <w:pPr>
        <w:rPr>
          <w:noProof/>
        </w:rPr>
      </w:pPr>
      <w:r>
        <w:rPr>
          <w:noProof/>
        </w:rPr>
        <w:t>Înainte de data de XX/XX/2019, și, ulterior, la fiecare patru ani, Comisia prezintă Parlamentului European, Consiliului și Comitetului Economic și Social un raport de evaluare privind punerea în aplicare a prezentului regulament însoțit, după caz, de o propunere de revizuire.</w:t>
      </w:r>
    </w:p>
    <w:p>
      <w:pPr>
        <w:rPr>
          <w:noProof/>
        </w:rPr>
      </w:pPr>
      <w:r>
        <w:rPr>
          <w:noProof/>
        </w:rPr>
        <w:t>Comisia evaluează cel puțin următoarele aspecte:</w:t>
      </w:r>
    </w:p>
    <w:p>
      <w:pPr>
        <w:pStyle w:val="Point1letter"/>
        <w:numPr>
          <w:ilvl w:val="3"/>
          <w:numId w:val="30"/>
        </w:numPr>
        <w:rPr>
          <w:noProof/>
        </w:rPr>
      </w:pPr>
      <w:r>
        <w:rPr>
          <w:noProof/>
        </w:rPr>
        <w:t>dacă s-a îmbunătățit caracterul abordabil al serviciilor de livrare transfrontalieră de colete, inclusiv pentru utilizatorii din zonele îndepărtate sau slab populate;</w:t>
      </w:r>
    </w:p>
    <w:p>
      <w:pPr>
        <w:pStyle w:val="Point1letter"/>
        <w:rPr>
          <w:noProof/>
        </w:rPr>
      </w:pPr>
      <w:r>
        <w:rPr>
          <w:noProof/>
        </w:rPr>
        <w:t>măsura în care furnizorii de serviciu universal care furnizează servicii de livrare de colete au asigurat, în mod transparent și nediscriminatoriu, accesul transfrontalier cu ridicata vizat la articolul 6;</w:t>
      </w:r>
    </w:p>
    <w:p>
      <w:pPr>
        <w:pStyle w:val="Point1letter"/>
        <w:rPr>
          <w:noProof/>
        </w:rPr>
      </w:pPr>
      <w:r>
        <w:rPr>
          <w:noProof/>
        </w:rPr>
        <w:t xml:space="preserve">măsura în care autoritățile naționale de reglementare au întâmpinat dificultăți în ceea ce privește aplicarea prezentului regulament; </w:t>
      </w:r>
    </w:p>
    <w:p>
      <w:pPr>
        <w:pStyle w:val="Point1letter"/>
        <w:rPr>
          <w:noProof/>
        </w:rPr>
      </w:pPr>
      <w:r>
        <w:rPr>
          <w:noProof/>
        </w:rPr>
        <w:t>progresele înregistrate cu privire la alte inițiative de finalizare a pieței unice pentru serviciile de livrare de colete.</w:t>
      </w:r>
    </w:p>
    <w:p>
      <w:pPr>
        <w:pStyle w:val="Titrearticle"/>
        <w:rPr>
          <w:noProof/>
        </w:rPr>
      </w:pPr>
      <w:r>
        <w:rPr>
          <w:noProof/>
        </w:rPr>
        <w:t>Articolul 9</w:t>
      </w:r>
      <w:r>
        <w:rPr>
          <w:noProof/>
        </w:rPr>
        <w:br/>
        <w:t xml:space="preserve">Procedura comitetelor </w:t>
      </w:r>
    </w:p>
    <w:p>
      <w:pPr>
        <w:pStyle w:val="ManualNumPar1"/>
        <w:rPr>
          <w:noProof/>
        </w:rPr>
      </w:pPr>
      <w:r>
        <w:t>1.</w:t>
      </w:r>
      <w:r>
        <w:tab/>
      </w:r>
      <w:r>
        <w:rPr>
          <w:noProof/>
        </w:rPr>
        <w:t xml:space="preserve">Comisia este asistată de Comitetul responsabil cu Directiva privind serviciile poștale instituit în temeiul articolului 21 din Directiva 97/67/CE. Comitetul este un comitet în sensul definiției din Regulamentul (UE) nr. 182/2011. </w:t>
      </w:r>
    </w:p>
    <w:p>
      <w:pPr>
        <w:pStyle w:val="ManualNumPar1"/>
        <w:rPr>
          <w:noProof/>
        </w:rPr>
      </w:pPr>
      <w:r>
        <w:t>2.</w:t>
      </w:r>
      <w:r>
        <w:tab/>
      </w:r>
      <w:r>
        <w:rPr>
          <w:noProof/>
        </w:rPr>
        <w:t xml:space="preserve">Atunci când se face trimitere la prezentul alineat, se aplică articolul 5 din Regulamentul (UE) nr. 182/2011. </w:t>
      </w:r>
    </w:p>
    <w:p>
      <w:pPr>
        <w:pStyle w:val="Titrearticle"/>
        <w:rPr>
          <w:noProof/>
        </w:rPr>
      </w:pPr>
      <w:r>
        <w:rPr>
          <w:noProof/>
        </w:rPr>
        <w:t>Articolul 10</w:t>
      </w:r>
      <w:r>
        <w:rPr>
          <w:noProof/>
        </w:rPr>
        <w:br/>
        <w:t>Intrarea în vigoare</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Sondajul Eurobarometru Flash 413</w:t>
      </w:r>
    </w:p>
  </w:footnote>
  <w:footnote w:id="3">
    <w:p>
      <w:pPr>
        <w:pStyle w:val="FootnoteText"/>
        <w:rPr>
          <w:rStyle w:val="FootnoteReference"/>
          <w:vertAlign w:val="baseline"/>
        </w:rPr>
      </w:pPr>
      <w:r>
        <w:rPr>
          <w:rStyle w:val="FootnoteReference"/>
        </w:rPr>
        <w:footnoteRef/>
      </w:r>
      <w:r>
        <w:tab/>
      </w:r>
      <w:r>
        <w:rPr>
          <w:rStyle w:val="FootnoteReference"/>
          <w:vertAlign w:val="baseline"/>
        </w:rPr>
        <w:t xml:space="preserve">Serviciul de Cercetare al Parlamentului European, </w:t>
      </w:r>
      <w:r>
        <w:rPr>
          <w:rStyle w:val="FootnoteReference"/>
          <w:i/>
          <w:vertAlign w:val="baseline"/>
        </w:rPr>
        <w:t>Mapping the cost of Non-Europe</w:t>
      </w:r>
      <w:r>
        <w:rPr>
          <w:rStyle w:val="FootnoteReference"/>
          <w:vertAlign w:val="baseline"/>
        </w:rPr>
        <w:t>, 2014-19 (2015).</w:t>
      </w:r>
    </w:p>
  </w:footnote>
  <w:footnote w:id="4">
    <w:p>
      <w:pPr>
        <w:pStyle w:val="FootnoteText"/>
      </w:pPr>
      <w:r>
        <w:rPr>
          <w:rStyle w:val="FootnoteReference"/>
        </w:rPr>
        <w:footnoteRef/>
      </w:r>
      <w:r>
        <w:tab/>
        <w:t>SWD(2015) 100 final.</w:t>
      </w:r>
    </w:p>
  </w:footnote>
  <w:footnote w:id="5">
    <w:p>
      <w:pPr>
        <w:pStyle w:val="FootnoteText"/>
      </w:pPr>
      <w:r>
        <w:rPr>
          <w:rStyle w:val="FootnoteReference"/>
        </w:rPr>
        <w:footnoteRef/>
      </w:r>
      <w:r>
        <w:tab/>
        <w:t xml:space="preserve">COM(2015) 192 final. </w:t>
      </w:r>
    </w:p>
    <w:p>
      <w:pPr>
        <w:pStyle w:val="FootnoteText"/>
        <w:ind w:firstLine="0"/>
      </w:pPr>
      <w:hyperlink r:id="rId1">
        <w:r>
          <w:rPr>
            <w:rStyle w:val="Hyperlink"/>
          </w:rPr>
          <w:t>http://ec.europa.eu/priorities/digital-single-market/docs/dsm-communication_en.pdf</w:t>
        </w:r>
      </w:hyperlink>
      <w:r>
        <w:t xml:space="preserve"> </w:t>
      </w:r>
    </w:p>
  </w:footnote>
  <w:footnote w:id="6">
    <w:p>
      <w:pPr>
        <w:pStyle w:val="FootnoteText"/>
      </w:pPr>
      <w:r>
        <w:rPr>
          <w:rStyle w:val="FootnoteReference"/>
        </w:rPr>
        <w:footnoteRef/>
      </w:r>
      <w:r>
        <w:tab/>
        <w:t>Un procent de 83,5 % dintre consumatorii care au răspuns la consultarea lansată de Comisie cu privire la discriminarea geografică au considerat că aceasta nu este justificată atunci când livrarea transfrontalieră poate fi realizată cu ușurință, iar clientul este dispus să plătească costuri de transport suplimentare (</w:t>
      </w:r>
      <w:hyperlink r:id="rId2">
        <w:r>
          <w:rPr>
            <w:rStyle w:val="Hyperlink"/>
          </w:rPr>
          <w:t>https://ec.europa.eu/digital-agenda</w:t>
        </w:r>
      </w:hyperlink>
      <w:r>
        <w:t>).</w:t>
      </w:r>
    </w:p>
  </w:footnote>
  <w:footnote w:id="7">
    <w:p>
      <w:pPr>
        <w:pStyle w:val="FootnoteText"/>
      </w:pPr>
      <w:r>
        <w:rPr>
          <w:rStyle w:val="FootnoteReference"/>
        </w:rPr>
        <w:footnoteRef/>
      </w:r>
      <w:r>
        <w:tab/>
        <w:t>COM(2011) 942 final.</w:t>
      </w:r>
    </w:p>
  </w:footnote>
  <w:footnote w:id="8">
    <w:p>
      <w:pPr>
        <w:pStyle w:val="FootnoteText"/>
        <w:jc w:val="left"/>
      </w:pPr>
      <w:r>
        <w:rPr>
          <w:rStyle w:val="FootnoteReference"/>
        </w:rPr>
        <w:footnoteRef/>
      </w:r>
      <w:r>
        <w:tab/>
        <w:t>COM(2013) 886 final.</w:t>
      </w:r>
    </w:p>
  </w:footnote>
  <w:footnote w:id="9">
    <w:p>
      <w:pPr>
        <w:pStyle w:val="FootnoteText"/>
      </w:pPr>
      <w:r>
        <w:rPr>
          <w:rStyle w:val="FootnoteReference"/>
        </w:rPr>
        <w:footnoteRef/>
      </w:r>
      <w:r>
        <w:tab/>
        <w:t>Cererea de standardizare este prevăzută în Programul de lucru anual al Uniunii privind standardizarea europeană pentru 2015 - COM(2014) 500 final, 30.7.2014; acesta este în prezent în curs de adoptare.</w:t>
      </w:r>
    </w:p>
  </w:footnote>
  <w:footnote w:id="10">
    <w:p>
      <w:pPr>
        <w:pStyle w:val="FootnoteText"/>
      </w:pPr>
      <w:r>
        <w:rPr>
          <w:rStyle w:val="FootnoteReference"/>
        </w:rPr>
        <w:footnoteRef/>
      </w:r>
      <w:r>
        <w:tab/>
        <w:t xml:space="preserve">A se vedea </w:t>
      </w:r>
      <w:hyperlink r:id="rId3" w:anchor="!publications/c1351">
        <w:r>
          <w:rPr>
            <w:rStyle w:val="Hyperlink"/>
          </w:rPr>
          <w:t>http://www.emota.eu/#!publications/c1351</w:t>
        </w:r>
      </w:hyperlink>
      <w:r>
        <w:t xml:space="preserve"> și </w:t>
      </w:r>
      <w:hyperlink r:id="rId4">
        <w:r>
          <w:rPr>
            <w:rStyle w:val="Hyperlink"/>
          </w:rPr>
          <w:t>http://www.ecommerce-europe.eu/trustmark</w:t>
        </w:r>
      </w:hyperlink>
      <w:r>
        <w:t xml:space="preserve"> </w:t>
      </w:r>
    </w:p>
  </w:footnote>
  <w:footnote w:id="11">
    <w:p>
      <w:pPr>
        <w:pStyle w:val="FootnoteText"/>
      </w:pPr>
      <w:r>
        <w:rPr>
          <w:rStyle w:val="FootnoteReference"/>
        </w:rPr>
        <w:footnoteRef/>
      </w:r>
      <w:r>
        <w:tab/>
        <w:t xml:space="preserve">BEREC-ERGP, </w:t>
      </w:r>
      <w:r>
        <w:rPr>
          <w:i/>
        </w:rPr>
        <w:t xml:space="preserve">Price Transparency and regulatory oversight of cross-border parcels delivery, taking into account possible regulatory insights form the electronic communications sector </w:t>
      </w:r>
      <w:r>
        <w:t>(Transparența prețurilor și supravegherea reglementară a livrării transfrontaliere de colete, ținând seama de eventualele cunoștințe în materie de reglementare din sectorul comunicațiilor electronice), 2015.</w:t>
      </w:r>
    </w:p>
  </w:footnote>
  <w:footnote w:id="12">
    <w:p>
      <w:pPr>
        <w:pStyle w:val="FootnoteText"/>
      </w:pPr>
      <w:r>
        <w:rPr>
          <w:rStyle w:val="FootnoteReference"/>
        </w:rPr>
        <w:footnoteRef/>
      </w:r>
      <w:r>
        <w:tab/>
        <w:t>În mod tradițional, nici serviciile de colete nu au făcut obiectul unui sector aparte, astfel cum s-a întâmplat în cazul serviciilor de expediere de scrisori.</w:t>
      </w:r>
    </w:p>
  </w:footnote>
  <w:footnote w:id="13">
    <w:p>
      <w:pPr>
        <w:pStyle w:val="FootnoteText"/>
      </w:pPr>
      <w:r>
        <w:rPr>
          <w:rStyle w:val="FootnoteReference"/>
        </w:rPr>
        <w:footnoteRef/>
      </w:r>
      <w:r>
        <w:tab/>
        <w:t xml:space="preserve">Chiar și în 2007, poșta de scrisori reprezenta încă peste jumătate (52 %) din veniturile sectorului poștal european. În 2011, segmentul de colete și de curierat rapid reprezenta peste jumătate (52 %) din aceste venituri. WIK, </w:t>
      </w:r>
      <w:r>
        <w:rPr>
          <w:i/>
        </w:rPr>
        <w:t>Main developments in the postal sector</w:t>
      </w:r>
      <w:r>
        <w:t xml:space="preserve">, 2013. </w:t>
      </w:r>
    </w:p>
  </w:footnote>
  <w:footnote w:id="14">
    <w:p>
      <w:pPr>
        <w:pStyle w:val="FootnoteText"/>
      </w:pPr>
      <w:r>
        <w:rPr>
          <w:rStyle w:val="FootnoteReference"/>
        </w:rPr>
        <w:footnoteRef/>
      </w:r>
      <w:r>
        <w:tab/>
        <w:t xml:space="preserve">Comisia Europeană, </w:t>
      </w:r>
      <w:r>
        <w:rPr>
          <w:i/>
        </w:rPr>
        <w:t>Consumer survey identifying the main cross-border obstacles to the DSM and where they matter most</w:t>
      </w:r>
      <w:r>
        <w:t xml:space="preserve"> (Sondaj în rândul consumatorilor pentru identificarea principalelor obstacole în calea pieței unice digitale și domeniile în care au cel mai mare impact), 2015. Eurobarometrul special 398 din octombrie 2013, care a concluzionat că aproximativ 40 % dintre consumatori declară că problemele legate de livrare îi descurajează să facă achiziții online.</w:t>
      </w:r>
    </w:p>
  </w:footnote>
  <w:footnote w:id="15">
    <w:p>
      <w:pPr>
        <w:pStyle w:val="FootnoteText"/>
      </w:pPr>
      <w:r>
        <w:rPr>
          <w:rStyle w:val="FootnoteReference"/>
        </w:rPr>
        <w:footnoteRef/>
      </w:r>
      <w:r>
        <w:tab/>
        <w:t xml:space="preserve">Universitatea din St Louis, </w:t>
      </w:r>
      <w:r>
        <w:rPr>
          <w:i/>
          <w:sz w:val="18"/>
        </w:rPr>
        <w:t>Econometric study on cross-border prices</w:t>
      </w:r>
      <w:r>
        <w:t xml:space="preserve"> (Studiu econometric referitor la prețurile practicate la nivel transfrontalier), 2015. </w:t>
      </w:r>
    </w:p>
  </w:footnote>
  <w:footnote w:id="16">
    <w:p>
      <w:pPr>
        <w:pStyle w:val="FootnoteText"/>
      </w:pPr>
      <w:r>
        <w:rPr>
          <w:rStyle w:val="FootnoteReference"/>
        </w:rPr>
        <w:footnoteRef/>
      </w:r>
      <w:r>
        <w:tab/>
        <w:t xml:space="preserve">Peste jumătate dintre comercianții cu amănuntul care au răspuns la consultarea publică a Comisiei din 2015 privind livrarea transfrontalieră de colete, dintre care majoritatea au fost IMM-uri, au declarat că nu au beneficiat de reduceri. </w:t>
      </w:r>
    </w:p>
  </w:footnote>
  <w:footnote w:id="17">
    <w:p>
      <w:pPr>
        <w:pStyle w:val="FootnoteText"/>
      </w:pPr>
      <w:r>
        <w:rPr>
          <w:rStyle w:val="FootnoteReference"/>
        </w:rPr>
        <w:footnoteRef/>
      </w:r>
      <w:r>
        <w:tab/>
        <w:t xml:space="preserve">Un studiu realizat de Universitatea St. Louis a concluzionat că prețurile publice transfrontaliere percepute de furnizorii de serviciu universal sunt adesea de trei până la de cinci ori mai mari decât prețurile naționale echivalente. Deși aceste prețuri publice pot uneori să beneficieze de reduceri, în cazul în care se îndeplinesc condițiile relevante, ele ar rămâne totuși mai ridicate decât prețurile negociate individual. </w:t>
      </w:r>
    </w:p>
  </w:footnote>
  <w:footnote w:id="18">
    <w:p>
      <w:pPr>
        <w:pStyle w:val="FootnoteText"/>
        <w:rPr>
          <w:sz w:val="18"/>
          <w:szCs w:val="18"/>
        </w:rPr>
      </w:pPr>
      <w:r>
        <w:rPr>
          <w:rStyle w:val="FootnoteReference"/>
        </w:rPr>
        <w:footnoteRef/>
      </w:r>
      <w:r>
        <w:tab/>
        <w:t xml:space="preserve">În 2011, un studiu realizat de FTI Consulting și intitulat </w:t>
      </w:r>
      <w:r>
        <w:rPr>
          <w:i/>
          <w:sz w:val="18"/>
        </w:rPr>
        <w:t>Intra-Community cross-border parcel delivery</w:t>
      </w:r>
      <w:r>
        <w:t xml:space="preserve"> (Livrare transfrontalieră de colete în interiorul Comunității) a concluzionat că piața serviciilor de livrare de colete este duală, în special în zonele cu o densitate mică a populației, unde expeditorii mici și ocazionali nu au adesea nicio alternativă la operatorii poștali naționali, fiind nevoiți să plătească prețuri mai mari, în timp ce piața marilor expeditori s-a dovedit a fi concurențială.</w:t>
      </w:r>
      <w:r>
        <w:rPr>
          <w:sz w:val="18"/>
        </w:rPr>
        <w:t xml:space="preserve"> </w:t>
      </w:r>
    </w:p>
  </w:footnote>
  <w:footnote w:id="19">
    <w:p>
      <w:pPr>
        <w:pStyle w:val="FootnoteText"/>
      </w:pPr>
      <w:r>
        <w:rPr>
          <w:rStyle w:val="FootnoteReference"/>
        </w:rPr>
        <w:footnoteRef/>
      </w:r>
      <w:r>
        <w:tab/>
        <w:t>De exemplu, prețul practicat de DHL pentru livrări sau colectări de colete în zone îndepărtate din Finlanda este de 20 EUR (sau 0,30 EUR/kg dacă respectivul colet depășește o anumită limită). UPS percepe cu 30 % mai mult pentru livrări de colete de la Amsterdam la Den Burg (Insula Texel) decât pentru livrări de la Rotterdam la Amsterdam. Majoritatea furnizorilor de serviciu universal percep un tarif uniform, și anume același preț, pe întreg teritoriul național.</w:t>
      </w:r>
    </w:p>
  </w:footnote>
  <w:footnote w:id="20">
    <w:p>
      <w:pPr>
        <w:pStyle w:val="FootnoteText"/>
      </w:pPr>
      <w:r>
        <w:rPr>
          <w:rStyle w:val="FootnoteReference"/>
        </w:rPr>
        <w:footnoteRef/>
      </w:r>
      <w:r>
        <w:tab/>
      </w:r>
      <w:hyperlink r:id="rId5">
        <w:r>
          <w:rPr>
            <w:rStyle w:val="Hyperlink"/>
          </w:rPr>
          <w:t>http://ec.europa.eu/growth/smes/cosme/</w:t>
        </w:r>
      </w:hyperlink>
      <w:r>
        <w:t xml:space="preserve"> </w:t>
      </w:r>
    </w:p>
  </w:footnote>
  <w:footnote w:id="21">
    <w:p>
      <w:pPr>
        <w:pStyle w:val="FootnoteText"/>
      </w:pPr>
      <w:r>
        <w:rPr>
          <w:rStyle w:val="FootnoteReference"/>
        </w:rPr>
        <w:footnoteRef/>
      </w:r>
      <w:r>
        <w:tab/>
        <w:t xml:space="preserve">A se vedea, de exemplu, Copenhagen Economics, </w:t>
      </w:r>
      <w:r>
        <w:rPr>
          <w:i/>
        </w:rPr>
        <w:t>Principles of e-commerce delivery prices</w:t>
      </w:r>
      <w:r>
        <w:t xml:space="preserve"> (Principii de stabilire a prețurilor de livrare în cadrul comerțului electronic), 2016. </w:t>
      </w:r>
    </w:p>
  </w:footnote>
  <w:footnote w:id="22">
    <w:p>
      <w:pPr>
        <w:pStyle w:val="FootnoteText"/>
      </w:pPr>
      <w:r>
        <w:rPr>
          <w:rStyle w:val="FootnoteReference"/>
        </w:rPr>
        <w:footnoteRef/>
      </w:r>
      <w:r>
        <w:tab/>
        <w:t xml:space="preserve">Printre excepții se numără companii precum La Poste (Franța), care practică un tarif </w:t>
      </w:r>
      <w:r>
        <w:rPr>
          <w:i/>
        </w:rPr>
        <w:t>outre mer</w:t>
      </w:r>
      <w:r>
        <w:t xml:space="preserve"> (de peste mări) și Correos (Spania), care practică aceleași tarife pentru Peninsula Iberică și pentru Insulele Baleare și tarife separate pentru Insulele Canare, Ceuta, Melilla și Andorra.</w:t>
      </w:r>
    </w:p>
  </w:footnote>
  <w:footnote w:id="23">
    <w:p>
      <w:pPr>
        <w:pStyle w:val="FootnoteText"/>
      </w:pPr>
      <w:r>
        <w:rPr>
          <w:rStyle w:val="FootnoteReference"/>
        </w:rPr>
        <w:footnoteRef/>
      </w:r>
      <w:r>
        <w:tab/>
        <w:t>Directiva 97/67/CE a Parlamentului European și a Consiliului din 15 decembrie 1997 privind normele comune pentru dezvoltarea pieței interne a serviciilor poștale ale Comunității și îmbunătățirea calității serviciului (JO L 015, 21.1.1998, p. 14-25).</w:t>
      </w:r>
    </w:p>
  </w:footnote>
  <w:footnote w:id="24">
    <w:p>
      <w:pPr>
        <w:pStyle w:val="FootnoteText"/>
      </w:pPr>
      <w:r>
        <w:rPr>
          <w:rStyle w:val="FootnoteReference"/>
        </w:rPr>
        <w:footnoteRef/>
      </w:r>
      <w:r>
        <w:tab/>
        <w:t xml:space="preserve">Directiva 2002/39/CE a Parlamentului European și a Consiliului din 10 iunie 2002 de modificare a Directivei 97/67/CE privind continuarea deschiderii spre concurență a serviciilor poștale ale Comunității (JO L 176, 5.7.2002, p. 21-25). </w:t>
      </w:r>
    </w:p>
  </w:footnote>
  <w:footnote w:id="25">
    <w:p>
      <w:pPr>
        <w:pStyle w:val="FootnoteText"/>
      </w:pPr>
      <w:r>
        <w:rPr>
          <w:rStyle w:val="FootnoteReference"/>
        </w:rPr>
        <w:footnoteRef/>
      </w:r>
      <w:r>
        <w:tab/>
        <w:t>Directiva 2008/6/CE a Parlamentului European și a Consiliului din 20 februarie 2008 de modificare a Directivei 97/67/CE cu privire la realizarea integrală a pieței interne a serviciilor poștale ale Comunității (JO L 52, 27.2.2008, p. 3-20).</w:t>
      </w:r>
    </w:p>
  </w:footnote>
  <w:footnote w:id="26">
    <w:p>
      <w:pPr>
        <w:pStyle w:val="FootnoteText"/>
      </w:pPr>
      <w:r>
        <w:rPr>
          <w:rStyle w:val="FootnoteReference"/>
        </w:rPr>
        <w:footnoteRef/>
      </w:r>
      <w:r>
        <w:tab/>
        <w:t>2015/2147 (INI).</w:t>
      </w:r>
    </w:p>
  </w:footnote>
  <w:footnote w:id="27">
    <w:p>
      <w:pPr>
        <w:pStyle w:val="FootnoteText"/>
      </w:pPr>
      <w:r>
        <w:rPr>
          <w:rStyle w:val="FootnoteReference"/>
        </w:rPr>
        <w:footnoteRef/>
      </w:r>
      <w:r>
        <w:tab/>
        <w:t xml:space="preserve">Informații suplimentare privind consultarea pot fi găsite la adresa: </w:t>
      </w:r>
    </w:p>
    <w:p>
      <w:pPr>
        <w:pStyle w:val="FootnoteText"/>
        <w:ind w:firstLine="0"/>
      </w:pPr>
      <w:hyperlink r:id="rId6">
        <w:r>
          <w:rPr>
            <w:rStyle w:val="Hyperlink"/>
          </w:rPr>
          <w:t>http://ec.europa.eu/growth/tools-databases/newsroom/cf/itemdetail.cfm?item_id=8169</w:t>
        </w:r>
      </w:hyperlink>
      <w:r>
        <w:t xml:space="preserve"> </w:t>
      </w:r>
    </w:p>
  </w:footnote>
  <w:footnote w:id="28">
    <w:p>
      <w:pPr>
        <w:pStyle w:val="FootnoteText"/>
      </w:pPr>
      <w:r>
        <w:rPr>
          <w:rStyle w:val="FootnoteReference"/>
        </w:rPr>
        <w:footnoteRef/>
      </w:r>
      <w:r>
        <w:tab/>
        <w:t>A se vedea, de exemplu sondajul Eurobarometru Flash 413 și Studiul efectuat în rândul consumatorilor referitor la piața unică digitală.</w:t>
      </w:r>
    </w:p>
  </w:footnote>
  <w:footnote w:id="29">
    <w:p>
      <w:pPr>
        <w:pStyle w:val="FootnoteText"/>
      </w:pPr>
      <w:r>
        <w:rPr>
          <w:rStyle w:val="FootnoteReference"/>
        </w:rPr>
        <w:footnoteRef/>
      </w:r>
      <w:r>
        <w:tab/>
        <w:t>FTI Consulting, 2011.</w:t>
      </w:r>
    </w:p>
  </w:footnote>
  <w:footnote w:id="30">
    <w:p>
      <w:pPr>
        <w:pStyle w:val="FootnoteText"/>
      </w:pPr>
      <w:r>
        <w:rPr>
          <w:rStyle w:val="FootnoteReference"/>
        </w:rPr>
        <w:footnoteRef/>
      </w:r>
      <w:r>
        <w:tab/>
        <w:t xml:space="preserve">Copenhagen Economics, </w:t>
      </w:r>
      <w:r>
        <w:rPr>
          <w:i/>
        </w:rPr>
        <w:t>E-commerce and delivery</w:t>
      </w:r>
      <w:r>
        <w:t xml:space="preserve"> (Comerțul electronic și livrarea), 2013.</w:t>
      </w:r>
    </w:p>
  </w:footnote>
  <w:footnote w:id="31">
    <w:p>
      <w:pPr>
        <w:pStyle w:val="FootnoteText"/>
      </w:pPr>
      <w:r>
        <w:rPr>
          <w:rStyle w:val="FootnoteReference"/>
        </w:rPr>
        <w:footnoteRef/>
      </w:r>
      <w:r>
        <w:tab/>
        <w:t>Universitatea St Louis, 2015.</w:t>
      </w:r>
    </w:p>
  </w:footnote>
  <w:footnote w:id="32">
    <w:p>
      <w:pPr>
        <w:pStyle w:val="FootnoteText"/>
      </w:pPr>
      <w:r>
        <w:rPr>
          <w:rStyle w:val="FootnoteReference"/>
        </w:rPr>
        <w:footnoteRef/>
      </w:r>
      <w:r>
        <w:tab/>
        <w:t>ERGP (15) 28.</w:t>
      </w:r>
    </w:p>
  </w:footnote>
  <w:footnote w:id="33">
    <w:p>
      <w:pPr>
        <w:pStyle w:val="FootnoteText"/>
      </w:pPr>
      <w:r>
        <w:rPr>
          <w:rStyle w:val="FootnoteReference"/>
        </w:rPr>
        <w:footnoteRef/>
      </w:r>
      <w:r>
        <w:tab/>
        <w:t>ERGP (14) 26.</w:t>
      </w:r>
    </w:p>
  </w:footnote>
  <w:footnote w:id="34">
    <w:p>
      <w:pPr>
        <w:pStyle w:val="FootnoteText"/>
      </w:pPr>
      <w:r>
        <w:rPr>
          <w:rStyle w:val="FootnoteReference"/>
        </w:rPr>
        <w:footnoteRef/>
      </w:r>
      <w:r>
        <w:tab/>
        <w:t>ERGP (13) 37.</w:t>
      </w:r>
    </w:p>
  </w:footnote>
  <w:footnote w:id="35">
    <w:p>
      <w:pPr>
        <w:pStyle w:val="FootnoteText"/>
      </w:pPr>
      <w:r>
        <w:rPr>
          <w:rStyle w:val="FootnoteReference"/>
        </w:rPr>
        <w:footnoteRef/>
      </w:r>
      <w:r>
        <w:tab/>
        <w:t>ERGP PL (15) 32.</w:t>
      </w:r>
    </w:p>
  </w:footnote>
  <w:footnote w:id="36">
    <w:p>
      <w:pPr>
        <w:pStyle w:val="FootnoteText"/>
        <w:rPr>
          <w:i/>
        </w:rPr>
      </w:pPr>
      <w:r>
        <w:rPr>
          <w:rStyle w:val="FootnoteReference"/>
        </w:rPr>
        <w:footnoteRef/>
      </w:r>
      <w:r>
        <w:tab/>
        <w:t xml:space="preserve">Universitatea din Anvers, </w:t>
      </w:r>
      <w:r>
        <w:rPr>
          <w:i/>
        </w:rPr>
        <w:t>Cross-border parcel logistics</w:t>
      </w:r>
      <w:r>
        <w:t xml:space="preserve"> (Logistica livrărilor transfrontaliere de colete), 2015.</w:t>
      </w:r>
    </w:p>
  </w:footnote>
  <w:footnote w:id="37">
    <w:p>
      <w:pPr>
        <w:pStyle w:val="FootnoteText"/>
      </w:pPr>
      <w:r>
        <w:rPr>
          <w:rStyle w:val="FootnoteReference"/>
        </w:rPr>
        <w:footnoteRef/>
      </w:r>
      <w:r>
        <w:tab/>
        <w:t xml:space="preserve">Totodată, această opțiune a fost respinsă și deoarece ea ar impune publicarea de informații sensibile din punct de vedere comercial, fapt care ar putea afecta eficacitatea procesului concurențial. </w:t>
      </w:r>
    </w:p>
  </w:footnote>
  <w:footnote w:id="38">
    <w:p>
      <w:pPr>
        <w:pStyle w:val="FootnoteText"/>
      </w:pPr>
      <w:r>
        <w:rPr>
          <w:rStyle w:val="FootnoteReference"/>
        </w:rPr>
        <w:footnoteRef/>
      </w:r>
      <w:r>
        <w:tab/>
        <w:t xml:space="preserve">Documentele aferente evaluării impactului sunt disponibile la adresa </w:t>
      </w:r>
      <w:hyperlink r:id="rId7">
        <w:r>
          <w:rPr>
            <w:rStyle w:val="Hyperlink"/>
          </w:rPr>
          <w:t>http://ec.europa.eu/smart-regulation/impact/ia_carried_out/cia_2016_en.htm</w:t>
        </w:r>
      </w:hyperlink>
      <w:r>
        <w:t xml:space="preserve"> </w:t>
      </w:r>
    </w:p>
  </w:footnote>
  <w:footnote w:id="39">
    <w:p>
      <w:pPr>
        <w:pStyle w:val="FootnoteText"/>
      </w:pPr>
      <w:r>
        <w:rPr>
          <w:rStyle w:val="FootnoteReference"/>
        </w:rPr>
        <w:footnoteRef/>
      </w:r>
      <w:r>
        <w:tab/>
        <w:t>Chiar și în cazul serviciilor de livrare transfrontalieră de colete care fac parte din serviciul universal, au fost exprimate preocupări legate de faptul că aceste servicii nu sunt accesibile în sensul articolului 12 din Directiva privind serviciile poștale.</w:t>
      </w:r>
    </w:p>
  </w:footnote>
  <w:footnote w:id="40">
    <w:p>
      <w:pPr>
        <w:pStyle w:val="FootnoteText"/>
      </w:pPr>
      <w:r>
        <w:rPr>
          <w:rStyle w:val="FootnoteReference"/>
        </w:rPr>
        <w:footnoteRef/>
      </w:r>
      <w:r>
        <w:tab/>
        <w:t xml:space="preserve">De exemplu, existența unor abordări diferite din partea autorităților naționale de reglementare, fapt care impune poveri administrative mai mari asupra furnizorilor de servicii de livrare de colete care ar trebui să satisfacă solicitări de date foarte diferite în fiecare stat membru în care își desfășoară activitatea. </w:t>
      </w:r>
    </w:p>
  </w:footnote>
  <w:footnote w:id="41">
    <w:p>
      <w:pPr>
        <w:pStyle w:val="FootnoteText"/>
      </w:pPr>
      <w:r>
        <w:rPr>
          <w:rStyle w:val="FootnoteReference"/>
        </w:rPr>
        <w:footnoteRef/>
      </w:r>
      <w:r>
        <w:tab/>
        <w:t>Articolul 29 din Convenția UPU.</w:t>
      </w:r>
    </w:p>
  </w:footnote>
  <w:footnote w:id="42">
    <w:p>
      <w:pPr>
        <w:pStyle w:val="FootnoteText"/>
      </w:pPr>
      <w:r>
        <w:rPr>
          <w:rStyle w:val="FootnoteReference"/>
        </w:rPr>
        <w:footnoteRef/>
      </w:r>
      <w:r>
        <w:tab/>
        <w:t>Articolele 35 și 36 din Convenția UPU.</w:t>
      </w:r>
    </w:p>
  </w:footnote>
  <w:footnote w:id="43">
    <w:p>
      <w:pPr>
        <w:pStyle w:val="FootnoteText"/>
      </w:pPr>
      <w:r>
        <w:rPr>
          <w:rStyle w:val="FootnoteReference"/>
        </w:rPr>
        <w:footnoteRef/>
      </w:r>
      <w:r>
        <w:tab/>
        <w:t>A se vedea considerentul 17 din Directiva 2008/6/CE a Parlamentului European și a Consiliului din 20 februarie 2008 de modificare a Directivei 97/67/CE (JO L 52, 27.2.2009, p. 5).</w:t>
      </w:r>
    </w:p>
  </w:footnote>
  <w:footnote w:id="44">
    <w:p>
      <w:pPr>
        <w:pStyle w:val="FootnoteText"/>
      </w:pPr>
      <w:r>
        <w:rPr>
          <w:rStyle w:val="FootnoteReference"/>
        </w:rPr>
        <w:footnoteRef/>
      </w:r>
      <w:r>
        <w:tab/>
        <w:t>A se vedea Avizul avocatului general Jääskinen, prezentat în cauza C-148/10 DHL International NV, fosta Express Line NV, EU:C:2011:351, punctul 59.</w:t>
      </w:r>
    </w:p>
  </w:footnote>
  <w:footnote w:id="45">
    <w:p>
      <w:pPr>
        <w:pStyle w:val="FootnoteText"/>
      </w:pPr>
      <w:r>
        <w:rPr>
          <w:rStyle w:val="FootnoteReference"/>
        </w:rPr>
        <w:footnoteRef/>
      </w:r>
      <w:r>
        <w:tab/>
        <w:t>Decizia Comisiei din 23 octombrie 2003 referitoare la o procedură de aplicare a articolului 81 din Tratatul CE și a articolului 53 din Acordul SEE, Cauza COMP/C/38.170 - Renotificarea REIMS II [notificată cu numărul C(2003) 3892], JO L 56/76, 24.2.2004.</w:t>
      </w:r>
    </w:p>
  </w:footnote>
  <w:footnote w:id="46">
    <w:p>
      <w:pPr>
        <w:pStyle w:val="FootnoteText"/>
      </w:pPr>
      <w:r>
        <w:rPr>
          <w:rStyle w:val="FootnoteReference"/>
        </w:rPr>
        <w:footnoteRef/>
      </w:r>
      <w:r>
        <w:tab/>
        <w:t>JO L 172/10, 30.6.2012.</w:t>
      </w:r>
    </w:p>
  </w:footnote>
  <w:footnote w:id="47">
    <w:p>
      <w:pPr>
        <w:pStyle w:val="FootnoteText"/>
      </w:pPr>
      <w:r>
        <w:rPr>
          <w:rStyle w:val="FootnoteReference"/>
        </w:rPr>
        <w:footnoteRef/>
      </w:r>
      <w:r>
        <w:tab/>
        <w:t>JO C, , p..</w:t>
      </w:r>
    </w:p>
  </w:footnote>
  <w:footnote w:id="48">
    <w:p>
      <w:pPr>
        <w:pStyle w:val="FootnoteText"/>
      </w:pPr>
      <w:r>
        <w:rPr>
          <w:rStyle w:val="FootnoteReference"/>
        </w:rPr>
        <w:footnoteRef/>
      </w:r>
      <w:r>
        <w:tab/>
        <w:t>JO C, , p..</w:t>
      </w:r>
    </w:p>
  </w:footnote>
  <w:footnote w:id="49">
    <w:p>
      <w:pPr>
        <w:pStyle w:val="FootnoteText"/>
      </w:pPr>
      <w:r>
        <w:rPr>
          <w:rStyle w:val="FootnoteReference"/>
        </w:rPr>
        <w:footnoteRef/>
      </w:r>
      <w:r>
        <w:tab/>
        <w:t>BoR (15) 214/ERGP PL (15) 32.</w:t>
      </w:r>
    </w:p>
  </w:footnote>
  <w:footnote w:id="50">
    <w:p>
      <w:pPr>
        <w:pStyle w:val="FootnoteText"/>
      </w:pPr>
      <w:r>
        <w:rPr>
          <w:rStyle w:val="FootnoteReference"/>
        </w:rPr>
        <w:footnoteRef/>
      </w:r>
      <w:r>
        <w:tab/>
        <w:t xml:space="preserve">Directiva 97/67/CE a Parlamentului European și a Consiliului din 15 decembrie 1997 privind normele comune pentru dezvoltarea pieței interne a serviciilor poștale ale Comunității și îmbunătățirea calității serviciului (JO L 1, 21.1.1998, p. 14-25). </w:t>
      </w:r>
    </w:p>
  </w:footnote>
  <w:footnote w:id="51">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13-18).</w:t>
      </w:r>
    </w:p>
  </w:footnote>
  <w:footnote w:id="52">
    <w:p>
      <w:pPr>
        <w:pStyle w:val="FootnoteText"/>
      </w:pPr>
      <w:r>
        <w:rPr>
          <w:rStyle w:val="FootnoteReference"/>
        </w:rPr>
        <w:footnoteRef/>
      </w:r>
      <w:r>
        <w:tab/>
      </w:r>
      <w:r>
        <w:rPr>
          <w:rStyle w:val="FootnoteTextChar"/>
          <w:lang w:val="ro-RO"/>
        </w:rPr>
        <w:t>Directiva (UE)</w:t>
      </w:r>
      <w:r>
        <w:t xml:space="preserve"> 2016/680 </w:t>
      </w:r>
      <w:r>
        <w:rPr>
          <w:rStyle w:val="FootnoteTextChar"/>
          <w:lang w:val="ro-RO"/>
        </w:rPr>
        <w:t>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(JO L 119, 4.5.2016 p. 0089 – 0131).</w:t>
      </w:r>
    </w:p>
  </w:footnote>
  <w:footnote w:id="53">
    <w:p>
      <w:pPr>
        <w:autoSpaceDE w:val="0"/>
        <w:autoSpaceDN w:val="0"/>
        <w:adjustRightInd w:val="0"/>
        <w:spacing w:before="0" w:after="0"/>
        <w:ind w:left="720" w:hanging="720"/>
        <w:jc w:val="left"/>
      </w:pPr>
      <w:r>
        <w:rPr>
          <w:rStyle w:val="FootnoteReference"/>
        </w:rPr>
        <w:footnoteRef/>
      </w:r>
      <w:r>
        <w:tab/>
      </w:r>
      <w:r>
        <w:rPr>
          <w:rStyle w:val="FootnoteTextChar"/>
          <w:lang w:val="ro-RO"/>
        </w:rPr>
        <w:t xml:space="preserve">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r>
        <w:rPr>
          <w:rStyle w:val="FootnoteTextChar"/>
        </w:rPr>
        <w:t>(JO L 119, 4.5.2016, p. 1 - 88).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8"/>
  </w:num>
  <w:num w:numId="7">
    <w:abstractNumId w:val="4"/>
  </w:num>
  <w:num w:numId="8">
    <w:abstractNumId w:val="3"/>
  </w:num>
  <w:num w:numId="9">
    <w:abstractNumId w:val="26"/>
  </w:num>
  <w:num w:numId="10">
    <w:abstractNumId w:val="28"/>
  </w:num>
  <w:num w:numId="11">
    <w:abstractNumId w:val="27"/>
  </w:num>
  <w:num w:numId="12">
    <w:abstractNumId w:val="30"/>
  </w:num>
  <w:num w:numId="13">
    <w:abstractNumId w:val="7"/>
  </w:num>
  <w:num w:numId="14">
    <w:abstractNumId w:val="14"/>
  </w:num>
  <w:num w:numId="15">
    <w:abstractNumId w:val="18"/>
  </w:num>
  <w:num w:numId="16">
    <w:abstractNumId w:val="16"/>
  </w:num>
  <w:num w:numId="17">
    <w:abstractNumId w:val="2"/>
  </w:num>
  <w:num w:numId="18">
    <w:abstractNumId w:val="19"/>
  </w:num>
  <w:num w:numId="19">
    <w:abstractNumId w:val="1"/>
  </w:num>
  <w:num w:numId="20">
    <w:abstractNumId w:val="0"/>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3"/>
  </w:num>
  <w:num w:numId="34">
    <w:abstractNumId w:val="29"/>
  </w:num>
  <w:num w:numId="35">
    <w:abstractNumId w:val="10"/>
  </w:num>
  <w:num w:numId="36">
    <w:abstractNumId w:val="15"/>
  </w:num>
  <w:num w:numId="37">
    <w:abstractNumId w:val="6"/>
  </w:num>
  <w:num w:numId="38">
    <w:abstractNumId w:val="25"/>
  </w:num>
  <w:num w:numId="39">
    <w:abstractNumId w:val="5"/>
  </w:num>
  <w:num w:numId="40">
    <w:abstractNumId w:val="17"/>
  </w:num>
  <w:num w:numId="41">
    <w:abstractNumId w:val="22"/>
  </w:num>
  <w:num w:numId="42">
    <w:abstractNumId w:val="23"/>
  </w:num>
  <w:num w:numId="43">
    <w:abstractNumId w:val="9"/>
  </w:num>
  <w:num w:numId="44">
    <w:abstractNumId w:val="21"/>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27 13:57: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B5029D5C787547B9B490FD5A34727EFA"/>
    <w:docVar w:name="LW_CROSSREFERENCE" w:val="{SWD(2016) 166 final}_x000b_{SWD(2016) 167 final}"/>
    <w:docVar w:name="LW_DocType" w:val="COM"/>
    <w:docVar w:name="LW_EMISSION" w:val="25.5.2016"/>
    <w:docVar w:name="LW_EMISSION_ISODATE" w:val="2016-05-25"/>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149"/>
    <w:docVar w:name="LW_REF.II.NEW.CP_YEAR" w:val="2016"/>
    <w:docVar w:name="LW_REF.INST.NEW" w:val="COM"/>
    <w:docVar w:name="LW_REF.INST.NEW_ADOPTED" w:val="final"/>
    <w:docVar w:name="LW_REF.INST.NEW_TEXT" w:val="(2016) 285"/>
    <w:docVar w:name="LW_REF.INTERNE" w:val="&lt;UNUSED&gt;"/>
    <w:docVar w:name="LW_SOUS.TITRE.OBJ.CP" w:val="&lt;UNUSED&gt;"/>
    <w:docVar w:name="LW_STATUT.CP" w:val="Propunere de"/>
    <w:docVar w:name="LW_SUPERTITRE" w:val="&lt;UNUSED&gt;"/>
    <w:docVar w:name="LW_TITRE.OBJ.CP" w:val="privind serviciile de livrare transfrontalier\u259? de colete"/>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76" w:lineRule="auto"/>
      <w:ind w:left="3332" w:hanging="708"/>
      <w:outlineLvl w:val="4"/>
    </w:pPr>
    <w:rPr>
      <w:rFonts w:ascii="Arial" w:hAnsi="Arial" w:cstheme="minorBidi"/>
      <w:sz w:val="22"/>
    </w:rPr>
  </w:style>
  <w:style w:type="paragraph" w:styleId="Heading6">
    <w:name w:val="heading 6"/>
    <w:basedOn w:val="Normal"/>
    <w:next w:val="Normal"/>
    <w:link w:val="Heading6Char"/>
    <w:qFormat/>
    <w:pPr>
      <w:spacing w:before="240" w:after="60" w:line="276" w:lineRule="auto"/>
      <w:ind w:left="4040" w:hanging="708"/>
      <w:outlineLvl w:val="5"/>
    </w:pPr>
    <w:rPr>
      <w:rFonts w:ascii="Arial" w:hAnsi="Arial" w:cstheme="minorBidi"/>
      <w:i/>
      <w:sz w:val="22"/>
    </w:rPr>
  </w:style>
  <w:style w:type="paragraph" w:styleId="Heading7">
    <w:name w:val="heading 7"/>
    <w:basedOn w:val="Normal"/>
    <w:next w:val="Normal"/>
    <w:link w:val="Heading7Char"/>
    <w:qFormat/>
    <w:pPr>
      <w:spacing w:before="240" w:after="60" w:line="276" w:lineRule="auto"/>
      <w:ind w:left="4748" w:hanging="708"/>
      <w:outlineLvl w:val="6"/>
    </w:pPr>
    <w:rPr>
      <w:rFonts w:ascii="Arial" w:hAnsi="Arial" w:cstheme="minorBidi"/>
      <w:sz w:val="20"/>
    </w:rPr>
  </w:style>
  <w:style w:type="paragraph" w:styleId="Heading8">
    <w:name w:val="heading 8"/>
    <w:basedOn w:val="Normal"/>
    <w:next w:val="Normal"/>
    <w:link w:val="Heading8Char"/>
    <w:qFormat/>
    <w:pPr>
      <w:spacing w:before="240" w:after="60" w:line="276" w:lineRule="auto"/>
      <w:ind w:left="5456" w:hanging="708"/>
      <w:outlineLvl w:val="7"/>
    </w:pPr>
    <w:rPr>
      <w:rFonts w:ascii="Arial" w:hAnsi="Arial" w:cstheme="minorBidi"/>
      <w:i/>
      <w:sz w:val="20"/>
    </w:rPr>
  </w:style>
  <w:style w:type="paragraph" w:styleId="Heading9">
    <w:name w:val="heading 9"/>
    <w:basedOn w:val="Normal"/>
    <w:next w:val="Normal"/>
    <w:link w:val="Heading9Char"/>
    <w:qFormat/>
    <w:pPr>
      <w:spacing w:before="240" w:after="60" w:line="276" w:lineRule="auto"/>
      <w:ind w:left="6164" w:hanging="708"/>
      <w:outlineLvl w:val="8"/>
    </w:pPr>
    <w:rPr>
      <w:rFonts w:ascii="Arial" w:hAnsi="Arial" w:cstheme="minorBid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hAnsi="Arial"/>
      <w:lang w:val="en-GB"/>
    </w:rPr>
  </w:style>
  <w:style w:type="character" w:customStyle="1" w:styleId="Heading6Char">
    <w:name w:val="Heading 6 Char"/>
    <w:basedOn w:val="DefaultParagraphFont"/>
    <w:link w:val="Heading6"/>
    <w:rPr>
      <w:rFonts w:ascii="Arial" w:hAnsi="Arial"/>
      <w:i/>
      <w:lang w:val="en-GB"/>
    </w:rPr>
  </w:style>
  <w:style w:type="character" w:customStyle="1" w:styleId="Heading7Char">
    <w:name w:val="Heading 7 Char"/>
    <w:basedOn w:val="DefaultParagraphFont"/>
    <w:link w:val="Heading7"/>
    <w:rPr>
      <w:rFonts w:ascii="Arial" w:hAnsi="Arial"/>
      <w:sz w:val="20"/>
      <w:lang w:val="en-GB"/>
    </w:rPr>
  </w:style>
  <w:style w:type="character" w:customStyle="1" w:styleId="Heading8Char">
    <w:name w:val="Heading 8 Char"/>
    <w:basedOn w:val="DefaultParagraphFont"/>
    <w:link w:val="Heading8"/>
    <w:rPr>
      <w:rFonts w:ascii="Arial" w:hAnsi="Arial"/>
      <w:i/>
      <w:sz w:val="20"/>
      <w:lang w:val="en-GB"/>
    </w:rPr>
  </w:style>
  <w:style w:type="character" w:customStyle="1" w:styleId="Heading9Char">
    <w:name w:val="Heading 9 Char"/>
    <w:basedOn w:val="DefaultParagraphFont"/>
    <w:link w:val="Heading9"/>
    <w:rPr>
      <w:rFonts w:ascii="Arial" w:hAnsi="Arial"/>
      <w:i/>
      <w:sz w:val="18"/>
      <w:lang w:val="en-GB"/>
    </w:rPr>
  </w:style>
  <w:style w:type="paragraph" w:styleId="BalloonText">
    <w:name w:val="Balloon Text"/>
    <w:basedOn w:val="Normal"/>
    <w:link w:val="BalloonTextChar"/>
    <w:uiPriority w:val="99"/>
    <w:semiHidden/>
    <w:unhideWhenUsed/>
    <w:pPr>
      <w:spacing w:before="0"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1">
    <w:name w:val="CM1"/>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hAnsi="Times New Roman" w:cs="Times New Roman"/>
      <w:sz w:val="20"/>
      <w:szCs w:val="20"/>
      <w:lang w:val="en-GB"/>
    </w:rPr>
  </w:style>
  <w:style w:type="paragraph" w:styleId="CommentText">
    <w:name w:val="annotation text"/>
    <w:basedOn w:val="Normal"/>
    <w:link w:val="CommentTextChar1"/>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pPr>
      <w:spacing w:before="0" w:after="240" w:line="276" w:lineRule="auto"/>
    </w:pPr>
    <w:rPr>
      <w:rFonts w:asciiTheme="minorHAnsi" w:hAnsiTheme="minorHAnsi" w:cstheme="minorBidi"/>
      <w:b/>
      <w:bCs/>
      <w:szCs w:val="22"/>
    </w:rPr>
  </w:style>
  <w:style w:type="character" w:customStyle="1" w:styleId="CommentSubjectChar">
    <w:name w:val="Comment Subject Char"/>
    <w:basedOn w:val="CommentTextChar1"/>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ignatureChar">
    <w:name w:val="Signature Char"/>
    <w:basedOn w:val="DefaultParagraphFont"/>
    <w:uiPriority w:val="99"/>
    <w:semiHidden/>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GB"/>
    </w:rPr>
  </w:style>
  <w:style w:type="character" w:customStyle="1" w:styleId="italic1">
    <w:name w:val="italic1"/>
    <w:rPr>
      <w:i/>
      <w:iCs/>
    </w:rPr>
  </w:style>
  <w:style w:type="paragraph" w:customStyle="1" w:styleId="AddressTL">
    <w:name w:val="AddressTL"/>
    <w:basedOn w:val="Normal"/>
    <w:next w:val="Normal"/>
    <w:pPr>
      <w:spacing w:before="0" w:after="720" w:line="276" w:lineRule="auto"/>
      <w:jc w:val="left"/>
    </w:pPr>
    <w:rPr>
      <w:rFonts w:asciiTheme="minorHAnsi" w:hAnsiTheme="minorHAnsi" w:cstheme="minorBidi"/>
    </w:rPr>
  </w:style>
  <w:style w:type="paragraph" w:customStyle="1" w:styleId="AddressTR">
    <w:name w:val="AddressTR"/>
    <w:basedOn w:val="Normal"/>
    <w:next w:val="Normal"/>
    <w:pPr>
      <w:spacing w:before="0" w:after="720" w:line="276" w:lineRule="auto"/>
      <w:ind w:left="5103"/>
      <w:jc w:val="left"/>
    </w:pPr>
    <w:rPr>
      <w:rFonts w:asciiTheme="minorHAnsi" w:hAnsiTheme="minorHAnsi" w:cstheme="minorBidi"/>
    </w:rPr>
  </w:style>
  <w:style w:type="paragraph" w:styleId="BlockText">
    <w:name w:val="Block Text"/>
    <w:basedOn w:val="Normal"/>
    <w:pPr>
      <w:spacing w:before="0" w:line="276" w:lineRule="auto"/>
      <w:ind w:left="1440" w:right="1440"/>
    </w:pPr>
    <w:rPr>
      <w:rFonts w:asciiTheme="minorHAnsi" w:hAnsiTheme="minorHAnsi" w:cstheme="minorBidi"/>
    </w:rPr>
  </w:style>
  <w:style w:type="paragraph" w:styleId="BodyText">
    <w:name w:val="Body Text"/>
    <w:basedOn w:val="Normal"/>
    <w:link w:val="BodyTextChar"/>
    <w:pPr>
      <w:spacing w:before="0" w:line="276" w:lineRule="auto"/>
    </w:pPr>
    <w:rPr>
      <w:rFonts w:asciiTheme="minorHAnsi" w:hAnsiTheme="minorHAnsi" w:cstheme="minorBidi"/>
    </w:rPr>
  </w:style>
  <w:style w:type="character" w:customStyle="1" w:styleId="BodyTextChar">
    <w:name w:val="Body Text Char"/>
    <w:basedOn w:val="DefaultParagraphFont"/>
    <w:link w:val="BodyText"/>
    <w:rPr>
      <w:sz w:val="24"/>
      <w:lang w:val="en-GB"/>
    </w:rPr>
  </w:style>
  <w:style w:type="paragraph" w:styleId="BodyText2">
    <w:name w:val="Body Text 2"/>
    <w:basedOn w:val="Normal"/>
    <w:link w:val="BodyText2Char"/>
    <w:pPr>
      <w:spacing w:before="0" w:line="480" w:lineRule="auto"/>
    </w:pPr>
    <w:rPr>
      <w:rFonts w:asciiTheme="minorHAnsi" w:hAnsiTheme="minorHAnsi" w:cstheme="minorBidi"/>
    </w:rPr>
  </w:style>
  <w:style w:type="character" w:customStyle="1" w:styleId="BodyText2Char">
    <w:name w:val="Body Text 2 Char"/>
    <w:basedOn w:val="DefaultParagraphFont"/>
    <w:link w:val="BodyText2"/>
    <w:rPr>
      <w:sz w:val="24"/>
      <w:lang w:val="en-GB"/>
    </w:rPr>
  </w:style>
  <w:style w:type="paragraph" w:styleId="BodyText3">
    <w:name w:val="Body Text 3"/>
    <w:basedOn w:val="Normal"/>
    <w:link w:val="BodyText3Char"/>
    <w:pPr>
      <w:spacing w:before="0" w:line="276" w:lineRule="auto"/>
    </w:pPr>
    <w:rPr>
      <w:rFonts w:asciiTheme="minorHAnsi" w:hAnsiTheme="minorHAnsi" w:cstheme="minorBidi"/>
      <w:sz w:val="16"/>
    </w:rPr>
  </w:style>
  <w:style w:type="character" w:customStyle="1" w:styleId="BodyText3Char">
    <w:name w:val="Body Text 3 Char"/>
    <w:basedOn w:val="DefaultParagraphFont"/>
    <w:link w:val="BodyText3"/>
    <w:rPr>
      <w:sz w:val="16"/>
      <w:lang w:val="en-GB"/>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lang w:val="en-GB"/>
    </w:rPr>
  </w:style>
  <w:style w:type="paragraph" w:styleId="BodyTextIndent">
    <w:name w:val="Body Text Indent"/>
    <w:basedOn w:val="Normal"/>
    <w:link w:val="BodyTextIndentChar"/>
    <w:pPr>
      <w:spacing w:before="0" w:line="276" w:lineRule="auto"/>
      <w:ind w:left="283"/>
    </w:pPr>
    <w:rPr>
      <w:rFonts w:asciiTheme="minorHAnsi" w:hAnsiTheme="minorHAnsi" w:cstheme="minorBidi"/>
    </w:rPr>
  </w:style>
  <w:style w:type="character" w:customStyle="1" w:styleId="BodyTextIndentChar">
    <w:name w:val="Body Text Indent Char"/>
    <w:basedOn w:val="DefaultParagraphFont"/>
    <w:link w:val="BodyTextIndent"/>
    <w:rPr>
      <w:sz w:val="24"/>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lang w:val="en-GB"/>
    </w:rPr>
  </w:style>
  <w:style w:type="paragraph" w:styleId="BodyTextIndent2">
    <w:name w:val="Body Text Indent 2"/>
    <w:basedOn w:val="Normal"/>
    <w:link w:val="BodyTextIndent2Char"/>
    <w:pPr>
      <w:spacing w:before="0" w:line="480" w:lineRule="auto"/>
      <w:ind w:left="283"/>
    </w:pPr>
    <w:rPr>
      <w:rFonts w:asciiTheme="minorHAnsi" w:hAnsiTheme="minorHAnsi" w:cstheme="minorBidi"/>
    </w:rPr>
  </w:style>
  <w:style w:type="character" w:customStyle="1" w:styleId="BodyTextIndent2Char">
    <w:name w:val="Body Text Indent 2 Char"/>
    <w:basedOn w:val="DefaultParagraphFont"/>
    <w:link w:val="BodyTextIndent2"/>
    <w:rPr>
      <w:sz w:val="24"/>
      <w:lang w:val="en-GB"/>
    </w:rPr>
  </w:style>
  <w:style w:type="paragraph" w:styleId="BodyTextIndent3">
    <w:name w:val="Body Text Indent 3"/>
    <w:basedOn w:val="Normal"/>
    <w:link w:val="BodyTextIndent3Char"/>
    <w:pPr>
      <w:spacing w:before="0" w:line="276" w:lineRule="auto"/>
      <w:ind w:left="283"/>
    </w:pPr>
    <w:rPr>
      <w:rFonts w:asciiTheme="minorHAnsi" w:hAnsiTheme="minorHAnsi" w:cstheme="minorBidi"/>
      <w:sz w:val="16"/>
    </w:rPr>
  </w:style>
  <w:style w:type="character" w:customStyle="1" w:styleId="BodyTextIndent3Char">
    <w:name w:val="Body Text Indent 3 Char"/>
    <w:basedOn w:val="DefaultParagraphFont"/>
    <w:link w:val="BodyTextIndent3"/>
    <w:rPr>
      <w:sz w:val="16"/>
      <w:lang w:val="en-GB"/>
    </w:rPr>
  </w:style>
  <w:style w:type="paragraph" w:styleId="Caption">
    <w:name w:val="caption"/>
    <w:basedOn w:val="Normal"/>
    <w:next w:val="Normal"/>
    <w:qFormat/>
    <w:pPr>
      <w:spacing w:line="276" w:lineRule="auto"/>
    </w:pPr>
    <w:rPr>
      <w:rFonts w:asciiTheme="minorHAnsi" w:hAnsiTheme="minorHAnsi" w:cstheme="minorBidi"/>
      <w:b/>
    </w:rPr>
  </w:style>
  <w:style w:type="paragraph" w:styleId="Closing">
    <w:name w:val="Closing"/>
    <w:basedOn w:val="Normal"/>
    <w:next w:val="Signature"/>
    <w:link w:val="ClosingChar"/>
    <w:pPr>
      <w:tabs>
        <w:tab w:val="left" w:pos="5103"/>
      </w:tabs>
      <w:spacing w:before="240" w:after="240" w:line="276" w:lineRule="auto"/>
      <w:ind w:left="5103"/>
      <w:jc w:val="left"/>
    </w:pPr>
    <w:rPr>
      <w:rFonts w:asciiTheme="minorHAnsi" w:hAnsiTheme="minorHAnsi" w:cstheme="minorBidi"/>
    </w:rPr>
  </w:style>
  <w:style w:type="character" w:customStyle="1" w:styleId="ClosingChar">
    <w:name w:val="Closing Char"/>
    <w:basedOn w:val="DefaultParagraphFont"/>
    <w:link w:val="Closing"/>
    <w:rPr>
      <w:sz w:val="24"/>
      <w:lang w:val="en-GB"/>
    </w:rPr>
  </w:style>
  <w:style w:type="paragraph" w:styleId="Signature">
    <w:name w:val="Signature"/>
    <w:basedOn w:val="Normal"/>
    <w:next w:val="Contact"/>
    <w:link w:val="SignatureChar1"/>
    <w:pPr>
      <w:tabs>
        <w:tab w:val="left" w:pos="5103"/>
      </w:tabs>
      <w:spacing w:before="1200" w:after="0" w:line="276" w:lineRule="auto"/>
      <w:ind w:left="5103"/>
      <w:jc w:val="center"/>
    </w:pPr>
    <w:rPr>
      <w:rFonts w:asciiTheme="minorHAnsi" w:hAnsiTheme="minorHAnsi" w:cstheme="minorBidi"/>
    </w:rPr>
  </w:style>
  <w:style w:type="character" w:customStyle="1" w:styleId="SignatureChar1">
    <w:name w:val="Signature Char1"/>
    <w:basedOn w:val="DefaultParagraphFont"/>
    <w:link w:val="Signature"/>
    <w:rPr>
      <w:sz w:val="24"/>
      <w:lang w:val="en-GB"/>
    </w:rPr>
  </w:style>
  <w:style w:type="paragraph" w:customStyle="1" w:styleId="Enclosures">
    <w:name w:val="Enclosures"/>
    <w:basedOn w:val="Normal"/>
    <w:next w:val="Participants"/>
    <w:pPr>
      <w:keepNext/>
      <w:keepLines/>
      <w:tabs>
        <w:tab w:val="left" w:pos="5670"/>
      </w:tabs>
      <w:spacing w:before="480" w:after="0" w:line="276" w:lineRule="auto"/>
      <w:ind w:left="1985" w:hanging="1985"/>
      <w:jc w:val="left"/>
    </w:pPr>
    <w:rPr>
      <w:rFonts w:asciiTheme="minorHAnsi" w:hAnsiTheme="minorHAnsi" w:cstheme="minorBidi"/>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customStyle="1" w:styleId="Copies">
    <w:name w:val="Copies"/>
    <w:basedOn w:val="Normal"/>
    <w:next w:val="Normal"/>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styleId="Date">
    <w:name w:val="Date"/>
    <w:basedOn w:val="Normal"/>
    <w:next w:val="References"/>
    <w:link w:val="DateChar"/>
    <w:pPr>
      <w:spacing w:before="0" w:after="0" w:line="276" w:lineRule="auto"/>
      <w:ind w:left="5103" w:right="-567"/>
      <w:jc w:val="left"/>
    </w:pPr>
    <w:rPr>
      <w:rFonts w:asciiTheme="minorHAnsi" w:hAnsiTheme="minorHAnsi" w:cstheme="minorBidi"/>
    </w:rPr>
  </w:style>
  <w:style w:type="character" w:customStyle="1" w:styleId="DateChar">
    <w:name w:val="Date Char"/>
    <w:basedOn w:val="DefaultParagraphFont"/>
    <w:link w:val="Date"/>
    <w:rPr>
      <w:sz w:val="24"/>
      <w:lang w:val="en-GB"/>
    </w:rPr>
  </w:style>
  <w:style w:type="paragraph" w:customStyle="1" w:styleId="References">
    <w:name w:val="References"/>
    <w:basedOn w:val="Normal"/>
    <w:next w:val="AddressTR"/>
    <w:pPr>
      <w:spacing w:before="0" w:after="240" w:line="276" w:lineRule="auto"/>
      <w:ind w:left="5103"/>
      <w:jc w:val="left"/>
    </w:pPr>
    <w:rPr>
      <w:rFonts w:asciiTheme="minorHAnsi" w:hAnsiTheme="minorHAnsi" w:cstheme="minorBidi"/>
      <w:sz w:val="20"/>
    </w:rPr>
  </w:style>
  <w:style w:type="paragraph" w:styleId="DocumentMap">
    <w:name w:val="Document Map"/>
    <w:basedOn w:val="Normal"/>
    <w:link w:val="DocumentMapChar"/>
    <w:semiHidden/>
    <w:pPr>
      <w:shd w:val="clear" w:color="auto" w:fill="000080"/>
      <w:spacing w:before="0" w:after="240" w:line="276" w:lineRule="auto"/>
    </w:pPr>
    <w:rPr>
      <w:rFonts w:ascii="Tahoma" w:hAnsi="Tahoma" w:cstheme="minorBidi"/>
    </w:rPr>
  </w:style>
  <w:style w:type="character" w:customStyle="1" w:styleId="DocumentMapChar">
    <w:name w:val="Document Map Char"/>
    <w:basedOn w:val="DefaultParagraphFont"/>
    <w:link w:val="DocumentMap"/>
    <w:semiHidden/>
    <w:rPr>
      <w:rFonts w:ascii="Tahoma" w:hAnsi="Tahoma"/>
      <w:sz w:val="24"/>
      <w:shd w:val="clear" w:color="auto" w:fill="000080"/>
      <w:lang w:val="en-GB"/>
    </w:rPr>
  </w:style>
  <w:style w:type="paragraph" w:customStyle="1" w:styleId="DoubSign">
    <w:name w:val="DoubSign"/>
    <w:basedOn w:val="Normal"/>
    <w:next w:val="Contact"/>
    <w:pPr>
      <w:tabs>
        <w:tab w:val="left" w:pos="5103"/>
      </w:tabs>
      <w:spacing w:before="1200" w:after="0" w:line="276" w:lineRule="auto"/>
      <w:jc w:val="left"/>
    </w:pPr>
    <w:rPr>
      <w:rFonts w:asciiTheme="minorHAnsi" w:hAnsiTheme="minorHAnsi" w:cstheme="minorBidi"/>
    </w:rPr>
  </w:style>
  <w:style w:type="paragraph" w:styleId="EndnoteText">
    <w:name w:val="endnote text"/>
    <w:basedOn w:val="Normal"/>
    <w:link w:val="EndnoteTextChar"/>
    <w:semiHidden/>
    <w:pPr>
      <w:spacing w:before="0" w:after="240" w:line="276" w:lineRule="auto"/>
    </w:pPr>
    <w:rPr>
      <w:rFonts w:asciiTheme="minorHAnsi" w:hAnsiTheme="minorHAnsi" w:cstheme="minorBidi"/>
      <w:sz w:val="20"/>
    </w:rPr>
  </w:style>
  <w:style w:type="character" w:customStyle="1" w:styleId="EndnoteTextChar">
    <w:name w:val="Endnote Text Char"/>
    <w:basedOn w:val="DefaultParagraphFont"/>
    <w:link w:val="EndnoteText"/>
    <w:semiHidden/>
    <w:rPr>
      <w:sz w:val="20"/>
      <w:lang w:val="en-GB"/>
    </w:rPr>
  </w:style>
  <w:style w:type="paragraph" w:styleId="EnvelopeAddress">
    <w:name w:val="envelope address"/>
    <w:basedOn w:val="Normal"/>
    <w:pPr>
      <w:framePr w:w="7920" w:h="1980" w:hRule="exact" w:hSpace="180" w:wrap="auto" w:hAnchor="page" w:xAlign="center" w:yAlign="bottom"/>
      <w:spacing w:before="0" w:after="0" w:line="276" w:lineRule="auto"/>
    </w:pPr>
    <w:rPr>
      <w:rFonts w:asciiTheme="minorHAnsi" w:hAnsiTheme="minorHAnsi" w:cstheme="minorBidi"/>
    </w:rPr>
  </w:style>
  <w:style w:type="paragraph" w:styleId="EnvelopeReturn">
    <w:name w:val="envelope return"/>
    <w:basedOn w:val="Normal"/>
    <w:pPr>
      <w:spacing w:before="0" w:after="0" w:line="276" w:lineRule="auto"/>
    </w:pPr>
    <w:rPr>
      <w:rFonts w:asciiTheme="minorHAnsi" w:hAnsiTheme="minorHAnsi" w:cstheme="minorBidi"/>
      <w:sz w:val="20"/>
    </w:rPr>
  </w:style>
  <w:style w:type="paragraph" w:styleId="Index1">
    <w:name w:val="index 1"/>
    <w:basedOn w:val="Normal"/>
    <w:next w:val="Normal"/>
    <w:autoRedefine/>
    <w:semiHidden/>
    <w:pPr>
      <w:spacing w:before="0" w:after="240" w:line="276" w:lineRule="auto"/>
      <w:ind w:left="240" w:hanging="240"/>
    </w:pPr>
    <w:rPr>
      <w:rFonts w:asciiTheme="minorHAnsi" w:hAnsiTheme="minorHAnsi" w:cstheme="minorBidi"/>
    </w:rPr>
  </w:style>
  <w:style w:type="paragraph" w:styleId="Index2">
    <w:name w:val="index 2"/>
    <w:basedOn w:val="Normal"/>
    <w:next w:val="Normal"/>
    <w:autoRedefine/>
    <w:semiHidden/>
    <w:pPr>
      <w:spacing w:before="0" w:after="240" w:line="276" w:lineRule="auto"/>
      <w:ind w:left="480" w:hanging="240"/>
    </w:pPr>
    <w:rPr>
      <w:rFonts w:asciiTheme="minorHAnsi" w:hAnsiTheme="minorHAnsi" w:cstheme="minorBidi"/>
    </w:rPr>
  </w:style>
  <w:style w:type="paragraph" w:styleId="Index3">
    <w:name w:val="index 3"/>
    <w:basedOn w:val="Normal"/>
    <w:next w:val="Normal"/>
    <w:autoRedefine/>
    <w:semiHidden/>
    <w:pPr>
      <w:spacing w:before="0" w:after="240" w:line="276" w:lineRule="auto"/>
      <w:ind w:left="720" w:hanging="240"/>
    </w:pPr>
    <w:rPr>
      <w:rFonts w:asciiTheme="minorHAnsi" w:hAnsiTheme="minorHAnsi" w:cstheme="minorBidi"/>
    </w:rPr>
  </w:style>
  <w:style w:type="paragraph" w:styleId="Index4">
    <w:name w:val="index 4"/>
    <w:basedOn w:val="Normal"/>
    <w:next w:val="Normal"/>
    <w:autoRedefine/>
    <w:semiHidden/>
    <w:pPr>
      <w:spacing w:before="0" w:after="240" w:line="276" w:lineRule="auto"/>
      <w:ind w:left="960" w:hanging="240"/>
    </w:pPr>
    <w:rPr>
      <w:rFonts w:asciiTheme="minorHAnsi" w:hAnsiTheme="minorHAnsi" w:cstheme="minorBidi"/>
    </w:rPr>
  </w:style>
  <w:style w:type="paragraph" w:styleId="Index5">
    <w:name w:val="index 5"/>
    <w:basedOn w:val="Normal"/>
    <w:next w:val="Normal"/>
    <w:autoRedefine/>
    <w:semiHidden/>
    <w:pPr>
      <w:spacing w:before="0" w:after="240" w:line="276" w:lineRule="auto"/>
      <w:ind w:left="1200" w:hanging="240"/>
    </w:pPr>
    <w:rPr>
      <w:rFonts w:asciiTheme="minorHAnsi" w:hAnsiTheme="minorHAnsi" w:cstheme="minorBidi"/>
    </w:rPr>
  </w:style>
  <w:style w:type="paragraph" w:styleId="Index6">
    <w:name w:val="index 6"/>
    <w:basedOn w:val="Normal"/>
    <w:next w:val="Normal"/>
    <w:autoRedefine/>
    <w:semiHidden/>
    <w:pPr>
      <w:spacing w:before="0" w:after="240" w:line="276" w:lineRule="auto"/>
      <w:ind w:left="1440" w:hanging="240"/>
    </w:pPr>
    <w:rPr>
      <w:rFonts w:asciiTheme="minorHAnsi" w:hAnsiTheme="minorHAnsi" w:cstheme="minorBidi"/>
    </w:rPr>
  </w:style>
  <w:style w:type="paragraph" w:styleId="Index7">
    <w:name w:val="index 7"/>
    <w:basedOn w:val="Normal"/>
    <w:next w:val="Normal"/>
    <w:autoRedefine/>
    <w:semiHidden/>
    <w:pPr>
      <w:spacing w:before="0" w:after="240" w:line="276" w:lineRule="auto"/>
      <w:ind w:left="1680" w:hanging="240"/>
    </w:pPr>
    <w:rPr>
      <w:rFonts w:asciiTheme="minorHAnsi" w:hAnsiTheme="minorHAnsi" w:cstheme="minorBidi"/>
    </w:rPr>
  </w:style>
  <w:style w:type="paragraph" w:styleId="Index8">
    <w:name w:val="index 8"/>
    <w:basedOn w:val="Normal"/>
    <w:next w:val="Normal"/>
    <w:autoRedefine/>
    <w:semiHidden/>
    <w:pPr>
      <w:spacing w:before="0" w:after="240" w:line="276" w:lineRule="auto"/>
      <w:ind w:left="1920" w:hanging="240"/>
    </w:pPr>
    <w:rPr>
      <w:rFonts w:asciiTheme="minorHAnsi" w:hAnsiTheme="minorHAnsi" w:cstheme="minorBidi"/>
    </w:rPr>
  </w:style>
  <w:style w:type="paragraph" w:styleId="Index9">
    <w:name w:val="index 9"/>
    <w:basedOn w:val="Normal"/>
    <w:next w:val="Normal"/>
    <w:autoRedefine/>
    <w:semiHidden/>
    <w:pPr>
      <w:spacing w:before="0" w:after="240" w:line="276" w:lineRule="auto"/>
      <w:ind w:left="2160" w:hanging="240"/>
    </w:pPr>
    <w:rPr>
      <w:rFonts w:asciiTheme="minorHAnsi" w:hAnsiTheme="minorHAnsi" w:cstheme="minorBidi"/>
    </w:rPr>
  </w:style>
  <w:style w:type="paragraph" w:styleId="IndexHeading">
    <w:name w:val="index heading"/>
    <w:basedOn w:val="Normal"/>
    <w:next w:val="Index1"/>
    <w:semiHidden/>
    <w:pPr>
      <w:spacing w:before="0" w:after="240" w:line="276" w:lineRule="auto"/>
    </w:pPr>
    <w:rPr>
      <w:rFonts w:ascii="Arial" w:hAnsi="Arial" w:cstheme="minorBidi"/>
      <w:b/>
    </w:rPr>
  </w:style>
  <w:style w:type="paragraph" w:styleId="List">
    <w:name w:val="List"/>
    <w:basedOn w:val="Normal"/>
    <w:pPr>
      <w:spacing w:before="0" w:after="240" w:line="276" w:lineRule="auto"/>
      <w:ind w:left="283" w:hanging="283"/>
    </w:pPr>
    <w:rPr>
      <w:rFonts w:asciiTheme="minorHAnsi" w:hAnsiTheme="minorHAnsi" w:cstheme="minorBidi"/>
    </w:rPr>
  </w:style>
  <w:style w:type="paragraph" w:styleId="List2">
    <w:name w:val="List 2"/>
    <w:basedOn w:val="Normal"/>
    <w:pPr>
      <w:spacing w:before="0" w:after="240" w:line="276" w:lineRule="auto"/>
      <w:ind w:left="566" w:hanging="283"/>
    </w:pPr>
    <w:rPr>
      <w:rFonts w:asciiTheme="minorHAnsi" w:hAnsiTheme="minorHAnsi" w:cstheme="minorBidi"/>
    </w:rPr>
  </w:style>
  <w:style w:type="paragraph" w:styleId="List3">
    <w:name w:val="List 3"/>
    <w:basedOn w:val="Normal"/>
    <w:pPr>
      <w:spacing w:before="0" w:after="240" w:line="276" w:lineRule="auto"/>
      <w:ind w:left="849" w:hanging="283"/>
    </w:pPr>
    <w:rPr>
      <w:rFonts w:asciiTheme="minorHAnsi" w:hAnsiTheme="minorHAnsi" w:cstheme="minorBidi"/>
    </w:rPr>
  </w:style>
  <w:style w:type="paragraph" w:styleId="List4">
    <w:name w:val="List 4"/>
    <w:basedOn w:val="Normal"/>
    <w:pPr>
      <w:spacing w:before="0" w:after="240" w:line="276" w:lineRule="auto"/>
      <w:ind w:left="1132" w:hanging="283"/>
    </w:pPr>
    <w:rPr>
      <w:rFonts w:asciiTheme="minorHAnsi" w:hAnsiTheme="minorHAnsi" w:cstheme="minorBidi"/>
    </w:rPr>
  </w:style>
  <w:style w:type="paragraph" w:styleId="List5">
    <w:name w:val="List 5"/>
    <w:basedOn w:val="Normal"/>
    <w:pPr>
      <w:spacing w:before="0" w:after="240" w:line="276" w:lineRule="auto"/>
      <w:ind w:left="1415" w:hanging="283"/>
    </w:pPr>
    <w:rPr>
      <w:rFonts w:asciiTheme="minorHAnsi" w:hAnsiTheme="minorHAnsi" w:cstheme="minorBidi"/>
    </w:rPr>
  </w:style>
  <w:style w:type="paragraph" w:styleId="ListBullet">
    <w:name w:val="List Bullet"/>
    <w:basedOn w:val="Normal"/>
    <w:pPr>
      <w:numPr>
        <w:numId w:val="4"/>
      </w:numPr>
      <w:spacing w:before="0" w:after="240" w:line="276" w:lineRule="auto"/>
    </w:pPr>
    <w:rPr>
      <w:rFonts w:asciiTheme="minorHAnsi" w:hAnsiTheme="minorHAnsi" w:cstheme="minorBidi"/>
    </w:rPr>
  </w:style>
  <w:style w:type="paragraph" w:styleId="ListBullet2">
    <w:name w:val="List Bullet 2"/>
    <w:basedOn w:val="Text2"/>
    <w:pPr>
      <w:numPr>
        <w:numId w:val="6"/>
      </w:numPr>
      <w:spacing w:before="0" w:after="240" w:line="276" w:lineRule="auto"/>
    </w:pPr>
    <w:rPr>
      <w:rFonts w:asciiTheme="minorHAnsi" w:hAnsiTheme="minorHAnsi" w:cstheme="minorBidi"/>
    </w:rPr>
  </w:style>
  <w:style w:type="paragraph" w:styleId="ListBullet3">
    <w:name w:val="List Bullet 3"/>
    <w:basedOn w:val="Text3"/>
    <w:pPr>
      <w:numPr>
        <w:numId w:val="7"/>
      </w:numPr>
      <w:spacing w:before="0" w:after="240" w:line="276" w:lineRule="auto"/>
    </w:pPr>
    <w:rPr>
      <w:rFonts w:asciiTheme="minorHAnsi" w:hAnsiTheme="minorHAnsi" w:cstheme="minorBidi"/>
    </w:rPr>
  </w:style>
  <w:style w:type="paragraph" w:styleId="ListBullet4">
    <w:name w:val="List Bullet 4"/>
    <w:basedOn w:val="Text4"/>
    <w:pPr>
      <w:numPr>
        <w:numId w:val="8"/>
      </w:numPr>
      <w:spacing w:before="0" w:after="240" w:line="276" w:lineRule="auto"/>
    </w:pPr>
    <w:rPr>
      <w:rFonts w:asciiTheme="minorHAnsi" w:hAnsiTheme="minorHAnsi" w:cstheme="minorBidi"/>
    </w:rPr>
  </w:style>
  <w:style w:type="paragraph" w:styleId="ListBullet5">
    <w:name w:val="List Bullet 5"/>
    <w:basedOn w:val="Normal"/>
    <w:autoRedefine/>
    <w:pPr>
      <w:numPr>
        <w:numId w:val="19"/>
      </w:numPr>
      <w:spacing w:before="0" w:after="240" w:line="276" w:lineRule="auto"/>
    </w:pPr>
    <w:rPr>
      <w:rFonts w:asciiTheme="minorHAnsi" w:hAnsiTheme="minorHAnsi" w:cstheme="minorBidi"/>
    </w:rPr>
  </w:style>
  <w:style w:type="paragraph" w:styleId="ListContinue">
    <w:name w:val="List Continue"/>
    <w:basedOn w:val="Normal"/>
    <w:pPr>
      <w:spacing w:before="0" w:line="276" w:lineRule="auto"/>
      <w:ind w:left="283"/>
    </w:pPr>
    <w:rPr>
      <w:rFonts w:asciiTheme="minorHAnsi" w:hAnsiTheme="minorHAnsi" w:cstheme="minorBidi"/>
    </w:rPr>
  </w:style>
  <w:style w:type="paragraph" w:styleId="ListContinue2">
    <w:name w:val="List Continue 2"/>
    <w:basedOn w:val="Normal"/>
    <w:pPr>
      <w:spacing w:before="0" w:line="276" w:lineRule="auto"/>
      <w:ind w:left="566"/>
    </w:pPr>
    <w:rPr>
      <w:rFonts w:asciiTheme="minorHAnsi" w:hAnsiTheme="minorHAnsi" w:cstheme="minorBidi"/>
    </w:rPr>
  </w:style>
  <w:style w:type="paragraph" w:styleId="ListContinue3">
    <w:name w:val="List Continue 3"/>
    <w:basedOn w:val="Normal"/>
    <w:pPr>
      <w:spacing w:before="0" w:line="276" w:lineRule="auto"/>
      <w:ind w:left="849"/>
    </w:pPr>
    <w:rPr>
      <w:rFonts w:asciiTheme="minorHAnsi" w:hAnsiTheme="minorHAnsi" w:cstheme="minorBidi"/>
    </w:rPr>
  </w:style>
  <w:style w:type="paragraph" w:styleId="ListContinue4">
    <w:name w:val="List Continue 4"/>
    <w:basedOn w:val="Normal"/>
    <w:pPr>
      <w:spacing w:before="0" w:line="276" w:lineRule="auto"/>
      <w:ind w:left="1132"/>
    </w:pPr>
    <w:rPr>
      <w:rFonts w:asciiTheme="minorHAnsi" w:hAnsiTheme="minorHAnsi" w:cstheme="minorBidi"/>
    </w:rPr>
  </w:style>
  <w:style w:type="paragraph" w:styleId="ListContinue5">
    <w:name w:val="List Continue 5"/>
    <w:basedOn w:val="Normal"/>
    <w:pPr>
      <w:spacing w:before="0" w:line="276" w:lineRule="auto"/>
      <w:ind w:left="1415"/>
    </w:pPr>
    <w:rPr>
      <w:rFonts w:asciiTheme="minorHAnsi" w:hAnsiTheme="minorHAnsi" w:cstheme="minorBidi"/>
    </w:rPr>
  </w:style>
  <w:style w:type="paragraph" w:styleId="ListNumber">
    <w:name w:val="List Number"/>
    <w:basedOn w:val="Normal"/>
    <w:pPr>
      <w:numPr>
        <w:numId w:val="14"/>
      </w:numPr>
      <w:spacing w:before="0" w:after="240" w:line="276" w:lineRule="auto"/>
    </w:pPr>
    <w:rPr>
      <w:rFonts w:asciiTheme="minorHAnsi" w:hAnsiTheme="minorHAnsi" w:cstheme="minorBidi"/>
    </w:rPr>
  </w:style>
  <w:style w:type="paragraph" w:styleId="ListNumber2">
    <w:name w:val="List Number 2"/>
    <w:basedOn w:val="Text2"/>
    <w:pPr>
      <w:numPr>
        <w:numId w:val="16"/>
      </w:numPr>
      <w:spacing w:before="0" w:after="240" w:line="276" w:lineRule="auto"/>
    </w:pPr>
    <w:rPr>
      <w:rFonts w:asciiTheme="minorHAnsi" w:hAnsiTheme="minorHAnsi" w:cstheme="minorBidi"/>
    </w:rPr>
  </w:style>
  <w:style w:type="paragraph" w:styleId="ListNumber3">
    <w:name w:val="List Number 3"/>
    <w:basedOn w:val="Text3"/>
    <w:pPr>
      <w:numPr>
        <w:numId w:val="17"/>
      </w:numPr>
      <w:spacing w:before="0" w:after="240" w:line="276" w:lineRule="auto"/>
    </w:pPr>
    <w:rPr>
      <w:rFonts w:asciiTheme="minorHAnsi" w:hAnsiTheme="minorHAnsi" w:cstheme="minorBidi"/>
    </w:rPr>
  </w:style>
  <w:style w:type="paragraph" w:styleId="ListNumber4">
    <w:name w:val="List Number 4"/>
    <w:basedOn w:val="Text4"/>
    <w:pPr>
      <w:numPr>
        <w:numId w:val="18"/>
      </w:numPr>
      <w:spacing w:before="0" w:after="240" w:line="276" w:lineRule="auto"/>
    </w:pPr>
    <w:rPr>
      <w:rFonts w:asciiTheme="minorHAnsi" w:hAnsiTheme="minorHAnsi" w:cstheme="minorBidi"/>
    </w:rPr>
  </w:style>
  <w:style w:type="paragraph" w:styleId="ListNumber5">
    <w:name w:val="List Number 5"/>
    <w:basedOn w:val="Normal"/>
    <w:pPr>
      <w:numPr>
        <w:numId w:val="20"/>
      </w:numPr>
      <w:spacing w:before="0" w:after="240" w:line="276" w:lineRule="auto"/>
    </w:pPr>
    <w:rPr>
      <w:rFonts w:asciiTheme="minorHAnsi" w:hAnsiTheme="minorHAnsi" w:cstheme="minorBidi"/>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line="276" w:lineRule="auto"/>
      <w:ind w:left="1134" w:hanging="1134"/>
    </w:pPr>
    <w:rPr>
      <w:rFonts w:ascii="Arial" w:hAnsi="Arial" w:cstheme="minorBidi"/>
    </w:rPr>
  </w:style>
  <w:style w:type="character" w:customStyle="1" w:styleId="MessageHeaderChar">
    <w:name w:val="Message Header Char"/>
    <w:basedOn w:val="DefaultParagraphFont"/>
    <w:link w:val="MessageHeader"/>
    <w:rPr>
      <w:rFonts w:ascii="Arial" w:hAnsi="Arial"/>
      <w:sz w:val="24"/>
      <w:shd w:val="pct20" w:color="auto" w:fill="auto"/>
      <w:lang w:val="en-GB"/>
    </w:rPr>
  </w:style>
  <w:style w:type="paragraph" w:styleId="NormalIndent">
    <w:name w:val="Normal Indent"/>
    <w:basedOn w:val="Normal"/>
    <w:pPr>
      <w:spacing w:before="0" w:after="240" w:line="276" w:lineRule="auto"/>
      <w:ind w:left="720"/>
    </w:pPr>
    <w:rPr>
      <w:rFonts w:asciiTheme="minorHAnsi" w:hAnsiTheme="minorHAnsi" w:cstheme="minorBidi"/>
    </w:rPr>
  </w:style>
  <w:style w:type="paragraph" w:styleId="NoteHeading">
    <w:name w:val="Note Heading"/>
    <w:basedOn w:val="Normal"/>
    <w:next w:val="Normal"/>
    <w:link w:val="NoteHeadingChar"/>
    <w:pPr>
      <w:spacing w:before="0" w:after="240" w:line="276" w:lineRule="auto"/>
    </w:pPr>
    <w:rPr>
      <w:rFonts w:asciiTheme="minorHAnsi" w:hAnsiTheme="minorHAnsi" w:cstheme="minorBidi"/>
    </w:rPr>
  </w:style>
  <w:style w:type="character" w:customStyle="1" w:styleId="NoteHeadingChar">
    <w:name w:val="Note Heading Char"/>
    <w:basedOn w:val="DefaultParagraphFont"/>
    <w:link w:val="NoteHeading"/>
    <w:rPr>
      <w:sz w:val="24"/>
      <w:lang w:val="en-GB"/>
    </w:rPr>
  </w:style>
  <w:style w:type="paragraph" w:customStyle="1" w:styleId="NoteHead">
    <w:name w:val="NoteHead"/>
    <w:basedOn w:val="Normal"/>
    <w:next w:val="Subject"/>
    <w:pPr>
      <w:spacing w:before="720" w:after="720" w:line="276" w:lineRule="auto"/>
      <w:jc w:val="center"/>
    </w:pPr>
    <w:rPr>
      <w:rFonts w:asciiTheme="minorHAnsi" w:hAnsiTheme="minorHAnsi" w:cstheme="minorBidi"/>
      <w:b/>
      <w:smallCaps/>
    </w:rPr>
  </w:style>
  <w:style w:type="paragraph" w:customStyle="1" w:styleId="Subject">
    <w:name w:val="Subject"/>
    <w:basedOn w:val="Normal"/>
    <w:next w:val="Normal"/>
    <w:pPr>
      <w:spacing w:before="0" w:after="480" w:line="276" w:lineRule="auto"/>
      <w:ind w:left="1531" w:hanging="1531"/>
      <w:jc w:val="left"/>
    </w:pPr>
    <w:rPr>
      <w:rFonts w:asciiTheme="minorHAnsi" w:hAnsiTheme="minorHAnsi" w:cstheme="minorBidi"/>
      <w:b/>
    </w:rPr>
  </w:style>
  <w:style w:type="paragraph" w:customStyle="1" w:styleId="NoteList">
    <w:name w:val="NoteList"/>
    <w:basedOn w:val="Normal"/>
    <w:next w:val="Subject"/>
    <w:pPr>
      <w:tabs>
        <w:tab w:val="left" w:pos="5823"/>
      </w:tabs>
      <w:spacing w:before="720" w:after="720" w:line="276" w:lineRule="auto"/>
      <w:ind w:left="5104" w:hanging="3119"/>
      <w:jc w:val="left"/>
    </w:pPr>
    <w:rPr>
      <w:rFonts w:asciiTheme="minorHAnsi" w:hAnsiTheme="minorHAnsi" w:cstheme="minorBidi"/>
      <w:b/>
      <w:smallCaps/>
    </w:rPr>
  </w:style>
  <w:style w:type="paragraph" w:styleId="PlainText">
    <w:name w:val="Plain Text"/>
    <w:basedOn w:val="Normal"/>
    <w:link w:val="PlainTextChar"/>
    <w:pPr>
      <w:spacing w:before="0" w:after="240" w:line="276" w:lineRule="auto"/>
    </w:pPr>
    <w:rPr>
      <w:rFonts w:ascii="Courier New" w:hAnsi="Courier New" w:cstheme="minorBidi"/>
      <w:sz w:val="20"/>
    </w:rPr>
  </w:style>
  <w:style w:type="character" w:customStyle="1" w:styleId="PlainTextChar">
    <w:name w:val="Plain Text Char"/>
    <w:basedOn w:val="DefaultParagraphFont"/>
    <w:link w:val="PlainText"/>
    <w:rPr>
      <w:rFonts w:ascii="Courier New" w:hAnsi="Courier New"/>
      <w:sz w:val="20"/>
      <w:lang w:val="en-GB"/>
    </w:rPr>
  </w:style>
  <w:style w:type="paragraph" w:styleId="Salutation">
    <w:name w:val="Salutation"/>
    <w:basedOn w:val="Normal"/>
    <w:next w:val="Normal"/>
    <w:link w:val="SalutationChar"/>
    <w:pPr>
      <w:spacing w:before="0" w:after="240" w:line="276" w:lineRule="auto"/>
    </w:pPr>
    <w:rPr>
      <w:rFonts w:asciiTheme="minorHAnsi" w:hAnsiTheme="minorHAnsi" w:cstheme="minorBidi"/>
    </w:rPr>
  </w:style>
  <w:style w:type="character" w:customStyle="1" w:styleId="SalutationChar">
    <w:name w:val="Salutation Char"/>
    <w:basedOn w:val="DefaultParagraphFont"/>
    <w:link w:val="Salutation"/>
    <w:rPr>
      <w:sz w:val="24"/>
      <w:lang w:val="en-GB"/>
    </w:rPr>
  </w:style>
  <w:style w:type="paragraph" w:styleId="Subtitle">
    <w:name w:val="Subtitle"/>
    <w:basedOn w:val="Normal"/>
    <w:link w:val="SubtitleChar"/>
    <w:qFormat/>
    <w:pPr>
      <w:spacing w:before="0" w:after="60" w:line="276" w:lineRule="auto"/>
      <w:jc w:val="center"/>
      <w:outlineLvl w:val="1"/>
    </w:pPr>
    <w:rPr>
      <w:rFonts w:ascii="Arial" w:hAnsi="Arial" w:cstheme="minorBidi"/>
    </w:rPr>
  </w:style>
  <w:style w:type="character" w:customStyle="1" w:styleId="SubtitleChar">
    <w:name w:val="Subtitle Char"/>
    <w:basedOn w:val="DefaultParagraphFont"/>
    <w:link w:val="Subtitle"/>
    <w:rPr>
      <w:rFonts w:ascii="Arial" w:hAnsi="Arial"/>
      <w:sz w:val="24"/>
      <w:lang w:val="en-GB"/>
    </w:rPr>
  </w:style>
  <w:style w:type="paragraph" w:styleId="TableofAuthorities">
    <w:name w:val="table of authorities"/>
    <w:basedOn w:val="Normal"/>
    <w:next w:val="Normal"/>
    <w:semiHidden/>
    <w:pPr>
      <w:spacing w:before="0" w:after="240" w:line="276" w:lineRule="auto"/>
      <w:ind w:left="240" w:hanging="240"/>
    </w:pPr>
    <w:rPr>
      <w:rFonts w:asciiTheme="minorHAnsi" w:hAnsiTheme="minorHAnsi" w:cstheme="minorBidi"/>
    </w:rPr>
  </w:style>
  <w:style w:type="paragraph" w:styleId="TableofFigures">
    <w:name w:val="table of figures"/>
    <w:basedOn w:val="Normal"/>
    <w:next w:val="Normal"/>
    <w:semiHidden/>
    <w:pPr>
      <w:spacing w:before="0" w:after="240" w:line="276" w:lineRule="auto"/>
      <w:ind w:left="480" w:hanging="480"/>
    </w:pPr>
    <w:rPr>
      <w:rFonts w:asciiTheme="minorHAnsi" w:hAnsiTheme="minorHAnsi" w:cstheme="minorBidi"/>
    </w:rPr>
  </w:style>
  <w:style w:type="paragraph" w:styleId="Title">
    <w:name w:val="Title"/>
    <w:basedOn w:val="Normal"/>
    <w:link w:val="TitleChar"/>
    <w:qFormat/>
    <w:pPr>
      <w:spacing w:before="240" w:after="60" w:line="276" w:lineRule="auto"/>
      <w:jc w:val="center"/>
      <w:outlineLvl w:val="0"/>
    </w:pPr>
    <w:rPr>
      <w:rFonts w:ascii="Arial" w:hAnsi="Arial" w:cstheme="minorBidi"/>
      <w:b/>
      <w:kern w:val="28"/>
      <w:sz w:val="32"/>
    </w:rPr>
  </w:style>
  <w:style w:type="character" w:customStyle="1" w:styleId="TitleChar">
    <w:name w:val="Title Char"/>
    <w:basedOn w:val="DefaultParagraphFont"/>
    <w:link w:val="Title"/>
    <w:rPr>
      <w:rFonts w:ascii="Arial" w:hAnsi="Arial"/>
      <w:b/>
      <w:kern w:val="28"/>
      <w:sz w:val="32"/>
      <w:lang w:val="en-GB"/>
    </w:rPr>
  </w:style>
  <w:style w:type="paragraph" w:styleId="TOAHeading">
    <w:name w:val="toa heading"/>
    <w:basedOn w:val="Normal"/>
    <w:next w:val="Normal"/>
    <w:semiHidden/>
    <w:pPr>
      <w:spacing w:after="240" w:line="276" w:lineRule="auto"/>
    </w:pPr>
    <w:rPr>
      <w:rFonts w:ascii="Arial" w:hAnsi="Arial" w:cstheme="minorBidi"/>
      <w:b/>
    </w:rPr>
  </w:style>
  <w:style w:type="paragraph" w:customStyle="1" w:styleId="YReferences">
    <w:name w:val="YReferences"/>
    <w:basedOn w:val="Normal"/>
    <w:next w:val="Normal"/>
    <w:pPr>
      <w:spacing w:before="0" w:after="480" w:line="276" w:lineRule="auto"/>
      <w:ind w:left="1531" w:hanging="1531"/>
    </w:pPr>
    <w:rPr>
      <w:rFonts w:asciiTheme="minorHAnsi" w:hAnsiTheme="minorHAnsi" w:cstheme="minorBidi"/>
    </w:rPr>
  </w:style>
  <w:style w:type="paragraph" w:customStyle="1" w:styleId="ListBullet1">
    <w:name w:val="List Bullet 1"/>
    <w:basedOn w:val="Text1"/>
    <w:pPr>
      <w:numPr>
        <w:numId w:val="5"/>
      </w:numPr>
      <w:spacing w:before="0" w:after="240" w:line="276" w:lineRule="auto"/>
    </w:pPr>
    <w:rPr>
      <w:rFonts w:asciiTheme="minorHAnsi" w:hAnsiTheme="minorHAnsi" w:cstheme="minorBidi"/>
    </w:rPr>
  </w:style>
  <w:style w:type="paragraph" w:customStyle="1" w:styleId="ListDash">
    <w:name w:val="List Dash"/>
    <w:basedOn w:val="Normal"/>
    <w:pPr>
      <w:numPr>
        <w:numId w:val="9"/>
      </w:numPr>
      <w:spacing w:before="0" w:after="240" w:line="276" w:lineRule="auto"/>
    </w:pPr>
    <w:rPr>
      <w:rFonts w:asciiTheme="minorHAnsi" w:hAnsiTheme="minorHAnsi" w:cstheme="minorBidi"/>
    </w:rPr>
  </w:style>
  <w:style w:type="paragraph" w:customStyle="1" w:styleId="ListDash1">
    <w:name w:val="List Dash 1"/>
    <w:basedOn w:val="Text1"/>
    <w:pPr>
      <w:numPr>
        <w:numId w:val="10"/>
      </w:numPr>
      <w:spacing w:before="0" w:after="240" w:line="276" w:lineRule="auto"/>
    </w:pPr>
    <w:rPr>
      <w:rFonts w:asciiTheme="minorHAnsi" w:hAnsiTheme="minorHAnsi" w:cstheme="minorBidi"/>
    </w:rPr>
  </w:style>
  <w:style w:type="paragraph" w:customStyle="1" w:styleId="ListDash2">
    <w:name w:val="List Dash 2"/>
    <w:basedOn w:val="Text2"/>
    <w:pPr>
      <w:numPr>
        <w:numId w:val="11"/>
      </w:numPr>
      <w:spacing w:before="0" w:after="240" w:line="276" w:lineRule="auto"/>
    </w:pPr>
    <w:rPr>
      <w:rFonts w:asciiTheme="minorHAnsi" w:hAnsiTheme="minorHAnsi" w:cstheme="minorBidi"/>
    </w:rPr>
  </w:style>
  <w:style w:type="paragraph" w:customStyle="1" w:styleId="ListDash3">
    <w:name w:val="List Dash 3"/>
    <w:basedOn w:val="Text3"/>
    <w:pPr>
      <w:numPr>
        <w:numId w:val="12"/>
      </w:numPr>
      <w:spacing w:before="0" w:after="240" w:line="276" w:lineRule="auto"/>
    </w:pPr>
    <w:rPr>
      <w:rFonts w:asciiTheme="minorHAnsi" w:hAnsiTheme="minorHAnsi" w:cstheme="minorBidi"/>
    </w:rPr>
  </w:style>
  <w:style w:type="paragraph" w:customStyle="1" w:styleId="ListDash4">
    <w:name w:val="List Dash 4"/>
    <w:basedOn w:val="Text4"/>
    <w:pPr>
      <w:numPr>
        <w:numId w:val="13"/>
      </w:numPr>
      <w:spacing w:before="0" w:after="240" w:line="276" w:lineRule="auto"/>
    </w:pPr>
    <w:rPr>
      <w:rFonts w:asciiTheme="minorHAnsi" w:hAnsiTheme="minorHAnsi" w:cstheme="minorBidi"/>
    </w:rPr>
  </w:style>
  <w:style w:type="paragraph" w:customStyle="1" w:styleId="ListNumberLevel2">
    <w:name w:val="List Number (Level 2)"/>
    <w:basedOn w:val="Normal"/>
    <w:pPr>
      <w:numPr>
        <w:ilvl w:val="1"/>
        <w:numId w:val="14"/>
      </w:numPr>
      <w:spacing w:before="0" w:after="240" w:line="276" w:lineRule="auto"/>
    </w:pPr>
    <w:rPr>
      <w:rFonts w:asciiTheme="minorHAnsi" w:hAnsiTheme="minorHAnsi" w:cstheme="minorBidi"/>
    </w:rPr>
  </w:style>
  <w:style w:type="paragraph" w:customStyle="1" w:styleId="ListNumberLevel3">
    <w:name w:val="List Number (Level 3)"/>
    <w:basedOn w:val="Normal"/>
    <w:pPr>
      <w:numPr>
        <w:ilvl w:val="2"/>
        <w:numId w:val="14"/>
      </w:numPr>
      <w:spacing w:before="0" w:after="240" w:line="276" w:lineRule="auto"/>
    </w:pPr>
    <w:rPr>
      <w:rFonts w:asciiTheme="minorHAnsi" w:hAnsiTheme="minorHAnsi" w:cstheme="minorBidi"/>
    </w:rPr>
  </w:style>
  <w:style w:type="paragraph" w:customStyle="1" w:styleId="ListNumberLevel4">
    <w:name w:val="List Number (Level 4)"/>
    <w:basedOn w:val="Normal"/>
    <w:pPr>
      <w:numPr>
        <w:ilvl w:val="3"/>
        <w:numId w:val="14"/>
      </w:numPr>
      <w:spacing w:before="0" w:after="240" w:line="276" w:lineRule="auto"/>
    </w:pPr>
    <w:rPr>
      <w:rFonts w:asciiTheme="minorHAnsi" w:hAnsiTheme="minorHAnsi" w:cstheme="minorBidi"/>
    </w:rPr>
  </w:style>
  <w:style w:type="paragraph" w:customStyle="1" w:styleId="ListNumber1">
    <w:name w:val="List Number 1"/>
    <w:basedOn w:val="Text1"/>
    <w:pPr>
      <w:numPr>
        <w:numId w:val="15"/>
      </w:numPr>
      <w:spacing w:before="0" w:after="240" w:line="276" w:lineRule="auto"/>
    </w:pPr>
    <w:rPr>
      <w:rFonts w:asciiTheme="minorHAnsi" w:hAnsiTheme="minorHAnsi" w:cstheme="minorBidi"/>
    </w:rPr>
  </w:style>
  <w:style w:type="paragraph" w:customStyle="1" w:styleId="ListNumber1Level2">
    <w:name w:val="List Number 1 (Level 2)"/>
    <w:basedOn w:val="Text1"/>
    <w:pPr>
      <w:numPr>
        <w:ilvl w:val="1"/>
        <w:numId w:val="15"/>
      </w:numPr>
      <w:spacing w:before="0" w:after="240" w:line="276" w:lineRule="auto"/>
    </w:pPr>
    <w:rPr>
      <w:rFonts w:asciiTheme="minorHAnsi" w:hAnsiTheme="minorHAnsi" w:cstheme="minorBidi"/>
    </w:rPr>
  </w:style>
  <w:style w:type="paragraph" w:customStyle="1" w:styleId="ListNumber1Level3">
    <w:name w:val="List Number 1 (Level 3)"/>
    <w:basedOn w:val="Text1"/>
    <w:pPr>
      <w:numPr>
        <w:ilvl w:val="2"/>
        <w:numId w:val="15"/>
      </w:numPr>
      <w:spacing w:before="0" w:after="240" w:line="276" w:lineRule="auto"/>
    </w:pPr>
    <w:rPr>
      <w:rFonts w:asciiTheme="minorHAnsi" w:hAnsiTheme="minorHAnsi" w:cstheme="minorBidi"/>
    </w:rPr>
  </w:style>
  <w:style w:type="paragraph" w:customStyle="1" w:styleId="ListNumber1Level4">
    <w:name w:val="List Number 1 (Level 4)"/>
    <w:basedOn w:val="Text1"/>
    <w:pPr>
      <w:numPr>
        <w:ilvl w:val="3"/>
        <w:numId w:val="15"/>
      </w:numPr>
      <w:spacing w:before="0" w:after="240" w:line="276" w:lineRule="auto"/>
    </w:pPr>
    <w:rPr>
      <w:rFonts w:asciiTheme="minorHAnsi" w:hAnsiTheme="minorHAnsi" w:cstheme="minorBidi"/>
    </w:rPr>
  </w:style>
  <w:style w:type="paragraph" w:customStyle="1" w:styleId="ListNumber2Level2">
    <w:name w:val="List Number 2 (Level 2)"/>
    <w:basedOn w:val="Text2"/>
    <w:pPr>
      <w:numPr>
        <w:ilvl w:val="1"/>
        <w:numId w:val="16"/>
      </w:numPr>
      <w:spacing w:before="0" w:after="240" w:line="276" w:lineRule="auto"/>
    </w:pPr>
    <w:rPr>
      <w:rFonts w:asciiTheme="minorHAnsi" w:hAnsiTheme="minorHAnsi" w:cstheme="minorBidi"/>
    </w:rPr>
  </w:style>
  <w:style w:type="paragraph" w:customStyle="1" w:styleId="ListNumber2Level3">
    <w:name w:val="List Number 2 (Level 3)"/>
    <w:basedOn w:val="Text2"/>
    <w:pPr>
      <w:numPr>
        <w:ilvl w:val="2"/>
        <w:numId w:val="16"/>
      </w:numPr>
      <w:spacing w:before="0" w:after="240" w:line="276" w:lineRule="auto"/>
    </w:pPr>
    <w:rPr>
      <w:rFonts w:asciiTheme="minorHAnsi" w:hAnsiTheme="minorHAnsi" w:cstheme="minorBidi"/>
    </w:rPr>
  </w:style>
  <w:style w:type="paragraph" w:customStyle="1" w:styleId="ListNumber2Level4">
    <w:name w:val="List Number 2 (Level 4)"/>
    <w:basedOn w:val="Text2"/>
    <w:pPr>
      <w:numPr>
        <w:ilvl w:val="3"/>
        <w:numId w:val="16"/>
      </w:numPr>
      <w:spacing w:before="0" w:after="240" w:line="276" w:lineRule="auto"/>
      <w:ind w:left="3901" w:hanging="703"/>
    </w:pPr>
    <w:rPr>
      <w:rFonts w:asciiTheme="minorHAnsi" w:hAnsiTheme="minorHAnsi" w:cstheme="minorBidi"/>
    </w:rPr>
  </w:style>
  <w:style w:type="paragraph" w:customStyle="1" w:styleId="ListNumber3Level2">
    <w:name w:val="List Number 3 (Level 2)"/>
    <w:basedOn w:val="Text3"/>
    <w:pPr>
      <w:numPr>
        <w:ilvl w:val="1"/>
        <w:numId w:val="17"/>
      </w:numPr>
      <w:spacing w:before="0" w:after="240" w:line="276" w:lineRule="auto"/>
    </w:pPr>
    <w:rPr>
      <w:rFonts w:asciiTheme="minorHAnsi" w:hAnsiTheme="minorHAnsi" w:cstheme="minorBidi"/>
    </w:rPr>
  </w:style>
  <w:style w:type="paragraph" w:customStyle="1" w:styleId="ListNumber3Level3">
    <w:name w:val="List Number 3 (Level 3)"/>
    <w:basedOn w:val="Text3"/>
    <w:pPr>
      <w:numPr>
        <w:ilvl w:val="2"/>
        <w:numId w:val="17"/>
      </w:numPr>
      <w:spacing w:before="0" w:after="240" w:line="276" w:lineRule="auto"/>
    </w:pPr>
    <w:rPr>
      <w:rFonts w:asciiTheme="minorHAnsi" w:hAnsiTheme="minorHAnsi" w:cstheme="minorBidi"/>
    </w:rPr>
  </w:style>
  <w:style w:type="paragraph" w:customStyle="1" w:styleId="ListNumber3Level4">
    <w:name w:val="List Number 3 (Level 4)"/>
    <w:basedOn w:val="Text3"/>
    <w:pPr>
      <w:numPr>
        <w:ilvl w:val="3"/>
        <w:numId w:val="17"/>
      </w:numPr>
      <w:spacing w:before="0" w:after="240" w:line="276" w:lineRule="auto"/>
    </w:pPr>
    <w:rPr>
      <w:rFonts w:asciiTheme="minorHAnsi" w:hAnsiTheme="minorHAnsi" w:cstheme="minorBidi"/>
    </w:rPr>
  </w:style>
  <w:style w:type="paragraph" w:customStyle="1" w:styleId="ListNumber4Level2">
    <w:name w:val="List Number 4 (Level 2)"/>
    <w:basedOn w:val="Text4"/>
    <w:pPr>
      <w:numPr>
        <w:ilvl w:val="1"/>
        <w:numId w:val="18"/>
      </w:numPr>
      <w:spacing w:before="0" w:after="240" w:line="276" w:lineRule="auto"/>
    </w:pPr>
    <w:rPr>
      <w:rFonts w:asciiTheme="minorHAnsi" w:hAnsiTheme="minorHAnsi" w:cstheme="minorBidi"/>
    </w:rPr>
  </w:style>
  <w:style w:type="paragraph" w:customStyle="1" w:styleId="ListNumber4Level3">
    <w:name w:val="List Number 4 (Level 3)"/>
    <w:basedOn w:val="Text4"/>
    <w:pPr>
      <w:numPr>
        <w:ilvl w:val="2"/>
        <w:numId w:val="18"/>
      </w:numPr>
      <w:spacing w:before="0" w:after="240" w:line="276" w:lineRule="auto"/>
    </w:pPr>
    <w:rPr>
      <w:rFonts w:asciiTheme="minorHAnsi" w:hAnsiTheme="minorHAnsi" w:cstheme="minorBidi"/>
    </w:rPr>
  </w:style>
  <w:style w:type="paragraph" w:customStyle="1" w:styleId="ListNumber4Level4">
    <w:name w:val="List Number 4 (Level 4)"/>
    <w:basedOn w:val="Text4"/>
    <w:pPr>
      <w:numPr>
        <w:ilvl w:val="3"/>
        <w:numId w:val="18"/>
      </w:numPr>
      <w:spacing w:before="0" w:after="240" w:line="276" w:lineRule="auto"/>
    </w:pPr>
    <w:rPr>
      <w:rFonts w:asciiTheme="minorHAnsi" w:hAnsiTheme="minorHAnsi" w:cstheme="minorBidi"/>
    </w:rPr>
  </w:style>
  <w:style w:type="paragraph" w:customStyle="1" w:styleId="Contact">
    <w:name w:val="Contact"/>
    <w:basedOn w:val="Normal"/>
    <w:next w:val="Normal"/>
    <w:pPr>
      <w:spacing w:before="480" w:after="0" w:line="276" w:lineRule="auto"/>
      <w:ind w:left="567" w:hanging="567"/>
      <w:jc w:val="left"/>
    </w:pPr>
    <w:rPr>
      <w:rFonts w:asciiTheme="minorHAnsi" w:hAnsiTheme="minorHAnsi" w:cstheme="minorBidi"/>
    </w:rPr>
  </w:style>
  <w:style w:type="paragraph" w:customStyle="1" w:styleId="DisclaimerNotice">
    <w:name w:val="Disclaimer Notice"/>
    <w:basedOn w:val="Normal"/>
    <w:next w:val="AddressTR"/>
    <w:pPr>
      <w:spacing w:before="0" w:after="240" w:line="276" w:lineRule="auto"/>
      <w:ind w:left="5103"/>
      <w:jc w:val="left"/>
    </w:pPr>
    <w:rPr>
      <w:rFonts w:asciiTheme="minorHAnsi" w:hAnsiTheme="minorHAnsi" w:cstheme="minorBidi"/>
      <w:i/>
      <w:sz w:val="20"/>
    </w:rPr>
  </w:style>
  <w:style w:type="paragraph" w:customStyle="1" w:styleId="Disclaimer">
    <w:name w:val="Disclaimer"/>
    <w:basedOn w:val="Normal"/>
    <w:pPr>
      <w:keepLines/>
      <w:pBdr>
        <w:top w:val="single" w:sz="4" w:space="1" w:color="auto"/>
      </w:pBdr>
      <w:spacing w:before="480" w:after="0" w:line="276" w:lineRule="auto"/>
    </w:pPr>
    <w:rPr>
      <w:rFonts w:asciiTheme="minorHAnsi" w:hAnsiTheme="minorHAnsi" w:cstheme="minorBidi"/>
      <w:i/>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line="276" w:lineRule="auto"/>
    </w:pPr>
    <w:rPr>
      <w:rFonts w:ascii="Arial" w:hAnsi="Arial" w:cstheme="minorBidi"/>
      <w:b/>
      <w:sz w:val="16"/>
    </w:rPr>
  </w:style>
  <w:style w:type="paragraph" w:customStyle="1" w:styleId="Designator">
    <w:name w:val="Designator"/>
    <w:basedOn w:val="Normal"/>
    <w:pPr>
      <w:spacing w:before="0" w:after="0" w:line="276" w:lineRule="auto"/>
      <w:jc w:val="center"/>
    </w:pPr>
    <w:rPr>
      <w:rFonts w:asciiTheme="minorHAnsi" w:hAnsiTheme="minorHAnsi" w:cstheme="minorBidi"/>
      <w:b/>
      <w:caps/>
      <w:sz w:val="32"/>
    </w:rPr>
  </w:style>
  <w:style w:type="paragraph" w:customStyle="1" w:styleId="Releasable">
    <w:name w:val="Releasable"/>
    <w:basedOn w:val="Normal"/>
    <w:qFormat/>
    <w:pPr>
      <w:spacing w:before="0" w:after="0" w:line="276" w:lineRule="auto"/>
      <w:jc w:val="center"/>
    </w:pPr>
    <w:rPr>
      <w:rFonts w:asciiTheme="minorHAnsi" w:hAnsiTheme="minorHAnsi" w:cstheme="minorBidi"/>
      <w:b/>
      <w:caps/>
      <w:sz w:val="32"/>
      <w:lang w:val="de-DE"/>
    </w:rPr>
  </w:style>
  <w:style w:type="paragraph" w:customStyle="1" w:styleId="RUE">
    <w:name w:val="RUE"/>
    <w:basedOn w:val="Normal"/>
    <w:pPr>
      <w:spacing w:before="0" w:after="0" w:line="276" w:lineRule="auto"/>
      <w:jc w:val="center"/>
    </w:pPr>
    <w:rPr>
      <w:rFonts w:asciiTheme="minorHAnsi" w:hAnsiTheme="minorHAnsi" w:cstheme="minorBidi"/>
      <w:b/>
      <w:caps/>
      <w:sz w:val="32"/>
      <w:bdr w:val="single" w:sz="18" w:space="0" w:color="auto"/>
      <w:lang w:val="de-DE"/>
    </w:rPr>
  </w:style>
  <w:style w:type="paragraph" w:customStyle="1" w:styleId="ConfidentialUE">
    <w:name w:val="Confidential 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TrsSecretUE">
    <w:name w:val="Très 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SecretUE">
    <w:name w:val="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LegalNumPar">
    <w:name w:val="LegalNumPar"/>
    <w:basedOn w:val="Normal"/>
    <w:pPr>
      <w:numPr>
        <w:numId w:val="21"/>
      </w:numPr>
      <w:spacing w:before="0" w:after="240" w:line="360" w:lineRule="auto"/>
      <w:jc w:val="left"/>
    </w:pPr>
    <w:rPr>
      <w:rFonts w:asciiTheme="minorHAnsi" w:hAnsiTheme="minorHAnsi" w:cstheme="minorBidi"/>
    </w:rPr>
  </w:style>
  <w:style w:type="paragraph" w:customStyle="1" w:styleId="LegalNumPar2">
    <w:name w:val="LegalNumPar2"/>
    <w:basedOn w:val="Normal"/>
    <w:pPr>
      <w:numPr>
        <w:ilvl w:val="1"/>
        <w:numId w:val="21"/>
      </w:numPr>
      <w:spacing w:before="0" w:after="240" w:line="360" w:lineRule="auto"/>
      <w:jc w:val="left"/>
    </w:pPr>
    <w:rPr>
      <w:rFonts w:asciiTheme="minorHAnsi" w:hAnsiTheme="minorHAnsi" w:cstheme="minorBidi"/>
    </w:rPr>
  </w:style>
  <w:style w:type="paragraph" w:customStyle="1" w:styleId="LegalNumPar3">
    <w:name w:val="LegalNumPar3"/>
    <w:basedOn w:val="Normal"/>
    <w:pPr>
      <w:numPr>
        <w:ilvl w:val="2"/>
        <w:numId w:val="21"/>
      </w:numPr>
      <w:spacing w:before="0" w:after="240" w:line="360" w:lineRule="auto"/>
      <w:jc w:val="left"/>
    </w:pPr>
    <w:rPr>
      <w:rFonts w:asciiTheme="minorHAnsi" w:hAnsiTheme="minorHAnsi" w:cstheme="minorBidi"/>
    </w:rPr>
  </w:style>
  <w:style w:type="paragraph" w:customStyle="1" w:styleId="Footnoterefernce">
    <w:name w:val="Footnote refernce"/>
    <w:basedOn w:val="Normal"/>
    <w:pPr>
      <w:autoSpaceDE w:val="0"/>
      <w:autoSpaceDN w:val="0"/>
      <w:adjustRightInd w:val="0"/>
      <w:spacing w:after="0"/>
    </w:pPr>
  </w:style>
  <w:style w:type="character" w:styleId="Emphasis">
    <w:name w:val="Emphasis"/>
    <w:basedOn w:val="DefaultParagraphFont"/>
    <w:uiPriority w:val="20"/>
    <w:qFormat/>
    <w:rPr>
      <w:i/>
      <w:iCs/>
      <w:vanish w:val="0"/>
      <w:webHidden w:val="0"/>
      <w:color w:val="0099CC"/>
      <w:specVanish w:val="0"/>
    </w:rPr>
  </w:style>
  <w:style w:type="character" w:styleId="Strong">
    <w:name w:val="Strong"/>
    <w:basedOn w:val="DefaultParagraphFont"/>
    <w:uiPriority w:val="22"/>
    <w:qFormat/>
    <w:rPr>
      <w:b/>
      <w:bCs/>
    </w:rPr>
  </w:style>
  <w:style w:type="character" w:customStyle="1" w:styleId="super">
    <w:name w:val="super"/>
    <w:basedOn w:val="DefaultParagraphFont"/>
    <w:rPr>
      <w:rFonts w:ascii="Times New Roman" w:hAnsi="Times New Roman" w:cs="Times New Roman" w:hint="default"/>
      <w:sz w:val="17"/>
      <w:szCs w:val="17"/>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spacing w:before="240" w:after="60" w:line="276" w:lineRule="auto"/>
      <w:ind w:left="3332" w:hanging="708"/>
      <w:outlineLvl w:val="4"/>
    </w:pPr>
    <w:rPr>
      <w:rFonts w:ascii="Arial" w:hAnsi="Arial" w:cstheme="minorBidi"/>
      <w:sz w:val="22"/>
    </w:rPr>
  </w:style>
  <w:style w:type="paragraph" w:styleId="Heading6">
    <w:name w:val="heading 6"/>
    <w:basedOn w:val="Normal"/>
    <w:next w:val="Normal"/>
    <w:link w:val="Heading6Char"/>
    <w:qFormat/>
    <w:pPr>
      <w:spacing w:before="240" w:after="60" w:line="276" w:lineRule="auto"/>
      <w:ind w:left="4040" w:hanging="708"/>
      <w:outlineLvl w:val="5"/>
    </w:pPr>
    <w:rPr>
      <w:rFonts w:ascii="Arial" w:hAnsi="Arial" w:cstheme="minorBidi"/>
      <w:i/>
      <w:sz w:val="22"/>
    </w:rPr>
  </w:style>
  <w:style w:type="paragraph" w:styleId="Heading7">
    <w:name w:val="heading 7"/>
    <w:basedOn w:val="Normal"/>
    <w:next w:val="Normal"/>
    <w:link w:val="Heading7Char"/>
    <w:qFormat/>
    <w:pPr>
      <w:spacing w:before="240" w:after="60" w:line="276" w:lineRule="auto"/>
      <w:ind w:left="4748" w:hanging="708"/>
      <w:outlineLvl w:val="6"/>
    </w:pPr>
    <w:rPr>
      <w:rFonts w:ascii="Arial" w:hAnsi="Arial" w:cstheme="minorBidi"/>
      <w:sz w:val="20"/>
    </w:rPr>
  </w:style>
  <w:style w:type="paragraph" w:styleId="Heading8">
    <w:name w:val="heading 8"/>
    <w:basedOn w:val="Normal"/>
    <w:next w:val="Normal"/>
    <w:link w:val="Heading8Char"/>
    <w:qFormat/>
    <w:pPr>
      <w:spacing w:before="240" w:after="60" w:line="276" w:lineRule="auto"/>
      <w:ind w:left="5456" w:hanging="708"/>
      <w:outlineLvl w:val="7"/>
    </w:pPr>
    <w:rPr>
      <w:rFonts w:ascii="Arial" w:hAnsi="Arial" w:cstheme="minorBidi"/>
      <w:i/>
      <w:sz w:val="20"/>
    </w:rPr>
  </w:style>
  <w:style w:type="paragraph" w:styleId="Heading9">
    <w:name w:val="heading 9"/>
    <w:basedOn w:val="Normal"/>
    <w:next w:val="Normal"/>
    <w:link w:val="Heading9Char"/>
    <w:qFormat/>
    <w:pPr>
      <w:spacing w:before="240" w:after="60" w:line="276" w:lineRule="auto"/>
      <w:ind w:left="6164" w:hanging="708"/>
      <w:outlineLvl w:val="8"/>
    </w:pPr>
    <w:rPr>
      <w:rFonts w:ascii="Arial" w:hAnsi="Arial" w:cstheme="minorBidi"/>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hAnsi="Arial"/>
      <w:lang w:val="en-GB"/>
    </w:rPr>
  </w:style>
  <w:style w:type="character" w:customStyle="1" w:styleId="Heading6Char">
    <w:name w:val="Heading 6 Char"/>
    <w:basedOn w:val="DefaultParagraphFont"/>
    <w:link w:val="Heading6"/>
    <w:rPr>
      <w:rFonts w:ascii="Arial" w:hAnsi="Arial"/>
      <w:i/>
      <w:lang w:val="en-GB"/>
    </w:rPr>
  </w:style>
  <w:style w:type="character" w:customStyle="1" w:styleId="Heading7Char">
    <w:name w:val="Heading 7 Char"/>
    <w:basedOn w:val="DefaultParagraphFont"/>
    <w:link w:val="Heading7"/>
    <w:rPr>
      <w:rFonts w:ascii="Arial" w:hAnsi="Arial"/>
      <w:sz w:val="20"/>
      <w:lang w:val="en-GB"/>
    </w:rPr>
  </w:style>
  <w:style w:type="character" w:customStyle="1" w:styleId="Heading8Char">
    <w:name w:val="Heading 8 Char"/>
    <w:basedOn w:val="DefaultParagraphFont"/>
    <w:link w:val="Heading8"/>
    <w:rPr>
      <w:rFonts w:ascii="Arial" w:hAnsi="Arial"/>
      <w:i/>
      <w:sz w:val="20"/>
      <w:lang w:val="en-GB"/>
    </w:rPr>
  </w:style>
  <w:style w:type="character" w:customStyle="1" w:styleId="Heading9Char">
    <w:name w:val="Heading 9 Char"/>
    <w:basedOn w:val="DefaultParagraphFont"/>
    <w:link w:val="Heading9"/>
    <w:rPr>
      <w:rFonts w:ascii="Arial" w:hAnsi="Arial"/>
      <w:i/>
      <w:sz w:val="18"/>
      <w:lang w:val="en-GB"/>
    </w:rPr>
  </w:style>
  <w:style w:type="paragraph" w:styleId="BalloonText">
    <w:name w:val="Balloon Text"/>
    <w:basedOn w:val="Normal"/>
    <w:link w:val="BalloonTextChar"/>
    <w:uiPriority w:val="99"/>
    <w:semiHidden/>
    <w:unhideWhenUsed/>
    <w:pPr>
      <w:spacing w:before="0" w:after="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CM1">
    <w:name w:val="CM1"/>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line="276" w:lineRule="auto"/>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hAnsi="Times New Roman" w:cs="Times New Roman"/>
      <w:sz w:val="20"/>
      <w:szCs w:val="20"/>
      <w:lang w:val="en-GB"/>
    </w:rPr>
  </w:style>
  <w:style w:type="paragraph" w:styleId="CommentText">
    <w:name w:val="annotation text"/>
    <w:basedOn w:val="Normal"/>
    <w:link w:val="CommentTextChar1"/>
    <w:semiHidden/>
    <w:unhideWhenUsed/>
    <w:rPr>
      <w:sz w:val="20"/>
      <w:szCs w:val="20"/>
    </w:rPr>
  </w:style>
  <w:style w:type="character" w:customStyle="1" w:styleId="CommentTextChar1">
    <w:name w:val="Comment Text Char1"/>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pPr>
      <w:spacing w:before="0" w:after="240" w:line="276" w:lineRule="auto"/>
    </w:pPr>
    <w:rPr>
      <w:rFonts w:asciiTheme="minorHAnsi" w:hAnsiTheme="minorHAnsi" w:cstheme="minorBidi"/>
      <w:b/>
      <w:bCs/>
      <w:szCs w:val="22"/>
    </w:rPr>
  </w:style>
  <w:style w:type="character" w:customStyle="1" w:styleId="CommentSubjectChar">
    <w:name w:val="Comment Subject Char"/>
    <w:basedOn w:val="CommentTextChar1"/>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SignatureChar">
    <w:name w:val="Signature Char"/>
    <w:basedOn w:val="DefaultParagraphFont"/>
    <w:uiPriority w:val="99"/>
    <w:semiHidden/>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GB"/>
    </w:rPr>
  </w:style>
  <w:style w:type="character" w:customStyle="1" w:styleId="italic1">
    <w:name w:val="italic1"/>
    <w:rPr>
      <w:i/>
      <w:iCs/>
    </w:rPr>
  </w:style>
  <w:style w:type="paragraph" w:customStyle="1" w:styleId="AddressTL">
    <w:name w:val="AddressTL"/>
    <w:basedOn w:val="Normal"/>
    <w:next w:val="Normal"/>
    <w:pPr>
      <w:spacing w:before="0" w:after="720" w:line="276" w:lineRule="auto"/>
      <w:jc w:val="left"/>
    </w:pPr>
    <w:rPr>
      <w:rFonts w:asciiTheme="minorHAnsi" w:hAnsiTheme="minorHAnsi" w:cstheme="minorBidi"/>
    </w:rPr>
  </w:style>
  <w:style w:type="paragraph" w:customStyle="1" w:styleId="AddressTR">
    <w:name w:val="AddressTR"/>
    <w:basedOn w:val="Normal"/>
    <w:next w:val="Normal"/>
    <w:pPr>
      <w:spacing w:before="0" w:after="720" w:line="276" w:lineRule="auto"/>
      <w:ind w:left="5103"/>
      <w:jc w:val="left"/>
    </w:pPr>
    <w:rPr>
      <w:rFonts w:asciiTheme="minorHAnsi" w:hAnsiTheme="minorHAnsi" w:cstheme="minorBidi"/>
    </w:rPr>
  </w:style>
  <w:style w:type="paragraph" w:styleId="BlockText">
    <w:name w:val="Block Text"/>
    <w:basedOn w:val="Normal"/>
    <w:pPr>
      <w:spacing w:before="0" w:line="276" w:lineRule="auto"/>
      <w:ind w:left="1440" w:right="1440"/>
    </w:pPr>
    <w:rPr>
      <w:rFonts w:asciiTheme="minorHAnsi" w:hAnsiTheme="minorHAnsi" w:cstheme="minorBidi"/>
    </w:rPr>
  </w:style>
  <w:style w:type="paragraph" w:styleId="BodyText">
    <w:name w:val="Body Text"/>
    <w:basedOn w:val="Normal"/>
    <w:link w:val="BodyTextChar"/>
    <w:pPr>
      <w:spacing w:before="0" w:line="276" w:lineRule="auto"/>
    </w:pPr>
    <w:rPr>
      <w:rFonts w:asciiTheme="minorHAnsi" w:hAnsiTheme="minorHAnsi" w:cstheme="minorBidi"/>
    </w:rPr>
  </w:style>
  <w:style w:type="character" w:customStyle="1" w:styleId="BodyTextChar">
    <w:name w:val="Body Text Char"/>
    <w:basedOn w:val="DefaultParagraphFont"/>
    <w:link w:val="BodyText"/>
    <w:rPr>
      <w:sz w:val="24"/>
      <w:lang w:val="en-GB"/>
    </w:rPr>
  </w:style>
  <w:style w:type="paragraph" w:styleId="BodyText2">
    <w:name w:val="Body Text 2"/>
    <w:basedOn w:val="Normal"/>
    <w:link w:val="BodyText2Char"/>
    <w:pPr>
      <w:spacing w:before="0" w:line="480" w:lineRule="auto"/>
    </w:pPr>
    <w:rPr>
      <w:rFonts w:asciiTheme="minorHAnsi" w:hAnsiTheme="minorHAnsi" w:cstheme="minorBidi"/>
    </w:rPr>
  </w:style>
  <w:style w:type="character" w:customStyle="1" w:styleId="BodyText2Char">
    <w:name w:val="Body Text 2 Char"/>
    <w:basedOn w:val="DefaultParagraphFont"/>
    <w:link w:val="BodyText2"/>
    <w:rPr>
      <w:sz w:val="24"/>
      <w:lang w:val="en-GB"/>
    </w:rPr>
  </w:style>
  <w:style w:type="paragraph" w:styleId="BodyText3">
    <w:name w:val="Body Text 3"/>
    <w:basedOn w:val="Normal"/>
    <w:link w:val="BodyText3Char"/>
    <w:pPr>
      <w:spacing w:before="0" w:line="276" w:lineRule="auto"/>
    </w:pPr>
    <w:rPr>
      <w:rFonts w:asciiTheme="minorHAnsi" w:hAnsiTheme="minorHAnsi" w:cstheme="minorBidi"/>
      <w:sz w:val="16"/>
    </w:rPr>
  </w:style>
  <w:style w:type="character" w:customStyle="1" w:styleId="BodyText3Char">
    <w:name w:val="Body Text 3 Char"/>
    <w:basedOn w:val="DefaultParagraphFont"/>
    <w:link w:val="BodyText3"/>
    <w:rPr>
      <w:sz w:val="16"/>
      <w:lang w:val="en-GB"/>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lang w:val="en-GB"/>
    </w:rPr>
  </w:style>
  <w:style w:type="paragraph" w:styleId="BodyTextIndent">
    <w:name w:val="Body Text Indent"/>
    <w:basedOn w:val="Normal"/>
    <w:link w:val="BodyTextIndentChar"/>
    <w:pPr>
      <w:spacing w:before="0" w:line="276" w:lineRule="auto"/>
      <w:ind w:left="283"/>
    </w:pPr>
    <w:rPr>
      <w:rFonts w:asciiTheme="minorHAnsi" w:hAnsiTheme="minorHAnsi" w:cstheme="minorBidi"/>
    </w:rPr>
  </w:style>
  <w:style w:type="character" w:customStyle="1" w:styleId="BodyTextIndentChar">
    <w:name w:val="Body Text Indent Char"/>
    <w:basedOn w:val="DefaultParagraphFont"/>
    <w:link w:val="BodyTextIndent"/>
    <w:rPr>
      <w:sz w:val="24"/>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sz w:val="24"/>
      <w:lang w:val="en-GB"/>
    </w:rPr>
  </w:style>
  <w:style w:type="paragraph" w:styleId="BodyTextIndent2">
    <w:name w:val="Body Text Indent 2"/>
    <w:basedOn w:val="Normal"/>
    <w:link w:val="BodyTextIndent2Char"/>
    <w:pPr>
      <w:spacing w:before="0" w:line="480" w:lineRule="auto"/>
      <w:ind w:left="283"/>
    </w:pPr>
    <w:rPr>
      <w:rFonts w:asciiTheme="minorHAnsi" w:hAnsiTheme="minorHAnsi" w:cstheme="minorBidi"/>
    </w:rPr>
  </w:style>
  <w:style w:type="character" w:customStyle="1" w:styleId="BodyTextIndent2Char">
    <w:name w:val="Body Text Indent 2 Char"/>
    <w:basedOn w:val="DefaultParagraphFont"/>
    <w:link w:val="BodyTextIndent2"/>
    <w:rPr>
      <w:sz w:val="24"/>
      <w:lang w:val="en-GB"/>
    </w:rPr>
  </w:style>
  <w:style w:type="paragraph" w:styleId="BodyTextIndent3">
    <w:name w:val="Body Text Indent 3"/>
    <w:basedOn w:val="Normal"/>
    <w:link w:val="BodyTextIndent3Char"/>
    <w:pPr>
      <w:spacing w:before="0" w:line="276" w:lineRule="auto"/>
      <w:ind w:left="283"/>
    </w:pPr>
    <w:rPr>
      <w:rFonts w:asciiTheme="minorHAnsi" w:hAnsiTheme="minorHAnsi" w:cstheme="minorBidi"/>
      <w:sz w:val="16"/>
    </w:rPr>
  </w:style>
  <w:style w:type="character" w:customStyle="1" w:styleId="BodyTextIndent3Char">
    <w:name w:val="Body Text Indent 3 Char"/>
    <w:basedOn w:val="DefaultParagraphFont"/>
    <w:link w:val="BodyTextIndent3"/>
    <w:rPr>
      <w:sz w:val="16"/>
      <w:lang w:val="en-GB"/>
    </w:rPr>
  </w:style>
  <w:style w:type="paragraph" w:styleId="Caption">
    <w:name w:val="caption"/>
    <w:basedOn w:val="Normal"/>
    <w:next w:val="Normal"/>
    <w:qFormat/>
    <w:pPr>
      <w:spacing w:line="276" w:lineRule="auto"/>
    </w:pPr>
    <w:rPr>
      <w:rFonts w:asciiTheme="minorHAnsi" w:hAnsiTheme="minorHAnsi" w:cstheme="minorBidi"/>
      <w:b/>
    </w:rPr>
  </w:style>
  <w:style w:type="paragraph" w:styleId="Closing">
    <w:name w:val="Closing"/>
    <w:basedOn w:val="Normal"/>
    <w:next w:val="Signature"/>
    <w:link w:val="ClosingChar"/>
    <w:pPr>
      <w:tabs>
        <w:tab w:val="left" w:pos="5103"/>
      </w:tabs>
      <w:spacing w:before="240" w:after="240" w:line="276" w:lineRule="auto"/>
      <w:ind w:left="5103"/>
      <w:jc w:val="left"/>
    </w:pPr>
    <w:rPr>
      <w:rFonts w:asciiTheme="minorHAnsi" w:hAnsiTheme="minorHAnsi" w:cstheme="minorBidi"/>
    </w:rPr>
  </w:style>
  <w:style w:type="character" w:customStyle="1" w:styleId="ClosingChar">
    <w:name w:val="Closing Char"/>
    <w:basedOn w:val="DefaultParagraphFont"/>
    <w:link w:val="Closing"/>
    <w:rPr>
      <w:sz w:val="24"/>
      <w:lang w:val="en-GB"/>
    </w:rPr>
  </w:style>
  <w:style w:type="paragraph" w:styleId="Signature">
    <w:name w:val="Signature"/>
    <w:basedOn w:val="Normal"/>
    <w:next w:val="Contact"/>
    <w:link w:val="SignatureChar1"/>
    <w:pPr>
      <w:tabs>
        <w:tab w:val="left" w:pos="5103"/>
      </w:tabs>
      <w:spacing w:before="1200" w:after="0" w:line="276" w:lineRule="auto"/>
      <w:ind w:left="5103"/>
      <w:jc w:val="center"/>
    </w:pPr>
    <w:rPr>
      <w:rFonts w:asciiTheme="minorHAnsi" w:hAnsiTheme="minorHAnsi" w:cstheme="minorBidi"/>
    </w:rPr>
  </w:style>
  <w:style w:type="character" w:customStyle="1" w:styleId="SignatureChar1">
    <w:name w:val="Signature Char1"/>
    <w:basedOn w:val="DefaultParagraphFont"/>
    <w:link w:val="Signature"/>
    <w:rPr>
      <w:sz w:val="24"/>
      <w:lang w:val="en-GB"/>
    </w:rPr>
  </w:style>
  <w:style w:type="paragraph" w:customStyle="1" w:styleId="Enclosures">
    <w:name w:val="Enclosures"/>
    <w:basedOn w:val="Normal"/>
    <w:next w:val="Participants"/>
    <w:pPr>
      <w:keepNext/>
      <w:keepLines/>
      <w:tabs>
        <w:tab w:val="left" w:pos="5670"/>
      </w:tabs>
      <w:spacing w:before="480" w:after="0" w:line="276" w:lineRule="auto"/>
      <w:ind w:left="1985" w:hanging="1985"/>
      <w:jc w:val="left"/>
    </w:pPr>
    <w:rPr>
      <w:rFonts w:asciiTheme="minorHAnsi" w:hAnsiTheme="minorHAnsi" w:cstheme="minorBidi"/>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customStyle="1" w:styleId="Copies">
    <w:name w:val="Copies"/>
    <w:basedOn w:val="Normal"/>
    <w:next w:val="Normal"/>
    <w:pPr>
      <w:tabs>
        <w:tab w:val="left" w:pos="2552"/>
        <w:tab w:val="left" w:pos="2835"/>
        <w:tab w:val="left" w:pos="5670"/>
        <w:tab w:val="left" w:pos="6379"/>
        <w:tab w:val="left" w:pos="6804"/>
      </w:tabs>
      <w:spacing w:before="480" w:after="0" w:line="276" w:lineRule="auto"/>
      <w:ind w:left="1985" w:hanging="1985"/>
      <w:jc w:val="left"/>
    </w:pPr>
    <w:rPr>
      <w:rFonts w:asciiTheme="minorHAnsi" w:hAnsiTheme="minorHAnsi" w:cstheme="minorBidi"/>
    </w:rPr>
  </w:style>
  <w:style w:type="paragraph" w:styleId="Date">
    <w:name w:val="Date"/>
    <w:basedOn w:val="Normal"/>
    <w:next w:val="References"/>
    <w:link w:val="DateChar"/>
    <w:pPr>
      <w:spacing w:before="0" w:after="0" w:line="276" w:lineRule="auto"/>
      <w:ind w:left="5103" w:right="-567"/>
      <w:jc w:val="left"/>
    </w:pPr>
    <w:rPr>
      <w:rFonts w:asciiTheme="minorHAnsi" w:hAnsiTheme="minorHAnsi" w:cstheme="minorBidi"/>
    </w:rPr>
  </w:style>
  <w:style w:type="character" w:customStyle="1" w:styleId="DateChar">
    <w:name w:val="Date Char"/>
    <w:basedOn w:val="DefaultParagraphFont"/>
    <w:link w:val="Date"/>
    <w:rPr>
      <w:sz w:val="24"/>
      <w:lang w:val="en-GB"/>
    </w:rPr>
  </w:style>
  <w:style w:type="paragraph" w:customStyle="1" w:styleId="References">
    <w:name w:val="References"/>
    <w:basedOn w:val="Normal"/>
    <w:next w:val="AddressTR"/>
    <w:pPr>
      <w:spacing w:before="0" w:after="240" w:line="276" w:lineRule="auto"/>
      <w:ind w:left="5103"/>
      <w:jc w:val="left"/>
    </w:pPr>
    <w:rPr>
      <w:rFonts w:asciiTheme="minorHAnsi" w:hAnsiTheme="minorHAnsi" w:cstheme="minorBidi"/>
      <w:sz w:val="20"/>
    </w:rPr>
  </w:style>
  <w:style w:type="paragraph" w:styleId="DocumentMap">
    <w:name w:val="Document Map"/>
    <w:basedOn w:val="Normal"/>
    <w:link w:val="DocumentMapChar"/>
    <w:semiHidden/>
    <w:pPr>
      <w:shd w:val="clear" w:color="auto" w:fill="000080"/>
      <w:spacing w:before="0" w:after="240" w:line="276" w:lineRule="auto"/>
    </w:pPr>
    <w:rPr>
      <w:rFonts w:ascii="Tahoma" w:hAnsi="Tahoma" w:cstheme="minorBidi"/>
    </w:rPr>
  </w:style>
  <w:style w:type="character" w:customStyle="1" w:styleId="DocumentMapChar">
    <w:name w:val="Document Map Char"/>
    <w:basedOn w:val="DefaultParagraphFont"/>
    <w:link w:val="DocumentMap"/>
    <w:semiHidden/>
    <w:rPr>
      <w:rFonts w:ascii="Tahoma" w:hAnsi="Tahoma"/>
      <w:sz w:val="24"/>
      <w:shd w:val="clear" w:color="auto" w:fill="000080"/>
      <w:lang w:val="en-GB"/>
    </w:rPr>
  </w:style>
  <w:style w:type="paragraph" w:customStyle="1" w:styleId="DoubSign">
    <w:name w:val="DoubSign"/>
    <w:basedOn w:val="Normal"/>
    <w:next w:val="Contact"/>
    <w:pPr>
      <w:tabs>
        <w:tab w:val="left" w:pos="5103"/>
      </w:tabs>
      <w:spacing w:before="1200" w:after="0" w:line="276" w:lineRule="auto"/>
      <w:jc w:val="left"/>
    </w:pPr>
    <w:rPr>
      <w:rFonts w:asciiTheme="minorHAnsi" w:hAnsiTheme="minorHAnsi" w:cstheme="minorBidi"/>
    </w:rPr>
  </w:style>
  <w:style w:type="paragraph" w:styleId="EndnoteText">
    <w:name w:val="endnote text"/>
    <w:basedOn w:val="Normal"/>
    <w:link w:val="EndnoteTextChar"/>
    <w:semiHidden/>
    <w:pPr>
      <w:spacing w:before="0" w:after="240" w:line="276" w:lineRule="auto"/>
    </w:pPr>
    <w:rPr>
      <w:rFonts w:asciiTheme="minorHAnsi" w:hAnsiTheme="minorHAnsi" w:cstheme="minorBidi"/>
      <w:sz w:val="20"/>
    </w:rPr>
  </w:style>
  <w:style w:type="character" w:customStyle="1" w:styleId="EndnoteTextChar">
    <w:name w:val="Endnote Text Char"/>
    <w:basedOn w:val="DefaultParagraphFont"/>
    <w:link w:val="EndnoteText"/>
    <w:semiHidden/>
    <w:rPr>
      <w:sz w:val="20"/>
      <w:lang w:val="en-GB"/>
    </w:rPr>
  </w:style>
  <w:style w:type="paragraph" w:styleId="EnvelopeAddress">
    <w:name w:val="envelope address"/>
    <w:basedOn w:val="Normal"/>
    <w:pPr>
      <w:framePr w:w="7920" w:h="1980" w:hRule="exact" w:hSpace="180" w:wrap="auto" w:hAnchor="page" w:xAlign="center" w:yAlign="bottom"/>
      <w:spacing w:before="0" w:after="0" w:line="276" w:lineRule="auto"/>
    </w:pPr>
    <w:rPr>
      <w:rFonts w:asciiTheme="minorHAnsi" w:hAnsiTheme="minorHAnsi" w:cstheme="minorBidi"/>
    </w:rPr>
  </w:style>
  <w:style w:type="paragraph" w:styleId="EnvelopeReturn">
    <w:name w:val="envelope return"/>
    <w:basedOn w:val="Normal"/>
    <w:pPr>
      <w:spacing w:before="0" w:after="0" w:line="276" w:lineRule="auto"/>
    </w:pPr>
    <w:rPr>
      <w:rFonts w:asciiTheme="minorHAnsi" w:hAnsiTheme="minorHAnsi" w:cstheme="minorBidi"/>
      <w:sz w:val="20"/>
    </w:rPr>
  </w:style>
  <w:style w:type="paragraph" w:styleId="Index1">
    <w:name w:val="index 1"/>
    <w:basedOn w:val="Normal"/>
    <w:next w:val="Normal"/>
    <w:autoRedefine/>
    <w:semiHidden/>
    <w:pPr>
      <w:spacing w:before="0" w:after="240" w:line="276" w:lineRule="auto"/>
      <w:ind w:left="240" w:hanging="240"/>
    </w:pPr>
    <w:rPr>
      <w:rFonts w:asciiTheme="minorHAnsi" w:hAnsiTheme="minorHAnsi" w:cstheme="minorBidi"/>
    </w:rPr>
  </w:style>
  <w:style w:type="paragraph" w:styleId="Index2">
    <w:name w:val="index 2"/>
    <w:basedOn w:val="Normal"/>
    <w:next w:val="Normal"/>
    <w:autoRedefine/>
    <w:semiHidden/>
    <w:pPr>
      <w:spacing w:before="0" w:after="240" w:line="276" w:lineRule="auto"/>
      <w:ind w:left="480" w:hanging="240"/>
    </w:pPr>
    <w:rPr>
      <w:rFonts w:asciiTheme="minorHAnsi" w:hAnsiTheme="minorHAnsi" w:cstheme="minorBidi"/>
    </w:rPr>
  </w:style>
  <w:style w:type="paragraph" w:styleId="Index3">
    <w:name w:val="index 3"/>
    <w:basedOn w:val="Normal"/>
    <w:next w:val="Normal"/>
    <w:autoRedefine/>
    <w:semiHidden/>
    <w:pPr>
      <w:spacing w:before="0" w:after="240" w:line="276" w:lineRule="auto"/>
      <w:ind w:left="720" w:hanging="240"/>
    </w:pPr>
    <w:rPr>
      <w:rFonts w:asciiTheme="minorHAnsi" w:hAnsiTheme="minorHAnsi" w:cstheme="minorBidi"/>
    </w:rPr>
  </w:style>
  <w:style w:type="paragraph" w:styleId="Index4">
    <w:name w:val="index 4"/>
    <w:basedOn w:val="Normal"/>
    <w:next w:val="Normal"/>
    <w:autoRedefine/>
    <w:semiHidden/>
    <w:pPr>
      <w:spacing w:before="0" w:after="240" w:line="276" w:lineRule="auto"/>
      <w:ind w:left="960" w:hanging="240"/>
    </w:pPr>
    <w:rPr>
      <w:rFonts w:asciiTheme="minorHAnsi" w:hAnsiTheme="minorHAnsi" w:cstheme="minorBidi"/>
    </w:rPr>
  </w:style>
  <w:style w:type="paragraph" w:styleId="Index5">
    <w:name w:val="index 5"/>
    <w:basedOn w:val="Normal"/>
    <w:next w:val="Normal"/>
    <w:autoRedefine/>
    <w:semiHidden/>
    <w:pPr>
      <w:spacing w:before="0" w:after="240" w:line="276" w:lineRule="auto"/>
      <w:ind w:left="1200" w:hanging="240"/>
    </w:pPr>
    <w:rPr>
      <w:rFonts w:asciiTheme="minorHAnsi" w:hAnsiTheme="minorHAnsi" w:cstheme="minorBidi"/>
    </w:rPr>
  </w:style>
  <w:style w:type="paragraph" w:styleId="Index6">
    <w:name w:val="index 6"/>
    <w:basedOn w:val="Normal"/>
    <w:next w:val="Normal"/>
    <w:autoRedefine/>
    <w:semiHidden/>
    <w:pPr>
      <w:spacing w:before="0" w:after="240" w:line="276" w:lineRule="auto"/>
      <w:ind w:left="1440" w:hanging="240"/>
    </w:pPr>
    <w:rPr>
      <w:rFonts w:asciiTheme="minorHAnsi" w:hAnsiTheme="minorHAnsi" w:cstheme="minorBidi"/>
    </w:rPr>
  </w:style>
  <w:style w:type="paragraph" w:styleId="Index7">
    <w:name w:val="index 7"/>
    <w:basedOn w:val="Normal"/>
    <w:next w:val="Normal"/>
    <w:autoRedefine/>
    <w:semiHidden/>
    <w:pPr>
      <w:spacing w:before="0" w:after="240" w:line="276" w:lineRule="auto"/>
      <w:ind w:left="1680" w:hanging="240"/>
    </w:pPr>
    <w:rPr>
      <w:rFonts w:asciiTheme="minorHAnsi" w:hAnsiTheme="minorHAnsi" w:cstheme="minorBidi"/>
    </w:rPr>
  </w:style>
  <w:style w:type="paragraph" w:styleId="Index8">
    <w:name w:val="index 8"/>
    <w:basedOn w:val="Normal"/>
    <w:next w:val="Normal"/>
    <w:autoRedefine/>
    <w:semiHidden/>
    <w:pPr>
      <w:spacing w:before="0" w:after="240" w:line="276" w:lineRule="auto"/>
      <w:ind w:left="1920" w:hanging="240"/>
    </w:pPr>
    <w:rPr>
      <w:rFonts w:asciiTheme="minorHAnsi" w:hAnsiTheme="minorHAnsi" w:cstheme="minorBidi"/>
    </w:rPr>
  </w:style>
  <w:style w:type="paragraph" w:styleId="Index9">
    <w:name w:val="index 9"/>
    <w:basedOn w:val="Normal"/>
    <w:next w:val="Normal"/>
    <w:autoRedefine/>
    <w:semiHidden/>
    <w:pPr>
      <w:spacing w:before="0" w:after="240" w:line="276" w:lineRule="auto"/>
      <w:ind w:left="2160" w:hanging="240"/>
    </w:pPr>
    <w:rPr>
      <w:rFonts w:asciiTheme="minorHAnsi" w:hAnsiTheme="minorHAnsi" w:cstheme="minorBidi"/>
    </w:rPr>
  </w:style>
  <w:style w:type="paragraph" w:styleId="IndexHeading">
    <w:name w:val="index heading"/>
    <w:basedOn w:val="Normal"/>
    <w:next w:val="Index1"/>
    <w:semiHidden/>
    <w:pPr>
      <w:spacing w:before="0" w:after="240" w:line="276" w:lineRule="auto"/>
    </w:pPr>
    <w:rPr>
      <w:rFonts w:ascii="Arial" w:hAnsi="Arial" w:cstheme="minorBidi"/>
      <w:b/>
    </w:rPr>
  </w:style>
  <w:style w:type="paragraph" w:styleId="List">
    <w:name w:val="List"/>
    <w:basedOn w:val="Normal"/>
    <w:pPr>
      <w:spacing w:before="0" w:after="240" w:line="276" w:lineRule="auto"/>
      <w:ind w:left="283" w:hanging="283"/>
    </w:pPr>
    <w:rPr>
      <w:rFonts w:asciiTheme="minorHAnsi" w:hAnsiTheme="minorHAnsi" w:cstheme="minorBidi"/>
    </w:rPr>
  </w:style>
  <w:style w:type="paragraph" w:styleId="List2">
    <w:name w:val="List 2"/>
    <w:basedOn w:val="Normal"/>
    <w:pPr>
      <w:spacing w:before="0" w:after="240" w:line="276" w:lineRule="auto"/>
      <w:ind w:left="566" w:hanging="283"/>
    </w:pPr>
    <w:rPr>
      <w:rFonts w:asciiTheme="minorHAnsi" w:hAnsiTheme="minorHAnsi" w:cstheme="minorBidi"/>
    </w:rPr>
  </w:style>
  <w:style w:type="paragraph" w:styleId="List3">
    <w:name w:val="List 3"/>
    <w:basedOn w:val="Normal"/>
    <w:pPr>
      <w:spacing w:before="0" w:after="240" w:line="276" w:lineRule="auto"/>
      <w:ind w:left="849" w:hanging="283"/>
    </w:pPr>
    <w:rPr>
      <w:rFonts w:asciiTheme="minorHAnsi" w:hAnsiTheme="minorHAnsi" w:cstheme="minorBidi"/>
    </w:rPr>
  </w:style>
  <w:style w:type="paragraph" w:styleId="List4">
    <w:name w:val="List 4"/>
    <w:basedOn w:val="Normal"/>
    <w:pPr>
      <w:spacing w:before="0" w:after="240" w:line="276" w:lineRule="auto"/>
      <w:ind w:left="1132" w:hanging="283"/>
    </w:pPr>
    <w:rPr>
      <w:rFonts w:asciiTheme="minorHAnsi" w:hAnsiTheme="minorHAnsi" w:cstheme="minorBidi"/>
    </w:rPr>
  </w:style>
  <w:style w:type="paragraph" w:styleId="List5">
    <w:name w:val="List 5"/>
    <w:basedOn w:val="Normal"/>
    <w:pPr>
      <w:spacing w:before="0" w:after="240" w:line="276" w:lineRule="auto"/>
      <w:ind w:left="1415" w:hanging="283"/>
    </w:pPr>
    <w:rPr>
      <w:rFonts w:asciiTheme="minorHAnsi" w:hAnsiTheme="minorHAnsi" w:cstheme="minorBidi"/>
    </w:rPr>
  </w:style>
  <w:style w:type="paragraph" w:styleId="ListBullet">
    <w:name w:val="List Bullet"/>
    <w:basedOn w:val="Normal"/>
    <w:pPr>
      <w:numPr>
        <w:numId w:val="4"/>
      </w:numPr>
      <w:spacing w:before="0" w:after="240" w:line="276" w:lineRule="auto"/>
    </w:pPr>
    <w:rPr>
      <w:rFonts w:asciiTheme="minorHAnsi" w:hAnsiTheme="minorHAnsi" w:cstheme="minorBidi"/>
    </w:rPr>
  </w:style>
  <w:style w:type="paragraph" w:styleId="ListBullet2">
    <w:name w:val="List Bullet 2"/>
    <w:basedOn w:val="Text2"/>
    <w:pPr>
      <w:numPr>
        <w:numId w:val="6"/>
      </w:numPr>
      <w:spacing w:before="0" w:after="240" w:line="276" w:lineRule="auto"/>
    </w:pPr>
    <w:rPr>
      <w:rFonts w:asciiTheme="minorHAnsi" w:hAnsiTheme="minorHAnsi" w:cstheme="minorBidi"/>
    </w:rPr>
  </w:style>
  <w:style w:type="paragraph" w:styleId="ListBullet3">
    <w:name w:val="List Bullet 3"/>
    <w:basedOn w:val="Text3"/>
    <w:pPr>
      <w:numPr>
        <w:numId w:val="7"/>
      </w:numPr>
      <w:spacing w:before="0" w:after="240" w:line="276" w:lineRule="auto"/>
    </w:pPr>
    <w:rPr>
      <w:rFonts w:asciiTheme="minorHAnsi" w:hAnsiTheme="minorHAnsi" w:cstheme="minorBidi"/>
    </w:rPr>
  </w:style>
  <w:style w:type="paragraph" w:styleId="ListBullet4">
    <w:name w:val="List Bullet 4"/>
    <w:basedOn w:val="Text4"/>
    <w:pPr>
      <w:numPr>
        <w:numId w:val="8"/>
      </w:numPr>
      <w:spacing w:before="0" w:after="240" w:line="276" w:lineRule="auto"/>
    </w:pPr>
    <w:rPr>
      <w:rFonts w:asciiTheme="minorHAnsi" w:hAnsiTheme="minorHAnsi" w:cstheme="minorBidi"/>
    </w:rPr>
  </w:style>
  <w:style w:type="paragraph" w:styleId="ListBullet5">
    <w:name w:val="List Bullet 5"/>
    <w:basedOn w:val="Normal"/>
    <w:autoRedefine/>
    <w:pPr>
      <w:numPr>
        <w:numId w:val="19"/>
      </w:numPr>
      <w:spacing w:before="0" w:after="240" w:line="276" w:lineRule="auto"/>
    </w:pPr>
    <w:rPr>
      <w:rFonts w:asciiTheme="minorHAnsi" w:hAnsiTheme="minorHAnsi" w:cstheme="minorBidi"/>
    </w:rPr>
  </w:style>
  <w:style w:type="paragraph" w:styleId="ListContinue">
    <w:name w:val="List Continue"/>
    <w:basedOn w:val="Normal"/>
    <w:pPr>
      <w:spacing w:before="0" w:line="276" w:lineRule="auto"/>
      <w:ind w:left="283"/>
    </w:pPr>
    <w:rPr>
      <w:rFonts w:asciiTheme="minorHAnsi" w:hAnsiTheme="minorHAnsi" w:cstheme="minorBidi"/>
    </w:rPr>
  </w:style>
  <w:style w:type="paragraph" w:styleId="ListContinue2">
    <w:name w:val="List Continue 2"/>
    <w:basedOn w:val="Normal"/>
    <w:pPr>
      <w:spacing w:before="0" w:line="276" w:lineRule="auto"/>
      <w:ind w:left="566"/>
    </w:pPr>
    <w:rPr>
      <w:rFonts w:asciiTheme="minorHAnsi" w:hAnsiTheme="minorHAnsi" w:cstheme="minorBidi"/>
    </w:rPr>
  </w:style>
  <w:style w:type="paragraph" w:styleId="ListContinue3">
    <w:name w:val="List Continue 3"/>
    <w:basedOn w:val="Normal"/>
    <w:pPr>
      <w:spacing w:before="0" w:line="276" w:lineRule="auto"/>
      <w:ind w:left="849"/>
    </w:pPr>
    <w:rPr>
      <w:rFonts w:asciiTheme="minorHAnsi" w:hAnsiTheme="minorHAnsi" w:cstheme="minorBidi"/>
    </w:rPr>
  </w:style>
  <w:style w:type="paragraph" w:styleId="ListContinue4">
    <w:name w:val="List Continue 4"/>
    <w:basedOn w:val="Normal"/>
    <w:pPr>
      <w:spacing w:before="0" w:line="276" w:lineRule="auto"/>
      <w:ind w:left="1132"/>
    </w:pPr>
    <w:rPr>
      <w:rFonts w:asciiTheme="minorHAnsi" w:hAnsiTheme="minorHAnsi" w:cstheme="minorBidi"/>
    </w:rPr>
  </w:style>
  <w:style w:type="paragraph" w:styleId="ListContinue5">
    <w:name w:val="List Continue 5"/>
    <w:basedOn w:val="Normal"/>
    <w:pPr>
      <w:spacing w:before="0" w:line="276" w:lineRule="auto"/>
      <w:ind w:left="1415"/>
    </w:pPr>
    <w:rPr>
      <w:rFonts w:asciiTheme="minorHAnsi" w:hAnsiTheme="minorHAnsi" w:cstheme="minorBidi"/>
    </w:rPr>
  </w:style>
  <w:style w:type="paragraph" w:styleId="ListNumber">
    <w:name w:val="List Number"/>
    <w:basedOn w:val="Normal"/>
    <w:pPr>
      <w:numPr>
        <w:numId w:val="14"/>
      </w:numPr>
      <w:spacing w:before="0" w:after="240" w:line="276" w:lineRule="auto"/>
    </w:pPr>
    <w:rPr>
      <w:rFonts w:asciiTheme="minorHAnsi" w:hAnsiTheme="minorHAnsi" w:cstheme="minorBidi"/>
    </w:rPr>
  </w:style>
  <w:style w:type="paragraph" w:styleId="ListNumber2">
    <w:name w:val="List Number 2"/>
    <w:basedOn w:val="Text2"/>
    <w:pPr>
      <w:numPr>
        <w:numId w:val="16"/>
      </w:numPr>
      <w:spacing w:before="0" w:after="240" w:line="276" w:lineRule="auto"/>
    </w:pPr>
    <w:rPr>
      <w:rFonts w:asciiTheme="minorHAnsi" w:hAnsiTheme="minorHAnsi" w:cstheme="minorBidi"/>
    </w:rPr>
  </w:style>
  <w:style w:type="paragraph" w:styleId="ListNumber3">
    <w:name w:val="List Number 3"/>
    <w:basedOn w:val="Text3"/>
    <w:pPr>
      <w:numPr>
        <w:numId w:val="17"/>
      </w:numPr>
      <w:spacing w:before="0" w:after="240" w:line="276" w:lineRule="auto"/>
    </w:pPr>
    <w:rPr>
      <w:rFonts w:asciiTheme="minorHAnsi" w:hAnsiTheme="minorHAnsi" w:cstheme="minorBidi"/>
    </w:rPr>
  </w:style>
  <w:style w:type="paragraph" w:styleId="ListNumber4">
    <w:name w:val="List Number 4"/>
    <w:basedOn w:val="Text4"/>
    <w:pPr>
      <w:numPr>
        <w:numId w:val="18"/>
      </w:numPr>
      <w:spacing w:before="0" w:after="240" w:line="276" w:lineRule="auto"/>
    </w:pPr>
    <w:rPr>
      <w:rFonts w:asciiTheme="minorHAnsi" w:hAnsiTheme="minorHAnsi" w:cstheme="minorBidi"/>
    </w:rPr>
  </w:style>
  <w:style w:type="paragraph" w:styleId="ListNumber5">
    <w:name w:val="List Number 5"/>
    <w:basedOn w:val="Normal"/>
    <w:pPr>
      <w:numPr>
        <w:numId w:val="20"/>
      </w:numPr>
      <w:spacing w:before="0" w:after="240" w:line="276" w:lineRule="auto"/>
    </w:pPr>
    <w:rPr>
      <w:rFonts w:asciiTheme="minorHAnsi" w:hAnsiTheme="minorHAnsi" w:cstheme="minorBidi"/>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Pr>
      <w:rFonts w:ascii="Courier New" w:hAnsi="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line="276" w:lineRule="auto"/>
      <w:ind w:left="1134" w:hanging="1134"/>
    </w:pPr>
    <w:rPr>
      <w:rFonts w:ascii="Arial" w:hAnsi="Arial" w:cstheme="minorBidi"/>
    </w:rPr>
  </w:style>
  <w:style w:type="character" w:customStyle="1" w:styleId="MessageHeaderChar">
    <w:name w:val="Message Header Char"/>
    <w:basedOn w:val="DefaultParagraphFont"/>
    <w:link w:val="MessageHeader"/>
    <w:rPr>
      <w:rFonts w:ascii="Arial" w:hAnsi="Arial"/>
      <w:sz w:val="24"/>
      <w:shd w:val="pct20" w:color="auto" w:fill="auto"/>
      <w:lang w:val="en-GB"/>
    </w:rPr>
  </w:style>
  <w:style w:type="paragraph" w:styleId="NormalIndent">
    <w:name w:val="Normal Indent"/>
    <w:basedOn w:val="Normal"/>
    <w:pPr>
      <w:spacing w:before="0" w:after="240" w:line="276" w:lineRule="auto"/>
      <w:ind w:left="720"/>
    </w:pPr>
    <w:rPr>
      <w:rFonts w:asciiTheme="minorHAnsi" w:hAnsiTheme="minorHAnsi" w:cstheme="minorBidi"/>
    </w:rPr>
  </w:style>
  <w:style w:type="paragraph" w:styleId="NoteHeading">
    <w:name w:val="Note Heading"/>
    <w:basedOn w:val="Normal"/>
    <w:next w:val="Normal"/>
    <w:link w:val="NoteHeadingChar"/>
    <w:pPr>
      <w:spacing w:before="0" w:after="240" w:line="276" w:lineRule="auto"/>
    </w:pPr>
    <w:rPr>
      <w:rFonts w:asciiTheme="minorHAnsi" w:hAnsiTheme="minorHAnsi" w:cstheme="minorBidi"/>
    </w:rPr>
  </w:style>
  <w:style w:type="character" w:customStyle="1" w:styleId="NoteHeadingChar">
    <w:name w:val="Note Heading Char"/>
    <w:basedOn w:val="DefaultParagraphFont"/>
    <w:link w:val="NoteHeading"/>
    <w:rPr>
      <w:sz w:val="24"/>
      <w:lang w:val="en-GB"/>
    </w:rPr>
  </w:style>
  <w:style w:type="paragraph" w:customStyle="1" w:styleId="NoteHead">
    <w:name w:val="NoteHead"/>
    <w:basedOn w:val="Normal"/>
    <w:next w:val="Subject"/>
    <w:pPr>
      <w:spacing w:before="720" w:after="720" w:line="276" w:lineRule="auto"/>
      <w:jc w:val="center"/>
    </w:pPr>
    <w:rPr>
      <w:rFonts w:asciiTheme="minorHAnsi" w:hAnsiTheme="minorHAnsi" w:cstheme="minorBidi"/>
      <w:b/>
      <w:smallCaps/>
    </w:rPr>
  </w:style>
  <w:style w:type="paragraph" w:customStyle="1" w:styleId="Subject">
    <w:name w:val="Subject"/>
    <w:basedOn w:val="Normal"/>
    <w:next w:val="Normal"/>
    <w:pPr>
      <w:spacing w:before="0" w:after="480" w:line="276" w:lineRule="auto"/>
      <w:ind w:left="1531" w:hanging="1531"/>
      <w:jc w:val="left"/>
    </w:pPr>
    <w:rPr>
      <w:rFonts w:asciiTheme="minorHAnsi" w:hAnsiTheme="minorHAnsi" w:cstheme="minorBidi"/>
      <w:b/>
    </w:rPr>
  </w:style>
  <w:style w:type="paragraph" w:customStyle="1" w:styleId="NoteList">
    <w:name w:val="NoteList"/>
    <w:basedOn w:val="Normal"/>
    <w:next w:val="Subject"/>
    <w:pPr>
      <w:tabs>
        <w:tab w:val="left" w:pos="5823"/>
      </w:tabs>
      <w:spacing w:before="720" w:after="720" w:line="276" w:lineRule="auto"/>
      <w:ind w:left="5104" w:hanging="3119"/>
      <w:jc w:val="left"/>
    </w:pPr>
    <w:rPr>
      <w:rFonts w:asciiTheme="minorHAnsi" w:hAnsiTheme="minorHAnsi" w:cstheme="minorBidi"/>
      <w:b/>
      <w:smallCaps/>
    </w:rPr>
  </w:style>
  <w:style w:type="paragraph" w:styleId="PlainText">
    <w:name w:val="Plain Text"/>
    <w:basedOn w:val="Normal"/>
    <w:link w:val="PlainTextChar"/>
    <w:pPr>
      <w:spacing w:before="0" w:after="240" w:line="276" w:lineRule="auto"/>
    </w:pPr>
    <w:rPr>
      <w:rFonts w:ascii="Courier New" w:hAnsi="Courier New" w:cstheme="minorBidi"/>
      <w:sz w:val="20"/>
    </w:rPr>
  </w:style>
  <w:style w:type="character" w:customStyle="1" w:styleId="PlainTextChar">
    <w:name w:val="Plain Text Char"/>
    <w:basedOn w:val="DefaultParagraphFont"/>
    <w:link w:val="PlainText"/>
    <w:rPr>
      <w:rFonts w:ascii="Courier New" w:hAnsi="Courier New"/>
      <w:sz w:val="20"/>
      <w:lang w:val="en-GB"/>
    </w:rPr>
  </w:style>
  <w:style w:type="paragraph" w:styleId="Salutation">
    <w:name w:val="Salutation"/>
    <w:basedOn w:val="Normal"/>
    <w:next w:val="Normal"/>
    <w:link w:val="SalutationChar"/>
    <w:pPr>
      <w:spacing w:before="0" w:after="240" w:line="276" w:lineRule="auto"/>
    </w:pPr>
    <w:rPr>
      <w:rFonts w:asciiTheme="minorHAnsi" w:hAnsiTheme="minorHAnsi" w:cstheme="minorBidi"/>
    </w:rPr>
  </w:style>
  <w:style w:type="character" w:customStyle="1" w:styleId="SalutationChar">
    <w:name w:val="Salutation Char"/>
    <w:basedOn w:val="DefaultParagraphFont"/>
    <w:link w:val="Salutation"/>
    <w:rPr>
      <w:sz w:val="24"/>
      <w:lang w:val="en-GB"/>
    </w:rPr>
  </w:style>
  <w:style w:type="paragraph" w:styleId="Subtitle">
    <w:name w:val="Subtitle"/>
    <w:basedOn w:val="Normal"/>
    <w:link w:val="SubtitleChar"/>
    <w:qFormat/>
    <w:pPr>
      <w:spacing w:before="0" w:after="60" w:line="276" w:lineRule="auto"/>
      <w:jc w:val="center"/>
      <w:outlineLvl w:val="1"/>
    </w:pPr>
    <w:rPr>
      <w:rFonts w:ascii="Arial" w:hAnsi="Arial" w:cstheme="minorBidi"/>
    </w:rPr>
  </w:style>
  <w:style w:type="character" w:customStyle="1" w:styleId="SubtitleChar">
    <w:name w:val="Subtitle Char"/>
    <w:basedOn w:val="DefaultParagraphFont"/>
    <w:link w:val="Subtitle"/>
    <w:rPr>
      <w:rFonts w:ascii="Arial" w:hAnsi="Arial"/>
      <w:sz w:val="24"/>
      <w:lang w:val="en-GB"/>
    </w:rPr>
  </w:style>
  <w:style w:type="paragraph" w:styleId="TableofAuthorities">
    <w:name w:val="table of authorities"/>
    <w:basedOn w:val="Normal"/>
    <w:next w:val="Normal"/>
    <w:semiHidden/>
    <w:pPr>
      <w:spacing w:before="0" w:after="240" w:line="276" w:lineRule="auto"/>
      <w:ind w:left="240" w:hanging="240"/>
    </w:pPr>
    <w:rPr>
      <w:rFonts w:asciiTheme="minorHAnsi" w:hAnsiTheme="minorHAnsi" w:cstheme="minorBidi"/>
    </w:rPr>
  </w:style>
  <w:style w:type="paragraph" w:styleId="TableofFigures">
    <w:name w:val="table of figures"/>
    <w:basedOn w:val="Normal"/>
    <w:next w:val="Normal"/>
    <w:semiHidden/>
    <w:pPr>
      <w:spacing w:before="0" w:after="240" w:line="276" w:lineRule="auto"/>
      <w:ind w:left="480" w:hanging="480"/>
    </w:pPr>
    <w:rPr>
      <w:rFonts w:asciiTheme="minorHAnsi" w:hAnsiTheme="minorHAnsi" w:cstheme="minorBidi"/>
    </w:rPr>
  </w:style>
  <w:style w:type="paragraph" w:styleId="Title">
    <w:name w:val="Title"/>
    <w:basedOn w:val="Normal"/>
    <w:link w:val="TitleChar"/>
    <w:qFormat/>
    <w:pPr>
      <w:spacing w:before="240" w:after="60" w:line="276" w:lineRule="auto"/>
      <w:jc w:val="center"/>
      <w:outlineLvl w:val="0"/>
    </w:pPr>
    <w:rPr>
      <w:rFonts w:ascii="Arial" w:hAnsi="Arial" w:cstheme="minorBidi"/>
      <w:b/>
      <w:kern w:val="28"/>
      <w:sz w:val="32"/>
    </w:rPr>
  </w:style>
  <w:style w:type="character" w:customStyle="1" w:styleId="TitleChar">
    <w:name w:val="Title Char"/>
    <w:basedOn w:val="DefaultParagraphFont"/>
    <w:link w:val="Title"/>
    <w:rPr>
      <w:rFonts w:ascii="Arial" w:hAnsi="Arial"/>
      <w:b/>
      <w:kern w:val="28"/>
      <w:sz w:val="32"/>
      <w:lang w:val="en-GB"/>
    </w:rPr>
  </w:style>
  <w:style w:type="paragraph" w:styleId="TOAHeading">
    <w:name w:val="toa heading"/>
    <w:basedOn w:val="Normal"/>
    <w:next w:val="Normal"/>
    <w:semiHidden/>
    <w:pPr>
      <w:spacing w:after="240" w:line="276" w:lineRule="auto"/>
    </w:pPr>
    <w:rPr>
      <w:rFonts w:ascii="Arial" w:hAnsi="Arial" w:cstheme="minorBidi"/>
      <w:b/>
    </w:rPr>
  </w:style>
  <w:style w:type="paragraph" w:customStyle="1" w:styleId="YReferences">
    <w:name w:val="YReferences"/>
    <w:basedOn w:val="Normal"/>
    <w:next w:val="Normal"/>
    <w:pPr>
      <w:spacing w:before="0" w:after="480" w:line="276" w:lineRule="auto"/>
      <w:ind w:left="1531" w:hanging="1531"/>
    </w:pPr>
    <w:rPr>
      <w:rFonts w:asciiTheme="minorHAnsi" w:hAnsiTheme="minorHAnsi" w:cstheme="minorBidi"/>
    </w:rPr>
  </w:style>
  <w:style w:type="paragraph" w:customStyle="1" w:styleId="ListBullet1">
    <w:name w:val="List Bullet 1"/>
    <w:basedOn w:val="Text1"/>
    <w:pPr>
      <w:numPr>
        <w:numId w:val="5"/>
      </w:numPr>
      <w:spacing w:before="0" w:after="240" w:line="276" w:lineRule="auto"/>
    </w:pPr>
    <w:rPr>
      <w:rFonts w:asciiTheme="minorHAnsi" w:hAnsiTheme="minorHAnsi" w:cstheme="minorBidi"/>
    </w:rPr>
  </w:style>
  <w:style w:type="paragraph" w:customStyle="1" w:styleId="ListDash">
    <w:name w:val="List Dash"/>
    <w:basedOn w:val="Normal"/>
    <w:pPr>
      <w:numPr>
        <w:numId w:val="9"/>
      </w:numPr>
      <w:spacing w:before="0" w:after="240" w:line="276" w:lineRule="auto"/>
    </w:pPr>
    <w:rPr>
      <w:rFonts w:asciiTheme="minorHAnsi" w:hAnsiTheme="minorHAnsi" w:cstheme="minorBidi"/>
    </w:rPr>
  </w:style>
  <w:style w:type="paragraph" w:customStyle="1" w:styleId="ListDash1">
    <w:name w:val="List Dash 1"/>
    <w:basedOn w:val="Text1"/>
    <w:pPr>
      <w:numPr>
        <w:numId w:val="10"/>
      </w:numPr>
      <w:spacing w:before="0" w:after="240" w:line="276" w:lineRule="auto"/>
    </w:pPr>
    <w:rPr>
      <w:rFonts w:asciiTheme="minorHAnsi" w:hAnsiTheme="minorHAnsi" w:cstheme="minorBidi"/>
    </w:rPr>
  </w:style>
  <w:style w:type="paragraph" w:customStyle="1" w:styleId="ListDash2">
    <w:name w:val="List Dash 2"/>
    <w:basedOn w:val="Text2"/>
    <w:pPr>
      <w:numPr>
        <w:numId w:val="11"/>
      </w:numPr>
      <w:spacing w:before="0" w:after="240" w:line="276" w:lineRule="auto"/>
    </w:pPr>
    <w:rPr>
      <w:rFonts w:asciiTheme="minorHAnsi" w:hAnsiTheme="minorHAnsi" w:cstheme="minorBidi"/>
    </w:rPr>
  </w:style>
  <w:style w:type="paragraph" w:customStyle="1" w:styleId="ListDash3">
    <w:name w:val="List Dash 3"/>
    <w:basedOn w:val="Text3"/>
    <w:pPr>
      <w:numPr>
        <w:numId w:val="12"/>
      </w:numPr>
      <w:spacing w:before="0" w:after="240" w:line="276" w:lineRule="auto"/>
    </w:pPr>
    <w:rPr>
      <w:rFonts w:asciiTheme="minorHAnsi" w:hAnsiTheme="minorHAnsi" w:cstheme="minorBidi"/>
    </w:rPr>
  </w:style>
  <w:style w:type="paragraph" w:customStyle="1" w:styleId="ListDash4">
    <w:name w:val="List Dash 4"/>
    <w:basedOn w:val="Text4"/>
    <w:pPr>
      <w:numPr>
        <w:numId w:val="13"/>
      </w:numPr>
      <w:spacing w:before="0" w:after="240" w:line="276" w:lineRule="auto"/>
    </w:pPr>
    <w:rPr>
      <w:rFonts w:asciiTheme="minorHAnsi" w:hAnsiTheme="minorHAnsi" w:cstheme="minorBidi"/>
    </w:rPr>
  </w:style>
  <w:style w:type="paragraph" w:customStyle="1" w:styleId="ListNumberLevel2">
    <w:name w:val="List Number (Level 2)"/>
    <w:basedOn w:val="Normal"/>
    <w:pPr>
      <w:numPr>
        <w:ilvl w:val="1"/>
        <w:numId w:val="14"/>
      </w:numPr>
      <w:spacing w:before="0" w:after="240" w:line="276" w:lineRule="auto"/>
    </w:pPr>
    <w:rPr>
      <w:rFonts w:asciiTheme="minorHAnsi" w:hAnsiTheme="minorHAnsi" w:cstheme="minorBidi"/>
    </w:rPr>
  </w:style>
  <w:style w:type="paragraph" w:customStyle="1" w:styleId="ListNumberLevel3">
    <w:name w:val="List Number (Level 3)"/>
    <w:basedOn w:val="Normal"/>
    <w:pPr>
      <w:numPr>
        <w:ilvl w:val="2"/>
        <w:numId w:val="14"/>
      </w:numPr>
      <w:spacing w:before="0" w:after="240" w:line="276" w:lineRule="auto"/>
    </w:pPr>
    <w:rPr>
      <w:rFonts w:asciiTheme="minorHAnsi" w:hAnsiTheme="minorHAnsi" w:cstheme="minorBidi"/>
    </w:rPr>
  </w:style>
  <w:style w:type="paragraph" w:customStyle="1" w:styleId="ListNumberLevel4">
    <w:name w:val="List Number (Level 4)"/>
    <w:basedOn w:val="Normal"/>
    <w:pPr>
      <w:numPr>
        <w:ilvl w:val="3"/>
        <w:numId w:val="14"/>
      </w:numPr>
      <w:spacing w:before="0" w:after="240" w:line="276" w:lineRule="auto"/>
    </w:pPr>
    <w:rPr>
      <w:rFonts w:asciiTheme="minorHAnsi" w:hAnsiTheme="minorHAnsi" w:cstheme="minorBidi"/>
    </w:rPr>
  </w:style>
  <w:style w:type="paragraph" w:customStyle="1" w:styleId="ListNumber1">
    <w:name w:val="List Number 1"/>
    <w:basedOn w:val="Text1"/>
    <w:pPr>
      <w:numPr>
        <w:numId w:val="15"/>
      </w:numPr>
      <w:spacing w:before="0" w:after="240" w:line="276" w:lineRule="auto"/>
    </w:pPr>
    <w:rPr>
      <w:rFonts w:asciiTheme="minorHAnsi" w:hAnsiTheme="minorHAnsi" w:cstheme="minorBidi"/>
    </w:rPr>
  </w:style>
  <w:style w:type="paragraph" w:customStyle="1" w:styleId="ListNumber1Level2">
    <w:name w:val="List Number 1 (Level 2)"/>
    <w:basedOn w:val="Text1"/>
    <w:pPr>
      <w:numPr>
        <w:ilvl w:val="1"/>
        <w:numId w:val="15"/>
      </w:numPr>
      <w:spacing w:before="0" w:after="240" w:line="276" w:lineRule="auto"/>
    </w:pPr>
    <w:rPr>
      <w:rFonts w:asciiTheme="minorHAnsi" w:hAnsiTheme="minorHAnsi" w:cstheme="minorBidi"/>
    </w:rPr>
  </w:style>
  <w:style w:type="paragraph" w:customStyle="1" w:styleId="ListNumber1Level3">
    <w:name w:val="List Number 1 (Level 3)"/>
    <w:basedOn w:val="Text1"/>
    <w:pPr>
      <w:numPr>
        <w:ilvl w:val="2"/>
        <w:numId w:val="15"/>
      </w:numPr>
      <w:spacing w:before="0" w:after="240" w:line="276" w:lineRule="auto"/>
    </w:pPr>
    <w:rPr>
      <w:rFonts w:asciiTheme="minorHAnsi" w:hAnsiTheme="minorHAnsi" w:cstheme="minorBidi"/>
    </w:rPr>
  </w:style>
  <w:style w:type="paragraph" w:customStyle="1" w:styleId="ListNumber1Level4">
    <w:name w:val="List Number 1 (Level 4)"/>
    <w:basedOn w:val="Text1"/>
    <w:pPr>
      <w:numPr>
        <w:ilvl w:val="3"/>
        <w:numId w:val="15"/>
      </w:numPr>
      <w:spacing w:before="0" w:after="240" w:line="276" w:lineRule="auto"/>
    </w:pPr>
    <w:rPr>
      <w:rFonts w:asciiTheme="minorHAnsi" w:hAnsiTheme="minorHAnsi" w:cstheme="minorBidi"/>
    </w:rPr>
  </w:style>
  <w:style w:type="paragraph" w:customStyle="1" w:styleId="ListNumber2Level2">
    <w:name w:val="List Number 2 (Level 2)"/>
    <w:basedOn w:val="Text2"/>
    <w:pPr>
      <w:numPr>
        <w:ilvl w:val="1"/>
        <w:numId w:val="16"/>
      </w:numPr>
      <w:spacing w:before="0" w:after="240" w:line="276" w:lineRule="auto"/>
    </w:pPr>
    <w:rPr>
      <w:rFonts w:asciiTheme="minorHAnsi" w:hAnsiTheme="minorHAnsi" w:cstheme="minorBidi"/>
    </w:rPr>
  </w:style>
  <w:style w:type="paragraph" w:customStyle="1" w:styleId="ListNumber2Level3">
    <w:name w:val="List Number 2 (Level 3)"/>
    <w:basedOn w:val="Text2"/>
    <w:pPr>
      <w:numPr>
        <w:ilvl w:val="2"/>
        <w:numId w:val="16"/>
      </w:numPr>
      <w:spacing w:before="0" w:after="240" w:line="276" w:lineRule="auto"/>
    </w:pPr>
    <w:rPr>
      <w:rFonts w:asciiTheme="minorHAnsi" w:hAnsiTheme="minorHAnsi" w:cstheme="minorBidi"/>
    </w:rPr>
  </w:style>
  <w:style w:type="paragraph" w:customStyle="1" w:styleId="ListNumber2Level4">
    <w:name w:val="List Number 2 (Level 4)"/>
    <w:basedOn w:val="Text2"/>
    <w:pPr>
      <w:numPr>
        <w:ilvl w:val="3"/>
        <w:numId w:val="16"/>
      </w:numPr>
      <w:spacing w:before="0" w:after="240" w:line="276" w:lineRule="auto"/>
      <w:ind w:left="3901" w:hanging="703"/>
    </w:pPr>
    <w:rPr>
      <w:rFonts w:asciiTheme="minorHAnsi" w:hAnsiTheme="minorHAnsi" w:cstheme="minorBidi"/>
    </w:rPr>
  </w:style>
  <w:style w:type="paragraph" w:customStyle="1" w:styleId="ListNumber3Level2">
    <w:name w:val="List Number 3 (Level 2)"/>
    <w:basedOn w:val="Text3"/>
    <w:pPr>
      <w:numPr>
        <w:ilvl w:val="1"/>
        <w:numId w:val="17"/>
      </w:numPr>
      <w:spacing w:before="0" w:after="240" w:line="276" w:lineRule="auto"/>
    </w:pPr>
    <w:rPr>
      <w:rFonts w:asciiTheme="minorHAnsi" w:hAnsiTheme="minorHAnsi" w:cstheme="minorBidi"/>
    </w:rPr>
  </w:style>
  <w:style w:type="paragraph" w:customStyle="1" w:styleId="ListNumber3Level3">
    <w:name w:val="List Number 3 (Level 3)"/>
    <w:basedOn w:val="Text3"/>
    <w:pPr>
      <w:numPr>
        <w:ilvl w:val="2"/>
        <w:numId w:val="17"/>
      </w:numPr>
      <w:spacing w:before="0" w:after="240" w:line="276" w:lineRule="auto"/>
    </w:pPr>
    <w:rPr>
      <w:rFonts w:asciiTheme="minorHAnsi" w:hAnsiTheme="minorHAnsi" w:cstheme="minorBidi"/>
    </w:rPr>
  </w:style>
  <w:style w:type="paragraph" w:customStyle="1" w:styleId="ListNumber3Level4">
    <w:name w:val="List Number 3 (Level 4)"/>
    <w:basedOn w:val="Text3"/>
    <w:pPr>
      <w:numPr>
        <w:ilvl w:val="3"/>
        <w:numId w:val="17"/>
      </w:numPr>
      <w:spacing w:before="0" w:after="240" w:line="276" w:lineRule="auto"/>
    </w:pPr>
    <w:rPr>
      <w:rFonts w:asciiTheme="minorHAnsi" w:hAnsiTheme="minorHAnsi" w:cstheme="minorBidi"/>
    </w:rPr>
  </w:style>
  <w:style w:type="paragraph" w:customStyle="1" w:styleId="ListNumber4Level2">
    <w:name w:val="List Number 4 (Level 2)"/>
    <w:basedOn w:val="Text4"/>
    <w:pPr>
      <w:numPr>
        <w:ilvl w:val="1"/>
        <w:numId w:val="18"/>
      </w:numPr>
      <w:spacing w:before="0" w:after="240" w:line="276" w:lineRule="auto"/>
    </w:pPr>
    <w:rPr>
      <w:rFonts w:asciiTheme="minorHAnsi" w:hAnsiTheme="minorHAnsi" w:cstheme="minorBidi"/>
    </w:rPr>
  </w:style>
  <w:style w:type="paragraph" w:customStyle="1" w:styleId="ListNumber4Level3">
    <w:name w:val="List Number 4 (Level 3)"/>
    <w:basedOn w:val="Text4"/>
    <w:pPr>
      <w:numPr>
        <w:ilvl w:val="2"/>
        <w:numId w:val="18"/>
      </w:numPr>
      <w:spacing w:before="0" w:after="240" w:line="276" w:lineRule="auto"/>
    </w:pPr>
    <w:rPr>
      <w:rFonts w:asciiTheme="minorHAnsi" w:hAnsiTheme="minorHAnsi" w:cstheme="minorBidi"/>
    </w:rPr>
  </w:style>
  <w:style w:type="paragraph" w:customStyle="1" w:styleId="ListNumber4Level4">
    <w:name w:val="List Number 4 (Level 4)"/>
    <w:basedOn w:val="Text4"/>
    <w:pPr>
      <w:numPr>
        <w:ilvl w:val="3"/>
        <w:numId w:val="18"/>
      </w:numPr>
      <w:spacing w:before="0" w:after="240" w:line="276" w:lineRule="auto"/>
    </w:pPr>
    <w:rPr>
      <w:rFonts w:asciiTheme="minorHAnsi" w:hAnsiTheme="minorHAnsi" w:cstheme="minorBidi"/>
    </w:rPr>
  </w:style>
  <w:style w:type="paragraph" w:customStyle="1" w:styleId="Contact">
    <w:name w:val="Contact"/>
    <w:basedOn w:val="Normal"/>
    <w:next w:val="Normal"/>
    <w:pPr>
      <w:spacing w:before="480" w:after="0" w:line="276" w:lineRule="auto"/>
      <w:ind w:left="567" w:hanging="567"/>
      <w:jc w:val="left"/>
    </w:pPr>
    <w:rPr>
      <w:rFonts w:asciiTheme="minorHAnsi" w:hAnsiTheme="minorHAnsi" w:cstheme="minorBidi"/>
    </w:rPr>
  </w:style>
  <w:style w:type="paragraph" w:customStyle="1" w:styleId="DisclaimerNotice">
    <w:name w:val="Disclaimer Notice"/>
    <w:basedOn w:val="Normal"/>
    <w:next w:val="AddressTR"/>
    <w:pPr>
      <w:spacing w:before="0" w:after="240" w:line="276" w:lineRule="auto"/>
      <w:ind w:left="5103"/>
      <w:jc w:val="left"/>
    </w:pPr>
    <w:rPr>
      <w:rFonts w:asciiTheme="minorHAnsi" w:hAnsiTheme="minorHAnsi" w:cstheme="minorBidi"/>
      <w:i/>
      <w:sz w:val="20"/>
    </w:rPr>
  </w:style>
  <w:style w:type="paragraph" w:customStyle="1" w:styleId="Disclaimer">
    <w:name w:val="Disclaimer"/>
    <w:basedOn w:val="Normal"/>
    <w:pPr>
      <w:keepLines/>
      <w:pBdr>
        <w:top w:val="single" w:sz="4" w:space="1" w:color="auto"/>
      </w:pBdr>
      <w:spacing w:before="480" w:after="0" w:line="276" w:lineRule="auto"/>
    </w:pPr>
    <w:rPr>
      <w:rFonts w:asciiTheme="minorHAnsi" w:hAnsiTheme="minorHAnsi" w:cstheme="minorBidi"/>
      <w:i/>
    </w:rPr>
  </w:style>
  <w:style w:type="character" w:styleId="FollowedHyperlink">
    <w:name w:val="FollowedHyperlink"/>
    <w:rPr>
      <w:color w:val="800080"/>
      <w:u w:val="single"/>
    </w:rPr>
  </w:style>
  <w:style w:type="paragraph" w:customStyle="1" w:styleId="DisclaimerSJ">
    <w:name w:val="Disclaimer_SJ"/>
    <w:basedOn w:val="Normal"/>
    <w:next w:val="Normal"/>
    <w:pPr>
      <w:spacing w:before="0" w:after="0" w:line="276" w:lineRule="auto"/>
    </w:pPr>
    <w:rPr>
      <w:rFonts w:ascii="Arial" w:hAnsi="Arial" w:cstheme="minorBidi"/>
      <w:b/>
      <w:sz w:val="16"/>
    </w:rPr>
  </w:style>
  <w:style w:type="paragraph" w:customStyle="1" w:styleId="Designator">
    <w:name w:val="Designator"/>
    <w:basedOn w:val="Normal"/>
    <w:pPr>
      <w:spacing w:before="0" w:after="0" w:line="276" w:lineRule="auto"/>
      <w:jc w:val="center"/>
    </w:pPr>
    <w:rPr>
      <w:rFonts w:asciiTheme="minorHAnsi" w:hAnsiTheme="minorHAnsi" w:cstheme="minorBidi"/>
      <w:b/>
      <w:caps/>
      <w:sz w:val="32"/>
    </w:rPr>
  </w:style>
  <w:style w:type="paragraph" w:customStyle="1" w:styleId="Releasable">
    <w:name w:val="Releasable"/>
    <w:basedOn w:val="Normal"/>
    <w:qFormat/>
    <w:pPr>
      <w:spacing w:before="0" w:after="0" w:line="276" w:lineRule="auto"/>
      <w:jc w:val="center"/>
    </w:pPr>
    <w:rPr>
      <w:rFonts w:asciiTheme="minorHAnsi" w:hAnsiTheme="minorHAnsi" w:cstheme="minorBidi"/>
      <w:b/>
      <w:caps/>
      <w:sz w:val="32"/>
      <w:lang w:val="de-DE"/>
    </w:rPr>
  </w:style>
  <w:style w:type="paragraph" w:customStyle="1" w:styleId="RUE">
    <w:name w:val="RUE"/>
    <w:basedOn w:val="Normal"/>
    <w:pPr>
      <w:spacing w:before="0" w:after="0" w:line="276" w:lineRule="auto"/>
      <w:jc w:val="center"/>
    </w:pPr>
    <w:rPr>
      <w:rFonts w:asciiTheme="minorHAnsi" w:hAnsiTheme="minorHAnsi" w:cstheme="minorBidi"/>
      <w:b/>
      <w:caps/>
      <w:sz w:val="32"/>
      <w:bdr w:val="single" w:sz="18" w:space="0" w:color="auto"/>
      <w:lang w:val="de-DE"/>
    </w:rPr>
  </w:style>
  <w:style w:type="paragraph" w:customStyle="1" w:styleId="ConfidentialUE">
    <w:name w:val="Confidential UE"/>
    <w:basedOn w:val="Normal"/>
    <w:pPr>
      <w:spacing w:before="0" w:after="0" w:line="276" w:lineRule="auto"/>
      <w:jc w:val="center"/>
    </w:pPr>
    <w:rPr>
      <w:rFonts w:asciiTheme="minorHAnsi" w:hAnsiTheme="minorHAnsi" w:cstheme="minorBidi"/>
      <w:b/>
      <w:caps/>
      <w:sz w:val="32"/>
      <w:bdr w:val="single" w:sz="18" w:space="0" w:color="auto"/>
    </w:rPr>
  </w:style>
  <w:style w:type="paragraph" w:customStyle="1" w:styleId="TrsSecretUE">
    <w:name w:val="Très 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SecretUE">
    <w:name w:val="Secret UE"/>
    <w:basedOn w:val="Normal"/>
    <w:pPr>
      <w:spacing w:before="0" w:after="0" w:line="276" w:lineRule="auto"/>
      <w:jc w:val="center"/>
    </w:pPr>
    <w:rPr>
      <w:rFonts w:asciiTheme="minorHAnsi" w:hAnsiTheme="minorHAnsi" w:cstheme="minorBidi"/>
      <w:b/>
      <w:caps/>
      <w:color w:val="FF0000"/>
      <w:sz w:val="32"/>
      <w:bdr w:val="single" w:sz="18" w:space="0" w:color="FF0000"/>
    </w:rPr>
  </w:style>
  <w:style w:type="paragraph" w:customStyle="1" w:styleId="LegalNumPar">
    <w:name w:val="LegalNumPar"/>
    <w:basedOn w:val="Normal"/>
    <w:pPr>
      <w:numPr>
        <w:numId w:val="21"/>
      </w:numPr>
      <w:spacing w:before="0" w:after="240" w:line="360" w:lineRule="auto"/>
      <w:jc w:val="left"/>
    </w:pPr>
    <w:rPr>
      <w:rFonts w:asciiTheme="minorHAnsi" w:hAnsiTheme="minorHAnsi" w:cstheme="minorBidi"/>
    </w:rPr>
  </w:style>
  <w:style w:type="paragraph" w:customStyle="1" w:styleId="LegalNumPar2">
    <w:name w:val="LegalNumPar2"/>
    <w:basedOn w:val="Normal"/>
    <w:pPr>
      <w:numPr>
        <w:ilvl w:val="1"/>
        <w:numId w:val="21"/>
      </w:numPr>
      <w:spacing w:before="0" w:after="240" w:line="360" w:lineRule="auto"/>
      <w:jc w:val="left"/>
    </w:pPr>
    <w:rPr>
      <w:rFonts w:asciiTheme="minorHAnsi" w:hAnsiTheme="minorHAnsi" w:cstheme="minorBidi"/>
    </w:rPr>
  </w:style>
  <w:style w:type="paragraph" w:customStyle="1" w:styleId="LegalNumPar3">
    <w:name w:val="LegalNumPar3"/>
    <w:basedOn w:val="Normal"/>
    <w:pPr>
      <w:numPr>
        <w:ilvl w:val="2"/>
        <w:numId w:val="21"/>
      </w:numPr>
      <w:spacing w:before="0" w:after="240" w:line="360" w:lineRule="auto"/>
      <w:jc w:val="left"/>
    </w:pPr>
    <w:rPr>
      <w:rFonts w:asciiTheme="minorHAnsi" w:hAnsiTheme="minorHAnsi" w:cstheme="minorBidi"/>
    </w:rPr>
  </w:style>
  <w:style w:type="paragraph" w:customStyle="1" w:styleId="Footnoterefernce">
    <w:name w:val="Footnote refernce"/>
    <w:basedOn w:val="Normal"/>
    <w:pPr>
      <w:autoSpaceDE w:val="0"/>
      <w:autoSpaceDN w:val="0"/>
      <w:adjustRightInd w:val="0"/>
      <w:spacing w:after="0"/>
    </w:pPr>
  </w:style>
  <w:style w:type="character" w:styleId="Emphasis">
    <w:name w:val="Emphasis"/>
    <w:basedOn w:val="DefaultParagraphFont"/>
    <w:uiPriority w:val="20"/>
    <w:qFormat/>
    <w:rPr>
      <w:i/>
      <w:iCs/>
      <w:vanish w:val="0"/>
      <w:webHidden w:val="0"/>
      <w:color w:val="0099CC"/>
      <w:specVanish w:val="0"/>
    </w:rPr>
  </w:style>
  <w:style w:type="character" w:styleId="Strong">
    <w:name w:val="Strong"/>
    <w:basedOn w:val="DefaultParagraphFont"/>
    <w:uiPriority w:val="22"/>
    <w:qFormat/>
    <w:rPr>
      <w:b/>
      <w:bCs/>
    </w:rPr>
  </w:style>
  <w:style w:type="character" w:customStyle="1" w:styleId="super">
    <w:name w:val="super"/>
    <w:basedOn w:val="DefaultParagraphFont"/>
    <w:rPr>
      <w:rFonts w:ascii="Times New Roman" w:hAnsi="Times New Roman" w:cs="Times New Roman" w:hint="default"/>
      <w:sz w:val="17"/>
      <w:szCs w:val="17"/>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81549">
      <w:bodyDiv w:val="1"/>
      <w:marLeft w:val="0"/>
      <w:marRight w:val="0"/>
      <w:marTop w:val="0"/>
      <w:marBottom w:val="0"/>
      <w:divBdr>
        <w:top w:val="none" w:sz="0" w:space="0" w:color="auto"/>
        <w:left w:val="none" w:sz="0" w:space="0" w:color="auto"/>
        <w:bottom w:val="none" w:sz="0" w:space="0" w:color="auto"/>
        <w:right w:val="none" w:sz="0" w:space="0" w:color="auto"/>
      </w:divBdr>
    </w:div>
    <w:div w:id="1973099621">
      <w:bodyDiv w:val="1"/>
      <w:marLeft w:val="0"/>
      <w:marRight w:val="0"/>
      <w:marTop w:val="0"/>
      <w:marBottom w:val="0"/>
      <w:divBdr>
        <w:top w:val="none" w:sz="0" w:space="0" w:color="auto"/>
        <w:left w:val="none" w:sz="0" w:space="0" w:color="auto"/>
        <w:bottom w:val="none" w:sz="0" w:space="0" w:color="auto"/>
        <w:right w:val="none" w:sz="0" w:space="0" w:color="auto"/>
      </w:divBdr>
      <w:divsChild>
        <w:div w:id="1217812222">
          <w:marLeft w:val="0"/>
          <w:marRight w:val="0"/>
          <w:marTop w:val="0"/>
          <w:marBottom w:val="0"/>
          <w:divBdr>
            <w:top w:val="none" w:sz="0" w:space="0" w:color="auto"/>
            <w:left w:val="none" w:sz="0" w:space="0" w:color="auto"/>
            <w:bottom w:val="none" w:sz="0" w:space="0" w:color="auto"/>
            <w:right w:val="none" w:sz="0" w:space="0" w:color="auto"/>
          </w:divBdr>
          <w:divsChild>
            <w:div w:id="1863786123">
              <w:marLeft w:val="0"/>
              <w:marRight w:val="0"/>
              <w:marTop w:val="0"/>
              <w:marBottom w:val="0"/>
              <w:divBdr>
                <w:top w:val="none" w:sz="0" w:space="0" w:color="auto"/>
                <w:left w:val="none" w:sz="0" w:space="0" w:color="auto"/>
                <w:bottom w:val="none" w:sz="0" w:space="0" w:color="auto"/>
                <w:right w:val="none" w:sz="0" w:space="0" w:color="auto"/>
              </w:divBdr>
              <w:divsChild>
                <w:div w:id="1582905244">
                  <w:marLeft w:val="0"/>
                  <w:marRight w:val="0"/>
                  <w:marTop w:val="0"/>
                  <w:marBottom w:val="0"/>
                  <w:divBdr>
                    <w:top w:val="none" w:sz="0" w:space="0" w:color="auto"/>
                    <w:left w:val="none" w:sz="0" w:space="0" w:color="auto"/>
                    <w:bottom w:val="none" w:sz="0" w:space="0" w:color="auto"/>
                    <w:right w:val="none" w:sz="0" w:space="0" w:color="auto"/>
                  </w:divBdr>
                  <w:divsChild>
                    <w:div w:id="1791584706">
                      <w:marLeft w:val="1"/>
                      <w:marRight w:val="1"/>
                      <w:marTop w:val="0"/>
                      <w:marBottom w:val="0"/>
                      <w:divBdr>
                        <w:top w:val="none" w:sz="0" w:space="0" w:color="auto"/>
                        <w:left w:val="none" w:sz="0" w:space="0" w:color="auto"/>
                        <w:bottom w:val="none" w:sz="0" w:space="0" w:color="auto"/>
                        <w:right w:val="none" w:sz="0" w:space="0" w:color="auto"/>
                      </w:divBdr>
                      <w:divsChild>
                        <w:div w:id="1610431505">
                          <w:marLeft w:val="0"/>
                          <w:marRight w:val="0"/>
                          <w:marTop w:val="0"/>
                          <w:marBottom w:val="0"/>
                          <w:divBdr>
                            <w:top w:val="none" w:sz="0" w:space="0" w:color="auto"/>
                            <w:left w:val="none" w:sz="0" w:space="0" w:color="auto"/>
                            <w:bottom w:val="none" w:sz="0" w:space="0" w:color="auto"/>
                            <w:right w:val="none" w:sz="0" w:space="0" w:color="auto"/>
                          </w:divBdr>
                          <w:divsChild>
                            <w:div w:id="405764140">
                              <w:marLeft w:val="0"/>
                              <w:marRight w:val="0"/>
                              <w:marTop w:val="0"/>
                              <w:marBottom w:val="360"/>
                              <w:divBdr>
                                <w:top w:val="none" w:sz="0" w:space="0" w:color="auto"/>
                                <w:left w:val="none" w:sz="0" w:space="0" w:color="auto"/>
                                <w:bottom w:val="none" w:sz="0" w:space="0" w:color="auto"/>
                                <w:right w:val="none" w:sz="0" w:space="0" w:color="auto"/>
                              </w:divBdr>
                              <w:divsChild>
                                <w:div w:id="408310093">
                                  <w:marLeft w:val="0"/>
                                  <w:marRight w:val="0"/>
                                  <w:marTop w:val="0"/>
                                  <w:marBottom w:val="0"/>
                                  <w:divBdr>
                                    <w:top w:val="none" w:sz="0" w:space="0" w:color="auto"/>
                                    <w:left w:val="none" w:sz="0" w:space="0" w:color="auto"/>
                                    <w:bottom w:val="none" w:sz="0" w:space="0" w:color="auto"/>
                                    <w:right w:val="none" w:sz="0" w:space="0" w:color="auto"/>
                                  </w:divBdr>
                                  <w:divsChild>
                                    <w:div w:id="727606880">
                                      <w:marLeft w:val="0"/>
                                      <w:marRight w:val="0"/>
                                      <w:marTop w:val="0"/>
                                      <w:marBottom w:val="0"/>
                                      <w:divBdr>
                                        <w:top w:val="none" w:sz="0" w:space="0" w:color="auto"/>
                                        <w:left w:val="none" w:sz="0" w:space="0" w:color="auto"/>
                                        <w:bottom w:val="none" w:sz="0" w:space="0" w:color="auto"/>
                                        <w:right w:val="none" w:sz="0" w:space="0" w:color="auto"/>
                                      </w:divBdr>
                                      <w:divsChild>
                                        <w:div w:id="756092626">
                                          <w:marLeft w:val="0"/>
                                          <w:marRight w:val="0"/>
                                          <w:marTop w:val="0"/>
                                          <w:marBottom w:val="0"/>
                                          <w:divBdr>
                                            <w:top w:val="none" w:sz="0" w:space="0" w:color="auto"/>
                                            <w:left w:val="none" w:sz="0" w:space="0" w:color="auto"/>
                                            <w:bottom w:val="none" w:sz="0" w:space="0" w:color="auto"/>
                                            <w:right w:val="none" w:sz="0" w:space="0" w:color="auto"/>
                                          </w:divBdr>
                                          <w:divsChild>
                                            <w:div w:id="539897050">
                                              <w:marLeft w:val="0"/>
                                              <w:marRight w:val="0"/>
                                              <w:marTop w:val="0"/>
                                              <w:marBottom w:val="0"/>
                                              <w:divBdr>
                                                <w:top w:val="none" w:sz="0" w:space="0" w:color="auto"/>
                                                <w:left w:val="none" w:sz="0" w:space="0" w:color="auto"/>
                                                <w:bottom w:val="none" w:sz="0" w:space="0" w:color="auto"/>
                                                <w:right w:val="none" w:sz="0" w:space="0" w:color="auto"/>
                                              </w:divBdr>
                                              <w:divsChild>
                                                <w:div w:id="12648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mota.eu/" TargetMode="External"/><Relationship Id="rId7" Type="http://schemas.openxmlformats.org/officeDocument/2006/relationships/hyperlink" Target="http://ec.europa.eu/smart-regulation/impact/ia_carried_out/cia_2016_en.htm" TargetMode="External"/><Relationship Id="rId2" Type="http://schemas.openxmlformats.org/officeDocument/2006/relationships/hyperlink" Target="https://ec.europa.eu/digital-agenda" TargetMode="External"/><Relationship Id="rId1" Type="http://schemas.openxmlformats.org/officeDocument/2006/relationships/hyperlink" Target="http://ec.europa.eu/priorities/digital-single-market/docs/dsm-communication_en.pdf" TargetMode="External"/><Relationship Id="rId6" Type="http://schemas.openxmlformats.org/officeDocument/2006/relationships/hyperlink" Target="http://ec.europa.eu/growth/tools-databases/newsroom/cf/itemdetail.cfm?item_id=8169" TargetMode="External"/><Relationship Id="rId5" Type="http://schemas.openxmlformats.org/officeDocument/2006/relationships/hyperlink" Target="http://ec.europa.eu/growth/smes/cosme/" TargetMode="External"/><Relationship Id="rId4" Type="http://schemas.openxmlformats.org/officeDocument/2006/relationships/hyperlink" Target="http://www.ecommerce-europe.eu/trustma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76D094C-D452-4C23-9928-1921F32F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9332</Words>
  <Characters>55718</Characters>
  <Application>Microsoft Office Word</Application>
  <DocSecurity>0</DocSecurity>
  <Lines>819</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2016-05-13T11:47:00Z</cp:lastPrinted>
  <dcterms:created xsi:type="dcterms:W3CDTF">2016-05-27T07:47:00Z</dcterms:created>
  <dcterms:modified xsi:type="dcterms:W3CDTF">2016-05-27T11:57:00Z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