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FED292BC5BE4F629E760DCDD973954B"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PŘÍLOHA</w:t>
      </w:r>
    </w:p>
    <w:p>
      <w:pPr>
        <w:pStyle w:val="Accompagnant"/>
        <w:rPr>
          <w:noProof/>
        </w:rPr>
      </w:pPr>
      <w:r>
        <w:rPr>
          <w:noProof/>
        </w:rPr>
        <w:t xml:space="preserve"> </w:t>
      </w:r>
    </w:p>
    <w:p>
      <w:pPr>
        <w:pStyle w:val="Typeacteprincipal"/>
        <w:rPr>
          <w:noProof/>
        </w:rPr>
      </w:pPr>
      <w:r>
        <w:rPr>
          <w:noProof/>
        </w:rPr>
        <w:t>SMĚRNICE EVROPSKÉHO PARLAMENTU A RADY,</w:t>
      </w:r>
    </w:p>
    <w:p>
      <w:pPr>
        <w:pStyle w:val="Objetacteprincipal"/>
        <w:rPr>
          <w:noProof/>
        </w:rPr>
      </w:pPr>
      <w:r>
        <w:rPr>
          <w:noProof/>
        </w:rPr>
        <w:t>kterou se mění směrnice 1999/62/ES o výběru poplatků za užívání určitých pozemních komunikací těžkými nákladními vozidly</w:t>
      </w:r>
      <w:r>
        <w:rPr>
          <w:noProof/>
        </w:rPr>
        <w:br/>
        <w:t>(Text s významem pro EHP)</w:t>
      </w:r>
    </w:p>
    <w:p>
      <w:pPr>
        <w:rPr>
          <w:noProof/>
        </w:rPr>
      </w:pPr>
    </w:p>
    <w:p>
      <w:pPr>
        <w:rPr>
          <w:noProof/>
        </w:rPr>
      </w:pPr>
      <w:r>
        <w:rPr>
          <w:noProof/>
        </w:rPr>
        <w:t>1)</w:t>
      </w:r>
      <w:r>
        <w:rPr>
          <w:noProof/>
        </w:rPr>
        <w:tab/>
        <w:t>Přílohy 0, III, IIIa, IIIb a IV se mění takto:</w:t>
      </w:r>
    </w:p>
    <w:p>
      <w:pPr>
        <w:rPr>
          <w:noProof/>
        </w:rPr>
      </w:pPr>
      <w:r>
        <w:rPr>
          <w:noProof/>
        </w:rPr>
        <w:t>a)</w:t>
      </w:r>
      <w:r>
        <w:rPr>
          <w:noProof/>
        </w:rPr>
        <w:tab/>
        <w:t>v příloze 0 se oddíl 3 mění takto:</w:t>
      </w:r>
    </w:p>
    <w:p>
      <w:pPr>
        <w:ind w:firstLine="720"/>
        <w:rPr>
          <w:noProof/>
        </w:rPr>
      </w:pPr>
      <w:r>
        <w:rPr>
          <w:noProof/>
        </w:rPr>
        <w:t>i)</w:t>
      </w:r>
      <w:r>
        <w:rPr>
          <w:noProof/>
        </w:rPr>
        <w:tab/>
        <w:t>nadpis se nahrazuje tímto:</w:t>
      </w:r>
    </w:p>
    <w:p>
      <w:pPr>
        <w:ind w:left="130" w:firstLine="720"/>
        <w:rPr>
          <w:noProof/>
        </w:rPr>
      </w:pPr>
      <w:r>
        <w:rPr>
          <w:noProof/>
        </w:rPr>
        <w:t>„3. Vozidla „EURO III“/„EURO IV“/„EURO V“ “;</w:t>
      </w:r>
    </w:p>
    <w:p>
      <w:pPr>
        <w:ind w:firstLine="720"/>
        <w:rPr>
          <w:noProof/>
        </w:rPr>
      </w:pPr>
      <w:r>
        <w:rPr>
          <w:noProof/>
        </w:rPr>
        <w:t>ii)</w:t>
      </w:r>
      <w:r>
        <w:rPr>
          <w:noProof/>
        </w:rPr>
        <w:tab/>
        <w:t>v tabulce se zrušuje řádek týkající se vozidel „EEV“;</w:t>
      </w:r>
    </w:p>
    <w:p>
      <w:pPr>
        <w:ind w:left="720"/>
        <w:rPr>
          <w:noProof/>
        </w:rPr>
      </w:pPr>
      <w:r>
        <w:rPr>
          <w:noProof/>
        </w:rPr>
        <w:t>iii)</w:t>
      </w:r>
      <w:r>
        <w:rPr>
          <w:noProof/>
        </w:rPr>
        <w:tab/>
        <w:t>doplňuje se nový text, který zní:</w:t>
      </w:r>
    </w:p>
    <w:p>
      <w:pPr>
        <w:pStyle w:val="NormalCentered"/>
        <w:rPr>
          <w:b/>
          <w:noProof/>
          <w:u w:val="single"/>
        </w:rPr>
      </w:pPr>
      <w:r>
        <w:rPr>
          <w:b/>
          <w:noProof/>
          <w:u w:val="single"/>
        </w:rPr>
        <w:t>„Mezní hodnoty emisí Euro VI</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Mezní hodnoty</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hmotnost PM</w:t>
            </w:r>
          </w:p>
          <w:p>
            <w:pPr>
              <w:rPr>
                <w:noProof/>
                <w:vertAlign w:val="subscript"/>
              </w:rPr>
            </w:pPr>
            <w:r>
              <w:rPr>
                <w:noProof/>
              </w:rPr>
              <w:t>(mg/kWh)</w:t>
            </w:r>
          </w:p>
        </w:tc>
        <w:tc>
          <w:tcPr>
            <w:tcW w:w="1030" w:type="dxa"/>
            <w:hideMark/>
          </w:tcPr>
          <w:p>
            <w:pPr>
              <w:rPr>
                <w:noProof/>
              </w:rPr>
            </w:pPr>
            <w:r>
              <w:rPr>
                <w:noProof/>
              </w:rPr>
              <w:t>počet PM</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1 500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(CI)</w:t>
            </w:r>
          </w:p>
        </w:tc>
        <w:tc>
          <w:tcPr>
            <w:tcW w:w="1276" w:type="dxa"/>
            <w:hideMark/>
          </w:tcPr>
          <w:p>
            <w:pPr>
              <w:rPr>
                <w:noProof/>
              </w:rPr>
            </w:pPr>
            <w:r>
              <w:rPr>
                <w:noProof/>
              </w:rPr>
              <w:t>4 000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4 000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Pozn.:</w:t>
      </w:r>
    </w:p>
    <w:p>
      <w:pPr>
        <w:pStyle w:val="Point0"/>
        <w:spacing w:before="0" w:after="0"/>
        <w:rPr>
          <w:noProof/>
        </w:rPr>
      </w:pPr>
      <w:r>
        <w:rPr>
          <w:noProof/>
        </w:rPr>
        <w:t>PI =</w:t>
      </w:r>
      <w:r>
        <w:rPr>
          <w:noProof/>
        </w:rPr>
        <w:tab/>
        <w:t>zážehový motor.</w:t>
      </w:r>
    </w:p>
    <w:p>
      <w:pPr>
        <w:pStyle w:val="Point0"/>
        <w:spacing w:before="0" w:after="0"/>
        <w:rPr>
          <w:noProof/>
        </w:rPr>
      </w:pPr>
      <w:r>
        <w:rPr>
          <w:noProof/>
        </w:rPr>
        <w:t>CI =</w:t>
      </w:r>
      <w:r>
        <w:rPr>
          <w:noProof/>
        </w:rPr>
        <w:tab/>
        <w:t>vznětový motor.</w:t>
      </w:r>
    </w:p>
    <w:p>
      <w:pPr>
        <w:rPr>
          <w:noProof/>
        </w:rPr>
      </w:pPr>
      <w:r>
        <w:rPr>
          <w:noProof/>
          <w:vertAlign w:val="superscript"/>
        </w:rPr>
        <w:t>(1)</w:t>
      </w:r>
      <w:r>
        <w:rPr>
          <w:noProof/>
        </w:rPr>
        <w:tab/>
        <w:t>Přípustná úroveň složky NO</w:t>
      </w:r>
      <w:r>
        <w:rPr>
          <w:noProof/>
          <w:vertAlign w:val="subscript"/>
        </w:rPr>
        <w:t>2</w:t>
      </w:r>
      <w:r>
        <w:rPr>
          <w:noProof/>
        </w:rPr>
        <w:t xml:space="preserve"> v mezní hodnotě NO</w:t>
      </w:r>
      <w:r>
        <w:rPr>
          <w:noProof/>
          <w:vertAlign w:val="subscript"/>
        </w:rPr>
        <w:t>x</w:t>
      </w:r>
      <w:r>
        <w:rPr>
          <w:noProof/>
        </w:rPr>
        <w:t xml:space="preserve"> může být stanovena v pozdější fázi.“;</w:t>
      </w:r>
    </w:p>
    <w:p>
      <w:pPr>
        <w:rPr>
          <w:noProof/>
        </w:rPr>
      </w:pPr>
      <w:r>
        <w:rPr>
          <w:noProof/>
        </w:rPr>
        <w:t>b)</w:t>
      </w:r>
      <w:r>
        <w:rPr>
          <w:noProof/>
        </w:rPr>
        <w:tab/>
        <w:t>příloha III se mění takto:</w:t>
      </w:r>
    </w:p>
    <w:p>
      <w:pPr>
        <w:ind w:firstLine="720"/>
        <w:rPr>
          <w:noProof/>
        </w:rPr>
      </w:pPr>
      <w:r>
        <w:rPr>
          <w:noProof/>
        </w:rPr>
        <w:t>i)</w:t>
      </w:r>
      <w:r>
        <w:rPr>
          <w:noProof/>
        </w:rPr>
        <w:tab/>
        <w:t>bod 2 se mění takto:</w:t>
      </w:r>
    </w:p>
    <w:p>
      <w:pPr>
        <w:ind w:left="131" w:firstLine="578"/>
        <w:rPr>
          <w:noProof/>
        </w:rPr>
      </w:pPr>
      <w:r>
        <w:rPr>
          <w:noProof/>
        </w:rPr>
        <w:t xml:space="preserve">— v bodě 2.1 se šestá odrážka nahrazuje tímto:  </w:t>
      </w:r>
    </w:p>
    <w:p>
      <w:pPr>
        <w:ind w:left="709"/>
        <w:rPr>
          <w:noProof/>
        </w:rPr>
      </w:pPr>
      <w:r>
        <w:rPr>
          <w:noProof/>
        </w:rPr>
        <w:t>„—</w:t>
      </w:r>
      <w:r>
        <w:rPr>
          <w:noProof/>
        </w:rPr>
        <w:tab/>
        <w:t>Přidělení nákladů těžkým vozidlům se provádí objektivním a transparentním způsobem, s přihlédnutím k podílu těžkých vozidel na provozu v silniční síti a souvisejícím nákladům. Kilometry ujeté těžkými vozidly lze za tímto účelem upravit podle objektivně odůvodněných „koeficientů ekvivalence“, jako jsou koeficienty uvedené v bodě 4 (*).</w:t>
      </w:r>
    </w:p>
    <w:p>
      <w:pPr>
        <w:rPr>
          <w:noProof/>
        </w:rPr>
      </w:pPr>
      <w:r>
        <w:rPr>
          <w:noProof/>
        </w:rPr>
        <w:t>________</w:t>
      </w:r>
    </w:p>
    <w:p>
      <w:pPr>
        <w:rPr>
          <w:noProof/>
        </w:rPr>
      </w:pPr>
      <w:r>
        <w:rPr>
          <w:noProof/>
        </w:rPr>
        <w:t>*</w:t>
      </w:r>
      <w:r>
        <w:rPr>
          <w:noProof/>
        </w:rPr>
        <w:tab/>
        <w:t>Použití koeficientů ekvivalence členskými státy může brát v úvahu výstavbu silnic rozvíjenou po etapách nebo s použitím přístupu dlouhé životnosti.“,</w:t>
      </w:r>
    </w:p>
    <w:p>
      <w:pPr>
        <w:ind w:left="709"/>
        <w:rPr>
          <w:noProof/>
        </w:rPr>
      </w:pPr>
      <w:r>
        <w:rPr>
          <w:noProof/>
        </w:rPr>
        <w:t>— v bodě 2.2 se druhá odrážka nahrazuje tímto:</w:t>
      </w:r>
    </w:p>
    <w:p>
      <w:pPr>
        <w:ind w:left="709"/>
        <w:rPr>
          <w:noProof/>
        </w:rPr>
      </w:pPr>
      <w:r>
        <w:rPr>
          <w:noProof/>
        </w:rPr>
        <w:t>„—</w:t>
      </w:r>
      <w:r>
        <w:rPr>
          <w:noProof/>
        </w:rPr>
        <w:tab/>
        <w:t>Tyto náklady se rozdělí mezi těžká vozidla a jiná vozidla v silničním provozu na základě skutečných a předpokládaných podílů vozokilometrů a lze je upravit s použitím věcně oprávněných koeficientů ekvivalence, jako jsou koeficienty uvedené v bodě 4.“;</w:t>
      </w:r>
    </w:p>
    <w:p>
      <w:pPr>
        <w:ind w:left="709"/>
        <w:rPr>
          <w:noProof/>
        </w:rPr>
      </w:pPr>
      <w:r>
        <w:rPr>
          <w:noProof/>
        </w:rPr>
        <w:t>ii)</w:t>
      </w:r>
      <w:r>
        <w:rPr>
          <w:noProof/>
        </w:rPr>
        <w:tab/>
        <w:t>v bodě 4 se nadpis a první odrážka nahrazují tímto:</w:t>
      </w:r>
    </w:p>
    <w:p>
      <w:pPr>
        <w:ind w:left="720" w:hanging="720"/>
        <w:rPr>
          <w:noProof/>
        </w:rPr>
      </w:pPr>
      <w:r>
        <w:rPr>
          <w:noProof/>
        </w:rPr>
        <w:t>„4.</w:t>
      </w:r>
      <w:r>
        <w:rPr>
          <w:noProof/>
        </w:rPr>
        <w:tab/>
        <w:t>PODÍL TĚŽKÝCH VOZIDEL NA PROVOZU, KOEFICIENTY EKVIVALENCE A OPRAVNÝ MECHANISMUS</w:t>
      </w:r>
    </w:p>
    <w:p>
      <w:pPr>
        <w:ind w:left="720" w:hanging="720"/>
        <w:rPr>
          <w:noProof/>
        </w:rPr>
      </w:pPr>
      <w:r>
        <w:rPr>
          <w:noProof/>
        </w:rPr>
        <w:t>–</w:t>
      </w:r>
      <w:r>
        <w:rPr>
          <w:noProof/>
        </w:rPr>
        <w:tab/>
        <w:t>Výpočet mýtného se zakládá na skutečném nebo předpokládaném podílu těžkých vozidel na vozokilometrech, v případě potřeby upravených s použitím koeficientů ekvivalence, aby se řádně zohlednily zvýšené náklady na výstavbu a opravu pozemních komunikací pro použití těžkými vozidly.“;</w:t>
      </w:r>
    </w:p>
    <w:p>
      <w:pPr>
        <w:rPr>
          <w:noProof/>
        </w:rPr>
      </w:pPr>
      <w:r>
        <w:rPr>
          <w:noProof/>
        </w:rPr>
        <w:t>c)</w:t>
      </w:r>
      <w:r>
        <w:rPr>
          <w:noProof/>
        </w:rPr>
        <w:tab/>
        <w:t>příloha IIIa se nahrazuje tímto:</w:t>
      </w:r>
    </w:p>
    <w:p>
      <w:pPr>
        <w:pStyle w:val="Annexetitreacte"/>
        <w:rPr>
          <w:noProof/>
        </w:rPr>
      </w:pPr>
      <w:r>
        <w:rPr>
          <w:noProof/>
        </w:rPr>
        <w:t>„PŘÍLOHA IIIa</w:t>
      </w:r>
    </w:p>
    <w:p>
      <w:pPr>
        <w:pStyle w:val="ManualHeading1"/>
        <w:ind w:left="851" w:hanging="851"/>
        <w:rPr>
          <w:noProof/>
        </w:rPr>
      </w:pPr>
      <w:r>
        <w:rPr>
          <w:i/>
          <w:noProof/>
        </w:rPr>
        <w:t>MINIMÁLNÍ POŽADAVKY PRO STANOVENÍ POPLATKU ZA EXTERNÍ NÁKLADY</w:t>
      </w:r>
    </w:p>
    <w:p>
      <w:pPr>
        <w:rPr>
          <w:noProof/>
        </w:rPr>
      </w:pPr>
      <w:r>
        <w:rPr>
          <w:noProof/>
        </w:rPr>
        <w:t>V této příloze jsou stanoveny minimální požadavky pro stanovení poplatku za externí náklady a pro případný výpočet maximálního poplatku za externí náklady.</w:t>
      </w:r>
    </w:p>
    <w:p>
      <w:pPr>
        <w:pStyle w:val="ManualHeading2"/>
        <w:ind w:left="851" w:hanging="851"/>
        <w:rPr>
          <w:noProof/>
        </w:rPr>
      </w:pPr>
      <w:r>
        <w:rPr>
          <w:noProof/>
        </w:rPr>
        <w:t>1.</w:t>
      </w:r>
      <w:r>
        <w:rPr>
          <w:noProof/>
        </w:rPr>
        <w:tab/>
      </w:r>
      <w:r>
        <w:rPr>
          <w:i/>
          <w:noProof/>
        </w:rPr>
        <w:t>Příslušné části silniční sítě</w:t>
      </w:r>
    </w:p>
    <w:p>
      <w:pPr>
        <w:rPr>
          <w:noProof/>
        </w:rPr>
      </w:pPr>
      <w:r>
        <w:rPr>
          <w:noProof/>
        </w:rPr>
        <w:t>Členský stát upřesní část nebo části své silniční sítě, na které se má vztahovat poplatek za externí náklady.</w:t>
      </w:r>
    </w:p>
    <w:p>
      <w:pPr>
        <w:rPr>
          <w:noProof/>
        </w:rPr>
      </w:pPr>
      <w:r>
        <w:rPr>
          <w:noProof/>
        </w:rPr>
        <w:t>Pokud chce členský stát stanovit poplatek za externí náklady pouze na část nebo části silniční sítě tvořené jeho dílem transevropské sítě a jeho dálnicemi, musí být tato část nebo části vybrány na základě posouzení, ze kterého vyplývá, že:</w:t>
      </w:r>
    </w:p>
    <w:p>
      <w:pPr>
        <w:pStyle w:val="Tiret0"/>
        <w:numPr>
          <w:ilvl w:val="0"/>
          <w:numId w:val="5"/>
        </w:numPr>
        <w:ind w:left="851"/>
        <w:rPr>
          <w:noProof/>
        </w:rPr>
      </w:pPr>
      <w:r>
        <w:rPr>
          <w:noProof/>
        </w:rPr>
        <w:t xml:space="preserve">užívání vozidel na pozemních komunikacích, na nichž se uplatňuje poplatek za externí náklady, působí větší škody na životním prostředí, než jsou průměrné způsobené škody, které se posoudí </w:t>
      </w:r>
      <w:r>
        <w:rPr>
          <w:noProof/>
          <w:color w:val="FF0000"/>
        </w:rPr>
        <w:t>podle zpráv o kvalitě ovzduší, národních emisních inventur, objemu dopravy a v případě hluku podle směrnice 2002/49/ES</w:t>
      </w:r>
      <w:r>
        <w:rPr>
          <w:noProof/>
        </w:rPr>
        <w:t>, nebo</w:t>
      </w:r>
    </w:p>
    <w:p>
      <w:pPr>
        <w:pStyle w:val="Tiret0"/>
        <w:ind w:left="851"/>
        <w:rPr>
          <w:noProof/>
        </w:rPr>
      </w:pPr>
      <w:r>
        <w:rPr>
          <w:noProof/>
        </w:rPr>
        <w:t>uložení poplatku za externí náklady na jiné části silniční sítě tohoto typu by mohlo mít nepříznivý dopad na životní prostředí nebo bezpečnost silničního provozu nebo by stanovení a výběr poplatku za externí náklady na tyto části sítě vyžadovaly neúměrné náklady.</w:t>
      </w:r>
    </w:p>
    <w:p>
      <w:pPr>
        <w:pStyle w:val="ManualHeading2"/>
        <w:ind w:left="851" w:hanging="851"/>
        <w:rPr>
          <w:noProof/>
        </w:rPr>
      </w:pPr>
      <w:r>
        <w:rPr>
          <w:noProof/>
        </w:rPr>
        <w:t>2.</w:t>
      </w:r>
      <w:r>
        <w:rPr>
          <w:noProof/>
        </w:rPr>
        <w:tab/>
      </w:r>
      <w:r>
        <w:rPr>
          <w:i/>
          <w:noProof/>
        </w:rPr>
        <w:t>Příslušná vozidla, pozemní komunikace a období</w:t>
      </w:r>
    </w:p>
    <w:p>
      <w:pPr>
        <w:rPr>
          <w:noProof/>
        </w:rPr>
      </w:pPr>
      <w:r>
        <w:rPr>
          <w:noProof/>
        </w:rPr>
        <w:t>Pokud chce členský stát použít vyšší poplatky za externí náklady, než jsou referenční hodnoty uvedené v příloze IIIb, oznámí Komisi klasifikaci vozidel, podle které se budou poplatky za externí náklady rozlišovat. Komisi rovněž oznámí polohu pozemních komunikací, na které se vztahují vyšší poplatky za externí náklady (dále jen „příměstské komunikace (včetně dálnic)“), a komunikací, na které se vztahují nižší poplatky za externí náklady (dále jen „meziměstské komunikace (včetně dálnic)“).</w:t>
      </w:r>
    </w:p>
    <w:p>
      <w:pPr>
        <w:rPr>
          <w:noProof/>
        </w:rPr>
      </w:pPr>
      <w:r>
        <w:rPr>
          <w:noProof/>
        </w:rPr>
        <w:t>Členský stát popřípadě Komisi rovněž oznámí přesné doby odpovídající noční době, během nichž je možné ukládat vyšší poplatek za externí náklady související s hlukem, aby se zohlednilo větší obtěžování hlukem.</w:t>
      </w:r>
    </w:p>
    <w:p>
      <w:pPr>
        <w:rPr>
          <w:noProof/>
        </w:rPr>
      </w:pPr>
      <w:r>
        <w:rPr>
          <w:noProof/>
        </w:rPr>
        <w:t>Klasifikace pozemních komunikací jako příměstských komunikací (včetně dálnic) a meziměstských komunikací (včetně dálnic) a vymezení období musí vycházet z objektivních kritérií, která s mírou působení znečištění a hluku na silnice a jejich okolí souvisejí, jako jsou hustota osídlení, roční průměrné znečištění ovzduší (zejména částicemi PM</w:t>
      </w:r>
      <w:r>
        <w:rPr>
          <w:noProof/>
          <w:vertAlign w:val="subscript"/>
        </w:rPr>
        <w:t>10</w:t>
      </w:r>
      <w:r>
        <w:rPr>
          <w:noProof/>
        </w:rPr>
        <w:t xml:space="preserve"> a emisemi NO</w:t>
      </w:r>
      <w:r>
        <w:rPr>
          <w:noProof/>
          <w:vertAlign w:val="subscript"/>
        </w:rPr>
        <w:t>2</w:t>
      </w:r>
      <w:r>
        <w:rPr>
          <w:noProof/>
        </w:rPr>
        <w:t>) a počet dnů (pro PM</w:t>
      </w:r>
      <w:r>
        <w:rPr>
          <w:noProof/>
          <w:vertAlign w:val="subscript"/>
        </w:rPr>
        <w:t>10</w:t>
      </w:r>
      <w:r>
        <w:rPr>
          <w:noProof/>
        </w:rPr>
        <w:t>) a hodin (pro NO</w:t>
      </w:r>
      <w:r>
        <w:rPr>
          <w:noProof/>
          <w:vertAlign w:val="subscript"/>
        </w:rPr>
        <w:t>2</w:t>
      </w:r>
      <w:r>
        <w:rPr>
          <w:noProof/>
        </w:rPr>
        <w:t>), po které jsou překračovány mezní hodnoty stanovené směrnicí 2008/50/ES. Tato kritéria musí být uvedena v oznámení.</w:t>
      </w:r>
    </w:p>
    <w:p>
      <w:pPr>
        <w:pStyle w:val="ManualHeading2"/>
        <w:ind w:left="851" w:hanging="851"/>
        <w:rPr>
          <w:noProof/>
        </w:rPr>
      </w:pPr>
      <w:r>
        <w:rPr>
          <w:noProof/>
        </w:rPr>
        <w:t>3.</w:t>
      </w:r>
      <w:r>
        <w:rPr>
          <w:noProof/>
        </w:rPr>
        <w:tab/>
      </w:r>
      <w:r>
        <w:rPr>
          <w:i/>
          <w:noProof/>
        </w:rPr>
        <w:t>Výše poplatku</w:t>
      </w:r>
    </w:p>
    <w:p>
      <w:pPr>
        <w:rPr>
          <w:rFonts w:eastAsia="Arial Unicode MS"/>
          <w:noProof/>
        </w:rPr>
      </w:pPr>
      <w:r>
        <w:rPr>
          <w:noProof/>
        </w:rPr>
        <w:t>Tento oddíl se vztahuje na situace, kdy chce členský stát použít vyšší poplatky za externí náklady, než jsou referenční hodnoty uvedené v příloze IIIb.</w:t>
      </w:r>
    </w:p>
    <w:p>
      <w:pPr>
        <w:rPr>
          <w:noProof/>
        </w:rPr>
      </w:pPr>
      <w:r>
        <w:rPr>
          <w:noProof/>
        </w:rPr>
        <w:t>Pro každou třídu vozidel, typ komunikace a období určí členský stát nebo případně nezávislý orgán jedinou konkrétní částku. Výsledná struktura poplatků musí být transparentní, zveřejněná a dostupná všem uživatelům za stejných podmínek. Zveřejnění by mělo být provedeno včas před zavedením. Všechny parametry, údaje a další informace nezbytné k pochopení způsobu výpočtu jednotlivých složek externích nákladů musí být zveřejněny.</w:t>
      </w:r>
    </w:p>
    <w:p>
      <w:pPr>
        <w:rPr>
          <w:noProof/>
        </w:rPr>
      </w:pPr>
      <w:r>
        <w:rPr>
          <w:noProof/>
        </w:rPr>
        <w:t>Při stanovení poplatků se členský stát nebo případně nezávislý orgán řídí zásadou účinného stanovení cen, tedy ceny, která se blíží sociálním mezním nákladům na používání zpoplatněného vozidla.</w:t>
      </w:r>
    </w:p>
    <w:p>
      <w:pPr>
        <w:rPr>
          <w:noProof/>
        </w:rPr>
      </w:pPr>
      <w:r>
        <w:rPr>
          <w:noProof/>
        </w:rPr>
        <w:t>Poplatek se stanoví poté, co se zohlední rizika v souvislosti s odkláněním provozu společně s nepříznivými dopady na bezpečnost silničního provozu, životní prostředí a kongesci, jakož i řešení ke zmírnění těchto rizik.</w:t>
      </w:r>
    </w:p>
    <w:p>
      <w:pPr>
        <w:rPr>
          <w:noProof/>
        </w:rPr>
      </w:pPr>
      <w:r>
        <w:rPr>
          <w:noProof/>
        </w:rPr>
        <w:t>Členský stát nebo případně nezávislý orgán pak musí sledovat účinnost systému pro výběr poplatků při snižování škod na životním prostředí způsobených silniční dopravou. Každé dva roky případně upraví v závislosti na změnách nabídky a poptávky v dopravě strukturu poplatků a konkrétní částku poplatku stanovenou pro jednotlivé třídy vozidel, typy pozemních komunikací a období.</w:t>
      </w:r>
    </w:p>
    <w:p>
      <w:pPr>
        <w:pStyle w:val="ManualHeading3"/>
        <w:rPr>
          <w:i w:val="0"/>
          <w:iCs/>
          <w:noProof/>
        </w:rPr>
      </w:pPr>
      <w:r>
        <w:rPr>
          <w:b/>
          <w:noProof/>
        </w:rPr>
        <w:t>4.</w:t>
      </w:r>
      <w:r>
        <w:rPr>
          <w:noProof/>
        </w:rPr>
        <w:tab/>
      </w:r>
      <w:r>
        <w:rPr>
          <w:b/>
          <w:i w:val="0"/>
          <w:noProof/>
        </w:rPr>
        <w:t>Složky externích nákladů</w:t>
      </w:r>
      <w:r>
        <w:rPr>
          <w:i w:val="0"/>
          <w:noProof/>
        </w:rPr>
        <w:t xml:space="preserve"> </w:t>
      </w:r>
    </w:p>
    <w:p>
      <w:pPr>
        <w:pStyle w:val="ManualHeading3"/>
        <w:rPr>
          <w:noProof/>
        </w:rPr>
      </w:pPr>
      <w:r>
        <w:rPr>
          <w:noProof/>
        </w:rPr>
        <w:t>4.1</w:t>
      </w:r>
      <w:r>
        <w:rPr>
          <w:noProof/>
        </w:rPr>
        <w:tab/>
        <w:t>Náklady v důsledku znečištění ovzduší provozem</w:t>
      </w:r>
    </w:p>
    <w:p>
      <w:pPr>
        <w:rPr>
          <w:noProof/>
        </w:rPr>
      </w:pPr>
      <w:r>
        <w:rPr>
          <w:noProof/>
        </w:rPr>
        <w:t>Pokud chce členský stát použít vyšší poplatky za externí náklady, než jsou referenční hodnoty uvedené v příloze IIIb, vypočte členský stát nebo případně nezávislý orgán účtovatelné náklady v důsledku znečištění ovzduší provozem podle tohoto vzorce:</w:t>
      </w:r>
    </w:p>
    <w:p>
      <w:pPr>
        <w:rPr>
          <w:noProof/>
        </w:rPr>
      </w:pPr>
      <w:r>
        <w:rPr>
          <w:noProof/>
          <w:lang w:val="en-US" w:eastAsia="en-US" w:bidi="ar-SA"/>
        </w:rPr>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r>
        <w:rPr>
          <w:noProof/>
          <w:sz w:val="20"/>
        </w:rPr>
        <w:t>,</w:t>
      </w:r>
    </w:p>
    <w:p>
      <w:pPr>
        <w:rPr>
          <w:noProof/>
        </w:rPr>
      </w:pPr>
      <w:r>
        <w:rPr>
          <w:noProof/>
        </w:rPr>
        <w:t>kde:</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náklady v důsledku znečištění ovzduší třídou vozidel „i“ na pozemní komunikaci typu „j“ (EUR/vozokilometr),</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emisní faktor znečišťující látky „k“ a třídy vozidel „i“ (gram/vozokilometr),</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peněžní náklady znečišťující látky „k“ na pozemní komunikaci typu „j“ (EUR/gram).</w:t>
            </w:r>
          </w:p>
        </w:tc>
      </w:tr>
    </w:tbl>
    <w:p>
      <w:pPr>
        <w:rPr>
          <w:noProof/>
        </w:rPr>
      </w:pPr>
    </w:p>
    <w:p>
      <w:pPr>
        <w:rPr>
          <w:noProof/>
        </w:rPr>
      </w:pPr>
      <w:r>
        <w:rPr>
          <w:noProof/>
        </w:rPr>
        <w:t>Emisní faktory jsou shodné s faktory, které členský stát používá při vypracování národních emisních inventur stanovených ve směrnici Evropského parlamentu a Rady (EU) 2016/2284 o snížení národních emisí některých látek znečisťujících ovzduší* (jež vyžaduje použití příručky EMEP/EEA pro inventury emisí látek znečišťujících ovzduší**). Peněžní náklady znečišťujících látek odhadne tento členský stát nebo případně nezávislý orgán podle čl. 7c odst. 4 pomocí vědecky doložených metod.</w:t>
      </w:r>
    </w:p>
    <w:p>
      <w:pPr>
        <w:rPr>
          <w:noProof/>
        </w:rPr>
      </w:pPr>
      <w:r>
        <w:rPr>
          <w:noProof/>
        </w:rPr>
        <w:t>Členský stát nebo případně nezávislý orgán může používat alternativní vědecky doložené metody výpočtu hodnoty nákladů v důsledku znečištění ovzduší a využít údaje z měření látek znečišťujících ovzduší a místní hodnotu peněžních nákladů látek znečišťujících ovzduší.</w:t>
      </w:r>
    </w:p>
    <w:p>
      <w:pPr>
        <w:pStyle w:val="ManualHeading3"/>
        <w:rPr>
          <w:noProof/>
        </w:rPr>
      </w:pPr>
      <w:r>
        <w:rPr>
          <w:noProof/>
        </w:rPr>
        <w:t>4.2</w:t>
      </w:r>
      <w:r>
        <w:rPr>
          <w:noProof/>
        </w:rPr>
        <w:tab/>
        <w:t>Náklady v důsledku hluku z provozu</w:t>
      </w:r>
    </w:p>
    <w:p>
      <w:pPr>
        <w:rPr>
          <w:noProof/>
        </w:rPr>
      </w:pPr>
      <w:r>
        <w:rPr>
          <w:noProof/>
        </w:rPr>
        <w:t>Pokud chce členský stát použít vyšší poplatky za externí náklady, než jsou referenční hodnoty uvedené v příloze IIIb, vypočte členský stát nebo případně nezávislý orgán účtovatelné náklady v důsledku hluku podle těchto vzorců:</w:t>
      </w:r>
    </w:p>
    <w:p>
      <w:pPr>
        <w:rPr>
          <w:noProof/>
        </w:rPr>
      </w:pPr>
      <w:r>
        <w:rPr>
          <w:noProof/>
          <w:lang w:val="en-US" w:eastAsia="en-US" w:bidi="ar-SA"/>
        </w:rPr>
        <w:drawing>
          <wp:inline distT="0" distB="0" distL="0" distR="0">
            <wp:extent cx="2829600" cy="104400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9600" cy="1044000"/>
                    </a:xfrm>
                    <a:prstGeom prst="rect">
                      <a:avLst/>
                    </a:prstGeom>
                    <a:noFill/>
                    <a:ln>
                      <a:noFill/>
                    </a:ln>
                  </pic:spPr>
                </pic:pic>
              </a:graphicData>
            </a:graphic>
          </wp:inline>
        </w:drawing>
      </w:r>
    </w:p>
    <w:p>
      <w:pPr>
        <w:rPr>
          <w:noProof/>
        </w:rPr>
      </w:pPr>
      <w:r>
        <w:rPr>
          <w:noProof/>
        </w:rPr>
        <w:t>kde:</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náklady v důsledku hluku jednoho těžkého nákladního vozidla na pozemní komunikaci typu „j“ (EUR/vozokilometr),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náklady v důsledku hluku na osobu vystavenou hladině hluku „k“ na pozemní komunikaci typu „j“ (EUR/osobu),</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počet obyvatel vystavených denní hladině hluku „k“ na kilometr (osoba/kilometr),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vážená průměrná denní hustota provozu (v ekvivalentech osobních automobilů),</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a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váhové faktory stanovené členským státem tak, že výsledný vážený průměrný poplatek za hluk za vozokilometr odpovídá NCV</w:t>
            </w:r>
            <w:r>
              <w:rPr>
                <w:noProof/>
                <w:vertAlign w:val="subscript"/>
              </w:rPr>
              <w:t>j</w:t>
            </w:r>
            <w:r>
              <w:rPr>
                <w:noProof/>
              </w:rPr>
              <w:t xml:space="preserve"> (denní).</w:t>
            </w:r>
          </w:p>
        </w:tc>
      </w:tr>
    </w:tbl>
    <w:p>
      <w:pPr>
        <w:rPr>
          <w:noProof/>
        </w:rPr>
      </w:pPr>
    </w:p>
    <w:p>
      <w:pPr>
        <w:rPr>
          <w:noProof/>
        </w:rPr>
      </w:pPr>
      <w:r>
        <w:rPr>
          <w:noProof/>
        </w:rPr>
        <w:t>Hluk z provozu se vztahuje k dopadu hluku na zdraví obyvatelstva v blízkosti pozemní komunikace.</w:t>
      </w:r>
    </w:p>
    <w:p>
      <w:pPr>
        <w:rPr>
          <w:noProof/>
        </w:rPr>
      </w:pPr>
      <w:r>
        <w:rPr>
          <w:noProof/>
        </w:rPr>
        <w:t>Počet obyvatel vystavených hladině hluku „k“ se určí podle strategických hlukových map vypracovaných podle článku 7 směrnice Evropského parlamentu a Rady 2002/49/ES***.</w:t>
      </w:r>
    </w:p>
    <w:p>
      <w:pPr>
        <w:rPr>
          <w:noProof/>
        </w:rPr>
      </w:pPr>
      <w:r>
        <w:rPr>
          <w:noProof/>
        </w:rPr>
        <w:t>Náklady na osobu vystavenou hladině hluku „k“ odhadne členský stát nebo případně nezávislý orgán pomocí vědecky doložených metod.</w:t>
      </w:r>
    </w:p>
    <w:p>
      <w:pPr>
        <w:rPr>
          <w:noProof/>
        </w:rPr>
      </w:pPr>
      <w:r>
        <w:rPr>
          <w:noProof/>
        </w:rPr>
        <w:t>Pro váženou průměrnou denní hustotu provozu se uplatní koeficient ekvivalence „e“ mezi těžkými nákladními vozidly a osobními automobily odvozený z hladin emise hluku průměrného osobního automobilu a průměrného těžkého nákladního vozidla, s ohledem na nařízení Evropského parlamentu a Rady (EU) č. 540/2014 ze dne 16. dubna 2014 o hladině akustického tlaku motorových vozidel a náhradních systémů tlumení hluku a o změně směrnice 2007/46/ES a o zrušení směrnice 70/157/EHS.</w:t>
      </w:r>
    </w:p>
    <w:p>
      <w:pPr>
        <w:rPr>
          <w:noProof/>
        </w:rPr>
      </w:pPr>
      <w:r>
        <w:rPr>
          <w:noProof/>
        </w:rPr>
        <w:t>Členský stát nebo případně nezávislý orgán může stanovit rozlišené poplatky za hluk s cílem odměnit využívání tišších vozidel, pokud to nepovede ke znevýhodnění zahraničních vozidel.</w:t>
      </w:r>
    </w:p>
    <w:p>
      <w:pPr>
        <w:rPr>
          <w:noProof/>
        </w:rPr>
      </w:pPr>
      <w:r>
        <w:rPr>
          <w:noProof/>
        </w:rPr>
        <w:t>_____________</w:t>
      </w:r>
    </w:p>
    <w:p>
      <w:pPr>
        <w:rPr>
          <w:noProof/>
        </w:rPr>
      </w:pPr>
      <w:r>
        <w:rPr>
          <w:noProof/>
        </w:rPr>
        <w:t>*</w:t>
      </w:r>
      <w:r>
        <w:rPr>
          <w:noProof/>
        </w:rPr>
        <w:tab/>
        <w:t xml:space="preserve">Směrnice Evropského parlamentu a Rady (EU) 2016/2284 ze dne 14. prosince 2016 o snížení národních emisí některých látek znečišťujících ovzduší, o změně směrnice 2003/35/ES a o zrušení směrnice 2001/81/ES (Úř. věst. L 344, 17.12.2016, s. 1). </w:t>
      </w:r>
    </w:p>
    <w:p>
      <w:pPr>
        <w:rPr>
          <w:noProof/>
        </w:rPr>
      </w:pPr>
      <w:r>
        <w:rPr>
          <w:noProof/>
        </w:rPr>
        <w:t>**</w:t>
      </w:r>
      <w:r>
        <w:rPr>
          <w:noProof/>
        </w:rPr>
        <w:tab/>
        <w:t>Metodika Evropské agentury pro životní prostředí: http://www.eea.europa.eu//publications/emep-eea-guidebook-2016.</w:t>
      </w:r>
    </w:p>
    <w:p>
      <w:pPr>
        <w:rPr>
          <w:noProof/>
        </w:rPr>
      </w:pPr>
      <w:r>
        <w:rPr>
          <w:noProof/>
        </w:rPr>
        <w:t>***</w:t>
      </w:r>
      <w:r>
        <w:rPr>
          <w:noProof/>
        </w:rPr>
        <w:tab/>
        <w:t>Směrnice Evropského parlamentu a Rady 2002/49/ES ze dne 25. června 2002 o hodnocení a řízení hluku ve venkovním prostředí (Úř. věst. L 189, 18.7.2002, s. 12).“;</w:t>
      </w:r>
    </w:p>
    <w:p>
      <w:pPr>
        <w:rPr>
          <w:noProof/>
        </w:rPr>
      </w:pPr>
    </w:p>
    <w:p>
      <w:pPr>
        <w:rPr>
          <w:noProof/>
        </w:rPr>
      </w:pPr>
      <w:r>
        <w:rPr>
          <w:noProof/>
        </w:rPr>
        <w:t>d)</w:t>
      </w:r>
      <w:r>
        <w:rPr>
          <w:noProof/>
        </w:rPr>
        <w:tab/>
        <w:t>příloha IIIb se nahrazuje tímto:</w:t>
      </w:r>
    </w:p>
    <w:p>
      <w:pPr>
        <w:pStyle w:val="Annexetitreacte"/>
        <w:rPr>
          <w:noProof/>
        </w:rPr>
      </w:pPr>
      <w:r>
        <w:rPr>
          <w:noProof/>
        </w:rPr>
        <w:t>„PŘÍLOHA IIIb</w:t>
      </w:r>
    </w:p>
    <w:p>
      <w:pPr>
        <w:pStyle w:val="NormalCentered"/>
        <w:rPr>
          <w:b/>
          <w:bCs/>
          <w:noProof/>
        </w:rPr>
      </w:pPr>
      <w:r>
        <w:rPr>
          <w:b/>
          <w:noProof/>
        </w:rPr>
        <w:t xml:space="preserve"> REFERENČNÍ HODNOTY POPLATKŮ ZA EXTERNÍ NÁKLADY</w:t>
      </w:r>
    </w:p>
    <w:p>
      <w:pPr>
        <w:rPr>
          <w:noProof/>
        </w:rPr>
      </w:pPr>
      <w:r>
        <w:rPr>
          <w:noProof/>
        </w:rPr>
        <w:t>V této příloze se stanoví referenční hodnoty poplatků za externí náklady, které zahrnují náklady vyvolané znečištěním ovzduší a hlukem.</w:t>
      </w:r>
    </w:p>
    <w:p>
      <w:pPr>
        <w:spacing w:before="100" w:beforeAutospacing="1" w:after="100" w:afterAutospacing="1"/>
        <w:ind w:left="800" w:hanging="400"/>
        <w:rPr>
          <w:rFonts w:eastAsia="Arial Unicode MS"/>
          <w:noProof/>
        </w:rPr>
      </w:pPr>
      <w:r>
        <w:rPr>
          <w:i/>
          <w:noProof/>
        </w:rPr>
        <w:t>Tabulka 1:</w:t>
      </w:r>
      <w:r>
        <w:rPr>
          <w:noProof/>
        </w:rPr>
        <w:t>  </w:t>
      </w:r>
      <w:r>
        <w:rPr>
          <w:i/>
          <w:noProof/>
        </w:rPr>
        <w:t>Referenční hodnoty poplatků za externí náklady pro těžká nákladní vozidla</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3117"/>
        <w:gridCol w:w="1703"/>
        <w:gridCol w:w="1533"/>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Třída vozidla</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Cent/vozokilometr</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 xml:space="preserve">Příměstské </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 xml:space="preserve">Meziměstské </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Těžké nákladní vozidlo s maximální přípustnou hmotností naloženého vozidla </w:t>
            </w:r>
          </w:p>
          <w:p>
            <w:pPr>
              <w:spacing w:before="100" w:beforeAutospacing="1" w:after="100" w:afterAutospacing="1"/>
              <w:rPr>
                <w:noProof/>
              </w:rPr>
            </w:pPr>
            <w:r>
              <w:rPr>
                <w:noProof/>
              </w:rPr>
              <w:t>do 14 tun</w:t>
            </w:r>
          </w:p>
          <w:p>
            <w:pPr>
              <w:spacing w:before="100" w:beforeAutospacing="1" w:after="100" w:afterAutospacing="1"/>
              <w:rPr>
                <w:noProof/>
              </w:rPr>
            </w:pPr>
            <w:r>
              <w:rPr>
                <w:noProof/>
              </w:rPr>
              <w:t>nebo se dvěma nápravami</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Vozidla znečišťující méně než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Těžké nákladní vozidlo s maximální přípustnou hmotností naloženého vozidla </w:t>
            </w:r>
          </w:p>
          <w:p>
            <w:pPr>
              <w:spacing w:before="100" w:beforeAutospacing="1" w:after="100" w:afterAutospacing="1"/>
              <w:rPr>
                <w:noProof/>
              </w:rPr>
            </w:pPr>
            <w:r>
              <w:rPr>
                <w:noProof/>
              </w:rPr>
              <w:t xml:space="preserve">14 až 28 tun </w:t>
            </w:r>
          </w:p>
          <w:p>
            <w:pPr>
              <w:spacing w:before="100" w:beforeAutospacing="1" w:after="100" w:afterAutospacing="1"/>
              <w:rPr>
                <w:noProof/>
              </w:rPr>
            </w:pPr>
            <w:r>
              <w:rPr>
                <w:noProof/>
              </w:rPr>
              <w:t>nebo se třemi nápravami</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Vozidla znečišťující méně než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Těžké nákladní vozidlo s maximální přípustnou hmotností naloženého vozidla </w:t>
            </w:r>
          </w:p>
          <w:p>
            <w:pPr>
              <w:spacing w:before="100" w:beforeAutospacing="1" w:after="100" w:afterAutospacing="1"/>
              <w:rPr>
                <w:noProof/>
              </w:rPr>
            </w:pPr>
            <w:r>
              <w:rPr>
                <w:noProof/>
              </w:rPr>
              <w:t xml:space="preserve">28 až 40 tun </w:t>
            </w:r>
          </w:p>
          <w:p>
            <w:pPr>
              <w:spacing w:before="100" w:beforeAutospacing="1" w:after="100" w:afterAutospacing="1"/>
              <w:rPr>
                <w:noProof/>
              </w:rPr>
            </w:pPr>
            <w:r>
              <w:rPr>
                <w:noProof/>
              </w:rPr>
              <w:t>nebo se čtyřmi nápravami</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Vozidla znečišťující méně než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Těžké nákladní vozidlo s maximální přípustnou hmotností naloženého vozidla </w:t>
            </w:r>
          </w:p>
          <w:p>
            <w:pPr>
              <w:spacing w:before="100" w:beforeAutospacing="1" w:after="100" w:afterAutospacing="1"/>
              <w:rPr>
                <w:noProof/>
              </w:rPr>
            </w:pPr>
            <w:r>
              <w:rPr>
                <w:noProof/>
              </w:rPr>
              <w:t xml:space="preserve">nad 40 tun </w:t>
            </w:r>
          </w:p>
          <w:p>
            <w:pPr>
              <w:spacing w:before="100" w:beforeAutospacing="1" w:after="100" w:afterAutospacing="1"/>
              <w:rPr>
                <w:noProof/>
              </w:rPr>
            </w:pPr>
            <w:r>
              <w:rPr>
                <w:noProof/>
              </w:rPr>
              <w:t>nebo s pěti a více nápravami</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Vozidla znečišťující méně než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 xml:space="preserve">(1) </w:t>
      </w:r>
      <w:r>
        <w:rPr>
          <w:noProof/>
        </w:rPr>
        <w:t>„Příměstské“ = oblasti s hustotou osídlení 150 až 900 obyvatel/km</w:t>
      </w:r>
      <w:r>
        <w:rPr>
          <w:noProof/>
          <w:vertAlign w:val="superscript"/>
        </w:rPr>
        <w:t>2</w:t>
      </w:r>
      <w:r>
        <w:rPr>
          <w:noProof/>
        </w:rPr>
        <w:t xml:space="preserve"> (medián hustoty osídlení 300 obyvatel/km</w:t>
      </w:r>
      <w:r>
        <w:rPr>
          <w:noProof/>
          <w:vertAlign w:val="superscript"/>
        </w:rPr>
        <w:t>2</w:t>
      </w:r>
      <w:r>
        <w:rPr>
          <w:noProof/>
        </w:rPr>
        <w:t>).</w:t>
      </w:r>
    </w:p>
    <w:p>
      <w:pPr>
        <w:rPr>
          <w:rFonts w:eastAsia="Arial Unicode MS"/>
          <w:noProof/>
          <w:szCs w:val="24"/>
        </w:rPr>
      </w:pPr>
      <w:r>
        <w:rPr>
          <w:noProof/>
          <w:vertAlign w:val="superscript"/>
        </w:rPr>
        <w:t>(2)</w:t>
      </w:r>
      <w:r>
        <w:rPr>
          <w:noProof/>
        </w:rPr>
        <w:tab/>
        <w:t>„Meziměstské“ = oblasti s hustotou osídlení nižší než 150 obyvatel/km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Tabulka 2: Referenční hodnoty poplatků za externí náklady pro autokary</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3"/>
        <w:gridCol w:w="3109"/>
        <w:gridCol w:w="1709"/>
        <w:gridCol w:w="1519"/>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Třída vozidla</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Cent/vozokilometr</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 xml:space="preserve">Příměstské </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 xml:space="preserve">Meziměstské </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Autokar s maximální přípustnou hmotností naloženého vozidla 18 tun</w:t>
            </w:r>
          </w:p>
          <w:p>
            <w:pPr>
              <w:spacing w:before="100" w:beforeAutospacing="1" w:after="100" w:afterAutospacing="1"/>
              <w:rPr>
                <w:noProof/>
              </w:rPr>
            </w:pPr>
            <w:r>
              <w:rPr>
                <w:noProof/>
              </w:rPr>
              <w:t>nebo se dvěma nápravami</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Vozidla znečišťující méně než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Autokar s maximální přípustnou hmotností naloženého vozidla nad 18 tun</w:t>
            </w:r>
          </w:p>
          <w:p>
            <w:pPr>
              <w:spacing w:before="100" w:beforeAutospacing="1" w:after="100" w:afterAutospacing="1"/>
              <w:rPr>
                <w:noProof/>
              </w:rPr>
            </w:pPr>
            <w:r>
              <w:rPr>
                <w:noProof/>
              </w:rPr>
              <w:t>nebo se třemi a více nápravami</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Vozidla znečišťující méně než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 xml:space="preserve">(1) </w:t>
      </w:r>
      <w:r>
        <w:rPr>
          <w:noProof/>
        </w:rPr>
        <w:t>„Příměstské“ = oblasti s hustotou osídlení 150 až 900 obyvatel/km</w:t>
      </w:r>
      <w:r>
        <w:rPr>
          <w:noProof/>
          <w:vertAlign w:val="superscript"/>
        </w:rPr>
        <w:t>2</w:t>
      </w:r>
      <w:r>
        <w:rPr>
          <w:noProof/>
        </w:rPr>
        <w:t xml:space="preserve"> (medián hustoty osídlení 300 obyvatel/km</w:t>
      </w:r>
      <w:r>
        <w:rPr>
          <w:noProof/>
          <w:vertAlign w:val="superscript"/>
        </w:rPr>
        <w:t>2</w:t>
      </w:r>
      <w:r>
        <w:rPr>
          <w:noProof/>
        </w:rPr>
        <w:t>).</w:t>
      </w:r>
    </w:p>
    <w:p>
      <w:pPr>
        <w:rPr>
          <w:noProof/>
        </w:rPr>
      </w:pPr>
      <w:r>
        <w:rPr>
          <w:noProof/>
          <w:vertAlign w:val="superscript"/>
        </w:rPr>
        <w:t xml:space="preserve">(2) </w:t>
      </w:r>
      <w:r>
        <w:rPr>
          <w:noProof/>
        </w:rPr>
        <w:t>„Meziměstské“ = oblasti s hustotou osídlení nižší než 150 obyvatel/km</w:t>
      </w:r>
      <w:r>
        <w:rPr>
          <w:noProof/>
          <w:vertAlign w:val="superscript"/>
        </w:rPr>
        <w:t>2</w:t>
      </w:r>
      <w:r>
        <w:rPr>
          <w:noProof/>
        </w:rPr>
        <w:t>.</w:t>
      </w:r>
    </w:p>
    <w:p>
      <w:pPr>
        <w:rPr>
          <w:noProof/>
        </w:rPr>
      </w:pPr>
    </w:p>
    <w:p>
      <w:pPr>
        <w:rPr>
          <w:noProof/>
        </w:rPr>
      </w:pPr>
      <w:r>
        <w:rPr>
          <w:noProof/>
        </w:rPr>
        <w:t>V horských oblastech a v okolí aglomerací je v míře odůvodněné nižším rozptylem, sklonem komunikace, nadmořskou výškou nebo teplotní inverzí možno hodnoty v tabulkách 1 a 2 vynásobit koeficientem až ve výši 2.“;</w:t>
      </w:r>
    </w:p>
    <w:p>
      <w:pPr>
        <w:rPr>
          <w:noProof/>
        </w:rPr>
      </w:pPr>
    </w:p>
    <w:p>
      <w:pPr>
        <w:rPr>
          <w:noProof/>
        </w:rPr>
      </w:pPr>
      <w:r>
        <w:rPr>
          <w:noProof/>
        </w:rPr>
        <w:t>e)</w:t>
      </w:r>
      <w:r>
        <w:rPr>
          <w:noProof/>
        </w:rPr>
        <w:tab/>
        <w:t>v příloze IV se tabulka s nadpisem „Jízdní soupravy (kloubová vozidla a vozové soupravy)“ nahrazuje tímto:</w:t>
      </w:r>
    </w:p>
    <w:p>
      <w:pPr>
        <w:pStyle w:val="ManualHeading1"/>
        <w:ind w:left="851" w:hanging="851"/>
        <w:rPr>
          <w:noProof/>
        </w:rPr>
      </w:pPr>
      <w:r>
        <w:rPr>
          <w:noProof/>
        </w:rPr>
        <w:t>„Jízdní soupravy (kloubová vozidla a vozové soupravy)</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Hnací nápravy s pneumatickým zavěšením nebo zavěšením uznávaným za rovnocenné</w:t>
            </w:r>
          </w:p>
        </w:tc>
        <w:tc>
          <w:tcPr>
            <w:tcW w:w="3808" w:type="dxa"/>
            <w:gridSpan w:val="4"/>
          </w:tcPr>
          <w:p>
            <w:pPr>
              <w:jc w:val="center"/>
              <w:rPr>
                <w:noProof/>
              </w:rPr>
            </w:pPr>
            <w:r>
              <w:rPr>
                <w:noProof/>
              </w:rPr>
              <w:t>Jiné systémy zavěšení hnacích náprav</w:t>
            </w:r>
          </w:p>
        </w:tc>
        <w:tc>
          <w:tcPr>
            <w:tcW w:w="1671" w:type="dxa"/>
            <w:gridSpan w:val="2"/>
          </w:tcPr>
          <w:p>
            <w:pPr>
              <w:jc w:val="center"/>
              <w:rPr>
                <w:noProof/>
              </w:rPr>
            </w:pPr>
            <w:r>
              <w:rPr>
                <w:noProof/>
              </w:rPr>
              <w:t>Stupeň poškození</w:t>
            </w:r>
          </w:p>
        </w:tc>
      </w:tr>
      <w:tr>
        <w:trPr>
          <w:gridAfter w:val="1"/>
          <w:wAfter w:w="36" w:type="dxa"/>
        </w:trPr>
        <w:tc>
          <w:tcPr>
            <w:tcW w:w="3807" w:type="dxa"/>
            <w:gridSpan w:val="4"/>
          </w:tcPr>
          <w:p>
            <w:pPr>
              <w:jc w:val="center"/>
              <w:rPr>
                <w:noProof/>
              </w:rPr>
            </w:pPr>
            <w:r>
              <w:rPr>
                <w:noProof/>
              </w:rPr>
              <w:t>Počet náprav a maximální přípustná hmotnost naloženého vozidla (v tunách)</w:t>
            </w:r>
          </w:p>
        </w:tc>
        <w:tc>
          <w:tcPr>
            <w:tcW w:w="3808" w:type="dxa"/>
            <w:gridSpan w:val="4"/>
          </w:tcPr>
          <w:p>
            <w:pPr>
              <w:jc w:val="center"/>
              <w:rPr>
                <w:noProof/>
              </w:rPr>
            </w:pPr>
            <w:r>
              <w:rPr>
                <w:noProof/>
              </w:rPr>
              <w:t>Počet náprav a maximální přípustná hmotnost naloženého vozidla (v tunách)</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Nejméně</w:t>
            </w:r>
          </w:p>
        </w:tc>
        <w:tc>
          <w:tcPr>
            <w:tcW w:w="1950" w:type="dxa"/>
            <w:gridSpan w:val="2"/>
          </w:tcPr>
          <w:p>
            <w:pPr>
              <w:jc w:val="center"/>
              <w:rPr>
                <w:noProof/>
              </w:rPr>
            </w:pPr>
            <w:r>
              <w:rPr>
                <w:noProof/>
              </w:rPr>
              <w:t>Méně než</w:t>
            </w:r>
          </w:p>
        </w:tc>
        <w:tc>
          <w:tcPr>
            <w:tcW w:w="1857" w:type="dxa"/>
            <w:gridSpan w:val="3"/>
          </w:tcPr>
          <w:p>
            <w:pPr>
              <w:jc w:val="center"/>
              <w:rPr>
                <w:noProof/>
              </w:rPr>
            </w:pPr>
            <w:r>
              <w:rPr>
                <w:noProof/>
              </w:rPr>
              <w:t>Nejméně</w:t>
            </w:r>
          </w:p>
        </w:tc>
        <w:tc>
          <w:tcPr>
            <w:tcW w:w="1951" w:type="dxa"/>
          </w:tcPr>
          <w:p>
            <w:pPr>
              <w:jc w:val="center"/>
              <w:rPr>
                <w:noProof/>
              </w:rPr>
            </w:pPr>
            <w:r>
              <w:rPr>
                <w:noProof/>
              </w:rPr>
              <w:t>Méně než</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nápravy</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nápravy</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nápravy</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nápravy</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nápravy</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náprav</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nebo 9 náprav</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Doplňují se nové přílohy V, VI a VII:</w:t>
      </w:r>
    </w:p>
    <w:p>
      <w:pPr>
        <w:jc w:val="center"/>
        <w:rPr>
          <w:rFonts w:eastAsia="Arial Unicode MS"/>
          <w:i/>
          <w:iCs/>
          <w:noProof/>
        </w:rPr>
      </w:pPr>
      <w:r>
        <w:rPr>
          <w:i/>
          <w:noProof/>
        </w:rPr>
        <w:t>„PŘÍLOHA V</w:t>
      </w:r>
    </w:p>
    <w:p>
      <w:pPr>
        <w:jc w:val="center"/>
        <w:rPr>
          <w:rFonts w:eastAsia="Arial Unicode MS"/>
          <w:b/>
          <w:bCs/>
          <w:noProof/>
        </w:rPr>
      </w:pPr>
      <w:r>
        <w:rPr>
          <w:b/>
          <w:noProof/>
        </w:rPr>
        <w:t>MINIMÁLNÍ POŽADAVKY PRO STANOVENÍ POPLATKŮ ZA KONGESCI</w:t>
      </w:r>
    </w:p>
    <w:p>
      <w:pPr>
        <w:spacing w:after="0"/>
        <w:rPr>
          <w:rFonts w:eastAsia="Arial Unicode MS"/>
          <w:noProof/>
        </w:rPr>
      </w:pPr>
      <w:r>
        <w:rPr>
          <w:noProof/>
        </w:rPr>
        <w:t>V této příloze jsou vymezeny minimální požadavky pro stanovení poplatku za kongesci.</w:t>
      </w:r>
    </w:p>
    <w:p>
      <w:pPr>
        <w:spacing w:after="0"/>
        <w:rPr>
          <w:rFonts w:eastAsia="Arial Unicode MS"/>
          <w:noProof/>
        </w:rPr>
      </w:pPr>
      <w:r>
        <w:rPr>
          <w:noProof/>
        </w:rPr>
        <w:t>1.   </w:t>
      </w:r>
      <w:r>
        <w:rPr>
          <w:b/>
          <w:noProof/>
        </w:rPr>
        <w:t xml:space="preserve"> Části sítě, na které se má vztahovat poplatek za kongesci, příslušná vozidla a období</w:t>
      </w:r>
    </w:p>
    <w:p>
      <w:pPr>
        <w:spacing w:after="0"/>
        <w:rPr>
          <w:rFonts w:eastAsia="Arial Unicode MS"/>
          <w:noProof/>
        </w:rPr>
      </w:pPr>
      <w:r>
        <w:rPr>
          <w:noProof/>
        </w:rPr>
        <w:t>Členský stát upřesní:</w:t>
      </w:r>
    </w:p>
    <w:p>
      <w:pPr>
        <w:spacing w:after="0"/>
        <w:rPr>
          <w:rFonts w:eastAsia="Arial Unicode MS"/>
          <w:noProof/>
        </w:rPr>
      </w:pPr>
      <w:r>
        <w:rPr>
          <w:noProof/>
        </w:rPr>
        <w:t xml:space="preserve">a) část nebo části své silniční sítě tvořené jeho dílem transevropské silniční sítě a jeho dálnicemi podle čl. 7 odst. 1, na které se má vztahovat poplatek za kongesci podle čl. 7da odst. 1 a 3;  </w:t>
      </w:r>
    </w:p>
    <w:p>
      <w:pPr>
        <w:spacing w:after="0"/>
        <w:rPr>
          <w:rFonts w:eastAsia="Arial Unicode MS"/>
          <w:noProof/>
        </w:rPr>
      </w:pPr>
      <w:r>
        <w:rPr>
          <w:noProof/>
        </w:rPr>
        <w:t>b) rozdělení částí sítě, na které se má vztahovat poplatek za kongesci, na „metropolitní“ a „nemetropolitní“. Pro potřeby klasifikace jednotlivých segmentů pozemních komunikací použijí členské státy kritéria uvedená v tabulce 1.</w:t>
      </w:r>
    </w:p>
    <w:p>
      <w:pPr>
        <w:spacing w:after="0"/>
        <w:rPr>
          <w:rFonts w:eastAsia="Arial Unicode MS"/>
          <w:i/>
          <w:noProof/>
        </w:rPr>
      </w:pPr>
      <w:r>
        <w:rPr>
          <w:i/>
          <w:noProof/>
        </w:rPr>
        <w:t>Tabulka 1: Kritéria pro rozdělení pozemních komunikací v rámci sítě podle písmene a) na „metropolitní“ a „nemetropolitní“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Kategorie pozemní komunikace</w:t>
            </w:r>
          </w:p>
        </w:tc>
        <w:tc>
          <w:tcPr>
            <w:tcW w:w="4644" w:type="dxa"/>
            <w:shd w:val="clear" w:color="auto" w:fill="auto"/>
          </w:tcPr>
          <w:p>
            <w:pPr>
              <w:spacing w:after="0"/>
              <w:rPr>
                <w:rFonts w:eastAsia="Arial Unicode MS"/>
                <w:b/>
                <w:noProof/>
              </w:rPr>
            </w:pPr>
            <w:r>
              <w:rPr>
                <w:b/>
                <w:noProof/>
              </w:rPr>
              <w:t>Klasifikační kritérium</w:t>
            </w:r>
          </w:p>
        </w:tc>
      </w:tr>
      <w:tr>
        <w:tc>
          <w:tcPr>
            <w:tcW w:w="4644" w:type="dxa"/>
            <w:shd w:val="clear" w:color="auto" w:fill="auto"/>
          </w:tcPr>
          <w:p>
            <w:pPr>
              <w:spacing w:after="0"/>
              <w:rPr>
                <w:rFonts w:eastAsia="Arial Unicode MS"/>
                <w:noProof/>
              </w:rPr>
            </w:pPr>
            <w:r>
              <w:rPr>
                <w:noProof/>
              </w:rPr>
              <w:t>„Metropolitní“</w:t>
            </w:r>
          </w:p>
        </w:tc>
        <w:tc>
          <w:tcPr>
            <w:tcW w:w="4644" w:type="dxa"/>
            <w:shd w:val="clear" w:color="auto" w:fill="auto"/>
          </w:tcPr>
          <w:p>
            <w:pPr>
              <w:spacing w:after="0"/>
              <w:rPr>
                <w:rFonts w:eastAsia="Arial Unicode MS"/>
                <w:noProof/>
              </w:rPr>
            </w:pPr>
            <w:r>
              <w:rPr>
                <w:noProof/>
              </w:rPr>
              <w:t>Části sítě procházející aglomeracemi s alespoň 250 000 obyvatel</w:t>
            </w:r>
          </w:p>
        </w:tc>
      </w:tr>
      <w:tr>
        <w:tc>
          <w:tcPr>
            <w:tcW w:w="4644" w:type="dxa"/>
            <w:shd w:val="clear" w:color="auto" w:fill="auto"/>
          </w:tcPr>
          <w:p>
            <w:pPr>
              <w:spacing w:after="0"/>
              <w:rPr>
                <w:rFonts w:eastAsia="Arial Unicode MS"/>
                <w:noProof/>
              </w:rPr>
            </w:pPr>
            <w:r>
              <w:rPr>
                <w:noProof/>
              </w:rPr>
              <w:t>„Nemetropolitní“</w:t>
            </w:r>
          </w:p>
        </w:tc>
        <w:tc>
          <w:tcPr>
            <w:tcW w:w="4644" w:type="dxa"/>
            <w:shd w:val="clear" w:color="auto" w:fill="auto"/>
          </w:tcPr>
          <w:p>
            <w:pPr>
              <w:spacing w:after="0"/>
              <w:rPr>
                <w:rFonts w:eastAsia="Arial Unicode MS"/>
                <w:noProof/>
              </w:rPr>
            </w:pPr>
            <w:r>
              <w:rPr>
                <w:noProof/>
              </w:rPr>
              <w:t>Části sítě nespadající do kategorie „metropolitních“</w:t>
            </w:r>
          </w:p>
        </w:tc>
      </w:tr>
    </w:tbl>
    <w:p>
      <w:pPr>
        <w:spacing w:after="0"/>
        <w:rPr>
          <w:rFonts w:eastAsia="Arial Unicode MS"/>
          <w:noProof/>
        </w:rPr>
      </w:pPr>
      <w:r>
        <w:rPr>
          <w:noProof/>
        </w:rPr>
        <w:t>c) období, po která zpoplatnění pro jednotlivé segmenty platí. Pokud se během zpoplatněného období mění výše poplatků, členský stát jasně určí začátek a konec každého dílčího období daného zpoplatnění.</w:t>
      </w:r>
    </w:p>
    <w:p>
      <w:pPr>
        <w:spacing w:after="0"/>
        <w:rPr>
          <w:noProof/>
        </w:rPr>
      </w:pPr>
      <w:r>
        <w:rPr>
          <w:noProof/>
        </w:rPr>
        <w:t>Pro potřeby stanovení poměru mezi výší poplatků za jednotlivé kategorie vozidel použijí členské státy koeficienty ekvivalence uvedené v tabulce 2.</w:t>
      </w:r>
    </w:p>
    <w:p>
      <w:pPr>
        <w:spacing w:after="0"/>
        <w:rPr>
          <w:rFonts w:eastAsia="Arial Unicode MS"/>
          <w:i/>
          <w:noProof/>
        </w:rPr>
      </w:pPr>
      <w:r>
        <w:rPr>
          <w:i/>
          <w:noProof/>
        </w:rPr>
        <w:t>Tabulka 2: Koeficienty ekvivalence pro stanovení poměru mezi výší poplatků za kongesci za jednotlivé kategorie vozidel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Kategorie vozidla</w:t>
            </w:r>
          </w:p>
        </w:tc>
        <w:tc>
          <w:tcPr>
            <w:tcW w:w="4644" w:type="dxa"/>
          </w:tcPr>
          <w:p>
            <w:pPr>
              <w:spacing w:after="0"/>
              <w:rPr>
                <w:rFonts w:eastAsia="Arial Unicode MS"/>
                <w:b/>
                <w:noProof/>
              </w:rPr>
            </w:pPr>
            <w:r>
              <w:rPr>
                <w:b/>
                <w:noProof/>
              </w:rPr>
              <w:t>Koeficient ekvivalence</w:t>
            </w:r>
          </w:p>
        </w:tc>
      </w:tr>
      <w:tr>
        <w:tc>
          <w:tcPr>
            <w:tcW w:w="4644" w:type="dxa"/>
          </w:tcPr>
          <w:p>
            <w:pPr>
              <w:spacing w:after="0"/>
              <w:rPr>
                <w:rFonts w:eastAsia="Arial Unicode MS"/>
                <w:noProof/>
              </w:rPr>
            </w:pPr>
            <w:r>
              <w:rPr>
                <w:noProof/>
              </w:rPr>
              <w:t>Lehká vozidla</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Těžká nákladní vozidla bez přípojného vozidla</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Autobusy a autokary</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Těžká nákladní vozidla s přípojným vozidlem</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Výše poplatku</w:t>
      </w:r>
    </w:p>
    <w:p>
      <w:pPr>
        <w:spacing w:after="0"/>
        <w:rPr>
          <w:rFonts w:eastAsia="Arial Unicode MS"/>
          <w:noProof/>
        </w:rPr>
      </w:pPr>
      <w:r>
        <w:rPr>
          <w:noProof/>
        </w:rPr>
        <w:t>Pro každou kategorii vozidel, segment pozemní komunikace a období určí členský stát nebo případně nezávislý orgán v souladu s ustanovením oddílu 1 této přílohy a s ohledem na příslušnou maximální hodnotu podle tabulky v příloze VI jedinou konkrétní částku. Výsledná struktura poplatků musí být transparentní, zveřejněná a dostupná všem uživatelům za stejných podmínek.</w:t>
      </w:r>
    </w:p>
    <w:p>
      <w:pPr>
        <w:spacing w:after="0"/>
        <w:rPr>
          <w:rFonts w:eastAsia="Arial Unicode MS"/>
          <w:noProof/>
        </w:rPr>
      </w:pPr>
      <w:r>
        <w:rPr>
          <w:noProof/>
        </w:rPr>
        <w:t>Členský stát před zavedením poplatků za kongesci včas zveřejní veškeré následující údaje:</w:t>
      </w:r>
    </w:p>
    <w:p>
      <w:pPr>
        <w:spacing w:after="0"/>
        <w:rPr>
          <w:rFonts w:eastAsia="Arial Unicode MS"/>
          <w:noProof/>
        </w:rPr>
      </w:pPr>
      <w:r>
        <w:rPr>
          <w:noProof/>
        </w:rPr>
        <w:t>a)</w:t>
      </w:r>
      <w:r>
        <w:rPr>
          <w:noProof/>
        </w:rPr>
        <w:tab/>
        <w:t>všechny parametry, údaje a další informace potřebné k pochopení způsobu klasifikace pozemních komunikací a vozidel a způsobu stanovení období platnosti poplatků;</w:t>
      </w:r>
    </w:p>
    <w:p>
      <w:pPr>
        <w:spacing w:after="0"/>
        <w:rPr>
          <w:rFonts w:eastAsia="Arial Unicode MS"/>
          <w:noProof/>
        </w:rPr>
      </w:pPr>
      <w:r>
        <w:rPr>
          <w:noProof/>
        </w:rPr>
        <w:t>b)</w:t>
      </w:r>
      <w:r>
        <w:rPr>
          <w:noProof/>
        </w:rPr>
        <w:tab/>
        <w:t xml:space="preserve">úplný popis poplatků za kongesci zaváděných pro jednotlivé kategorie vozidel na jednotlivých segmentech pozemních komunikací a za jednotlivá období. </w:t>
      </w:r>
    </w:p>
    <w:p>
      <w:pPr>
        <w:spacing w:after="0"/>
        <w:rPr>
          <w:rFonts w:eastAsia="Arial Unicode MS"/>
          <w:noProof/>
        </w:rPr>
      </w:pPr>
      <w:r>
        <w:rPr>
          <w:noProof/>
        </w:rPr>
        <w:t>Členské státy zpřístupní Komisi veškeré informace ke zveřejnění podle písmen a) a b).</w:t>
      </w:r>
    </w:p>
    <w:p>
      <w:pPr>
        <w:spacing w:after="0"/>
        <w:rPr>
          <w:rFonts w:eastAsia="Arial Unicode MS"/>
          <w:noProof/>
        </w:rPr>
      </w:pPr>
      <w:r>
        <w:rPr>
          <w:noProof/>
        </w:rPr>
        <w:t>Poplatek se stanoví až poté, co se zohlední rizika v souvislosti s odkláněním provozu společně s nepříznivými dopady na bezpečnost silničního provozu, životní prostředí a kongesci, jakož i řešení ke zmírnění těchto rizik.</w:t>
      </w:r>
    </w:p>
    <w:p>
      <w:pPr>
        <w:spacing w:after="0"/>
        <w:rPr>
          <w:rFonts w:eastAsia="Arial Unicode MS"/>
          <w:noProof/>
        </w:rPr>
      </w:pPr>
      <w:r>
        <w:rPr>
          <w:noProof/>
        </w:rPr>
        <w:t>Členský stát nebo případně nezávislý orgán pak musí sledovat účinnost systému pro výběr poplatků při snižování kongesce. Každý rok případně upraví v závislosti na změnách nabídky a poptávky v dopravě strukturu poplatků, období zpoplatnění a konkrétní částku poplatku stanovenou pro jednotlivé kategorie vozidel, typy pozemních komunikací a období.</w:t>
      </w:r>
    </w:p>
    <w:p>
      <w:pPr>
        <w:spacing w:before="0" w:after="200" w:line="276" w:lineRule="auto"/>
        <w:jc w:val="left"/>
        <w:rPr>
          <w:rFonts w:eastAsia="Arial Unicode MS"/>
          <w:noProof/>
        </w:rPr>
      </w:pPr>
    </w:p>
    <w:p>
      <w:pPr>
        <w:jc w:val="center"/>
        <w:rPr>
          <w:rFonts w:eastAsia="Arial Unicode MS"/>
          <w:i/>
          <w:iCs/>
          <w:noProof/>
        </w:rPr>
      </w:pPr>
      <w:r>
        <w:rPr>
          <w:i/>
          <w:noProof/>
        </w:rPr>
        <w:t>PŘÍLOHA VI</w:t>
      </w:r>
    </w:p>
    <w:p>
      <w:pPr>
        <w:spacing w:after="0"/>
        <w:jc w:val="center"/>
        <w:rPr>
          <w:rFonts w:eastAsia="Arial Unicode MS"/>
          <w:b/>
          <w:bCs/>
          <w:noProof/>
        </w:rPr>
      </w:pPr>
      <w:r>
        <w:rPr>
          <w:b/>
          <w:noProof/>
        </w:rPr>
        <w:t>MAXIMÁLNÍ VÝŠE POPLATKŮ ZA KONGESCI</w:t>
      </w:r>
    </w:p>
    <w:p>
      <w:pPr>
        <w:spacing w:after="0"/>
        <w:rPr>
          <w:rFonts w:eastAsia="Arial Unicode MS"/>
          <w:noProof/>
        </w:rPr>
      </w:pPr>
      <w:r>
        <w:rPr>
          <w:noProof/>
        </w:rPr>
        <w:t>V této příloze je stanovena maximální výše poplatků za kongesci.</w:t>
      </w:r>
    </w:p>
    <w:p>
      <w:pPr>
        <w:spacing w:after="0"/>
        <w:rPr>
          <w:rFonts w:eastAsia="Arial Unicode MS"/>
          <w:noProof/>
        </w:rPr>
      </w:pPr>
      <w:r>
        <w:rPr>
          <w:noProof/>
        </w:rPr>
        <w:t>Maximální výše uvedená v následující tabulce platí pro lehká vozidla. Poplatky za ostatní kategorie vozidel se stanoví vynásobením poplatků pro lehká vozidla koeficientem ekvivalence podle tabulky v příloze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40"/>
        <w:gridCol w:w="2506"/>
      </w:tblGrid>
      <w:tr>
        <w:tc>
          <w:tcPr>
            <w:tcW w:w="1523" w:type="pct"/>
          </w:tcPr>
          <w:p>
            <w:pPr>
              <w:spacing w:before="100" w:beforeAutospacing="1" w:after="100" w:afterAutospacing="1"/>
              <w:jc w:val="center"/>
              <w:rPr>
                <w:b/>
                <w:bCs/>
                <w:noProof/>
              </w:rPr>
            </w:pPr>
            <w:r>
              <w:rPr>
                <w:b/>
                <w:noProof/>
              </w:rPr>
              <w:t>Cent/vozokilometr</w:t>
            </w:r>
          </w:p>
        </w:tc>
        <w:tc>
          <w:tcPr>
            <w:tcW w:w="1523" w:type="pct"/>
            <w:hideMark/>
          </w:tcPr>
          <w:p>
            <w:pPr>
              <w:spacing w:before="100" w:beforeAutospacing="1" w:after="100" w:afterAutospacing="1"/>
              <w:jc w:val="center"/>
              <w:rPr>
                <w:b/>
                <w:noProof/>
              </w:rPr>
            </w:pPr>
            <w:r>
              <w:rPr>
                <w:b/>
                <w:noProof/>
              </w:rPr>
              <w:t>Metropolitní</w:t>
            </w:r>
          </w:p>
        </w:tc>
        <w:tc>
          <w:tcPr>
            <w:tcW w:w="1954" w:type="pct"/>
            <w:hideMark/>
          </w:tcPr>
          <w:p>
            <w:pPr>
              <w:spacing w:before="100" w:beforeAutospacing="1" w:after="100" w:afterAutospacing="1"/>
              <w:jc w:val="center"/>
              <w:rPr>
                <w:b/>
                <w:noProof/>
              </w:rPr>
            </w:pPr>
            <w:r>
              <w:rPr>
                <w:b/>
                <w:noProof/>
              </w:rPr>
              <w:t>Nemetropolitní</w:t>
            </w:r>
          </w:p>
        </w:tc>
      </w:tr>
      <w:tr>
        <w:tc>
          <w:tcPr>
            <w:tcW w:w="1523" w:type="pct"/>
          </w:tcPr>
          <w:p>
            <w:pPr>
              <w:spacing w:before="100" w:beforeAutospacing="1" w:after="100" w:afterAutospacing="1"/>
              <w:jc w:val="center"/>
              <w:rPr>
                <w:noProof/>
              </w:rPr>
            </w:pPr>
            <w:r>
              <w:rPr>
                <w:noProof/>
              </w:rPr>
              <w:t>Dálnice</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Hlavní silnice</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Tabulka: Maximální výše poplatků za kongesci pro lehká vozidla</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t>PŘÍLOHA VII</w:t>
      </w:r>
    </w:p>
    <w:p>
      <w:pPr>
        <w:spacing w:after="0"/>
        <w:jc w:val="center"/>
        <w:rPr>
          <w:rFonts w:eastAsia="Arial Unicode MS"/>
          <w:b/>
          <w:bCs/>
          <w:noProof/>
        </w:rPr>
      </w:pPr>
      <w:r>
        <w:rPr>
          <w:b/>
          <w:noProof/>
        </w:rPr>
        <w:t>ODSTUPŇOVÁNÍ MÝTNÉHO A POPLATKŮ ZA UŽÍVÁNÍ PRO LEHKÁ VOZIDLA</w:t>
      </w:r>
    </w:p>
    <w:p>
      <w:pPr>
        <w:spacing w:after="0"/>
        <w:rPr>
          <w:rFonts w:eastAsia="Arial Unicode MS"/>
          <w:noProof/>
        </w:rPr>
      </w:pPr>
    </w:p>
    <w:p>
      <w:pPr>
        <w:spacing w:after="0"/>
        <w:rPr>
          <w:rFonts w:eastAsia="Arial Unicode MS"/>
          <w:noProof/>
        </w:rPr>
      </w:pPr>
      <w:r>
        <w:rPr>
          <w:noProof/>
        </w:rPr>
        <w:t>V této příloze se stanoví emisní kategorie, podle kterých se odstupňují mýtné a poplatky za užívání.</w:t>
      </w:r>
    </w:p>
    <w:p>
      <w:pPr>
        <w:spacing w:after="0"/>
        <w:rPr>
          <w:rFonts w:eastAsia="Arial Unicode MS"/>
          <w:noProof/>
        </w:rPr>
      </w:pPr>
      <w:r>
        <w:rPr>
          <w:noProof/>
        </w:rPr>
        <w:t>Emise znečišťujících látek se měří podle nařízení Komise (EU) …/…*.</w:t>
      </w:r>
    </w:p>
    <w:p>
      <w:pPr>
        <w:spacing w:after="0"/>
        <w:rPr>
          <w:rFonts w:eastAsia="Arial Unicode MS"/>
          <w:noProof/>
        </w:rPr>
      </w:pPr>
      <w:r>
        <w:rPr>
          <w:noProof/>
        </w:rPr>
        <w:t>Níže uvedené výše poplatků platí pro veškeré osobní automobily a veškerá lehká užitková vozidla se specifickými emisemi CO</w:t>
      </w:r>
      <w:r>
        <w:rPr>
          <w:noProof/>
          <w:vertAlign w:val="subscript"/>
        </w:rPr>
        <w:t>2</w:t>
      </w:r>
      <w:r>
        <w:rPr>
          <w:noProof/>
        </w:rPr>
        <w:t xml:space="preserve"> naměřenými podle nařízení Evropského parlamentu a Rady (ES) č. 715/2007**, které jsou nižší než platné cíle EU pro vozové parky stanovené nařízením Evropského parlamentu a Rady (ES) č. 443/2009*** a nařízením Evropského parlamentu a Rady (EU) č. 510/2011****.</w:t>
      </w:r>
    </w:p>
    <w:p>
      <w:pPr>
        <w:spacing w:after="0"/>
        <w:rPr>
          <w:rFonts w:eastAsia="Arial Unicode MS"/>
          <w:i/>
          <w:noProof/>
        </w:rPr>
      </w:pPr>
      <w:r>
        <w:rPr>
          <w:i/>
          <w:noProof/>
        </w:rPr>
        <w:t>Tabulka: Emisní kategorie lehkých vozidel</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Faktor shodnosti</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Do 1</w:t>
            </w:r>
          </w:p>
        </w:tc>
        <w:tc>
          <w:tcPr>
            <w:tcW w:w="981" w:type="pct"/>
            <w:shd w:val="clear" w:color="auto" w:fill="FFFFFF" w:themeFill="background1"/>
            <w:vAlign w:val="center"/>
          </w:tcPr>
          <w:p>
            <w:pPr>
              <w:spacing w:before="100" w:beforeAutospacing="1" w:after="100" w:afterAutospacing="1"/>
              <w:jc w:val="center"/>
              <w:rPr>
                <w:b/>
                <w:noProof/>
              </w:rPr>
            </w:pPr>
            <w:r>
              <w:rPr>
                <w:b/>
                <w:noProof/>
              </w:rPr>
              <w:t>Vozidla s nulovými emisemi</w:t>
            </w:r>
          </w:p>
        </w:tc>
      </w:tr>
      <w:tr>
        <w:trPr>
          <w:trHeight w:val="832"/>
        </w:trPr>
        <w:tc>
          <w:tcPr>
            <w:tcW w:w="981" w:type="pct"/>
            <w:vAlign w:val="center"/>
          </w:tcPr>
          <w:p>
            <w:pPr>
              <w:spacing w:before="100" w:beforeAutospacing="1" w:after="100" w:afterAutospacing="1"/>
              <w:jc w:val="center"/>
              <w:rPr>
                <w:b/>
                <w:noProof/>
              </w:rPr>
            </w:pPr>
            <w:r>
              <w:rPr>
                <w:b/>
                <w:noProof/>
              </w:rPr>
              <w:t>Poplatek za km</w:t>
            </w:r>
          </w:p>
        </w:tc>
        <w:tc>
          <w:tcPr>
            <w:tcW w:w="1028" w:type="pct"/>
            <w:shd w:val="clear" w:color="auto" w:fill="FFFFFF"/>
            <w:vAlign w:val="center"/>
          </w:tcPr>
          <w:p>
            <w:pPr>
              <w:spacing w:before="100" w:beforeAutospacing="1" w:after="100" w:afterAutospacing="1"/>
              <w:jc w:val="center"/>
              <w:rPr>
                <w:noProof/>
              </w:rPr>
            </w:pPr>
            <w:r>
              <w:rPr>
                <w:noProof/>
              </w:rPr>
              <w:t>10 % pod nejvyšší sazbou</w:t>
            </w:r>
          </w:p>
        </w:tc>
        <w:tc>
          <w:tcPr>
            <w:tcW w:w="1029" w:type="pct"/>
            <w:vAlign w:val="center"/>
          </w:tcPr>
          <w:p>
            <w:pPr>
              <w:spacing w:before="100" w:beforeAutospacing="1" w:after="100" w:afterAutospacing="1"/>
              <w:jc w:val="center"/>
              <w:rPr>
                <w:noProof/>
              </w:rPr>
            </w:pPr>
            <w:r>
              <w:rPr>
                <w:noProof/>
              </w:rPr>
              <w:t>20 % pod nejvyšší sazbou</w:t>
            </w:r>
          </w:p>
        </w:tc>
        <w:tc>
          <w:tcPr>
            <w:tcW w:w="981" w:type="pct"/>
            <w:vAlign w:val="center"/>
          </w:tcPr>
          <w:p>
            <w:pPr>
              <w:spacing w:before="100" w:beforeAutospacing="1" w:after="100" w:afterAutospacing="1"/>
              <w:jc w:val="center"/>
              <w:rPr>
                <w:noProof/>
              </w:rPr>
            </w:pPr>
            <w:r>
              <w:rPr>
                <w:noProof/>
              </w:rPr>
              <w:t>30 % pod nejvyšší sazbou</w:t>
            </w:r>
          </w:p>
        </w:tc>
        <w:tc>
          <w:tcPr>
            <w:tcW w:w="981" w:type="pct"/>
            <w:vAlign w:val="center"/>
          </w:tcPr>
          <w:p>
            <w:pPr>
              <w:spacing w:before="100" w:beforeAutospacing="1" w:after="100" w:afterAutospacing="1"/>
              <w:jc w:val="center"/>
              <w:rPr>
                <w:noProof/>
              </w:rPr>
            </w:pPr>
            <w:r>
              <w:rPr>
                <w:noProof/>
              </w:rPr>
              <w:t>75 % pod nejvyšší sazbou</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NAŘÍZENÍ KOMISE (EU) …/… ze dne XXX, kterým se mění nařízení Komise (EU) 2017/xxx a směrnice Evropského parlamentu a Rady 2007/46/ES, pokud jde o emise z lehkých osobních vozidel a z užitkových vozidel v reálném provozu (Euro 6) [RDE 3] (Úř. věst. L …, ……..2017, s. …).</w:t>
      </w:r>
    </w:p>
    <w:p>
      <w:pPr>
        <w:adjustRightInd w:val="0"/>
        <w:spacing w:before="0" w:after="0"/>
        <w:ind w:left="720" w:hanging="720"/>
        <w:jc w:val="left"/>
        <w:rPr>
          <w:noProof/>
        </w:rPr>
      </w:pPr>
      <w:r>
        <w:rPr>
          <w:noProof/>
        </w:rPr>
        <w:t>**</w:t>
      </w:r>
      <w:r>
        <w:rPr>
          <w:noProof/>
        </w:rPr>
        <w:tab/>
        <w:t>Nařízení Evropského parlamentu a Rady (ES) č. 715/2007 ze dne 20. června 2007 o schvalování typu motorových vozidel z hlediska emisí z lehkých osobních vozidel a z užitkových vozidel (Euro 5 a Euro 6) a z hlediska přístupu k informacím o opravách a údržbě vozidla (Úř. věst. L 171, 29.6.2007, s. 1).</w:t>
      </w:r>
    </w:p>
    <w:p>
      <w:pPr>
        <w:adjustRightInd w:val="0"/>
        <w:spacing w:before="0" w:after="0"/>
        <w:ind w:left="720" w:hanging="720"/>
        <w:jc w:val="left"/>
        <w:rPr>
          <w:noProof/>
        </w:rPr>
      </w:pPr>
      <w:r>
        <w:rPr>
          <w:noProof/>
        </w:rPr>
        <w:t>***</w:t>
      </w:r>
      <w:r>
        <w:rPr>
          <w:noProof/>
        </w:rPr>
        <w:tab/>
        <w:t>Nařízení Evropského parlamentu a Rady (ES) č. 443/2009 ze dne 23. dubna 2009, kterým se stanoví výkonnostní emisní normy pro nové osobní automobily v rámci integrovaného přístupu Společenství ke snižování emisí CO</w:t>
      </w:r>
      <w:r>
        <w:rPr>
          <w:noProof/>
          <w:vertAlign w:val="subscript"/>
        </w:rPr>
        <w:t>2</w:t>
      </w:r>
      <w:r>
        <w:rPr>
          <w:noProof/>
        </w:rPr>
        <w:t xml:space="preserve"> z lehkých vozidel (Úř. věst. L 140, 5.6.2009, s. 1).</w:t>
      </w:r>
    </w:p>
    <w:p>
      <w:pPr>
        <w:adjustRightInd w:val="0"/>
        <w:spacing w:before="0" w:after="0"/>
        <w:ind w:left="720" w:hanging="720"/>
        <w:jc w:val="left"/>
        <w:rPr>
          <w:noProof/>
        </w:rPr>
      </w:pPr>
      <w:r>
        <w:rPr>
          <w:noProof/>
        </w:rPr>
        <w:t>****</w:t>
      </w:r>
      <w:r>
        <w:rPr>
          <w:noProof/>
        </w:rPr>
        <w:tab/>
        <w:t>Nařízení Evropského parlamentu a Rady (ES) č. 443/2009 ze dne 23. dubna 2009, kterým se stanoví výkonnostní emisní normy pro nové osobní automobily v rámci integrovaného přístupu Společenství ke snižování emisí CO</w:t>
      </w:r>
      <w:r>
        <w:rPr>
          <w:noProof/>
          <w:vertAlign w:val="subscript"/>
        </w:rPr>
        <w:t>2</w:t>
      </w:r>
      <w:r>
        <w:rPr>
          <w:noProof/>
        </w:rPr>
        <w:t xml:space="preserve"> z lehkých vozidel (Úř. věst. L 140, 5.6.2009, s. 1).“</w:t>
      </w: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3: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CP" w:val=" "/>
    <w:docVar w:name="LW_ANNEX_NBR_FIRST" w:val="1"/>
    <w:docVar w:name="LW_ANNEX_NBR_LAST" w:val="1"/>
    <w:docVar w:name="LW_CONFIDENCE" w:val=" "/>
    <w:docVar w:name="LW_CONST_RESTREINT_UE" w:val="RESTREINT UE"/>
    <w:docVar w:name="LW_CORRIGENDUM" w:val="&lt;UNUSED&gt;"/>
    <w:docVar w:name="LW_COVERPAGE_GUID" w:val="5FED292BC5BE4F629E760DCDD973954B"/>
    <w:docVar w:name="LW_CROSSREFERENCE" w:val="{SWD(2017) 180 final}_x000b_{SWD(2017) 181 final}"/>
    <w:docVar w:name="LW_DocType" w:val="ANNEX"/>
    <w:docVar w:name="LW_EMISSION" w:val="31.5.2017"/>
    <w:docVar w:name="LW_EMISSION_ISODATE" w:val="2017-05-31"/>
    <w:docVar w:name="LW_EMISSION_LOCATION" w:val="BRX"/>
    <w:docVar w:name="LW_EMISSION_PREFIX" w:val="V Bruselu dne "/>
    <w:docVar w:name="LW_EMISSION_SUFFIX" w:val=" "/>
    <w:docVar w:name="LW_ID_DOCSTRUCTURE" w:val="COM/ANNEX"/>
    <w:docVar w:name="LW_ID_DOCTYPE" w:val="SG-017"/>
    <w:docVar w:name="LW_LANGUE" w:val="CS"/>
    <w:docVar w:name="LW_MARKING" w:val="&lt;UNUSED&gt;"/>
    <w:docVar w:name="LW_NOM.INST" w:val="EVROPSKÁ KOMISE"/>
    <w:docVar w:name="LW_NOM.INST_JOINTDOC" w:val="&lt;EMPTY&gt;"/>
    <w:docVar w:name="LW_OBJETACTEPRINCIPAL.CP" w:val="kterou se m\u283?ní sm\u283?rnice 1999/62/ES o výb\u283?ru poplatk\u367? za u\u382?ívání ur\u269?itých pozemních komunikací t\u283?\u382?kými nákladními vozidly_x000b_(Text s významem pro EHP)"/>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P\u344?ÍLOHA"/>
    <w:docVar w:name="LW_TYPEACTEPRINCIPAL.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13</Pages>
  <Words>3010</Words>
  <Characters>16410</Characters>
  <Application>Microsoft Office Word</Application>
  <DocSecurity>0</DocSecurity>
  <Lines>863</Lines>
  <Paragraphs>606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2017-05-28T06:32:00Z</cp:lastPrinted>
  <dcterms:created xsi:type="dcterms:W3CDTF">2017-06-02T07:01:00Z</dcterms:created>
  <dcterms:modified xsi:type="dcterms:W3CDTF">2017-06-06T12:43:00Z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