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AD9E06437EEC44E8BF86704C4E43F57A" style="width:450.75pt;height:42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Typedudocument"/>
        <w:rPr>
          <w:noProof/>
        </w:rPr>
      </w:pPr>
      <w:bookmarkStart w:id="0" w:name="_GoBack"/>
      <w:bookmarkEnd w:id="0"/>
      <w:r>
        <w:rPr>
          <w:noProof/>
        </w:rPr>
        <w:lastRenderedPageBreak/>
        <w:t>ANEXĂ</w:t>
      </w:r>
    </w:p>
    <w:p>
      <w:pPr>
        <w:pStyle w:val="Accompagnant"/>
        <w:rPr>
          <w:noProof/>
        </w:rPr>
      </w:pPr>
      <w:r>
        <w:rPr>
          <w:noProof/>
        </w:rPr>
        <w:t>la</w:t>
      </w:r>
    </w:p>
    <w:p>
      <w:pPr>
        <w:pStyle w:val="Typeacteprincipal"/>
        <w:rPr>
          <w:noProof/>
        </w:rPr>
      </w:pPr>
      <w:r>
        <w:rPr>
          <w:noProof/>
        </w:rPr>
        <w:t>DIRECTIVA PARLAMENTULUI EUROPEAN ȘI A CONSILIULUI</w:t>
      </w:r>
    </w:p>
    <w:p>
      <w:pPr>
        <w:pStyle w:val="Objetacteprincipal"/>
        <w:rPr>
          <w:noProof/>
        </w:rPr>
      </w:pPr>
      <w:r>
        <w:rPr>
          <w:noProof/>
        </w:rPr>
        <w:t xml:space="preserve">de modificare a Directivei 1999/62/CE de aplicare a taxelor la vehiculele grele de marfă pentru utilizarea anumitor infrastructuri </w:t>
      </w:r>
      <w:r>
        <w:rPr>
          <w:noProof/>
        </w:rPr>
        <w:br/>
        <w:t>(Text cu relevanță pentru SEE)</w:t>
      </w:r>
    </w:p>
    <w:p>
      <w:pPr>
        <w:rPr>
          <w:noProof/>
        </w:rPr>
      </w:pPr>
    </w:p>
    <w:p>
      <w:pPr>
        <w:rPr>
          <w:noProof/>
        </w:rPr>
      </w:pPr>
      <w:r>
        <w:rPr>
          <w:noProof/>
        </w:rPr>
        <w:t>1.</w:t>
      </w:r>
      <w:r>
        <w:rPr>
          <w:noProof/>
        </w:rPr>
        <w:tab/>
        <w:t>Anexele 0, III, IIIa, IIIb și IV se modifică după cum urmează:</w:t>
      </w:r>
    </w:p>
    <w:p>
      <w:pPr>
        <w:rPr>
          <w:noProof/>
        </w:rPr>
      </w:pPr>
      <w:r>
        <w:rPr>
          <w:noProof/>
        </w:rPr>
        <w:t>(a)</w:t>
      </w:r>
      <w:r>
        <w:rPr>
          <w:noProof/>
        </w:rPr>
        <w:tab/>
        <w:t>în anexa 0, secțiunea 3 se modifică după cum urmează:</w:t>
      </w:r>
    </w:p>
    <w:p>
      <w:pPr>
        <w:ind w:firstLine="720"/>
        <w:rPr>
          <w:noProof/>
        </w:rPr>
      </w:pPr>
      <w:r>
        <w:rPr>
          <w:noProof/>
        </w:rPr>
        <w:t>(i)</w:t>
      </w:r>
      <w:r>
        <w:rPr>
          <w:noProof/>
        </w:rPr>
        <w:tab/>
        <w:t>titlul se înlocuiește cu următorul text:</w:t>
      </w:r>
    </w:p>
    <w:p>
      <w:pPr>
        <w:ind w:left="130" w:firstLine="720"/>
        <w:rPr>
          <w:noProof/>
        </w:rPr>
      </w:pPr>
      <w:r>
        <w:rPr>
          <w:noProof/>
        </w:rPr>
        <w:t>„3. Vehicule «EURO III»/«EURO IV»/«EURO V»”;</w:t>
      </w:r>
    </w:p>
    <w:p>
      <w:pPr>
        <w:ind w:firstLine="720"/>
        <w:rPr>
          <w:noProof/>
        </w:rPr>
      </w:pPr>
      <w:r>
        <w:rPr>
          <w:noProof/>
        </w:rPr>
        <w:t>(ii)</w:t>
      </w:r>
      <w:r>
        <w:rPr>
          <w:noProof/>
        </w:rPr>
        <w:tab/>
        <w:t>în tabel, rândul referitor la „vehicul «EEV»” se elimină;</w:t>
      </w:r>
    </w:p>
    <w:p>
      <w:pPr>
        <w:ind w:left="720"/>
        <w:rPr>
          <w:noProof/>
        </w:rPr>
      </w:pPr>
      <w:r>
        <w:rPr>
          <w:noProof/>
        </w:rPr>
        <w:t>(iii)</w:t>
      </w:r>
      <w:r>
        <w:rPr>
          <w:noProof/>
        </w:rPr>
        <w:tab/>
        <w:t>se adaugă următoarele:</w:t>
      </w:r>
    </w:p>
    <w:p>
      <w:pPr>
        <w:pStyle w:val="NormalCentered"/>
        <w:rPr>
          <w:b/>
          <w:noProof/>
          <w:u w:val="single"/>
        </w:rPr>
      </w:pPr>
      <w:r>
        <w:rPr>
          <w:b/>
          <w:noProof/>
          <w:u w:val="single"/>
        </w:rPr>
        <w:t>„Limitele emisiilor pentru Euro VI</w:t>
      </w:r>
    </w:p>
    <w:tbl>
      <w:tblPr>
        <w:tblW w:w="102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276"/>
        <w:gridCol w:w="1262"/>
        <w:gridCol w:w="1216"/>
        <w:gridCol w:w="1216"/>
        <w:gridCol w:w="1216"/>
        <w:gridCol w:w="803"/>
        <w:gridCol w:w="1216"/>
        <w:gridCol w:w="1030"/>
      </w:tblGrid>
      <w:tr>
        <w:trPr>
          <w:trHeight w:val="562"/>
        </w:trPr>
        <w:tc>
          <w:tcPr>
            <w:tcW w:w="993" w:type="dxa"/>
            <w:tcBorders>
              <w:bottom w:val="nil"/>
            </w:tcBorders>
          </w:tcPr>
          <w:p>
            <w:pPr>
              <w:rPr>
                <w:noProof/>
              </w:rPr>
            </w:pPr>
          </w:p>
        </w:tc>
        <w:tc>
          <w:tcPr>
            <w:tcW w:w="9235" w:type="dxa"/>
            <w:gridSpan w:val="8"/>
            <w:hideMark/>
          </w:tcPr>
          <w:p>
            <w:pPr>
              <w:rPr>
                <w:noProof/>
              </w:rPr>
            </w:pPr>
            <w:r>
              <w:rPr>
                <w:noProof/>
              </w:rPr>
              <w:t>Valori-limită</w:t>
            </w:r>
          </w:p>
        </w:tc>
      </w:tr>
      <w:tr>
        <w:trPr>
          <w:trHeight w:val="991"/>
        </w:trPr>
        <w:tc>
          <w:tcPr>
            <w:tcW w:w="993" w:type="dxa"/>
            <w:tcBorders>
              <w:top w:val="nil"/>
            </w:tcBorders>
          </w:tcPr>
          <w:p>
            <w:pPr>
              <w:rPr>
                <w:noProof/>
              </w:rPr>
            </w:pPr>
          </w:p>
        </w:tc>
        <w:tc>
          <w:tcPr>
            <w:tcW w:w="1276" w:type="dxa"/>
            <w:hideMark/>
          </w:tcPr>
          <w:p>
            <w:pPr>
              <w:rPr>
                <w:noProof/>
              </w:rPr>
            </w:pPr>
            <w:r>
              <w:rPr>
                <w:noProof/>
              </w:rPr>
              <w:t>CO</w:t>
            </w:r>
          </w:p>
          <w:p>
            <w:pPr>
              <w:rPr>
                <w:noProof/>
              </w:rPr>
            </w:pPr>
            <w:r>
              <w:rPr>
                <w:noProof/>
              </w:rPr>
              <w:t>(mg/kWh)</w:t>
            </w:r>
          </w:p>
        </w:tc>
        <w:tc>
          <w:tcPr>
            <w:tcW w:w="1262" w:type="dxa"/>
            <w:hideMark/>
          </w:tcPr>
          <w:p>
            <w:pPr>
              <w:rPr>
                <w:noProof/>
              </w:rPr>
            </w:pPr>
            <w:r>
              <w:rPr>
                <w:noProof/>
              </w:rPr>
              <w:t>THC</w:t>
            </w:r>
          </w:p>
          <w:p>
            <w:pPr>
              <w:rPr>
                <w:noProof/>
              </w:rPr>
            </w:pPr>
            <w:r>
              <w:rPr>
                <w:noProof/>
              </w:rPr>
              <w:t>(mg/kWh)</w:t>
            </w:r>
          </w:p>
        </w:tc>
        <w:tc>
          <w:tcPr>
            <w:tcW w:w="1216" w:type="dxa"/>
            <w:hideMark/>
          </w:tcPr>
          <w:p>
            <w:pPr>
              <w:rPr>
                <w:noProof/>
              </w:rPr>
            </w:pPr>
            <w:r>
              <w:rPr>
                <w:noProof/>
              </w:rPr>
              <w:t>NMHC</w:t>
            </w:r>
          </w:p>
          <w:p>
            <w:pPr>
              <w:rPr>
                <w:noProof/>
              </w:rPr>
            </w:pPr>
            <w:r>
              <w:rPr>
                <w:noProof/>
              </w:rPr>
              <w:t>(mg/kWh)</w:t>
            </w:r>
          </w:p>
        </w:tc>
        <w:tc>
          <w:tcPr>
            <w:tcW w:w="1216" w:type="dxa"/>
            <w:hideMark/>
          </w:tcPr>
          <w:p>
            <w:pPr>
              <w:rPr>
                <w:noProof/>
                <w:vertAlign w:val="subscript"/>
              </w:rPr>
            </w:pPr>
            <w:r>
              <w:rPr>
                <w:noProof/>
              </w:rPr>
              <w:t>CH</w:t>
            </w:r>
            <w:r>
              <w:rPr>
                <w:noProof/>
                <w:vertAlign w:val="subscript"/>
              </w:rPr>
              <w:t>4</w:t>
            </w:r>
          </w:p>
          <w:p>
            <w:pPr>
              <w:rPr>
                <w:noProof/>
              </w:rPr>
            </w:pPr>
            <w:r>
              <w:rPr>
                <w:noProof/>
              </w:rPr>
              <w:t>(mg/kWh)</w:t>
            </w:r>
          </w:p>
        </w:tc>
        <w:tc>
          <w:tcPr>
            <w:tcW w:w="1216" w:type="dxa"/>
            <w:hideMark/>
          </w:tcPr>
          <w:p>
            <w:pPr>
              <w:rPr>
                <w:noProof/>
              </w:rPr>
            </w:pPr>
            <w:r>
              <w:rPr>
                <w:noProof/>
              </w:rPr>
              <w:t>NO</w:t>
            </w:r>
            <w:r>
              <w:rPr>
                <w:noProof/>
                <w:vertAlign w:val="subscript"/>
              </w:rPr>
              <w:t>X</w:t>
            </w:r>
            <w:r>
              <w:rPr>
                <w:noProof/>
              </w:rPr>
              <w:t xml:space="preserve"> </w:t>
            </w:r>
            <w:r>
              <w:rPr>
                <w:noProof/>
                <w:vertAlign w:val="superscript"/>
              </w:rPr>
              <w:t>(1)</w:t>
            </w:r>
          </w:p>
          <w:p>
            <w:pPr>
              <w:rPr>
                <w:noProof/>
              </w:rPr>
            </w:pPr>
            <w:r>
              <w:rPr>
                <w:noProof/>
              </w:rPr>
              <w:t>(mg/kWh)</w:t>
            </w:r>
          </w:p>
        </w:tc>
        <w:tc>
          <w:tcPr>
            <w:tcW w:w="803" w:type="dxa"/>
            <w:hideMark/>
          </w:tcPr>
          <w:p>
            <w:pPr>
              <w:rPr>
                <w:noProof/>
                <w:vertAlign w:val="subscript"/>
              </w:rPr>
            </w:pPr>
            <w:r>
              <w:rPr>
                <w:noProof/>
              </w:rPr>
              <w:t>NH</w:t>
            </w:r>
            <w:r>
              <w:rPr>
                <w:noProof/>
                <w:vertAlign w:val="subscript"/>
              </w:rPr>
              <w:t>3</w:t>
            </w:r>
          </w:p>
          <w:p>
            <w:pPr>
              <w:rPr>
                <w:noProof/>
              </w:rPr>
            </w:pPr>
            <w:r>
              <w:rPr>
                <w:noProof/>
              </w:rPr>
              <w:t>(ppm)</w:t>
            </w:r>
          </w:p>
        </w:tc>
        <w:tc>
          <w:tcPr>
            <w:tcW w:w="1216" w:type="dxa"/>
            <w:hideMark/>
          </w:tcPr>
          <w:p>
            <w:pPr>
              <w:rPr>
                <w:noProof/>
              </w:rPr>
            </w:pPr>
            <w:r>
              <w:rPr>
                <w:noProof/>
              </w:rPr>
              <w:t>Masa particulelor</w:t>
            </w:r>
          </w:p>
          <w:p>
            <w:pPr>
              <w:rPr>
                <w:noProof/>
                <w:vertAlign w:val="subscript"/>
              </w:rPr>
            </w:pPr>
            <w:r>
              <w:rPr>
                <w:noProof/>
              </w:rPr>
              <w:t>(mg/kWh)</w:t>
            </w:r>
          </w:p>
        </w:tc>
        <w:tc>
          <w:tcPr>
            <w:tcW w:w="1030" w:type="dxa"/>
            <w:hideMark/>
          </w:tcPr>
          <w:p>
            <w:pPr>
              <w:rPr>
                <w:noProof/>
              </w:rPr>
            </w:pPr>
            <w:r>
              <w:rPr>
                <w:noProof/>
              </w:rPr>
              <w:t>Numărul particulelor</w:t>
            </w:r>
          </w:p>
          <w:p>
            <w:pPr>
              <w:rPr>
                <w:noProof/>
                <w:vertAlign w:val="subscript"/>
              </w:rPr>
            </w:pPr>
            <w:r>
              <w:rPr>
                <w:noProof/>
              </w:rPr>
              <w:t>(nr./kWh)</w:t>
            </w:r>
          </w:p>
        </w:tc>
      </w:tr>
      <w:tr>
        <w:trPr>
          <w:trHeight w:val="876"/>
        </w:trPr>
        <w:tc>
          <w:tcPr>
            <w:tcW w:w="993" w:type="dxa"/>
            <w:hideMark/>
          </w:tcPr>
          <w:p>
            <w:pPr>
              <w:rPr>
                <w:noProof/>
              </w:rPr>
            </w:pPr>
            <w:r>
              <w:rPr>
                <w:noProof/>
              </w:rPr>
              <w:t>WHSC (CI)</w:t>
            </w:r>
          </w:p>
        </w:tc>
        <w:tc>
          <w:tcPr>
            <w:tcW w:w="1276" w:type="dxa"/>
            <w:hideMark/>
          </w:tcPr>
          <w:p>
            <w:pPr>
              <w:rPr>
                <w:noProof/>
              </w:rPr>
            </w:pPr>
            <w:r>
              <w:rPr>
                <w:noProof/>
              </w:rPr>
              <w:t>1 500</w:t>
            </w:r>
          </w:p>
        </w:tc>
        <w:tc>
          <w:tcPr>
            <w:tcW w:w="1262" w:type="dxa"/>
            <w:hideMark/>
          </w:tcPr>
          <w:p>
            <w:pPr>
              <w:rPr>
                <w:noProof/>
              </w:rPr>
            </w:pPr>
            <w:r>
              <w:rPr>
                <w:noProof/>
              </w:rPr>
              <w:t>130</w:t>
            </w:r>
          </w:p>
        </w:tc>
        <w:tc>
          <w:tcPr>
            <w:tcW w:w="1216" w:type="dxa"/>
          </w:tcPr>
          <w:p>
            <w:pPr>
              <w:rPr>
                <w:noProof/>
              </w:rPr>
            </w:pPr>
          </w:p>
        </w:tc>
        <w:tc>
          <w:tcPr>
            <w:tcW w:w="1216" w:type="dxa"/>
          </w:tcPr>
          <w:p>
            <w:pPr>
              <w:rPr>
                <w:noProof/>
              </w:rPr>
            </w:pPr>
          </w:p>
        </w:tc>
        <w:tc>
          <w:tcPr>
            <w:tcW w:w="1216" w:type="dxa"/>
            <w:hideMark/>
          </w:tcPr>
          <w:p>
            <w:pPr>
              <w:rPr>
                <w:noProof/>
              </w:rPr>
            </w:pPr>
            <w:r>
              <w:rPr>
                <w:noProof/>
              </w:rPr>
              <w:t>400</w:t>
            </w:r>
          </w:p>
        </w:tc>
        <w:tc>
          <w:tcPr>
            <w:tcW w:w="803" w:type="dxa"/>
            <w:hideMark/>
          </w:tcPr>
          <w:p>
            <w:pPr>
              <w:rPr>
                <w:noProof/>
              </w:rPr>
            </w:pPr>
            <w:r>
              <w:rPr>
                <w:noProof/>
              </w:rPr>
              <w:t>10</w:t>
            </w:r>
          </w:p>
        </w:tc>
        <w:tc>
          <w:tcPr>
            <w:tcW w:w="1216" w:type="dxa"/>
            <w:hideMark/>
          </w:tcPr>
          <w:p>
            <w:pPr>
              <w:rPr>
                <w:noProof/>
              </w:rPr>
            </w:pPr>
            <w:r>
              <w:rPr>
                <w:noProof/>
              </w:rPr>
              <w:t>10</w:t>
            </w:r>
          </w:p>
        </w:tc>
        <w:tc>
          <w:tcPr>
            <w:tcW w:w="1030" w:type="dxa"/>
            <w:hideMark/>
          </w:tcPr>
          <w:p>
            <w:pPr>
              <w:rPr>
                <w:noProof/>
                <w:vertAlign w:val="superscript"/>
              </w:rPr>
            </w:pPr>
            <w:r>
              <w:rPr>
                <w:noProof/>
              </w:rPr>
              <w:t>8,0 x 10</w:t>
            </w:r>
            <w:r>
              <w:rPr>
                <w:noProof/>
                <w:vertAlign w:val="superscript"/>
              </w:rPr>
              <w:t>11</w:t>
            </w:r>
          </w:p>
        </w:tc>
      </w:tr>
      <w:tr>
        <w:trPr>
          <w:trHeight w:val="859"/>
        </w:trPr>
        <w:tc>
          <w:tcPr>
            <w:tcW w:w="993" w:type="dxa"/>
            <w:hideMark/>
          </w:tcPr>
          <w:p>
            <w:pPr>
              <w:rPr>
                <w:noProof/>
              </w:rPr>
            </w:pPr>
            <w:r>
              <w:rPr>
                <w:noProof/>
              </w:rPr>
              <w:t>WHTC (CI)</w:t>
            </w:r>
          </w:p>
        </w:tc>
        <w:tc>
          <w:tcPr>
            <w:tcW w:w="1276" w:type="dxa"/>
            <w:hideMark/>
          </w:tcPr>
          <w:p>
            <w:pPr>
              <w:rPr>
                <w:noProof/>
              </w:rPr>
            </w:pPr>
            <w:r>
              <w:rPr>
                <w:noProof/>
              </w:rPr>
              <w:t>4 000</w:t>
            </w:r>
          </w:p>
        </w:tc>
        <w:tc>
          <w:tcPr>
            <w:tcW w:w="1262" w:type="dxa"/>
            <w:hideMark/>
          </w:tcPr>
          <w:p>
            <w:pPr>
              <w:rPr>
                <w:noProof/>
              </w:rPr>
            </w:pPr>
            <w:r>
              <w:rPr>
                <w:noProof/>
              </w:rPr>
              <w:t>160</w:t>
            </w:r>
          </w:p>
        </w:tc>
        <w:tc>
          <w:tcPr>
            <w:tcW w:w="1216" w:type="dxa"/>
          </w:tcPr>
          <w:p>
            <w:pPr>
              <w:rPr>
                <w:noProof/>
              </w:rPr>
            </w:pPr>
          </w:p>
        </w:tc>
        <w:tc>
          <w:tcPr>
            <w:tcW w:w="1216" w:type="dxa"/>
          </w:tcPr>
          <w:p>
            <w:pPr>
              <w:rPr>
                <w:noProof/>
              </w:rPr>
            </w:pPr>
          </w:p>
        </w:tc>
        <w:tc>
          <w:tcPr>
            <w:tcW w:w="1216" w:type="dxa"/>
            <w:hideMark/>
          </w:tcPr>
          <w:p>
            <w:pPr>
              <w:rPr>
                <w:noProof/>
              </w:rPr>
            </w:pPr>
            <w:r>
              <w:rPr>
                <w:noProof/>
              </w:rPr>
              <w:t>460</w:t>
            </w:r>
          </w:p>
        </w:tc>
        <w:tc>
          <w:tcPr>
            <w:tcW w:w="803" w:type="dxa"/>
            <w:hideMark/>
          </w:tcPr>
          <w:p>
            <w:pPr>
              <w:rPr>
                <w:noProof/>
              </w:rPr>
            </w:pPr>
            <w:r>
              <w:rPr>
                <w:noProof/>
              </w:rPr>
              <w:t>10</w:t>
            </w:r>
          </w:p>
        </w:tc>
        <w:tc>
          <w:tcPr>
            <w:tcW w:w="1216" w:type="dxa"/>
            <w:hideMark/>
          </w:tcPr>
          <w:p>
            <w:pPr>
              <w:rPr>
                <w:noProof/>
              </w:rPr>
            </w:pPr>
            <w:r>
              <w:rPr>
                <w:noProof/>
              </w:rPr>
              <w:t>10</w:t>
            </w:r>
          </w:p>
        </w:tc>
        <w:tc>
          <w:tcPr>
            <w:tcW w:w="1030" w:type="dxa"/>
            <w:hideMark/>
          </w:tcPr>
          <w:p>
            <w:pPr>
              <w:rPr>
                <w:noProof/>
                <w:vertAlign w:val="superscript"/>
              </w:rPr>
            </w:pPr>
            <w:r>
              <w:rPr>
                <w:noProof/>
              </w:rPr>
              <w:t>6,0 x 10</w:t>
            </w:r>
            <w:r>
              <w:rPr>
                <w:noProof/>
                <w:vertAlign w:val="superscript"/>
              </w:rPr>
              <w:t>11</w:t>
            </w:r>
          </w:p>
        </w:tc>
      </w:tr>
      <w:tr>
        <w:trPr>
          <w:trHeight w:val="876"/>
        </w:trPr>
        <w:tc>
          <w:tcPr>
            <w:tcW w:w="993" w:type="dxa"/>
            <w:hideMark/>
          </w:tcPr>
          <w:p>
            <w:pPr>
              <w:rPr>
                <w:noProof/>
              </w:rPr>
            </w:pPr>
            <w:r>
              <w:rPr>
                <w:noProof/>
              </w:rPr>
              <w:t xml:space="preserve">WHTC (PI) </w:t>
            </w:r>
          </w:p>
        </w:tc>
        <w:tc>
          <w:tcPr>
            <w:tcW w:w="1276" w:type="dxa"/>
            <w:hideMark/>
          </w:tcPr>
          <w:p>
            <w:pPr>
              <w:rPr>
                <w:noProof/>
              </w:rPr>
            </w:pPr>
            <w:r>
              <w:rPr>
                <w:noProof/>
              </w:rPr>
              <w:t>4 000</w:t>
            </w:r>
          </w:p>
        </w:tc>
        <w:tc>
          <w:tcPr>
            <w:tcW w:w="1262" w:type="dxa"/>
          </w:tcPr>
          <w:p>
            <w:pPr>
              <w:rPr>
                <w:noProof/>
              </w:rPr>
            </w:pPr>
          </w:p>
        </w:tc>
        <w:tc>
          <w:tcPr>
            <w:tcW w:w="1216" w:type="dxa"/>
            <w:hideMark/>
          </w:tcPr>
          <w:p>
            <w:pPr>
              <w:rPr>
                <w:noProof/>
              </w:rPr>
            </w:pPr>
            <w:r>
              <w:rPr>
                <w:noProof/>
              </w:rPr>
              <w:t>160</w:t>
            </w:r>
          </w:p>
        </w:tc>
        <w:tc>
          <w:tcPr>
            <w:tcW w:w="1216" w:type="dxa"/>
            <w:hideMark/>
          </w:tcPr>
          <w:p>
            <w:pPr>
              <w:rPr>
                <w:noProof/>
              </w:rPr>
            </w:pPr>
            <w:r>
              <w:rPr>
                <w:noProof/>
              </w:rPr>
              <w:t>500</w:t>
            </w:r>
          </w:p>
        </w:tc>
        <w:tc>
          <w:tcPr>
            <w:tcW w:w="1216" w:type="dxa"/>
            <w:hideMark/>
          </w:tcPr>
          <w:p>
            <w:pPr>
              <w:rPr>
                <w:noProof/>
              </w:rPr>
            </w:pPr>
            <w:r>
              <w:rPr>
                <w:noProof/>
              </w:rPr>
              <w:t>460</w:t>
            </w:r>
          </w:p>
        </w:tc>
        <w:tc>
          <w:tcPr>
            <w:tcW w:w="803" w:type="dxa"/>
            <w:hideMark/>
          </w:tcPr>
          <w:p>
            <w:pPr>
              <w:rPr>
                <w:noProof/>
              </w:rPr>
            </w:pPr>
            <w:r>
              <w:rPr>
                <w:noProof/>
              </w:rPr>
              <w:t>10</w:t>
            </w:r>
          </w:p>
        </w:tc>
        <w:tc>
          <w:tcPr>
            <w:tcW w:w="1216" w:type="dxa"/>
            <w:hideMark/>
          </w:tcPr>
          <w:p>
            <w:pPr>
              <w:rPr>
                <w:noProof/>
              </w:rPr>
            </w:pPr>
            <w:r>
              <w:rPr>
                <w:noProof/>
              </w:rPr>
              <w:t>10</w:t>
            </w:r>
          </w:p>
        </w:tc>
        <w:tc>
          <w:tcPr>
            <w:tcW w:w="1030" w:type="dxa"/>
            <w:hideMark/>
          </w:tcPr>
          <w:p>
            <w:pPr>
              <w:rPr>
                <w:noProof/>
              </w:rPr>
            </w:pPr>
            <w:r>
              <w:rPr>
                <w:noProof/>
              </w:rPr>
              <w:t>6,0 x 10</w:t>
            </w:r>
            <w:r>
              <w:rPr>
                <w:noProof/>
                <w:vertAlign w:val="superscript"/>
              </w:rPr>
              <w:t>11</w:t>
            </w:r>
          </w:p>
        </w:tc>
      </w:tr>
    </w:tbl>
    <w:p>
      <w:pPr>
        <w:rPr>
          <w:noProof/>
        </w:rPr>
      </w:pPr>
      <w:r>
        <w:rPr>
          <w:noProof/>
        </w:rPr>
        <w:t>Notă:</w:t>
      </w:r>
    </w:p>
    <w:p>
      <w:pPr>
        <w:pStyle w:val="Point0"/>
        <w:spacing w:before="0" w:after="0"/>
        <w:rPr>
          <w:noProof/>
        </w:rPr>
      </w:pPr>
      <w:r>
        <w:rPr>
          <w:noProof/>
        </w:rPr>
        <w:t>PI = aprindere prin scânteie.</w:t>
      </w:r>
    </w:p>
    <w:p>
      <w:pPr>
        <w:pStyle w:val="Point0"/>
        <w:spacing w:before="0" w:after="0"/>
        <w:rPr>
          <w:noProof/>
        </w:rPr>
      </w:pPr>
      <w:r>
        <w:rPr>
          <w:noProof/>
        </w:rPr>
        <w:t>CI = aprindere prin comprimare.</w:t>
      </w:r>
    </w:p>
    <w:p>
      <w:pPr>
        <w:rPr>
          <w:noProof/>
        </w:rPr>
      </w:pPr>
      <w:r>
        <w:rPr>
          <w:noProof/>
          <w:vertAlign w:val="superscript"/>
        </w:rPr>
        <w:t>(1)</w:t>
      </w:r>
      <w:r>
        <w:rPr>
          <w:noProof/>
        </w:rPr>
        <w:tab/>
        <w:t>Nivelul admisibil al componentei NO</w:t>
      </w:r>
      <w:r>
        <w:rPr>
          <w:noProof/>
          <w:vertAlign w:val="subscript"/>
        </w:rPr>
        <w:t>2</w:t>
      </w:r>
      <w:r>
        <w:rPr>
          <w:noProof/>
        </w:rPr>
        <w:t xml:space="preserve"> în valoarea-limită a emisiilor de NO</w:t>
      </w:r>
      <w:r>
        <w:rPr>
          <w:noProof/>
          <w:vertAlign w:val="subscript"/>
        </w:rPr>
        <w:t>x</w:t>
      </w:r>
      <w:r>
        <w:rPr>
          <w:noProof/>
        </w:rPr>
        <w:t xml:space="preserve"> poate fi stabilit ulterior.”;</w:t>
      </w:r>
    </w:p>
    <w:p>
      <w:pPr>
        <w:rPr>
          <w:noProof/>
        </w:rPr>
      </w:pPr>
      <w:r>
        <w:rPr>
          <w:noProof/>
        </w:rPr>
        <w:t>(b)</w:t>
      </w:r>
      <w:r>
        <w:rPr>
          <w:noProof/>
        </w:rPr>
        <w:tab/>
        <w:t>anexa III se modifică după cum urmează:</w:t>
      </w:r>
    </w:p>
    <w:p>
      <w:pPr>
        <w:ind w:firstLine="720"/>
        <w:rPr>
          <w:noProof/>
        </w:rPr>
      </w:pPr>
      <w:r>
        <w:rPr>
          <w:noProof/>
        </w:rPr>
        <w:lastRenderedPageBreak/>
        <w:t>(i)</w:t>
      </w:r>
      <w:r>
        <w:rPr>
          <w:noProof/>
        </w:rPr>
        <w:tab/>
        <w:t>secțiunea 2 se modifică după cum urmează:</w:t>
      </w:r>
    </w:p>
    <w:p>
      <w:pPr>
        <w:ind w:left="131" w:firstLine="578"/>
        <w:rPr>
          <w:noProof/>
        </w:rPr>
      </w:pPr>
      <w:r>
        <w:rPr>
          <w:noProof/>
        </w:rPr>
        <w:t>— la punctul 2.1, a șasea liniuță se înlocuiește cu următorul text:</w:t>
      </w:r>
    </w:p>
    <w:p>
      <w:pPr>
        <w:ind w:left="709"/>
        <w:rPr>
          <w:noProof/>
        </w:rPr>
      </w:pPr>
      <w:r>
        <w:rPr>
          <w:noProof/>
        </w:rPr>
        <w:t>„—</w:t>
      </w:r>
      <w:r>
        <w:rPr>
          <w:noProof/>
        </w:rPr>
        <w:tab/>
        <w:t>Repartizarea costurilor care revin vehiculelor grele se face în mod obiectiv și transparent, luând în considerare proporția traficului de vehicule grele care urmează să fie preluată de rețea și costurile aferente. Numărul de vehicul-kilometri parcurși de vehiculele grele pot fi ajustați în acest scop prin «factori de echivalență» justificați obiectiv, precum cei stabiliți la punctul 4 (*).</w:t>
      </w:r>
    </w:p>
    <w:p>
      <w:pPr>
        <w:rPr>
          <w:noProof/>
        </w:rPr>
      </w:pPr>
      <w:r>
        <w:rPr>
          <w:noProof/>
        </w:rPr>
        <w:t>________</w:t>
      </w:r>
    </w:p>
    <w:p>
      <w:pPr>
        <w:rPr>
          <w:noProof/>
        </w:rPr>
      </w:pPr>
      <w:r>
        <w:rPr>
          <w:noProof/>
        </w:rPr>
        <w:t>*</w:t>
      </w:r>
      <w:r>
        <w:rPr>
          <w:noProof/>
        </w:rPr>
        <w:tab/>
        <w:t>Aplicarea factorilor de echivalență de către statele membre poate ține seama de lucrările de construcție de drumuri realizate în etape sau folosind o abordare bazată pe ciclu de viață lung.”;</w:t>
      </w:r>
    </w:p>
    <w:p>
      <w:pPr>
        <w:ind w:left="709"/>
        <w:rPr>
          <w:noProof/>
        </w:rPr>
      </w:pPr>
      <w:r>
        <w:rPr>
          <w:noProof/>
        </w:rPr>
        <w:t>— la punctul 2.2, a doua liniuță se înlocuiește cu următorul text:</w:t>
      </w:r>
    </w:p>
    <w:p>
      <w:pPr>
        <w:ind w:left="709"/>
        <w:rPr>
          <w:noProof/>
        </w:rPr>
      </w:pPr>
      <w:r>
        <w:rPr>
          <w:noProof/>
        </w:rPr>
        <w:t>„—</w:t>
      </w:r>
      <w:r>
        <w:rPr>
          <w:noProof/>
        </w:rPr>
        <w:tab/>
        <w:t>Astfel de costuri sunt repartizate între vehiculele grele și alte tipuri de vehicule din trafic pe baza ponderilor reale și prognozate ale vehicul-kilometrilor și pot fi ajustate prin factori de echivalență justificați obiectiv, precum cei stabiliți la punctul 4.”;</w:t>
      </w:r>
    </w:p>
    <w:p>
      <w:pPr>
        <w:ind w:left="709"/>
        <w:rPr>
          <w:noProof/>
        </w:rPr>
      </w:pPr>
      <w:r>
        <w:rPr>
          <w:noProof/>
        </w:rPr>
        <w:t>(ii)</w:t>
      </w:r>
      <w:r>
        <w:rPr>
          <w:noProof/>
        </w:rPr>
        <w:tab/>
        <w:t>în secțiunea 4, titlul și prima liniuță se înlocuiesc cu următorul text:</w:t>
      </w:r>
    </w:p>
    <w:p>
      <w:pPr>
        <w:ind w:left="720" w:hanging="720"/>
        <w:rPr>
          <w:noProof/>
        </w:rPr>
      </w:pPr>
      <w:r>
        <w:rPr>
          <w:noProof/>
        </w:rPr>
        <w:t>„4.</w:t>
      </w:r>
      <w:r>
        <w:rPr>
          <w:noProof/>
        </w:rPr>
        <w:tab/>
        <w:t>PONDEREA TRAFICULUI DE VEHICULE GRELE, FACTORII DE ECHIVALENȚĂ ȘI MECANISMUL DE CORECTARE</w:t>
      </w:r>
    </w:p>
    <w:p>
      <w:pPr>
        <w:ind w:left="720" w:hanging="720"/>
        <w:rPr>
          <w:noProof/>
        </w:rPr>
      </w:pPr>
      <w:r>
        <w:rPr>
          <w:noProof/>
        </w:rPr>
        <w:t>–</w:t>
      </w:r>
      <w:r>
        <w:rPr>
          <w:noProof/>
        </w:rPr>
        <w:tab/>
        <w:t>Calculul taxelor de trecere se bazează pe ponderile reale sau prognozate ale vehicul-kilometrilor aferenți vehiculelor grele, ajustate dacă se dorește prin factori de echivalență, pentru a lua în calcul în mod corespunzător costurile sporite de construcție și de reparare a infrastructurii destinate utilizării de către vehiculele grele.”;</w:t>
      </w:r>
    </w:p>
    <w:p>
      <w:pPr>
        <w:rPr>
          <w:noProof/>
        </w:rPr>
      </w:pPr>
      <w:r>
        <w:rPr>
          <w:noProof/>
        </w:rPr>
        <w:t>(c)</w:t>
      </w:r>
      <w:r>
        <w:rPr>
          <w:noProof/>
        </w:rPr>
        <w:tab/>
        <w:t>anexa IIIa se înlocuiește cu următorul text:</w:t>
      </w:r>
    </w:p>
    <w:p>
      <w:pPr>
        <w:pStyle w:val="Annexetitreacte"/>
        <w:rPr>
          <w:noProof/>
        </w:rPr>
      </w:pPr>
      <w:r>
        <w:rPr>
          <w:b w:val="0"/>
          <w:noProof/>
          <w:u w:val="none"/>
        </w:rPr>
        <w:t>„</w:t>
      </w:r>
      <w:r>
        <w:rPr>
          <w:noProof/>
        </w:rPr>
        <w:t>ANEXA IIIa</w:t>
      </w:r>
    </w:p>
    <w:p>
      <w:pPr>
        <w:pStyle w:val="ManualHeading1"/>
        <w:ind w:left="851" w:hanging="851"/>
        <w:rPr>
          <w:noProof/>
        </w:rPr>
      </w:pPr>
      <w:r>
        <w:rPr>
          <w:i/>
          <w:noProof/>
        </w:rPr>
        <w:t>CERINȚE MINIME PENTRU PERCEPEREA UNEI TAXE BAZATE PE COSTURILE EXTERNE</w:t>
      </w:r>
    </w:p>
    <w:p>
      <w:pPr>
        <w:rPr>
          <w:noProof/>
        </w:rPr>
      </w:pPr>
      <w:r>
        <w:rPr>
          <w:noProof/>
        </w:rPr>
        <w:t>Prezenta anexă definește condițiile minime aplicabile pentru perceperea unei taxe bazate pe costurile externe și, acolo unde este cazul, pentru calcularea nivelului maxim al taxei bazate pe costurile externe.</w:t>
      </w:r>
    </w:p>
    <w:p>
      <w:pPr>
        <w:pStyle w:val="ManualHeading2"/>
        <w:ind w:left="851" w:hanging="851"/>
        <w:rPr>
          <w:noProof/>
        </w:rPr>
      </w:pPr>
      <w:r>
        <w:rPr>
          <w:noProof/>
        </w:rPr>
        <w:t>1.</w:t>
      </w:r>
      <w:r>
        <w:rPr>
          <w:noProof/>
        </w:rPr>
        <w:tab/>
      </w:r>
      <w:r>
        <w:rPr>
          <w:i/>
          <w:noProof/>
        </w:rPr>
        <w:t>Părțile vizate ale rețelei rutiere</w:t>
      </w:r>
    </w:p>
    <w:p>
      <w:pPr>
        <w:rPr>
          <w:noProof/>
        </w:rPr>
      </w:pPr>
      <w:r>
        <w:rPr>
          <w:noProof/>
        </w:rPr>
        <w:t>Statele membre definesc în mod precis partea sau părțile din rețele lor rutiere care vor face obiectul unei taxe bazate pe costurile externe.</w:t>
      </w:r>
    </w:p>
    <w:p>
      <w:pPr>
        <w:rPr>
          <w:noProof/>
        </w:rPr>
      </w:pPr>
      <w:r>
        <w:rPr>
          <w:noProof/>
        </w:rPr>
        <w:t>Atunci când un stat membru intenționează să perceapă o taxă bazată pe costurile externe doar pe o parte sau pe anumite părți ale rețelei rutiere compuse din sectoarele care îi aparțin din cadrul rețelei transeuropene și din autostrăzile sale, partea sau părțile respective sunt alese în urma unei evaluări care să permită stabilirea următoarelor elemente:</w:t>
      </w:r>
    </w:p>
    <w:p>
      <w:pPr>
        <w:pStyle w:val="Tiret0"/>
        <w:numPr>
          <w:ilvl w:val="0"/>
          <w:numId w:val="5"/>
        </w:numPr>
        <w:ind w:left="851"/>
        <w:rPr>
          <w:noProof/>
        </w:rPr>
      </w:pPr>
      <w:r>
        <w:rPr>
          <w:noProof/>
        </w:rPr>
        <w:t xml:space="preserve">utilizarea de către vehicule a drumurilor pe care este aplicată taxa bazată pe costurile externe provoacă mediului daune mai mari decât cele generate în medie, evaluate </w:t>
      </w:r>
      <w:r>
        <w:rPr>
          <w:noProof/>
          <w:color w:val="FF0000"/>
        </w:rPr>
        <w:t xml:space="preserve">în </w:t>
      </w:r>
      <w:r>
        <w:rPr>
          <w:noProof/>
          <w:color w:val="FF0000"/>
        </w:rPr>
        <w:lastRenderedPageBreak/>
        <w:t>conformitate cu raportarea privind calitatea aerului, cu inventarele naționale de emisii, cu volumele de trafic și, pentru poluarea fonică, în conformitate cu Directiva 2002/49/CE</w:t>
      </w:r>
      <w:r>
        <w:rPr>
          <w:noProof/>
        </w:rPr>
        <w:t>, sau</w:t>
      </w:r>
    </w:p>
    <w:p>
      <w:pPr>
        <w:pStyle w:val="Tiret0"/>
        <w:ind w:left="851"/>
        <w:rPr>
          <w:noProof/>
        </w:rPr>
      </w:pPr>
      <w:r>
        <w:rPr>
          <w:noProof/>
        </w:rPr>
        <w:t>impunerea unei taxe bazate pe costurile externe pe alte părți ale rețelei rutiere astfel compuse ar putea avea efecte negative asupra mediului sau a siguranței rutiere sau perceperea și colectarea unei taxe bazate pe costurile externe ar genera costuri disproporționate.</w:t>
      </w:r>
    </w:p>
    <w:p>
      <w:pPr>
        <w:pStyle w:val="ManualHeading2"/>
        <w:ind w:left="851" w:hanging="851"/>
        <w:rPr>
          <w:noProof/>
        </w:rPr>
      </w:pPr>
      <w:r>
        <w:rPr>
          <w:noProof/>
        </w:rPr>
        <w:t>2.</w:t>
      </w:r>
      <w:r>
        <w:rPr>
          <w:noProof/>
        </w:rPr>
        <w:tab/>
      </w:r>
      <w:r>
        <w:rPr>
          <w:i/>
          <w:noProof/>
        </w:rPr>
        <w:t>Vehiculele, drumurile și intervalele de timp acoperite</w:t>
      </w:r>
    </w:p>
    <w:p>
      <w:pPr>
        <w:rPr>
          <w:noProof/>
        </w:rPr>
      </w:pPr>
      <w:r>
        <w:rPr>
          <w:noProof/>
        </w:rPr>
        <w:t>În cazul în care un stat membru intenționează să aplice taxe bazate pe costurile externe mai ridicate decât valorile de referință prevăzute în anexa IIIb, el notifică Comisiei clasificarea vehiculelor în funcție de care va varia taxa bazată pe costurile externe. De asemenea, statul membru notifică Comisiei și situarea drumurilor care fac obiectul unor taxe bazate pe costurile externe mai ridicate [denumite în continuare «drumuri suburbane (inclusiv autostrăzi)»] și a drumurilor cărora li se aplică taxe bazate pe costurile externe mai reduse [denumite în continuare «drumuri interurbane (inclusiv autostrăzi)»].</w:t>
      </w:r>
    </w:p>
    <w:p>
      <w:pPr>
        <w:rPr>
          <w:noProof/>
        </w:rPr>
      </w:pPr>
      <w:r>
        <w:rPr>
          <w:noProof/>
        </w:rPr>
        <w:t>După caz, statul membru notifică Comisiei și intervalele de timp exacte care corespund perioadelor de noapte pe durata cărora poate fi impusă o taxă mai ridicată bazată pe costurile externe legate de poluarea fonică, pentru a reflecta creșterea poluării fonice.</w:t>
      </w:r>
    </w:p>
    <w:p>
      <w:pPr>
        <w:rPr>
          <w:noProof/>
        </w:rPr>
      </w:pPr>
      <w:r>
        <w:rPr>
          <w:noProof/>
        </w:rPr>
        <w:t>Clasificarea drumurilor în drumuri suburbane (inclusiv autostrăzi) și drumuri interurbane (inclusiv autostrăzi), precum și definirea intervalelor de timp se bazează pe criterii obiective legate de gradul de expunere la poluare a drumurilor și a zonelor din vecinătatea acestora, cum ar fi densitatea populației, poluarea atmosferică medie anuală (în special în ceea ce privește PM</w:t>
      </w:r>
      <w:r>
        <w:rPr>
          <w:noProof/>
          <w:vertAlign w:val="subscript"/>
        </w:rPr>
        <w:t>10</w:t>
      </w:r>
      <w:r>
        <w:rPr>
          <w:noProof/>
        </w:rPr>
        <w:t xml:space="preserve"> și NO</w:t>
      </w:r>
      <w:r>
        <w:rPr>
          <w:noProof/>
          <w:vertAlign w:val="subscript"/>
        </w:rPr>
        <w:t>2</w:t>
      </w:r>
      <w:r>
        <w:rPr>
          <w:noProof/>
        </w:rPr>
        <w:t>) și numărul de zile (pentru PM</w:t>
      </w:r>
      <w:r>
        <w:rPr>
          <w:noProof/>
          <w:vertAlign w:val="subscript"/>
        </w:rPr>
        <w:t>10</w:t>
      </w:r>
      <w:r>
        <w:rPr>
          <w:noProof/>
        </w:rPr>
        <w:t>) și de ore (NO</w:t>
      </w:r>
      <w:r>
        <w:rPr>
          <w:noProof/>
          <w:vertAlign w:val="subscript"/>
        </w:rPr>
        <w:t>2</w:t>
      </w:r>
      <w:r>
        <w:rPr>
          <w:noProof/>
        </w:rPr>
        <w:t>) în care sunt depășite valorile-limită stabilite în temeiul Directivei 2008/50/CE. Criteriile utilizate sunt incluse în notificare.</w:t>
      </w:r>
    </w:p>
    <w:p>
      <w:pPr>
        <w:pStyle w:val="ManualHeading2"/>
        <w:ind w:left="851" w:hanging="851"/>
        <w:rPr>
          <w:noProof/>
        </w:rPr>
      </w:pPr>
      <w:r>
        <w:rPr>
          <w:noProof/>
        </w:rPr>
        <w:t>3.</w:t>
      </w:r>
      <w:r>
        <w:rPr>
          <w:noProof/>
        </w:rPr>
        <w:tab/>
      </w:r>
      <w:r>
        <w:rPr>
          <w:i/>
          <w:noProof/>
        </w:rPr>
        <w:t>Cuantumul taxei</w:t>
      </w:r>
    </w:p>
    <w:p>
      <w:pPr>
        <w:rPr>
          <w:rFonts w:eastAsia="Arial Unicode MS"/>
          <w:noProof/>
        </w:rPr>
      </w:pPr>
      <w:r>
        <w:rPr>
          <w:noProof/>
        </w:rPr>
        <w:t>Prezenta secțiune se aplică în cazul în care un stat membru intenționează să perceapă taxe bazate pe costurile externe mai ridicate decât valorile de referință specificate în anexa IIIb.</w:t>
      </w:r>
    </w:p>
    <w:p>
      <w:pPr>
        <w:rPr>
          <w:noProof/>
        </w:rPr>
      </w:pPr>
      <w:r>
        <w:rPr>
          <w:noProof/>
        </w:rPr>
        <w:t>Pentru fiecare clasă de vehicule, tip de drum și interval de timp, statul membru sau, dacă este cazul, o autoritate independentă determină un cuantum specific unic. Structura de taxare rezultantă este transparentă, făcută publică și pusă la dispoziția tuturor utilizatorilor în condiții de egalitate. Publicarea ar trebui să aibă loc cu suficient timp înaintea punerii în aplicare. Toți parametrii, toate datele și alte informații necesare pentru a înțelege modul de calcul al diferitelor elemente de cost extern sunt făcute publice.</w:t>
      </w:r>
    </w:p>
    <w:p>
      <w:pPr>
        <w:rPr>
          <w:noProof/>
        </w:rPr>
      </w:pPr>
      <w:r>
        <w:rPr>
          <w:noProof/>
        </w:rPr>
        <w:t>La stabilirea taxelor, statul membru sau, dacă este cazul, o autoritate independentă aplică principiul stabilirii în mod eficient a prețului, și anume stabilirea prețului cel mai apropiat de costul social marginal al utilizării vehiculului taxat.</w:t>
      </w:r>
    </w:p>
    <w:p>
      <w:pPr>
        <w:rPr>
          <w:noProof/>
        </w:rPr>
      </w:pPr>
      <w:r>
        <w:rPr>
          <w:noProof/>
        </w:rPr>
        <w:t>Taxa este stabilită luând în considerare riscul de deviere a traficului și orice efecte negative asupra siguranței rutiere, a mediului și a congestionării, precum și soluțiile de atenuare a acestor riscuri.</w:t>
      </w:r>
    </w:p>
    <w:p>
      <w:pPr>
        <w:rPr>
          <w:noProof/>
        </w:rPr>
      </w:pPr>
      <w:r>
        <w:rPr>
          <w:noProof/>
        </w:rPr>
        <w:t xml:space="preserve">Statul membru sau, dacă este cazul, o autoritate independentă monitorizează eficacitatea sistemului de taxare în ceea ce privește reducerea daunelor provocate mediului de transportul rutier. Statul membru sau autoritatea independentă în cauză adaptează la fiecare doi ani, dacă este cazul, structura de taxare și cuantumul specific al taxei stabilit pentru o anumită clasă de </w:t>
      </w:r>
      <w:r>
        <w:rPr>
          <w:noProof/>
        </w:rPr>
        <w:lastRenderedPageBreak/>
        <w:t>vehicule, un anumit tip de drum și un anumit interval de timp, în funcție de evoluția cererii și a ofertei în materie de transport.</w:t>
      </w:r>
    </w:p>
    <w:p>
      <w:pPr>
        <w:pStyle w:val="ManualHeading3"/>
        <w:rPr>
          <w:i w:val="0"/>
          <w:iCs/>
          <w:noProof/>
        </w:rPr>
      </w:pPr>
      <w:r>
        <w:rPr>
          <w:b/>
          <w:noProof/>
        </w:rPr>
        <w:t>4.</w:t>
      </w:r>
      <w:r>
        <w:rPr>
          <w:noProof/>
        </w:rPr>
        <w:tab/>
      </w:r>
      <w:r>
        <w:rPr>
          <w:b/>
          <w:i w:val="0"/>
          <w:noProof/>
        </w:rPr>
        <w:t>Elementele de cost extern</w:t>
      </w:r>
      <w:r>
        <w:rPr>
          <w:i w:val="0"/>
          <w:noProof/>
        </w:rPr>
        <w:t xml:space="preserve"> </w:t>
      </w:r>
    </w:p>
    <w:p>
      <w:pPr>
        <w:pStyle w:val="ManualHeading3"/>
        <w:rPr>
          <w:noProof/>
        </w:rPr>
      </w:pPr>
      <w:r>
        <w:rPr>
          <w:noProof/>
        </w:rPr>
        <w:t>4.1.</w:t>
      </w:r>
      <w:r>
        <w:rPr>
          <w:noProof/>
        </w:rPr>
        <w:tab/>
        <w:t>Costurile poluării atmosferice generate de trafic</w:t>
      </w:r>
    </w:p>
    <w:p>
      <w:pPr>
        <w:rPr>
          <w:noProof/>
        </w:rPr>
      </w:pPr>
      <w:r>
        <w:rPr>
          <w:noProof/>
        </w:rPr>
        <w:t>În cazul în care un stat membru intenționează să perceapă taxe bazate pe costurile externe mai ridicate decât valorile de referință specificate în anexa IIIb, acel stat membru sau, dacă este cazul, o autoritate independentă calculează costul taxabil al poluării atmosferice generate de trafic prin aplicarea următoarei formule:</w:t>
      </w:r>
    </w:p>
    <w:p>
      <w:pPr>
        <w:rPr>
          <w:noProof/>
        </w:rPr>
      </w:pPr>
      <w:r>
        <w:rPr>
          <w:noProof/>
          <w:lang w:val="en-US" w:eastAsia="en-US" w:bidi="ar-SA"/>
        </w:rPr>
        <w:drawing>
          <wp:inline distT="0" distB="0" distL="0" distR="0">
            <wp:extent cx="1714500" cy="2290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714125" cy="229013"/>
                    </a:xfrm>
                    <a:prstGeom prst="rect">
                      <a:avLst/>
                    </a:prstGeom>
                  </pic:spPr>
                </pic:pic>
              </a:graphicData>
            </a:graphic>
          </wp:inline>
        </w:drawing>
      </w:r>
    </w:p>
    <w:p>
      <w:pPr>
        <w:rPr>
          <w:noProof/>
        </w:rPr>
      </w:pPr>
      <w:r>
        <w:rPr>
          <w:noProof/>
        </w:rPr>
        <w:t>unde:</w:t>
      </w:r>
    </w:p>
    <w:tbl>
      <w:tblPr>
        <w:tblW w:w="0" w:type="auto"/>
        <w:tblLayout w:type="fixed"/>
        <w:tblLook w:val="0000" w:firstRow="0" w:lastRow="0" w:firstColumn="0" w:lastColumn="0" w:noHBand="0" w:noVBand="0"/>
      </w:tblPr>
      <w:tblGrid>
        <w:gridCol w:w="557"/>
        <w:gridCol w:w="1022"/>
        <w:gridCol w:w="557"/>
        <w:gridCol w:w="7150"/>
      </w:tblGrid>
      <w:tr>
        <w:tc>
          <w:tcPr>
            <w:tcW w:w="557" w:type="dxa"/>
          </w:tcPr>
          <w:p>
            <w:pPr>
              <w:pStyle w:val="NormalLeft"/>
              <w:rPr>
                <w:noProof/>
              </w:rPr>
            </w:pPr>
            <w:r>
              <w:rPr>
                <w:noProof/>
              </w:rPr>
              <w:t>—</w:t>
            </w:r>
          </w:p>
        </w:tc>
        <w:tc>
          <w:tcPr>
            <w:tcW w:w="1022" w:type="dxa"/>
          </w:tcPr>
          <w:p>
            <w:pPr>
              <w:pStyle w:val="NormalLeft"/>
              <w:rPr>
                <w:noProof/>
              </w:rPr>
            </w:pPr>
            <w:r>
              <w:rPr>
                <w:noProof/>
              </w:rPr>
              <w:t>PCV</w:t>
            </w:r>
            <w:r>
              <w:rPr>
                <w:noProof/>
                <w:vertAlign w:val="subscript"/>
              </w:rPr>
              <w:t>ij</w:t>
            </w:r>
          </w:p>
        </w:tc>
        <w:tc>
          <w:tcPr>
            <w:tcW w:w="557" w:type="dxa"/>
          </w:tcPr>
          <w:p>
            <w:pPr>
              <w:pStyle w:val="NormalLeft"/>
              <w:rPr>
                <w:noProof/>
              </w:rPr>
            </w:pPr>
            <w:r>
              <w:rPr>
                <w:noProof/>
              </w:rPr>
              <w:t>=</w:t>
            </w:r>
          </w:p>
        </w:tc>
        <w:tc>
          <w:tcPr>
            <w:tcW w:w="7150" w:type="dxa"/>
          </w:tcPr>
          <w:p>
            <w:pPr>
              <w:pStyle w:val="NormalLeft"/>
              <w:rPr>
                <w:noProof/>
              </w:rPr>
            </w:pPr>
            <w:r>
              <w:rPr>
                <w:noProof/>
              </w:rPr>
              <w:t>costul poluării atmosferice aferent clasei de vehicule i pe tipul de drum j (euro/vehicul-kilometru)</w:t>
            </w:r>
          </w:p>
        </w:tc>
      </w:tr>
      <w:tr>
        <w:tc>
          <w:tcPr>
            <w:tcW w:w="557" w:type="dxa"/>
          </w:tcPr>
          <w:p>
            <w:pPr>
              <w:pStyle w:val="NormalLeft"/>
              <w:rPr>
                <w:noProof/>
              </w:rPr>
            </w:pPr>
            <w:r>
              <w:rPr>
                <w:noProof/>
              </w:rPr>
              <w:t>—</w:t>
            </w:r>
          </w:p>
        </w:tc>
        <w:tc>
          <w:tcPr>
            <w:tcW w:w="1022" w:type="dxa"/>
          </w:tcPr>
          <w:p>
            <w:pPr>
              <w:pStyle w:val="NormalLeft"/>
              <w:rPr>
                <w:noProof/>
              </w:rPr>
            </w:pPr>
            <w:r>
              <w:rPr>
                <w:noProof/>
              </w:rPr>
              <w:t>EF</w:t>
            </w:r>
            <w:r>
              <w:rPr>
                <w:noProof/>
                <w:vertAlign w:val="subscript"/>
              </w:rPr>
              <w:t>ik</w:t>
            </w:r>
          </w:p>
        </w:tc>
        <w:tc>
          <w:tcPr>
            <w:tcW w:w="557" w:type="dxa"/>
          </w:tcPr>
          <w:p>
            <w:pPr>
              <w:pStyle w:val="NormalLeft"/>
              <w:rPr>
                <w:noProof/>
              </w:rPr>
            </w:pPr>
            <w:r>
              <w:rPr>
                <w:noProof/>
              </w:rPr>
              <w:t>=</w:t>
            </w:r>
          </w:p>
        </w:tc>
        <w:tc>
          <w:tcPr>
            <w:tcW w:w="7150" w:type="dxa"/>
          </w:tcPr>
          <w:p>
            <w:pPr>
              <w:pStyle w:val="NormalLeft"/>
              <w:rPr>
                <w:noProof/>
              </w:rPr>
            </w:pPr>
            <w:r>
              <w:rPr>
                <w:noProof/>
              </w:rPr>
              <w:t>factorul de emisie aferent poluantului k și clasei de vehicule i (gram/vehicul-kilometru)</w:t>
            </w:r>
          </w:p>
        </w:tc>
      </w:tr>
      <w:tr>
        <w:tc>
          <w:tcPr>
            <w:tcW w:w="557" w:type="dxa"/>
          </w:tcPr>
          <w:p>
            <w:pPr>
              <w:pStyle w:val="NormalLeft"/>
              <w:rPr>
                <w:noProof/>
              </w:rPr>
            </w:pPr>
            <w:r>
              <w:rPr>
                <w:noProof/>
              </w:rPr>
              <w:t>—</w:t>
            </w:r>
          </w:p>
        </w:tc>
        <w:tc>
          <w:tcPr>
            <w:tcW w:w="1022" w:type="dxa"/>
          </w:tcPr>
          <w:p>
            <w:pPr>
              <w:pStyle w:val="NormalLeft"/>
              <w:rPr>
                <w:noProof/>
              </w:rPr>
            </w:pPr>
            <w:r>
              <w:rPr>
                <w:noProof/>
              </w:rPr>
              <w:t>PC</w:t>
            </w:r>
            <w:r>
              <w:rPr>
                <w:noProof/>
                <w:vertAlign w:val="subscript"/>
              </w:rPr>
              <w:t>jk</w:t>
            </w:r>
          </w:p>
        </w:tc>
        <w:tc>
          <w:tcPr>
            <w:tcW w:w="557" w:type="dxa"/>
          </w:tcPr>
          <w:p>
            <w:pPr>
              <w:pStyle w:val="NormalLeft"/>
              <w:rPr>
                <w:noProof/>
              </w:rPr>
            </w:pPr>
            <w:r>
              <w:rPr>
                <w:noProof/>
              </w:rPr>
              <w:t>=</w:t>
            </w:r>
          </w:p>
        </w:tc>
        <w:tc>
          <w:tcPr>
            <w:tcW w:w="7150" w:type="dxa"/>
          </w:tcPr>
          <w:p>
            <w:pPr>
              <w:pStyle w:val="NormalLeft"/>
              <w:rPr>
                <w:noProof/>
              </w:rPr>
            </w:pPr>
            <w:r>
              <w:rPr>
                <w:noProof/>
              </w:rPr>
              <w:t>costul financiar al poluantului k pentru tipul de drum j (euro/gram)</w:t>
            </w:r>
          </w:p>
        </w:tc>
      </w:tr>
    </w:tbl>
    <w:p>
      <w:pPr>
        <w:rPr>
          <w:noProof/>
        </w:rPr>
      </w:pPr>
    </w:p>
    <w:p>
      <w:pPr>
        <w:rPr>
          <w:noProof/>
        </w:rPr>
      </w:pPr>
      <w:r>
        <w:rPr>
          <w:noProof/>
        </w:rPr>
        <w:t>Factorii de emisie sunt identici cu cei folosiți de statul membru la stabilirea inventarelor naționale de emisii prevăzute în Directiva (UE) 2016/2284 a Parlamentului European și a Consiliului privind reducerea emisiilor naționale de anumiți poluanți atmosferici * (care necesită folosirea Ghidului EMEP/AEM privind inventarul emisiilor de poluanți atmosferici**). Costul financiar al poluanților este estimat de statul membru sau, dacă este cazul, de autoritatea independentă menționată la articolul 7c alineatul (4), prin utilizarea unor metode dovedite științific.</w:t>
      </w:r>
    </w:p>
    <w:p>
      <w:pPr>
        <w:rPr>
          <w:noProof/>
        </w:rPr>
      </w:pPr>
      <w:r>
        <w:rPr>
          <w:noProof/>
        </w:rPr>
        <w:t>Statul membru sau, dacă este cazul, o autoritate independentă poate adopta alte metode alternative dovedite științific pentru a calcula valoarea costurilor poluării atmosferice, utilizând datele rezultate în urma măsurării poluanților atmosferici și valoarea locală a costului financiar al poluanților atmosferici.</w:t>
      </w:r>
    </w:p>
    <w:p>
      <w:pPr>
        <w:pStyle w:val="ManualHeading3"/>
        <w:rPr>
          <w:noProof/>
        </w:rPr>
      </w:pPr>
      <w:r>
        <w:rPr>
          <w:noProof/>
        </w:rPr>
        <w:t>4.2.</w:t>
      </w:r>
      <w:r>
        <w:rPr>
          <w:noProof/>
        </w:rPr>
        <w:tab/>
        <w:t>Costurile poluării fonice generate de trafic</w:t>
      </w:r>
    </w:p>
    <w:p>
      <w:pPr>
        <w:rPr>
          <w:noProof/>
        </w:rPr>
      </w:pPr>
      <w:r>
        <w:rPr>
          <w:noProof/>
        </w:rPr>
        <w:t>În cazul în care un stat membru intenționează să perceapă taxe bazate pe costurile externe mai ridicate decât valorile de referință specificate în anexa IIIb, statul membru sau, dacă este cazul, o autoritate independentă calculează costul taxabil al poluării fonice generate de trafic prin aplicarea următoarelor formule:</w:t>
      </w:r>
    </w:p>
    <w:p>
      <w:pPr>
        <w:rPr>
          <w:noProof/>
        </w:rPr>
      </w:pPr>
      <w:r>
        <w:rPr>
          <w:noProof/>
          <w:lang w:val="en-US" w:eastAsia="en-US" w:bidi="ar-SA"/>
        </w:rPr>
        <w:drawing>
          <wp:inline distT="0" distB="0" distL="0" distR="0">
            <wp:extent cx="2673997"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667416" cy="959657"/>
                    </a:xfrm>
                    <a:prstGeom prst="rect">
                      <a:avLst/>
                    </a:prstGeom>
                  </pic:spPr>
                </pic:pic>
              </a:graphicData>
            </a:graphic>
          </wp:inline>
        </w:drawing>
      </w:r>
    </w:p>
    <w:p>
      <w:pPr>
        <w:rPr>
          <w:noProof/>
        </w:rPr>
      </w:pPr>
      <w:r>
        <w:rPr>
          <w:noProof/>
        </w:rPr>
        <w:t>unde:</w:t>
      </w:r>
    </w:p>
    <w:tbl>
      <w:tblPr>
        <w:tblW w:w="0" w:type="auto"/>
        <w:tblLayout w:type="fixed"/>
        <w:tblLook w:val="0000" w:firstRow="0" w:lastRow="0" w:firstColumn="0" w:lastColumn="0" w:noHBand="0" w:noVBand="0"/>
      </w:tblPr>
      <w:tblGrid>
        <w:gridCol w:w="557"/>
        <w:gridCol w:w="1207"/>
        <w:gridCol w:w="372"/>
        <w:gridCol w:w="7150"/>
      </w:tblGrid>
      <w:tr>
        <w:tc>
          <w:tcPr>
            <w:tcW w:w="55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lastRenderedPageBreak/>
              <w:t>—</w:t>
            </w:r>
          </w:p>
        </w:tc>
        <w:tc>
          <w:tcPr>
            <w:tcW w:w="120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NCV</w:t>
            </w:r>
            <w:r>
              <w:rPr>
                <w:noProof/>
                <w:vertAlign w:val="subscript"/>
              </w:rPr>
              <w:t>j</w:t>
            </w:r>
            <w:r>
              <w:rPr>
                <w:noProof/>
              </w:rPr>
              <w:t xml:space="preserve"> =</w:t>
            </w:r>
          </w:p>
        </w:tc>
        <w:tc>
          <w:tcPr>
            <w:tcW w:w="37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71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costul poluării fonice produse de un vehicul greu de marfă pe tipul de drum j (euro/vehicul-kilometru)</w:t>
            </w:r>
          </w:p>
        </w:tc>
      </w:tr>
      <w:tr>
        <w:tc>
          <w:tcPr>
            <w:tcW w:w="55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c>
          <w:tcPr>
            <w:tcW w:w="120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NC</w:t>
            </w:r>
            <w:r>
              <w:rPr>
                <w:noProof/>
                <w:vertAlign w:val="subscript"/>
              </w:rPr>
              <w:t>jk</w:t>
            </w:r>
            <w:r>
              <w:rPr>
                <w:noProof/>
              </w:rPr>
              <w:t xml:space="preserve"> =</w:t>
            </w:r>
          </w:p>
        </w:tc>
        <w:tc>
          <w:tcPr>
            <w:tcW w:w="37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71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costul poluării fonice per persoană expusă pe un drum de tip j la nivelul de zgomot k (euro/persoană)</w:t>
            </w:r>
          </w:p>
        </w:tc>
      </w:tr>
      <w:tr>
        <w:tc>
          <w:tcPr>
            <w:tcW w:w="55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c>
          <w:tcPr>
            <w:tcW w:w="120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POP</w:t>
            </w:r>
            <w:r>
              <w:rPr>
                <w:noProof/>
                <w:vertAlign w:val="subscript"/>
              </w:rPr>
              <w:t>k</w:t>
            </w:r>
            <w:r>
              <w:rPr>
                <w:noProof/>
              </w:rPr>
              <w:t xml:space="preserve"> =</w:t>
            </w:r>
          </w:p>
        </w:tc>
        <w:tc>
          <w:tcPr>
            <w:tcW w:w="37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71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populația expusă la nivelul de zgomot zilnic k per kilometru (persoană/kilometru)</w:t>
            </w:r>
          </w:p>
        </w:tc>
      </w:tr>
      <w:tr>
        <w:tc>
          <w:tcPr>
            <w:tcW w:w="55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c>
          <w:tcPr>
            <w:tcW w:w="120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WADT =</w:t>
            </w:r>
          </w:p>
        </w:tc>
        <w:tc>
          <w:tcPr>
            <w:tcW w:w="37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71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media ponderată a traficului zilnic (echivalent autoturism)</w:t>
            </w:r>
          </w:p>
        </w:tc>
      </w:tr>
      <w:tr>
        <w:tc>
          <w:tcPr>
            <w:tcW w:w="55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c>
          <w:tcPr>
            <w:tcW w:w="120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a și b</w:t>
            </w:r>
          </w:p>
        </w:tc>
        <w:tc>
          <w:tcPr>
            <w:tcW w:w="37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71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sunt factori de ponderare stabiliți de statul membru în așa fel încât media ponderată a taxei de poluare fonică per vehicul-kilometru rezultantă să corespundă NCV</w:t>
            </w:r>
            <w:r>
              <w:rPr>
                <w:noProof/>
                <w:vertAlign w:val="subscript"/>
              </w:rPr>
              <w:t>j</w:t>
            </w:r>
            <w:r>
              <w:rPr>
                <w:noProof/>
              </w:rPr>
              <w:t xml:space="preserve"> (zilnic).</w:t>
            </w:r>
          </w:p>
        </w:tc>
      </w:tr>
    </w:tbl>
    <w:p>
      <w:pPr>
        <w:rPr>
          <w:noProof/>
        </w:rPr>
      </w:pPr>
    </w:p>
    <w:p>
      <w:pPr>
        <w:rPr>
          <w:noProof/>
        </w:rPr>
      </w:pPr>
      <w:r>
        <w:rPr>
          <w:noProof/>
        </w:rPr>
        <w:t>Poluarea fonică generată de trafic este legată de impactul zgomotului asupra sănătății cetățenilor din vecinătatea drumului.</w:t>
      </w:r>
    </w:p>
    <w:p>
      <w:pPr>
        <w:rPr>
          <w:noProof/>
        </w:rPr>
      </w:pPr>
      <w:r>
        <w:rPr>
          <w:noProof/>
        </w:rPr>
        <w:t>Populația expusă la nivelul de zgomot k se ia din hărțile acustice strategice elaborate în temeiul articolului 7 din Directiva 2002/49/CE al Parlamentului European și a Consiliului ***.</w:t>
      </w:r>
    </w:p>
    <w:p>
      <w:pPr>
        <w:rPr>
          <w:noProof/>
        </w:rPr>
      </w:pPr>
      <w:r>
        <w:rPr>
          <w:noProof/>
        </w:rPr>
        <w:t>Costul per persoană expusă la nivelul de zgomot k este estimat de statul membru sau, dacă este cazul, de o autoritate independentă prin utilizarea de metode dovedite științific.</w:t>
      </w:r>
    </w:p>
    <w:p>
      <w:pPr>
        <w:rPr>
          <w:noProof/>
        </w:rPr>
      </w:pPr>
      <w:r>
        <w:rPr>
          <w:noProof/>
        </w:rPr>
        <w:t>Media ponderată a traficului zilnic presupune un factor de echivalență «e» între vehiculele grele de marfă și autoturisme, obținut pe baza nivelurilor de emisii de zgomot ale unui autoturism mediu și ale unui vehicul greu de marfă mediu și ținând seama de Regulamentul (UE) nr. 540/2014 al Parlamentului European și al Consiliului din 16 aprilie 2014 privind nivelul sonor al autovehiculelor și al amortizoarelor de zgomot de înlocuire, de modificare a Directivei 2007/46/CE și de abrogare a Directivei 70/157/CEE.</w:t>
      </w:r>
    </w:p>
    <w:p>
      <w:pPr>
        <w:rPr>
          <w:noProof/>
        </w:rPr>
      </w:pPr>
      <w:r>
        <w:rPr>
          <w:noProof/>
        </w:rPr>
        <w:t>Statul membru sau, dacă este cazul, o autoritate independentă poate stabili taxe de poluare fonică diferențiate pentru a recompensa utilizarea de vehicule mai silențioase, cu condiția ca acestea să nu ducă la discriminarea vehiculelor străine.</w:t>
      </w:r>
    </w:p>
    <w:p>
      <w:pPr>
        <w:rPr>
          <w:noProof/>
        </w:rPr>
      </w:pPr>
      <w:r>
        <w:rPr>
          <w:noProof/>
        </w:rPr>
        <w:t>_____________</w:t>
      </w:r>
    </w:p>
    <w:p>
      <w:pPr>
        <w:rPr>
          <w:noProof/>
        </w:rPr>
      </w:pPr>
      <w:r>
        <w:rPr>
          <w:noProof/>
        </w:rPr>
        <w:t>*</w:t>
      </w:r>
      <w:r>
        <w:rPr>
          <w:noProof/>
        </w:rPr>
        <w:tab/>
        <w:t xml:space="preserve">Directiva (UE) 2016/2284 a Parlamentului European și a Consiliului din 14 decembrie 2016 privind reducerea emisiilor naționale de anumiți poluanți atmosferici, de modificare a Directivei 2003/35/CE și de abrogare a Directivei 2001/81/CE (JO L 344, 17.12.2016, p. 1). </w:t>
      </w:r>
    </w:p>
    <w:p>
      <w:pPr>
        <w:rPr>
          <w:noProof/>
        </w:rPr>
      </w:pPr>
      <w:r>
        <w:rPr>
          <w:noProof/>
        </w:rPr>
        <w:t>**</w:t>
      </w:r>
      <w:r>
        <w:rPr>
          <w:noProof/>
        </w:rPr>
        <w:tab/>
        <w:t>Metodologia Agenției Europene de Mediu: http://www.eea.europa.eu//publications/emep-eea-guidebook-2016</w:t>
      </w:r>
    </w:p>
    <w:p>
      <w:pPr>
        <w:rPr>
          <w:noProof/>
        </w:rPr>
      </w:pPr>
      <w:r>
        <w:rPr>
          <w:noProof/>
        </w:rPr>
        <w:t>***</w:t>
      </w:r>
      <w:r>
        <w:rPr>
          <w:noProof/>
        </w:rPr>
        <w:tab/>
        <w:t>Directiva 2002/49/CE a Parlamentului European și a Consiliului din 25 iunie 2002 privind evaluarea și gestiunea zgomotului ambiental (JO L 189, 18.7.2002, p. 12).”;</w:t>
      </w:r>
    </w:p>
    <w:p>
      <w:pPr>
        <w:rPr>
          <w:noProof/>
        </w:rPr>
      </w:pPr>
    </w:p>
    <w:p>
      <w:pPr>
        <w:rPr>
          <w:noProof/>
        </w:rPr>
      </w:pPr>
      <w:r>
        <w:rPr>
          <w:noProof/>
        </w:rPr>
        <w:t>(d)</w:t>
      </w:r>
      <w:r>
        <w:rPr>
          <w:noProof/>
        </w:rPr>
        <w:tab/>
        <w:t>anexa IIIb se înlocuiește cu următorul text:</w:t>
      </w:r>
    </w:p>
    <w:p>
      <w:pPr>
        <w:pStyle w:val="Annexetitreacte"/>
        <w:rPr>
          <w:noProof/>
        </w:rPr>
      </w:pPr>
      <w:r>
        <w:rPr>
          <w:b w:val="0"/>
          <w:noProof/>
          <w:u w:val="none"/>
        </w:rPr>
        <w:t>„</w:t>
      </w:r>
      <w:r>
        <w:rPr>
          <w:noProof/>
        </w:rPr>
        <w:t>ANEXA IIIb</w:t>
      </w:r>
    </w:p>
    <w:p>
      <w:pPr>
        <w:pStyle w:val="NormalCentered"/>
        <w:rPr>
          <w:b/>
          <w:bCs/>
          <w:noProof/>
        </w:rPr>
      </w:pPr>
      <w:r>
        <w:rPr>
          <w:b/>
          <w:noProof/>
        </w:rPr>
        <w:lastRenderedPageBreak/>
        <w:t>VALORILE DE REFERINȚĂ ALE TAXEI BAZATE PE COSTURILE EXTERNE</w:t>
      </w:r>
    </w:p>
    <w:p>
      <w:pPr>
        <w:rPr>
          <w:noProof/>
        </w:rPr>
      </w:pPr>
      <w:r>
        <w:rPr>
          <w:noProof/>
        </w:rPr>
        <w:t>Prezenta anexă stabilește valorile de referință ale taxei bazate pe costurile externe, inclusiv costul poluării atmosferice și fonice.</w:t>
      </w:r>
    </w:p>
    <w:p>
      <w:pPr>
        <w:spacing w:before="100" w:beforeAutospacing="1" w:after="100" w:afterAutospacing="1"/>
        <w:ind w:left="800" w:hanging="400"/>
        <w:rPr>
          <w:rFonts w:eastAsia="Arial Unicode MS"/>
          <w:noProof/>
        </w:rPr>
      </w:pPr>
      <w:r>
        <w:rPr>
          <w:i/>
          <w:noProof/>
        </w:rPr>
        <w:t>Tabelul 1:</w:t>
      </w:r>
      <w:r>
        <w:rPr>
          <w:noProof/>
        </w:rPr>
        <w:t>  </w:t>
      </w:r>
      <w:r>
        <w:rPr>
          <w:i/>
          <w:noProof/>
        </w:rPr>
        <w:t>Valorile de referință ale taxei bazate pe costurile externe pentru vehiculele grele de marfă</w:t>
      </w:r>
    </w:p>
    <w:tbl>
      <w:tblPr>
        <w:tblW w:w="8740" w:type="dxa"/>
        <w:jc w:val="center"/>
        <w:tblCellSpacing w:w="0" w:type="dxa"/>
        <w:tblInd w:w="-278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87"/>
        <w:gridCol w:w="3117"/>
        <w:gridCol w:w="1703"/>
        <w:gridCol w:w="1533"/>
      </w:tblGrid>
      <w:tr>
        <w:trPr>
          <w:tblCellSpacing w:w="0" w:type="dxa"/>
          <w:jc w:val="center"/>
        </w:trPr>
        <w:tc>
          <w:tcPr>
            <w:tcW w:w="1366" w:type="pct"/>
            <w:tcBorders>
              <w:top w:val="outset" w:sz="6" w:space="0" w:color="auto"/>
              <w:left w:val="outset" w:sz="6" w:space="0" w:color="auto"/>
              <w:bottom w:val="outset" w:sz="6" w:space="0" w:color="auto"/>
              <w:right w:val="outset" w:sz="6" w:space="0" w:color="auto"/>
            </w:tcBorders>
          </w:tcPr>
          <w:p>
            <w:pPr>
              <w:spacing w:before="100" w:beforeAutospacing="1" w:after="100" w:afterAutospacing="1"/>
              <w:rPr>
                <w:b/>
                <w:bCs/>
                <w:noProof/>
              </w:rPr>
            </w:pPr>
            <w:r>
              <w:rPr>
                <w:b/>
                <w:noProof/>
              </w:rPr>
              <w:t>Clasa vehiculului</w:t>
            </w: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b/>
                <w:bCs/>
                <w:noProof/>
              </w:rPr>
            </w:pPr>
            <w:r>
              <w:rPr>
                <w:b/>
                <w:noProof/>
              </w:rPr>
              <w:t>cenți/vehicul-kilometru</w:t>
            </w:r>
          </w:p>
        </w:tc>
        <w:tc>
          <w:tcPr>
            <w:tcW w:w="974"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b/>
                <w:bCs/>
                <w:noProof/>
              </w:rPr>
            </w:pPr>
            <w:r>
              <w:rPr>
                <w:b/>
                <w:noProof/>
              </w:rPr>
              <w:t>Suburbane</w:t>
            </w:r>
            <w:r>
              <w:rPr>
                <w:b/>
                <w:noProof/>
                <w:vertAlign w:val="superscript"/>
              </w:rPr>
              <w:t>(1)</w:t>
            </w:r>
          </w:p>
        </w:tc>
        <w:tc>
          <w:tcPr>
            <w:tcW w:w="877"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b/>
                <w:bCs/>
                <w:noProof/>
              </w:rPr>
            </w:pPr>
            <w:r>
              <w:rPr>
                <w:b/>
                <w:noProof/>
              </w:rPr>
              <w:t>Interurbane</w:t>
            </w:r>
            <w:r>
              <w:rPr>
                <w:b/>
                <w:noProof/>
                <w:vertAlign w:val="superscript"/>
              </w:rPr>
              <w:t>(2)</w:t>
            </w:r>
          </w:p>
        </w:tc>
      </w:tr>
      <w:tr>
        <w:trPr>
          <w:tblCellSpacing w:w="0" w:type="dxa"/>
          <w:jc w:val="center"/>
        </w:trPr>
        <w:tc>
          <w:tcPr>
            <w:tcW w:w="1366" w:type="pct"/>
            <w:vMerge w:val="restart"/>
            <w:tcBorders>
              <w:top w:val="outset" w:sz="6" w:space="0" w:color="auto"/>
              <w:left w:val="outset" w:sz="6" w:space="0" w:color="auto"/>
              <w:right w:val="outset" w:sz="6" w:space="0" w:color="auto"/>
            </w:tcBorders>
          </w:tcPr>
          <w:p>
            <w:pPr>
              <w:spacing w:before="100" w:beforeAutospacing="1" w:after="100" w:afterAutospacing="1"/>
              <w:rPr>
                <w:noProof/>
              </w:rPr>
            </w:pPr>
            <w:r>
              <w:rPr>
                <w:noProof/>
              </w:rPr>
              <w:t xml:space="preserve">Vehicul greu de marfă având o masă totală brută maximă autorizată de </w:t>
            </w:r>
          </w:p>
          <w:p>
            <w:pPr>
              <w:spacing w:before="100" w:beforeAutospacing="1" w:after="100" w:afterAutospacing="1"/>
              <w:rPr>
                <w:noProof/>
              </w:rPr>
            </w:pPr>
            <w:r>
              <w:rPr>
                <w:noProof/>
              </w:rPr>
              <w:t>sub 14 tone</w:t>
            </w:r>
          </w:p>
          <w:p>
            <w:pPr>
              <w:spacing w:before="100" w:beforeAutospacing="1" w:after="100" w:afterAutospacing="1"/>
              <w:rPr>
                <w:noProof/>
              </w:rPr>
            </w:pPr>
            <w:r>
              <w:rPr>
                <w:noProof/>
              </w:rPr>
              <w:t>sau având două axe</w:t>
            </w: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0</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13,3</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8,3</w:t>
            </w:r>
          </w:p>
        </w:tc>
      </w:tr>
      <w:tr>
        <w:trPr>
          <w:tblCellSpacing w:w="0" w:type="dxa"/>
          <w:jc w:val="center"/>
        </w:trPr>
        <w:tc>
          <w:tcPr>
            <w:tcW w:w="1366" w:type="pct"/>
            <w:vMerge/>
            <w:tcBorders>
              <w:left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9,1</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5,4</w:t>
            </w:r>
          </w:p>
        </w:tc>
      </w:tr>
      <w:tr>
        <w:trPr>
          <w:tblCellSpacing w:w="0" w:type="dxa"/>
          <w:jc w:val="center"/>
        </w:trPr>
        <w:tc>
          <w:tcPr>
            <w:tcW w:w="1366" w:type="pct"/>
            <w:vMerge/>
            <w:tcBorders>
              <w:left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8,8</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5,4</w:t>
            </w:r>
          </w:p>
        </w:tc>
      </w:tr>
      <w:tr>
        <w:trPr>
          <w:tblCellSpacing w:w="0" w:type="dxa"/>
          <w:jc w:val="center"/>
        </w:trPr>
        <w:tc>
          <w:tcPr>
            <w:tcW w:w="1366" w:type="pct"/>
            <w:vMerge/>
            <w:tcBorders>
              <w:left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7,7</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4,3</w:t>
            </w:r>
          </w:p>
        </w:tc>
      </w:tr>
      <w:tr>
        <w:trPr>
          <w:tblCellSpacing w:w="0" w:type="dxa"/>
          <w:jc w:val="center"/>
        </w:trPr>
        <w:tc>
          <w:tcPr>
            <w:tcW w:w="1366" w:type="pct"/>
            <w:vMerge/>
            <w:tcBorders>
              <w:left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IV</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5,9</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3,1</w:t>
            </w:r>
          </w:p>
        </w:tc>
      </w:tr>
      <w:tr>
        <w:trPr>
          <w:tblCellSpacing w:w="0" w:type="dxa"/>
          <w:jc w:val="center"/>
        </w:trPr>
        <w:tc>
          <w:tcPr>
            <w:tcW w:w="1366" w:type="pct"/>
            <w:vMerge/>
            <w:tcBorders>
              <w:left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5,7</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1,9</w:t>
            </w:r>
          </w:p>
        </w:tc>
      </w:tr>
      <w:tr>
        <w:trPr>
          <w:tblCellSpacing w:w="0" w:type="dxa"/>
          <w:jc w:val="center"/>
        </w:trPr>
        <w:tc>
          <w:tcPr>
            <w:tcW w:w="1366" w:type="pct"/>
            <w:vMerge/>
            <w:tcBorders>
              <w:left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3,2</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0,6</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mai puțin poluant decât EURO VI</w:t>
            </w:r>
          </w:p>
        </w:tc>
        <w:tc>
          <w:tcPr>
            <w:tcW w:w="974" w:type="pct"/>
            <w:tcBorders>
              <w:top w:val="outset" w:sz="6" w:space="0" w:color="auto"/>
              <w:left w:val="outset" w:sz="6" w:space="0" w:color="auto"/>
              <w:bottom w:val="outset" w:sz="6" w:space="0" w:color="auto"/>
              <w:right w:val="outset" w:sz="6" w:space="0" w:color="auto"/>
            </w:tcBorders>
            <w:shd w:val="clear" w:color="auto" w:fill="auto"/>
            <w:vAlign w:val="center"/>
            <w:hideMark/>
          </w:tcPr>
          <w:p>
            <w:pPr>
              <w:spacing w:before="100" w:beforeAutospacing="1" w:after="100" w:afterAutospacing="1"/>
              <w:contextualSpacing/>
              <w:jc w:val="center"/>
              <w:rPr>
                <w:noProof/>
              </w:rPr>
            </w:pPr>
            <w:r>
              <w:rPr>
                <w:noProof/>
              </w:rPr>
              <w:t>2,5</w:t>
            </w:r>
          </w:p>
        </w:tc>
        <w:tc>
          <w:tcPr>
            <w:tcW w:w="877" w:type="pct"/>
            <w:tcBorders>
              <w:top w:val="outset" w:sz="6" w:space="0" w:color="auto"/>
              <w:left w:val="outset" w:sz="6" w:space="0" w:color="auto"/>
              <w:bottom w:val="outset" w:sz="6" w:space="0" w:color="auto"/>
              <w:right w:val="outset" w:sz="6" w:space="0" w:color="auto"/>
            </w:tcBorders>
            <w:shd w:val="clear" w:color="auto" w:fill="auto"/>
            <w:vAlign w:val="center"/>
            <w:hideMark/>
          </w:tcPr>
          <w:p>
            <w:pPr>
              <w:spacing w:before="100" w:beforeAutospacing="1" w:after="100" w:afterAutospacing="1"/>
              <w:contextualSpacing/>
              <w:jc w:val="center"/>
              <w:rPr>
                <w:noProof/>
              </w:rPr>
            </w:pPr>
            <w:r>
              <w:rPr>
                <w:noProof/>
              </w:rPr>
              <w:t>0,3</w:t>
            </w:r>
          </w:p>
        </w:tc>
      </w:tr>
      <w:tr>
        <w:trPr>
          <w:tblCellSpacing w:w="0" w:type="dxa"/>
          <w:jc w:val="center"/>
        </w:trPr>
        <w:tc>
          <w:tcPr>
            <w:tcW w:w="1366" w:type="pct"/>
            <w:vMerge w:val="restart"/>
            <w:tcBorders>
              <w:left w:val="outset" w:sz="6" w:space="0" w:color="auto"/>
              <w:bottom w:val="outset" w:sz="6" w:space="0" w:color="auto"/>
              <w:right w:val="outset" w:sz="6" w:space="0" w:color="auto"/>
            </w:tcBorders>
          </w:tcPr>
          <w:p>
            <w:pPr>
              <w:spacing w:before="100" w:beforeAutospacing="1" w:after="100" w:afterAutospacing="1"/>
              <w:rPr>
                <w:noProof/>
              </w:rPr>
            </w:pPr>
            <w:r>
              <w:rPr>
                <w:noProof/>
              </w:rPr>
              <w:t xml:space="preserve">Vehicul greu de marfă având o masă totală brută maximă autorizată </w:t>
            </w:r>
          </w:p>
          <w:p>
            <w:pPr>
              <w:spacing w:before="100" w:beforeAutospacing="1" w:after="100" w:afterAutospacing="1"/>
              <w:rPr>
                <w:noProof/>
              </w:rPr>
            </w:pPr>
            <w:r>
              <w:rPr>
                <w:noProof/>
              </w:rPr>
              <w:t xml:space="preserve">între 14 și 28 de tone </w:t>
            </w:r>
          </w:p>
          <w:p>
            <w:pPr>
              <w:spacing w:before="100" w:beforeAutospacing="1" w:after="100" w:afterAutospacing="1"/>
              <w:rPr>
                <w:noProof/>
              </w:rPr>
            </w:pPr>
            <w:r>
              <w:rPr>
                <w:noProof/>
              </w:rPr>
              <w:t>sau având trei axe</w:t>
            </w: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0</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23,3</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15,1</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16,4</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10,1</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15,7</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10,0</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13,5</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8,2</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IV</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9,5</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5,7</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8,9</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3,7</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3,6</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0,8</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mai puțin poluant decât EURO VI</w:t>
            </w:r>
          </w:p>
        </w:tc>
        <w:tc>
          <w:tcPr>
            <w:tcW w:w="974"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2,5</w:t>
            </w:r>
          </w:p>
        </w:tc>
        <w:tc>
          <w:tcPr>
            <w:tcW w:w="877"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0,3</w:t>
            </w:r>
          </w:p>
        </w:tc>
      </w:tr>
      <w:tr>
        <w:trPr>
          <w:tblCellSpacing w:w="0" w:type="dxa"/>
          <w:jc w:val="center"/>
        </w:trPr>
        <w:tc>
          <w:tcPr>
            <w:tcW w:w="1366" w:type="pct"/>
            <w:vMerge w:val="restart"/>
            <w:tcBorders>
              <w:left w:val="outset" w:sz="6" w:space="0" w:color="auto"/>
              <w:bottom w:val="outset" w:sz="6" w:space="0" w:color="auto"/>
              <w:right w:val="outset" w:sz="6" w:space="0" w:color="auto"/>
            </w:tcBorders>
          </w:tcPr>
          <w:p>
            <w:pPr>
              <w:spacing w:before="100" w:beforeAutospacing="1" w:after="100" w:afterAutospacing="1"/>
              <w:rPr>
                <w:noProof/>
              </w:rPr>
            </w:pPr>
            <w:r>
              <w:rPr>
                <w:noProof/>
              </w:rPr>
              <w:t xml:space="preserve">Vehicul greu de marfă având o masă totală brută maximă autorizată </w:t>
            </w:r>
          </w:p>
          <w:p>
            <w:pPr>
              <w:spacing w:before="100" w:beforeAutospacing="1" w:after="100" w:afterAutospacing="1"/>
              <w:rPr>
                <w:noProof/>
              </w:rPr>
            </w:pPr>
            <w:r>
              <w:rPr>
                <w:noProof/>
              </w:rPr>
              <w:t xml:space="preserve">între 28 și 40 de tone </w:t>
            </w:r>
          </w:p>
          <w:p>
            <w:pPr>
              <w:spacing w:before="100" w:beforeAutospacing="1" w:after="100" w:afterAutospacing="1"/>
              <w:rPr>
                <w:noProof/>
              </w:rPr>
            </w:pPr>
            <w:r>
              <w:rPr>
                <w:noProof/>
              </w:rPr>
              <w:t>sau având patru axe</w:t>
            </w: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0</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30,4</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19,7</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22,6</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13,9</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21,3</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13,9</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17,8</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11,2</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IV</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12,2</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7,7</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9,2</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4,0</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3,5</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0,8</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mai puțin poluant decât EURO VI</w:t>
            </w:r>
          </w:p>
        </w:tc>
        <w:tc>
          <w:tcPr>
            <w:tcW w:w="974"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2,5</w:t>
            </w:r>
          </w:p>
        </w:tc>
        <w:tc>
          <w:tcPr>
            <w:tcW w:w="877"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0,3</w:t>
            </w:r>
          </w:p>
        </w:tc>
      </w:tr>
      <w:tr>
        <w:trPr>
          <w:tblCellSpacing w:w="0" w:type="dxa"/>
          <w:jc w:val="center"/>
        </w:trPr>
        <w:tc>
          <w:tcPr>
            <w:tcW w:w="1366" w:type="pct"/>
            <w:vMerge w:val="restart"/>
            <w:tcBorders>
              <w:left w:val="outset" w:sz="6" w:space="0" w:color="auto"/>
              <w:bottom w:val="outset" w:sz="6" w:space="0" w:color="auto"/>
              <w:right w:val="outset" w:sz="6" w:space="0" w:color="auto"/>
            </w:tcBorders>
          </w:tcPr>
          <w:p>
            <w:pPr>
              <w:spacing w:before="100" w:beforeAutospacing="1" w:after="100" w:afterAutospacing="1"/>
              <w:rPr>
                <w:noProof/>
              </w:rPr>
            </w:pPr>
            <w:r>
              <w:rPr>
                <w:noProof/>
              </w:rPr>
              <w:t xml:space="preserve">Vehicul greu de marfă având o masă totală brută maximă </w:t>
            </w:r>
            <w:r>
              <w:rPr>
                <w:noProof/>
              </w:rPr>
              <w:lastRenderedPageBreak/>
              <w:t xml:space="preserve">autorizată </w:t>
            </w:r>
          </w:p>
          <w:p>
            <w:pPr>
              <w:spacing w:before="100" w:beforeAutospacing="1" w:after="100" w:afterAutospacing="1"/>
              <w:rPr>
                <w:noProof/>
              </w:rPr>
            </w:pPr>
            <w:r>
              <w:rPr>
                <w:noProof/>
              </w:rPr>
              <w:t xml:space="preserve">de peste 40 de tone </w:t>
            </w:r>
          </w:p>
          <w:p>
            <w:pPr>
              <w:spacing w:before="100" w:beforeAutospacing="1" w:after="100" w:afterAutospacing="1"/>
              <w:rPr>
                <w:noProof/>
              </w:rPr>
            </w:pPr>
            <w:r>
              <w:rPr>
                <w:noProof/>
              </w:rPr>
              <w:t>sau având cinci sau mai multe axe</w:t>
            </w: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lastRenderedPageBreak/>
              <w:t>EURO 0</w:t>
            </w:r>
          </w:p>
        </w:tc>
        <w:tc>
          <w:tcPr>
            <w:tcW w:w="974"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43,0</w:t>
            </w:r>
          </w:p>
        </w:tc>
        <w:tc>
          <w:tcPr>
            <w:tcW w:w="877"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28,6</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w:t>
            </w:r>
          </w:p>
        </w:tc>
        <w:tc>
          <w:tcPr>
            <w:tcW w:w="974"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31,5</w:t>
            </w:r>
          </w:p>
        </w:tc>
        <w:tc>
          <w:tcPr>
            <w:tcW w:w="877"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19,8</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w:t>
            </w:r>
          </w:p>
        </w:tc>
        <w:tc>
          <w:tcPr>
            <w:tcW w:w="974"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29,2</w:t>
            </w:r>
          </w:p>
        </w:tc>
        <w:tc>
          <w:tcPr>
            <w:tcW w:w="877"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19,4</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III</w:t>
            </w:r>
          </w:p>
        </w:tc>
        <w:tc>
          <w:tcPr>
            <w:tcW w:w="974"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24,0</w:t>
            </w:r>
          </w:p>
        </w:tc>
        <w:tc>
          <w:tcPr>
            <w:tcW w:w="877"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15,6</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IV</w:t>
            </w:r>
          </w:p>
        </w:tc>
        <w:tc>
          <w:tcPr>
            <w:tcW w:w="974"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16,2</w:t>
            </w:r>
          </w:p>
        </w:tc>
        <w:tc>
          <w:tcPr>
            <w:tcW w:w="877"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10,6</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w:t>
            </w:r>
          </w:p>
        </w:tc>
        <w:tc>
          <w:tcPr>
            <w:tcW w:w="974"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9,8</w:t>
            </w:r>
          </w:p>
        </w:tc>
        <w:tc>
          <w:tcPr>
            <w:tcW w:w="877"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4,7</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3,6</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contextualSpacing/>
              <w:rPr>
                <w:noProof/>
              </w:rPr>
            </w:pPr>
            <w:r>
              <w:rPr>
                <w:noProof/>
              </w:rPr>
              <w:t>mai puțin poluant decât EURO VI</w:t>
            </w:r>
          </w:p>
        </w:tc>
        <w:tc>
          <w:tcPr>
            <w:tcW w:w="974"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2,5</w:t>
            </w:r>
          </w:p>
        </w:tc>
        <w:tc>
          <w:tcPr>
            <w:tcW w:w="877"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0,3</w:t>
            </w:r>
          </w:p>
        </w:tc>
      </w:tr>
    </w:tbl>
    <w:p>
      <w:pPr>
        <w:rPr>
          <w:rFonts w:eastAsia="Arial Unicode MS"/>
          <w:noProof/>
        </w:rPr>
      </w:pPr>
      <w:r>
        <w:rPr>
          <w:noProof/>
          <w:vertAlign w:val="superscript"/>
        </w:rPr>
        <w:t xml:space="preserve">(1) </w:t>
      </w:r>
      <w:r>
        <w:rPr>
          <w:noProof/>
        </w:rPr>
        <w:t>«Suburbane» înseamnă zone cu o densitate a populației între 150 și 900 de locuitori/km</w:t>
      </w:r>
      <w:r>
        <w:rPr>
          <w:noProof/>
          <w:vertAlign w:val="superscript"/>
        </w:rPr>
        <w:t>2</w:t>
      </w:r>
      <w:r>
        <w:rPr>
          <w:noProof/>
        </w:rPr>
        <w:t xml:space="preserve"> (densitate medie a populației de 300 de locuitori/km</w:t>
      </w:r>
      <w:r>
        <w:rPr>
          <w:noProof/>
          <w:vertAlign w:val="superscript"/>
        </w:rPr>
        <w:t>2</w:t>
      </w:r>
      <w:r>
        <w:rPr>
          <w:noProof/>
        </w:rPr>
        <w:t>).</w:t>
      </w:r>
    </w:p>
    <w:p>
      <w:pPr>
        <w:rPr>
          <w:rFonts w:eastAsia="Arial Unicode MS"/>
          <w:noProof/>
          <w:szCs w:val="24"/>
        </w:rPr>
      </w:pPr>
      <w:r>
        <w:rPr>
          <w:noProof/>
          <w:vertAlign w:val="superscript"/>
        </w:rPr>
        <w:t>(2)</w:t>
      </w:r>
      <w:r>
        <w:rPr>
          <w:noProof/>
        </w:rPr>
        <w:tab/>
        <w:t>«Interurban» înseamnă zone cu o densitate a populației de sub 150 locuitori/km</w:t>
      </w:r>
      <w:r>
        <w:rPr>
          <w:noProof/>
          <w:vertAlign w:val="superscript"/>
        </w:rPr>
        <w:t>2</w:t>
      </w:r>
      <w:r>
        <w:rPr>
          <w:noProof/>
        </w:rPr>
        <w:t>.</w:t>
      </w:r>
    </w:p>
    <w:p>
      <w:pPr>
        <w:spacing w:before="100" w:beforeAutospacing="1" w:after="100" w:afterAutospacing="1"/>
        <w:ind w:left="800" w:hanging="400"/>
        <w:rPr>
          <w:rFonts w:eastAsia="Arial Unicode MS"/>
          <w:i/>
          <w:iCs/>
          <w:noProof/>
        </w:rPr>
      </w:pPr>
      <w:r>
        <w:rPr>
          <w:i/>
          <w:noProof/>
        </w:rPr>
        <w:t>Tabelul 2: Valorile de referință ale taxei bazate pe costurile externe pentru autocare</w:t>
      </w:r>
    </w:p>
    <w:tbl>
      <w:tblPr>
        <w:tblW w:w="8710" w:type="dxa"/>
        <w:jc w:val="center"/>
        <w:tblCellSpacing w:w="0" w:type="dxa"/>
        <w:tblInd w:w="-300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69"/>
        <w:gridCol w:w="3105"/>
        <w:gridCol w:w="1706"/>
        <w:gridCol w:w="1530"/>
      </w:tblGrid>
      <w:tr>
        <w:trPr>
          <w:tblCellSpacing w:w="0" w:type="dxa"/>
          <w:jc w:val="center"/>
        </w:trPr>
        <w:tc>
          <w:tcPr>
            <w:tcW w:w="1362" w:type="pct"/>
            <w:tcBorders>
              <w:top w:val="outset" w:sz="6" w:space="0" w:color="auto"/>
              <w:left w:val="outset" w:sz="6" w:space="0" w:color="auto"/>
              <w:bottom w:val="outset" w:sz="6" w:space="0" w:color="auto"/>
              <w:right w:val="outset" w:sz="6" w:space="0" w:color="auto"/>
            </w:tcBorders>
          </w:tcPr>
          <w:p>
            <w:pPr>
              <w:spacing w:before="100" w:beforeAutospacing="1" w:after="100" w:afterAutospacing="1"/>
              <w:rPr>
                <w:b/>
                <w:bCs/>
                <w:noProof/>
              </w:rPr>
            </w:pPr>
            <w:r>
              <w:rPr>
                <w:b/>
                <w:noProof/>
              </w:rPr>
              <w:t>Clasa vehiculului</w:t>
            </w: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b/>
                <w:bCs/>
                <w:noProof/>
              </w:rPr>
            </w:pPr>
            <w:r>
              <w:rPr>
                <w:b/>
                <w:noProof/>
              </w:rPr>
              <w:t>cenți/vehicul-kilometru</w:t>
            </w:r>
          </w:p>
        </w:tc>
        <w:tc>
          <w:tcPr>
            <w:tcW w:w="981"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b/>
                <w:bCs/>
                <w:noProof/>
              </w:rPr>
            </w:pPr>
            <w:r>
              <w:rPr>
                <w:b/>
                <w:noProof/>
              </w:rPr>
              <w:t>Suburbane</w:t>
            </w:r>
            <w:r>
              <w:rPr>
                <w:b/>
                <w:noProof/>
                <w:vertAlign w:val="superscript"/>
              </w:rPr>
              <w:t>(1)</w:t>
            </w:r>
          </w:p>
        </w:tc>
        <w:tc>
          <w:tcPr>
            <w:tcW w:w="872"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b/>
                <w:bCs/>
                <w:noProof/>
              </w:rPr>
            </w:pPr>
            <w:r>
              <w:rPr>
                <w:b/>
                <w:noProof/>
              </w:rPr>
              <w:t>Interurbane</w:t>
            </w:r>
            <w:r>
              <w:rPr>
                <w:b/>
                <w:noProof/>
                <w:vertAlign w:val="superscript"/>
              </w:rPr>
              <w:t>(2)</w:t>
            </w:r>
          </w:p>
        </w:tc>
      </w:tr>
      <w:tr>
        <w:trPr>
          <w:tblCellSpacing w:w="0" w:type="dxa"/>
          <w:jc w:val="center"/>
        </w:trPr>
        <w:tc>
          <w:tcPr>
            <w:tcW w:w="1362" w:type="pct"/>
            <w:vMerge w:val="restart"/>
            <w:tcBorders>
              <w:top w:val="outset" w:sz="6" w:space="0" w:color="auto"/>
              <w:left w:val="outset" w:sz="6" w:space="0" w:color="auto"/>
              <w:right w:val="outset" w:sz="6" w:space="0" w:color="auto"/>
            </w:tcBorders>
          </w:tcPr>
          <w:p>
            <w:pPr>
              <w:spacing w:before="100" w:beforeAutospacing="1" w:after="100" w:afterAutospacing="1"/>
              <w:rPr>
                <w:noProof/>
              </w:rPr>
            </w:pPr>
            <w:r>
              <w:rPr>
                <w:noProof/>
              </w:rPr>
              <w:t>Autocar având o masă totală brută maximă autorizată de 18 tone</w:t>
            </w:r>
          </w:p>
          <w:p>
            <w:pPr>
              <w:spacing w:before="100" w:beforeAutospacing="1" w:after="100" w:afterAutospacing="1"/>
              <w:rPr>
                <w:noProof/>
              </w:rPr>
            </w:pPr>
            <w:r>
              <w:rPr>
                <w:noProof/>
              </w:rPr>
              <w:t>sau având două axe</w:t>
            </w: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0</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20,3</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13,1</w:t>
            </w:r>
          </w:p>
        </w:tc>
      </w:tr>
      <w:tr>
        <w:trPr>
          <w:tblCellSpacing w:w="0" w:type="dxa"/>
          <w:jc w:val="center"/>
        </w:trPr>
        <w:tc>
          <w:tcPr>
            <w:tcW w:w="1362" w:type="pct"/>
            <w:vMerge/>
            <w:tcBorders>
              <w:left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16,0</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10,4</w:t>
            </w:r>
          </w:p>
        </w:tc>
      </w:tr>
      <w:tr>
        <w:trPr>
          <w:tblCellSpacing w:w="0" w:type="dxa"/>
          <w:jc w:val="center"/>
        </w:trPr>
        <w:tc>
          <w:tcPr>
            <w:tcW w:w="1362" w:type="pct"/>
            <w:vMerge/>
            <w:tcBorders>
              <w:left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15,6</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9,9</w:t>
            </w:r>
          </w:p>
        </w:tc>
      </w:tr>
      <w:tr>
        <w:trPr>
          <w:tblCellSpacing w:w="0" w:type="dxa"/>
          <w:jc w:val="center"/>
        </w:trPr>
        <w:tc>
          <w:tcPr>
            <w:tcW w:w="1362" w:type="pct"/>
            <w:vMerge/>
            <w:tcBorders>
              <w:left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13,9</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8,5</w:t>
            </w:r>
          </w:p>
        </w:tc>
      </w:tr>
      <w:tr>
        <w:trPr>
          <w:tblCellSpacing w:w="0" w:type="dxa"/>
          <w:jc w:val="center"/>
        </w:trPr>
        <w:tc>
          <w:tcPr>
            <w:tcW w:w="1362" w:type="pct"/>
            <w:vMerge/>
            <w:tcBorders>
              <w:left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IV</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10,0</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5,7</w:t>
            </w:r>
          </w:p>
        </w:tc>
      </w:tr>
      <w:tr>
        <w:trPr>
          <w:tblCellSpacing w:w="0" w:type="dxa"/>
          <w:jc w:val="center"/>
        </w:trPr>
        <w:tc>
          <w:tcPr>
            <w:tcW w:w="1362" w:type="pct"/>
            <w:vMerge/>
            <w:tcBorders>
              <w:left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9,0</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5,0</w:t>
            </w:r>
          </w:p>
        </w:tc>
      </w:tr>
      <w:tr>
        <w:trPr>
          <w:tblCellSpacing w:w="0" w:type="dxa"/>
          <w:jc w:val="center"/>
        </w:trPr>
        <w:tc>
          <w:tcPr>
            <w:tcW w:w="1362" w:type="pct"/>
            <w:vMerge/>
            <w:tcBorders>
              <w:left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2,8</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0,8</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mai puțin poluant decât EURO VI</w:t>
            </w:r>
          </w:p>
        </w:tc>
        <w:tc>
          <w:tcPr>
            <w:tcW w:w="981"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1,4</w:t>
            </w:r>
          </w:p>
        </w:tc>
        <w:tc>
          <w:tcPr>
            <w:tcW w:w="872"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0,2</w:t>
            </w:r>
          </w:p>
        </w:tc>
      </w:tr>
      <w:tr>
        <w:trPr>
          <w:tblCellSpacing w:w="0" w:type="dxa"/>
          <w:jc w:val="center"/>
        </w:trPr>
        <w:tc>
          <w:tcPr>
            <w:tcW w:w="1362" w:type="pct"/>
            <w:vMerge w:val="restart"/>
            <w:tcBorders>
              <w:left w:val="outset" w:sz="6" w:space="0" w:color="auto"/>
              <w:bottom w:val="outset" w:sz="6" w:space="0" w:color="auto"/>
              <w:right w:val="outset" w:sz="6" w:space="0" w:color="auto"/>
            </w:tcBorders>
          </w:tcPr>
          <w:p>
            <w:pPr>
              <w:spacing w:before="100" w:beforeAutospacing="1" w:after="100" w:afterAutospacing="1"/>
              <w:rPr>
                <w:noProof/>
              </w:rPr>
            </w:pPr>
            <w:r>
              <w:rPr>
                <w:noProof/>
              </w:rPr>
              <w:t>Autocar având o masă totală brută maximă autorizată de peste 18 tone</w:t>
            </w:r>
          </w:p>
          <w:p>
            <w:pPr>
              <w:spacing w:before="100" w:beforeAutospacing="1" w:after="100" w:afterAutospacing="1"/>
              <w:rPr>
                <w:noProof/>
              </w:rPr>
            </w:pPr>
            <w:r>
              <w:rPr>
                <w:noProof/>
              </w:rPr>
              <w:t>sau având trei sau mai multe axe</w:t>
            </w: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0</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24,9</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16,2</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19,2</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12,3</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18,5</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12,0</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15,7</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9,8</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IV</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10,6</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6,6</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10,2</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5,2</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2,8</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0,8</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mai puțin poluant decât EURO VI</w:t>
            </w:r>
          </w:p>
        </w:tc>
        <w:tc>
          <w:tcPr>
            <w:tcW w:w="981"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1,4</w:t>
            </w:r>
          </w:p>
        </w:tc>
        <w:tc>
          <w:tcPr>
            <w:tcW w:w="872"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0,2</w:t>
            </w:r>
          </w:p>
        </w:tc>
      </w:tr>
    </w:tbl>
    <w:p>
      <w:pPr>
        <w:rPr>
          <w:rFonts w:eastAsia="Arial Unicode MS"/>
          <w:noProof/>
        </w:rPr>
      </w:pPr>
      <w:r>
        <w:rPr>
          <w:noProof/>
          <w:vertAlign w:val="superscript"/>
        </w:rPr>
        <w:t xml:space="preserve">(1) </w:t>
      </w:r>
      <w:r>
        <w:rPr>
          <w:noProof/>
        </w:rPr>
        <w:t>«Suburbane» înseamnă zone cu o densitate a populației între 150 și 900 de locuitori/km</w:t>
      </w:r>
      <w:r>
        <w:rPr>
          <w:noProof/>
          <w:vertAlign w:val="superscript"/>
        </w:rPr>
        <w:t>2</w:t>
      </w:r>
      <w:r>
        <w:rPr>
          <w:noProof/>
        </w:rPr>
        <w:t xml:space="preserve"> (densitate medie a populației de 300 de locuitori/km</w:t>
      </w:r>
      <w:r>
        <w:rPr>
          <w:noProof/>
          <w:vertAlign w:val="superscript"/>
        </w:rPr>
        <w:t>2</w:t>
      </w:r>
      <w:r>
        <w:rPr>
          <w:noProof/>
        </w:rPr>
        <w:t>).</w:t>
      </w:r>
    </w:p>
    <w:p>
      <w:pPr>
        <w:rPr>
          <w:noProof/>
        </w:rPr>
      </w:pPr>
      <w:r>
        <w:rPr>
          <w:noProof/>
          <w:vertAlign w:val="superscript"/>
        </w:rPr>
        <w:t>(2)</w:t>
      </w:r>
      <w:r>
        <w:rPr>
          <w:noProof/>
        </w:rPr>
        <w:tab/>
        <w:t>«Interurban» înseamnă zone cu o densitate a populației de sub 150 locuitori/km</w:t>
      </w:r>
      <w:r>
        <w:rPr>
          <w:noProof/>
          <w:vertAlign w:val="superscript"/>
        </w:rPr>
        <w:t>2</w:t>
      </w:r>
      <w:r>
        <w:rPr>
          <w:noProof/>
        </w:rPr>
        <w:t>.</w:t>
      </w:r>
    </w:p>
    <w:p>
      <w:pPr>
        <w:rPr>
          <w:noProof/>
        </w:rPr>
      </w:pPr>
    </w:p>
    <w:p>
      <w:pPr>
        <w:rPr>
          <w:noProof/>
        </w:rPr>
      </w:pPr>
      <w:r>
        <w:rPr>
          <w:noProof/>
        </w:rPr>
        <w:t>Valorile indicate în tabelele 1 și 2 pot fi multiplicate cu un factor de maximum 2 în zonele montane și în jurul aglomerărilor urbane, în măsura în care acest fapt este justificat de gradul mai redus de dispersie, de panta drumurilor, de altitudine și/sau de inversiunile de temperatură.”;</w:t>
      </w:r>
    </w:p>
    <w:p>
      <w:pPr>
        <w:rPr>
          <w:noProof/>
        </w:rPr>
      </w:pPr>
    </w:p>
    <w:p>
      <w:pPr>
        <w:rPr>
          <w:noProof/>
        </w:rPr>
      </w:pPr>
      <w:r>
        <w:rPr>
          <w:noProof/>
        </w:rPr>
        <w:t>(e)</w:t>
      </w:r>
      <w:r>
        <w:rPr>
          <w:noProof/>
        </w:rPr>
        <w:tab/>
        <w:t>în anexa IV, tabelul cu titlul „Combinații de vehicule (vehicule articulate și autotrenuri)” se înlocuiește cu următorul tabel:</w:t>
      </w:r>
    </w:p>
    <w:p>
      <w:pPr>
        <w:pStyle w:val="ManualHeading1"/>
        <w:ind w:left="851" w:hanging="851"/>
        <w:rPr>
          <w:noProof/>
        </w:rPr>
      </w:pPr>
      <w:r>
        <w:rPr>
          <w:b w:val="0"/>
          <w:noProof/>
        </w:rPr>
        <w:t>„</w:t>
      </w:r>
      <w:r>
        <w:rPr>
          <w:noProof/>
        </w:rPr>
        <w:t>Combinații de vehicule (vehicule articulate și autotrenuri)</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2"/>
        <w:gridCol w:w="48"/>
        <w:gridCol w:w="1929"/>
        <w:gridCol w:w="13"/>
        <w:gridCol w:w="21"/>
        <w:gridCol w:w="1802"/>
        <w:gridCol w:w="27"/>
        <w:gridCol w:w="1943"/>
        <w:gridCol w:w="6"/>
        <w:gridCol w:w="1659"/>
        <w:gridCol w:w="36"/>
      </w:tblGrid>
      <w:tr>
        <w:trPr>
          <w:gridAfter w:val="1"/>
          <w:wAfter w:w="36" w:type="dxa"/>
        </w:trPr>
        <w:tc>
          <w:tcPr>
            <w:tcW w:w="3807" w:type="dxa"/>
            <w:gridSpan w:val="4"/>
          </w:tcPr>
          <w:p>
            <w:pPr>
              <w:jc w:val="center"/>
              <w:rPr>
                <w:noProof/>
              </w:rPr>
            </w:pPr>
            <w:r>
              <w:rPr>
                <w:noProof/>
              </w:rPr>
              <w:t>Axe motoare cu suspensie pneumatică sau cu suspensie recunoscută ca echivalentă</w:t>
            </w:r>
          </w:p>
        </w:tc>
        <w:tc>
          <w:tcPr>
            <w:tcW w:w="3808" w:type="dxa"/>
            <w:gridSpan w:val="4"/>
          </w:tcPr>
          <w:p>
            <w:pPr>
              <w:jc w:val="center"/>
              <w:rPr>
                <w:noProof/>
              </w:rPr>
            </w:pPr>
            <w:r>
              <w:rPr>
                <w:noProof/>
              </w:rPr>
              <w:t>Alte sisteme de suspensie pentru axele motoare</w:t>
            </w:r>
          </w:p>
        </w:tc>
        <w:tc>
          <w:tcPr>
            <w:tcW w:w="1671" w:type="dxa"/>
            <w:gridSpan w:val="2"/>
          </w:tcPr>
          <w:p>
            <w:pPr>
              <w:jc w:val="center"/>
              <w:rPr>
                <w:noProof/>
              </w:rPr>
            </w:pPr>
            <w:r>
              <w:rPr>
                <w:noProof/>
              </w:rPr>
              <w:t>Clasa de daune</w:t>
            </w:r>
          </w:p>
        </w:tc>
      </w:tr>
      <w:tr>
        <w:trPr>
          <w:gridAfter w:val="1"/>
          <w:wAfter w:w="36" w:type="dxa"/>
        </w:trPr>
        <w:tc>
          <w:tcPr>
            <w:tcW w:w="3807" w:type="dxa"/>
            <w:gridSpan w:val="4"/>
          </w:tcPr>
          <w:p>
            <w:pPr>
              <w:jc w:val="center"/>
              <w:rPr>
                <w:noProof/>
              </w:rPr>
            </w:pPr>
            <w:r>
              <w:rPr>
                <w:noProof/>
              </w:rPr>
              <w:t>Numărul de axe și masa totală brută maximă autorizată (în tone)</w:t>
            </w:r>
          </w:p>
        </w:tc>
        <w:tc>
          <w:tcPr>
            <w:tcW w:w="3808" w:type="dxa"/>
            <w:gridSpan w:val="4"/>
          </w:tcPr>
          <w:p>
            <w:pPr>
              <w:jc w:val="center"/>
              <w:rPr>
                <w:noProof/>
              </w:rPr>
            </w:pPr>
            <w:r>
              <w:rPr>
                <w:noProof/>
              </w:rPr>
              <w:t>Numărul de axe și masa totală brută maximă autorizată (în tone)</w:t>
            </w:r>
          </w:p>
        </w:tc>
        <w:tc>
          <w:tcPr>
            <w:tcW w:w="1671" w:type="dxa"/>
            <w:gridSpan w:val="2"/>
          </w:tcPr>
          <w:p>
            <w:pPr>
              <w:jc w:val="center"/>
              <w:rPr>
                <w:noProof/>
              </w:rPr>
            </w:pPr>
          </w:p>
        </w:tc>
      </w:tr>
      <w:tr>
        <w:trPr>
          <w:gridAfter w:val="1"/>
          <w:wAfter w:w="36" w:type="dxa"/>
        </w:trPr>
        <w:tc>
          <w:tcPr>
            <w:tcW w:w="1857" w:type="dxa"/>
            <w:gridSpan w:val="2"/>
          </w:tcPr>
          <w:p>
            <w:pPr>
              <w:jc w:val="center"/>
              <w:rPr>
                <w:noProof/>
              </w:rPr>
            </w:pPr>
            <w:r>
              <w:rPr>
                <w:noProof/>
              </w:rPr>
              <w:t>Mai mare sau egal cu</w:t>
            </w:r>
          </w:p>
        </w:tc>
        <w:tc>
          <w:tcPr>
            <w:tcW w:w="1950" w:type="dxa"/>
            <w:gridSpan w:val="2"/>
          </w:tcPr>
          <w:p>
            <w:pPr>
              <w:jc w:val="center"/>
              <w:rPr>
                <w:noProof/>
              </w:rPr>
            </w:pPr>
            <w:r>
              <w:rPr>
                <w:noProof/>
              </w:rPr>
              <w:t>Mai mic decât</w:t>
            </w:r>
          </w:p>
        </w:tc>
        <w:tc>
          <w:tcPr>
            <w:tcW w:w="1857" w:type="dxa"/>
            <w:gridSpan w:val="3"/>
          </w:tcPr>
          <w:p>
            <w:pPr>
              <w:jc w:val="center"/>
              <w:rPr>
                <w:noProof/>
              </w:rPr>
            </w:pPr>
            <w:r>
              <w:rPr>
                <w:noProof/>
              </w:rPr>
              <w:t>Mai mare sau egal cu</w:t>
            </w:r>
          </w:p>
        </w:tc>
        <w:tc>
          <w:tcPr>
            <w:tcW w:w="1951" w:type="dxa"/>
          </w:tcPr>
          <w:p>
            <w:pPr>
              <w:jc w:val="center"/>
              <w:rPr>
                <w:noProof/>
              </w:rPr>
            </w:pPr>
            <w:r>
              <w:rPr>
                <w:noProof/>
              </w:rPr>
              <w:t>Mai mic decât</w:t>
            </w:r>
          </w:p>
        </w:tc>
        <w:tc>
          <w:tcPr>
            <w:tcW w:w="1671" w:type="dxa"/>
            <w:gridSpan w:val="2"/>
          </w:tcPr>
          <w:p>
            <w:pPr>
              <w:jc w:val="center"/>
              <w:rPr>
                <w:noProof/>
              </w:rPr>
            </w:pPr>
          </w:p>
        </w:tc>
      </w:tr>
      <w:tr>
        <w:trPr>
          <w:gridAfter w:val="1"/>
          <w:wAfter w:w="36" w:type="dxa"/>
        </w:trPr>
        <w:tc>
          <w:tcPr>
            <w:tcW w:w="7615" w:type="dxa"/>
            <w:gridSpan w:val="8"/>
          </w:tcPr>
          <w:p>
            <w:pPr>
              <w:jc w:val="left"/>
              <w:rPr>
                <w:noProof/>
              </w:rPr>
            </w:pPr>
            <w:r>
              <w:rPr>
                <w:i/>
                <w:noProof/>
              </w:rPr>
              <w:t>2 + 1 axe</w:t>
            </w:r>
          </w:p>
        </w:tc>
        <w:tc>
          <w:tcPr>
            <w:tcW w:w="1671" w:type="dxa"/>
            <w:gridSpan w:val="2"/>
          </w:tcPr>
          <w:p>
            <w:pPr>
              <w:jc w:val="left"/>
              <w:rPr>
                <w:noProof/>
              </w:rPr>
            </w:pPr>
          </w:p>
        </w:tc>
      </w:tr>
      <w:tr>
        <w:trPr>
          <w:gridAfter w:val="1"/>
          <w:wAfter w:w="36" w:type="dxa"/>
        </w:trPr>
        <w:tc>
          <w:tcPr>
            <w:tcW w:w="1857" w:type="dxa"/>
            <w:gridSpan w:val="2"/>
          </w:tcPr>
          <w:p>
            <w:pPr>
              <w:jc w:val="left"/>
              <w:rPr>
                <w:noProof/>
              </w:rPr>
            </w:pPr>
            <w:r>
              <w:rPr>
                <w:noProof/>
              </w:rPr>
              <w:t>7,5</w:t>
            </w:r>
          </w:p>
          <w:p>
            <w:pPr>
              <w:jc w:val="left"/>
              <w:rPr>
                <w:noProof/>
              </w:rPr>
            </w:pPr>
            <w:r>
              <w:rPr>
                <w:noProof/>
              </w:rPr>
              <w:t>12</w:t>
            </w:r>
          </w:p>
          <w:p>
            <w:pPr>
              <w:jc w:val="left"/>
              <w:rPr>
                <w:noProof/>
              </w:rPr>
            </w:pPr>
            <w:r>
              <w:rPr>
                <w:noProof/>
              </w:rPr>
              <w:t>14</w:t>
            </w:r>
          </w:p>
          <w:p>
            <w:pPr>
              <w:jc w:val="left"/>
              <w:rPr>
                <w:noProof/>
              </w:rPr>
            </w:pPr>
            <w:r>
              <w:rPr>
                <w:noProof/>
              </w:rPr>
              <w:t>16</w:t>
            </w:r>
          </w:p>
          <w:p>
            <w:pPr>
              <w:jc w:val="left"/>
              <w:rPr>
                <w:noProof/>
              </w:rPr>
            </w:pPr>
            <w:r>
              <w:rPr>
                <w:noProof/>
              </w:rPr>
              <w:t>18</w:t>
            </w:r>
          </w:p>
          <w:p>
            <w:pPr>
              <w:jc w:val="left"/>
              <w:rPr>
                <w:noProof/>
              </w:rPr>
            </w:pPr>
            <w:r>
              <w:rPr>
                <w:noProof/>
              </w:rPr>
              <w:t>20</w:t>
            </w:r>
          </w:p>
          <w:p>
            <w:pPr>
              <w:jc w:val="left"/>
              <w:rPr>
                <w:noProof/>
              </w:rPr>
            </w:pPr>
            <w:r>
              <w:rPr>
                <w:noProof/>
              </w:rPr>
              <w:t>22</w:t>
            </w:r>
          </w:p>
          <w:p>
            <w:pPr>
              <w:jc w:val="left"/>
              <w:rPr>
                <w:noProof/>
              </w:rPr>
            </w:pPr>
            <w:r>
              <w:rPr>
                <w:noProof/>
              </w:rPr>
              <w:t>23</w:t>
            </w:r>
          </w:p>
          <w:p>
            <w:pPr>
              <w:jc w:val="left"/>
              <w:rPr>
                <w:noProof/>
              </w:rPr>
            </w:pPr>
            <w:r>
              <w:rPr>
                <w:noProof/>
              </w:rPr>
              <w:t>25</w:t>
            </w:r>
          </w:p>
        </w:tc>
        <w:tc>
          <w:tcPr>
            <w:tcW w:w="1950" w:type="dxa"/>
            <w:gridSpan w:val="2"/>
          </w:tcPr>
          <w:p>
            <w:pPr>
              <w:jc w:val="left"/>
              <w:rPr>
                <w:noProof/>
              </w:rPr>
            </w:pPr>
            <w:r>
              <w:rPr>
                <w:noProof/>
              </w:rPr>
              <w:t>12</w:t>
            </w:r>
          </w:p>
          <w:p>
            <w:pPr>
              <w:jc w:val="left"/>
              <w:rPr>
                <w:noProof/>
              </w:rPr>
            </w:pPr>
            <w:r>
              <w:rPr>
                <w:noProof/>
              </w:rPr>
              <w:t>14</w:t>
            </w:r>
          </w:p>
          <w:p>
            <w:pPr>
              <w:jc w:val="left"/>
              <w:rPr>
                <w:noProof/>
              </w:rPr>
            </w:pPr>
            <w:r>
              <w:rPr>
                <w:noProof/>
              </w:rPr>
              <w:t>16</w:t>
            </w:r>
          </w:p>
          <w:p>
            <w:pPr>
              <w:jc w:val="left"/>
              <w:rPr>
                <w:noProof/>
              </w:rPr>
            </w:pPr>
            <w:r>
              <w:rPr>
                <w:noProof/>
              </w:rPr>
              <w:t>18</w:t>
            </w:r>
          </w:p>
          <w:p>
            <w:pPr>
              <w:jc w:val="left"/>
              <w:rPr>
                <w:noProof/>
              </w:rPr>
            </w:pPr>
            <w:r>
              <w:rPr>
                <w:noProof/>
              </w:rPr>
              <w:t>20</w:t>
            </w:r>
          </w:p>
          <w:p>
            <w:pPr>
              <w:jc w:val="left"/>
              <w:rPr>
                <w:noProof/>
              </w:rPr>
            </w:pPr>
            <w:r>
              <w:rPr>
                <w:noProof/>
              </w:rPr>
              <w:t>22</w:t>
            </w:r>
          </w:p>
          <w:p>
            <w:pPr>
              <w:jc w:val="left"/>
              <w:rPr>
                <w:noProof/>
              </w:rPr>
            </w:pPr>
            <w:r>
              <w:rPr>
                <w:noProof/>
              </w:rPr>
              <w:t>23</w:t>
            </w:r>
          </w:p>
          <w:p>
            <w:pPr>
              <w:jc w:val="left"/>
              <w:rPr>
                <w:noProof/>
              </w:rPr>
            </w:pPr>
            <w:r>
              <w:rPr>
                <w:noProof/>
              </w:rPr>
              <w:t>25</w:t>
            </w:r>
          </w:p>
          <w:p>
            <w:pPr>
              <w:jc w:val="left"/>
              <w:rPr>
                <w:noProof/>
              </w:rPr>
            </w:pPr>
            <w:r>
              <w:rPr>
                <w:noProof/>
              </w:rPr>
              <w:t>28</w:t>
            </w:r>
          </w:p>
        </w:tc>
        <w:tc>
          <w:tcPr>
            <w:tcW w:w="1857" w:type="dxa"/>
            <w:gridSpan w:val="3"/>
          </w:tcPr>
          <w:p>
            <w:pPr>
              <w:jc w:val="left"/>
              <w:rPr>
                <w:noProof/>
              </w:rPr>
            </w:pPr>
            <w:r>
              <w:rPr>
                <w:noProof/>
              </w:rPr>
              <w:t>7,5</w:t>
            </w:r>
          </w:p>
          <w:p>
            <w:pPr>
              <w:jc w:val="left"/>
              <w:rPr>
                <w:noProof/>
              </w:rPr>
            </w:pPr>
            <w:r>
              <w:rPr>
                <w:noProof/>
              </w:rPr>
              <w:t>12</w:t>
            </w:r>
          </w:p>
          <w:p>
            <w:pPr>
              <w:jc w:val="left"/>
              <w:rPr>
                <w:noProof/>
              </w:rPr>
            </w:pPr>
            <w:r>
              <w:rPr>
                <w:noProof/>
              </w:rPr>
              <w:t>14</w:t>
            </w:r>
          </w:p>
          <w:p>
            <w:pPr>
              <w:jc w:val="left"/>
              <w:rPr>
                <w:noProof/>
              </w:rPr>
            </w:pPr>
            <w:r>
              <w:rPr>
                <w:noProof/>
              </w:rPr>
              <w:t>16</w:t>
            </w:r>
          </w:p>
          <w:p>
            <w:pPr>
              <w:jc w:val="left"/>
              <w:rPr>
                <w:noProof/>
              </w:rPr>
            </w:pPr>
            <w:r>
              <w:rPr>
                <w:noProof/>
              </w:rPr>
              <w:t>18</w:t>
            </w:r>
          </w:p>
          <w:p>
            <w:pPr>
              <w:jc w:val="left"/>
              <w:rPr>
                <w:noProof/>
              </w:rPr>
            </w:pPr>
            <w:r>
              <w:rPr>
                <w:noProof/>
              </w:rPr>
              <w:t>20</w:t>
            </w:r>
          </w:p>
          <w:p>
            <w:pPr>
              <w:jc w:val="left"/>
              <w:rPr>
                <w:noProof/>
              </w:rPr>
            </w:pPr>
            <w:r>
              <w:rPr>
                <w:noProof/>
              </w:rPr>
              <w:t>22</w:t>
            </w:r>
          </w:p>
          <w:p>
            <w:pPr>
              <w:jc w:val="left"/>
              <w:rPr>
                <w:noProof/>
              </w:rPr>
            </w:pPr>
            <w:r>
              <w:rPr>
                <w:noProof/>
              </w:rPr>
              <w:t>23</w:t>
            </w:r>
          </w:p>
          <w:p>
            <w:pPr>
              <w:jc w:val="left"/>
              <w:rPr>
                <w:noProof/>
              </w:rPr>
            </w:pPr>
            <w:r>
              <w:rPr>
                <w:noProof/>
              </w:rPr>
              <w:t>25</w:t>
            </w:r>
          </w:p>
        </w:tc>
        <w:tc>
          <w:tcPr>
            <w:tcW w:w="1951" w:type="dxa"/>
          </w:tcPr>
          <w:p>
            <w:pPr>
              <w:jc w:val="left"/>
              <w:rPr>
                <w:noProof/>
              </w:rPr>
            </w:pPr>
            <w:r>
              <w:rPr>
                <w:noProof/>
              </w:rPr>
              <w:t>12</w:t>
            </w:r>
          </w:p>
          <w:p>
            <w:pPr>
              <w:jc w:val="left"/>
              <w:rPr>
                <w:noProof/>
              </w:rPr>
            </w:pPr>
            <w:r>
              <w:rPr>
                <w:noProof/>
              </w:rPr>
              <w:t>14</w:t>
            </w:r>
          </w:p>
          <w:p>
            <w:pPr>
              <w:jc w:val="left"/>
              <w:rPr>
                <w:noProof/>
              </w:rPr>
            </w:pPr>
            <w:r>
              <w:rPr>
                <w:noProof/>
              </w:rPr>
              <w:t>16</w:t>
            </w:r>
          </w:p>
          <w:p>
            <w:pPr>
              <w:jc w:val="left"/>
              <w:rPr>
                <w:noProof/>
              </w:rPr>
            </w:pPr>
            <w:r>
              <w:rPr>
                <w:noProof/>
              </w:rPr>
              <w:t>18</w:t>
            </w:r>
          </w:p>
          <w:p>
            <w:pPr>
              <w:jc w:val="left"/>
              <w:rPr>
                <w:noProof/>
              </w:rPr>
            </w:pPr>
            <w:r>
              <w:rPr>
                <w:noProof/>
              </w:rPr>
              <w:t>20</w:t>
            </w:r>
          </w:p>
          <w:p>
            <w:pPr>
              <w:jc w:val="left"/>
              <w:rPr>
                <w:noProof/>
              </w:rPr>
            </w:pPr>
            <w:r>
              <w:rPr>
                <w:noProof/>
              </w:rPr>
              <w:t>22</w:t>
            </w:r>
          </w:p>
          <w:p>
            <w:pPr>
              <w:jc w:val="left"/>
              <w:rPr>
                <w:noProof/>
              </w:rPr>
            </w:pPr>
            <w:r>
              <w:rPr>
                <w:noProof/>
              </w:rPr>
              <w:t>23</w:t>
            </w:r>
          </w:p>
          <w:p>
            <w:pPr>
              <w:jc w:val="left"/>
              <w:rPr>
                <w:noProof/>
              </w:rPr>
            </w:pPr>
            <w:r>
              <w:rPr>
                <w:noProof/>
              </w:rPr>
              <w:t>25</w:t>
            </w:r>
          </w:p>
          <w:p>
            <w:pPr>
              <w:jc w:val="left"/>
              <w:rPr>
                <w:noProof/>
              </w:rPr>
            </w:pPr>
            <w:r>
              <w:rPr>
                <w:noProof/>
              </w:rPr>
              <w:t>28</w:t>
            </w:r>
          </w:p>
        </w:tc>
        <w:tc>
          <w:tcPr>
            <w:tcW w:w="1671" w:type="dxa"/>
            <w:gridSpan w:val="2"/>
          </w:tcPr>
          <w:p>
            <w:pPr>
              <w:jc w:val="left"/>
              <w:rPr>
                <w:noProof/>
              </w:rPr>
            </w:pPr>
            <w:r>
              <w:rPr>
                <w:noProof/>
              </w:rPr>
              <w:t>I</w:t>
            </w:r>
          </w:p>
        </w:tc>
      </w:tr>
      <w:tr>
        <w:trPr>
          <w:gridAfter w:val="1"/>
          <w:wAfter w:w="36" w:type="dxa"/>
        </w:trPr>
        <w:tc>
          <w:tcPr>
            <w:tcW w:w="7615" w:type="dxa"/>
            <w:gridSpan w:val="8"/>
          </w:tcPr>
          <w:p>
            <w:pPr>
              <w:jc w:val="left"/>
              <w:rPr>
                <w:noProof/>
              </w:rPr>
            </w:pPr>
            <w:r>
              <w:rPr>
                <w:i/>
                <w:noProof/>
              </w:rPr>
              <w:t>2 + 2 axe</w:t>
            </w:r>
          </w:p>
        </w:tc>
        <w:tc>
          <w:tcPr>
            <w:tcW w:w="1671" w:type="dxa"/>
            <w:gridSpan w:val="2"/>
          </w:tcPr>
          <w:p>
            <w:pPr>
              <w:jc w:val="left"/>
              <w:rPr>
                <w:noProof/>
              </w:rPr>
            </w:pPr>
          </w:p>
        </w:tc>
      </w:tr>
      <w:tr>
        <w:trPr>
          <w:gridAfter w:val="1"/>
          <w:wAfter w:w="36" w:type="dxa"/>
        </w:trPr>
        <w:tc>
          <w:tcPr>
            <w:tcW w:w="1857" w:type="dxa"/>
            <w:gridSpan w:val="2"/>
          </w:tcPr>
          <w:p>
            <w:pPr>
              <w:jc w:val="left"/>
              <w:rPr>
                <w:noProof/>
              </w:rPr>
            </w:pPr>
            <w:r>
              <w:rPr>
                <w:noProof/>
              </w:rPr>
              <w:t>23</w:t>
            </w:r>
          </w:p>
          <w:p>
            <w:pPr>
              <w:jc w:val="left"/>
              <w:rPr>
                <w:noProof/>
              </w:rPr>
            </w:pPr>
            <w:r>
              <w:rPr>
                <w:noProof/>
              </w:rPr>
              <w:t>25</w:t>
            </w:r>
          </w:p>
          <w:p>
            <w:pPr>
              <w:jc w:val="left"/>
              <w:rPr>
                <w:noProof/>
              </w:rPr>
            </w:pPr>
            <w:r>
              <w:rPr>
                <w:noProof/>
              </w:rPr>
              <w:t>26</w:t>
            </w:r>
          </w:p>
          <w:p>
            <w:pPr>
              <w:jc w:val="left"/>
              <w:rPr>
                <w:noProof/>
              </w:rPr>
            </w:pPr>
            <w:r>
              <w:rPr>
                <w:noProof/>
              </w:rPr>
              <w:t>28</w:t>
            </w:r>
          </w:p>
        </w:tc>
        <w:tc>
          <w:tcPr>
            <w:tcW w:w="1950" w:type="dxa"/>
            <w:gridSpan w:val="2"/>
          </w:tcPr>
          <w:p>
            <w:pPr>
              <w:jc w:val="left"/>
              <w:rPr>
                <w:noProof/>
              </w:rPr>
            </w:pPr>
            <w:r>
              <w:rPr>
                <w:noProof/>
              </w:rPr>
              <w:t>25</w:t>
            </w:r>
          </w:p>
          <w:p>
            <w:pPr>
              <w:jc w:val="left"/>
              <w:rPr>
                <w:noProof/>
              </w:rPr>
            </w:pPr>
            <w:r>
              <w:rPr>
                <w:noProof/>
              </w:rPr>
              <w:t>26</w:t>
            </w:r>
          </w:p>
          <w:p>
            <w:pPr>
              <w:jc w:val="left"/>
              <w:rPr>
                <w:noProof/>
              </w:rPr>
            </w:pPr>
            <w:r>
              <w:rPr>
                <w:noProof/>
              </w:rPr>
              <w:t>28</w:t>
            </w:r>
          </w:p>
          <w:p>
            <w:pPr>
              <w:jc w:val="left"/>
              <w:rPr>
                <w:noProof/>
              </w:rPr>
            </w:pPr>
            <w:r>
              <w:rPr>
                <w:noProof/>
              </w:rPr>
              <w:t>29</w:t>
            </w:r>
          </w:p>
        </w:tc>
        <w:tc>
          <w:tcPr>
            <w:tcW w:w="1857" w:type="dxa"/>
            <w:gridSpan w:val="3"/>
          </w:tcPr>
          <w:p>
            <w:pPr>
              <w:jc w:val="left"/>
              <w:rPr>
                <w:noProof/>
              </w:rPr>
            </w:pPr>
            <w:r>
              <w:rPr>
                <w:noProof/>
              </w:rPr>
              <w:t>23</w:t>
            </w:r>
          </w:p>
          <w:p>
            <w:pPr>
              <w:jc w:val="left"/>
              <w:rPr>
                <w:noProof/>
              </w:rPr>
            </w:pPr>
            <w:r>
              <w:rPr>
                <w:noProof/>
              </w:rPr>
              <w:t>25</w:t>
            </w:r>
          </w:p>
          <w:p>
            <w:pPr>
              <w:jc w:val="left"/>
              <w:rPr>
                <w:noProof/>
              </w:rPr>
            </w:pPr>
            <w:r>
              <w:rPr>
                <w:noProof/>
              </w:rPr>
              <w:t>26</w:t>
            </w:r>
          </w:p>
          <w:p>
            <w:pPr>
              <w:jc w:val="left"/>
              <w:rPr>
                <w:noProof/>
              </w:rPr>
            </w:pPr>
            <w:r>
              <w:rPr>
                <w:noProof/>
              </w:rPr>
              <w:t>28</w:t>
            </w:r>
          </w:p>
        </w:tc>
        <w:tc>
          <w:tcPr>
            <w:tcW w:w="1951" w:type="dxa"/>
          </w:tcPr>
          <w:p>
            <w:pPr>
              <w:jc w:val="left"/>
              <w:rPr>
                <w:noProof/>
              </w:rPr>
            </w:pPr>
            <w:r>
              <w:rPr>
                <w:noProof/>
              </w:rPr>
              <w:t>25</w:t>
            </w:r>
          </w:p>
          <w:p>
            <w:pPr>
              <w:jc w:val="left"/>
              <w:rPr>
                <w:noProof/>
              </w:rPr>
            </w:pPr>
            <w:r>
              <w:rPr>
                <w:noProof/>
              </w:rPr>
              <w:t>26</w:t>
            </w:r>
          </w:p>
          <w:p>
            <w:pPr>
              <w:jc w:val="left"/>
              <w:rPr>
                <w:noProof/>
              </w:rPr>
            </w:pPr>
            <w:r>
              <w:rPr>
                <w:noProof/>
              </w:rPr>
              <w:t>28</w:t>
            </w:r>
          </w:p>
          <w:p>
            <w:pPr>
              <w:jc w:val="left"/>
              <w:rPr>
                <w:noProof/>
              </w:rPr>
            </w:pPr>
            <w:r>
              <w:rPr>
                <w:noProof/>
              </w:rPr>
              <w:t>29</w:t>
            </w:r>
          </w:p>
        </w:tc>
        <w:tc>
          <w:tcPr>
            <w:tcW w:w="1671" w:type="dxa"/>
            <w:gridSpan w:val="2"/>
          </w:tcPr>
          <w:p>
            <w:pPr>
              <w:jc w:val="left"/>
              <w:rPr>
                <w:noProof/>
              </w:rPr>
            </w:pPr>
          </w:p>
        </w:tc>
      </w:tr>
      <w:tr>
        <w:trPr>
          <w:gridAfter w:val="1"/>
          <w:wAfter w:w="36" w:type="dxa"/>
        </w:trPr>
        <w:tc>
          <w:tcPr>
            <w:tcW w:w="1857" w:type="dxa"/>
            <w:gridSpan w:val="2"/>
          </w:tcPr>
          <w:p>
            <w:pPr>
              <w:jc w:val="left"/>
              <w:rPr>
                <w:noProof/>
              </w:rPr>
            </w:pPr>
            <w:r>
              <w:rPr>
                <w:noProof/>
              </w:rPr>
              <w:t>29</w:t>
            </w:r>
          </w:p>
        </w:tc>
        <w:tc>
          <w:tcPr>
            <w:tcW w:w="1950" w:type="dxa"/>
            <w:gridSpan w:val="2"/>
          </w:tcPr>
          <w:p>
            <w:pPr>
              <w:jc w:val="left"/>
              <w:rPr>
                <w:noProof/>
              </w:rPr>
            </w:pPr>
            <w:r>
              <w:rPr>
                <w:noProof/>
              </w:rPr>
              <w:t>31</w:t>
            </w:r>
          </w:p>
        </w:tc>
        <w:tc>
          <w:tcPr>
            <w:tcW w:w="1857" w:type="dxa"/>
            <w:gridSpan w:val="3"/>
          </w:tcPr>
          <w:p>
            <w:pPr>
              <w:jc w:val="left"/>
              <w:rPr>
                <w:noProof/>
              </w:rPr>
            </w:pPr>
            <w:r>
              <w:rPr>
                <w:noProof/>
              </w:rPr>
              <w:t>29</w:t>
            </w:r>
          </w:p>
        </w:tc>
        <w:tc>
          <w:tcPr>
            <w:tcW w:w="1951" w:type="dxa"/>
          </w:tcPr>
          <w:p>
            <w:pPr>
              <w:jc w:val="left"/>
              <w:rPr>
                <w:noProof/>
              </w:rPr>
            </w:pPr>
            <w:r>
              <w:rPr>
                <w:noProof/>
              </w:rPr>
              <w:t>31</w:t>
            </w:r>
          </w:p>
        </w:tc>
        <w:tc>
          <w:tcPr>
            <w:tcW w:w="1671" w:type="dxa"/>
            <w:gridSpan w:val="2"/>
          </w:tcPr>
          <w:p>
            <w:pPr>
              <w:jc w:val="left"/>
              <w:rPr>
                <w:noProof/>
              </w:rPr>
            </w:pPr>
            <w:r>
              <w:rPr>
                <w:noProof/>
              </w:rPr>
              <w:t>II</w:t>
            </w:r>
          </w:p>
        </w:tc>
      </w:tr>
      <w:tr>
        <w:trPr>
          <w:gridAfter w:val="1"/>
          <w:wAfter w:w="36" w:type="dxa"/>
        </w:trPr>
        <w:tc>
          <w:tcPr>
            <w:tcW w:w="1857" w:type="dxa"/>
            <w:gridSpan w:val="2"/>
          </w:tcPr>
          <w:p>
            <w:pPr>
              <w:jc w:val="left"/>
              <w:rPr>
                <w:noProof/>
              </w:rPr>
            </w:pPr>
            <w:r>
              <w:rPr>
                <w:noProof/>
              </w:rPr>
              <w:t>31</w:t>
            </w:r>
          </w:p>
        </w:tc>
        <w:tc>
          <w:tcPr>
            <w:tcW w:w="1950" w:type="dxa"/>
            <w:gridSpan w:val="2"/>
          </w:tcPr>
          <w:p>
            <w:pPr>
              <w:jc w:val="left"/>
              <w:rPr>
                <w:noProof/>
              </w:rPr>
            </w:pPr>
            <w:r>
              <w:rPr>
                <w:noProof/>
              </w:rPr>
              <w:t>33</w:t>
            </w:r>
          </w:p>
        </w:tc>
        <w:tc>
          <w:tcPr>
            <w:tcW w:w="1857" w:type="dxa"/>
            <w:gridSpan w:val="3"/>
          </w:tcPr>
          <w:p>
            <w:pPr>
              <w:jc w:val="left"/>
              <w:rPr>
                <w:noProof/>
              </w:rPr>
            </w:pPr>
            <w:r>
              <w:rPr>
                <w:noProof/>
              </w:rPr>
              <w:t>31</w:t>
            </w:r>
          </w:p>
        </w:tc>
        <w:tc>
          <w:tcPr>
            <w:tcW w:w="1951" w:type="dxa"/>
          </w:tcPr>
          <w:p>
            <w:pPr>
              <w:jc w:val="left"/>
              <w:rPr>
                <w:noProof/>
              </w:rPr>
            </w:pPr>
            <w:r>
              <w:rPr>
                <w:noProof/>
              </w:rPr>
              <w:t>33</w:t>
            </w:r>
          </w:p>
        </w:tc>
        <w:tc>
          <w:tcPr>
            <w:tcW w:w="1671" w:type="dxa"/>
            <w:gridSpan w:val="2"/>
          </w:tcPr>
          <w:p>
            <w:pPr>
              <w:jc w:val="left"/>
              <w:rPr>
                <w:noProof/>
              </w:rPr>
            </w:pPr>
          </w:p>
        </w:tc>
      </w:tr>
      <w:tr>
        <w:trPr>
          <w:gridAfter w:val="1"/>
          <w:wAfter w:w="36" w:type="dxa"/>
        </w:trPr>
        <w:tc>
          <w:tcPr>
            <w:tcW w:w="1857" w:type="dxa"/>
            <w:gridSpan w:val="2"/>
          </w:tcPr>
          <w:p>
            <w:pPr>
              <w:jc w:val="left"/>
              <w:rPr>
                <w:noProof/>
              </w:rPr>
            </w:pPr>
            <w:r>
              <w:rPr>
                <w:noProof/>
              </w:rPr>
              <w:t>33</w:t>
            </w:r>
          </w:p>
          <w:p>
            <w:pPr>
              <w:jc w:val="left"/>
              <w:rPr>
                <w:noProof/>
              </w:rPr>
            </w:pPr>
            <w:r>
              <w:rPr>
                <w:noProof/>
              </w:rPr>
              <w:t>36</w:t>
            </w:r>
          </w:p>
        </w:tc>
        <w:tc>
          <w:tcPr>
            <w:tcW w:w="1950" w:type="dxa"/>
            <w:gridSpan w:val="2"/>
          </w:tcPr>
          <w:p>
            <w:pPr>
              <w:jc w:val="left"/>
              <w:rPr>
                <w:noProof/>
              </w:rPr>
            </w:pPr>
            <w:r>
              <w:rPr>
                <w:noProof/>
              </w:rPr>
              <w:t>36</w:t>
            </w:r>
          </w:p>
          <w:p>
            <w:pPr>
              <w:jc w:val="left"/>
              <w:rPr>
                <w:noProof/>
              </w:rPr>
            </w:pPr>
            <w:r>
              <w:rPr>
                <w:noProof/>
              </w:rPr>
              <w:t>38</w:t>
            </w:r>
          </w:p>
        </w:tc>
        <w:tc>
          <w:tcPr>
            <w:tcW w:w="1857" w:type="dxa"/>
            <w:gridSpan w:val="3"/>
          </w:tcPr>
          <w:p>
            <w:pPr>
              <w:jc w:val="left"/>
              <w:rPr>
                <w:noProof/>
              </w:rPr>
            </w:pPr>
            <w:r>
              <w:rPr>
                <w:noProof/>
              </w:rPr>
              <w:t>33</w:t>
            </w:r>
          </w:p>
        </w:tc>
        <w:tc>
          <w:tcPr>
            <w:tcW w:w="1951" w:type="dxa"/>
          </w:tcPr>
          <w:p>
            <w:pPr>
              <w:jc w:val="left"/>
              <w:rPr>
                <w:noProof/>
              </w:rPr>
            </w:pPr>
            <w:r>
              <w:rPr>
                <w:noProof/>
              </w:rPr>
              <w:t>36</w:t>
            </w:r>
          </w:p>
        </w:tc>
        <w:tc>
          <w:tcPr>
            <w:tcW w:w="1671" w:type="dxa"/>
            <w:gridSpan w:val="2"/>
          </w:tcPr>
          <w:p>
            <w:pPr>
              <w:jc w:val="left"/>
              <w:rPr>
                <w:noProof/>
              </w:rPr>
            </w:pPr>
            <w:r>
              <w:rPr>
                <w:noProof/>
              </w:rPr>
              <w:t>III</w:t>
            </w:r>
          </w:p>
        </w:tc>
      </w:tr>
      <w:tr>
        <w:trPr>
          <w:gridAfter w:val="1"/>
          <w:wAfter w:w="36" w:type="dxa"/>
        </w:trPr>
        <w:tc>
          <w:tcPr>
            <w:tcW w:w="7615" w:type="dxa"/>
            <w:gridSpan w:val="8"/>
          </w:tcPr>
          <w:p>
            <w:pPr>
              <w:jc w:val="left"/>
              <w:rPr>
                <w:noProof/>
              </w:rPr>
            </w:pPr>
            <w:r>
              <w:rPr>
                <w:i/>
                <w:noProof/>
              </w:rPr>
              <w:t>2 + 3 axe</w:t>
            </w:r>
          </w:p>
        </w:tc>
        <w:tc>
          <w:tcPr>
            <w:tcW w:w="1671" w:type="dxa"/>
            <w:gridSpan w:val="2"/>
          </w:tcPr>
          <w:p>
            <w:pPr>
              <w:jc w:val="left"/>
              <w:rPr>
                <w:noProof/>
              </w:rPr>
            </w:pPr>
            <w:r>
              <w:rPr>
                <w:noProof/>
              </w:rPr>
              <w:t>II</w:t>
            </w:r>
          </w:p>
        </w:tc>
      </w:tr>
      <w:tr>
        <w:trPr>
          <w:gridAfter w:val="1"/>
          <w:wAfter w:w="36" w:type="dxa"/>
        </w:trPr>
        <w:tc>
          <w:tcPr>
            <w:tcW w:w="1857" w:type="dxa"/>
            <w:gridSpan w:val="2"/>
          </w:tcPr>
          <w:p>
            <w:pPr>
              <w:jc w:val="left"/>
              <w:rPr>
                <w:noProof/>
              </w:rPr>
            </w:pPr>
            <w:r>
              <w:rPr>
                <w:noProof/>
              </w:rPr>
              <w:lastRenderedPageBreak/>
              <w:t>36</w:t>
            </w:r>
          </w:p>
          <w:p>
            <w:pPr>
              <w:jc w:val="left"/>
              <w:rPr>
                <w:noProof/>
              </w:rPr>
            </w:pPr>
            <w:r>
              <w:rPr>
                <w:noProof/>
              </w:rPr>
              <w:t>38</w:t>
            </w:r>
          </w:p>
        </w:tc>
        <w:tc>
          <w:tcPr>
            <w:tcW w:w="1950" w:type="dxa"/>
            <w:gridSpan w:val="2"/>
          </w:tcPr>
          <w:p>
            <w:pPr>
              <w:jc w:val="left"/>
              <w:rPr>
                <w:noProof/>
              </w:rPr>
            </w:pPr>
            <w:r>
              <w:rPr>
                <w:noProof/>
              </w:rPr>
              <w:t>38</w:t>
            </w:r>
          </w:p>
          <w:p>
            <w:pPr>
              <w:jc w:val="left"/>
              <w:rPr>
                <w:noProof/>
              </w:rPr>
            </w:pPr>
            <w:r>
              <w:rPr>
                <w:noProof/>
              </w:rPr>
              <w:t>40</w:t>
            </w:r>
          </w:p>
        </w:tc>
        <w:tc>
          <w:tcPr>
            <w:tcW w:w="1857" w:type="dxa"/>
            <w:gridSpan w:val="3"/>
          </w:tcPr>
          <w:p>
            <w:pPr>
              <w:jc w:val="left"/>
              <w:rPr>
                <w:noProof/>
              </w:rPr>
            </w:pPr>
            <w:r>
              <w:rPr>
                <w:noProof/>
              </w:rPr>
              <w:t>36</w:t>
            </w:r>
          </w:p>
        </w:tc>
        <w:tc>
          <w:tcPr>
            <w:tcW w:w="1951" w:type="dxa"/>
          </w:tcPr>
          <w:p>
            <w:pPr>
              <w:jc w:val="left"/>
              <w:rPr>
                <w:noProof/>
              </w:rPr>
            </w:pPr>
            <w:r>
              <w:rPr>
                <w:noProof/>
              </w:rPr>
              <w:t>38</w:t>
            </w:r>
          </w:p>
        </w:tc>
        <w:tc>
          <w:tcPr>
            <w:tcW w:w="1671" w:type="dxa"/>
            <w:gridSpan w:val="2"/>
          </w:tcPr>
          <w:p>
            <w:pPr>
              <w:jc w:val="left"/>
              <w:rPr>
                <w:noProof/>
              </w:rPr>
            </w:pPr>
          </w:p>
        </w:tc>
      </w:tr>
      <w:tr>
        <w:trPr>
          <w:gridAfter w:val="1"/>
          <w:wAfter w:w="36" w:type="dxa"/>
        </w:trPr>
        <w:tc>
          <w:tcPr>
            <w:tcW w:w="1857" w:type="dxa"/>
            <w:gridSpan w:val="2"/>
          </w:tcPr>
          <w:p>
            <w:pPr>
              <w:adjustRightInd w:val="0"/>
              <w:spacing w:before="0" w:after="0"/>
              <w:jc w:val="left"/>
              <w:rPr>
                <w:noProof/>
              </w:rPr>
            </w:pPr>
          </w:p>
        </w:tc>
        <w:tc>
          <w:tcPr>
            <w:tcW w:w="1950" w:type="dxa"/>
            <w:gridSpan w:val="2"/>
          </w:tcPr>
          <w:p>
            <w:pPr>
              <w:adjustRightInd w:val="0"/>
              <w:spacing w:before="0" w:after="0"/>
              <w:jc w:val="left"/>
              <w:rPr>
                <w:noProof/>
              </w:rPr>
            </w:pPr>
          </w:p>
        </w:tc>
        <w:tc>
          <w:tcPr>
            <w:tcW w:w="1857" w:type="dxa"/>
            <w:gridSpan w:val="3"/>
          </w:tcPr>
          <w:p>
            <w:pPr>
              <w:jc w:val="left"/>
              <w:rPr>
                <w:noProof/>
              </w:rPr>
            </w:pPr>
            <w:r>
              <w:rPr>
                <w:noProof/>
              </w:rPr>
              <w:t>38</w:t>
            </w:r>
          </w:p>
        </w:tc>
        <w:tc>
          <w:tcPr>
            <w:tcW w:w="1951" w:type="dxa"/>
          </w:tcPr>
          <w:p>
            <w:pPr>
              <w:jc w:val="left"/>
              <w:rPr>
                <w:noProof/>
              </w:rPr>
            </w:pPr>
            <w:r>
              <w:rPr>
                <w:noProof/>
              </w:rPr>
              <w:t>40</w:t>
            </w:r>
          </w:p>
        </w:tc>
        <w:tc>
          <w:tcPr>
            <w:tcW w:w="1671" w:type="dxa"/>
            <w:gridSpan w:val="2"/>
          </w:tcPr>
          <w:p>
            <w:pPr>
              <w:jc w:val="left"/>
              <w:rPr>
                <w:noProof/>
              </w:rPr>
            </w:pPr>
            <w:r>
              <w:rPr>
                <w:noProof/>
              </w:rPr>
              <w:t>III</w:t>
            </w:r>
          </w:p>
        </w:tc>
      </w:tr>
      <w:tr>
        <w:trPr>
          <w:gridAfter w:val="1"/>
          <w:wAfter w:w="36" w:type="dxa"/>
        </w:trPr>
        <w:tc>
          <w:tcPr>
            <w:tcW w:w="7615" w:type="dxa"/>
            <w:gridSpan w:val="8"/>
          </w:tcPr>
          <w:p>
            <w:pPr>
              <w:jc w:val="left"/>
              <w:rPr>
                <w:noProof/>
              </w:rPr>
            </w:pPr>
            <w:r>
              <w:rPr>
                <w:i/>
                <w:noProof/>
              </w:rPr>
              <w:t>3 + 2 axe</w:t>
            </w:r>
          </w:p>
        </w:tc>
        <w:tc>
          <w:tcPr>
            <w:tcW w:w="1671" w:type="dxa"/>
            <w:gridSpan w:val="2"/>
          </w:tcPr>
          <w:p>
            <w:pPr>
              <w:jc w:val="left"/>
              <w:rPr>
                <w:noProof/>
              </w:rPr>
            </w:pPr>
            <w:r>
              <w:rPr>
                <w:noProof/>
              </w:rPr>
              <w:t>II</w:t>
            </w:r>
          </w:p>
        </w:tc>
      </w:tr>
      <w:tr>
        <w:trPr>
          <w:gridAfter w:val="1"/>
          <w:wAfter w:w="36" w:type="dxa"/>
        </w:trPr>
        <w:tc>
          <w:tcPr>
            <w:tcW w:w="1857" w:type="dxa"/>
            <w:gridSpan w:val="2"/>
          </w:tcPr>
          <w:p>
            <w:pPr>
              <w:jc w:val="left"/>
              <w:rPr>
                <w:noProof/>
              </w:rPr>
            </w:pPr>
            <w:r>
              <w:rPr>
                <w:noProof/>
              </w:rPr>
              <w:t>36</w:t>
            </w:r>
          </w:p>
          <w:p>
            <w:pPr>
              <w:jc w:val="left"/>
              <w:rPr>
                <w:noProof/>
              </w:rPr>
            </w:pPr>
            <w:r>
              <w:rPr>
                <w:noProof/>
              </w:rPr>
              <w:t>38</w:t>
            </w:r>
          </w:p>
        </w:tc>
        <w:tc>
          <w:tcPr>
            <w:tcW w:w="1950" w:type="dxa"/>
            <w:gridSpan w:val="2"/>
          </w:tcPr>
          <w:p>
            <w:pPr>
              <w:jc w:val="left"/>
              <w:rPr>
                <w:noProof/>
              </w:rPr>
            </w:pPr>
            <w:r>
              <w:rPr>
                <w:noProof/>
              </w:rPr>
              <w:t>38</w:t>
            </w:r>
          </w:p>
          <w:p>
            <w:pPr>
              <w:jc w:val="left"/>
              <w:rPr>
                <w:noProof/>
              </w:rPr>
            </w:pPr>
            <w:r>
              <w:rPr>
                <w:noProof/>
              </w:rPr>
              <w:t>40</w:t>
            </w:r>
          </w:p>
        </w:tc>
        <w:tc>
          <w:tcPr>
            <w:tcW w:w="1857" w:type="dxa"/>
            <w:gridSpan w:val="3"/>
          </w:tcPr>
          <w:p>
            <w:pPr>
              <w:jc w:val="left"/>
              <w:rPr>
                <w:noProof/>
              </w:rPr>
            </w:pPr>
            <w:r>
              <w:rPr>
                <w:noProof/>
              </w:rPr>
              <w:t>36</w:t>
            </w:r>
          </w:p>
        </w:tc>
        <w:tc>
          <w:tcPr>
            <w:tcW w:w="1951" w:type="dxa"/>
          </w:tcPr>
          <w:p>
            <w:pPr>
              <w:jc w:val="left"/>
              <w:rPr>
                <w:noProof/>
              </w:rPr>
            </w:pPr>
            <w:r>
              <w:rPr>
                <w:noProof/>
              </w:rPr>
              <w:t>38</w:t>
            </w:r>
          </w:p>
        </w:tc>
        <w:tc>
          <w:tcPr>
            <w:tcW w:w="1671" w:type="dxa"/>
            <w:gridSpan w:val="2"/>
          </w:tcPr>
          <w:p>
            <w:pPr>
              <w:jc w:val="left"/>
              <w:rPr>
                <w:noProof/>
              </w:rPr>
            </w:pPr>
          </w:p>
        </w:tc>
      </w:tr>
      <w:tr>
        <w:trPr>
          <w:gridAfter w:val="1"/>
          <w:wAfter w:w="36" w:type="dxa"/>
        </w:trPr>
        <w:tc>
          <w:tcPr>
            <w:tcW w:w="1857" w:type="dxa"/>
            <w:gridSpan w:val="2"/>
          </w:tcPr>
          <w:p>
            <w:pPr>
              <w:adjustRightInd w:val="0"/>
              <w:spacing w:before="0" w:after="0"/>
              <w:jc w:val="left"/>
              <w:rPr>
                <w:noProof/>
              </w:rPr>
            </w:pPr>
          </w:p>
        </w:tc>
        <w:tc>
          <w:tcPr>
            <w:tcW w:w="1950" w:type="dxa"/>
            <w:gridSpan w:val="2"/>
          </w:tcPr>
          <w:p>
            <w:pPr>
              <w:adjustRightInd w:val="0"/>
              <w:spacing w:before="0" w:after="0"/>
              <w:jc w:val="left"/>
              <w:rPr>
                <w:noProof/>
              </w:rPr>
            </w:pPr>
          </w:p>
        </w:tc>
        <w:tc>
          <w:tcPr>
            <w:tcW w:w="1857" w:type="dxa"/>
            <w:gridSpan w:val="3"/>
          </w:tcPr>
          <w:p>
            <w:pPr>
              <w:jc w:val="left"/>
              <w:rPr>
                <w:noProof/>
              </w:rPr>
            </w:pPr>
            <w:r>
              <w:rPr>
                <w:noProof/>
              </w:rPr>
              <w:t>38</w:t>
            </w:r>
          </w:p>
          <w:p>
            <w:pPr>
              <w:jc w:val="left"/>
              <w:rPr>
                <w:noProof/>
              </w:rPr>
            </w:pPr>
            <w:r>
              <w:rPr>
                <w:noProof/>
              </w:rPr>
              <w:t>40</w:t>
            </w:r>
          </w:p>
        </w:tc>
        <w:tc>
          <w:tcPr>
            <w:tcW w:w="1951" w:type="dxa"/>
          </w:tcPr>
          <w:p>
            <w:pPr>
              <w:jc w:val="left"/>
              <w:rPr>
                <w:noProof/>
              </w:rPr>
            </w:pPr>
            <w:r>
              <w:rPr>
                <w:noProof/>
              </w:rPr>
              <w:t>40</w:t>
            </w:r>
          </w:p>
          <w:p>
            <w:pPr>
              <w:jc w:val="left"/>
              <w:rPr>
                <w:noProof/>
              </w:rPr>
            </w:pPr>
            <w:r>
              <w:rPr>
                <w:noProof/>
              </w:rPr>
              <w:t>44</w:t>
            </w:r>
          </w:p>
        </w:tc>
        <w:tc>
          <w:tcPr>
            <w:tcW w:w="1671" w:type="dxa"/>
            <w:gridSpan w:val="2"/>
          </w:tcPr>
          <w:p>
            <w:pPr>
              <w:jc w:val="left"/>
              <w:rPr>
                <w:noProof/>
              </w:rPr>
            </w:pPr>
            <w:r>
              <w:rPr>
                <w:noProof/>
              </w:rPr>
              <w:t>III</w:t>
            </w:r>
          </w:p>
        </w:tc>
      </w:tr>
      <w:tr>
        <w:trPr>
          <w:gridAfter w:val="1"/>
          <w:wAfter w:w="36" w:type="dxa"/>
        </w:trPr>
        <w:tc>
          <w:tcPr>
            <w:tcW w:w="1857" w:type="dxa"/>
            <w:gridSpan w:val="2"/>
          </w:tcPr>
          <w:p>
            <w:pPr>
              <w:jc w:val="left"/>
              <w:rPr>
                <w:noProof/>
              </w:rPr>
            </w:pPr>
            <w:r>
              <w:rPr>
                <w:noProof/>
              </w:rPr>
              <w:t>40</w:t>
            </w:r>
          </w:p>
        </w:tc>
        <w:tc>
          <w:tcPr>
            <w:tcW w:w="1950" w:type="dxa"/>
            <w:gridSpan w:val="2"/>
          </w:tcPr>
          <w:p>
            <w:pPr>
              <w:jc w:val="left"/>
              <w:rPr>
                <w:noProof/>
              </w:rPr>
            </w:pPr>
            <w:r>
              <w:rPr>
                <w:noProof/>
              </w:rPr>
              <w:t>44</w:t>
            </w:r>
          </w:p>
        </w:tc>
        <w:tc>
          <w:tcPr>
            <w:tcW w:w="1857" w:type="dxa"/>
            <w:gridSpan w:val="3"/>
          </w:tcPr>
          <w:p>
            <w:pPr>
              <w:jc w:val="left"/>
              <w:rPr>
                <w:noProof/>
              </w:rPr>
            </w:pPr>
          </w:p>
        </w:tc>
        <w:tc>
          <w:tcPr>
            <w:tcW w:w="1951" w:type="dxa"/>
          </w:tcPr>
          <w:p>
            <w:pPr>
              <w:jc w:val="left"/>
              <w:rPr>
                <w:noProof/>
              </w:rPr>
            </w:pPr>
          </w:p>
        </w:tc>
        <w:tc>
          <w:tcPr>
            <w:tcW w:w="1671" w:type="dxa"/>
            <w:gridSpan w:val="2"/>
          </w:tcPr>
          <w:p>
            <w:pPr>
              <w:jc w:val="left"/>
              <w:rPr>
                <w:noProof/>
              </w:rPr>
            </w:pPr>
          </w:p>
        </w:tc>
      </w:tr>
      <w:tr>
        <w:trPr>
          <w:gridAfter w:val="1"/>
          <w:wAfter w:w="36" w:type="dxa"/>
        </w:trPr>
        <w:tc>
          <w:tcPr>
            <w:tcW w:w="7615" w:type="dxa"/>
            <w:gridSpan w:val="8"/>
          </w:tcPr>
          <w:p>
            <w:pPr>
              <w:jc w:val="left"/>
              <w:rPr>
                <w:noProof/>
              </w:rPr>
            </w:pPr>
            <w:r>
              <w:rPr>
                <w:i/>
                <w:noProof/>
              </w:rPr>
              <w:t>3 + 3 axe</w:t>
            </w:r>
          </w:p>
        </w:tc>
        <w:tc>
          <w:tcPr>
            <w:tcW w:w="1671" w:type="dxa"/>
            <w:gridSpan w:val="2"/>
          </w:tcPr>
          <w:p>
            <w:pPr>
              <w:jc w:val="left"/>
              <w:rPr>
                <w:noProof/>
              </w:rPr>
            </w:pPr>
          </w:p>
        </w:tc>
      </w:tr>
      <w:tr>
        <w:trPr>
          <w:gridAfter w:val="1"/>
          <w:wAfter w:w="36" w:type="dxa"/>
        </w:trPr>
        <w:tc>
          <w:tcPr>
            <w:tcW w:w="1857" w:type="dxa"/>
            <w:gridSpan w:val="2"/>
          </w:tcPr>
          <w:p>
            <w:pPr>
              <w:jc w:val="left"/>
              <w:rPr>
                <w:noProof/>
              </w:rPr>
            </w:pPr>
            <w:r>
              <w:rPr>
                <w:noProof/>
              </w:rPr>
              <w:t>36</w:t>
            </w:r>
          </w:p>
          <w:p>
            <w:pPr>
              <w:jc w:val="left"/>
              <w:rPr>
                <w:noProof/>
              </w:rPr>
            </w:pPr>
            <w:r>
              <w:rPr>
                <w:noProof/>
              </w:rPr>
              <w:t>38</w:t>
            </w:r>
          </w:p>
        </w:tc>
        <w:tc>
          <w:tcPr>
            <w:tcW w:w="1950" w:type="dxa"/>
            <w:gridSpan w:val="2"/>
          </w:tcPr>
          <w:p>
            <w:pPr>
              <w:jc w:val="left"/>
              <w:rPr>
                <w:noProof/>
              </w:rPr>
            </w:pPr>
            <w:r>
              <w:rPr>
                <w:noProof/>
              </w:rPr>
              <w:t>38</w:t>
            </w:r>
          </w:p>
          <w:p>
            <w:pPr>
              <w:jc w:val="left"/>
              <w:rPr>
                <w:noProof/>
              </w:rPr>
            </w:pPr>
            <w:r>
              <w:rPr>
                <w:noProof/>
              </w:rPr>
              <w:t>40</w:t>
            </w:r>
          </w:p>
        </w:tc>
        <w:tc>
          <w:tcPr>
            <w:tcW w:w="1857" w:type="dxa"/>
            <w:gridSpan w:val="3"/>
          </w:tcPr>
          <w:p>
            <w:pPr>
              <w:jc w:val="left"/>
              <w:rPr>
                <w:noProof/>
              </w:rPr>
            </w:pPr>
            <w:r>
              <w:rPr>
                <w:noProof/>
              </w:rPr>
              <w:t>36</w:t>
            </w:r>
          </w:p>
        </w:tc>
        <w:tc>
          <w:tcPr>
            <w:tcW w:w="1951" w:type="dxa"/>
          </w:tcPr>
          <w:p>
            <w:pPr>
              <w:jc w:val="left"/>
              <w:rPr>
                <w:noProof/>
              </w:rPr>
            </w:pPr>
            <w:r>
              <w:rPr>
                <w:noProof/>
              </w:rPr>
              <w:t>38</w:t>
            </w:r>
          </w:p>
        </w:tc>
        <w:tc>
          <w:tcPr>
            <w:tcW w:w="1671" w:type="dxa"/>
            <w:gridSpan w:val="2"/>
          </w:tcPr>
          <w:p>
            <w:pPr>
              <w:jc w:val="left"/>
              <w:rPr>
                <w:noProof/>
              </w:rPr>
            </w:pPr>
            <w:r>
              <w:rPr>
                <w:noProof/>
              </w:rPr>
              <w:t>I</w:t>
            </w:r>
          </w:p>
        </w:tc>
      </w:tr>
      <w:tr>
        <w:trPr>
          <w:gridAfter w:val="1"/>
          <w:wAfter w:w="36" w:type="dxa"/>
        </w:trPr>
        <w:tc>
          <w:tcPr>
            <w:tcW w:w="1857" w:type="dxa"/>
            <w:gridSpan w:val="2"/>
          </w:tcPr>
          <w:p>
            <w:pPr>
              <w:adjustRightInd w:val="0"/>
              <w:spacing w:before="0" w:after="0"/>
              <w:jc w:val="left"/>
              <w:rPr>
                <w:noProof/>
              </w:rPr>
            </w:pPr>
          </w:p>
        </w:tc>
        <w:tc>
          <w:tcPr>
            <w:tcW w:w="1950" w:type="dxa"/>
            <w:gridSpan w:val="2"/>
          </w:tcPr>
          <w:p>
            <w:pPr>
              <w:adjustRightInd w:val="0"/>
              <w:spacing w:before="0" w:after="0"/>
              <w:jc w:val="left"/>
              <w:rPr>
                <w:noProof/>
              </w:rPr>
            </w:pPr>
          </w:p>
        </w:tc>
        <w:tc>
          <w:tcPr>
            <w:tcW w:w="1857" w:type="dxa"/>
            <w:gridSpan w:val="3"/>
          </w:tcPr>
          <w:p>
            <w:pPr>
              <w:jc w:val="left"/>
              <w:rPr>
                <w:noProof/>
              </w:rPr>
            </w:pPr>
            <w:r>
              <w:rPr>
                <w:noProof/>
              </w:rPr>
              <w:t>38</w:t>
            </w:r>
          </w:p>
        </w:tc>
        <w:tc>
          <w:tcPr>
            <w:tcW w:w="1951" w:type="dxa"/>
          </w:tcPr>
          <w:p>
            <w:pPr>
              <w:jc w:val="left"/>
              <w:rPr>
                <w:noProof/>
              </w:rPr>
            </w:pPr>
            <w:r>
              <w:rPr>
                <w:noProof/>
              </w:rPr>
              <w:t>40</w:t>
            </w:r>
          </w:p>
        </w:tc>
        <w:tc>
          <w:tcPr>
            <w:tcW w:w="1671" w:type="dxa"/>
            <w:gridSpan w:val="2"/>
          </w:tcPr>
          <w:p>
            <w:pPr>
              <w:jc w:val="left"/>
              <w:rPr>
                <w:noProof/>
              </w:rPr>
            </w:pPr>
            <w:r>
              <w:rPr>
                <w:noProof/>
              </w:rPr>
              <w:t>II</w:t>
            </w:r>
          </w:p>
        </w:tc>
      </w:tr>
      <w:tr>
        <w:trPr>
          <w:gridAfter w:val="1"/>
          <w:wAfter w:w="36" w:type="dxa"/>
        </w:trPr>
        <w:tc>
          <w:tcPr>
            <w:tcW w:w="1857" w:type="dxa"/>
            <w:gridSpan w:val="2"/>
          </w:tcPr>
          <w:p>
            <w:pPr>
              <w:jc w:val="left"/>
              <w:rPr>
                <w:noProof/>
              </w:rPr>
            </w:pPr>
            <w:r>
              <w:rPr>
                <w:noProof/>
              </w:rPr>
              <w:t>40</w:t>
            </w:r>
          </w:p>
        </w:tc>
        <w:tc>
          <w:tcPr>
            <w:tcW w:w="1950" w:type="dxa"/>
            <w:gridSpan w:val="2"/>
          </w:tcPr>
          <w:p>
            <w:pPr>
              <w:jc w:val="left"/>
              <w:rPr>
                <w:noProof/>
              </w:rPr>
            </w:pPr>
            <w:r>
              <w:rPr>
                <w:noProof/>
              </w:rPr>
              <w:t>44</w:t>
            </w:r>
          </w:p>
        </w:tc>
        <w:tc>
          <w:tcPr>
            <w:tcW w:w="1857" w:type="dxa"/>
            <w:gridSpan w:val="3"/>
          </w:tcPr>
          <w:p>
            <w:pPr>
              <w:jc w:val="left"/>
              <w:rPr>
                <w:noProof/>
              </w:rPr>
            </w:pPr>
            <w:r>
              <w:rPr>
                <w:noProof/>
              </w:rPr>
              <w:t>40</w:t>
            </w:r>
          </w:p>
        </w:tc>
        <w:tc>
          <w:tcPr>
            <w:tcW w:w="1951" w:type="dxa"/>
          </w:tcPr>
          <w:p>
            <w:pPr>
              <w:jc w:val="left"/>
              <w:rPr>
                <w:noProof/>
              </w:rPr>
            </w:pPr>
            <w:r>
              <w:rPr>
                <w:noProof/>
              </w:rPr>
              <w:t>44</w:t>
            </w:r>
          </w:p>
        </w:tc>
        <w:tc>
          <w:tcPr>
            <w:tcW w:w="1671" w:type="dxa"/>
            <w:gridSpan w:val="2"/>
          </w:tcPr>
          <w:p>
            <w:pPr>
              <w:jc w:val="left"/>
              <w:rPr>
                <w:noProof/>
              </w:rPr>
            </w:pPr>
          </w:p>
        </w:tc>
      </w:tr>
      <w:tr>
        <w:tblPrEx>
          <w:tblLook w:val="04A0" w:firstRow="1" w:lastRow="0" w:firstColumn="1" w:lastColumn="0" w:noHBand="0" w:noVBand="1"/>
        </w:tblPrEx>
        <w:tc>
          <w:tcPr>
            <w:tcW w:w="9322" w:type="dxa"/>
            <w:gridSpan w:val="11"/>
          </w:tcPr>
          <w:p>
            <w:pPr>
              <w:spacing w:before="100" w:beforeAutospacing="1" w:after="100" w:afterAutospacing="1"/>
              <w:rPr>
                <w:i/>
                <w:noProof/>
              </w:rPr>
            </w:pPr>
            <w:r>
              <w:rPr>
                <w:i/>
                <w:noProof/>
              </w:rPr>
              <w:t>7 axe</w:t>
            </w:r>
          </w:p>
        </w:tc>
      </w:tr>
      <w:tr>
        <w:tblPrEx>
          <w:tblLook w:val="04A0" w:firstRow="1" w:lastRow="0" w:firstColumn="1" w:lastColumn="0" w:noHBand="0" w:noVBand="1"/>
        </w:tblPrEx>
        <w:tc>
          <w:tcPr>
            <w:tcW w:w="1809" w:type="dxa"/>
            <w:tcBorders>
              <w:bottom w:val="single" w:sz="4" w:space="0" w:color="auto"/>
            </w:tcBorders>
          </w:tcPr>
          <w:p>
            <w:pPr>
              <w:spacing w:before="100" w:beforeAutospacing="1" w:after="100" w:afterAutospacing="1"/>
              <w:rPr>
                <w:noProof/>
              </w:rPr>
            </w:pPr>
            <w:r>
              <w:rPr>
                <w:noProof/>
              </w:rPr>
              <w:t>40</w:t>
            </w:r>
          </w:p>
        </w:tc>
        <w:tc>
          <w:tcPr>
            <w:tcW w:w="1985" w:type="dxa"/>
            <w:gridSpan w:val="2"/>
            <w:tcBorders>
              <w:bottom w:val="single" w:sz="4" w:space="0" w:color="auto"/>
            </w:tcBorders>
          </w:tcPr>
          <w:p>
            <w:pPr>
              <w:spacing w:before="100" w:beforeAutospacing="1" w:after="100" w:afterAutospacing="1"/>
              <w:rPr>
                <w:noProof/>
              </w:rPr>
            </w:pPr>
            <w:r>
              <w:rPr>
                <w:noProof/>
              </w:rPr>
              <w:t>50</w:t>
            </w:r>
          </w:p>
        </w:tc>
        <w:tc>
          <w:tcPr>
            <w:tcW w:w="1843" w:type="dxa"/>
            <w:gridSpan w:val="3"/>
            <w:tcBorders>
              <w:bottom w:val="single" w:sz="4" w:space="0" w:color="auto"/>
            </w:tcBorders>
          </w:tcPr>
          <w:p>
            <w:pPr>
              <w:spacing w:before="100" w:beforeAutospacing="1" w:after="100" w:afterAutospacing="1"/>
              <w:rPr>
                <w:noProof/>
              </w:rPr>
            </w:pPr>
            <w:r>
              <w:rPr>
                <w:noProof/>
              </w:rPr>
              <w:t>40</w:t>
            </w:r>
          </w:p>
        </w:tc>
        <w:tc>
          <w:tcPr>
            <w:tcW w:w="1984" w:type="dxa"/>
            <w:gridSpan w:val="3"/>
            <w:tcBorders>
              <w:bottom w:val="single" w:sz="4" w:space="0" w:color="auto"/>
            </w:tcBorders>
          </w:tcPr>
          <w:p>
            <w:pPr>
              <w:spacing w:before="100" w:beforeAutospacing="1" w:after="100" w:afterAutospacing="1"/>
              <w:rPr>
                <w:noProof/>
              </w:rPr>
            </w:pPr>
            <w:r>
              <w:rPr>
                <w:noProof/>
              </w:rPr>
              <w:t>50</w:t>
            </w:r>
          </w:p>
        </w:tc>
        <w:tc>
          <w:tcPr>
            <w:tcW w:w="1701" w:type="dxa"/>
            <w:gridSpan w:val="2"/>
            <w:tcBorders>
              <w:bottom w:val="single" w:sz="4" w:space="0" w:color="auto"/>
            </w:tcBorders>
          </w:tcPr>
          <w:p>
            <w:pPr>
              <w:spacing w:before="100" w:beforeAutospacing="1" w:after="100" w:afterAutospacing="1"/>
              <w:rPr>
                <w:noProof/>
              </w:rPr>
            </w:pPr>
            <w:r>
              <w:rPr>
                <w:noProof/>
              </w:rPr>
              <w:t>II</w:t>
            </w:r>
          </w:p>
        </w:tc>
      </w:tr>
      <w:tr>
        <w:tblPrEx>
          <w:tblLook w:val="04A0" w:firstRow="1" w:lastRow="0" w:firstColumn="1" w:lastColumn="0" w:noHBand="0" w:noVBand="1"/>
        </w:tblPrEx>
        <w:tc>
          <w:tcPr>
            <w:tcW w:w="1809" w:type="dxa"/>
            <w:tcBorders>
              <w:top w:val="single" w:sz="4" w:space="0" w:color="auto"/>
              <w:left w:val="single" w:sz="4" w:space="0" w:color="auto"/>
              <w:bottom w:val="nil"/>
              <w:right w:val="single" w:sz="4" w:space="0" w:color="auto"/>
            </w:tcBorders>
          </w:tcPr>
          <w:p>
            <w:pPr>
              <w:spacing w:before="100" w:beforeAutospacing="1" w:after="100" w:afterAutospacing="1"/>
              <w:rPr>
                <w:noProof/>
              </w:rPr>
            </w:pPr>
            <w:r>
              <w:rPr>
                <w:noProof/>
              </w:rPr>
              <w:t>50</w:t>
            </w:r>
          </w:p>
        </w:tc>
        <w:tc>
          <w:tcPr>
            <w:tcW w:w="1985" w:type="dxa"/>
            <w:gridSpan w:val="2"/>
            <w:tcBorders>
              <w:top w:val="single" w:sz="4" w:space="0" w:color="auto"/>
              <w:left w:val="single" w:sz="4" w:space="0" w:color="auto"/>
              <w:bottom w:val="nil"/>
              <w:right w:val="single" w:sz="4" w:space="0" w:color="auto"/>
            </w:tcBorders>
          </w:tcPr>
          <w:p>
            <w:pPr>
              <w:spacing w:before="100" w:beforeAutospacing="1" w:after="100" w:afterAutospacing="1"/>
              <w:rPr>
                <w:noProof/>
              </w:rPr>
            </w:pPr>
            <w:r>
              <w:rPr>
                <w:noProof/>
              </w:rPr>
              <w:t>60</w:t>
            </w:r>
          </w:p>
        </w:tc>
        <w:tc>
          <w:tcPr>
            <w:tcW w:w="1843" w:type="dxa"/>
            <w:gridSpan w:val="3"/>
            <w:tcBorders>
              <w:top w:val="single" w:sz="4" w:space="0" w:color="auto"/>
              <w:left w:val="single" w:sz="4" w:space="0" w:color="auto"/>
              <w:bottom w:val="nil"/>
              <w:right w:val="single" w:sz="4" w:space="0" w:color="auto"/>
            </w:tcBorders>
          </w:tcPr>
          <w:p>
            <w:pPr>
              <w:spacing w:before="100" w:beforeAutospacing="1" w:after="100" w:afterAutospacing="1"/>
              <w:rPr>
                <w:noProof/>
              </w:rPr>
            </w:pPr>
            <w:r>
              <w:rPr>
                <w:noProof/>
              </w:rPr>
              <w:t>50</w:t>
            </w:r>
          </w:p>
        </w:tc>
        <w:tc>
          <w:tcPr>
            <w:tcW w:w="1984" w:type="dxa"/>
            <w:gridSpan w:val="3"/>
            <w:tcBorders>
              <w:top w:val="single" w:sz="4" w:space="0" w:color="auto"/>
              <w:left w:val="single" w:sz="4" w:space="0" w:color="auto"/>
              <w:bottom w:val="nil"/>
              <w:right w:val="single" w:sz="4" w:space="0" w:color="auto"/>
            </w:tcBorders>
          </w:tcPr>
          <w:p>
            <w:pPr>
              <w:spacing w:before="100" w:beforeAutospacing="1" w:after="100" w:afterAutospacing="1"/>
              <w:rPr>
                <w:noProof/>
              </w:rPr>
            </w:pPr>
            <w:r>
              <w:rPr>
                <w:noProof/>
              </w:rPr>
              <w:t>60</w:t>
            </w:r>
          </w:p>
        </w:tc>
        <w:tc>
          <w:tcPr>
            <w:tcW w:w="1701" w:type="dxa"/>
            <w:gridSpan w:val="2"/>
            <w:vMerge w:val="restart"/>
            <w:tcBorders>
              <w:top w:val="single" w:sz="4" w:space="0" w:color="auto"/>
              <w:left w:val="single" w:sz="4" w:space="0" w:color="auto"/>
              <w:right w:val="single" w:sz="4" w:space="0" w:color="auto"/>
            </w:tcBorders>
          </w:tcPr>
          <w:p>
            <w:pPr>
              <w:jc w:val="left"/>
              <w:rPr>
                <w:noProof/>
              </w:rPr>
            </w:pPr>
            <w:r>
              <w:rPr>
                <w:noProof/>
              </w:rPr>
              <w:t>III</w:t>
            </w:r>
          </w:p>
        </w:tc>
      </w:tr>
      <w:tr>
        <w:tblPrEx>
          <w:tblLook w:val="04A0" w:firstRow="1" w:lastRow="0" w:firstColumn="1" w:lastColumn="0" w:noHBand="0" w:noVBand="1"/>
        </w:tblPrEx>
        <w:tc>
          <w:tcPr>
            <w:tcW w:w="1809" w:type="dxa"/>
            <w:tcBorders>
              <w:top w:val="nil"/>
              <w:left w:val="single" w:sz="4" w:space="0" w:color="auto"/>
              <w:bottom w:val="single" w:sz="4" w:space="0" w:color="auto"/>
              <w:right w:val="single" w:sz="4" w:space="0" w:color="auto"/>
            </w:tcBorders>
          </w:tcPr>
          <w:p>
            <w:pPr>
              <w:spacing w:before="100" w:beforeAutospacing="1" w:after="100" w:afterAutospacing="1"/>
              <w:rPr>
                <w:noProof/>
              </w:rPr>
            </w:pPr>
            <w:r>
              <w:rPr>
                <w:noProof/>
              </w:rPr>
              <w:t>60</w:t>
            </w:r>
          </w:p>
        </w:tc>
        <w:tc>
          <w:tcPr>
            <w:tcW w:w="1985" w:type="dxa"/>
            <w:gridSpan w:val="2"/>
            <w:tcBorders>
              <w:top w:val="nil"/>
              <w:left w:val="single" w:sz="4" w:space="0" w:color="auto"/>
              <w:bottom w:val="single" w:sz="4" w:space="0" w:color="auto"/>
              <w:right w:val="single" w:sz="4" w:space="0" w:color="auto"/>
            </w:tcBorders>
          </w:tcPr>
          <w:p>
            <w:pPr>
              <w:spacing w:before="100" w:beforeAutospacing="1" w:after="100" w:afterAutospacing="1"/>
              <w:rPr>
                <w:noProof/>
              </w:rPr>
            </w:pPr>
          </w:p>
        </w:tc>
        <w:tc>
          <w:tcPr>
            <w:tcW w:w="1843" w:type="dxa"/>
            <w:gridSpan w:val="3"/>
            <w:tcBorders>
              <w:top w:val="nil"/>
              <w:left w:val="single" w:sz="4" w:space="0" w:color="auto"/>
              <w:bottom w:val="single" w:sz="4" w:space="0" w:color="auto"/>
              <w:right w:val="single" w:sz="4" w:space="0" w:color="auto"/>
            </w:tcBorders>
          </w:tcPr>
          <w:p>
            <w:pPr>
              <w:spacing w:before="100" w:beforeAutospacing="1" w:after="100" w:afterAutospacing="1"/>
              <w:rPr>
                <w:noProof/>
              </w:rPr>
            </w:pPr>
            <w:r>
              <w:rPr>
                <w:noProof/>
              </w:rPr>
              <w:t>60</w:t>
            </w:r>
          </w:p>
        </w:tc>
        <w:tc>
          <w:tcPr>
            <w:tcW w:w="1984" w:type="dxa"/>
            <w:gridSpan w:val="3"/>
            <w:tcBorders>
              <w:top w:val="nil"/>
              <w:left w:val="single" w:sz="4" w:space="0" w:color="auto"/>
              <w:bottom w:val="single" w:sz="4" w:space="0" w:color="auto"/>
              <w:right w:val="single" w:sz="4" w:space="0" w:color="auto"/>
            </w:tcBorders>
          </w:tcPr>
          <w:p>
            <w:pPr>
              <w:spacing w:before="100" w:beforeAutospacing="1" w:after="100" w:afterAutospacing="1"/>
              <w:rPr>
                <w:noProof/>
              </w:rPr>
            </w:pPr>
          </w:p>
        </w:tc>
        <w:tc>
          <w:tcPr>
            <w:tcW w:w="1701" w:type="dxa"/>
            <w:gridSpan w:val="2"/>
            <w:vMerge/>
            <w:tcBorders>
              <w:left w:val="single" w:sz="4" w:space="0" w:color="auto"/>
              <w:bottom w:val="single" w:sz="4" w:space="0" w:color="auto"/>
              <w:right w:val="single" w:sz="4" w:space="0" w:color="auto"/>
            </w:tcBorders>
          </w:tcPr>
          <w:p>
            <w:pPr>
              <w:spacing w:before="100" w:beforeAutospacing="1" w:after="100" w:afterAutospacing="1"/>
              <w:rPr>
                <w:noProof/>
              </w:rPr>
            </w:pPr>
          </w:p>
        </w:tc>
      </w:tr>
      <w:tr>
        <w:tblPrEx>
          <w:tblLook w:val="04A0" w:firstRow="1" w:lastRow="0" w:firstColumn="1" w:lastColumn="0" w:noHBand="0" w:noVBand="1"/>
        </w:tblPrEx>
        <w:tc>
          <w:tcPr>
            <w:tcW w:w="9322" w:type="dxa"/>
            <w:gridSpan w:val="11"/>
            <w:tcBorders>
              <w:top w:val="single" w:sz="4" w:space="0" w:color="auto"/>
            </w:tcBorders>
          </w:tcPr>
          <w:p>
            <w:pPr>
              <w:spacing w:before="100" w:beforeAutospacing="1" w:after="100" w:afterAutospacing="1"/>
              <w:rPr>
                <w:i/>
                <w:noProof/>
              </w:rPr>
            </w:pPr>
            <w:r>
              <w:rPr>
                <w:i/>
                <w:noProof/>
              </w:rPr>
              <w:t>8 sau 9 axe</w:t>
            </w:r>
          </w:p>
        </w:tc>
      </w:tr>
      <w:tr>
        <w:tblPrEx>
          <w:tblLook w:val="04A0" w:firstRow="1" w:lastRow="0" w:firstColumn="1" w:lastColumn="0" w:noHBand="0" w:noVBand="1"/>
        </w:tblPrEx>
        <w:tc>
          <w:tcPr>
            <w:tcW w:w="1809" w:type="dxa"/>
          </w:tcPr>
          <w:p>
            <w:pPr>
              <w:spacing w:before="100" w:beforeAutospacing="1" w:after="100" w:afterAutospacing="1"/>
              <w:rPr>
                <w:noProof/>
              </w:rPr>
            </w:pPr>
            <w:r>
              <w:rPr>
                <w:noProof/>
              </w:rPr>
              <w:t>40</w:t>
            </w:r>
          </w:p>
        </w:tc>
        <w:tc>
          <w:tcPr>
            <w:tcW w:w="2019" w:type="dxa"/>
            <w:gridSpan w:val="4"/>
          </w:tcPr>
          <w:p>
            <w:pPr>
              <w:spacing w:before="100" w:beforeAutospacing="1" w:after="100" w:afterAutospacing="1"/>
              <w:rPr>
                <w:noProof/>
              </w:rPr>
            </w:pPr>
            <w:r>
              <w:rPr>
                <w:noProof/>
              </w:rPr>
              <w:t>50</w:t>
            </w:r>
          </w:p>
        </w:tc>
        <w:tc>
          <w:tcPr>
            <w:tcW w:w="1809" w:type="dxa"/>
          </w:tcPr>
          <w:p>
            <w:pPr>
              <w:spacing w:before="100" w:beforeAutospacing="1" w:after="100" w:afterAutospacing="1"/>
              <w:rPr>
                <w:noProof/>
              </w:rPr>
            </w:pPr>
            <w:r>
              <w:rPr>
                <w:noProof/>
              </w:rPr>
              <w:t>40</w:t>
            </w:r>
          </w:p>
        </w:tc>
        <w:tc>
          <w:tcPr>
            <w:tcW w:w="1984" w:type="dxa"/>
            <w:gridSpan w:val="3"/>
          </w:tcPr>
          <w:p>
            <w:pPr>
              <w:spacing w:before="100" w:beforeAutospacing="1" w:after="100" w:afterAutospacing="1"/>
              <w:rPr>
                <w:noProof/>
              </w:rPr>
            </w:pPr>
            <w:r>
              <w:rPr>
                <w:noProof/>
              </w:rPr>
              <w:t>50</w:t>
            </w:r>
          </w:p>
        </w:tc>
        <w:tc>
          <w:tcPr>
            <w:tcW w:w="1701" w:type="dxa"/>
            <w:gridSpan w:val="2"/>
          </w:tcPr>
          <w:p>
            <w:pPr>
              <w:spacing w:before="100" w:beforeAutospacing="1" w:after="100" w:afterAutospacing="1"/>
              <w:rPr>
                <w:noProof/>
              </w:rPr>
            </w:pPr>
            <w:r>
              <w:rPr>
                <w:noProof/>
              </w:rPr>
              <w:t>I</w:t>
            </w:r>
          </w:p>
        </w:tc>
      </w:tr>
      <w:tr>
        <w:tblPrEx>
          <w:tblLook w:val="04A0" w:firstRow="1" w:lastRow="0" w:firstColumn="1" w:lastColumn="0" w:noHBand="0" w:noVBand="1"/>
        </w:tblPrEx>
        <w:tc>
          <w:tcPr>
            <w:tcW w:w="1809" w:type="dxa"/>
          </w:tcPr>
          <w:p>
            <w:pPr>
              <w:spacing w:before="100" w:beforeAutospacing="1" w:after="100" w:afterAutospacing="1"/>
              <w:rPr>
                <w:noProof/>
              </w:rPr>
            </w:pPr>
            <w:r>
              <w:rPr>
                <w:noProof/>
              </w:rPr>
              <w:t>50</w:t>
            </w:r>
          </w:p>
        </w:tc>
        <w:tc>
          <w:tcPr>
            <w:tcW w:w="2019" w:type="dxa"/>
            <w:gridSpan w:val="4"/>
          </w:tcPr>
          <w:p>
            <w:pPr>
              <w:spacing w:before="100" w:beforeAutospacing="1" w:after="100" w:afterAutospacing="1"/>
              <w:rPr>
                <w:noProof/>
              </w:rPr>
            </w:pPr>
            <w:r>
              <w:rPr>
                <w:noProof/>
              </w:rPr>
              <w:t>60</w:t>
            </w:r>
          </w:p>
        </w:tc>
        <w:tc>
          <w:tcPr>
            <w:tcW w:w="1809" w:type="dxa"/>
          </w:tcPr>
          <w:p>
            <w:pPr>
              <w:spacing w:before="100" w:beforeAutospacing="1" w:after="100" w:afterAutospacing="1"/>
              <w:rPr>
                <w:noProof/>
              </w:rPr>
            </w:pPr>
            <w:r>
              <w:rPr>
                <w:noProof/>
              </w:rPr>
              <w:t>50</w:t>
            </w:r>
          </w:p>
        </w:tc>
        <w:tc>
          <w:tcPr>
            <w:tcW w:w="1984" w:type="dxa"/>
            <w:gridSpan w:val="3"/>
          </w:tcPr>
          <w:p>
            <w:pPr>
              <w:spacing w:before="100" w:beforeAutospacing="1" w:after="100" w:afterAutospacing="1"/>
              <w:rPr>
                <w:noProof/>
              </w:rPr>
            </w:pPr>
            <w:r>
              <w:rPr>
                <w:noProof/>
              </w:rPr>
              <w:t>60</w:t>
            </w:r>
          </w:p>
        </w:tc>
        <w:tc>
          <w:tcPr>
            <w:tcW w:w="1701" w:type="dxa"/>
            <w:gridSpan w:val="2"/>
          </w:tcPr>
          <w:p>
            <w:pPr>
              <w:spacing w:before="100" w:beforeAutospacing="1" w:after="100" w:afterAutospacing="1"/>
              <w:rPr>
                <w:noProof/>
              </w:rPr>
            </w:pPr>
            <w:r>
              <w:rPr>
                <w:noProof/>
              </w:rPr>
              <w:t>II</w:t>
            </w:r>
          </w:p>
        </w:tc>
      </w:tr>
      <w:tr>
        <w:tblPrEx>
          <w:tblLook w:val="04A0" w:firstRow="1" w:lastRow="0" w:firstColumn="1" w:lastColumn="0" w:noHBand="0" w:noVBand="1"/>
        </w:tblPrEx>
        <w:tc>
          <w:tcPr>
            <w:tcW w:w="3828" w:type="dxa"/>
            <w:gridSpan w:val="5"/>
          </w:tcPr>
          <w:p>
            <w:pPr>
              <w:spacing w:before="100" w:beforeAutospacing="1" w:after="100" w:afterAutospacing="1"/>
              <w:rPr>
                <w:noProof/>
              </w:rPr>
            </w:pPr>
            <w:r>
              <w:rPr>
                <w:noProof/>
              </w:rPr>
              <w:t>60</w:t>
            </w:r>
          </w:p>
        </w:tc>
        <w:tc>
          <w:tcPr>
            <w:tcW w:w="3793" w:type="dxa"/>
            <w:gridSpan w:val="4"/>
          </w:tcPr>
          <w:p>
            <w:pPr>
              <w:spacing w:before="100" w:beforeAutospacing="1" w:after="100" w:afterAutospacing="1"/>
              <w:rPr>
                <w:noProof/>
              </w:rPr>
            </w:pPr>
            <w:r>
              <w:rPr>
                <w:noProof/>
              </w:rPr>
              <w:t>60</w:t>
            </w:r>
          </w:p>
        </w:tc>
        <w:tc>
          <w:tcPr>
            <w:tcW w:w="1701" w:type="dxa"/>
            <w:gridSpan w:val="2"/>
          </w:tcPr>
          <w:p>
            <w:pPr>
              <w:spacing w:before="100" w:beforeAutospacing="1" w:after="100" w:afterAutospacing="1"/>
              <w:rPr>
                <w:noProof/>
              </w:rPr>
            </w:pPr>
            <w:r>
              <w:rPr>
                <w:noProof/>
              </w:rPr>
              <w:t>III”.</w:t>
            </w:r>
          </w:p>
        </w:tc>
      </w:tr>
    </w:tbl>
    <w:p>
      <w:pPr>
        <w:rPr>
          <w:noProof/>
        </w:rPr>
      </w:pPr>
    </w:p>
    <w:p>
      <w:pPr>
        <w:rPr>
          <w:noProof/>
        </w:rPr>
      </w:pPr>
      <w:r>
        <w:rPr>
          <w:noProof/>
        </w:rPr>
        <w:t>2.</w:t>
      </w:r>
      <w:r>
        <w:rPr>
          <w:noProof/>
        </w:rPr>
        <w:tab/>
        <w:t>Se adaugă următoarele anexe V, VI și VII:</w:t>
      </w:r>
    </w:p>
    <w:p>
      <w:pPr>
        <w:jc w:val="center"/>
        <w:rPr>
          <w:rFonts w:eastAsia="Arial Unicode MS"/>
          <w:i/>
          <w:iCs/>
          <w:noProof/>
        </w:rPr>
      </w:pPr>
      <w:r>
        <w:rPr>
          <w:i/>
          <w:noProof/>
        </w:rPr>
        <w:t>„ANEXA V</w:t>
      </w:r>
    </w:p>
    <w:p>
      <w:pPr>
        <w:jc w:val="center"/>
        <w:rPr>
          <w:rFonts w:eastAsia="Arial Unicode MS"/>
          <w:b/>
          <w:bCs/>
          <w:noProof/>
        </w:rPr>
      </w:pPr>
      <w:r>
        <w:rPr>
          <w:b/>
          <w:noProof/>
        </w:rPr>
        <w:t>CERINȚE MINIME PENTRU PERCEPEREA UNEI TAXE DE CONGESTIONARE</w:t>
      </w:r>
    </w:p>
    <w:p>
      <w:pPr>
        <w:spacing w:after="0"/>
        <w:rPr>
          <w:rFonts w:eastAsia="Arial Unicode MS"/>
          <w:noProof/>
        </w:rPr>
      </w:pPr>
      <w:r>
        <w:rPr>
          <w:noProof/>
        </w:rPr>
        <w:t>Prezenta anexă stabilește cerințele minime pentru perceperea unei taxe de congestionare.</w:t>
      </w:r>
    </w:p>
    <w:p>
      <w:pPr>
        <w:spacing w:after="0"/>
        <w:rPr>
          <w:rFonts w:eastAsia="Arial Unicode MS"/>
          <w:noProof/>
        </w:rPr>
      </w:pPr>
      <w:r>
        <w:rPr>
          <w:noProof/>
        </w:rPr>
        <w:t>1.   </w:t>
      </w:r>
      <w:r>
        <w:rPr>
          <w:b/>
          <w:noProof/>
        </w:rPr>
        <w:t>Părțile din rețea care fac obiectul unei taxe de congestionare, vehiculele și intervalele de timp vizate</w:t>
      </w:r>
    </w:p>
    <w:p>
      <w:pPr>
        <w:spacing w:after="0"/>
        <w:rPr>
          <w:rFonts w:eastAsia="Arial Unicode MS"/>
          <w:noProof/>
        </w:rPr>
      </w:pPr>
      <w:r>
        <w:rPr>
          <w:noProof/>
        </w:rPr>
        <w:t>Statele membre precizează cu exactitate:</w:t>
      </w:r>
    </w:p>
    <w:p>
      <w:pPr>
        <w:spacing w:after="0"/>
        <w:rPr>
          <w:rFonts w:eastAsia="Arial Unicode MS"/>
          <w:noProof/>
        </w:rPr>
      </w:pPr>
      <w:r>
        <w:rPr>
          <w:noProof/>
        </w:rPr>
        <w:t>(a) partea sau părțile rețelei lor compuse din sectoarele care le aparțin din cadrul rețelei rutiere transeuropene și din autostrăzile lor, menționate la articolul 7 alineatul (1), care urmează să facă obiectul unei taxe de congestionare în conformitate cu articolul 7da alineatele (1) și (3);</w:t>
      </w:r>
    </w:p>
    <w:p>
      <w:pPr>
        <w:spacing w:after="0"/>
        <w:rPr>
          <w:rFonts w:eastAsia="Arial Unicode MS"/>
          <w:noProof/>
        </w:rPr>
      </w:pPr>
      <w:r>
        <w:rPr>
          <w:noProof/>
        </w:rPr>
        <w:lastRenderedPageBreak/>
        <w:t>(b) clasificarea sectoarelor din rețea care fac obiectul taxei de congestionare ca «metropolitane» și «nemetropolitane». Statele membre utilizează criteriile stabilite în tabelul 1 pentru a determina clasificarea fiecărui tronson de drum;</w:t>
      </w:r>
    </w:p>
    <w:p>
      <w:pPr>
        <w:spacing w:after="0"/>
        <w:rPr>
          <w:rFonts w:eastAsia="Arial Unicode MS"/>
          <w:i/>
          <w:noProof/>
        </w:rPr>
      </w:pPr>
      <w:r>
        <w:rPr>
          <w:i/>
          <w:noProof/>
        </w:rPr>
        <w:t>Tabelul 1: Criteriile de clasificare a drumurilor din rețeaua menționată la litera (a) ca «metropolitane» și «nemetropolitane».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tc>
          <w:tcPr>
            <w:tcW w:w="4644" w:type="dxa"/>
            <w:shd w:val="clear" w:color="auto" w:fill="auto"/>
          </w:tcPr>
          <w:p>
            <w:pPr>
              <w:spacing w:after="0"/>
              <w:rPr>
                <w:rFonts w:eastAsia="Arial Unicode MS"/>
                <w:b/>
                <w:noProof/>
              </w:rPr>
            </w:pPr>
            <w:r>
              <w:rPr>
                <w:b/>
                <w:noProof/>
              </w:rPr>
              <w:t>Categoria de drum</w:t>
            </w:r>
          </w:p>
        </w:tc>
        <w:tc>
          <w:tcPr>
            <w:tcW w:w="4644" w:type="dxa"/>
            <w:shd w:val="clear" w:color="auto" w:fill="auto"/>
          </w:tcPr>
          <w:p>
            <w:pPr>
              <w:spacing w:after="0"/>
              <w:rPr>
                <w:rFonts w:eastAsia="Arial Unicode MS"/>
                <w:b/>
                <w:noProof/>
              </w:rPr>
            </w:pPr>
            <w:r>
              <w:rPr>
                <w:b/>
                <w:noProof/>
              </w:rPr>
              <w:t>Criteriu de clasificare</w:t>
            </w:r>
          </w:p>
        </w:tc>
      </w:tr>
      <w:tr>
        <w:tc>
          <w:tcPr>
            <w:tcW w:w="4644" w:type="dxa"/>
            <w:shd w:val="clear" w:color="auto" w:fill="auto"/>
          </w:tcPr>
          <w:p>
            <w:pPr>
              <w:spacing w:after="0"/>
              <w:rPr>
                <w:rFonts w:eastAsia="Arial Unicode MS"/>
                <w:noProof/>
              </w:rPr>
            </w:pPr>
            <w:r>
              <w:rPr>
                <w:noProof/>
              </w:rPr>
              <w:t>«metropolitan»</w:t>
            </w:r>
          </w:p>
        </w:tc>
        <w:tc>
          <w:tcPr>
            <w:tcW w:w="4644" w:type="dxa"/>
            <w:shd w:val="clear" w:color="auto" w:fill="auto"/>
          </w:tcPr>
          <w:p>
            <w:pPr>
              <w:spacing w:after="0"/>
              <w:rPr>
                <w:rFonts w:eastAsia="Arial Unicode MS"/>
                <w:noProof/>
              </w:rPr>
            </w:pPr>
            <w:r>
              <w:rPr>
                <w:noProof/>
              </w:rPr>
              <w:t>Sectoare ale rețelei care sunt situate în interiorul aglomerărilor urbane cu o populație de 250 000 de locuitori sau mai mult</w:t>
            </w:r>
          </w:p>
        </w:tc>
      </w:tr>
      <w:tr>
        <w:tc>
          <w:tcPr>
            <w:tcW w:w="4644" w:type="dxa"/>
            <w:shd w:val="clear" w:color="auto" w:fill="auto"/>
          </w:tcPr>
          <w:p>
            <w:pPr>
              <w:spacing w:after="0"/>
              <w:rPr>
                <w:rFonts w:eastAsia="Arial Unicode MS"/>
                <w:noProof/>
              </w:rPr>
            </w:pPr>
            <w:r>
              <w:rPr>
                <w:noProof/>
              </w:rPr>
              <w:t>«nemetropolitan»</w:t>
            </w:r>
          </w:p>
        </w:tc>
        <w:tc>
          <w:tcPr>
            <w:tcW w:w="4644" w:type="dxa"/>
            <w:shd w:val="clear" w:color="auto" w:fill="auto"/>
          </w:tcPr>
          <w:p>
            <w:pPr>
              <w:spacing w:after="0"/>
              <w:rPr>
                <w:rFonts w:eastAsia="Arial Unicode MS"/>
                <w:noProof/>
              </w:rPr>
            </w:pPr>
            <w:r>
              <w:rPr>
                <w:noProof/>
              </w:rPr>
              <w:t>Sectoare ale rețelei care nu sunt clasificate drept «metropolitane»;</w:t>
            </w:r>
          </w:p>
        </w:tc>
      </w:tr>
    </w:tbl>
    <w:p>
      <w:pPr>
        <w:spacing w:after="0"/>
        <w:rPr>
          <w:rFonts w:eastAsia="Arial Unicode MS"/>
          <w:noProof/>
        </w:rPr>
      </w:pPr>
      <w:r>
        <w:rPr>
          <w:noProof/>
        </w:rPr>
        <w:t>(c) intervalele de timp în care se aplică taxa, pentru fiecare tronson în parte. În cazul în care de-a lungul întregului interval de taxare se aplică niveluri diferite ale taxei, statele membre precizează în mod clar care este începutul și sfârșitul fiecărui interval în decursul căruia se aplică o anumită taxă.</w:t>
      </w:r>
    </w:p>
    <w:p>
      <w:pPr>
        <w:spacing w:after="0"/>
        <w:rPr>
          <w:noProof/>
        </w:rPr>
      </w:pPr>
      <w:r>
        <w:rPr>
          <w:noProof/>
        </w:rPr>
        <w:t>Statele membre utilizează factorii de echivalență prevăzuți în tabelul 2 pentru a stabili proporția dintre nivelurile taxelor pentru diferite categorii de vehicule:</w:t>
      </w:r>
    </w:p>
    <w:p>
      <w:pPr>
        <w:spacing w:after="0"/>
        <w:rPr>
          <w:rFonts w:eastAsia="Arial Unicode MS"/>
          <w:i/>
          <w:noProof/>
        </w:rPr>
      </w:pPr>
      <w:r>
        <w:rPr>
          <w:i/>
          <w:noProof/>
        </w:rPr>
        <w:t>Tabelul 2: Factori de echivalență pentru stabilirea proporției dintre nivelurile taxelor de congestionare pentru diferite categorii de vehicule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tc>
          <w:tcPr>
            <w:tcW w:w="4644" w:type="dxa"/>
          </w:tcPr>
          <w:p>
            <w:pPr>
              <w:spacing w:after="0"/>
              <w:rPr>
                <w:rFonts w:eastAsia="Arial Unicode MS"/>
                <w:b/>
                <w:noProof/>
              </w:rPr>
            </w:pPr>
            <w:r>
              <w:rPr>
                <w:b/>
                <w:noProof/>
              </w:rPr>
              <w:t>Categoria de vehicul</w:t>
            </w:r>
          </w:p>
        </w:tc>
        <w:tc>
          <w:tcPr>
            <w:tcW w:w="4644" w:type="dxa"/>
          </w:tcPr>
          <w:p>
            <w:pPr>
              <w:spacing w:after="0"/>
              <w:rPr>
                <w:rFonts w:eastAsia="Arial Unicode MS"/>
                <w:b/>
                <w:noProof/>
              </w:rPr>
            </w:pPr>
            <w:r>
              <w:rPr>
                <w:b/>
                <w:noProof/>
              </w:rPr>
              <w:t>Factor de echivalență</w:t>
            </w:r>
          </w:p>
        </w:tc>
      </w:tr>
      <w:tr>
        <w:tc>
          <w:tcPr>
            <w:tcW w:w="4644" w:type="dxa"/>
          </w:tcPr>
          <w:p>
            <w:pPr>
              <w:spacing w:after="0"/>
              <w:rPr>
                <w:rFonts w:eastAsia="Arial Unicode MS"/>
                <w:noProof/>
              </w:rPr>
            </w:pPr>
            <w:r>
              <w:rPr>
                <w:noProof/>
              </w:rPr>
              <w:t>Vehicule ușoare</w:t>
            </w:r>
          </w:p>
        </w:tc>
        <w:tc>
          <w:tcPr>
            <w:tcW w:w="4644" w:type="dxa"/>
          </w:tcPr>
          <w:p>
            <w:pPr>
              <w:spacing w:after="0"/>
              <w:rPr>
                <w:rFonts w:eastAsia="Arial Unicode MS"/>
                <w:noProof/>
              </w:rPr>
            </w:pPr>
            <w:r>
              <w:rPr>
                <w:noProof/>
              </w:rPr>
              <w:t>1</w:t>
            </w:r>
          </w:p>
        </w:tc>
      </w:tr>
      <w:tr>
        <w:tc>
          <w:tcPr>
            <w:tcW w:w="4644" w:type="dxa"/>
          </w:tcPr>
          <w:p>
            <w:pPr>
              <w:spacing w:after="0"/>
              <w:rPr>
                <w:rFonts w:eastAsia="Arial Unicode MS"/>
                <w:noProof/>
              </w:rPr>
            </w:pPr>
            <w:r>
              <w:rPr>
                <w:noProof/>
              </w:rPr>
              <w:t>Vehicule grele de marfă rigide</w:t>
            </w:r>
          </w:p>
        </w:tc>
        <w:tc>
          <w:tcPr>
            <w:tcW w:w="4644" w:type="dxa"/>
          </w:tcPr>
          <w:p>
            <w:pPr>
              <w:spacing w:after="0"/>
              <w:rPr>
                <w:rFonts w:eastAsia="Arial Unicode MS"/>
                <w:noProof/>
              </w:rPr>
            </w:pPr>
            <w:r>
              <w:rPr>
                <w:noProof/>
              </w:rPr>
              <w:t>1,9</w:t>
            </w:r>
          </w:p>
        </w:tc>
      </w:tr>
      <w:tr>
        <w:tc>
          <w:tcPr>
            <w:tcW w:w="4644" w:type="dxa"/>
          </w:tcPr>
          <w:p>
            <w:pPr>
              <w:spacing w:after="0"/>
              <w:rPr>
                <w:rFonts w:eastAsia="Arial Unicode MS"/>
                <w:noProof/>
              </w:rPr>
            </w:pPr>
            <w:r>
              <w:rPr>
                <w:noProof/>
              </w:rPr>
              <w:t>Autobuze și autocare</w:t>
            </w:r>
          </w:p>
        </w:tc>
        <w:tc>
          <w:tcPr>
            <w:tcW w:w="4644" w:type="dxa"/>
          </w:tcPr>
          <w:p>
            <w:pPr>
              <w:spacing w:after="0"/>
              <w:rPr>
                <w:rFonts w:eastAsia="Arial Unicode MS"/>
                <w:noProof/>
              </w:rPr>
            </w:pPr>
            <w:r>
              <w:rPr>
                <w:noProof/>
              </w:rPr>
              <w:t>2,5</w:t>
            </w:r>
          </w:p>
        </w:tc>
      </w:tr>
      <w:tr>
        <w:tc>
          <w:tcPr>
            <w:tcW w:w="4644" w:type="dxa"/>
          </w:tcPr>
          <w:p>
            <w:pPr>
              <w:spacing w:after="0"/>
              <w:rPr>
                <w:rFonts w:eastAsia="Arial Unicode MS"/>
                <w:noProof/>
              </w:rPr>
            </w:pPr>
            <w:r>
              <w:rPr>
                <w:noProof/>
              </w:rPr>
              <w:t>Vehicule grele de marfă articulate</w:t>
            </w:r>
          </w:p>
        </w:tc>
        <w:tc>
          <w:tcPr>
            <w:tcW w:w="4644" w:type="dxa"/>
          </w:tcPr>
          <w:p>
            <w:pPr>
              <w:spacing w:after="0"/>
              <w:rPr>
                <w:rFonts w:eastAsia="Arial Unicode MS"/>
                <w:noProof/>
              </w:rPr>
            </w:pPr>
            <w:r>
              <w:rPr>
                <w:noProof/>
              </w:rPr>
              <w:t>2,9</w:t>
            </w:r>
          </w:p>
        </w:tc>
      </w:tr>
    </w:tbl>
    <w:p>
      <w:pPr>
        <w:spacing w:after="0"/>
        <w:rPr>
          <w:noProof/>
        </w:rPr>
      </w:pPr>
    </w:p>
    <w:p>
      <w:pPr>
        <w:spacing w:after="0"/>
        <w:rPr>
          <w:rFonts w:eastAsia="Arial Unicode MS"/>
          <w:noProof/>
        </w:rPr>
      </w:pPr>
      <w:r>
        <w:rPr>
          <w:noProof/>
        </w:rPr>
        <w:t>2.   </w:t>
      </w:r>
      <w:r>
        <w:rPr>
          <w:b/>
          <w:noProof/>
        </w:rPr>
        <w:t>Cuantumul taxei</w:t>
      </w:r>
    </w:p>
    <w:p>
      <w:pPr>
        <w:spacing w:after="0"/>
        <w:rPr>
          <w:rFonts w:eastAsia="Arial Unicode MS"/>
          <w:noProof/>
        </w:rPr>
      </w:pPr>
      <w:r>
        <w:rPr>
          <w:noProof/>
        </w:rPr>
        <w:t>Pentru fiecare categorie de vehicul, tronson de drum și interval de timp, statul membru sau, dacă este cazul, o autoritate independentă determină un singur cuantum specific, stabilit în conformitate cu dispozițiile secțiunii 1 din prezenta anexă, ținând seama de valoarea maximă corespondentă care figurează în tabelul din anexa VI. Structura de taxare rezultantă este transparentă, făcută publică și pusă la dispoziția tuturor utilizatorilor în condiții de egalitate.</w:t>
      </w:r>
    </w:p>
    <w:p>
      <w:pPr>
        <w:spacing w:after="0"/>
        <w:rPr>
          <w:rFonts w:eastAsia="Arial Unicode MS"/>
          <w:noProof/>
        </w:rPr>
      </w:pPr>
      <w:r>
        <w:rPr>
          <w:noProof/>
        </w:rPr>
        <w:t>Statul membru publică toate elementele următoare cu suficient timp înainte de a implementa o taxă de congestionare:</w:t>
      </w:r>
    </w:p>
    <w:p>
      <w:pPr>
        <w:spacing w:after="0"/>
        <w:rPr>
          <w:rFonts w:eastAsia="Arial Unicode MS"/>
          <w:noProof/>
        </w:rPr>
      </w:pPr>
      <w:r>
        <w:rPr>
          <w:noProof/>
        </w:rPr>
        <w:t>(a)</w:t>
      </w:r>
      <w:r>
        <w:rPr>
          <w:noProof/>
        </w:rPr>
        <w:tab/>
        <w:t>toți parametrii, toate datele și alte informații necesare pentru a înțelege modul în care sunt stabilite clasificarea drumurilor și a vehiculelor, precum și determinarea intervalelor de aplicare a taxei;</w:t>
      </w:r>
    </w:p>
    <w:p>
      <w:pPr>
        <w:spacing w:after="0"/>
        <w:rPr>
          <w:rFonts w:eastAsia="Arial Unicode MS"/>
          <w:noProof/>
        </w:rPr>
      </w:pPr>
      <w:r>
        <w:rPr>
          <w:noProof/>
        </w:rPr>
        <w:t>(b)</w:t>
      </w:r>
      <w:r>
        <w:rPr>
          <w:noProof/>
        </w:rPr>
        <w:tab/>
        <w:t xml:space="preserve">descrierea completă a taxelor de congestionare care se aplică fiecărei categorii de vehicule pe fiecare tronson de drum și pentru fiecare interval de timp. </w:t>
      </w:r>
    </w:p>
    <w:p>
      <w:pPr>
        <w:spacing w:after="0"/>
        <w:rPr>
          <w:rFonts w:eastAsia="Arial Unicode MS"/>
          <w:noProof/>
        </w:rPr>
      </w:pPr>
      <w:r>
        <w:rPr>
          <w:noProof/>
        </w:rPr>
        <w:t>Statele membre pun la dispoziția Comisiei toate informațiile care trebuie publicate în temeiul literelor (a) și (b).</w:t>
      </w:r>
    </w:p>
    <w:p>
      <w:pPr>
        <w:spacing w:after="0"/>
        <w:rPr>
          <w:rFonts w:eastAsia="Arial Unicode MS"/>
          <w:noProof/>
        </w:rPr>
      </w:pPr>
      <w:r>
        <w:rPr>
          <w:noProof/>
        </w:rPr>
        <w:lastRenderedPageBreak/>
        <w:t>Taxa este stabilită numai după ce s-au luat în considerare riscul de deviere a traficului și orice efecte negative asupra siguranței rutiere, a mediului și a congestionării, precum și soluțiile de atenuare a acestor riscuri.</w:t>
      </w:r>
    </w:p>
    <w:p>
      <w:pPr>
        <w:spacing w:after="0"/>
        <w:rPr>
          <w:rFonts w:eastAsia="Arial Unicode MS"/>
          <w:noProof/>
        </w:rPr>
      </w:pPr>
      <w:r>
        <w:rPr>
          <w:noProof/>
        </w:rPr>
        <w:t>Statul membru sau, dacă este cazul, o autoritate independentă monitorizează eficacitatea sistemului de taxare în ceea ce privește reducerea congestionării traficului. Statul membru sau autoritatea adaptează în fiecare an, dacă este cazul, structura de taxare, intervalul (intervalele) de taxare și cuantumul specific al taxei stabilit pentru fiecare clasă de vehicule, tip de drum și interval de timp dat(ă), în funcție de evoluția cererii și a ofertei în materie de transport.</w:t>
      </w:r>
    </w:p>
    <w:p>
      <w:pPr>
        <w:spacing w:before="0" w:after="200" w:line="276" w:lineRule="auto"/>
        <w:jc w:val="left"/>
        <w:rPr>
          <w:rFonts w:eastAsia="Arial Unicode MS"/>
          <w:noProof/>
        </w:rPr>
      </w:pPr>
    </w:p>
    <w:p>
      <w:pPr>
        <w:jc w:val="center"/>
        <w:rPr>
          <w:rFonts w:eastAsia="Arial Unicode MS"/>
          <w:i/>
          <w:iCs/>
          <w:noProof/>
        </w:rPr>
      </w:pPr>
      <w:r>
        <w:rPr>
          <w:i/>
          <w:noProof/>
        </w:rPr>
        <w:t>ANEXA VI</w:t>
      </w:r>
    </w:p>
    <w:p>
      <w:pPr>
        <w:spacing w:after="0"/>
        <w:jc w:val="center"/>
        <w:rPr>
          <w:rFonts w:eastAsia="Arial Unicode MS"/>
          <w:b/>
          <w:bCs/>
          <w:noProof/>
        </w:rPr>
      </w:pPr>
      <w:r>
        <w:rPr>
          <w:b/>
          <w:noProof/>
        </w:rPr>
        <w:t>NIVELUL MAXIM AL TAXEI DE CONGESTIONARE</w:t>
      </w:r>
    </w:p>
    <w:p>
      <w:pPr>
        <w:spacing w:after="0"/>
        <w:rPr>
          <w:rFonts w:eastAsia="Arial Unicode MS"/>
          <w:noProof/>
        </w:rPr>
      </w:pPr>
      <w:r>
        <w:rPr>
          <w:noProof/>
        </w:rPr>
        <w:t>Prezenta anexă stabilește nivelul maxim al taxei de congestionare.</w:t>
      </w:r>
    </w:p>
    <w:p>
      <w:pPr>
        <w:spacing w:after="0"/>
        <w:rPr>
          <w:rFonts w:eastAsia="Arial Unicode MS"/>
          <w:noProof/>
        </w:rPr>
      </w:pPr>
      <w:r>
        <w:rPr>
          <w:noProof/>
        </w:rPr>
        <w:t>Nivelurile maxime prevăzute în tabelul de mai jos se aplică vehiculelor ușoare. Taxele pentru alte categorii de vehicule se stabilesc prin înmulțirea taxei aplicate vehiculelor ușoare cu factorii de echivalență prevăzuți în tabelul din anexa V.</w:t>
      </w:r>
    </w:p>
    <w:tbl>
      <w:tblPr>
        <w:tblpPr w:leftFromText="180" w:rightFromText="180" w:vertAnchor="text" w:horzAnchor="page" w:tblpX="1903" w:tblpY="709"/>
        <w:tblW w:w="6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2001"/>
        <w:gridCol w:w="2567"/>
      </w:tblGrid>
      <w:tr>
        <w:tc>
          <w:tcPr>
            <w:tcW w:w="1523" w:type="pct"/>
          </w:tcPr>
          <w:p>
            <w:pPr>
              <w:spacing w:before="100" w:beforeAutospacing="1" w:after="100" w:afterAutospacing="1"/>
              <w:jc w:val="center"/>
              <w:rPr>
                <w:b/>
                <w:bCs/>
                <w:noProof/>
              </w:rPr>
            </w:pPr>
            <w:r>
              <w:rPr>
                <w:b/>
                <w:noProof/>
              </w:rPr>
              <w:t>cenți/vehicul-kilometru</w:t>
            </w:r>
          </w:p>
        </w:tc>
        <w:tc>
          <w:tcPr>
            <w:tcW w:w="1523" w:type="pct"/>
            <w:hideMark/>
          </w:tcPr>
          <w:p>
            <w:pPr>
              <w:spacing w:before="100" w:beforeAutospacing="1" w:after="100" w:afterAutospacing="1"/>
              <w:jc w:val="center"/>
              <w:rPr>
                <w:b/>
                <w:noProof/>
              </w:rPr>
            </w:pPr>
            <w:r>
              <w:rPr>
                <w:b/>
                <w:noProof/>
              </w:rPr>
              <w:t>Metropolitan</w:t>
            </w:r>
          </w:p>
        </w:tc>
        <w:tc>
          <w:tcPr>
            <w:tcW w:w="1954" w:type="pct"/>
            <w:hideMark/>
          </w:tcPr>
          <w:p>
            <w:pPr>
              <w:spacing w:before="100" w:beforeAutospacing="1" w:after="100" w:afterAutospacing="1"/>
              <w:jc w:val="center"/>
              <w:rPr>
                <w:b/>
                <w:noProof/>
              </w:rPr>
            </w:pPr>
            <w:r>
              <w:rPr>
                <w:b/>
                <w:noProof/>
              </w:rPr>
              <w:t>Nemetropolitan</w:t>
            </w:r>
          </w:p>
        </w:tc>
      </w:tr>
      <w:tr>
        <w:tc>
          <w:tcPr>
            <w:tcW w:w="1523" w:type="pct"/>
          </w:tcPr>
          <w:p>
            <w:pPr>
              <w:spacing w:before="100" w:beforeAutospacing="1" w:after="100" w:afterAutospacing="1"/>
              <w:jc w:val="center"/>
              <w:rPr>
                <w:noProof/>
              </w:rPr>
            </w:pPr>
            <w:r>
              <w:rPr>
                <w:noProof/>
              </w:rPr>
              <w:t>Autostrăzi</w:t>
            </w:r>
          </w:p>
        </w:tc>
        <w:tc>
          <w:tcPr>
            <w:tcW w:w="1523" w:type="pct"/>
            <w:hideMark/>
          </w:tcPr>
          <w:p>
            <w:pPr>
              <w:spacing w:before="100" w:beforeAutospacing="1" w:after="100" w:afterAutospacing="1"/>
              <w:jc w:val="center"/>
              <w:rPr>
                <w:noProof/>
              </w:rPr>
            </w:pPr>
            <w:r>
              <w:rPr>
                <w:noProof/>
              </w:rPr>
              <w:t>67</w:t>
            </w:r>
          </w:p>
        </w:tc>
        <w:tc>
          <w:tcPr>
            <w:tcW w:w="1954" w:type="pct"/>
            <w:hideMark/>
          </w:tcPr>
          <w:p>
            <w:pPr>
              <w:spacing w:before="100" w:beforeAutospacing="1" w:after="100" w:afterAutospacing="1"/>
              <w:jc w:val="center"/>
              <w:rPr>
                <w:noProof/>
              </w:rPr>
            </w:pPr>
            <w:r>
              <w:rPr>
                <w:noProof/>
              </w:rPr>
              <w:t>34</w:t>
            </w:r>
          </w:p>
        </w:tc>
      </w:tr>
      <w:tr>
        <w:tc>
          <w:tcPr>
            <w:tcW w:w="1523" w:type="pct"/>
          </w:tcPr>
          <w:p>
            <w:pPr>
              <w:spacing w:before="100" w:beforeAutospacing="1" w:after="100" w:afterAutospacing="1"/>
              <w:jc w:val="center"/>
              <w:rPr>
                <w:noProof/>
              </w:rPr>
            </w:pPr>
            <w:r>
              <w:rPr>
                <w:noProof/>
              </w:rPr>
              <w:t>Drumuri principale</w:t>
            </w:r>
          </w:p>
        </w:tc>
        <w:tc>
          <w:tcPr>
            <w:tcW w:w="1523" w:type="pct"/>
          </w:tcPr>
          <w:p>
            <w:pPr>
              <w:spacing w:before="100" w:beforeAutospacing="1" w:after="100" w:afterAutospacing="1"/>
              <w:jc w:val="center"/>
              <w:rPr>
                <w:noProof/>
              </w:rPr>
            </w:pPr>
            <w:r>
              <w:rPr>
                <w:noProof/>
              </w:rPr>
              <w:t>198</w:t>
            </w:r>
          </w:p>
        </w:tc>
        <w:tc>
          <w:tcPr>
            <w:tcW w:w="1954" w:type="pct"/>
          </w:tcPr>
          <w:p>
            <w:pPr>
              <w:spacing w:before="100" w:beforeAutospacing="1" w:after="100" w:afterAutospacing="1"/>
              <w:jc w:val="center"/>
              <w:rPr>
                <w:noProof/>
              </w:rPr>
            </w:pPr>
            <w:r>
              <w:rPr>
                <w:noProof/>
              </w:rPr>
              <w:t>66</w:t>
            </w:r>
          </w:p>
        </w:tc>
      </w:tr>
    </w:tbl>
    <w:p>
      <w:pPr>
        <w:spacing w:before="240" w:after="0"/>
        <w:ind w:left="806" w:hanging="403"/>
        <w:rPr>
          <w:rFonts w:eastAsia="Arial Unicode MS"/>
          <w:i/>
          <w:noProof/>
        </w:rPr>
      </w:pPr>
      <w:r>
        <w:rPr>
          <w:i/>
          <w:noProof/>
        </w:rPr>
        <w:t>Tabel: Nivelul maxim al taxei de congestionare pentru vehiculele ușoare</w:t>
      </w:r>
    </w:p>
    <w:p>
      <w:pPr>
        <w:spacing w:before="100" w:beforeAutospacing="1" w:after="0"/>
        <w:ind w:left="806" w:hanging="403"/>
        <w:rPr>
          <w:rFonts w:eastAsia="Arial Unicode MS"/>
          <w:i/>
          <w:noProof/>
        </w:rPr>
      </w:pPr>
    </w:p>
    <w:p>
      <w:pPr>
        <w:spacing w:before="100" w:beforeAutospacing="1" w:after="0"/>
        <w:ind w:left="806" w:hanging="403"/>
        <w:rPr>
          <w:rFonts w:eastAsia="Arial Unicode MS"/>
          <w:i/>
          <w:iCs/>
          <w:noProof/>
        </w:rPr>
      </w:pPr>
    </w:p>
    <w:p>
      <w:pPr>
        <w:jc w:val="center"/>
        <w:rPr>
          <w:rFonts w:eastAsia="Arial Unicode MS"/>
          <w:i/>
          <w:iCs/>
          <w:noProof/>
        </w:rPr>
      </w:pPr>
    </w:p>
    <w:p>
      <w:pPr>
        <w:spacing w:before="0" w:after="200" w:line="276" w:lineRule="auto"/>
        <w:jc w:val="left"/>
        <w:rPr>
          <w:rFonts w:eastAsia="Arial Unicode MS"/>
          <w:i/>
          <w:iCs/>
          <w:noProof/>
        </w:rPr>
      </w:pPr>
      <w:r>
        <w:rPr>
          <w:noProof/>
        </w:rPr>
        <w:br w:type="page"/>
      </w:r>
    </w:p>
    <w:p>
      <w:pPr>
        <w:jc w:val="center"/>
        <w:rPr>
          <w:rFonts w:eastAsia="Arial Unicode MS"/>
          <w:i/>
          <w:iCs/>
          <w:noProof/>
        </w:rPr>
      </w:pPr>
      <w:r>
        <w:rPr>
          <w:i/>
          <w:noProof/>
        </w:rPr>
        <w:lastRenderedPageBreak/>
        <w:t>ANEXA VII</w:t>
      </w:r>
    </w:p>
    <w:p>
      <w:pPr>
        <w:spacing w:after="0"/>
        <w:jc w:val="center"/>
        <w:rPr>
          <w:rFonts w:eastAsia="Arial Unicode MS"/>
          <w:b/>
          <w:bCs/>
          <w:noProof/>
        </w:rPr>
      </w:pPr>
      <w:r>
        <w:rPr>
          <w:b/>
          <w:noProof/>
        </w:rPr>
        <w:t>VARIAȚIA TAXELOR DE TRECERE ȘI A TAXELOR DE UTILIZARE PENTRU VEHICULELE UȘOARE</w:t>
      </w:r>
    </w:p>
    <w:p>
      <w:pPr>
        <w:spacing w:after="0"/>
        <w:rPr>
          <w:rFonts w:eastAsia="Arial Unicode MS"/>
          <w:noProof/>
        </w:rPr>
      </w:pPr>
    </w:p>
    <w:p>
      <w:pPr>
        <w:spacing w:after="0"/>
        <w:rPr>
          <w:rFonts w:eastAsia="Arial Unicode MS"/>
          <w:noProof/>
        </w:rPr>
      </w:pPr>
      <w:r>
        <w:rPr>
          <w:noProof/>
        </w:rPr>
        <w:t>Prezenta anexă precizează categoriile de emisie în funcție de care se diferențiază taxele de trecere și taxele de utilizare.</w:t>
      </w:r>
    </w:p>
    <w:p>
      <w:pPr>
        <w:spacing w:after="0"/>
        <w:rPr>
          <w:rFonts w:eastAsia="Arial Unicode MS"/>
          <w:noProof/>
        </w:rPr>
      </w:pPr>
      <w:r>
        <w:rPr>
          <w:noProof/>
        </w:rPr>
        <w:t>Emisiile de poluanți se măsoară în conformitate cu Regulamentul (UE) nr. …/… al Comisiei*.</w:t>
      </w:r>
    </w:p>
    <w:p>
      <w:pPr>
        <w:spacing w:after="0"/>
        <w:rPr>
          <w:rFonts w:eastAsia="Arial Unicode MS"/>
          <w:noProof/>
        </w:rPr>
      </w:pPr>
      <w:r>
        <w:rPr>
          <w:noProof/>
        </w:rPr>
        <w:t>Tarifele mai mici se aplică oricărui autoturism și vehicul comercial ușor cu emisii specifice de CO</w:t>
      </w:r>
      <w:r>
        <w:rPr>
          <w:noProof/>
          <w:vertAlign w:val="subscript"/>
        </w:rPr>
        <w:t>2</w:t>
      </w:r>
      <w:r>
        <w:rPr>
          <w:noProof/>
        </w:rPr>
        <w:t>, măsurate în conformitate cu Regulamentul (CE) nr. 715/2007 al Parlamentului European și al Consiliului**, care sunt sub nivelurile corespunzătoare obiectivelor aplicabile parcului auto al UE stabilite în Regulamentul (CE) nr. 443/2009 al Parlamentului European și al Consiliului*** și în Regulamentul (UE) nr. 510/2011 al Parlamentului European și al Consiliului****.</w:t>
      </w:r>
    </w:p>
    <w:p>
      <w:pPr>
        <w:spacing w:after="0"/>
        <w:rPr>
          <w:rFonts w:eastAsia="Arial Unicode MS"/>
          <w:i/>
          <w:noProof/>
        </w:rPr>
      </w:pPr>
      <w:r>
        <w:rPr>
          <w:i/>
          <w:noProof/>
        </w:rPr>
        <w:t>Tabel: Categorii de emisie pentru vehiculele ușoare</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1888"/>
        <w:gridCol w:w="1889"/>
        <w:gridCol w:w="1801"/>
        <w:gridCol w:w="1801"/>
      </w:tblGrid>
      <w:tr>
        <w:trPr>
          <w:trHeight w:val="832"/>
        </w:trPr>
        <w:tc>
          <w:tcPr>
            <w:tcW w:w="981" w:type="pct"/>
            <w:shd w:val="clear" w:color="auto" w:fill="FFFFFF" w:themeFill="background1"/>
            <w:vAlign w:val="center"/>
          </w:tcPr>
          <w:p>
            <w:pPr>
              <w:spacing w:before="100" w:beforeAutospacing="1" w:after="100" w:afterAutospacing="1"/>
              <w:jc w:val="center"/>
              <w:rPr>
                <w:b/>
                <w:noProof/>
              </w:rPr>
            </w:pPr>
            <w:r>
              <w:rPr>
                <w:b/>
                <w:noProof/>
              </w:rPr>
              <w:t>Factor de conformitate</w:t>
            </w:r>
          </w:p>
        </w:tc>
        <w:tc>
          <w:tcPr>
            <w:tcW w:w="1028" w:type="pct"/>
            <w:shd w:val="clear" w:color="auto" w:fill="FFFFFF" w:themeFill="background1"/>
            <w:vAlign w:val="center"/>
          </w:tcPr>
          <w:p>
            <w:pPr>
              <w:spacing w:before="100" w:beforeAutospacing="1" w:after="100" w:afterAutospacing="1"/>
              <w:jc w:val="center"/>
              <w:rPr>
                <w:b/>
                <w:noProof/>
              </w:rPr>
            </w:pPr>
            <w:r>
              <w:rPr>
                <w:b/>
                <w:noProof/>
              </w:rPr>
              <w:t>1,5-2,1</w:t>
            </w:r>
          </w:p>
        </w:tc>
        <w:tc>
          <w:tcPr>
            <w:tcW w:w="1029" w:type="pct"/>
            <w:shd w:val="clear" w:color="auto" w:fill="FFFFFF" w:themeFill="background1"/>
            <w:vAlign w:val="center"/>
          </w:tcPr>
          <w:p>
            <w:pPr>
              <w:spacing w:before="100" w:beforeAutospacing="1" w:after="100" w:afterAutospacing="1"/>
              <w:jc w:val="center"/>
              <w:rPr>
                <w:b/>
                <w:noProof/>
              </w:rPr>
            </w:pPr>
            <w:r>
              <w:rPr>
                <w:b/>
                <w:noProof/>
              </w:rPr>
              <w:t>1-1,5</w:t>
            </w:r>
          </w:p>
        </w:tc>
        <w:tc>
          <w:tcPr>
            <w:tcW w:w="981" w:type="pct"/>
            <w:shd w:val="clear" w:color="auto" w:fill="FFFFFF" w:themeFill="background1"/>
            <w:vAlign w:val="center"/>
          </w:tcPr>
          <w:p>
            <w:pPr>
              <w:spacing w:before="100" w:beforeAutospacing="1" w:after="100" w:afterAutospacing="1"/>
              <w:jc w:val="center"/>
              <w:rPr>
                <w:b/>
                <w:noProof/>
              </w:rPr>
            </w:pPr>
            <w:r>
              <w:rPr>
                <w:b/>
                <w:noProof/>
              </w:rPr>
              <w:t>sub 1</w:t>
            </w:r>
          </w:p>
        </w:tc>
        <w:tc>
          <w:tcPr>
            <w:tcW w:w="981" w:type="pct"/>
            <w:shd w:val="clear" w:color="auto" w:fill="FFFFFF" w:themeFill="background1"/>
            <w:vAlign w:val="center"/>
          </w:tcPr>
          <w:p>
            <w:pPr>
              <w:spacing w:before="100" w:beforeAutospacing="1" w:after="100" w:afterAutospacing="1"/>
              <w:jc w:val="center"/>
              <w:rPr>
                <w:b/>
                <w:noProof/>
              </w:rPr>
            </w:pPr>
            <w:r>
              <w:rPr>
                <w:b/>
                <w:noProof/>
              </w:rPr>
              <w:t>Vehicule cu emisii zero</w:t>
            </w:r>
          </w:p>
        </w:tc>
      </w:tr>
      <w:tr>
        <w:trPr>
          <w:trHeight w:val="832"/>
        </w:trPr>
        <w:tc>
          <w:tcPr>
            <w:tcW w:w="981" w:type="pct"/>
            <w:vAlign w:val="center"/>
          </w:tcPr>
          <w:p>
            <w:pPr>
              <w:spacing w:before="100" w:beforeAutospacing="1" w:after="100" w:afterAutospacing="1"/>
              <w:jc w:val="center"/>
              <w:rPr>
                <w:b/>
                <w:noProof/>
              </w:rPr>
            </w:pPr>
            <w:r>
              <w:rPr>
                <w:b/>
                <w:noProof/>
              </w:rPr>
              <w:t>Taxă per km</w:t>
            </w:r>
          </w:p>
        </w:tc>
        <w:tc>
          <w:tcPr>
            <w:tcW w:w="1028" w:type="pct"/>
            <w:shd w:val="clear" w:color="auto" w:fill="FFFFFF"/>
            <w:vAlign w:val="center"/>
          </w:tcPr>
          <w:p>
            <w:pPr>
              <w:spacing w:before="100" w:beforeAutospacing="1" w:after="100" w:afterAutospacing="1"/>
              <w:jc w:val="center"/>
              <w:rPr>
                <w:noProof/>
              </w:rPr>
            </w:pPr>
            <w:r>
              <w:rPr>
                <w:noProof/>
              </w:rPr>
              <w:t>cu 10 % mai mică decât tariful cel mai mare</w:t>
            </w:r>
          </w:p>
        </w:tc>
        <w:tc>
          <w:tcPr>
            <w:tcW w:w="1029" w:type="pct"/>
            <w:vAlign w:val="center"/>
          </w:tcPr>
          <w:p>
            <w:pPr>
              <w:spacing w:before="100" w:beforeAutospacing="1" w:after="100" w:afterAutospacing="1"/>
              <w:jc w:val="center"/>
              <w:rPr>
                <w:noProof/>
              </w:rPr>
            </w:pPr>
            <w:r>
              <w:rPr>
                <w:noProof/>
              </w:rPr>
              <w:t>cu 20 % mai mică decât tariful cel mai mare</w:t>
            </w:r>
          </w:p>
        </w:tc>
        <w:tc>
          <w:tcPr>
            <w:tcW w:w="981" w:type="pct"/>
            <w:vAlign w:val="center"/>
          </w:tcPr>
          <w:p>
            <w:pPr>
              <w:spacing w:before="100" w:beforeAutospacing="1" w:after="100" w:afterAutospacing="1"/>
              <w:jc w:val="center"/>
              <w:rPr>
                <w:noProof/>
              </w:rPr>
            </w:pPr>
            <w:r>
              <w:rPr>
                <w:noProof/>
              </w:rPr>
              <w:t>cu 30 % mai mică decât tariful cel mai mare</w:t>
            </w:r>
          </w:p>
        </w:tc>
        <w:tc>
          <w:tcPr>
            <w:tcW w:w="981" w:type="pct"/>
            <w:vAlign w:val="center"/>
          </w:tcPr>
          <w:p>
            <w:pPr>
              <w:spacing w:before="100" w:beforeAutospacing="1" w:after="100" w:afterAutospacing="1"/>
              <w:jc w:val="center"/>
              <w:rPr>
                <w:noProof/>
              </w:rPr>
            </w:pPr>
            <w:r>
              <w:rPr>
                <w:noProof/>
              </w:rPr>
              <w:t>cu 75 % mai mică decât tariful cel mai mare</w:t>
            </w:r>
          </w:p>
        </w:tc>
      </w:tr>
    </w:tbl>
    <w:p>
      <w:pPr>
        <w:adjustRightInd w:val="0"/>
        <w:spacing w:before="0" w:after="0"/>
        <w:jc w:val="left"/>
        <w:rPr>
          <w:noProof/>
        </w:rPr>
      </w:pPr>
    </w:p>
    <w:p>
      <w:pPr>
        <w:adjustRightInd w:val="0"/>
        <w:spacing w:before="0" w:after="0"/>
        <w:jc w:val="left"/>
        <w:rPr>
          <w:noProof/>
        </w:rPr>
      </w:pPr>
      <w:r>
        <w:rPr>
          <w:noProof/>
        </w:rPr>
        <w:t>__________________</w:t>
      </w:r>
    </w:p>
    <w:p>
      <w:pPr>
        <w:adjustRightInd w:val="0"/>
        <w:spacing w:before="0" w:after="0"/>
        <w:jc w:val="left"/>
        <w:rPr>
          <w:noProof/>
        </w:rPr>
      </w:pPr>
    </w:p>
    <w:p>
      <w:pPr>
        <w:adjustRightInd w:val="0"/>
        <w:spacing w:before="0" w:after="0"/>
        <w:ind w:left="720" w:hanging="720"/>
        <w:jc w:val="left"/>
        <w:rPr>
          <w:noProof/>
        </w:rPr>
      </w:pPr>
      <w:r>
        <w:rPr>
          <w:noProof/>
        </w:rPr>
        <w:t>*</w:t>
      </w:r>
      <w:r>
        <w:rPr>
          <w:noProof/>
        </w:rPr>
        <w:tab/>
        <w:t>REGULAMENTUL (UE) …/… AL COMISIEI din XXX de modificare a Regulamentului (UE) 2017/xxx și a Directivei 2007/46/CE a Parlamentului European și a Consiliului în ceea ce privește emisiile generate în condiții reale de conducere de vehiculele ușoare pentru pasageri și de vehiculele ușoare comerciale (Euro 6) [RDE 3] (JO L …, ……..2017, p. …).</w:t>
      </w:r>
    </w:p>
    <w:p>
      <w:pPr>
        <w:adjustRightInd w:val="0"/>
        <w:spacing w:before="0" w:after="0"/>
        <w:ind w:left="720" w:hanging="720"/>
        <w:jc w:val="left"/>
        <w:rPr>
          <w:noProof/>
        </w:rPr>
      </w:pPr>
      <w:r>
        <w:rPr>
          <w:noProof/>
        </w:rPr>
        <w:t>**</w:t>
      </w:r>
      <w:r>
        <w:rPr>
          <w:noProof/>
        </w:rPr>
        <w:tab/>
        <w:t>Regulamentul (CE) nr. 715/2007 al Parlamentului European și al Consiliului din 20 iunie 2007 privind omologarea de tip a autovehiculelor în ceea ce privește emisiile provenind de la vehiculele ușoare pentru pasageri și de la vehiculele ușoare comerciale (Euro 5 și Euro 6) și privind accesul la informațiile referitoare la repararea și întreținerea vehiculelor (JO L 171, 29.6.2007, p. 1).</w:t>
      </w:r>
    </w:p>
    <w:p>
      <w:pPr>
        <w:adjustRightInd w:val="0"/>
        <w:spacing w:before="0" w:after="0"/>
        <w:ind w:left="720" w:hanging="720"/>
        <w:jc w:val="left"/>
        <w:rPr>
          <w:noProof/>
        </w:rPr>
      </w:pPr>
      <w:r>
        <w:rPr>
          <w:noProof/>
        </w:rPr>
        <w:t>***</w:t>
      </w:r>
      <w:r>
        <w:rPr>
          <w:noProof/>
        </w:rPr>
        <w:tab/>
        <w:t>Regulamentul (CE) nr. 443/2009 al Parlamentului European și al Consiliului din 23 aprilie 2009 de stabilire a standardelor de performanță privind emisiile pentru autoturismele noi, ca parte a abordării integrate a Comunității de a reduce emisiile de CO 2 generate de vehiculele ușoare (JO L 140, 5.6.2009, p. 1).</w:t>
      </w:r>
    </w:p>
    <w:p>
      <w:pPr>
        <w:adjustRightInd w:val="0"/>
        <w:spacing w:before="0" w:after="0"/>
        <w:ind w:left="720" w:hanging="720"/>
        <w:jc w:val="left"/>
        <w:rPr>
          <w:noProof/>
        </w:rPr>
      </w:pPr>
      <w:r>
        <w:rPr>
          <w:noProof/>
        </w:rPr>
        <w:t>****</w:t>
      </w:r>
      <w:r>
        <w:rPr>
          <w:noProof/>
        </w:rPr>
        <w:tab/>
        <w:t>Regulamentul (CE) nr. 443/2009 al Parlamentului European și al Consiliului din 23 aprilie 2009 de stabilire a standardelor de performanță privind emisiile pentru autoturismele noi, ca parte a abordării integrate a Comunității de a reduce emisiile de CO 2 generate de vehiculele ușoare (JO L 140, 5.6.2009, p. 1).”.</w:t>
      </w:r>
    </w:p>
    <w:sectPr>
      <w:footerReference w:type="default" r:id="rId18"/>
      <w:footerReference w:type="first" r:id="rId19"/>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3656B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CD015EA"/>
    <w:lvl w:ilvl="0">
      <w:start w:val="1"/>
      <w:numFmt w:val="decimal"/>
      <w:pStyle w:val="ListNumber3"/>
      <w:lvlText w:val="%1."/>
      <w:lvlJc w:val="left"/>
      <w:pPr>
        <w:tabs>
          <w:tab w:val="num" w:pos="926"/>
        </w:tabs>
        <w:ind w:left="926" w:hanging="360"/>
      </w:pPr>
    </w:lvl>
  </w:abstractNum>
  <w:abstractNum w:abstractNumId="2">
    <w:nsid w:val="FFFFFF7F"/>
    <w:multiLevelType w:val="singleLevel"/>
    <w:tmpl w:val="C280316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E660EE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92EEE6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BBC7B2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1383202"/>
    <w:lvl w:ilvl="0">
      <w:start w:val="1"/>
      <w:numFmt w:val="decimal"/>
      <w:pStyle w:val="ListNumber"/>
      <w:lvlText w:val="%1."/>
      <w:lvlJc w:val="left"/>
      <w:pPr>
        <w:tabs>
          <w:tab w:val="num" w:pos="360"/>
        </w:tabs>
        <w:ind w:left="360" w:hanging="360"/>
      </w:pPr>
    </w:lvl>
  </w:abstractNum>
  <w:abstractNum w:abstractNumId="7">
    <w:nsid w:val="FFFFFF89"/>
    <w:multiLevelType w:val="singleLevel"/>
    <w:tmpl w:val="EC783F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8"/>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hideSpellingErrors/>
  <w:hideGrammaticalErrors/>
  <w:attachedTemplate r:id="rId1"/>
  <w:revisionView w:markup="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6-06 14:43:5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1"/>
    <w:docVar w:name="DQCResult_ModifiedMarkers" w:val="0;0"/>
    <w:docVar w:name="DQCResult_ModifiedNumbering" w:val="0;0"/>
    <w:docVar w:name="DQCResult_Objects" w:val="0;0"/>
    <w:docVar w:name="DQCResult_Sections" w:val="0;0"/>
    <w:docVar w:name="DQCResult_StructureCheck" w:val="0;0"/>
    <w:docVar w:name="DQCResult_SuperfluousWhitespace" w:val="0;13"/>
    <w:docVar w:name="DQCResult_UnknownFonts" w:val="0;0"/>
    <w:docVar w:name="DQCResult_UnknownStyles" w:val="0;0"/>
    <w:docVar w:name="DQCStatus" w:val="Green"/>
    <w:docVar w:name="DQCVersion" w:val="3"/>
    <w:docVar w:name="DQCWithWarnings" w:val="0"/>
    <w:docVar w:name="LW_ACCOMPAGNANT.CP" w:val="la"/>
    <w:docVar w:name="LW_ANNEX_NBR_FIRST" w:val="1"/>
    <w:docVar w:name="LW_ANNEX_NBR_LAST" w:val="1"/>
    <w:docVar w:name="LW_CONFIDENCE" w:val=" "/>
    <w:docVar w:name="LW_CONST_RESTREINT_UE" w:val="RESTREINT UE"/>
    <w:docVar w:name="LW_CORRIGENDUM" w:val="&lt;UNUSED&gt;"/>
    <w:docVar w:name="LW_COVERPAGE_GUID" w:val="AD9E06437EEC44E8BF86704C4E43F57A"/>
    <w:docVar w:name="LW_CROSSREFERENCE" w:val="{SWD(2017) 180 final}_x000b_{SWD(2017) 181 final}"/>
    <w:docVar w:name="LW_DocType" w:val="ANNEX"/>
    <w:docVar w:name="LW_EMISSION" w:val="31.5.2017"/>
    <w:docVar w:name="LW_EMISSION_ISODATE" w:val="2017-05-31"/>
    <w:docVar w:name="LW_EMISSION_LOCATION" w:val="BRX"/>
    <w:docVar w:name="LW_EMISSION_PREFIX" w:val="Bruxelles, "/>
    <w:docVar w:name="LW_EMISSION_SUFFIX" w:val=" "/>
    <w:docVar w:name="LW_ID_DOCSTRUCTURE" w:val="COM/ANNEX"/>
    <w:docVar w:name="LW_ID_DOCTYPE" w:val="SG-017"/>
    <w:docVar w:name="LW_LANGUE" w:val="RO"/>
    <w:docVar w:name="LW_MARKING" w:val="&lt;UNUSED&gt;"/>
    <w:docVar w:name="LW_NOM.INST" w:val="COMISIA EUROPEAN\u258?"/>
    <w:docVar w:name="LW_NOM.INST_JOINTDOC" w:val="&lt;EMPTY&gt;"/>
    <w:docVar w:name="LW_OBJETACTEPRINCIPAL.CP" w:val="de modificare a Directivei 1999/62/CE de aplicare a taxelor la vehiculele grele de marf\u259? pentru utilizarea anumitor infrastructuri _x000b_(Text cu relevan\u539?\u259? pentru SEE)"/>
    <w:docVar w:name="LW_PART_NBR" w:val="1"/>
    <w:docVar w:name="LW_PART_NBR_TOTAL" w:val="1"/>
    <w:docVar w:name="LW_REF.INST.NEW" w:val="COM"/>
    <w:docVar w:name="LW_REF.INST.NEW_ADOPTED" w:val="final"/>
    <w:docVar w:name="LW_REF.INST.NEW_TEXT" w:val="(2017) 275"/>
    <w:docVar w:name="LW_REF.INTERNE" w:val="&lt;UNUSED&gt;"/>
    <w:docVar w:name="LW_SUPERTITRE" w:val="&lt;UNUSED&gt;"/>
    <w:docVar w:name="LW_TITRE.OBJ.CP" w:val="&lt;UNUSED&gt;"/>
    <w:docVar w:name="LW_TYPE.DOC.CP" w:val="ANEX\u258?"/>
    <w:docVar w:name="LW_TYPEACTEPRINCIPAL.CP" w:val="DIRECTIVA PARLAMENTULUI EUROPEAN \u536?I A CONSILIULUI"/>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etitreacte">
    <w:name w:val="Annexe titre (acte)"/>
    <w:basedOn w:val="Normal"/>
    <w:next w:val="Normal"/>
    <w:uiPriority w:val="99"/>
    <w:pPr>
      <w:autoSpaceDE w:val="0"/>
      <w:autoSpaceDN w:val="0"/>
      <w:jc w:val="center"/>
    </w:pPr>
    <w:rPr>
      <w:rFonts w:eastAsia="Times New Roman"/>
      <w:b/>
      <w:bCs/>
      <w:szCs w:val="24"/>
      <w:u w:val="single"/>
    </w:rPr>
  </w:style>
  <w:style w:type="character" w:styleId="Hyperlink">
    <w:name w:val="Hyperlink"/>
    <w:uiPriority w:val="99"/>
    <w:unhideWhenUsed/>
    <w:rPr>
      <w:rFonts w:cs="Times New Roman"/>
      <w:color w:val="0000FF"/>
      <w:u w:val="single"/>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etitreacte">
    <w:name w:val="Annexe titre (acte)"/>
    <w:basedOn w:val="Normal"/>
    <w:next w:val="Normal"/>
    <w:uiPriority w:val="99"/>
    <w:pPr>
      <w:autoSpaceDE w:val="0"/>
      <w:autoSpaceDN w:val="0"/>
      <w:jc w:val="center"/>
    </w:pPr>
    <w:rPr>
      <w:rFonts w:eastAsia="Times New Roman"/>
      <w:b/>
      <w:bCs/>
      <w:szCs w:val="24"/>
      <w:u w:val="single"/>
    </w:rPr>
  </w:style>
  <w:style w:type="character" w:styleId="Hyperlink">
    <w:name w:val="Hyperlink"/>
    <w:uiPriority w:val="99"/>
    <w:unhideWhenUsed/>
    <w:rPr>
      <w:rFonts w:cs="Times New Roman"/>
      <w:color w:val="0000FF"/>
      <w:u w:val="single"/>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416512">
      <w:bodyDiv w:val="1"/>
      <w:marLeft w:val="0"/>
      <w:marRight w:val="0"/>
      <w:marTop w:val="0"/>
      <w:marBottom w:val="0"/>
      <w:divBdr>
        <w:top w:val="none" w:sz="0" w:space="0" w:color="auto"/>
        <w:left w:val="none" w:sz="0" w:space="0" w:color="auto"/>
        <w:bottom w:val="none" w:sz="0" w:space="0" w:color="auto"/>
        <w:right w:val="none" w:sz="0" w:space="0" w:color="auto"/>
      </w:divBdr>
    </w:div>
    <w:div w:id="12397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7E968-B769-455A-B3C8-32BCEDF63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13</Pages>
  <Words>3569</Words>
  <Characters>19098</Characters>
  <Application>Microsoft Office Word</Application>
  <DocSecurity>0</DocSecurity>
  <Lines>868</Lines>
  <Paragraphs>612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SZATMARI Peter (MOVE)</dc:creator>
  <cp:lastModifiedBy>DIGIT/A3</cp:lastModifiedBy>
  <cp:revision>8</cp:revision>
  <cp:lastPrinted>2017-05-28T06:32:00Z</cp:lastPrinted>
  <dcterms:created xsi:type="dcterms:W3CDTF">2017-06-01T14:18:00Z</dcterms:created>
  <dcterms:modified xsi:type="dcterms:W3CDTF">2017-06-06T12:43:00Z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