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1D49300-C08D-492C-B27C-115E6DC52385" style="width:450.75pt;height:490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PRILOGA I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Del A</w:t>
      </w:r>
    </w:p>
    <w:p>
      <w:pPr>
        <w:widowControl w:val="0"/>
        <w:tabs>
          <w:tab w:val="left" w:pos="-720"/>
          <w:tab w:val="center" w:pos="7344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Razveljavljena direktiva</w:t>
      </w:r>
      <w:r>
        <w:rPr>
          <w:noProof/>
        </w:rPr>
        <w:br/>
        <w:t>in njene spremembe</w:t>
      </w:r>
      <w:r>
        <w:rPr>
          <w:noProof/>
        </w:rPr>
        <w:br/>
        <w:t>(iz člena 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28"/>
      </w:tblGrid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Direktiva 2003/98/ES Evropskega parlamenta in Sveta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(UL L 345, 31.12.2003, str. 90)</w:t>
            </w:r>
          </w:p>
        </w:tc>
      </w:tr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Direktiva 2013/37/EU Evropskega parlamenta in Sveta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(UL L 175, 27.6.2013, str. 1)</w:t>
            </w:r>
          </w:p>
        </w:tc>
      </w:tr>
    </w:tbl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</w:p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  <w:r>
        <w:rPr>
          <w:noProof/>
        </w:rPr>
        <w:t>Del B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Roki za prenos v nacionalno pravo in začetek uporabe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(iz člena 15)</w:t>
      </w:r>
    </w:p>
    <w:p>
      <w:pPr>
        <w:keepNext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  <w:szCs w:val="20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  <w:gridCol w:w="3100"/>
      </w:tblGrid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Direktiva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Rok za prenos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Datum začetka uporabe</w:t>
            </w:r>
          </w:p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2003/98/ES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1. julij 2005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2013/37/EU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18. julij 2015</w:t>
            </w:r>
          </w:p>
        </w:tc>
        <w:tc>
          <w:tcPr>
            <w:tcW w:w="310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18. julij 2015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pStyle w:val="Annexetitre"/>
        <w:rPr>
          <w:noProof/>
        </w:rPr>
      </w:pPr>
      <w:r>
        <w:rPr>
          <w:noProof/>
        </w:rPr>
        <w:t>PRILOGA II</w:t>
      </w:r>
    </w:p>
    <w:p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szCs w:val="20"/>
        </w:rPr>
      </w:pPr>
      <w:r>
        <w:rPr>
          <w:b/>
          <w:smallCaps/>
          <w:noProof/>
        </w:rPr>
        <w:t>Korelacijska tabela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Direktiva 2003/98/ES</w:t>
            </w: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Ta direktiva</w:t>
            </w:r>
          </w:p>
        </w:tc>
      </w:tr>
      <w:tr>
        <w:tc>
          <w:tcPr>
            <w:tcW w:w="4674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 1(1)</w:t>
            </w:r>
          </w:p>
        </w:tc>
        <w:tc>
          <w:tcPr>
            <w:tcW w:w="4674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 1(1), uvodno besedilo in člen 1(1)(a)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1(1)(b)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1(1)(c)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1(2), uvodno besedilo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1(2), uvodno besedilo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1(2)(a)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1(2)(b)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1(2)(d)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1(2)(a)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1(2)(e)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1(2)(cb)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1(2)(f)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1(2)(cc)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1(2)(g)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1(2)(d)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1(2)(h)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1(2)(e)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1(2)(j)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1(2)(f)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1(2)(i)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1(2)(k)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1(5)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1(6)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uvodno besedilo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uvodno besedilo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6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10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7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8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9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13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2, točka 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3(1)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3(1)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3(2)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3(2)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4(1)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4(1)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4(2)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4(2)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4(3)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4(3)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4(4)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4(4)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4(5)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4(5), uvodno besedilo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4(5)(a)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4(5)(b)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5(1)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5(1)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5(2)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5(2)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5(3)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5(3)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5(4)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5(5)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6(2), uvodno besedilo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6(2), uvodno besedilo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6(2)(a)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6(2)(a)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6(2)(b)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6(2)(c)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6(2)(b)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6(2)(c)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6(5)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7(1)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7(1)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7(2)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7(2)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7(3)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7(3)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7(4)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7(4)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8(1)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8(1)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8(2)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8(2)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9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10(1)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10(2)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10(1)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11(1)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10(2)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11(2)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11(1)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12(1)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11(2)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12(2)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11(2a)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12(3)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12(4)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11(3)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11(4)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12(5)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13(1)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13(2)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13(3)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13(4)(a)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13(4)(b)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13(5)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13(6)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13(7)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14(1)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14(2)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14(3)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14(4)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14(5)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14(6)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15(1)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15(2)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13(1)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16(1)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13(2)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13(3)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16(2)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člen 19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Priloga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Priloga II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8C8D3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3A57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8C11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CECC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CEC8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C6B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560B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6692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1 16:22:4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 predlogu"/>
    <w:docVar w:name="LW_ACCOMPAGNANT.CP" w:val="k predlogu"/>
    <w:docVar w:name="LW_ANNEX_NBR_FIRST" w:val="1"/>
    <w:docVar w:name="LW_ANNEX_NBR_LAST" w:val="2"/>
    <w:docVar w:name="LW_ANNEX_UNIQUE" w:val="0"/>
    <w:docVar w:name="LW_CORRIGENDUM" w:val="CORRIGENDUM_x000b_This document corrects document COM (2018) 234 final of 25.04.2018._x000b_Concerns all language versions._x000b_Addition of 2 annexes to the act._x000b_The text shall read as follows:_x000b_"/>
    <w:docVar w:name="LW_COVERPAGE_EXISTS" w:val="True"/>
    <w:docVar w:name="LW_COVERPAGE_GUID" w:val="91D49300-C08D-492C-B27C-115E6DC52385"/>
    <w:docVar w:name="LW_COVERPAGE_TYPE" w:val="1"/>
    <w:docVar w:name="LW_CROSSREFERENCE" w:val="{SEC(2018) 206 final}_x000b_{SWD(2018) 127 final}_x000b_{SWD(2018) 128 final}_x000b_{SWD(2018) 129 final}_x000b_{SWD(2018) 145 final}"/>
    <w:docVar w:name="LW_DocType" w:val="ANNEX"/>
    <w:docVar w:name="LW_EMISSION" w:val="11.6.2018"/>
    <w:docVar w:name="LW_EMISSION_ISODATE" w:val="2018-06-11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ponovni uporabi informacij javnega sektorja (prenovitev)"/>
    <w:docVar w:name="LW_OBJETACTEPRINCIPAL.CP" w:val="o ponovni uporabi informacij javnega sektorja (prenovitev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I"/>
    <w:docVar w:name="LW_TYPE.DOC.CP" w:val="PRILOGI"/>
    <w:docVar w:name="LW_TYPEACTEPRINCIPAL" w:val="Direktiva Evropskega parlamenta in Sveta"/>
    <w:docVar w:name="LW_TYPEACTEPRINCIPAL.CP" w:val="Direktiva Evropskega parlamenta in Sve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3F9A-5AA0-47B0-BA10-F491E57B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524</Words>
  <Characters>2149</Characters>
  <Application>Microsoft Office Word</Application>
  <DocSecurity>0</DocSecurity>
  <Lines>268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BERTRAND</dc:creator>
  <cp:lastModifiedBy>DIGIT/A3</cp:lastModifiedBy>
  <cp:revision>9</cp:revision>
  <dcterms:created xsi:type="dcterms:W3CDTF">2018-06-01T18:15:00Z</dcterms:created>
  <dcterms:modified xsi:type="dcterms:W3CDTF">2018-06-11T14:22:00Z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