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F1E928B-0544-4744-AE86-DABEB995F6C3" style="width:450.45pt;height:504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Parte 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Direttiva abrogata</w:t>
      </w:r>
      <w:r>
        <w:rPr>
          <w:noProof/>
        </w:rPr>
        <w:br/>
        <w:t>e relativa modifica</w:t>
      </w:r>
      <w:r>
        <w:rPr>
          <w:noProof/>
        </w:rPr>
        <w:br/>
        <w:t>(di cui all'articolo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Direttiva 2003/98/CE del Parlamento europeo e del Consiglio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(GU L 345 del 31.12.2003, pag. 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Direttiva 2013/37/UE del Parlamento europeo e del Consiglio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(GU L 175 del 27.6.2013, pag. 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Parte 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Termini di recepimento nel diritto interno e data di applicazione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(di cui all'articolo 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Direttiva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Termine di recepimento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Data di applicazione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2003/98/CE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1° luglio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2013/37/UE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 luglio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 luglio 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ALLEGATO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Tavola di concordanza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Direttiva 2003/98/CE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La presente direttiva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1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1, frase introduttiva, e articolo 1, paragrafo 1, lettera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1, lettera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1, lettera 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frase introduttiva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frase introduttiva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d)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c bis)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e)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c ter)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f)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c quater)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g)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d)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2, lettera h)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e)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j)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f)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i)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1, paragrafo 2, lettera k)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1, paragrafo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frase introduttiva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frase introduttiva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2, punto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3,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3,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3,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3,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4, paragrafo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4, paragrafo 5, frase introduttiva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4, paragrafo 5, lettera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4, paragrafo 5, lettera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5,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frase introduttiva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frase introduttiva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6, paragrafo 2, lettera 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6,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7,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8,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8,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8,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8,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10,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10,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10,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10,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12,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12,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11, paragrafo 2 bis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12,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12,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11, paragrafo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12,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13, paragrafo 4, lettera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13, paragrafo 4, lettera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14, paragrafo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15,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15,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16, paragrafo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13, paragrafo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 16, paragrafo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Articolo 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Allegato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Allegato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5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 proposta di"/>
    <w:docVar w:name="LW_ACCOMPAGNANT.CP" w:val="della proposta di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8F1E928B-0544-4744-AE86-DABEB995F6C3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 riutilizzo dell'informazione del settore pubblico (rifusione)_x000b_"/>
    <w:docVar w:name="LW_OBJETACTEPRINCIPAL.CP" w:val="relativa al riutilizzo dell'informazione del settore pubblico (rifusione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ALLEGATI"/>
    <w:docVar w:name="LW_TYPEACTEPRINCIPAL" w:val="direttiva del Parlamento europeo e del Consiglio"/>
    <w:docVar w:name="LW_TYPEACTEPRINCIPAL.CP" w:val="direttiva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9586-F43D-48CD-ADA3-075F5AA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847</Words>
  <Characters>4083</Characters>
  <Application>Microsoft Office Word</Application>
  <DocSecurity>0</DocSecurity>
  <Lines>255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2018-06-06T09:55:00Z</dcterms:created>
  <dcterms:modified xsi:type="dcterms:W3CDTF">2018-06-11T14:21:00Z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