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E364D7D-1C0F-425A-804A-5F683BDEF8C9"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Arial Unicode MS"/>
          <w:noProof/>
        </w:rPr>
      </w:pPr>
      <w:r>
        <w:t>1.</w:t>
      </w:r>
      <w:r>
        <w:tab/>
      </w:r>
      <w:r>
        <w:rPr>
          <w:noProof/>
        </w:rPr>
        <w:t>Predmet prijedloga</w:t>
      </w:r>
    </w:p>
    <w:p>
      <w:pPr>
        <w:autoSpaceDE w:val="0"/>
        <w:autoSpaceDN w:val="0"/>
        <w:adjustRightInd w:val="0"/>
        <w:spacing w:before="0" w:after="0"/>
        <w:rPr>
          <w:rFonts w:ascii="TimesNewRomanPSMT" w:hAnsi="TimesNewRomanPSMT" w:cs="TimesNewRomanPSMT"/>
          <w:noProof/>
          <w:szCs w:val="24"/>
        </w:rPr>
      </w:pPr>
      <w:r>
        <w:rPr>
          <w:noProof/>
        </w:rPr>
        <w:t>Ovaj se Prijedlog odnosi na odluku o utvrđivanju stajališta koje u ime Unije treba zauzeti na sastancima Organizacije za očuvanje sjevernoatlantskog lososa (NASCO) u razdoblju 2019.–2023. u vezi s predviđenim donošenjem mjera očuvanja i upravljanja.</w:t>
      </w:r>
    </w:p>
    <w:p>
      <w:pPr>
        <w:pStyle w:val="ManualHeading1"/>
        <w:rPr>
          <w:noProof/>
        </w:rPr>
      </w:pPr>
      <w:r>
        <w:t>2.</w:t>
      </w:r>
      <w:r>
        <w:tab/>
      </w:r>
      <w:r>
        <w:rPr>
          <w:noProof/>
        </w:rPr>
        <w:t>Kontekst prijedloga</w:t>
      </w:r>
    </w:p>
    <w:p>
      <w:pPr>
        <w:pStyle w:val="ManualHeading2"/>
        <w:rPr>
          <w:noProof/>
        </w:rPr>
      </w:pPr>
      <w:r>
        <w:t>2.1.</w:t>
      </w:r>
      <w:r>
        <w:tab/>
      </w:r>
      <w:r>
        <w:rPr>
          <w:noProof/>
        </w:rPr>
        <w:t>Konvencija o očuvanju lososa u sjevernom Atlantiku</w:t>
      </w:r>
    </w:p>
    <w:p>
      <w:pPr>
        <w:rPr>
          <w:noProof/>
        </w:rPr>
      </w:pPr>
      <w:r>
        <w:rPr>
          <w:noProof/>
        </w:rPr>
        <w:t>Konvencijom o očuvanju lososa u sjevernom Atlantiku (Konvencija NASCO-a) osnovan je NASCO, a cilj mu je očuvati, obnoviti, povećati i racionalno upravljati divljim atlantskim lososom. Konvencija je stupila na snagu 1. listopada 1983.</w:t>
      </w:r>
    </w:p>
    <w:p>
      <w:pPr>
        <w:rPr>
          <w:noProof/>
        </w:rPr>
      </w:pPr>
      <w:r>
        <w:rPr>
          <w:noProof/>
        </w:rPr>
        <w:t>Unija je postala stranka Konvencije NASCO-a nakon što ju je odobrila u skladu s Odlukom Vijeća 82/886/EEZ</w:t>
      </w:r>
      <w:r>
        <w:rPr>
          <w:rStyle w:val="FootnoteReference"/>
          <w:noProof/>
        </w:rPr>
        <w:footnoteReference w:id="1"/>
      </w:r>
      <w:r>
        <w:rPr>
          <w:noProof/>
        </w:rPr>
        <w:t>.</w:t>
      </w:r>
    </w:p>
    <w:p>
      <w:pPr>
        <w:pStyle w:val="ManualHeading2"/>
        <w:rPr>
          <w:noProof/>
        </w:rPr>
      </w:pPr>
      <w:r>
        <w:t>2.2.</w:t>
      </w:r>
      <w:r>
        <w:tab/>
      </w:r>
      <w:r>
        <w:rPr>
          <w:noProof/>
        </w:rPr>
        <w:t>Vijeće Organizacije za očuvanje sjevernoatlantskog lososa</w:t>
      </w:r>
    </w:p>
    <w:p>
      <w:pPr>
        <w:rPr>
          <w:noProof/>
        </w:rPr>
      </w:pPr>
      <w:r>
        <w:rPr>
          <w:noProof/>
        </w:rPr>
        <w:t>Vijeće NASCO-a, koje podupiru tri komisije NASCO-a (Sjevernoamerička komisija, Komisija sjeveroistočnog Atlantika i Komisija Zapadnog Grenlanda), tijelo je osnovano Konvencijom NASCO-a za očuvanje, obnovu, povećanje i racionalno upravljanje atlantskim lososom putem međunarodne suradnje. Tijelo donosi mjere očuvanja i upravljanja kako bi upravljalo ribolovnim resursima u svojoj nadležnosti.</w:t>
      </w:r>
    </w:p>
    <w:p>
      <w:pPr>
        <w:rPr>
          <w:rFonts w:eastAsia="Arial Unicode MS"/>
          <w:noProof/>
        </w:rPr>
      </w:pPr>
      <w:r>
        <w:rPr>
          <w:noProof/>
        </w:rPr>
        <w:t>Kao članica Vijeća NASCO-a i dviju njegovih komisija (Komisija sjeveroistočnog Atlantika i Komisija Zapadnog Grenlanda) Unija ima pravo sudjelovanja i glasanja. Vijeće NASCO-a svoje odluke donosi jednoglasno.</w:t>
      </w:r>
    </w:p>
    <w:p>
      <w:pPr>
        <w:pStyle w:val="ManualHeading2"/>
        <w:rPr>
          <w:noProof/>
        </w:rPr>
      </w:pPr>
      <w:r>
        <w:t>2.3.</w:t>
      </w:r>
      <w:r>
        <w:tab/>
      </w:r>
      <w:r>
        <w:rPr>
          <w:noProof/>
        </w:rPr>
        <w:t>Odluke Vijeća NASCO-a</w:t>
      </w:r>
    </w:p>
    <w:p>
      <w:pPr>
        <w:rPr>
          <w:rFonts w:eastAsia="Arial Unicode MS"/>
          <w:noProof/>
        </w:rPr>
      </w:pPr>
      <w:r>
        <w:rPr>
          <w:noProof/>
        </w:rPr>
        <w:t>Vijeće NASCO-a ovlašteno je za donošenje mjera očuvanja i provedbe za ribarstvo u svojoj nadležnosti, a one su obvezujuće za ugovorne strane.</w:t>
      </w:r>
    </w:p>
    <w:p>
      <w:pPr>
        <w:rPr>
          <w:noProof/>
        </w:rPr>
      </w:pPr>
      <w:r>
        <w:rPr>
          <w:noProof/>
        </w:rPr>
        <w:t>U skladu s člankom 13. stavkom 2. Konvencije NASCO-a mjere stupaju na snagu 60 dana nakon datuma na koji je NASCO o njima obavijestio ugovorne strane.</w:t>
      </w:r>
    </w:p>
    <w:p>
      <w:pPr>
        <w:pStyle w:val="ManualHeading1"/>
        <w:rPr>
          <w:rFonts w:eastAsia="Arial Unicode MS"/>
          <w:noProof/>
        </w:rPr>
      </w:pPr>
      <w:r>
        <w:t>3.</w:t>
      </w:r>
      <w:r>
        <w:tab/>
      </w:r>
      <w:r>
        <w:rPr>
          <w:noProof/>
        </w:rPr>
        <w:t>Stajalište koje treba zauzeti u ime Unije</w:t>
      </w:r>
    </w:p>
    <w:p>
      <w:pPr>
        <w:rPr>
          <w:rFonts w:eastAsia="Times New Roman"/>
          <w:noProof/>
        </w:rPr>
      </w:pPr>
      <w:r>
        <w:rPr>
          <w:noProof/>
        </w:rPr>
        <w:t>Stajalište koje u ime Unije treba zauzeti na godišnjim sastancima regionalnih organizacija za upravljanje ribarstvom (RFMO-i) trenutačno se utvrđuje u skladu s dvostupanjskim pristupom. Odlukom Vijeća utvrđuju se vodeća načela i smjernice za stajalište Unije na višegodišnjoj osnovi, a ono te se zatim izmjenjuje za svaki godišnji sastanak na temelju neslužbenih dokumenata Komisije o kojima raspravlja radna skupina Vijeća.</w:t>
      </w:r>
    </w:p>
    <w:p>
      <w:pPr>
        <w:rPr>
          <w:rFonts w:eastAsia="Times New Roman"/>
          <w:noProof/>
        </w:rPr>
      </w:pPr>
      <w:r>
        <w:rPr>
          <w:noProof/>
        </w:rPr>
        <w:t>Za NASCO taj je pristup uveden Odlukom Vijeća 9450/1/14 REV 1 od 19. svibnja 2014., kojom je utvrđeno stajalište Unije u NASCO-u za razdoblje 2014.–2018. Odluka sadržava opća načela i smjernice, ali u mjeri u kojoj je to moguće uzimaju se u obzir i posebnosti NASCO-a. Nadalje, u njoj je utvrđen standardni postupak za godišnje utvrđivanje stajališta Unije, na zahtjev država članica.</w:t>
      </w:r>
    </w:p>
    <w:p>
      <w:pPr>
        <w:rPr>
          <w:rFonts w:eastAsia="Times New Roman"/>
          <w:noProof/>
        </w:rPr>
      </w:pPr>
      <w:r>
        <w:rPr>
          <w:noProof/>
        </w:rPr>
        <w:lastRenderedPageBreak/>
        <w:t>Odlukom 9450/1/14 REV 1 predviđeno je preispitivanje stajališta Unije prije godišnjeg sastanka 2019. Stoga se ovim Prijedlogom utvrđuje stajalište Unije u NASCO-u za razdoblje 2019.–2023. i zamjenjuje se Odluka 9450/1/14 REV 1.</w:t>
      </w:r>
    </w:p>
    <w:p>
      <w:pPr>
        <w:rPr>
          <w:rFonts w:eastAsia="Times New Roman"/>
          <w:noProof/>
        </w:rPr>
      </w:pPr>
      <w:r>
        <w:rPr>
          <w:noProof/>
        </w:rPr>
        <w:t>U Odluci 9450/1/14 REV 1 obuhvaćena su načela i smjernice nove zajedničke ribarstvene politike (ZRP) kako je utvrđeno u Uredbi (EU) br. 1380/2013 Europskog parlamenta i Vijeća</w:t>
      </w:r>
      <w:r>
        <w:rPr>
          <w:rStyle w:val="FootnoteReference"/>
          <w:noProof/>
        </w:rPr>
        <w:footnoteReference w:id="2"/>
      </w:r>
      <w:r>
        <w:rPr>
          <w:noProof/>
        </w:rPr>
        <w:t xml:space="preserve"> te su u obzir uzeti ciljevi utvrđeni u Komunikaciji Komisije o vanjskoj dimenziji ZRP-a</w:t>
      </w:r>
      <w:r>
        <w:rPr>
          <w:rStyle w:val="FootnoteReference"/>
          <w:noProof/>
        </w:rPr>
        <w:footnoteReference w:id="3"/>
      </w:r>
      <w:r>
        <w:rPr>
          <w:noProof/>
        </w:rPr>
        <w:t>. Osim toga, stajalište Unije usklađeno je s Ugovorom iz Lisabona.</w:t>
      </w:r>
    </w:p>
    <w:p>
      <w:pPr>
        <w:rPr>
          <w:noProof/>
        </w:rPr>
      </w:pPr>
      <w:r>
        <w:rPr>
          <w:noProof/>
        </w:rPr>
        <w:t xml:space="preserve">U trenutačnom preispitivanju uzimaju se u obzir, kad je riječ o utjecaju ribarstva, Komunikacija Komisije Europskom parlamentu, Vijeću, Europskom gospodarskom i socijalnom odboru i Odboru regija pod naslovom </w:t>
      </w:r>
      <w:r>
        <w:rPr>
          <w:i/>
          <w:noProof/>
        </w:rPr>
        <w:t>„Europska strategija za plastiku u kružnom gospodarstvu</w:t>
      </w:r>
      <w:r>
        <w:rPr>
          <w:rStyle w:val="FootnoteReference"/>
          <w:noProof/>
        </w:rPr>
        <w:footnoteReference w:id="4"/>
      </w:r>
      <w:r>
        <w:rPr>
          <w:noProof/>
        </w:rPr>
        <w:t>”, Zajednička komunikacija Visokog predstavnika Unije za vanjske poslove i sigurnosnu politiku i Europske komisije pod naslovom „</w:t>
      </w:r>
      <w:r>
        <w:rPr>
          <w:i/>
          <w:noProof/>
        </w:rPr>
        <w:t>Međunarodno upravljanje oceanima: plan za budućnost naših oceana</w:t>
      </w:r>
      <w:r>
        <w:rPr>
          <w:rStyle w:val="FootnoteReference"/>
          <w:noProof/>
        </w:rPr>
        <w:footnoteReference w:id="5"/>
      </w:r>
      <w:r>
        <w:rPr>
          <w:noProof/>
        </w:rPr>
        <w:t>” i zaključci Vijeća o toj zajedničkoj komunikaciji</w:t>
      </w:r>
      <w:r>
        <w:rPr>
          <w:rStyle w:val="FootnoteReference"/>
          <w:noProof/>
        </w:rPr>
        <w:footnoteReference w:id="6"/>
      </w:r>
      <w:r>
        <w:rPr>
          <w:noProof/>
        </w:rPr>
        <w:t>.</w:t>
      </w:r>
    </w:p>
    <w:p>
      <w:pPr>
        <w:pStyle w:val="ManualHeading1"/>
        <w:rPr>
          <w:noProof/>
        </w:rPr>
      </w:pPr>
      <w:r>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„Akti koji proizvode pravne učinke” obuhvaćaju akte koji proizvode pravne učinke na temelju pravila međunarodnog prava koja se primjenjuju na predmetno tijelo te instrumente koji nemaju obvezujući učinak na temelju međunarodnog prava, ali „mogu presudno utjecati na sadržaj propisa koje donese zakonodavac EU-a”</w:t>
      </w:r>
      <w:r>
        <w:rPr>
          <w:rStyle w:val="FootnoteReference"/>
          <w:noProof/>
        </w:rPr>
        <w:footnoteReference w:id="7"/>
      </w:r>
      <w:r>
        <w:rPr>
          <w:noProof/>
        </w:rPr>
        <w:t>.</w:t>
      </w:r>
    </w:p>
    <w:p>
      <w:pPr>
        <w:pStyle w:val="ManualHeading3"/>
        <w:rPr>
          <w:noProof/>
        </w:rPr>
      </w:pPr>
      <w:r>
        <w:t>4.1.2.</w:t>
      </w:r>
      <w:r>
        <w:tab/>
      </w:r>
      <w:r>
        <w:rPr>
          <w:noProof/>
        </w:rPr>
        <w:t>Primjena u predmetnom slučaju</w:t>
      </w:r>
    </w:p>
    <w:p>
      <w:pPr>
        <w:rPr>
          <w:noProof/>
        </w:rPr>
      </w:pPr>
      <w:r>
        <w:rPr>
          <w:noProof/>
        </w:rPr>
        <w:t>Vijeće NASCO-a, koje u radu podupiru njegove komisije, tijelo je osnovano na temelju sporazuma, odnosno Konvencije NASCO-a.</w:t>
      </w:r>
    </w:p>
    <w:p>
      <w:pPr>
        <w:rPr>
          <w:noProof/>
        </w:rPr>
      </w:pPr>
      <w:r>
        <w:rPr>
          <w:noProof/>
        </w:rPr>
        <w:t>Akti koje je Vijeće NASCO-a pozvano donositi akti su koji proizvode pravne učinke. Previđeni akti bit će obvezujući na temelju međunarodnog prava u skladu s člankom 13. Konvencije NASCO-a te mogu presudno utjecati na sadržaj sljedećih akata Unije:</w:t>
      </w:r>
    </w:p>
    <w:p>
      <w:pPr>
        <w:pStyle w:val="Bullet0"/>
        <w:numPr>
          <w:ilvl w:val="0"/>
          <w:numId w:val="12"/>
        </w:numPr>
        <w:rPr>
          <w:noProof/>
        </w:rPr>
      </w:pPr>
      <w:r>
        <w:rPr>
          <w:noProof/>
        </w:rPr>
        <w:t>Uredba Vijeća (EZ) br. 1005/2008 o uspostavi sustava Zajednice za sprečavanje nezakonitog, neprijavljenog i nereguliranog ribolova, odvraćanje od njega i njegovo zaustavljanje</w:t>
      </w:r>
      <w:r>
        <w:rPr>
          <w:rStyle w:val="FootnoteReference"/>
          <w:noProof/>
        </w:rPr>
        <w:footnoteReference w:id="8"/>
      </w:r>
      <w:r>
        <w:rPr>
          <w:noProof/>
        </w:rPr>
        <w:t xml:space="preserve">; </w:t>
      </w:r>
    </w:p>
    <w:p>
      <w:pPr>
        <w:pStyle w:val="Bullet0"/>
        <w:rPr>
          <w:noProof/>
        </w:rPr>
      </w:pPr>
      <w:r>
        <w:rPr>
          <w:noProof/>
        </w:rPr>
        <w:t>Uredba Vijeća (EZ) br. 1224/2009 o uspostavi sustava kontrole Unije za osiguranje sukladnosti s pravilima zajedničke ribarstvene politike</w:t>
      </w:r>
      <w:r>
        <w:rPr>
          <w:rStyle w:val="FootnoteReference"/>
          <w:noProof/>
        </w:rPr>
        <w:footnoteReference w:id="9"/>
      </w:r>
      <w:r>
        <w:rPr>
          <w:noProof/>
        </w:rPr>
        <w:t xml:space="preserve">; i </w:t>
      </w:r>
    </w:p>
    <w:p>
      <w:pPr>
        <w:pStyle w:val="Bullet0"/>
        <w:rPr>
          <w:noProof/>
        </w:rPr>
      </w:pPr>
      <w:r>
        <w:rPr>
          <w:noProof/>
        </w:rPr>
        <w:lastRenderedPageBreak/>
        <w:t>Uredba Vijeća (EU) 2017/2403 Europskog parlamenta i Vijeća od 12. prosinca 2017. o održivom upravljanju vanjskim ribarskim flotama</w:t>
      </w:r>
      <w:r>
        <w:rPr>
          <w:rStyle w:val="FootnoteReference"/>
          <w:noProof/>
        </w:rPr>
        <w:footnoteReference w:id="10"/>
      </w:r>
      <w:r>
        <w:rPr>
          <w:noProof/>
        </w:rPr>
        <w:t>.</w:t>
      </w:r>
    </w:p>
    <w:p>
      <w:pPr>
        <w:rPr>
          <w:noProof/>
        </w:rPr>
      </w:pPr>
      <w:r>
        <w:rPr>
          <w:noProof/>
        </w:rPr>
        <w:t>Predviđenim se aktima ne dopunjuje i ne mijenja institucionalni okvir Konvencije NASCO-a.</w:t>
      </w:r>
    </w:p>
    <w:p>
      <w:pPr>
        <w:rPr>
          <w:noProof/>
        </w:rPr>
      </w:pPr>
      <w:r>
        <w:rPr>
          <w:noProof/>
        </w:rPr>
        <w:t>Stoga je postupovna pravna osnova za predloženu odluku članak 218. stavak 9. UFEU-a.</w:t>
      </w:r>
    </w:p>
    <w:p>
      <w:pPr>
        <w:pStyle w:val="ManualHeading2"/>
        <w:rPr>
          <w:noProof/>
        </w:rPr>
      </w:pPr>
      <w:r>
        <w:t>4.2.</w:t>
      </w:r>
      <w:r>
        <w:tab/>
      </w:r>
      <w:r>
        <w:rPr>
          <w:noProof/>
        </w:rPr>
        <w:t>Materijalna pravna osnova</w:t>
      </w:r>
    </w:p>
    <w:p>
      <w:pPr>
        <w:pStyle w:val="ManualHeading3"/>
        <w:rPr>
          <w:noProof/>
        </w:rPr>
      </w:pPr>
      <w:r>
        <w:t>4.2.1.</w:t>
      </w:r>
      <w:r>
        <w:tab/>
      </w:r>
      <w:r>
        <w:rPr>
          <w:noProof/>
        </w:rPr>
        <w:t>Načela</w:t>
      </w:r>
    </w:p>
    <w:p>
      <w:pPr>
        <w:rPr>
          <w:noProof/>
        </w:rPr>
      </w:pPr>
      <w:r>
        <w:rPr>
          <w:noProof/>
        </w:rPr>
        <w:t>Materijalna pravna osnova odluke na temelju članka 218. stavka 9. UFEU-a prije svega ovisi o cilju i sadržaju predviđenog akta o kojemu se zauzima stajalište u ime Unije. Ako taj akt ima dva cilja ili dva elementa te ako se može utvrditi da je jedan od tih dvaju ciljeva ili elemenata glavni, a drugi samo sporedan, odluka na temelju članka 218. stavka 9. UFEU-a mora se temeljiti na samo jednoj materijalnoj pravnoj osnovi, to jest onoj koju zahtijeva glavni ili prevladavajući cilj ili element.</w:t>
      </w:r>
    </w:p>
    <w:p>
      <w:pPr>
        <w:pStyle w:val="ManualHeading3"/>
        <w:rPr>
          <w:noProof/>
        </w:rPr>
      </w:pPr>
      <w:r>
        <w:t>4.2.2.</w:t>
      </w:r>
      <w:r>
        <w:tab/>
      </w:r>
      <w:r>
        <w:rPr>
          <w:noProof/>
        </w:rPr>
        <w:t>Primjena u predmetnom slučaju</w:t>
      </w:r>
    </w:p>
    <w:p>
      <w:pPr>
        <w:rPr>
          <w:noProof/>
        </w:rPr>
      </w:pPr>
      <w:r>
        <w:rPr>
          <w:noProof/>
        </w:rPr>
        <w:t>Glavni cilj i sadržaj predviđenog akta odnose se na ribarstvo. Uredba (EU) br. 1380/2013 pravna je osnova kojom su uređena načela koja se trebaju odražavati u tom stajalištu.</w:t>
      </w:r>
    </w:p>
    <w:p>
      <w:pPr>
        <w:rPr>
          <w:noProof/>
        </w:rPr>
      </w:pPr>
      <w:r>
        <w:rPr>
          <w:noProof/>
        </w:rPr>
        <w:t>Stoga je materijalna pravna osnova predložene odluke članak 43. stavak 2. UFEU-a. Odluka će zamijeniti Odluku 9450/1/14 REV 1, koja obuhvaća razdoblje 2014.–2018.</w:t>
      </w:r>
    </w:p>
    <w:p>
      <w:pPr>
        <w:pStyle w:val="ManualHeading2"/>
        <w:rPr>
          <w:noProof/>
        </w:rPr>
      </w:pPr>
      <w:r>
        <w:t>4.3.</w:t>
      </w:r>
      <w:r>
        <w:tab/>
      </w:r>
      <w:r>
        <w:rPr>
          <w:noProof/>
        </w:rPr>
        <w:t>Zaključak</w:t>
      </w:r>
    </w:p>
    <w:p>
      <w:pPr>
        <w:rPr>
          <w:noProof/>
        </w:rPr>
      </w:pPr>
      <w:r>
        <w:rPr>
          <w:noProof/>
        </w:rPr>
        <w:t>Pravna osnova predložene odluke trebao bi biti članak 43. stavak 2. UFEU-a u vezi s člankom 218. stavkom 9. UFEU-a.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2019/0052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 xml:space="preserve">o stajalištu koje u ime Europske unije treba zauzeti u Organizaciji za očuvanje sjevernoatlantskog lososa (NASCO) i o stavljanju izvan snage </w:t>
      </w:r>
      <w:r>
        <w:rPr>
          <w:noProof/>
        </w:rPr>
        <w:br/>
        <w:t>Odluke 9450/1/14 REV 1</w:t>
      </w:r>
    </w:p>
    <w:p>
      <w:pPr>
        <w:pStyle w:val="Institutionquiagit"/>
        <w:rPr>
          <w:b/>
          <w:noProof/>
        </w:rPr>
      </w:pPr>
      <w:r>
        <w:rPr>
          <w:b/>
          <w:noProof/>
        </w:rPr>
        <w:t>VIJEĆE EUROPSKE UNIJE,</w:t>
      </w:r>
    </w:p>
    <w:p>
      <w:pPr>
        <w:rPr>
          <w:noProof/>
        </w:rPr>
      </w:pPr>
      <w:r>
        <w:rPr>
          <w:noProof/>
        </w:rPr>
        <w:t>uzimajući u obzir Ugovor o funkcioniranju Europske unije, a posebno njegov članak 43. stavak 2.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Odlukom Vijeća (EZ) br. 886/82</w:t>
      </w:r>
      <w:r>
        <w:rPr>
          <w:rStyle w:val="FootnoteReference"/>
          <w:noProof/>
        </w:rPr>
        <w:footnoteReference w:id="11"/>
      </w:r>
      <w:r>
        <w:rPr>
          <w:noProof/>
        </w:rPr>
        <w:t xml:space="preserve"> Europska zajednica sklopila je Konvenciju o očuvanju lososa u sjevernom Atlantiku (Konvencija NASCO-a), kojom je osnovana Organizacija za očuvanje sjevernoatlantskog lososa (NASCO).</w:t>
      </w:r>
    </w:p>
    <w:p>
      <w:pPr>
        <w:pStyle w:val="ManualConsidrant"/>
        <w:rPr>
          <w:noProof/>
        </w:rPr>
      </w:pPr>
      <w:r>
        <w:t>(2)</w:t>
      </w:r>
      <w:r>
        <w:tab/>
      </w:r>
      <w:r>
        <w:rPr>
          <w:noProof/>
        </w:rPr>
        <w:t>Vijeće NASCO-a, koje podupiru tri komisije (Sjevernoamerička komisija, Komisija sjeveroistočnog Atlantika i Komisija Zapadnog Grenlanda), tijelo je osnovano Konvencijom NASCO-a za očuvanje, obnovu, povećanje i racionalno upravljanje atlantskim lososom putem međunarodne suradnje. Vijeće NASCO-a donosi mjere očuvanja i upravljanja kako bi upravljalo ribolovnim resursima u svojoj nadležnosti. Takve mjere mogu postati obvezujuće za Uniju.</w:t>
      </w:r>
    </w:p>
    <w:p>
      <w:pPr>
        <w:pStyle w:val="ManualConsidrant"/>
        <w:rPr>
          <w:noProof/>
        </w:rPr>
      </w:pPr>
      <w:r>
        <w:t>(3)</w:t>
      </w:r>
      <w:r>
        <w:tab/>
      </w:r>
      <w:r>
        <w:rPr>
          <w:noProof/>
        </w:rPr>
        <w:t>Uredbom (EU) br. 1380/2013 Europskog parlamenta i Vijeća</w:t>
      </w:r>
      <w:r>
        <w:rPr>
          <w:rStyle w:val="FootnoteReference"/>
          <w:noProof/>
        </w:rPr>
        <w:footnoteReference w:id="12"/>
      </w:r>
      <w:r>
        <w:rPr>
          <w:noProof/>
          <w:sz w:val="16"/>
        </w:rPr>
        <w:t xml:space="preserve"> </w:t>
      </w:r>
      <w:r>
        <w:rPr>
          <w:noProof/>
        </w:rPr>
        <w:t xml:space="preserve"> predviđeno je da Unija osigura da su aktivnosti u ribarstvu i akvakulturi dugoročno ekološki održive i da se njima upravlja na način koji je u skladu s ciljevima postizanja gospodarskih i društvenih koristi i koristi za zapošljavanje te doprinos dostupnosti opskrbe hranom. Osim toga predviđeno je da Unija primjenjuje predostrožni pristup upravljanju ribarstvom i nastoji osigurati da iskorištavanje živih morskih bioloških resursa obnavlja i održava populacije izlovljavanih vrsta iznad razina koje mogu osigurati najviši održivi prinos. Nadalje, predviđeno je da Unija poduzima mjere upravljanja i očuvanja na temelju najboljih dostupnih znanstvenih savjeta, da podržava razvoj znanstvenog znanja i savjetovanja te da postupno napusti prakse odbacivanja ulova i promiče ribolovne metode koje pridonose selektivnijem ribolovu, najvećem mogućem izbjegavanju i smanjenju neželjenog ulova te ribolovu s manjim utjecajem na morski ekosustav i ribolovne resurse. Uz to, u Uredbi (EU) br. 1380/2013 izričito je predviđeno da Unija te ciljeve i načela treba primjenjivati u svojoj vanjskoj politici u području ribarstva.</w:t>
      </w:r>
    </w:p>
    <w:p>
      <w:pPr>
        <w:pStyle w:val="ManualConsidrant"/>
        <w:rPr>
          <w:noProof/>
        </w:rPr>
      </w:pPr>
      <w:r>
        <w:lastRenderedPageBreak/>
        <w:t>(4)</w:t>
      </w:r>
      <w:r>
        <w:tab/>
      </w:r>
      <w:r>
        <w:rPr>
          <w:noProof/>
        </w:rPr>
        <w:t>Kako je navedeno u Zajedničkoj komunikaciji Visokog predstavnika Unije za vanjske poslove i sigurnosnu politiku i Europske komisije pod naslovom „</w:t>
      </w:r>
      <w:r>
        <w:rPr>
          <w:i/>
          <w:noProof/>
        </w:rPr>
        <w:t>Međunarodno upravljanje oceanima</w:t>
      </w:r>
      <w:r>
        <w:rPr>
          <w:noProof/>
        </w:rPr>
        <w:t>:</w:t>
      </w:r>
      <w:r>
        <w:rPr>
          <w:i/>
          <w:noProof/>
        </w:rPr>
        <w:t xml:space="preserve"> plan za budućnost naših oceana</w:t>
      </w:r>
      <w:r>
        <w:rPr>
          <w:rStyle w:val="FootnoteReference"/>
          <w:noProof/>
        </w:rPr>
        <w:footnoteReference w:id="13"/>
      </w:r>
      <w:r>
        <w:rPr>
          <w:noProof/>
        </w:rPr>
        <w:t>” i u zaključcima Vijeća o toj zajedničkoj komunikaciji</w:t>
      </w:r>
      <w:r>
        <w:rPr>
          <w:rStyle w:val="FootnoteReference"/>
          <w:noProof/>
        </w:rPr>
        <w:footnoteReference w:id="14"/>
      </w:r>
      <w:r>
        <w:rPr>
          <w:noProof/>
        </w:rPr>
        <w:t>, promicanje mjera za potporu i povećanje učinkovitosti regionalnih organizacija za upravljanje ribarstvom (RFMO-i) i, ako je relevantno, poboljšanje njihova upravljanja ključno je za djelovanje Unije u tim forumima.</w:t>
      </w:r>
    </w:p>
    <w:p>
      <w:pPr>
        <w:pStyle w:val="ManualConsidrant"/>
        <w:rPr>
          <w:noProof/>
        </w:rPr>
      </w:pPr>
      <w:r>
        <w:t>(5)</w:t>
      </w:r>
      <w:r>
        <w:tab/>
      </w:r>
      <w:r>
        <w:rPr>
          <w:noProof/>
        </w:rPr>
        <w:t>U Komunikaciji Komisije Europskom parlamentu, Vijeću, Europskom gospodarskom i socijalnom odboru i Odboru regija pod naslovom „</w:t>
      </w:r>
      <w:r>
        <w:rPr>
          <w:i/>
          <w:noProof/>
        </w:rPr>
        <w:t>Europska strategija za plastiku u kružnom gospodarstvu</w:t>
      </w:r>
      <w:r>
        <w:rPr>
          <w:rStyle w:val="FootnoteReference"/>
          <w:noProof/>
        </w:rPr>
        <w:footnoteReference w:id="15"/>
      </w:r>
      <w:r>
        <w:rPr>
          <w:noProof/>
        </w:rPr>
        <w:t>” navedene su konkretne mjere za smanjenje količine plastike i onečišćenja mora, kao i gubitka ili ostavljanja ribolovnog alata u moru.</w:t>
      </w:r>
    </w:p>
    <w:p>
      <w:pPr>
        <w:pStyle w:val="ManualConsidrant"/>
        <w:rPr>
          <w:noProof/>
        </w:rPr>
      </w:pPr>
      <w:r>
        <w:t>(6)</w:t>
      </w:r>
      <w:r>
        <w:tab/>
      </w:r>
      <w:r>
        <w:rPr>
          <w:noProof/>
        </w:rPr>
        <w:t>Primjereno je utvrditi stajalište koje u ime Unije treba zauzeti na sastancima Vijeća NASCO-a jer će mjere očuvanja i provedbe koje donese NASCO biti obvezujuće za Uniju te mogu presudno utjecati na sadržaj zakonodavstva Unije, odnosno Uredbe Vijeća (EZ) br. 1005/2008</w:t>
      </w:r>
      <w:r>
        <w:rPr>
          <w:rStyle w:val="FootnoteReference"/>
          <w:noProof/>
        </w:rPr>
        <w:footnoteReference w:id="16"/>
      </w:r>
      <w:r>
        <w:rPr>
          <w:noProof/>
        </w:rPr>
        <w:t>; Uredbe Vijeća (EZ) br. 1224/2009</w:t>
      </w:r>
      <w:r>
        <w:rPr>
          <w:rStyle w:val="FootnoteReference"/>
          <w:noProof/>
        </w:rPr>
        <w:footnoteReference w:id="17"/>
      </w:r>
      <w:r>
        <w:rPr>
          <w:noProof/>
        </w:rPr>
        <w:t>; i Uredbe (EU) 2017/2403 Europskog parlamenta i Vijeća</w:t>
      </w:r>
      <w:r>
        <w:rPr>
          <w:rStyle w:val="FootnoteReference"/>
          <w:noProof/>
        </w:rPr>
        <w:footnoteReference w:id="18"/>
      </w:r>
      <w:r>
        <w:rPr>
          <w:noProof/>
        </w:rPr>
        <w:t>.</w:t>
      </w:r>
    </w:p>
    <w:p>
      <w:pPr>
        <w:pStyle w:val="ManualConsidrant"/>
        <w:rPr>
          <w:noProof/>
        </w:rPr>
      </w:pPr>
      <w:r>
        <w:t>(7)</w:t>
      </w:r>
      <w:r>
        <w:tab/>
      </w:r>
      <w:r>
        <w:rPr>
          <w:noProof/>
        </w:rPr>
        <w:t>Trenutačno je stajalište koje u ime Unije treba zauzeti na sastancima Vijeća NASCO-a utvrđeno Odlukom Vijeća 9450/1/14 REV 1</w:t>
      </w:r>
      <w:r>
        <w:rPr>
          <w:rStyle w:val="FootnoteReference"/>
          <w:noProof/>
        </w:rPr>
        <w:footnoteReference w:id="19"/>
      </w:r>
      <w:r>
        <w:rPr>
          <w:noProof/>
        </w:rPr>
        <w:t>. Primjereno je 9450/1/14 REV 1 staviti izvan snage i zamijeniti je novom odlukom za razdoblje 2019.–2023.</w:t>
      </w:r>
    </w:p>
    <w:p>
      <w:pPr>
        <w:pStyle w:val="ManualConsidrant"/>
        <w:rPr>
          <w:noProof/>
        </w:rPr>
      </w:pPr>
      <w:r>
        <w:t>(8)</w:t>
      </w:r>
      <w:r>
        <w:tab/>
      </w:r>
      <w:r>
        <w:rPr>
          <w:noProof/>
        </w:rPr>
        <w:t>Budući da se priroda ribolovnih resursa na području primjene Konvencije NASCO-a mijenja i da je stoga potrebno u stajalištu Unije uzeti u obzir nove događaje, uključujući nove znanstvene i druge relevantne podatke koji su predstavljeni prije ili tijekom sastanaka Konvencije NASCO-a, moraju se u skladu s načelom lojalne suradnje među institucijama Unije, sadržanom u članku 13. stavku 2. Ugovora o Europskoj uniji (UEU), utvrditi postupci za godišnje usklađivanje stajališta Unije za razdoblje 2019.–2023.,</w:t>
      </w:r>
    </w:p>
    <w:p>
      <w:pPr>
        <w:pStyle w:val="Formuledadoption"/>
        <w:rPr>
          <w:noProof/>
        </w:rPr>
      </w:pPr>
      <w:r>
        <w:rPr>
          <w:noProof/>
        </w:rPr>
        <w:t>DONIJELO JE OVU ODLUKU:</w:t>
      </w:r>
    </w:p>
    <w:p>
      <w:pPr>
        <w:pStyle w:val="Titrearticle"/>
        <w:rPr>
          <w:noProof/>
        </w:rPr>
      </w:pPr>
      <w:r>
        <w:rPr>
          <w:noProof/>
        </w:rPr>
        <w:t>Članak 1.</w:t>
      </w:r>
    </w:p>
    <w:p>
      <w:pPr>
        <w:autoSpaceDE w:val="0"/>
        <w:autoSpaceDN w:val="0"/>
        <w:adjustRightInd w:val="0"/>
        <w:spacing w:before="0" w:after="0"/>
        <w:rPr>
          <w:noProof/>
        </w:rPr>
      </w:pPr>
      <w:r>
        <w:rPr>
          <w:noProof/>
        </w:rPr>
        <w:t>Stajalište koje u ime Unije treba zauzeti na sastancima Vijeća Organizacije za očuvanje sjevernoatlantskog lososa (NASCO) utvrđeno je u Prilogu I.</w:t>
      </w:r>
    </w:p>
    <w:p>
      <w:pPr>
        <w:pStyle w:val="Titrearticle"/>
        <w:rPr>
          <w:noProof/>
        </w:rPr>
      </w:pPr>
      <w:r>
        <w:rPr>
          <w:noProof/>
        </w:rPr>
        <w:lastRenderedPageBreak/>
        <w:t>Članak 2.</w:t>
      </w:r>
    </w:p>
    <w:p>
      <w:pPr>
        <w:autoSpaceDE w:val="0"/>
        <w:autoSpaceDN w:val="0"/>
        <w:adjustRightInd w:val="0"/>
        <w:spacing w:before="0" w:after="0"/>
        <w:rPr>
          <w:noProof/>
          <w:szCs w:val="24"/>
        </w:rPr>
      </w:pPr>
      <w:r>
        <w:rPr>
          <w:noProof/>
        </w:rPr>
        <w:t>Godišnje usklađivanje stajališta koje Unija treba zauzeti na sastancima Vijeća NASCO-a provodi se u skladu s Prilogom II.</w:t>
      </w:r>
    </w:p>
    <w:p>
      <w:pPr>
        <w:pStyle w:val="Titrearticle"/>
        <w:rPr>
          <w:noProof/>
        </w:rPr>
      </w:pPr>
      <w:r>
        <w:rPr>
          <w:noProof/>
        </w:rPr>
        <w:t>Članak 3.</w:t>
      </w:r>
    </w:p>
    <w:p>
      <w:pPr>
        <w:rPr>
          <w:noProof/>
        </w:rPr>
      </w:pPr>
      <w:r>
        <w:rPr>
          <w:noProof/>
        </w:rPr>
        <w:t>Stajalište Unije utvrđeno u Prilogu I. preispituje i, ako je potrebno, revidira Vijeće na prijedlog Komisije najkasnije do godišnjeg sastanka Vijeća NASCO-a 2024.</w:t>
      </w:r>
    </w:p>
    <w:p>
      <w:pPr>
        <w:pStyle w:val="Titrearticle"/>
        <w:rPr>
          <w:noProof/>
        </w:rPr>
      </w:pPr>
      <w:r>
        <w:rPr>
          <w:noProof/>
        </w:rPr>
        <w:t>Članak 4.</w:t>
      </w:r>
    </w:p>
    <w:p>
      <w:pPr>
        <w:autoSpaceDE w:val="0"/>
        <w:autoSpaceDN w:val="0"/>
        <w:adjustRightInd w:val="0"/>
        <w:spacing w:before="0" w:after="0"/>
        <w:rPr>
          <w:noProof/>
          <w:szCs w:val="24"/>
        </w:rPr>
      </w:pPr>
      <w:r>
        <w:rPr>
          <w:noProof/>
        </w:rPr>
        <w:t>Odluka 9450/1/14 REV 1 od 19. svibnja 2014. stavlja se izvan snage.</w:t>
      </w:r>
    </w:p>
    <w:p>
      <w:pPr>
        <w:pStyle w:val="Titrearticle"/>
        <w:rPr>
          <w:noProof/>
        </w:rPr>
      </w:pPr>
      <w:r>
        <w:rPr>
          <w:noProof/>
        </w:rPr>
        <w:t>Članak 5.</w:t>
      </w:r>
    </w:p>
    <w:p>
      <w:pPr>
        <w:autoSpaceDE w:val="0"/>
        <w:autoSpaceDN w:val="0"/>
        <w:adjustRightInd w:val="0"/>
        <w:spacing w:before="0" w:after="0"/>
        <w:rPr>
          <w:noProof/>
          <w:szCs w:val="24"/>
        </w:rPr>
      </w:pPr>
      <w:r>
        <w:rPr>
          <w:noProof/>
        </w:rPr>
        <w:t>Ova je Odluka upućena Komisiji.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tab/>
      </w:r>
      <w:r>
        <w:rPr>
          <w:sz w:val="20"/>
        </w:rPr>
        <w:t>Odluka Vijeća 82/886/EEZ od 13. prosinca 1982. o sklapanju Konvencije o očuvanju lososa u sjevernom Atlantiku (SL L 378, 31.12.1982., str. 24.).</w:t>
      </w:r>
    </w:p>
  </w:footnote>
  <w:footnote w:id="2">
    <w:p>
      <w:pPr>
        <w:pStyle w:val="FootnoteText"/>
      </w:pPr>
      <w:r>
        <w:rPr>
          <w:rStyle w:val="FootnoteReference"/>
        </w:rPr>
        <w:footnoteRef/>
      </w:r>
      <w:r>
        <w:tab/>
        <w:t>Uredba (EU) br. 1380/2013 Europskog parlamenta i Vijeća o zajedničkoj ribarstvenoj politici, izmjeni uredaba Vijeća (EZ) br. 1954/2003 i (EZ) br. 1224/2009 i stavljanju izvan snage uredaba (EZ) br. 2371/2002 i (EZ) br. 639/2004 i Odluke Vijeća 2004/585/EZ (SL L 354, 28.12.2013., str. 22.).</w:t>
      </w:r>
    </w:p>
  </w:footnote>
  <w:footnote w:id="3">
    <w:p>
      <w:pPr>
        <w:pStyle w:val="FootnoteText"/>
        <w:rPr>
          <w:lang w:val="pt-PT"/>
        </w:rPr>
      </w:pPr>
      <w:r>
        <w:rPr>
          <w:rStyle w:val="FootnoteReference"/>
        </w:rPr>
        <w:footnoteRef/>
      </w:r>
      <w:r>
        <w:rPr>
          <w:lang w:val="pt-PT"/>
        </w:rPr>
        <w:tab/>
        <w:t>COM(2011) 424, 13.7.2011.</w:t>
      </w:r>
    </w:p>
  </w:footnote>
  <w:footnote w:id="4">
    <w:p>
      <w:pPr>
        <w:pStyle w:val="FootnoteText"/>
        <w:rPr>
          <w:lang w:val="pt-PT"/>
        </w:rPr>
      </w:pPr>
      <w:r>
        <w:rPr>
          <w:rStyle w:val="FootnoteReference"/>
        </w:rPr>
        <w:footnoteRef/>
      </w:r>
      <w:r>
        <w:rPr>
          <w:lang w:val="pt-PT"/>
        </w:rPr>
        <w:tab/>
        <w:t>COM(2018) 28 final, 16.1.2018.</w:t>
      </w:r>
    </w:p>
  </w:footnote>
  <w:footnote w:id="5">
    <w:p>
      <w:pPr>
        <w:pStyle w:val="FootnoteText"/>
        <w:rPr>
          <w:lang w:val="pt-PT"/>
        </w:rPr>
      </w:pPr>
      <w:r>
        <w:rPr>
          <w:rStyle w:val="FootnoteReference"/>
        </w:rPr>
        <w:footnoteRef/>
      </w:r>
      <w:r>
        <w:rPr>
          <w:lang w:val="pt-PT"/>
        </w:rPr>
        <w:tab/>
        <w:t>JOIN(2016) 49 final, 10.11.2016.</w:t>
      </w:r>
    </w:p>
  </w:footnote>
  <w:footnote w:id="6">
    <w:p>
      <w:pPr>
        <w:pStyle w:val="FootnoteText"/>
        <w:rPr>
          <w:lang w:val="pt-PT"/>
        </w:rPr>
      </w:pPr>
      <w:r>
        <w:rPr>
          <w:rStyle w:val="FootnoteReference"/>
        </w:rPr>
        <w:footnoteRef/>
      </w:r>
      <w:r>
        <w:rPr>
          <w:lang w:val="pt-PT"/>
        </w:rPr>
        <w:tab/>
        <w:t>7348/1/17 REV 1, 24.3.2017.</w:t>
      </w:r>
    </w:p>
  </w:footnote>
  <w:footnote w:id="7">
    <w:p>
      <w:pPr>
        <w:pStyle w:val="FootnoteText"/>
        <w:rPr>
          <w:lang w:val="pt-PT"/>
        </w:rPr>
      </w:pPr>
      <w:r>
        <w:rPr>
          <w:rStyle w:val="FootnoteReference"/>
        </w:rPr>
        <w:footnoteRef/>
      </w:r>
      <w:r>
        <w:rPr>
          <w:lang w:val="pt-PT"/>
        </w:rPr>
        <w:tab/>
        <w:t xml:space="preserve">Presuda Suda od 7. listopada 2014., </w:t>
      </w:r>
      <w:r>
        <w:rPr>
          <w:i/>
          <w:lang w:val="pt-PT"/>
        </w:rPr>
        <w:t>Njemačka</w:t>
      </w:r>
      <w:r>
        <w:rPr>
          <w:lang w:val="pt-PT"/>
        </w:rPr>
        <w:t xml:space="preserve"> / </w:t>
      </w:r>
      <w:r>
        <w:rPr>
          <w:i/>
          <w:lang w:val="pt-PT"/>
        </w:rPr>
        <w:t>Vijeće</w:t>
      </w:r>
      <w:r>
        <w:rPr>
          <w:lang w:val="pt-PT"/>
        </w:rPr>
        <w:t>, C-399/12, ECLI:EU:C:2014:2258, točke od 61. do 64.</w:t>
      </w:r>
    </w:p>
  </w:footnote>
  <w:footnote w:id="8">
    <w:p>
      <w:pPr>
        <w:pStyle w:val="FootnoteText"/>
        <w:rPr>
          <w:lang w:val="pt-PT"/>
        </w:rPr>
      </w:pPr>
      <w:r>
        <w:rPr>
          <w:rStyle w:val="FootnoteReference"/>
        </w:rPr>
        <w:footnoteRef/>
      </w:r>
      <w:r>
        <w:rPr>
          <w:lang w:val="pt-PT"/>
        </w:rPr>
        <w:tab/>
        <w:t>SL L 286, 29.10.2008., str. 1.</w:t>
      </w:r>
    </w:p>
  </w:footnote>
  <w:footnote w:id="9">
    <w:p>
      <w:pPr>
        <w:pStyle w:val="FootnoteText"/>
        <w:rPr>
          <w:lang w:val="pt-PT"/>
        </w:rPr>
      </w:pPr>
      <w:r>
        <w:rPr>
          <w:rStyle w:val="FootnoteReference"/>
        </w:rPr>
        <w:footnoteRef/>
      </w:r>
      <w:r>
        <w:rPr>
          <w:lang w:val="pt-PT"/>
        </w:rPr>
        <w:tab/>
        <w:t>SL L 343, 22.12.2009., str. 1.</w:t>
      </w:r>
    </w:p>
  </w:footnote>
  <w:footnote w:id="10">
    <w:p>
      <w:pPr>
        <w:pStyle w:val="FootnoteText"/>
        <w:rPr>
          <w:lang w:val="pt-PT"/>
        </w:rPr>
      </w:pPr>
      <w:r>
        <w:rPr>
          <w:rStyle w:val="FootnoteReference"/>
        </w:rPr>
        <w:footnoteRef/>
      </w:r>
      <w:r>
        <w:rPr>
          <w:lang w:val="pt-PT"/>
        </w:rPr>
        <w:tab/>
        <w:t>SL L 347, 28.12.2017., str. 81.</w:t>
      </w:r>
    </w:p>
  </w:footnote>
  <w:footnote w:id="11">
    <w:p>
      <w:pPr>
        <w:pStyle w:val="FootnoteText"/>
        <w:rPr>
          <w:lang w:val="pt-PT"/>
        </w:rPr>
      </w:pPr>
      <w:r>
        <w:rPr>
          <w:rStyle w:val="FootnoteReference"/>
        </w:rPr>
        <w:footnoteRef/>
      </w:r>
      <w:r>
        <w:rPr>
          <w:lang w:val="pt-PT"/>
        </w:rPr>
        <w:tab/>
        <w:t>Odluka Vijeća od 13. prosinca 1982. o sklapanju Konvencije o očuvanju lososa u sjevernom Atlantiku (SL L 378, 31.12.1982., str. 24.).</w:t>
      </w:r>
    </w:p>
  </w:footnote>
  <w:footnote w:id="12">
    <w:p>
      <w:pPr>
        <w:pStyle w:val="FootnoteText"/>
        <w:rPr>
          <w:lang w:val="pt-PT"/>
        </w:rPr>
      </w:pPr>
      <w:r>
        <w:rPr>
          <w:rStyle w:val="FootnoteReference"/>
        </w:rPr>
        <w:footnoteRef/>
      </w:r>
      <w:r>
        <w:rPr>
          <w:lang w:val="pt-PT"/>
        </w:rPr>
        <w:tab/>
        <w:t>Uredba (EU) br. 1380/2013 Europskog parlamenta i Vijeća od 11. prosinca 2013. o zajedničkoj ribarstvenoj politici, izmjeni uredaba Vijeća (EZ) br. 1954/2003 i (EZ) br. 1224/2009 i stavljanju izvan snage uredaba (EZ) br. 2371/2002 i (EZ) br. 639/2004 i Odluke Vijeća 2004/585/EZ (SL L 354, 28.12.2013., str. 22.).</w:t>
      </w:r>
    </w:p>
  </w:footnote>
  <w:footnote w:id="13">
    <w:p>
      <w:pPr>
        <w:pStyle w:val="FootnoteText"/>
        <w:rPr>
          <w:lang w:val="pl-PL"/>
        </w:rPr>
      </w:pPr>
      <w:r>
        <w:rPr>
          <w:rStyle w:val="FootnoteReference"/>
        </w:rPr>
        <w:footnoteRef/>
      </w:r>
      <w:r>
        <w:rPr>
          <w:lang w:val="pl-PL"/>
        </w:rPr>
        <w:tab/>
        <w:t>JOIN(2016) 49 final od 10.11.2016.</w:t>
      </w:r>
    </w:p>
  </w:footnote>
  <w:footnote w:id="14">
    <w:p>
      <w:pPr>
        <w:pStyle w:val="FootnoteText"/>
        <w:rPr>
          <w:lang w:val="pl-PL"/>
        </w:rPr>
      </w:pPr>
      <w:r>
        <w:rPr>
          <w:rStyle w:val="FootnoteReference"/>
        </w:rPr>
        <w:footnoteRef/>
      </w:r>
      <w:r>
        <w:rPr>
          <w:lang w:val="pl-PL"/>
        </w:rPr>
        <w:tab/>
        <w:t>7348/1/17 REV 1 od 24.3.2017.</w:t>
      </w:r>
    </w:p>
  </w:footnote>
  <w:footnote w:id="15">
    <w:p>
      <w:pPr>
        <w:pStyle w:val="FootnoteText"/>
        <w:rPr>
          <w:lang w:val="pl-PL"/>
        </w:rPr>
      </w:pPr>
      <w:r>
        <w:rPr>
          <w:rStyle w:val="FootnoteReference"/>
        </w:rPr>
        <w:footnoteRef/>
      </w:r>
      <w:r>
        <w:rPr>
          <w:lang w:val="pl-PL"/>
        </w:rPr>
        <w:tab/>
        <w:t>COM(2018) 28 final, 16.1.2018.</w:t>
      </w:r>
    </w:p>
  </w:footnote>
  <w:footnote w:id="16">
    <w:p>
      <w:pPr>
        <w:pStyle w:val="FootnoteText"/>
        <w:rPr>
          <w:lang w:val="pl-PL"/>
        </w:rPr>
      </w:pPr>
      <w:r>
        <w:rPr>
          <w:rStyle w:val="FootnoteReference"/>
        </w:rPr>
        <w:footnoteRef/>
      </w:r>
      <w:r>
        <w:rPr>
          <w:lang w:val="pl-PL"/>
        </w:rPr>
        <w:tab/>
        <w:t>Uredba Vijeća (EZ) br. 1005/2008 o uspostavi sustava Zajednice za sprečavanje nezakonitog, neprijavljenog i nereguliranog ribolova, odvraćanje od njega i njegovo zaustavljanje, o izmjeni uredaba (EEZ) br. 2847/93, (EZ) br. 1936/2001 i (EZ) br. 601/2004 i o stavljanju izvan snage uredaba (EZ) br. 1093/94 i (EZ) br. 1447/1999 (SL L 286, 29.10.2008., str. 1.).</w:t>
      </w:r>
    </w:p>
  </w:footnote>
  <w:footnote w:id="17">
    <w:p>
      <w:pPr>
        <w:pStyle w:val="FootnoteText"/>
        <w:rPr>
          <w:lang w:val="pl-PL"/>
        </w:rPr>
      </w:pPr>
      <w:r>
        <w:rPr>
          <w:rStyle w:val="FootnoteReference"/>
        </w:rPr>
        <w:footnoteRef/>
      </w:r>
      <w:r>
        <w:rPr>
          <w:lang w:val="pl-PL"/>
        </w:rPr>
        <w:tab/>
        <w:t>Uredba Vijeća (EZ) br. 1224/2009 od 20. studenoga 2009. o uspostavi sustava kontrole Unije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22.12.2009., str. 1.).</w:t>
      </w:r>
    </w:p>
  </w:footnote>
  <w:footnote w:id="18">
    <w:p>
      <w:pPr>
        <w:pStyle w:val="FootnoteText"/>
        <w:rPr>
          <w:lang w:val="pl-PL"/>
        </w:rPr>
      </w:pPr>
      <w:r>
        <w:rPr>
          <w:rStyle w:val="FootnoteReference"/>
        </w:rPr>
        <w:footnoteRef/>
      </w:r>
      <w:r>
        <w:rPr>
          <w:lang w:val="pl-PL"/>
        </w:rPr>
        <w:tab/>
        <w:t>Uredba (EU) 2017/2403 Europskog parlamenta i Vijeća od 12. prosinca 2017. o održivom upravljanju vanjskim ribarskim flotama i stavljanju izvan snage Uredbe Vijeća (EZ) br. 1006/2008 (SL L 347, 28.12.2017., str. 81.).</w:t>
      </w:r>
    </w:p>
  </w:footnote>
  <w:footnote w:id="19">
    <w:p>
      <w:pPr>
        <w:pStyle w:val="FootnoteText"/>
        <w:rPr>
          <w:lang w:val="pl-PL"/>
        </w:rPr>
      </w:pPr>
      <w:r>
        <w:rPr>
          <w:rStyle w:val="FootnoteReference"/>
        </w:rPr>
        <w:footnoteRef/>
      </w:r>
      <w:r>
        <w:rPr>
          <w:lang w:val="pl-PL"/>
        </w:rPr>
        <w:tab/>
        <w:t>Odluka Vijeća od 19. svibnja 2014. o stajalištu koje je u ime Europske unije potrebno donijeti u Organizaciji za očuvanje sjevernoatlantskog lososa (NASCO).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23: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E364D7D-1C0F-425A-804A-5F683BDEF8C9"/>
    <w:docVar w:name="LW_COVERPAGE_TYPE" w:val="1"/>
    <w:docVar w:name="LW_CROSSREFERENCE" w:val="&lt;UNUSED&gt;"/>
    <w:docVar w:name="LW_DocType" w:val="COM"/>
    <w:docVar w:name="LW_EMISSION" w:val="6.3.2019."/>
    <w:docVar w:name="LW_EMISSION_ISODATE" w:val="2019-03-06"/>
    <w:docVar w:name="LW_EMISSION_LOCATION" w:val="BRX"/>
    <w:docVar w:name="LW_EMISSION_PREFIX" w:val="Bruxelle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52"/>
    <w:docVar w:name="LW_REF.II.NEW.CP_YEAR" w:val="2019"/>
    <w:docVar w:name="LW_REF.INST.NEW" w:val="COM"/>
    <w:docVar w:name="LW_REF.INST.NEW_ADOPTED" w:val="final"/>
    <w:docVar w:name="LW_REF.INST.NEW_TEXT" w:val="(2019)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u ime Europske unije treba zauzeti u Organizaciji za o\u269?uvanje sjevernoatlantskog lososa (NASCO) i o stavljanju izvan snage _x000b_Odluke 9450/1/14 REV 1"/>
    <w:docVar w:name="LW_TYPE.DOC.CP" w:val="ODLUKE VIJE\u262?A"/>
    <w:docVar w:name="Stamp" w:val="\\dossiers.dgt.cec.eu.int\dossiers\MARE\MARE-2018-00541\MARE-2018-00541-00-09-EN-EDT-00.20181207122113870149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3658-47D9-4CCD-A866-C6831D27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1631</Words>
  <Characters>9644</Characters>
  <Application>Microsoft Office Word</Application>
  <DocSecurity>0</DocSecurity>
  <Lines>172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2019-02-15T15:10:00Z</dcterms:created>
  <dcterms:modified xsi:type="dcterms:W3CDTF">2019-03-06T08:23:00Z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