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8D4A851-A364-479B-985C-09EF70E3870E" style="width:451.25pt;height:365.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autoSpaceDE w:val="0"/>
        <w:autoSpaceDN w:val="0"/>
        <w:adjustRightInd w:val="0"/>
        <w:spacing w:before="0" w:after="0"/>
        <w:rPr>
          <w:rFonts w:ascii="TimesNewRomanPSMT" w:hAnsi="TimesNewRomanPSMT" w:cs="TimesNewRomanPSMT"/>
          <w:noProof/>
          <w:szCs w:val="24"/>
        </w:rPr>
      </w:pPr>
      <w:r>
        <w:rPr>
          <w:noProof/>
        </w:rPr>
        <w:t>Niniejszy wniosek dotyczy decyzji określającej stanowisko, jakie należy zająć w imieniu Unii na posiedzeniach Organizacji do Spraw Ochrony Łososia Północnoatlantyckiego (NASCO) w latach 2019–2023, w związku z przewidywanym przyjęciem środków ochrony i zarządzania.</w:t>
      </w:r>
    </w:p>
    <w:p>
      <w:pPr>
        <w:pStyle w:val="ManualHeading1"/>
        <w:rPr>
          <w:noProof/>
        </w:rPr>
      </w:pPr>
      <w:r>
        <w:t>2.</w:t>
      </w:r>
      <w:r>
        <w:tab/>
      </w:r>
      <w:r>
        <w:rPr>
          <w:noProof/>
        </w:rPr>
        <w:t>Kontekst wniosku</w:t>
      </w:r>
    </w:p>
    <w:p>
      <w:pPr>
        <w:pStyle w:val="ManualHeading2"/>
        <w:rPr>
          <w:noProof/>
        </w:rPr>
      </w:pPr>
      <w:r>
        <w:t>2.1.</w:t>
      </w:r>
      <w:r>
        <w:tab/>
      </w:r>
      <w:r>
        <w:rPr>
          <w:noProof/>
        </w:rPr>
        <w:t>Konwencja w sprawie ochrony łososia w północnym Oceanie Atlantyckim</w:t>
      </w:r>
    </w:p>
    <w:p>
      <w:pPr>
        <w:rPr>
          <w:noProof/>
        </w:rPr>
      </w:pPr>
      <w:r>
        <w:rPr>
          <w:noProof/>
        </w:rPr>
        <w:t>Konwencja w sprawie ochrony łososia w północnym Oceanie Atlantyckim (konwencja NASCO) ma na celu, poprzez ustanowienie NASCO, ochronę, odbudowę, zwiększenie liczebności zasobów dzikiego łososia atlantyckiego oraz racjonalne zarządzanie nimi. Konwencja weszła w życie dnia 1 października 1983 r.</w:t>
      </w:r>
    </w:p>
    <w:p>
      <w:pPr>
        <w:rPr>
          <w:noProof/>
        </w:rPr>
      </w:pPr>
      <w:r>
        <w:rPr>
          <w:noProof/>
        </w:rPr>
        <w:t>Unia jest jedną ze stron konwencji NASCO i zatwierdziła ją zgodnie z decyzją Rady 82/886/EWG</w:t>
      </w:r>
      <w:r>
        <w:rPr>
          <w:rStyle w:val="FootnoteReference"/>
          <w:noProof/>
        </w:rPr>
        <w:footnoteReference w:id="1"/>
      </w:r>
      <w:r>
        <w:rPr>
          <w:noProof/>
        </w:rPr>
        <w:t>.</w:t>
      </w:r>
    </w:p>
    <w:p>
      <w:pPr>
        <w:pStyle w:val="ManualHeading2"/>
        <w:rPr>
          <w:noProof/>
        </w:rPr>
      </w:pPr>
      <w:r>
        <w:t>2.2.</w:t>
      </w:r>
      <w:r>
        <w:tab/>
      </w:r>
      <w:r>
        <w:rPr>
          <w:noProof/>
        </w:rPr>
        <w:t>Rada Organizacji do Spraw Ochrony Łososia Północnoatlantyckiego</w:t>
      </w:r>
    </w:p>
    <w:p>
      <w:pPr>
        <w:rPr>
          <w:noProof/>
        </w:rPr>
      </w:pPr>
      <w:r>
        <w:rPr>
          <w:noProof/>
        </w:rPr>
        <w:t>Rada NASCO, wspierana przez trzy komisje NASCO (Komisję Północnoamerykańską, Komisję Północno-Wschodniego Atlantyku oraz Komisję Zachodniej Grenlandii), jest organem ustanowionym na mocy konwencji NASCO w celu ochrony, odbudowy, zwiększenia liczebności zasobów dzikiego łososia atlantyckiego oraz racjonalnego zarządzania nimi, w drodze współpracy międzynarodowej. Organ ten przyjmuje środki ochrony i zarządzania, aby zarządzać zasobami rybnymi, które podlegają jego kompetencji.</w:t>
      </w:r>
    </w:p>
    <w:p>
      <w:pPr>
        <w:rPr>
          <w:rFonts w:eastAsia="Arial Unicode MS"/>
          <w:noProof/>
        </w:rPr>
      </w:pPr>
      <w:r>
        <w:rPr>
          <w:noProof/>
        </w:rPr>
        <w:t>Jako członek Rady NASCO i jej dwóch komisji (Komisji Północno-Wschodniego Atlantyku oraz Komisji Zachodniej Grenlandii) Unia ma prawo uczestnictwa i prawo głosu. Rada NASCO podejmuje decyzje jednomyślnie.</w:t>
      </w:r>
    </w:p>
    <w:p>
      <w:pPr>
        <w:pStyle w:val="ManualHeading2"/>
        <w:rPr>
          <w:noProof/>
        </w:rPr>
      </w:pPr>
      <w:r>
        <w:t>2.3.</w:t>
      </w:r>
      <w:r>
        <w:tab/>
      </w:r>
      <w:r>
        <w:rPr>
          <w:noProof/>
        </w:rPr>
        <w:t>Decyzje Rady NASCO</w:t>
      </w:r>
    </w:p>
    <w:p>
      <w:pPr>
        <w:rPr>
          <w:rFonts w:eastAsia="Arial Unicode MS"/>
          <w:noProof/>
        </w:rPr>
      </w:pPr>
      <w:r>
        <w:rPr>
          <w:noProof/>
        </w:rPr>
        <w:t>Rada NASCO posiada upoważnienie do przyjmowania środków ochrony i egzekwowania w odniesieniu do zasobów objętych jej kompetencją, a środki te są wiążące dla umawiających się stron.</w:t>
      </w:r>
    </w:p>
    <w:p>
      <w:pPr>
        <w:rPr>
          <w:noProof/>
        </w:rPr>
      </w:pPr>
      <w:r>
        <w:rPr>
          <w:noProof/>
        </w:rPr>
        <w:t>Zgodnie z art. 13 ust. 2 konwencji NASCO środki te wchodzą w życie 60 dni po dniu, w którym umawiające się strony zostały o nich powiadomione przez NASCO.</w:t>
      </w:r>
    </w:p>
    <w:p>
      <w:pPr>
        <w:pStyle w:val="ManualHeading1"/>
        <w:rPr>
          <w:rFonts w:eastAsia="Arial Unicode MS"/>
          <w:noProof/>
        </w:rPr>
      </w:pPr>
      <w:r>
        <w:t>3.</w:t>
      </w:r>
      <w:r>
        <w:tab/>
      </w:r>
      <w:r>
        <w:rPr>
          <w:noProof/>
        </w:rPr>
        <w:t>Stanowisko, jakie należy zająć w imieniu Unii</w:t>
      </w:r>
    </w:p>
    <w:p>
      <w:pPr>
        <w:rPr>
          <w:rFonts w:eastAsia="Times New Roman"/>
          <w:noProof/>
        </w:rPr>
      </w:pPr>
      <w:r>
        <w:rPr>
          <w:noProof/>
        </w:rPr>
        <w:t>Stanowisko, jakie należy zająć w imieniu Unii na corocznych posiedzeniach regionalnych organizacji ds. zarządzania rybołówstwem (RFMO), ustala się obecnie na dwóch</w:t>
      </w:r>
      <w:r>
        <w:rPr>
          <w:noProof/>
        </w:rPr>
        <w:noBreakHyphen/>
        <w:t>etapach. Decyzja Rady określa podstawowe zasady i kierunki stanowiska Unii w perspektywie wieloletniej; podlega ono następnie dostosowaniu na potrzeby każdego corocznego posiedzenia w drodze nieoficjalnych dokumentów Komisji, które są przedmiotem dyskusji w ramach grupy roboczej Rady.</w:t>
      </w:r>
    </w:p>
    <w:p>
      <w:pPr>
        <w:rPr>
          <w:rFonts w:eastAsia="Times New Roman"/>
          <w:noProof/>
        </w:rPr>
      </w:pPr>
      <w:r>
        <w:rPr>
          <w:noProof/>
        </w:rPr>
        <w:lastRenderedPageBreak/>
        <w:t>W odniesieniu do NASCO podejście to jest wdrożone decyzją Rady 9450/1/14 REV 1 z dnia 19 maja 2014 r., która określa stanowisko Unii na forum NASCO na lata 2014–2018. Decyzja zawiera ogólne zasady i kierunki działań, ale uwzględnia również w możliwie największym stopniu specyfikę NASCO. Ponadto na wniosek państw członkowskich decyzja ustanawia standardowy proces doprecyzowania z roku na rok stanowiska Unii.</w:t>
      </w:r>
    </w:p>
    <w:p>
      <w:pPr>
        <w:rPr>
          <w:rFonts w:eastAsia="Times New Roman"/>
          <w:noProof/>
        </w:rPr>
      </w:pPr>
      <w:r>
        <w:rPr>
          <w:noProof/>
        </w:rPr>
        <w:t>W decyzji Rady 9450/1/14 REV 1 przewidziano dokonanie przeglądu stanowiska Unii przed dorocznym posiedzeniem w 2019 r. Niniejszy wniosek określa stanowisko Unii na forum NASCO na lata 2019–2023, zastępując tym samym decyzję 9450/1/14 REV 1.</w:t>
      </w:r>
    </w:p>
    <w:p>
      <w:pPr>
        <w:rPr>
          <w:rFonts w:eastAsia="Times New Roman"/>
          <w:noProof/>
        </w:rPr>
      </w:pPr>
      <w:r>
        <w:rPr>
          <w:noProof/>
        </w:rPr>
        <w:t>W decyzji 9450/1/14 REV 1 uwzględniono zasady i kierunki działań nowej wspólnej polityki rybołówstwa (WPRyb) ustanowione rozporządzeniem Parlamentu Europejskiego i Rady (UE) nr 1380/2013</w:t>
      </w:r>
      <w:r>
        <w:rPr>
          <w:rStyle w:val="FootnoteReference"/>
          <w:noProof/>
        </w:rPr>
        <w:footnoteReference w:id="2"/>
      </w:r>
      <w:r>
        <w:rPr>
          <w:noProof/>
        </w:rPr>
        <w:t>, jak również cele określone w komunikacie Komisji w sprawie zewnętrznego wymiaru wspólnej polityki rybołówstwa</w:t>
      </w:r>
      <w:r>
        <w:rPr>
          <w:rStyle w:val="FootnoteReference"/>
          <w:noProof/>
        </w:rPr>
        <w:footnoteReference w:id="3"/>
      </w:r>
      <w:r>
        <w:rPr>
          <w:noProof/>
        </w:rPr>
        <w:t>. Ponadto stanowisko Unii zostało w niej dostosowane do traktatu lizbońskiego.</w:t>
      </w:r>
    </w:p>
    <w:p>
      <w:pPr>
        <w:rPr>
          <w:noProof/>
        </w:rPr>
      </w:pPr>
      <w:r>
        <w:rPr>
          <w:noProof/>
        </w:rPr>
        <w:t>Obecna modyfikacja uwzględnia, w kontekście skutków rybołówstwa, komunikat Komisji do Parlamentu Europejskiego, Rady, Europejskiego Komitetu Ekonomiczno-Społecznego i Komitetu Regionów zatytułowany „Europejska strategia na rzecz tworzyw sztucznych w gospodarce o obiegu zamkniętym”</w:t>
      </w:r>
      <w:r>
        <w:rPr>
          <w:rStyle w:val="FootnoteReference"/>
          <w:noProof/>
        </w:rPr>
        <w:footnoteReference w:id="4"/>
      </w:r>
      <w:r>
        <w:rPr>
          <w:noProof/>
        </w:rPr>
        <w:t xml:space="preserve"> oraz wspólny komunikat Komisji i Wysokiego Przedstawiciela Unii do Spraw Zagranicznych i Polityki Bezpieczeństwa zatytułowany „Międzynarodowe zarządzanie oceanami:</w:t>
      </w:r>
      <w:r>
        <w:rPr>
          <w:i/>
          <w:noProof/>
        </w:rPr>
        <w:t xml:space="preserve"> </w:t>
      </w:r>
      <w:r>
        <w:rPr>
          <w:noProof/>
        </w:rPr>
        <w:t>– program działań na rzecz przyszłości oceanów”</w:t>
      </w:r>
      <w:r>
        <w:rPr>
          <w:rStyle w:val="FootnoteReference"/>
          <w:noProof/>
        </w:rPr>
        <w:footnoteReference w:id="5"/>
      </w:r>
      <w:r>
        <w:rPr>
          <w:noProof/>
        </w:rPr>
        <w:t xml:space="preserve"> i konkluzje Rady w sprawie tego wspólnego komunikatu</w:t>
      </w:r>
      <w:r>
        <w:rPr>
          <w:rStyle w:val="FootnoteReference"/>
          <w:noProof/>
        </w:rPr>
        <w:footnoteReference w:id="6"/>
      </w:r>
      <w:r>
        <w:rPr>
          <w:noProof/>
        </w:rPr>
        <w:t>.</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Art. 218 ust. 9 Traktatu o Funkcjonowaniu Unii Europejskiej (TFUE) przewiduje decyzje ustalające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Pojęcie „aktów mających skutki prawne” obejmuje akty mające skutki prawne na mocy przepisów prawa międzynarodowego regulujących dany organ oraz instrumenty, które nie mają mocy wiążącej na mocy prawa międzynarodowego, ale „mogą w sposób decydujący wywrzeć wpływ na treść przepisów przyjętych przez prawodawcę Unii”</w:t>
      </w:r>
      <w:r>
        <w:rPr>
          <w:rStyle w:val="FootnoteReference"/>
          <w:noProof/>
        </w:rPr>
        <w:footnoteReference w:id="7"/>
      </w:r>
      <w:r>
        <w:rPr>
          <w:noProof/>
        </w:rPr>
        <w:t>.</w:t>
      </w:r>
    </w:p>
    <w:p>
      <w:pPr>
        <w:pStyle w:val="ManualHeading3"/>
        <w:rPr>
          <w:noProof/>
        </w:rPr>
      </w:pPr>
      <w:r>
        <w:t>4.1.2.</w:t>
      </w:r>
      <w:r>
        <w:tab/>
      </w:r>
      <w:r>
        <w:rPr>
          <w:noProof/>
        </w:rPr>
        <w:t>Zastosowanie w niniejszej sprawie</w:t>
      </w:r>
    </w:p>
    <w:p>
      <w:pPr>
        <w:rPr>
          <w:noProof/>
        </w:rPr>
      </w:pPr>
      <w:r>
        <w:rPr>
          <w:noProof/>
        </w:rPr>
        <w:t>Rada NASCO, wspierana przez swe komisje, jest organem utworzonym na mocy porozumienia, a mianowicie konwencji NASCO.</w:t>
      </w:r>
    </w:p>
    <w:p>
      <w:pPr>
        <w:rPr>
          <w:noProof/>
        </w:rPr>
      </w:pPr>
      <w:r>
        <w:rPr>
          <w:noProof/>
        </w:rPr>
        <w:lastRenderedPageBreak/>
        <w:t>Akty, które ma przyjąć Rada NASCO, to akty mające skutki prawne. Akty te będą wiążące na mocy prawa międzynarodowego zgodnie z art. 13 konwencji NASCO i mogą w sposób decydujący wywrzeć wpływ na treść przepisów unijnych, w tym na:</w:t>
      </w:r>
    </w:p>
    <w:p>
      <w:pPr>
        <w:pStyle w:val="Bullet0"/>
        <w:numPr>
          <w:ilvl w:val="0"/>
          <w:numId w:val="12"/>
        </w:numPr>
        <w:rPr>
          <w:noProof/>
        </w:rPr>
      </w:pPr>
      <w:r>
        <w:rPr>
          <w:noProof/>
        </w:rPr>
        <w:t>rozporządzenie Rady (WE) nr 1005/2008 ustanawiające wspólnotowy system zapobiegania nielegalnym, nieraportowanym i nieuregulowanym połowom oraz ich powstrzymywania i eliminowania</w:t>
      </w:r>
      <w:r>
        <w:rPr>
          <w:rStyle w:val="FootnoteReference"/>
          <w:noProof/>
        </w:rPr>
        <w:footnoteReference w:id="8"/>
      </w:r>
      <w:r>
        <w:rPr>
          <w:noProof/>
        </w:rPr>
        <w:t xml:space="preserve">; </w:t>
      </w:r>
    </w:p>
    <w:p>
      <w:pPr>
        <w:pStyle w:val="Bullet0"/>
        <w:rPr>
          <w:noProof/>
        </w:rPr>
      </w:pPr>
      <w:r>
        <w:rPr>
          <w:noProof/>
        </w:rPr>
        <w:t>rozporządzenie Rady (WE) nr 1224/2009 ustanawiające wspólnotowy system kontroli w celu zapewnienia przestrzegania przepisów wspólnej polityki rybołówstwa</w:t>
      </w:r>
      <w:r>
        <w:rPr>
          <w:rStyle w:val="FootnoteReference"/>
          <w:noProof/>
        </w:rPr>
        <w:footnoteReference w:id="9"/>
      </w:r>
      <w:r>
        <w:rPr>
          <w:noProof/>
        </w:rPr>
        <w:t xml:space="preserve">; oraz </w:t>
      </w:r>
    </w:p>
    <w:p>
      <w:pPr>
        <w:pStyle w:val="Bullet0"/>
        <w:rPr>
          <w:noProof/>
        </w:rPr>
      </w:pPr>
      <w:r>
        <w:rPr>
          <w:noProof/>
        </w:rPr>
        <w:t>rozporządzenie Parlamentu Europejskiego i Rady (UE) 2017/2403 z dnia 12 grudnia 2017 r. w sprawie zrównoważonego zarządzania zewnętrznymi flotami rybackimi</w:t>
      </w:r>
      <w:r>
        <w:rPr>
          <w:rStyle w:val="FootnoteReference"/>
          <w:noProof/>
        </w:rPr>
        <w:footnoteReference w:id="10"/>
      </w:r>
      <w:r>
        <w:rPr>
          <w:noProof/>
        </w:rPr>
        <w:t>.</w:t>
      </w:r>
    </w:p>
    <w:p>
      <w:pPr>
        <w:rPr>
          <w:noProof/>
        </w:rPr>
      </w:pPr>
      <w:r>
        <w:rPr>
          <w:noProof/>
        </w:rPr>
        <w:t>Planowane akty nie uzupełniają, ani nie zmieniają ram instytucjonalnych konwencji NASCO.</w:t>
      </w:r>
    </w:p>
    <w:p>
      <w:pPr>
        <w:rPr>
          <w:noProof/>
        </w:rPr>
      </w:pPr>
      <w:r>
        <w:rPr>
          <w:noProof/>
        </w:rPr>
        <w:t>W związku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na podstawie art. 218 ust. 9 TFUE zależy przede wszystkim od celu i treści planowanego aktu, w którego kwestii ma zostać zajęte stanowisko w imieniu Unii. Jeżeli akt ten ma dwojaki cel lub dwa elementy składowe, a jeden z tych celów lub elementów da się określić jako główny, zaś drugi ma jedynie charakter pomocniczy, decyzja przyjęta na mocy art. 218 ust. 9 TFUE musi mieć jedną materialną podstawę prawną, tj. tę podstawę, której wymaga główny lub dominujący cel lub element składowy.</w:t>
      </w:r>
    </w:p>
    <w:p>
      <w:pPr>
        <w:pStyle w:val="ManualHeading3"/>
        <w:rPr>
          <w:noProof/>
        </w:rPr>
      </w:pPr>
      <w:r>
        <w:t>4.2.2.</w:t>
      </w:r>
      <w:r>
        <w:tab/>
      </w:r>
      <w:r>
        <w:rPr>
          <w:noProof/>
        </w:rPr>
        <w:t>Zastosowanie w niniejszej sprawie</w:t>
      </w:r>
    </w:p>
    <w:p>
      <w:pPr>
        <w:rPr>
          <w:noProof/>
        </w:rPr>
      </w:pPr>
      <w:r>
        <w:rPr>
          <w:noProof/>
        </w:rPr>
        <w:t>Główny cel i treść planowanego aktu prawnego odnoszą się do rybołówstwa. Rozporządzenie (UE) nr 1380/2013 stanowi podstawę prawną określającą zasady, które mają znaleźć odzwierciedlenie w tym stanowisku.</w:t>
      </w:r>
    </w:p>
    <w:p>
      <w:pPr>
        <w:rPr>
          <w:noProof/>
        </w:rPr>
      </w:pPr>
      <w:r>
        <w:rPr>
          <w:noProof/>
        </w:rPr>
        <w:t>Materialną podstawą prawną proponowanej decyzji jest zatem art. 43 ust. 2 TFUE. Decyzja ma zastąpić decyzję 9450/1/14 REV 1, która obejmuje lata 2014–2018.</w:t>
      </w:r>
    </w:p>
    <w:p>
      <w:pPr>
        <w:pStyle w:val="ManualHeading2"/>
        <w:rPr>
          <w:noProof/>
        </w:rPr>
      </w:pPr>
      <w:r>
        <w:t>4.3.</w:t>
      </w:r>
      <w:r>
        <w:tab/>
      </w:r>
      <w:r>
        <w:rPr>
          <w:noProof/>
        </w:rPr>
        <w:t>Podsumowanie</w:t>
      </w:r>
    </w:p>
    <w:p>
      <w:pPr>
        <w:rPr>
          <w:noProof/>
        </w:rPr>
      </w:pPr>
      <w:r>
        <w:rPr>
          <w:noProof/>
        </w:rPr>
        <w:t>Podstawą prawną proponowanej decyzji powinien być art. 43 ust. 2 TFUE</w:t>
      </w:r>
      <w:r>
        <w:t xml:space="preserve"> </w:t>
      </w:r>
      <w:r>
        <w:rPr>
          <w:noProof/>
        </w:rPr>
        <w:t>w</w:t>
      </w:r>
      <w:r>
        <w:t> </w:t>
      </w:r>
      <w:r>
        <w:rPr>
          <w:noProof/>
        </w:rPr>
        <w:t>związku z art. 218 ust. 9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2019/0052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dotycząca stanowiska, jakie należy zająć w imieniu Unii Europejskiej na forum Organizacji do Spraw Ochrony Łososia Północnoatlantyckiego (NASCO), oraz uchylająca decyzję 9450/1/14 REV 1</w:t>
      </w:r>
    </w:p>
    <w:p>
      <w:pPr>
        <w:pStyle w:val="Institutionquiagit"/>
        <w:rPr>
          <w:b/>
          <w:noProof/>
        </w:rPr>
      </w:pPr>
      <w:r>
        <w:rPr>
          <w:b/>
          <w:noProof/>
        </w:rPr>
        <w:t>RADA UNII EUROPEJSKIEJ,</w:t>
      </w:r>
    </w:p>
    <w:p>
      <w:pPr>
        <w:rPr>
          <w:noProof/>
        </w:rPr>
      </w:pPr>
      <w:r>
        <w:rPr>
          <w:noProof/>
        </w:rPr>
        <w:t>uwzględniając Traktat o funkcjonowaniu Unii Europejskiej, w szczególności jego art. 43 ust. 2</w:t>
      </w:r>
      <w:r>
        <w:t xml:space="preserve"> </w:t>
      </w:r>
      <w:r>
        <w:rPr>
          <w:noProof/>
        </w:rPr>
        <w:t>w</w:t>
      </w:r>
      <w:r>
        <w:t> </w:t>
      </w:r>
      <w:r>
        <w:rPr>
          <w:noProof/>
        </w:rPr>
        <w:t>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Decyzją Rady (WE) nr 886/82</w:t>
      </w:r>
      <w:r>
        <w:rPr>
          <w:rStyle w:val="FootnoteReference"/>
          <w:noProof/>
        </w:rPr>
        <w:footnoteReference w:id="11"/>
      </w:r>
      <w:r>
        <w:rPr>
          <w:noProof/>
        </w:rPr>
        <w:t xml:space="preserve"> Wspólnota Europejska zawarła Konwencję w sprawie ochrony łososia w północnym Oceanie Atlantyckim (konwencję NASCO), na mocy której ustanowiono Organizację ds. Ochrony Łososia Północnoatlantyckiego (NASCO).</w:t>
      </w:r>
    </w:p>
    <w:p>
      <w:pPr>
        <w:pStyle w:val="ManualConsidrant"/>
        <w:rPr>
          <w:noProof/>
        </w:rPr>
      </w:pPr>
      <w:r>
        <w:t>(2)</w:t>
      </w:r>
      <w:r>
        <w:tab/>
      </w:r>
      <w:r>
        <w:rPr>
          <w:noProof/>
        </w:rPr>
        <w:t>Rada NASCO, wspierana przez trzy komisje (Komisję Północnoamerykańską, Komisję Północno-Wschodniego Atlantyku oraz Komisję Zachodniej Grenlandii), jest organem ustanowionym na mocy konwencji NASCO w celu ochrony, odbudowy, zwiększenia liczebności zasobów dzikiego łososia atlantyckiego oraz racjonalnego zarządzania nimi, w drodze współpracy międzynarodowej. Rada NASCO przyjmuje środki ochrony i zarządzania, aby zarządzać zasobami rybnymi, które podlegają jej kompetencji. Takie środki mogą stać się wiążące dla Unii.</w:t>
      </w:r>
    </w:p>
    <w:p>
      <w:pPr>
        <w:pStyle w:val="ManualConsidrant"/>
        <w:rPr>
          <w:noProof/>
        </w:rPr>
      </w:pPr>
      <w:r>
        <w:t>(3)</w:t>
      </w:r>
      <w:r>
        <w:tab/>
      </w:r>
      <w:r>
        <w:rPr>
          <w:noProof/>
        </w:rPr>
        <w:t>Rozporządzenie Parlamentu Europejskiego i Rady (UE) nr 1380/2013</w:t>
      </w:r>
      <w:r>
        <w:rPr>
          <w:rStyle w:val="FootnoteReference"/>
          <w:noProof/>
        </w:rPr>
        <w:footnoteReference w:id="12"/>
      </w:r>
      <w:r>
        <w:rPr>
          <w:noProof/>
        </w:rPr>
        <w:t xml:space="preserve"> stanowi, że Unia musi zapewnić, by działalność w zakresie połowów i akwakultury była zrównoważona środowiskowo w perspektywie długoterminowej oraz zarządzana w sposób spójny z celami w zakresie osiągania korzyści ekonomicznych, społecznych i w dziedzinie zatrudnienia oraz przyczyniania się do dostępności dostaw żywności. Rozporządzenie stanowi również, że Unia ma stosować podejście ostrożnościowe do zarządzania rybołówstwem i dążyć do zapewnienia, by eksploatacja żywych zasobów morza umożliwiała odbudowę populacji poławianych gatunków i utrzymywanie ich powyżej poziomów pozwalających uzyskać maksymalny podtrzymywalny połów. Rozporządzenie stanowi także, że Unia ma stosować środki zarządzania i ochrony oparte na najlepszych dostępnych opiniach naukowych, wspierać rozwój doradztwa naukowego i wiedzy, stopniowo eliminować odrzuty, propagować metody połowów, które przyczyniają się do bardziej selektywnych połowów, oraz eliminować i ograniczać w miarę możliwości przypadkowe połowy, dążyć do prowadzenia </w:t>
      </w:r>
      <w:r>
        <w:rPr>
          <w:noProof/>
        </w:rPr>
        <w:lastRenderedPageBreak/>
        <w:t>połowów o niskim stopniu oddziaływania na ekosystem morski i zasoby rybne. Ponadto rozporządzenie (UE) nr 1380/2013 wyraźnie stanowi, że te cele i zasady mają być stosowane przez Unię w ramach zewnętrznych stosunków w zakresie rybołówstwa.</w:t>
      </w:r>
    </w:p>
    <w:p>
      <w:pPr>
        <w:pStyle w:val="ManualConsidrant"/>
        <w:rPr>
          <w:noProof/>
        </w:rPr>
      </w:pPr>
      <w:r>
        <w:t>(4)</w:t>
      </w:r>
      <w:r>
        <w:tab/>
      </w:r>
      <w:r>
        <w:rPr>
          <w:noProof/>
        </w:rPr>
        <w:t>Zgodnie ze wspólnym komunikatem Wysokiego Przedstawiciela Unii do Spraw Zagranicznych i Polityki Bezpieczeństwa oraz Komisji Europejskiej, zatytułowanym „Międzynarodowe zarządzanie oceanami –</w:t>
      </w:r>
      <w:r>
        <w:rPr>
          <w:i/>
          <w:noProof/>
        </w:rPr>
        <w:t xml:space="preserve"> </w:t>
      </w:r>
      <w:r>
        <w:rPr>
          <w:noProof/>
        </w:rPr>
        <w:t>program działań na rzecz przyszłości oceanów”</w:t>
      </w:r>
      <w:r>
        <w:rPr>
          <w:rStyle w:val="FootnoteReference"/>
          <w:noProof/>
        </w:rPr>
        <w:footnoteReference w:id="13"/>
      </w:r>
      <w:r>
        <w:rPr>
          <w:noProof/>
        </w:rPr>
        <w:t xml:space="preserve"> oraz konkluzjami Rady na temat tego wspólnego komunikatu</w:t>
      </w:r>
      <w:r>
        <w:rPr>
          <w:rStyle w:val="FootnoteReference"/>
          <w:noProof/>
        </w:rPr>
        <w:footnoteReference w:id="14"/>
      </w:r>
      <w:r>
        <w:rPr>
          <w:noProof/>
        </w:rPr>
        <w:t xml:space="preserve"> propagowanie środków na rzecz wsparcia i zwiększenia skuteczności regionalnych organizacji ds. zarządzania rybołówstwem (RFMO) i, w stosownych przypadkach, środków usprawniających zarządzanie nimi jest kluczowe dla działań Unii na tych forach.</w:t>
      </w:r>
    </w:p>
    <w:p>
      <w:pPr>
        <w:pStyle w:val="ManualConsidrant"/>
        <w:rPr>
          <w:noProof/>
        </w:rPr>
      </w:pPr>
      <w:r>
        <w:t>(5)</w:t>
      </w:r>
      <w:r>
        <w:tab/>
      </w:r>
      <w:r>
        <w:rPr>
          <w:noProof/>
        </w:rPr>
        <w:t>Komunikat Komisji do Parlamentu Europejskiego, Rady, Europejskiego Komitetu Ekonomiczno-Społecznego i Komitetu Regionów zatytułowany „Europejska strategia na rzecz tworzyw sztucznych w gospodarce o obiegu zamkniętym”</w:t>
      </w:r>
      <w:r>
        <w:rPr>
          <w:rStyle w:val="FootnoteReference"/>
          <w:noProof/>
        </w:rPr>
        <w:footnoteReference w:id="15"/>
      </w:r>
      <w:r>
        <w:rPr>
          <w:noProof/>
        </w:rPr>
        <w:t xml:space="preserve"> odnosi się do konkretnych środków mających na celu ograniczenie zanieczyszczenia mórz tworzywami sztucznymi, jak również gubienia lub porzucania narzędzi połowowych na morzu.</w:t>
      </w:r>
    </w:p>
    <w:p>
      <w:pPr>
        <w:pStyle w:val="ManualConsidrant"/>
        <w:rPr>
          <w:noProof/>
        </w:rPr>
      </w:pPr>
      <w:r>
        <w:t>(6)</w:t>
      </w:r>
      <w:r>
        <w:tab/>
      </w:r>
      <w:r>
        <w:rPr>
          <w:noProof/>
        </w:rPr>
        <w:t>Należy ustalić stanowisko, jakie należy zająć w imieniu Unii na posiedzeniach Rady NASCO, ponieważ środki NASCO w zakresie ochrony i egzekwowania będą wiążące dla Unii i mogą mieć decydujący wpływ na treść prawa Unii, a mianowicie na rozporządzenie Rady (WE) nr 1005/2008</w:t>
      </w:r>
      <w:r>
        <w:rPr>
          <w:rStyle w:val="FootnoteReference"/>
          <w:noProof/>
        </w:rPr>
        <w:footnoteReference w:id="16"/>
      </w:r>
      <w:r>
        <w:rPr>
          <w:noProof/>
        </w:rPr>
        <w:t>; rozporządzenie Rady (WE) nr 1224/2009</w:t>
      </w:r>
      <w:r>
        <w:rPr>
          <w:rStyle w:val="FootnoteReference"/>
          <w:noProof/>
        </w:rPr>
        <w:footnoteReference w:id="17"/>
      </w:r>
      <w:r>
        <w:rPr>
          <w:noProof/>
        </w:rPr>
        <w:t>; i rozporządzenie Parlamentu Europejskiego i Rady (UE) 2017/2403</w:t>
      </w:r>
      <w:r>
        <w:rPr>
          <w:rStyle w:val="FootnoteReference"/>
          <w:noProof/>
        </w:rPr>
        <w:footnoteReference w:id="18"/>
      </w:r>
      <w:r>
        <w:rPr>
          <w:noProof/>
        </w:rPr>
        <w:t>.</w:t>
      </w:r>
    </w:p>
    <w:p>
      <w:pPr>
        <w:pStyle w:val="ManualConsidrant"/>
        <w:rPr>
          <w:noProof/>
        </w:rPr>
      </w:pPr>
      <w:r>
        <w:t>(7)</w:t>
      </w:r>
      <w:r>
        <w:tab/>
      </w:r>
      <w:r>
        <w:rPr>
          <w:noProof/>
        </w:rPr>
        <w:t>Obecnie stanowisko, jakie należy zająć w imieniu Unii na posiedzeniach Rady NASCO, jest określone w decyzji Rady 9450/1/14 REV 1</w:t>
      </w:r>
      <w:r>
        <w:rPr>
          <w:rStyle w:val="FootnoteReference"/>
          <w:noProof/>
        </w:rPr>
        <w:footnoteReference w:id="19"/>
      </w:r>
      <w:r>
        <w:rPr>
          <w:noProof/>
        </w:rPr>
        <w:t>. Należy uchylić decyzję 9450/1/14 REV 1 i zastąpić ją nową decyzją obejmującą lata 2019–2023.</w:t>
      </w:r>
    </w:p>
    <w:p>
      <w:pPr>
        <w:pStyle w:val="ManualConsidrant"/>
        <w:rPr>
          <w:noProof/>
        </w:rPr>
      </w:pPr>
      <w:r>
        <w:t>(8)</w:t>
      </w:r>
      <w:r>
        <w:tab/>
      </w:r>
      <w:r>
        <w:rPr>
          <w:noProof/>
        </w:rPr>
        <w:t xml:space="preserve">W związku ze zmianami zachodzącymi w zasobach rybnych w obszarze konwencji NASCO oraz związaną z tym koniecznością ustalenia stanowiska unijnego, które uwzględniłoby te zmiany, w tym nowe informacje naukowe i inne istotne informacje przedstawione przed corocznym posiedzeniem NASCO lub w jego trakcie, należy ustanowić procedury, zgodnie z zasadą lojalnej współpracy między instytucjami Unii </w:t>
      </w:r>
      <w:r>
        <w:rPr>
          <w:noProof/>
        </w:rPr>
        <w:lastRenderedPageBreak/>
        <w:t>zawartą w art. 13 ust. 2 Traktatu o Unii Europejskiej (TUE), w celu corocznego doprecyzowania stanowiska Unii na lata 2019–2023.</w:t>
      </w:r>
    </w:p>
    <w:p>
      <w:pPr>
        <w:pStyle w:val="Formuledadoption"/>
        <w:rPr>
          <w:noProof/>
        </w:rPr>
      </w:pPr>
      <w:r>
        <w:rPr>
          <w:noProof/>
        </w:rPr>
        <w:t>PRZYJMUJE NINIEJSZĄ DECYZJĘ:</w:t>
      </w:r>
    </w:p>
    <w:p>
      <w:pPr>
        <w:pStyle w:val="Titrearticle"/>
        <w:rPr>
          <w:noProof/>
        </w:rPr>
      </w:pPr>
      <w:r>
        <w:rPr>
          <w:noProof/>
        </w:rPr>
        <w:t>Artykuł 1</w:t>
      </w:r>
    </w:p>
    <w:p>
      <w:pPr>
        <w:autoSpaceDE w:val="0"/>
        <w:autoSpaceDN w:val="0"/>
        <w:adjustRightInd w:val="0"/>
        <w:spacing w:before="0" w:after="0"/>
        <w:rPr>
          <w:noProof/>
        </w:rPr>
      </w:pPr>
      <w:r>
        <w:rPr>
          <w:noProof/>
        </w:rPr>
        <w:t>Stanowisko, jakie należy zająć w imieniu Unii na posiedzeniach Rady Organizacji ds. Ochrony Łososia Północnoatlantyckiego (NASCO), jest określone w załączniku I.</w:t>
      </w:r>
    </w:p>
    <w:p>
      <w:pPr>
        <w:pStyle w:val="Titrearticle"/>
        <w:rPr>
          <w:noProof/>
        </w:rPr>
      </w:pPr>
      <w:r>
        <w:rPr>
          <w:noProof/>
        </w:rPr>
        <w:t>Artykuł 2</w:t>
      </w:r>
    </w:p>
    <w:p>
      <w:pPr>
        <w:autoSpaceDE w:val="0"/>
        <w:autoSpaceDN w:val="0"/>
        <w:adjustRightInd w:val="0"/>
        <w:spacing w:before="0" w:after="0"/>
        <w:rPr>
          <w:noProof/>
          <w:szCs w:val="24"/>
        </w:rPr>
      </w:pPr>
      <w:r>
        <w:rPr>
          <w:noProof/>
        </w:rPr>
        <w:t>Coroczne doprecyzowanie stanowiska Unii, jakie należy zająć na posiedzeniach Rady NASCO, odbywa się zgodnie z załącznikiem II.</w:t>
      </w:r>
    </w:p>
    <w:p>
      <w:pPr>
        <w:pStyle w:val="Titrearticle"/>
        <w:rPr>
          <w:noProof/>
        </w:rPr>
      </w:pPr>
      <w:r>
        <w:rPr>
          <w:noProof/>
        </w:rPr>
        <w:t>Artykuł 3</w:t>
      </w:r>
    </w:p>
    <w:p>
      <w:pPr>
        <w:rPr>
          <w:noProof/>
        </w:rPr>
      </w:pPr>
      <w:r>
        <w:rPr>
          <w:noProof/>
        </w:rPr>
        <w:t>Stanowisko Unii określone w załączniku I podlega ocenie i w stosownych przypadkach modyfikacji dokonywanej przez Radę na wniosek Komisji, najpóźniej do dnia corocznego posiedzenia Rady NASCO w 2024 r.</w:t>
      </w:r>
    </w:p>
    <w:p>
      <w:pPr>
        <w:pStyle w:val="Titrearticle"/>
        <w:rPr>
          <w:noProof/>
        </w:rPr>
      </w:pPr>
      <w:r>
        <w:rPr>
          <w:noProof/>
        </w:rPr>
        <w:t>Artykuł 4</w:t>
      </w:r>
    </w:p>
    <w:p>
      <w:pPr>
        <w:autoSpaceDE w:val="0"/>
        <w:autoSpaceDN w:val="0"/>
        <w:adjustRightInd w:val="0"/>
        <w:spacing w:before="0" w:after="0"/>
        <w:rPr>
          <w:noProof/>
          <w:szCs w:val="24"/>
        </w:rPr>
      </w:pPr>
      <w:r>
        <w:rPr>
          <w:noProof/>
        </w:rPr>
        <w:t>Decyzja 9450/1/14 REV 1 z dnia 19 maja 2014 r. traci moc.</w:t>
      </w:r>
    </w:p>
    <w:p>
      <w:pPr>
        <w:pStyle w:val="Titrearticle"/>
        <w:rPr>
          <w:noProof/>
        </w:rPr>
      </w:pPr>
      <w:r>
        <w:rPr>
          <w:noProof/>
        </w:rPr>
        <w:t>Artykuł 5</w:t>
      </w:r>
    </w:p>
    <w:p>
      <w:pPr>
        <w:autoSpaceDE w:val="0"/>
        <w:autoSpaceDN w:val="0"/>
        <w:adjustRightInd w:val="0"/>
        <w:spacing w:before="0" w:after="0"/>
        <w:rPr>
          <w:noProof/>
          <w:szCs w:val="24"/>
        </w:rPr>
      </w:pPr>
      <w:r>
        <w:rPr>
          <w:noProof/>
        </w:rPr>
        <w:t>Niniejsza decyzja skierowana jest do Komisji.</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ind w:left="709" w:hanging="709"/>
      </w:pPr>
      <w:r>
        <w:rPr>
          <w:rStyle w:val="FootnoteReference"/>
        </w:rPr>
        <w:footnoteRef/>
      </w:r>
      <w:r>
        <w:tab/>
      </w:r>
      <w:r>
        <w:rPr>
          <w:sz w:val="20"/>
        </w:rPr>
        <w:t>Decyzja Rady 82/886/EWG z dnia 13 grudnia 1982 r. dotycząca zawarcia Konwencji w sprawie ochrony łososia w północnym Oceanie Atlantyckim (Dz.U. L 378 z 31.12.1982, s. 24).</w:t>
      </w:r>
    </w:p>
  </w:footnote>
  <w:footnote w:id="2">
    <w:p>
      <w:pPr>
        <w:pStyle w:val="FootnoteText"/>
      </w:pPr>
      <w:r>
        <w:rPr>
          <w:rStyle w:val="FootnoteReference"/>
        </w:rPr>
        <w:footnoteRef/>
      </w:r>
      <w:r>
        <w:tab/>
        <w:t>Rozporządzenie Parlamentu Europejskiego i Rady (UE) nr 1380/2013 w sprawie wspólnej polityki rybołówstwa, zmieniające rozporządzenia Rady (WE) nr 1954/2003 i (WE) nr 1224/2009 oraz uchylające rozporządzenia Rady (WE) nr 2371/2002 i (WE) nr 639/2004 oraz decyzję Rady 2004/585/WE (Dz.U. L 354 z 28.12.2013, s. 22).</w:t>
      </w:r>
    </w:p>
  </w:footnote>
  <w:footnote w:id="3">
    <w:p>
      <w:pPr>
        <w:pStyle w:val="FootnoteText"/>
        <w:rPr>
          <w:lang w:val="pt-PT"/>
        </w:rPr>
      </w:pPr>
      <w:r>
        <w:rPr>
          <w:rStyle w:val="FootnoteReference"/>
        </w:rPr>
        <w:footnoteRef/>
      </w:r>
      <w:r>
        <w:rPr>
          <w:lang w:val="pt-PT"/>
        </w:rPr>
        <w:tab/>
        <w:t>COM(2011) 424 z 13.7.2011.</w:t>
      </w:r>
    </w:p>
  </w:footnote>
  <w:footnote w:id="4">
    <w:p>
      <w:pPr>
        <w:pStyle w:val="FootnoteText"/>
        <w:rPr>
          <w:lang w:val="pt-PT"/>
        </w:rPr>
      </w:pPr>
      <w:r>
        <w:rPr>
          <w:rStyle w:val="FootnoteReference"/>
        </w:rPr>
        <w:footnoteRef/>
      </w:r>
      <w:r>
        <w:rPr>
          <w:lang w:val="pt-PT"/>
        </w:rPr>
        <w:tab/>
        <w:t>COM(2018) 28 final z 16.1.2018.</w:t>
      </w:r>
    </w:p>
  </w:footnote>
  <w:footnote w:id="5">
    <w:p>
      <w:pPr>
        <w:pStyle w:val="FootnoteText"/>
      </w:pPr>
      <w:r>
        <w:rPr>
          <w:rStyle w:val="FootnoteReference"/>
        </w:rPr>
        <w:footnoteRef/>
      </w:r>
      <w:r>
        <w:tab/>
        <w:t>JOIN(2016) 49 final z 10.11.2016.</w:t>
      </w:r>
    </w:p>
  </w:footnote>
  <w:footnote w:id="6">
    <w:p>
      <w:pPr>
        <w:pStyle w:val="FootnoteText"/>
      </w:pPr>
      <w:r>
        <w:rPr>
          <w:rStyle w:val="FootnoteReference"/>
        </w:rPr>
        <w:footnoteRef/>
      </w:r>
      <w:r>
        <w:tab/>
        <w:t>7348/1/17 REV 1 z 24.3.2017.</w:t>
      </w:r>
    </w:p>
  </w:footnote>
  <w:footnote w:id="7">
    <w:p>
      <w:pPr>
        <w:pStyle w:val="FootnoteText"/>
      </w:pPr>
      <w:r>
        <w:rPr>
          <w:rStyle w:val="FootnoteReference"/>
        </w:rPr>
        <w:footnoteRef/>
      </w:r>
      <w:r>
        <w:tab/>
        <w:t xml:space="preserve">Wyrok Trybunału Sprawiedliwości z dnia 7 października 2014 r. w sprawie C-399/12 </w:t>
      </w:r>
      <w:r>
        <w:rPr>
          <w:i/>
        </w:rPr>
        <w:t>Niemcy przeciwko Radzie</w:t>
      </w:r>
      <w:r>
        <w:t>, ECLI:EU:C:2014: 2258, pkt 61–64.</w:t>
      </w:r>
    </w:p>
  </w:footnote>
  <w:footnote w:id="8">
    <w:p>
      <w:pPr>
        <w:pStyle w:val="FootnoteText"/>
      </w:pPr>
      <w:r>
        <w:rPr>
          <w:rStyle w:val="FootnoteReference"/>
        </w:rPr>
        <w:footnoteRef/>
      </w:r>
      <w:r>
        <w:tab/>
        <w:t>Dz.U. L 286 z 29.10.2008, s. 1.</w:t>
      </w:r>
    </w:p>
  </w:footnote>
  <w:footnote w:id="9">
    <w:p>
      <w:pPr>
        <w:pStyle w:val="FootnoteText"/>
      </w:pPr>
      <w:r>
        <w:rPr>
          <w:rStyle w:val="FootnoteReference"/>
        </w:rPr>
        <w:footnoteRef/>
      </w:r>
      <w:r>
        <w:tab/>
        <w:t>Dz.U. L 343 z 22.12.2009, s. 1.</w:t>
      </w:r>
    </w:p>
  </w:footnote>
  <w:footnote w:id="10">
    <w:p>
      <w:pPr>
        <w:pStyle w:val="FootnoteText"/>
      </w:pPr>
      <w:r>
        <w:rPr>
          <w:rStyle w:val="FootnoteReference"/>
        </w:rPr>
        <w:footnoteRef/>
      </w:r>
      <w:r>
        <w:tab/>
        <w:t>Dz.U. L 347 z 28.12.2017, s. 81.</w:t>
      </w:r>
    </w:p>
  </w:footnote>
  <w:footnote w:id="11">
    <w:p>
      <w:pPr>
        <w:pStyle w:val="FootnoteText"/>
      </w:pPr>
      <w:r>
        <w:rPr>
          <w:rStyle w:val="FootnoteReference"/>
        </w:rPr>
        <w:footnoteRef/>
      </w:r>
      <w:r>
        <w:tab/>
        <w:t>Decyzja Rady z dnia 13 grudnia 1982 r. dotycząca zawarcia Konwencji w sprawie ochrony łososia w północnym Oceanie Atlantyckim (Dz.U. L 378 z 31.12.1982, s. 24).</w:t>
      </w:r>
    </w:p>
  </w:footnote>
  <w:footnote w:id="12">
    <w:p>
      <w:pPr>
        <w:pStyle w:val="FootnoteText"/>
      </w:pPr>
      <w:r>
        <w:rPr>
          <w:rStyle w:val="FootnoteReference"/>
        </w:rPr>
        <w:footnoteRef/>
      </w:r>
      <w:r>
        <w:tab/>
        <w:t>Rozporządzenie Parlamentu Europejskiego i Rady (UE) nr 1380/2013 z dnia 11 grudnia 2013 r. w sprawie wspólnej polityki rybołówstwa, zmieniające rozporządzenia Rady (WE) nr 1954/2003 i (WE) nr 1224/2009 oraz uchylające rozporządzenia Rady (WE) nr 2371/2002 i (WE) nr 639/2004 oraz decyzję Rady 2004/585/WE (Dz.U. L 354 z 28.12.2013, s. 22).</w:t>
      </w:r>
    </w:p>
  </w:footnote>
  <w:footnote w:id="13">
    <w:p>
      <w:pPr>
        <w:pStyle w:val="FootnoteText"/>
      </w:pPr>
      <w:r>
        <w:rPr>
          <w:rStyle w:val="FootnoteReference"/>
        </w:rPr>
        <w:footnoteRef/>
      </w:r>
      <w:r>
        <w:tab/>
        <w:t>JOIN(2016) 49 final z 10.11.2016.</w:t>
      </w:r>
    </w:p>
  </w:footnote>
  <w:footnote w:id="14">
    <w:p>
      <w:pPr>
        <w:pStyle w:val="FootnoteText"/>
      </w:pPr>
      <w:r>
        <w:rPr>
          <w:rStyle w:val="FootnoteReference"/>
        </w:rPr>
        <w:footnoteRef/>
      </w:r>
      <w:r>
        <w:tab/>
        <w:t>7348/1/17 REV 1 z 24.3.2017.</w:t>
      </w:r>
    </w:p>
  </w:footnote>
  <w:footnote w:id="15">
    <w:p>
      <w:pPr>
        <w:pStyle w:val="FootnoteText"/>
      </w:pPr>
      <w:r>
        <w:rPr>
          <w:rStyle w:val="FootnoteReference"/>
        </w:rPr>
        <w:footnoteRef/>
      </w:r>
      <w:r>
        <w:tab/>
        <w:t>COM(2018) 28 final z 16.1.2018.</w:t>
      </w:r>
    </w:p>
  </w:footnote>
  <w:footnote w:id="16">
    <w:p>
      <w:pPr>
        <w:pStyle w:val="FootnoteText"/>
      </w:pPr>
      <w:r>
        <w:rPr>
          <w:rStyle w:val="FootnoteReference"/>
        </w:rPr>
        <w:footnoteRef/>
      </w:r>
      <w:r>
        <w:tab/>
        <w:t>Rozporządzenie Rady (WE) nr 1005/2008 ustanawiające wspólnotowy system zapobiegania nielegalnym, nieraportowanym i nieuregulowanym połowom oraz ich powstrzymywania i eliminowania, zmieniające rozporządzenia (EWG) nr 2847/93, (WE) nr 1936/2001 i (WE) nr 601/2004 oraz uchylające rozporządzenia (WE) nr 1093/94 i (WE) nr 1447/1999 (Dz.U. L 286 z 29.10.2008, s. 1).</w:t>
      </w:r>
    </w:p>
  </w:footnote>
  <w:footnote w:id="17">
    <w:p>
      <w:pPr>
        <w:pStyle w:val="FootnoteText"/>
      </w:pPr>
      <w:r>
        <w:rPr>
          <w:rStyle w:val="FootnoteReference"/>
        </w:rPr>
        <w:footnoteRef/>
      </w:r>
      <w:r>
        <w:tab/>
        <w:t>Rozporządzenie Rady (WE) nr 1224/2009 z dnia 20 listopada 2009 r. ustanawiające unijny system kontroli w celu zapewnienia przestrzegania przepisów wspólnej polityki rybołówstwa, zmieniające rozporządzenia (WE) nr 847/96, (WE) nr 2371/2002, (WE) nr 811/2004, (WE) nr 768/2005, (WE) nr 2115/2005, (WE) nr 2166/2005, (WE) nr 388/2006, (WE) nr 509/2007, (WE) nr 676/2007, (WE) nr 1098/2007, (WE) nr 1300/2008, (WE) nr 1342/2008 i uchylające rozporządzenia (EWG) nr 2847/93, (WE) nr 1627/94 oraz (WE) nr 1966/2006 (Dz.U. L 343 z 22.12.2009, s. 1).</w:t>
      </w:r>
    </w:p>
  </w:footnote>
  <w:footnote w:id="18">
    <w:p>
      <w:pPr>
        <w:pStyle w:val="FootnoteText"/>
      </w:pPr>
      <w:r>
        <w:rPr>
          <w:rStyle w:val="FootnoteReference"/>
        </w:rPr>
        <w:footnoteRef/>
      </w:r>
      <w:r>
        <w:tab/>
        <w:t>Rozporządzenie Parlamentu Europejskiego i Rady (UE) 2017/2403 z dnia 12 grudnia 2017 r. w sprawie zrównoważonego zarządzania zewnętrznymi flotami rybackimi oraz uchylenia rozporządzenia Rady (WE) nr 1006/2008 (Dz.U. L 347 z 28.12.2017, s. 81).</w:t>
      </w:r>
    </w:p>
  </w:footnote>
  <w:footnote w:id="19">
    <w:p>
      <w:pPr>
        <w:pStyle w:val="FootnoteText"/>
      </w:pPr>
      <w:r>
        <w:rPr>
          <w:rStyle w:val="FootnoteReference"/>
        </w:rPr>
        <w:footnoteRef/>
      </w:r>
      <w:r>
        <w:tab/>
        <w:t>Decyzja Rady z dnia 19 maja 2014 r. w sprawie stanowiska, jakie należy zająć, w imieniu Unii, na forum Organizacji ds. Ochrony Łososia Północnoatlantyckiego (NASCO).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9:21: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E8D4A851-A364-479B-985C-09EF70E3870E"/>
    <w:docVar w:name="LW_COVERPAGE_TYPE" w:val="1"/>
    <w:docVar w:name="LW_CROSSREFERENCE" w:val="&lt;UNUSED&gt;"/>
    <w:docVar w:name="LW_DocType" w:val="COM"/>
    <w:docVar w:name="LW_EMISSION" w:val="6.3.2019"/>
    <w:docVar w:name="LW_EMISSION_ISODATE" w:val="2019-03-06"/>
    <w:docVar w:name="LW_EMISSION_LOCATION" w:val="BRX"/>
    <w:docVar w:name="LW_EMISSION_PREFIX" w:val="Bruksela, dnia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52"/>
    <w:docVar w:name="LW_REF.II.NEW.CP_YEAR" w:val="2019"/>
    <w:docVar w:name="LW_REF.INST.NEW" w:val="COM"/>
    <w:docVar w:name="LW_REF.INST.NEW_ADOPTED" w:val="final"/>
    <w:docVar w:name="LW_REF.INST.NEW_TEXT" w:val="(2019) 1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dotycz\u261?ca stanowiska, jakie nale\u380?y zaj\u261?\u263? w imieniu Unii Europejskiej na forum Organizacji do Spraw Ochrony \u321?ososia Pó\u322?nocnoatlantyckiego (NASCO), oraz uchylaj\u261?ca decyzj\u281? 9450/1/14 REV 1"/>
    <w:docVar w:name="LW_TYPE.DOC.CP" w:val="DECYZJA RADY"/>
    <w:docVar w:name="Stamp" w:val="\\dossiers.dgt.cec.eu.int\dossiers\MARE\MARE-2018-00541\MARE-2018-00541-00-09-EN-EDT-00.201812071221138701498.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F933-8FE8-438D-BCFA-3D9B192F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1658</Words>
  <Characters>10549</Characters>
  <Application>Microsoft Office Word</Application>
  <DocSecurity>0</DocSecurity>
  <Lines>195</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2019-02-15T15:20:00Z</dcterms:created>
  <dcterms:modified xsi:type="dcterms:W3CDTF">2019-03-06T08:21:00Z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