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07DF788-5A79-4C0C-B24F-07AA4342B7C5" style="width:450pt;height:38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PRÍLOHA I</w:t>
      </w:r>
    </w:p>
    <w:p>
      <w:pPr>
        <w:pStyle w:val="Header"/>
        <w:rPr>
          <w:noProof/>
        </w:rPr>
      </w:pPr>
      <w:r>
        <w:rPr>
          <w:noProof/>
        </w:rPr>
        <w:t xml:space="preserve">Pozícia, ktorá sa má zaujať v mene Únie v Organizácii pre rybolov v severozápadnom Atlantiku (NAFO) </w:t>
      </w:r>
    </w:p>
    <w:p>
      <w:pPr>
        <w:pStyle w:val="Heading1"/>
        <w:numPr>
          <w:ilvl w:val="0"/>
          <w:numId w:val="5"/>
        </w:numPr>
        <w:rPr>
          <w:noProof/>
        </w:rPr>
      </w:pP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V rámci NAFO Únia:</w:t>
      </w:r>
    </w:p>
    <w:p>
      <w:pPr>
        <w:pStyle w:val="Point0"/>
        <w:rPr>
          <w:noProof/>
        </w:rPr>
      </w:pPr>
      <w:r>
        <w:rPr>
          <w:noProof/>
        </w:rPr>
        <w:t xml:space="preserve">a) </w:t>
      </w:r>
      <w:r>
        <w:rPr>
          <w:noProof/>
        </w:rPr>
        <w:tab/>
        <w:t>koná v súlade s cieľmi a zásadami, ktoré sleduje v rámci spoločnej rybárskej politiky (SRP), najmä prostredníctvom prístupu predbežnej opatrnosti a v súlade s cieľmi súvisiacimi s dosiahnutím maximálneho udržateľného výnosu podľa článku 2 ods. 2 nariadenia (EÚ) č. 1380/2013, aby tak podporila vykonávanie ekosystémového prístupu k riadeniu rybárstva, obmedzila vplyv rybolovných činností na životné prostredie a v maximálnej možnej miere zamedzila nechceným úlovkom a znížila ich počet, postupne eliminovala odhadzovanie úlovkov a minimalizovala vplyv rybárskych činností na morské ekosystémy a ich biotopy, a zároveň zabezpečila prostredníctvom podpory rentabilného a konkurencieschopného sektora rybárstva Únie primeranú životnú úroveň osobám závislým od rybárskych činností a zohľadnila záujmy spotrebiteľov;</w:t>
      </w:r>
    </w:p>
    <w:p>
      <w:pPr>
        <w:pStyle w:val="Point0"/>
        <w:rPr>
          <w:noProof/>
        </w:rPr>
      </w:pPr>
      <w:r>
        <w:rPr>
          <w:noProof/>
        </w:rPr>
        <w:t xml:space="preserve">b) </w:t>
      </w:r>
      <w:r>
        <w:rPr>
          <w:noProof/>
        </w:rPr>
        <w:tab/>
        <w:t>vyvíja snahu o primerané zapojenie zainteresovaných strán do fázy prípravy opatrení NAFO a zabezpečuje, aby opatrenia prijaté v rámci komisie NAFO boli v súlade s dohovorom NAFO;</w:t>
      </w:r>
    </w:p>
    <w:p>
      <w:pPr>
        <w:pStyle w:val="Point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tab/>
        <w:t>zabezpečuje, aby opatrenia prijaté v rámci komisie NAFO boli v súlade s medzinárodným právom, a najmä s ustanoveniami Dohovoru OSN o morskom práve (1982), Dohody OSN o ochrane a využívaní transzonálnych populácií rýb a populácií rýb migrujúcich na veľké vzdialenosti (1995), Dohody o podporovaní dodržiavania medzinárodných ochranných a riadiacich opatrení rybárskymi plavidlami na šírom mori (1993) a Dohody Organizácie OSN pre výživu a poľnohospodárstvo o opatreniach prístavných štátov (2009).</w:t>
      </w:r>
    </w:p>
    <w:p>
      <w:pPr>
        <w:pStyle w:val="Point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tab/>
        <w:t>podporuje pozície, ktoré zodpovedajú najlepšej praxi regionálnych organizácií pre riadenie rybárstva (RFMO) v rovnakej oblasti;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e) </w:t>
      </w:r>
      <w:r>
        <w:rPr>
          <w:noProof/>
        </w:rPr>
        <w:tab/>
        <w:t>vyvíja úsilie o dosiahnutie synergie s politikou, ktorú sama presadzuje v rámci bilaterálnych vzťahov s tretími krajinami v oblasti rybárstva, a zabezpečuje súdržnosť s ostatnými svojimi politikami, najmä v oblasti vonkajších vzťahov, zamestnanosti, životného prostredia, obchodu, rozvoja a výskumu a inovácie;</w:t>
      </w:r>
    </w:p>
    <w:p>
      <w:pPr>
        <w:pStyle w:val="Point0"/>
        <w:rPr>
          <w:noProof/>
          <w:szCs w:val="24"/>
        </w:rPr>
      </w:pPr>
      <w:r>
        <w:rPr>
          <w:noProof/>
        </w:rPr>
        <w:t>f)</w:t>
      </w:r>
      <w:r>
        <w:rPr>
          <w:noProof/>
        </w:rPr>
        <w:tab/>
        <w:t>zabezpečuje dodržiavanie medzinárodných záväzkov Únie;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g) </w:t>
      </w:r>
      <w:r>
        <w:rPr>
          <w:noProof/>
        </w:rPr>
        <w:tab/>
        <w:t>koná v súlade so závermi Rady z 19. marca 2012 k oznámeniu Komisie o vonkajšom rozmere spoločnej rybárskej politiky</w:t>
      </w:r>
      <w:r>
        <w:rPr>
          <w:rStyle w:val="FootnoteReference"/>
          <w:noProof/>
          <w:szCs w:val="24"/>
        </w:rPr>
        <w:footnoteReference w:id="1"/>
      </w:r>
      <w:r>
        <w:rPr>
          <w:noProof/>
        </w:rPr>
        <w:t>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h) </w:t>
      </w:r>
      <w:r>
        <w:rPr>
          <w:noProof/>
        </w:rPr>
        <w:tab/>
        <w:t>vyvíja úsilie o vytvorenie rovnakých podmienok pre flotilu Únie v rámci regulačnej oblasti NAFO, ktoré vychádzajú z rovnakých zásad a noriem, aké platia podľa práva Únie, a podporuje jednotné vykonávanie uvedených zásad a noriem;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i) </w:t>
      </w:r>
      <w:r>
        <w:rPr>
          <w:noProof/>
        </w:rPr>
        <w:tab/>
        <w:t xml:space="preserve">koná v súlade so spoločným oznámením vysokej predstaviteľky Únie pre zahraničné veci a bezpečnostnú politiku a Európskej komisie s názvom </w:t>
      </w:r>
      <w:r>
        <w:rPr>
          <w:i/>
          <w:noProof/>
        </w:rPr>
        <w:t>Medzinárodná správa oceánov: program pre budúcnosť našich oceánov</w:t>
      </w:r>
      <w:r>
        <w:rPr>
          <w:rStyle w:val="FootnoteReference"/>
          <w:noProof/>
        </w:rPr>
        <w:footnoteReference w:id="2"/>
      </w:r>
      <w:r>
        <w:rPr>
          <w:noProof/>
        </w:rPr>
        <w:t>, ako aj závermi Rady k uvedenému spoločnému oznámeniu</w:t>
      </w:r>
      <w:r>
        <w:rPr>
          <w:rStyle w:val="FootnoteReference"/>
          <w:noProof/>
        </w:rPr>
        <w:footnoteReference w:id="3"/>
      </w:r>
      <w:r>
        <w:rPr>
          <w:noProof/>
        </w:rPr>
        <w:t>, propaguje opatrenia na podporu a zvýšenie účinnosti opatrení NAFO a v relevantných prípadoch zlepšuje jej správu a výsledky (najmä pokiaľ ide o vedu, dodržiavanie pravidiel, transparentnosť a rozhodovací proces), čo má prispieť ku všetkým aspektom udržateľného využívania oceánov;</w:t>
      </w:r>
    </w:p>
    <w:p>
      <w:pPr>
        <w:pStyle w:val="Point0"/>
        <w:rPr>
          <w:noProof/>
          <w:szCs w:val="24"/>
        </w:rPr>
      </w:pPr>
      <w:r>
        <w:rPr>
          <w:noProof/>
        </w:rPr>
        <w:t xml:space="preserve">j) </w:t>
      </w:r>
      <w:r>
        <w:rPr>
          <w:noProof/>
        </w:rPr>
        <w:tab/>
        <w:t>podporuje koordináciu medzi RFMO a regionálnymi morskými dohovormi a v relevantných prípadoch aj spoluprácu s medzinárodnými organizáciami v rámci ich mandátu;</w:t>
      </w:r>
    </w:p>
    <w:p>
      <w:pPr>
        <w:pStyle w:val="Point0"/>
        <w:rPr>
          <w:noProof/>
          <w:szCs w:val="24"/>
        </w:rPr>
      </w:pPr>
      <w:r>
        <w:rPr>
          <w:noProof/>
        </w:rPr>
        <w:t>k)</w:t>
      </w:r>
      <w:r>
        <w:rPr>
          <w:rFonts w:ascii="TimesNewRomanPSMT" w:hAnsi="TimesNewRomanPSMT"/>
          <w:noProof/>
          <w:szCs w:val="24"/>
        </w:rPr>
        <w:tab/>
      </w:r>
      <w:r>
        <w:rPr>
          <w:noProof/>
        </w:rPr>
        <w:t>podporuje mechanizmy spolupráce medzi RFMO, ktoré nie sú zamerané na tuniaky, podobné mechanizmom, ako je tzv. kóbsky proces v prípade RFMO zameraných na tuniaky.</w:t>
      </w:r>
    </w:p>
    <w:p>
      <w:pPr>
        <w:pStyle w:val="Heading1"/>
        <w:rPr>
          <w:noProof/>
        </w:rPr>
      </w:pPr>
      <w:r>
        <w:rPr>
          <w:noProof/>
        </w:rPr>
        <w:t>SMEROVANIE ÚSILIA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Únia vyvíja v relevantných prípadoch úsilie o podporu NAFO pri prijímaní týchto opatrení:</w:t>
      </w:r>
    </w:p>
    <w:p>
      <w:pPr>
        <w:pStyle w:val="Point0"/>
        <w:rPr>
          <w:noProof/>
        </w:rPr>
      </w:pPr>
      <w:r>
        <w:rPr>
          <w:noProof/>
        </w:rPr>
        <w:t xml:space="preserve">a) </w:t>
      </w:r>
      <w:r>
        <w:rPr>
          <w:noProof/>
        </w:rPr>
        <w:tab/>
        <w:t>opatrenia na ochranu a riadenie rybolovných zdrojov v regulačnej oblasti NAFO, ktoré vychádzajú z najlepších dostupných vedeckých odporúčaní, vrátane celkového povoleného výlovu (TAC) a kvót alebo regulácie úsilia pre živé morské biologické zdroje v kompetencii NAFO, ktorými sa najneskôr do roku 2020 postupne a progresívne dosiahne výlov na úrovni maximálneho udržateľného výnosu. V prípade potreby možno uvažovať o prijatí špecifických opatrení zameraných na nadmerne lovené populácie, aby sa dosiahla rovnováha medzi rybolovným úsilím a dostupnými rybolovnými možnosťami;</w:t>
      </w:r>
    </w:p>
    <w:p>
      <w:pPr>
        <w:pStyle w:val="Point0"/>
        <w:rPr>
          <w:noProof/>
        </w:rPr>
      </w:pPr>
      <w:r>
        <w:rPr>
          <w:noProof/>
        </w:rPr>
        <w:t xml:space="preserve">b) </w:t>
      </w:r>
      <w:r>
        <w:rPr>
          <w:noProof/>
        </w:rPr>
        <w:tab/>
        <w:t xml:space="preserve">opatrenia na zabraňovanie </w:t>
      </w:r>
      <w:r>
        <w:rPr>
          <w:noProof/>
          <w:sz w:val="23"/>
          <w:szCs w:val="23"/>
        </w:rPr>
        <w:t>nezákonným, nenahláseným a neregulovaným</w:t>
      </w:r>
      <w:r>
        <w:rPr>
          <w:noProof/>
        </w:rPr>
        <w:t xml:space="preserve"> (NNN) rybolovným činnostiam, na odrádzanie od nich a ich odstránenie v regulačnej oblasti vrátane zaraďovania príslušných plavidiel do zoznamu plavidiel vykonávajúcich NNN rybolov;</w:t>
      </w:r>
    </w:p>
    <w:p>
      <w:pPr>
        <w:pStyle w:val="Point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tab/>
        <w:t>opatrenia na monitorovanie, kontrolu a dohľad v regulačnej oblasti NAFO s cieľom zabezpečiť účinnú kontrolu a súlad s opatreniami prijatými v rámci NAFO;</w:t>
      </w:r>
    </w:p>
    <w:p>
      <w:pPr>
        <w:pStyle w:val="Point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tab/>
        <w:t>opatrenia, ktorých cieľom je minimalizovať negatívny vplyv rybolovných činností na morskú biodiverzitu a morské ekosystémy a ich biotopy, vrátane opatrení na zníženie znečisťovania mora a prevenciu odhadzovania plastov do mora a zníženie vplyvu plastov v mori na morskú biodiverzitu a ekosystémy, opatrenia na ochranu citlivých morských ekosystémov v regulačnej oblasti NAFO v súlade s dohovorom NAFO a Medzinárodnými usmerneniami FAO na riadenie hlbokomorského rybolovu na šírom mori a opatrenia na prevenciu a maximálne možné zníženie nechcených úlovkov vrátane obzvlášť zraniteľných morských druhov a na postupnú elimináciu odhadzovania úlovkov;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opatrenia na zníženie vplyvu opusteného, strateného alebo inak vyradeného rybárskeho výstroja (ALDFG) v oceáne a uľahčenie vyhľadávania a výlovu takéhoto výstroja;</w:t>
      </w:r>
    </w:p>
    <w:p>
      <w:pPr>
        <w:pStyle w:val="Point0"/>
        <w:rPr>
          <w:noProof/>
        </w:rPr>
      </w:pPr>
      <w:r>
        <w:rPr>
          <w:noProof/>
        </w:rPr>
        <w:t xml:space="preserve">f) </w:t>
      </w:r>
      <w:r>
        <w:rPr>
          <w:noProof/>
        </w:rPr>
        <w:tab/>
        <w:t>opatrenia, ktoré sú zamerané na zákaz rybolovu zacieleného výlučne na získavanie žraločích plutiev a ktoré požadujú, aby boli všetky žraloky vylodené so všetkými plutvami neoddelenými od tela;</w:t>
      </w: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  <w:t>v náležitých prípadoch spoločný postup s ostatnými RFMO, a to najmä s tými RFMO, ktoré sa podieľajú na riadení rybolovu v rovnakom regióne;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príprava spôsobov riešenia vplyvu iných ako rybolovných činností na morské biologické zdroje v regulačnej oblasti;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v náležitých prípadoch a v miere, ktorú umožňujú relevantné ustanovujúce dokumenty, odporúčania na podporu vykonávania Dohovoru Medzinárodnej organizácie práce o práci v odvetví rybolovu (ILO);</w:t>
      </w:r>
    </w:p>
    <w:p>
      <w:pPr>
        <w:pStyle w:val="Point0"/>
        <w:rPr>
          <w:noProof/>
        </w:rPr>
      </w:pPr>
      <w:r>
        <w:rPr>
          <w:noProof/>
        </w:rPr>
        <w:t>j)</w:t>
      </w:r>
      <w:r>
        <w:rPr>
          <w:noProof/>
        </w:rPr>
        <w:tab/>
        <w:t xml:space="preserve">ďalšie technické opatrenia na základe odporúčaní orgánov a pracovných skupín NAFO. 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PRÍLOHA II</w:t>
      </w:r>
    </w:p>
    <w:p>
      <w:pPr>
        <w:jc w:val="center"/>
        <w:rPr>
          <w:rFonts w:eastAsia="Calibri"/>
          <w:b/>
          <w:noProof/>
          <w:szCs w:val="20"/>
          <w:u w:val="single"/>
        </w:rPr>
      </w:pPr>
      <w:r>
        <w:rPr>
          <w:b/>
          <w:noProof/>
          <w:szCs w:val="20"/>
          <w:u w:val="single"/>
        </w:rPr>
        <w:t xml:space="preserve">Každoročná špecifikácia pozície Únie, ktorá sa má zaujať </w:t>
      </w:r>
    </w:p>
    <w:p>
      <w:pPr>
        <w:jc w:val="center"/>
        <w:rPr>
          <w:rFonts w:eastAsia="Calibri"/>
          <w:b/>
          <w:noProof/>
          <w:szCs w:val="20"/>
          <w:u w:val="single"/>
        </w:rPr>
      </w:pPr>
      <w:r>
        <w:rPr>
          <w:b/>
          <w:noProof/>
          <w:szCs w:val="20"/>
          <w:u w:val="single"/>
        </w:rPr>
        <w:t xml:space="preserve">na zasadnutiach Organizácie pre rybolov v severozápadnom Atlantiku </w:t>
      </w:r>
    </w:p>
    <w:p>
      <w:pPr>
        <w:jc w:val="center"/>
        <w:rPr>
          <w:rFonts w:eastAsia="Calibri"/>
          <w:b/>
          <w:i/>
          <w:strike/>
          <w:noProof/>
          <w:szCs w:val="20"/>
          <w:u w:val="single"/>
          <w:lang w:eastAsia="en-GB"/>
        </w:rPr>
      </w:pPr>
    </w:p>
    <w:p>
      <w:pPr>
        <w:rPr>
          <w:rFonts w:eastAsia="Calibri"/>
          <w:noProof/>
          <w:szCs w:val="20"/>
        </w:rPr>
      </w:pPr>
      <w:r>
        <w:rPr>
          <w:noProof/>
        </w:rPr>
        <w:t>Pred každým zasadnutím komisie NAFO sa v prípade, že tento orgán je vyzvaný prijať rozhodnutia s právnymi účinkami pre Úniu, podniknú kroky potrebné na to, aby sa v pozícii, ktorá sa má vyjadriť v mene Únie, zohľadnili najnovšie vedecké a iné relevantné informácie predložené Komisii v súlade so zásadami a smerovaním úsilia stanovenými v prílohe I.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Na tento účel a na základe daných informácií Komisia predloží Rade alebo jej prípravným orgánom na diskusiu a schválenie konkrétnych aspektov navrhovanej špecifikácie pozície Únie písomný dokument, v ktorom uvedie informácie o navrhovanej špecifikácii pozície Únie, a to v dostatočnom predstihu pred každým zasadnutím Organizácia pre rybolov v severozápadnom Atlantiku.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Ak v priebehu zasadnutia komisie Organizácia pre rybolov v severozápadnom Atlantiku, a to ani priamo na mieste, nemožno dosiahnuť dohodu o tom, aby sa v pozícii Únie zohľadnili nové prvky, záležitosť sa postúpi Rade alebo jej prípravným orgánom.</w:t>
      </w:r>
    </w:p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7087/12 REV 1 ADD 1 COR 1.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JOIN(2016) 49 final z 10.11.2016.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7348/1/17 REV 1 z 24.3.2017.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C7CE7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2546B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9487A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884D0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62469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A5866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6B822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BF49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6 11:33:2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907DF788-5A79-4C0C-B24F-07AA4342B7C5"/>
    <w:docVar w:name="LW_COVERPAGE_TYPE" w:val="1"/>
    <w:docVar w:name="LW_CROSSREFERENCE" w:val="&lt;UNUSED&gt;"/>
    <w:docVar w:name="LW_DocType" w:val="ANNEX"/>
    <w:docVar w:name="LW_EMISSION" w:val="7. 3. 2019"/>
    <w:docVar w:name="LW_EMISSION_ISODATE" w:val="2019-03-07"/>
    <w:docVar w:name="LW_EMISSION_LOCATION" w:val="BRX"/>
    <w:docVar w:name="LW_EMISSION_PREFIX" w:val="V Bruseli"/>
    <w:docVar w:name="LW_EMISSION_SUFFIX" w:val="&lt;EMPTY&gt;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 pozícii, ktorá sa má zauja\u357? v mene Európskej únie v komisii Organizácie pre rybolov v severozápadnom Atlantiku, a o zru\u353?ení rozhodnutia 9449/1/14 REV 1"/>
    <w:docVar w:name="LW_OBJETACTEPRINCIPAL.CP" w:val="o pozícii, ktorá sa má zauja\u357? v mene Európskej únie v komisii Organizácie pre rybolov v severozápadnom Atlantiku, a o zru\u353?ení rozhodnutia 9449/1/14 REV 1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10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Y"/>
    <w:docVar w:name="LW_TYPE.DOC.CP" w:val="PRÍLOHY"/>
    <w:docVar w:name="LW_TYPEACTEPRINCIPAL" w:val="návrhu rozhodnutia Rady"/>
    <w:docVar w:name="LW_TYPEACTEPRINCIPAL.CP" w:val="návrhu rozhodnuti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3B7F-79BF-4612-954C-9CD88C5C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5</Pages>
  <Words>1003</Words>
  <Characters>6141</Characters>
  <Application>Microsoft Office Word</Application>
  <DocSecurity>0</DocSecurity>
  <Lines>111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2019-02-28T11:41:00Z</dcterms:created>
  <dcterms:modified xsi:type="dcterms:W3CDTF">2019-03-06T10:33:00Z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Unique annex">
    <vt:lpwstr>0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DQCStatus">
    <vt:lpwstr>Green (DQC version 03)</vt:lpwstr>
  </property>
</Properties>
</file>