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7F2C63D-5FE3-4ACD-8619-DDE51C40FC66"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PRIEDAS</w:t>
      </w:r>
    </w:p>
    <w:p>
      <w:pPr>
        <w:pStyle w:val="Header"/>
        <w:rPr>
          <w:noProof/>
        </w:rPr>
      </w:pPr>
      <w:r>
        <w:rPr>
          <w:noProof/>
        </w:rPr>
        <w:t xml:space="preserve">Pozicija, kurios Sąjungos vardu turi būti laikomasi Žvejybos šiaurės vakarų Atlante organizacijoje (NAFO) </w:t>
      </w:r>
    </w:p>
    <w:p>
      <w:pPr>
        <w:pStyle w:val="Heading1"/>
        <w:numPr>
          <w:ilvl w:val="0"/>
          <w:numId w:val="5"/>
        </w:numPr>
        <w:rPr>
          <w:noProof/>
        </w:rPr>
      </w:pPr>
      <w:r>
        <w:rPr>
          <w:noProof/>
        </w:rPr>
        <w:t>PRINCIPAI</w:t>
      </w:r>
    </w:p>
    <w:p>
      <w:pPr>
        <w:rPr>
          <w:noProof/>
        </w:rPr>
      </w:pPr>
      <w:r>
        <w:rPr>
          <w:noProof/>
        </w:rPr>
        <w:t>Žvejybos šiaurės vakarų Atlante organizacijoje Sąjunga:</w:t>
      </w:r>
    </w:p>
    <w:p>
      <w:pPr>
        <w:pStyle w:val="Point0"/>
        <w:rPr>
          <w:noProof/>
        </w:rPr>
      </w:pPr>
      <w:r>
        <w:rPr>
          <w:noProof/>
        </w:rPr>
        <w:t xml:space="preserve">a) </w:t>
      </w:r>
      <w:r>
        <w:rPr>
          <w:noProof/>
        </w:rPr>
        <w:tab/>
        <w:t>veikia vadovaudamasi Sąjungos tikslais ir principais, įgyvendinamais vykdant bendrą žuvininkystės politiką, visų pirma taikydama atsargumo principą ir orientuodamasi į Reglamento (ES) Nr. 1380/2013 2 straipsnio 2 dalyje išdėstytus tikslus, susijusius su didžiausiu galimu tausios žvejybos laimikiu, kad paskatintų ekosisteminio žuvininkystės valdymo metodo taikymą ir sumažintų žvejybos veiklos poveikį aplinkai, kad būtų vengiama nepageidaujamos priegaudos ir siekiama kiek įmanoma ją sumažinti, kad laipsniškai būtų panaikinta žuvų išmetimo į jūrą praktika ir sumažintas žvejybos veiklos poveikis jūrų ekosistemoms ir jų buveinėms, taip pat skatindama ekonomiškai gyvybingą ir konkurencingą Sąjungos žuvininkystę, kad būtų užtikrinamas tinkamas nuo žvejybos veiklos priklausančių asmenų pragyvenimo lygis ir atsižvelgiama į vartotojų interesus;</w:t>
      </w:r>
    </w:p>
    <w:p>
      <w:pPr>
        <w:pStyle w:val="Point0"/>
        <w:rPr>
          <w:noProof/>
        </w:rPr>
      </w:pPr>
      <w:r>
        <w:rPr>
          <w:noProof/>
        </w:rPr>
        <w:t xml:space="preserve">b) </w:t>
      </w:r>
      <w:r>
        <w:rPr>
          <w:noProof/>
        </w:rPr>
        <w:tab/>
        <w:t>siekia, kad į NAFO priemonių rengimo etapą būtų tinkamai įtraukti suinteresuotieji subjektai, ir užtikrina, kad NAFO komisijos priimamos priemonės atitiktų NAFO konvenciją;</w:t>
      </w:r>
    </w:p>
    <w:p>
      <w:pPr>
        <w:pStyle w:val="Point0"/>
        <w:rPr>
          <w:noProof/>
        </w:rPr>
      </w:pPr>
      <w:r>
        <w:rPr>
          <w:noProof/>
        </w:rPr>
        <w:t xml:space="preserve">c) </w:t>
      </w:r>
      <w:r>
        <w:rPr>
          <w:noProof/>
        </w:rPr>
        <w:tab/>
        <w:t>užtikrina, kad NAFO komisijos priimamos priemonės atitiktų tarptautinę teisę, visų pirma 1982 m. JT jūrų teisės konvencijos, 1995 m. JT susitarimo dėl vienos valstybės ribas viršijančių žuvų išteklių ir toli migruojančių žuvų išteklių išsaugojimo bei valdymo, 1993 m. Susitarimo dėl skatinimo žvejybos laivams atviroje jūroje laikytis tarptautinių išsaugojimo ir valdymo priemonių, taip pat Maisto ir žemės ūkio organizacijos 2009 m. Susitarimo dėl uosto valstybės priemonių nuostatas;</w:t>
      </w:r>
    </w:p>
    <w:p>
      <w:pPr>
        <w:pStyle w:val="Point0"/>
        <w:rPr>
          <w:noProof/>
        </w:rPr>
      </w:pPr>
      <w:r>
        <w:rPr>
          <w:noProof/>
        </w:rPr>
        <w:t xml:space="preserve">d) </w:t>
      </w:r>
      <w:r>
        <w:rPr>
          <w:noProof/>
        </w:rPr>
        <w:tab/>
        <w:t>skatina laikytis pozicijų, derančių su to paties rajono regioninių žvejybos valdymo organizacijų (RŽVO) geriausia patirtimi;</w:t>
      </w:r>
    </w:p>
    <w:p>
      <w:pPr>
        <w:pStyle w:val="Point0"/>
        <w:rPr>
          <w:noProof/>
          <w:szCs w:val="24"/>
        </w:rPr>
      </w:pPr>
      <w:r>
        <w:rPr>
          <w:noProof/>
        </w:rPr>
        <w:t xml:space="preserve">e) </w:t>
      </w:r>
      <w:r>
        <w:rPr>
          <w:noProof/>
        </w:rPr>
        <w:tab/>
        <w:t>siekia suderinamumo ir sąveikos su Sąjungos įgyvendinama politika, kuri yra dvišalių žuvininkystės santykių su trečiosiomis valstybėmis dalis, ir užtikrina derėjimą su kitomis savo politikos sritimis, kaip antai išorės santykių, užimtumo, aplinkos, prekybos, plėtros, mokslinių tyrimų ir inovacijų;</w:t>
      </w:r>
    </w:p>
    <w:p>
      <w:pPr>
        <w:pStyle w:val="Point0"/>
        <w:rPr>
          <w:noProof/>
          <w:szCs w:val="24"/>
        </w:rPr>
      </w:pPr>
      <w:r>
        <w:rPr>
          <w:noProof/>
        </w:rPr>
        <w:t>f)</w:t>
      </w:r>
      <w:r>
        <w:rPr>
          <w:noProof/>
        </w:rPr>
        <w:tab/>
        <w:t>užtikrina, kad būtų laikomasi Sąjungos tarptautinių įsipareigojimų;</w:t>
      </w:r>
    </w:p>
    <w:p>
      <w:pPr>
        <w:pStyle w:val="Point0"/>
        <w:rPr>
          <w:noProof/>
          <w:szCs w:val="24"/>
        </w:rPr>
      </w:pPr>
      <w:r>
        <w:rPr>
          <w:noProof/>
        </w:rPr>
        <w:t xml:space="preserve">g) </w:t>
      </w:r>
      <w:r>
        <w:rPr>
          <w:noProof/>
        </w:rPr>
        <w:tab/>
        <w:t>laikosi 2012 m. kovo 19 d. Tarybos išvadų dėl Komisijos komunikato dėl bendros žuvininkystės politikos išorės aspekto</w:t>
      </w:r>
      <w:r>
        <w:rPr>
          <w:rStyle w:val="FootnoteReference"/>
          <w:noProof/>
        </w:rPr>
        <w:footnoteReference w:id="1"/>
      </w:r>
      <w:r>
        <w:rPr>
          <w:noProof/>
        </w:rPr>
        <w:t>;</w:t>
      </w:r>
    </w:p>
    <w:p>
      <w:pPr>
        <w:pStyle w:val="Point0"/>
        <w:rPr>
          <w:noProof/>
          <w:szCs w:val="24"/>
        </w:rPr>
      </w:pPr>
      <w:r>
        <w:rPr>
          <w:noProof/>
        </w:rPr>
        <w:t xml:space="preserve">h) </w:t>
      </w:r>
      <w:r>
        <w:rPr>
          <w:noProof/>
        </w:rPr>
        <w:tab/>
        <w:t>siekia užtikrinti vienodas sąlygas Sąjungos laivynui NAFO reguliuojamame rajone remdamasi tais pačiais principais ir standartais, kokie taikomi pagal Sąjungos teisę, ir skatinti vienodą tų principų ir standartų įgyvendinimą;</w:t>
      </w:r>
    </w:p>
    <w:p>
      <w:pPr>
        <w:pStyle w:val="Point0"/>
        <w:rPr>
          <w:noProof/>
          <w:szCs w:val="24"/>
        </w:rPr>
      </w:pPr>
      <w:r>
        <w:rPr>
          <w:noProof/>
        </w:rPr>
        <w:t xml:space="preserve">i) </w:t>
      </w:r>
      <w:r>
        <w:rPr>
          <w:noProof/>
        </w:rPr>
        <w:tab/>
        <w:t>laikosi Sąjungos vyriausiosios įgaliotinės užsienio reikalams ir saugumo politikai ir Europos Komisijos bendro komunikato „Tarptautinis vandenynų valdymas. Mūsų vandenynų darnaus valdymo darbotvarkė“</w:t>
      </w:r>
      <w:r>
        <w:rPr>
          <w:rStyle w:val="FootnoteReference"/>
          <w:noProof/>
        </w:rPr>
        <w:footnoteReference w:id="2"/>
      </w:r>
      <w:r>
        <w:rPr>
          <w:noProof/>
        </w:rPr>
        <w:t xml:space="preserve"> ir Tarybos išvadų dėl to bendro </w:t>
      </w:r>
      <w:r>
        <w:rPr>
          <w:noProof/>
        </w:rPr>
        <w:lastRenderedPageBreak/>
        <w:t>komunikato</w:t>
      </w:r>
      <w:r>
        <w:rPr>
          <w:rStyle w:val="FootnoteReference"/>
          <w:noProof/>
        </w:rPr>
        <w:footnoteReference w:id="3"/>
      </w:r>
      <w:r>
        <w:rPr>
          <w:noProof/>
        </w:rPr>
        <w:t>, taip pat skatina įgyvendinti priemones, kuriomis remiamas ir didinamas NAFO efektyvumas ir prireikus gerinamas jos valdymas bei veiksmingumas (visų pirma mokslo, reikalavimų laikymosi, skaidrumo ir sprendimų priėmimo srityse), taip prisidėdama prie visų darnaus vandenynų valdymo aspektų;</w:t>
      </w:r>
    </w:p>
    <w:p>
      <w:pPr>
        <w:pStyle w:val="Point0"/>
        <w:rPr>
          <w:noProof/>
          <w:szCs w:val="24"/>
        </w:rPr>
      </w:pPr>
      <w:r>
        <w:rPr>
          <w:noProof/>
        </w:rPr>
        <w:t xml:space="preserve">j) </w:t>
      </w:r>
      <w:r>
        <w:rPr>
          <w:noProof/>
        </w:rPr>
        <w:tab/>
        <w:t>skatina RŽVO ir regioninių jūrų konvencijų koordinavimą ir prireikus, jei taikoma, bendradarbiavimą su pasaulinėmis organizacijomis pagal jų įgaliojimus;</w:t>
      </w:r>
    </w:p>
    <w:p>
      <w:pPr>
        <w:pStyle w:val="Point0"/>
        <w:rPr>
          <w:noProof/>
          <w:szCs w:val="24"/>
        </w:rPr>
      </w:pPr>
      <w:r>
        <w:rPr>
          <w:noProof/>
        </w:rPr>
        <w:t>k)</w:t>
      </w:r>
      <w:r>
        <w:rPr>
          <w:noProof/>
        </w:rPr>
        <w:tab/>
        <w:t>skatina bendradarbiavimo ne tunų regioninėse žvejybos valdymo organizacijose mechanizmus, panašius į vadinamąjį Kobės procesą, susijusį su tunų RŽVO.</w:t>
      </w:r>
    </w:p>
    <w:p>
      <w:pPr>
        <w:pStyle w:val="Heading1"/>
        <w:rPr>
          <w:noProof/>
        </w:rPr>
      </w:pPr>
      <w:r>
        <w:rPr>
          <w:noProof/>
        </w:rPr>
        <w:t>GAIRĖS</w:t>
      </w:r>
    </w:p>
    <w:p>
      <w:pPr>
        <w:autoSpaceDE w:val="0"/>
        <w:autoSpaceDN w:val="0"/>
        <w:adjustRightInd w:val="0"/>
        <w:spacing w:before="0" w:after="0"/>
        <w:rPr>
          <w:noProof/>
        </w:rPr>
      </w:pPr>
      <w:r>
        <w:rPr>
          <w:noProof/>
        </w:rPr>
        <w:t>Sąjunga prireikus stengiasi, kad NAFO imtųsi šių veiksmų:</w:t>
      </w:r>
    </w:p>
    <w:p>
      <w:pPr>
        <w:pStyle w:val="Point0"/>
        <w:rPr>
          <w:noProof/>
        </w:rPr>
      </w:pPr>
      <w:r>
        <w:rPr>
          <w:noProof/>
        </w:rPr>
        <w:t xml:space="preserve">a) </w:t>
      </w:r>
      <w:r>
        <w:rPr>
          <w:noProof/>
        </w:rPr>
        <w:tab/>
        <w:t>NAFO reguliuojamame rajone nustatytų žvejybos išteklių išsaugojimo ir valdymo priemones, pagrįstas patikimiausiomis turimomis mokslinėmis rekomendacijomis ir atsargumo principu, įskaitant NAFO reguliuojamiems gyviesiems jūrų biologiniams ištekliams taikomus bendrus leidžiamus sužvejoti kiekius (BLSK) ir kvotas arba pastangų reguliavimo priemones, kuriomis palaipsniui kuo greičiau ir ne vėliau kaip 2020 m. būtų pasiektas didžiausią galimą tausios žvejybos laimikį užtikrinantis naudojimo lygis. Prireikus būtų svarstomos specialiosios peržvejojamų išteklių apsaugos priemonės, siekiant žvejybos pastangas suderinti su turimomis žvejybos galimybėmis;</w:t>
      </w:r>
    </w:p>
    <w:p>
      <w:pPr>
        <w:pStyle w:val="Point0"/>
        <w:rPr>
          <w:noProof/>
        </w:rPr>
      </w:pPr>
      <w:r>
        <w:rPr>
          <w:noProof/>
        </w:rPr>
        <w:t xml:space="preserve">b) </w:t>
      </w:r>
      <w:r>
        <w:rPr>
          <w:noProof/>
        </w:rPr>
        <w:tab/>
        <w:t xml:space="preserve">nustatytų priemones, padedančias reguliuojamame rajone užkirsti kelią </w:t>
      </w:r>
      <w:r>
        <w:rPr>
          <w:noProof/>
          <w:sz w:val="23"/>
        </w:rPr>
        <w:t>neteisėtai, nedeklaruojamai ir nereglamentuojamai</w:t>
      </w:r>
      <w:r>
        <w:rPr>
          <w:noProof/>
        </w:rPr>
        <w:t xml:space="preserve"> (NNN) žvejybai, atgrasyti nuo jos ir ją panaikinti, įskaitant NNN žvejybą vykdančių laivų sąrašo sudarymą;</w:t>
      </w:r>
    </w:p>
    <w:p>
      <w:pPr>
        <w:pStyle w:val="Point0"/>
        <w:rPr>
          <w:noProof/>
        </w:rPr>
      </w:pPr>
      <w:r>
        <w:rPr>
          <w:noProof/>
        </w:rPr>
        <w:t xml:space="preserve">c) </w:t>
      </w:r>
      <w:r>
        <w:rPr>
          <w:noProof/>
        </w:rPr>
        <w:tab/>
        <w:t>NAFO reguliuojamame rajone nustatytų stebėsenos, kontrolės ir priežiūros priemones, kad būtų užtikrintas kontrolės veiksmingumas ir atitiktis NAFO priimtoms priemonėms;</w:t>
      </w:r>
    </w:p>
    <w:p>
      <w:pPr>
        <w:pStyle w:val="Point0"/>
        <w:rPr>
          <w:noProof/>
        </w:rPr>
      </w:pPr>
      <w:r>
        <w:rPr>
          <w:noProof/>
        </w:rPr>
        <w:t xml:space="preserve">d) </w:t>
      </w:r>
      <w:r>
        <w:rPr>
          <w:noProof/>
        </w:rPr>
        <w:tab/>
        <w:t>nustatytų priemones, skirtas neigiamam žvejybos poveikiui jūrų biologinei įvairovei ir jūrų ekosistemoms sumažinti, įskaitant priemones, kuriomis siekiama sumažinti jūros taršą ir užkirsti kelią plastiko išmetimui į jūrą bei sumažinti jūroje esančio plastiko poveikį jūrų biologinei įvairovei ir ekosistemoms, taip pat reguliuojamame rajone taikytinas pažeidžiamų jūrų ekosistemų apsaugos priemones, atitinkančias NAFO konvenciją, atsižvelgiant į Maisto ir žemės ūkio organizacijos (FAO) tarptautines giliavandenės žvejybos atvirojoje jūroje valdymo gaires, ir priemones, padėsiančias išvengti nepageidaujamos priegaudos (visų pirma, pažeidžiamų jūrų gyvūnų rūšių) bei kiek įmanoma ją sumažinti ir laipsniškai panaikinti žuvų išmetimo į jūrą praktiką;</w:t>
      </w:r>
    </w:p>
    <w:p>
      <w:pPr>
        <w:pStyle w:val="Point0"/>
        <w:rPr>
          <w:noProof/>
        </w:rPr>
      </w:pPr>
      <w:r>
        <w:rPr>
          <w:noProof/>
        </w:rPr>
        <w:t>e)</w:t>
      </w:r>
      <w:r>
        <w:rPr>
          <w:noProof/>
        </w:rPr>
        <w:tab/>
        <w:t>nustatytų priemones, kuriomis siekiama sumažinti paliktų, prarastų ar kitaip į vandenyną išmestų žvejybos įrankių poveikį ir sudaryti tokių įrankių identifikavimo ir ištraukimo sąlygas;</w:t>
      </w:r>
    </w:p>
    <w:p>
      <w:pPr>
        <w:pStyle w:val="Point0"/>
        <w:rPr>
          <w:noProof/>
        </w:rPr>
      </w:pPr>
      <w:r>
        <w:rPr>
          <w:noProof/>
        </w:rPr>
        <w:t xml:space="preserve">f) </w:t>
      </w:r>
      <w:r>
        <w:rPr>
          <w:noProof/>
        </w:rPr>
        <w:tab/>
        <w:t>nustatytų priemones, kuriomis siekiama uždrausti žvejybą, kurios vienintelis tikslas – rinkti ryklių pelekus, ir reikalauti, kad visi iškraunami rykliai būtų su visais nepašalintais pelekais;</w:t>
      </w:r>
    </w:p>
    <w:p>
      <w:pPr>
        <w:pStyle w:val="Point0"/>
        <w:rPr>
          <w:noProof/>
        </w:rPr>
      </w:pPr>
      <w:r>
        <w:rPr>
          <w:noProof/>
        </w:rPr>
        <w:t>g)</w:t>
      </w:r>
      <w:r>
        <w:rPr>
          <w:noProof/>
        </w:rPr>
        <w:tab/>
        <w:t>prireikus nustatytų bendrą strategiją su kitomis RŽVO, visų pirma dalyvaujančiomis žvejybos valdymo tame pačiame regione veikloje;</w:t>
      </w:r>
    </w:p>
    <w:p>
      <w:pPr>
        <w:pStyle w:val="Point0"/>
        <w:rPr>
          <w:noProof/>
        </w:rPr>
      </w:pPr>
      <w:r>
        <w:rPr>
          <w:noProof/>
        </w:rPr>
        <w:lastRenderedPageBreak/>
        <w:t>h)</w:t>
      </w:r>
      <w:r>
        <w:rPr>
          <w:noProof/>
        </w:rPr>
        <w:tab/>
        <w:t>nustatytų metodų, kaip mažinti ne žvejybos veiklos poveikį jūrų biologiniams ištekliams reguliuojamame rajone;</w:t>
      </w:r>
    </w:p>
    <w:p>
      <w:pPr>
        <w:pStyle w:val="Point0"/>
        <w:rPr>
          <w:noProof/>
        </w:rPr>
      </w:pPr>
      <w:r>
        <w:rPr>
          <w:noProof/>
        </w:rPr>
        <w:t>i)</w:t>
      </w:r>
      <w:r>
        <w:rPr>
          <w:noProof/>
        </w:rPr>
        <w:tab/>
        <w:t>prireikus rengtų rekomendacijas, kiek tai leidžiama pagal atitinkamus steigiamuosius dokumentus, kuriomis būtų skatinama įgyvendinti Tarptautinės darbo organizacijos konvenciją dėl darbo žvejybos sektoriuje;</w:t>
      </w:r>
    </w:p>
    <w:p>
      <w:pPr>
        <w:pStyle w:val="Point0"/>
        <w:rPr>
          <w:noProof/>
        </w:rPr>
      </w:pPr>
      <w:r>
        <w:rPr>
          <w:noProof/>
        </w:rPr>
        <w:t>j)</w:t>
      </w:r>
      <w:r>
        <w:rPr>
          <w:noProof/>
        </w:rPr>
        <w:tab/>
        <w:t xml:space="preserve">nustatytų papildomų techninių priemonių, grindžiamų NAFO pagalbinių organų ir darbo grupių rekomendacijomis.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II PRIEDAS</w:t>
      </w:r>
    </w:p>
    <w:p>
      <w:pPr>
        <w:jc w:val="center"/>
        <w:rPr>
          <w:rFonts w:eastAsia="Calibri"/>
          <w:b/>
          <w:noProof/>
          <w:szCs w:val="20"/>
          <w:u w:val="single"/>
        </w:rPr>
      </w:pPr>
      <w:r>
        <w:rPr>
          <w:b/>
          <w:noProof/>
          <w:u w:val="single"/>
        </w:rPr>
        <w:t xml:space="preserve">Kasmetinis pozicijos, kurios Sąjunga turi laikytis </w:t>
      </w:r>
    </w:p>
    <w:p>
      <w:pPr>
        <w:jc w:val="center"/>
        <w:rPr>
          <w:rFonts w:eastAsia="Calibri"/>
          <w:b/>
          <w:noProof/>
          <w:szCs w:val="20"/>
          <w:u w:val="single"/>
        </w:rPr>
      </w:pPr>
      <w:r>
        <w:rPr>
          <w:b/>
          <w:noProof/>
          <w:u w:val="single"/>
        </w:rPr>
        <w:t xml:space="preserve">Žvejybos šiaurės vakarų Atlante organizacijos posėdžiuose, tikslinimas </w:t>
      </w:r>
    </w:p>
    <w:p>
      <w:pPr>
        <w:jc w:val="center"/>
        <w:rPr>
          <w:rFonts w:eastAsia="Calibri"/>
          <w:b/>
          <w:i/>
          <w:strike/>
          <w:noProof/>
          <w:szCs w:val="20"/>
          <w:u w:val="single"/>
        </w:rPr>
      </w:pPr>
    </w:p>
    <w:p>
      <w:pPr>
        <w:rPr>
          <w:rFonts w:eastAsia="Calibri"/>
          <w:noProof/>
          <w:szCs w:val="20"/>
        </w:rPr>
      </w:pPr>
      <w:r>
        <w:rPr>
          <w:noProof/>
        </w:rPr>
        <w:t>Prieš kiekvieną NAFO komisijos posėdį, sušaukiamą sprendimams, turėsiantiems Sąjungai teisinę galią, priimti, imamasi veiksmų, būtinų siekiant, kad pozicijoje, kuri bus pareikšta Sąjungos vardu, būtų atsižvelgta į Komisijai pateiktą naujausią mokslinę ir kitą susijusią informaciją, laikantis I priede išdėstytų principų ir gairių.</w:t>
      </w:r>
    </w:p>
    <w:p>
      <w:pPr>
        <w:rPr>
          <w:rFonts w:eastAsia="Calibri"/>
          <w:noProof/>
          <w:szCs w:val="20"/>
        </w:rPr>
      </w:pPr>
      <w:r>
        <w:rPr>
          <w:noProof/>
        </w:rPr>
        <w:t>Šiuo tikslu ir remdamasi ta informacija, Komisija, likus pakankamai laiko iki kiekvieno NAFO komisijos posėdžio, perduoda Tarybai arba jos parengiamiesiems organams rašytinį dokumentą, kuriame išdėstoma išsami informacija apie siūlomą Sąjungos pozicijos patikslinimą, kad būtų apsvarstyti ir patvirtinti pozicijos, kuri bus pareikšta Sąjungos vardu, elementai.</w:t>
      </w:r>
    </w:p>
    <w:p>
      <w:pPr>
        <w:rPr>
          <w:rFonts w:eastAsia="Calibri"/>
          <w:noProof/>
          <w:szCs w:val="20"/>
        </w:rPr>
      </w:pPr>
      <w:r>
        <w:rPr>
          <w:noProof/>
        </w:rPr>
        <w:t>Jei NAFO komisijos posėdyje, įskaitant rengiamą vietoje, susitarimo pasiekti neįmanoma, kad Sąjungos pozicijoje būtų atsižvelgta į naujus elementus, klausimas perduodamas Tarybai arba jos parengiamiesiems organams.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 xml:space="preserve">JOIN(2016) 49 </w:t>
      </w:r>
      <w:r>
        <w:rPr>
          <w:i/>
        </w:rPr>
        <w:t>final</w:t>
      </w:r>
      <w:r>
        <w:t>, 2016 11 10.</w:t>
      </w:r>
    </w:p>
  </w:footnote>
  <w:footnote w:id="3">
    <w:p>
      <w:pPr>
        <w:pStyle w:val="FootnoteText"/>
        <w:rPr>
          <w:lang w:val="en-US"/>
        </w:rPr>
      </w:pPr>
      <w:r>
        <w:rPr>
          <w:rStyle w:val="FootnoteReference"/>
        </w:rPr>
        <w:footnoteRef/>
      </w:r>
      <w:r>
        <w:tab/>
        <w:t>7348/1/17 REV 1, 2017 3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7CE7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546B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487A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B82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1: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2"/>
    <w:docVar w:name="LW_ANNEX_UNIQUE" w:val="0"/>
    <w:docVar w:name="LW_CORRIGENDUM" w:val="&lt;UNUSED&gt;"/>
    <w:docVar w:name="LW_COVERPAGE_EXISTS" w:val="True"/>
    <w:docVar w:name="LW_COVERPAGE_GUID" w:val="D7F2C63D-5FE3-4ACD-8619-DDE51C40FC66"/>
    <w:docVar w:name="LW_COVERPAGE_TYPE" w:val="1"/>
    <w:docVar w:name="LW_CROSSREFERENCE" w:val="&lt;UNUSED&gt;"/>
    <w:docVar w:name="LW_DocType" w:val="ANNEX"/>
    <w:docVar w:name="LW_EMISSION" w:val="2019 03 07"/>
    <w:docVar w:name="LW_EMISSION_ISODATE" w:val="2019-03-07"/>
    <w:docVar w:name="LW_EMISSION_LOCATION" w:val="BRX"/>
    <w:docVar w:name="LW_EMISSION_PREFIX" w:val="Briuselis, "/>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u381?vejybos \u353?iaur\u279?s vakar\u371? Atlante organizacijoje, kuriuo panaikinamas Sprendimas 9449/1/14 REV 1"/>
    <w:docVar w:name="LW_OBJETACTEPRINCIPAL.CP" w:val="d\u279?l pozicijos, kurios Europos S\u261?jungos vardu turi b\u363?ti laikomasi \u381?vejybos \u353?iaur\u279?s vakar\u371? Atlante organizacijoje, kuriuo panaikinamas Sprendimas 9449/1/14 REV 1"/>
    <w:docVar w:name="LW_PART_NBR" w:val="&lt;UNUSED&gt;"/>
    <w:docVar w:name="LW_PART_NBR_TOTAL" w:val="&lt;UNUSED&gt;"/>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898</Words>
  <Characters>6397</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2019-02-28T12:30:00Z</dcterms:created>
  <dcterms:modified xsi:type="dcterms:W3CDTF">2019-03-06T10:31:00Z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