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4ACD45F-A77D-4205-84C1-8B3EE79343F0" style="width:450.1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PIELIKUMS</w:t>
      </w:r>
    </w:p>
    <w:p>
      <w:pPr>
        <w:pStyle w:val="Header"/>
        <w:rPr>
          <w:noProof/>
        </w:rPr>
      </w:pPr>
      <w:r>
        <w:rPr>
          <w:noProof/>
        </w:rPr>
        <w:t>Nostāja, kas Savienības vārdā jāieņem Ziemeļrietumu Atlantijas zvejniecības organizācijā (</w:t>
      </w:r>
      <w:r>
        <w:rPr>
          <w:i/>
          <w:noProof/>
        </w:rPr>
        <w:t>NAFO</w:t>
      </w:r>
      <w:r>
        <w:rPr>
          <w:noProof/>
        </w:rPr>
        <w:t xml:space="preserve">) </w:t>
      </w:r>
    </w:p>
    <w:p>
      <w:pPr>
        <w:pStyle w:val="Heading1"/>
        <w:numPr>
          <w:ilvl w:val="0"/>
          <w:numId w:val="5"/>
        </w:numPr>
        <w:rPr>
          <w:noProof/>
        </w:rPr>
      </w:pPr>
      <w:r>
        <w:rPr>
          <w:noProof/>
        </w:rPr>
        <w:t>PRINCIPI</w:t>
      </w:r>
    </w:p>
    <w:p>
      <w:pPr>
        <w:rPr>
          <w:noProof/>
        </w:rPr>
      </w:pPr>
      <w:r>
        <w:rPr>
          <w:i/>
          <w:noProof/>
        </w:rPr>
        <w:t>NAFO</w:t>
      </w:r>
      <w:r>
        <w:rPr>
          <w:noProof/>
        </w:rPr>
        <w:t xml:space="preserve"> satvarā Savienība:</w:t>
      </w:r>
    </w:p>
    <w:p>
      <w:pPr>
        <w:pStyle w:val="Point0"/>
        <w:rPr>
          <w:noProof/>
        </w:rPr>
      </w:pPr>
      <w:r>
        <w:rPr>
          <w:noProof/>
        </w:rPr>
        <w:t>a)</w:t>
      </w:r>
      <w:r>
        <w:rPr>
          <w:noProof/>
        </w:rPr>
        <w:tab/>
        <w:t>rīkojas saskaņā ar mērķiem un principiem, kurus tā tiecas īstenot kopējā zivsaimniecības politikā (KZP), jo īpaši izmantojot piesardzīgu pieeju un ar maksimālo ilgtspējīgas ieguves apjomu saistītos mērķus, kā noteikts Regulas (ES) Nr. 1380/2013 2. panta 2. punktā, ar nolūku veicināt uz ekosistēmu balstītas pieejas īstenošanu zvejniecības pārvaldībā un mazināt zvejas darbību vidisko ietekmi, nepieļaut un, ciktāl iespējams, samazināt nevēlamas nozvejas, pakāpeniski izskaust izmetumus, minimalizēt zvejas darbību ietekmi uz jūras ekosistēmām un to biotopiem, kā arī, veicinot Savienības zvejniecību ekonomisko dzīvotspēju un konkurētspēju, nodrošināt pietiekami augstu dzīves līmeni tiem, kas atkarīgi no zvejas darbībām, un ņemt vērā patērētāju intereses;</w:t>
      </w:r>
    </w:p>
    <w:p>
      <w:pPr>
        <w:pStyle w:val="Point0"/>
        <w:rPr>
          <w:noProof/>
        </w:rPr>
      </w:pPr>
      <w:r>
        <w:rPr>
          <w:noProof/>
        </w:rPr>
        <w:t>b)</w:t>
      </w:r>
      <w:r>
        <w:rPr>
          <w:noProof/>
        </w:rPr>
        <w:tab/>
        <w:t xml:space="preserve">tiecas </w:t>
      </w:r>
      <w:r>
        <w:rPr>
          <w:i/>
          <w:noProof/>
        </w:rPr>
        <w:t>NAFO</w:t>
      </w:r>
      <w:r>
        <w:rPr>
          <w:noProof/>
        </w:rPr>
        <w:t xml:space="preserve"> pasākumu sagatavošanas posmā pienācīgi iesaistīt ieinteresētās personas un nodrošina, ka </w:t>
      </w:r>
      <w:r>
        <w:rPr>
          <w:i/>
          <w:noProof/>
        </w:rPr>
        <w:t>NAFO</w:t>
      </w:r>
      <w:r>
        <w:rPr>
          <w:noProof/>
        </w:rPr>
        <w:t xml:space="preserve"> komisijā pieņemtie pasākumi ir saskaņā ar </w:t>
      </w:r>
      <w:r>
        <w:rPr>
          <w:i/>
          <w:noProof/>
        </w:rPr>
        <w:t>NAFO</w:t>
      </w:r>
      <w:r>
        <w:rPr>
          <w:noProof/>
        </w:rPr>
        <w:t xml:space="preserve"> konvenciju;</w:t>
      </w:r>
    </w:p>
    <w:p>
      <w:pPr>
        <w:pStyle w:val="Point0"/>
        <w:rPr>
          <w:noProof/>
        </w:rPr>
      </w:pPr>
      <w:r>
        <w:rPr>
          <w:noProof/>
        </w:rPr>
        <w:t>c)</w:t>
      </w:r>
      <w:r>
        <w:rPr>
          <w:noProof/>
        </w:rPr>
        <w:tab/>
        <w:t xml:space="preserve">nodrošina, ka </w:t>
      </w:r>
      <w:r>
        <w:rPr>
          <w:i/>
          <w:noProof/>
        </w:rPr>
        <w:t>NAFO</w:t>
      </w:r>
      <w:r>
        <w:rPr>
          <w:noProof/>
        </w:rPr>
        <w:t xml:space="preserve"> komisijā pieņemtie pasākumi ir saskanīgi ar starptautiskajām tiesībām un jo īpaši ar ANO 1982. gada Jūras tiesību konvenciju, ANO 1995. gada Nolīgumu par transzonālo zivju krājumu un tālu migrējošo zivju krājumu saglabāšanu un pārvaldību, 1993. gada Nolīgumu par zvejas kuģu atbilstības veicināšanu starptautiskajiem saglabāšanas un pārvaldības pasākumiem atklātā jūrā un Pārtikas un lauksaimniecības organizācijas 2009. gada Nolīgumu par ostas valsts pasākumiem;</w:t>
      </w:r>
    </w:p>
    <w:p>
      <w:pPr>
        <w:pStyle w:val="Point0"/>
        <w:rPr>
          <w:noProof/>
        </w:rPr>
      </w:pPr>
      <w:r>
        <w:rPr>
          <w:noProof/>
        </w:rPr>
        <w:t>d)</w:t>
      </w:r>
      <w:r>
        <w:rPr>
          <w:noProof/>
        </w:rPr>
        <w:tab/>
        <w:t>veicina nostājas, kas ir saskanīgas ar reģionālo zvejniecības pārvaldības organizāciju (RZPO) paraugpraksi attiecīgajā apgabalā;</w:t>
      </w:r>
    </w:p>
    <w:p>
      <w:pPr>
        <w:pStyle w:val="Point0"/>
        <w:rPr>
          <w:noProof/>
          <w:szCs w:val="24"/>
        </w:rPr>
      </w:pPr>
      <w:r>
        <w:rPr>
          <w:noProof/>
        </w:rPr>
        <w:t>e)</w:t>
      </w:r>
      <w:r>
        <w:rPr>
          <w:noProof/>
        </w:rPr>
        <w:tab/>
        <w:t>tiecas panākt konsekvenci un sinerģiju ar rīcībpolitiku, kuru Savienība zivsaimniecības nozarē īsteno divpusējās attiecībās ar trešām valstīm, un nodrošina saskaņotību ar citām rīcībpolitikām tādās jomās kā ārējās attiecības, nodarbinātība, vide, tirdzniecība, attīstība, pētniecība un inovācija;</w:t>
      </w:r>
    </w:p>
    <w:p>
      <w:pPr>
        <w:pStyle w:val="Point0"/>
        <w:rPr>
          <w:noProof/>
          <w:szCs w:val="24"/>
        </w:rPr>
      </w:pPr>
      <w:r>
        <w:rPr>
          <w:noProof/>
        </w:rPr>
        <w:t>f)</w:t>
      </w:r>
      <w:r>
        <w:rPr>
          <w:noProof/>
        </w:rPr>
        <w:tab/>
        <w:t>nodrošina Savienības starptautisko saistību ievērošanu;</w:t>
      </w:r>
    </w:p>
    <w:p>
      <w:pPr>
        <w:pStyle w:val="Point0"/>
        <w:rPr>
          <w:noProof/>
          <w:szCs w:val="24"/>
        </w:rPr>
      </w:pPr>
      <w:r>
        <w:rPr>
          <w:noProof/>
        </w:rPr>
        <w:t>g)</w:t>
      </w:r>
      <w:r>
        <w:rPr>
          <w:noProof/>
        </w:rPr>
        <w:tab/>
        <w:t>ievēro Padomes 2012. gada 19. marta secinājumus par Komisijas paziņojumu par kopējās zivsaimniecības politikas ārējo dimensiju</w:t>
      </w:r>
      <w:r>
        <w:rPr>
          <w:rStyle w:val="FootnoteReference"/>
          <w:noProof/>
        </w:rPr>
        <w:footnoteReference w:id="1"/>
      </w:r>
      <w:r>
        <w:rPr>
          <w:noProof/>
        </w:rPr>
        <w:t>;</w:t>
      </w:r>
    </w:p>
    <w:p>
      <w:pPr>
        <w:pStyle w:val="Point0"/>
        <w:rPr>
          <w:noProof/>
          <w:szCs w:val="24"/>
        </w:rPr>
      </w:pPr>
      <w:r>
        <w:rPr>
          <w:noProof/>
        </w:rPr>
        <w:t>h)</w:t>
      </w:r>
      <w:r>
        <w:rPr>
          <w:noProof/>
        </w:rPr>
        <w:tab/>
        <w:t xml:space="preserve">tiecas Savienības flotei </w:t>
      </w:r>
      <w:r>
        <w:rPr>
          <w:i/>
          <w:noProof/>
        </w:rPr>
        <w:t>NAFO</w:t>
      </w:r>
      <w:r>
        <w:rPr>
          <w:noProof/>
        </w:rPr>
        <w:t xml:space="preserve"> pārvaldības apgabalā radīt vienlīdzīgus konkurences apstākļus, pamatojoties uz tiem pašiem principiem un standartiem, kas piemērojami saskaņā ar Savienības tiesību aktiem, un veicināt minēto principu un standartu vienādu īstenošanu;</w:t>
      </w:r>
    </w:p>
    <w:p>
      <w:pPr>
        <w:pStyle w:val="Point0"/>
        <w:rPr>
          <w:noProof/>
          <w:szCs w:val="24"/>
        </w:rPr>
      </w:pPr>
      <w:r>
        <w:rPr>
          <w:noProof/>
        </w:rPr>
        <w:t>i)</w:t>
      </w:r>
      <w:r>
        <w:rPr>
          <w:noProof/>
        </w:rPr>
        <w:tab/>
        <w:t xml:space="preserve">darbojas saskaņā ar Savienības Augstās pārstāves ārlietās un drošības politikas jautājumos un Eiropas Komisijas kopīgo paziņojumu </w:t>
      </w:r>
      <w:r>
        <w:rPr>
          <w:i/>
          <w:noProof/>
        </w:rPr>
        <w:t>Starptautiskā okeānu pārvaldība – okeānu nākotnes veidošanas darbakārtība</w:t>
      </w:r>
      <w:r>
        <w:rPr>
          <w:rStyle w:val="FootnoteReference"/>
          <w:noProof/>
        </w:rPr>
        <w:footnoteReference w:id="2"/>
      </w:r>
      <w:r>
        <w:rPr>
          <w:noProof/>
        </w:rPr>
        <w:t xml:space="preserve">, kā arī Padomes </w:t>
      </w:r>
      <w:r>
        <w:rPr>
          <w:noProof/>
        </w:rPr>
        <w:lastRenderedPageBreak/>
        <w:t>secinājumiem par minēto kopīgo paziņojumu</w:t>
      </w:r>
      <w:r>
        <w:rPr>
          <w:rStyle w:val="FootnoteReference"/>
          <w:noProof/>
        </w:rPr>
        <w:footnoteReference w:id="3"/>
      </w:r>
      <w:r>
        <w:rPr>
          <w:noProof/>
        </w:rPr>
        <w:t xml:space="preserve"> un veicina pasākumus, kas atbalsta un kāpina </w:t>
      </w:r>
      <w:r>
        <w:rPr>
          <w:i/>
          <w:noProof/>
        </w:rPr>
        <w:t>NAFO</w:t>
      </w:r>
      <w:r>
        <w:rPr>
          <w:noProof/>
        </w:rPr>
        <w:t xml:space="preserve"> rezultativitāti un attiecīgā gadījumā uzlabo tās pārvaldību un sniegumu (jo īpaši attiecībā uz zinātni, atbilstību, pārredzamību un lēmumu pieņemšanu), un tādējādi dod ieguldījumu visos ilgtspējīgas okeānu pārvaldības aspektos;</w:t>
      </w:r>
    </w:p>
    <w:p>
      <w:pPr>
        <w:pStyle w:val="Point0"/>
        <w:rPr>
          <w:noProof/>
          <w:szCs w:val="24"/>
        </w:rPr>
      </w:pPr>
      <w:r>
        <w:rPr>
          <w:noProof/>
        </w:rPr>
        <w:t>j)</w:t>
      </w:r>
      <w:r>
        <w:rPr>
          <w:noProof/>
        </w:rPr>
        <w:tab/>
        <w:t>pēc vajadzības un atbilstoši partnerstruktūru pilnvarojumam veicina attiecīgi RZPO darba koordināciju ar reģionālajām jūras konvencijām (RJK) un sadarbību ar pasaules mēroga organizācijām;</w:t>
      </w:r>
    </w:p>
    <w:p>
      <w:pPr>
        <w:pStyle w:val="Point0"/>
        <w:rPr>
          <w:noProof/>
          <w:szCs w:val="24"/>
        </w:rPr>
      </w:pPr>
      <w:r>
        <w:rPr>
          <w:noProof/>
        </w:rPr>
        <w:t>k)</w:t>
      </w:r>
      <w:r>
        <w:rPr>
          <w:noProof/>
        </w:rPr>
        <w:tab/>
        <w:t>veicina mehānismus, kas izmantojami sadarbībai starp RZPO, kuru pārziņā nav tunzivju, un kas ir līdzīgi tā sauktajam Kobes procesam, kurā iesaistījušās tunzivju RZPO.</w:t>
      </w:r>
    </w:p>
    <w:p>
      <w:pPr>
        <w:pStyle w:val="Heading1"/>
        <w:rPr>
          <w:noProof/>
        </w:rPr>
      </w:pPr>
      <w:r>
        <w:rPr>
          <w:noProof/>
        </w:rPr>
        <w:t>ORIENTĒJOŠI NORĀDĪJUMI</w:t>
      </w:r>
    </w:p>
    <w:p>
      <w:pPr>
        <w:autoSpaceDE w:val="0"/>
        <w:autoSpaceDN w:val="0"/>
        <w:adjustRightInd w:val="0"/>
        <w:spacing w:before="0" w:after="0"/>
        <w:rPr>
          <w:noProof/>
        </w:rPr>
      </w:pPr>
      <w:r>
        <w:rPr>
          <w:noProof/>
        </w:rPr>
        <w:t xml:space="preserve">Savienība vajadzības gadījumā cenšas atbalstīt </w:t>
      </w:r>
      <w:r>
        <w:rPr>
          <w:i/>
          <w:noProof/>
        </w:rPr>
        <w:t>NAFO</w:t>
      </w:r>
      <w:r>
        <w:rPr>
          <w:noProof/>
        </w:rPr>
        <w:t xml:space="preserve"> šādu pasākumu pieņemšanā:</w:t>
      </w:r>
    </w:p>
    <w:p>
      <w:pPr>
        <w:pStyle w:val="Point0"/>
        <w:rPr>
          <w:noProof/>
        </w:rPr>
      </w:pPr>
      <w:r>
        <w:rPr>
          <w:noProof/>
        </w:rPr>
        <w:t>a)</w:t>
      </w:r>
      <w:r>
        <w:rPr>
          <w:noProof/>
        </w:rPr>
        <w:tab/>
      </w:r>
      <w:r>
        <w:rPr>
          <w:i/>
          <w:noProof/>
        </w:rPr>
        <w:t>NAFO</w:t>
      </w:r>
      <w:r>
        <w:rPr>
          <w:noProof/>
        </w:rPr>
        <w:t xml:space="preserve"> pārvaldības apgabala zvejas resursu saglabāšanas un pārvaldības pasākumi, kas pamatojas uz labākajiem pieejamajiem zinātniskajiem ieteikumiem, un piesardzīga pieeja, kas ietver </w:t>
      </w:r>
      <w:r>
        <w:rPr>
          <w:i/>
          <w:noProof/>
        </w:rPr>
        <w:t>NAFO</w:t>
      </w:r>
      <w:r>
        <w:rPr>
          <w:noProof/>
        </w:rPr>
        <w:t xml:space="preserve"> reglamentēto dzīvo jūras bioloģisko resursu kopējās pieļaujamās nozvejas (KPN) un kvotas vai zvejas piepūles regulējumu, un kas ļautu maksimālajam ilgtspējīgas ieguves apjomam atbilstošu izmantošanas pakāpi sasniegt pakāpeniski pieaugošā veidā vēlākais līdz 2020. gadam. Vajadzības gadījumā apsver īpašus pasākumus, kuri vērsti uz pārzvejotiem krājumiem un kuru mērķis ir saglabāt pieejamajām zvejas iespējām atbilstošu zvejas piepūli;</w:t>
      </w:r>
    </w:p>
    <w:p>
      <w:pPr>
        <w:pStyle w:val="Point0"/>
        <w:rPr>
          <w:noProof/>
        </w:rPr>
      </w:pPr>
      <w:r>
        <w:rPr>
          <w:noProof/>
        </w:rPr>
        <w:t>b)</w:t>
      </w:r>
      <w:r>
        <w:rPr>
          <w:noProof/>
        </w:rPr>
        <w:tab/>
        <w:t>nelegālas, nereģistrētas un neregulētas (NNN) zvejas darbību novēršanas, aizkavēšanas un izskaušanas pasākumi pārvaldības apgabalā, arī NNN zvejas kuģu sarakstu izveide;</w:t>
      </w:r>
    </w:p>
    <w:p>
      <w:pPr>
        <w:pStyle w:val="Point0"/>
        <w:rPr>
          <w:noProof/>
        </w:rPr>
      </w:pPr>
      <w:r>
        <w:rPr>
          <w:noProof/>
        </w:rPr>
        <w:t>c)</w:t>
      </w:r>
      <w:r>
        <w:rPr>
          <w:noProof/>
        </w:rPr>
        <w:tab/>
      </w:r>
      <w:r>
        <w:rPr>
          <w:i/>
          <w:noProof/>
        </w:rPr>
        <w:t>NAFO</w:t>
      </w:r>
      <w:r>
        <w:rPr>
          <w:noProof/>
        </w:rPr>
        <w:t xml:space="preserve"> pārvaldības apgabalā piemērojami uzraudzības, kontroles un pārraudzības pasākumi, kuru mērķis ir nodrošināt kontroles efektivitāti un atbilstību </w:t>
      </w:r>
      <w:r>
        <w:rPr>
          <w:i/>
          <w:noProof/>
        </w:rPr>
        <w:t>NAFO</w:t>
      </w:r>
      <w:r>
        <w:rPr>
          <w:noProof/>
        </w:rPr>
        <w:t xml:space="preserve"> pieņemtajiem pasākumiem;</w:t>
      </w:r>
    </w:p>
    <w:p>
      <w:pPr>
        <w:pStyle w:val="Point0"/>
        <w:rPr>
          <w:noProof/>
        </w:rPr>
      </w:pPr>
      <w:r>
        <w:rPr>
          <w:noProof/>
        </w:rPr>
        <w:t>d)</w:t>
      </w:r>
      <w:r>
        <w:rPr>
          <w:noProof/>
        </w:rPr>
        <w:tab/>
        <w:t xml:space="preserve">pasākumi, kuru mērķis ir minimalizēt zvejas darbību negatīvo ietekmi uz jūras bioloģisko daudzveidību, jūras ekosistēmām un to biotopiem, t. sk. pasākumi, kuru mērķis ir samazināt jūras piesārņojumu un novērst plastmasas izmešanu jūrā, samazināt jūrā esošās plastmasas ietekmi uz jūras bioloģisko daudzveidību un ekosistēmām, tādi jutīgu jūras ekosistēmu aizsardzības pasākumi pārvaldības apgabalā, kas ir saskaņā ar </w:t>
      </w:r>
      <w:r>
        <w:rPr>
          <w:i/>
          <w:noProof/>
        </w:rPr>
        <w:t>NAFO</w:t>
      </w:r>
      <w:r>
        <w:rPr>
          <w:noProof/>
        </w:rPr>
        <w:t xml:space="preserve"> konvenciju un vienlaikus ņem vērā </w:t>
      </w:r>
      <w:r>
        <w:rPr>
          <w:i/>
          <w:noProof/>
        </w:rPr>
        <w:t>FAO</w:t>
      </w:r>
      <w:r>
        <w:rPr>
          <w:noProof/>
        </w:rPr>
        <w:t xml:space="preserve"> Starptautiskās vadlīnijas par dziļūdens zvejniecību pārvaldību atklātā jūrā, un pasākumi, kuru mērķis ir nepieļaut un, ciktāl iespējams, samazināt nevēlamas nozvejas, jo īpaši jutīgu jūras sugu nozvejas, un pakāpeniski izskaust izmetumus;</w:t>
      </w:r>
    </w:p>
    <w:p>
      <w:pPr>
        <w:pStyle w:val="Point0"/>
        <w:rPr>
          <w:noProof/>
        </w:rPr>
      </w:pPr>
      <w:r>
        <w:rPr>
          <w:noProof/>
        </w:rPr>
        <w:t>e)</w:t>
      </w:r>
      <w:r>
        <w:rPr>
          <w:noProof/>
        </w:rPr>
        <w:tab/>
        <w:t>pasākumi, kuru mērķis ir mazināt pamesto, nozaudēto vai citādi izmesto zvejas rīku ietekmi okeānā un atvieglot šādu zvejas rīku identificēšanu un atgūšanu;</w:t>
      </w:r>
    </w:p>
    <w:p>
      <w:pPr>
        <w:pStyle w:val="Point0"/>
        <w:rPr>
          <w:noProof/>
        </w:rPr>
      </w:pPr>
      <w:r>
        <w:rPr>
          <w:noProof/>
        </w:rPr>
        <w:t>f)</w:t>
      </w:r>
      <w:r>
        <w:rPr>
          <w:noProof/>
        </w:rPr>
        <w:tab/>
        <w:t>pasākumi, kuru mērķis ir aizliegt zveju, kuras vienīgais nolūks ir iegūt haizivju spuras, un prasīt, lai visas haizivis tiktu izkrautas ar neatdalītām spurām;</w:t>
      </w:r>
    </w:p>
    <w:p>
      <w:pPr>
        <w:pStyle w:val="Point0"/>
        <w:rPr>
          <w:noProof/>
        </w:rPr>
      </w:pPr>
      <w:r>
        <w:rPr>
          <w:noProof/>
        </w:rPr>
        <w:t>g)</w:t>
      </w:r>
      <w:r>
        <w:rPr>
          <w:noProof/>
        </w:rPr>
        <w:tab/>
        <w:t>vajadzības gadījumā – vienotas pieejas ar citām RZPO, jo īpaši tām, kas iesaistītas zvejniecības pārvaldībā tajā pašā reģionā;</w:t>
      </w:r>
    </w:p>
    <w:p>
      <w:pPr>
        <w:pStyle w:val="Point0"/>
        <w:rPr>
          <w:noProof/>
        </w:rPr>
      </w:pPr>
      <w:r>
        <w:rPr>
          <w:noProof/>
        </w:rPr>
        <w:t>h)</w:t>
      </w:r>
      <w:r>
        <w:rPr>
          <w:noProof/>
        </w:rPr>
        <w:tab/>
        <w:t>pieejas, kas saistītas ar mērķi novērst ar zveju nesaistītu darbību ietekmi uz jūras bioloģiskajiem resursiem pārvaldības apgabalā;</w:t>
      </w:r>
    </w:p>
    <w:p>
      <w:pPr>
        <w:pStyle w:val="Point0"/>
        <w:rPr>
          <w:noProof/>
        </w:rPr>
      </w:pPr>
      <w:r>
        <w:rPr>
          <w:noProof/>
        </w:rPr>
        <w:lastRenderedPageBreak/>
        <w:t>i)</w:t>
      </w:r>
      <w:r>
        <w:rPr>
          <w:noProof/>
        </w:rPr>
        <w:tab/>
        <w:t>pēc vajadzības un tādā apmērā, kādā to atļauj attiecīgie dibināšanas dokumenti, – ieteikumi, kas rosina īstenot Starptautiskās Darba organizācijas (SDO) Konvenciju par darbu zvejniecībā;</w:t>
      </w:r>
    </w:p>
    <w:p>
      <w:pPr>
        <w:pStyle w:val="Point0"/>
        <w:rPr>
          <w:noProof/>
        </w:rPr>
      </w:pPr>
      <w:r>
        <w:rPr>
          <w:noProof/>
        </w:rPr>
        <w:t>j)</w:t>
      </w:r>
      <w:r>
        <w:rPr>
          <w:noProof/>
        </w:rPr>
        <w:tab/>
        <w:t xml:space="preserve">papildu tehniskie pasākumi, kas pamatojas uz </w:t>
      </w:r>
      <w:r>
        <w:rPr>
          <w:i/>
          <w:noProof/>
        </w:rPr>
        <w:t>NAFO</w:t>
      </w:r>
      <w:r>
        <w:rPr>
          <w:noProof/>
        </w:rPr>
        <w:t xml:space="preserve"> apakšstruktūru un darba grupu ieteikumiem.</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II PIELIKUMS</w:t>
      </w:r>
    </w:p>
    <w:p>
      <w:pPr>
        <w:jc w:val="center"/>
        <w:rPr>
          <w:rFonts w:eastAsia="Calibri"/>
          <w:b/>
          <w:noProof/>
          <w:szCs w:val="20"/>
          <w:u w:val="single"/>
        </w:rPr>
      </w:pPr>
      <w:r>
        <w:rPr>
          <w:b/>
          <w:noProof/>
          <w:u w:val="single"/>
        </w:rPr>
        <w:t xml:space="preserve">Kārtība, kādā ik gadu precizējama Savienības nostāja, kas jāieņem </w:t>
      </w:r>
    </w:p>
    <w:p>
      <w:pPr>
        <w:jc w:val="center"/>
        <w:rPr>
          <w:rFonts w:eastAsia="Calibri"/>
          <w:b/>
          <w:noProof/>
          <w:szCs w:val="20"/>
          <w:u w:val="single"/>
        </w:rPr>
      </w:pPr>
      <w:r>
        <w:rPr>
          <w:b/>
          <w:noProof/>
          <w:u w:val="single"/>
        </w:rPr>
        <w:t>Ziemeļrietumu Atlantijas zvejniecības organizācijas sanāksmēs</w:t>
      </w:r>
    </w:p>
    <w:p>
      <w:pPr>
        <w:jc w:val="center"/>
        <w:rPr>
          <w:rFonts w:eastAsia="Calibri"/>
          <w:b/>
          <w:i/>
          <w:strike/>
          <w:noProof/>
          <w:szCs w:val="20"/>
          <w:u w:val="single"/>
        </w:rPr>
      </w:pPr>
    </w:p>
    <w:p>
      <w:pPr>
        <w:rPr>
          <w:rFonts w:eastAsia="Calibri"/>
          <w:noProof/>
          <w:szCs w:val="20"/>
        </w:rPr>
      </w:pPr>
      <w:r>
        <w:rPr>
          <w:noProof/>
        </w:rPr>
        <w:t xml:space="preserve">Pirms katras </w:t>
      </w:r>
      <w:r>
        <w:rPr>
          <w:i/>
          <w:noProof/>
        </w:rPr>
        <w:t>NAFO</w:t>
      </w:r>
      <w:r>
        <w:rPr>
          <w:noProof/>
        </w:rPr>
        <w:t xml:space="preserve"> komisijas sanāksmes, kurā minētā struktūra ir aicināta pieņemt lēmumus ar juridiskām sekām Savienībai, tiek veikti pasākumi, kas vajadzīgi, lai nostājā, kas Savienības vārdā paužama saskaņā ar I pielikumā izklāstītajiem principiem un orientējošajiem norādījumiem, tiktu ņemta vērā jaunākā zinātniskā informācija un cita relevanta informācija, kas nosūtīta Komisijai.</w:t>
      </w:r>
    </w:p>
    <w:p>
      <w:pPr>
        <w:rPr>
          <w:rFonts w:eastAsia="Calibri"/>
          <w:noProof/>
          <w:szCs w:val="20"/>
        </w:rPr>
      </w:pPr>
      <w:r>
        <w:rPr>
          <w:noProof/>
        </w:rPr>
        <w:t xml:space="preserve">Šajā nolūkā, pamatojoties uz minēto informāciju, Komisija pietiekami laicīgi pirms katras </w:t>
      </w:r>
      <w:r>
        <w:rPr>
          <w:i/>
          <w:noProof/>
        </w:rPr>
        <w:t>NAFO</w:t>
      </w:r>
      <w:r>
        <w:rPr>
          <w:noProof/>
        </w:rPr>
        <w:t xml:space="preserve"> komisijas sanāksmes Padomei vai tās darba sagatavošanas struktūrām, lai tās varētu apspriest un apstiprināt Savienības vārdā paužamās nostājas detaļas, nosūta rakstisku dokumentu, kurā detalizēti izklāstīti ierosinātie Savienības nostājas precizējumi.</w:t>
      </w:r>
    </w:p>
    <w:p>
      <w:pPr>
        <w:rPr>
          <w:rFonts w:eastAsia="Calibri"/>
          <w:noProof/>
          <w:szCs w:val="20"/>
        </w:rPr>
      </w:pPr>
      <w:r>
        <w:rPr>
          <w:noProof/>
        </w:rPr>
        <w:t xml:space="preserve">Ja </w:t>
      </w:r>
      <w:r>
        <w:rPr>
          <w:i/>
          <w:noProof/>
        </w:rPr>
        <w:t>NAFO</w:t>
      </w:r>
      <w:r>
        <w:rPr>
          <w:noProof/>
        </w:rPr>
        <w:t xml:space="preserve"> komisijas sanāksmes gaitā, arī uz vietas, panākt vienošanos par jauno elementu iekļaušanu Savienības nostājā nav iespējams, šo jautājumu nodod Padomei vai tās darba sagatavošanas struktūrām.</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10.11.2016.</w:t>
      </w:r>
    </w:p>
  </w:footnote>
  <w:footnote w:id="3">
    <w:p>
      <w:pPr>
        <w:pStyle w:val="FootnoteText"/>
        <w:rPr>
          <w:lang w:val="en-US"/>
        </w:rPr>
      </w:pPr>
      <w:r>
        <w:rPr>
          <w:rStyle w:val="FootnoteReference"/>
        </w:rPr>
        <w:footnoteRef/>
      </w:r>
      <w:r>
        <w:tab/>
        <w:t>7348/1/17 REV 1,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7CE7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546B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9487A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6B82250"/>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1:30: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2"/>
    <w:docVar w:name="LW_ANNEX_UNIQUE" w:val="0"/>
    <w:docVar w:name="LW_CORRIGENDUM" w:val="&lt;UNUSED&gt;"/>
    <w:docVar w:name="LW_COVERPAGE_EXISTS" w:val="True"/>
    <w:docVar w:name="LW_COVERPAGE_GUID" w:val="34ACD45F-A77D-4205-84C1-8B3EE79343F0"/>
    <w:docVar w:name="LW_COVERPAGE_TYPE" w:val="1"/>
    <w:docVar w:name="LW_CROSSREFERENCE" w:val="&lt;UNUSED&gt;"/>
    <w:docVar w:name="LW_DocType" w:val="ANNEX"/>
    <w:docVar w:name="LW_EMISSION" w:val="7.3.2019"/>
    <w:docVar w:name="LW_EMISSION_ISODATE" w:val="2019-03-07"/>
    <w:docVar w:name="LW_EMISSION_LOCATION" w:val="BRX"/>
    <w:docVar w:name="LW_EMISSION_PREFIX" w:val="Briselē, "/>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as Eiropas Savien\u299?bas v\u257?rd\u257? j\u257?ie\u326?em Zieme\u316?rietumu Atlantijas zvejniec\u299?bas organiz\u257?cij\u257?, un ar ko atce\u316? L\u275?mumu&lt;LWCR:NBS&gt;9449/1/14 REV 1"/>
    <w:docVar w:name="LW_OBJETACTEPRINCIPAL.CP" w:val="par nost\u257?ju, kas Eiropas Savien\u299?bas v\u257?rd\u257? j\u257?ie\u326?em Zieme\u316?rietumu Atlantijas zvejniec\u299?bas organiz\u257?cij\u257?, un ar ko atce\u316? L\u275?mumu 9449/1/14 REV 1"/>
    <w:docVar w:name="LW_PART_NBR" w:val="&lt;UNUSED&gt;"/>
    <w:docVar w:name="LW_PART_NBR_TOTAL" w:val="&lt;UNUSED&gt;"/>
    <w:docVar w:name="LW_REF.INST.NEW" w:val="COM"/>
    <w:docVar w:name="LW_REF.INST.NEW_ADOPTED" w:val="final"/>
    <w:docVar w:name="LW_REF.INST.NEW_TEXT" w:val="(2019)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I"/>
    <w:docVar w:name="LW_TYPE.DOC.CP" w:val="PIELIKUMI"/>
    <w:docVar w:name="LW_TYPEACTEPRINCIPAL" w:val="priek\u353?likums Padomes l\u275?mumam_x000b_"/>
    <w:docVar w:name="LW_TYPEACTEPRINCIPAL.CP" w:val="priek\u353?likums Padomes l\u275?mumam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905</Words>
  <Characters>6185</Characters>
  <Application>Microsoft Office Word</Application>
  <DocSecurity>0</DocSecurity>
  <Lines>108</Lines>
  <Paragraphs>37</Paragraphs>
  <ScaleCrop>false</ScaleCrop>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2019-02-28T07:59:00Z</dcterms:created>
  <dcterms:modified xsi:type="dcterms:W3CDTF">2019-03-06T10:30:00Z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