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2F10F81-39F4-437B-AD08-7F56BA128C61"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BILAGA I</w:t>
      </w:r>
    </w:p>
    <w:p>
      <w:pPr>
        <w:pStyle w:val="Header"/>
        <w:rPr>
          <w:noProof/>
        </w:rPr>
      </w:pPr>
      <w:r>
        <w:rPr>
          <w:noProof/>
        </w:rPr>
        <w:t xml:space="preserve">Den ståndpunkt som på unionens vägnar ska intas i Fiskeriorganisationen för Nordatlantens västra del (Nafo) </w:t>
      </w:r>
    </w:p>
    <w:p>
      <w:pPr>
        <w:pStyle w:val="Heading1"/>
        <w:numPr>
          <w:ilvl w:val="0"/>
          <w:numId w:val="5"/>
        </w:numPr>
        <w:rPr>
          <w:noProof/>
        </w:rPr>
      </w:pPr>
      <w:r>
        <w:rPr>
          <w:noProof/>
        </w:rPr>
        <w:t>PRINCIPER</w:t>
      </w:r>
    </w:p>
    <w:p>
      <w:pPr>
        <w:rPr>
          <w:noProof/>
        </w:rPr>
      </w:pPr>
      <w:r>
        <w:rPr>
          <w:noProof/>
        </w:rPr>
        <w:t>Inom ramen för Fiskeriorganisationen för Nordatlantens västra del (Nafo) ska unionen göra följande:</w:t>
      </w:r>
    </w:p>
    <w:p>
      <w:pPr>
        <w:pStyle w:val="Point0"/>
        <w:rPr>
          <w:noProof/>
        </w:rPr>
      </w:pPr>
      <w:r>
        <w:rPr>
          <w:noProof/>
        </w:rPr>
        <w:t xml:space="preserve">a) </w:t>
      </w:r>
      <w:r>
        <w:rPr>
          <w:noProof/>
        </w:rPr>
        <w:tab/>
        <w:t>Agera i enlighet med de mål och principer som unionen eftersträvar inom ramen för den gemensamma fiskeripolitiken, särskilt genom att tillämpa försiktighetsansatsen och de mål som är kopplade till maximal hållbar avkastning enligt artikel 2.2. i förordning (EU) nr 1380/2013, för att främja genomförandet av en ekosystemansats i fiskeriförvaltningen och begränsa fiskeverksamhetens miljöpåverkan, för att i största möjliga utsträckning undvika och minska oönskade fångster och gradvis eliminera utkast och minimera fiskeverksamhetens inverkan på de marina ekosystemen och deras habitat, samt, genom att främja ekonomiskt lönsamt och konkurrenskraftigt fiske i unionen, för att bidra till en rimlig levnadsstandard för dem som är beroende av fiskeverksamhet och ta hänsyn till konsumenternas intressen.</w:t>
      </w:r>
    </w:p>
    <w:p>
      <w:pPr>
        <w:pStyle w:val="Point0"/>
        <w:rPr>
          <w:noProof/>
        </w:rPr>
      </w:pPr>
      <w:r>
        <w:rPr>
          <w:noProof/>
        </w:rPr>
        <w:t xml:space="preserve">b) </w:t>
      </w:r>
      <w:r>
        <w:rPr>
          <w:noProof/>
        </w:rPr>
        <w:tab/>
        <w:t>Arbeta i riktning mot att intressenterna deltar på ett lämpligt sätt i utarbetandefasen för Nafos åtgärder och säkerställa att de åtgärder som antas inom Nafokommissionen är förenliga med Nafokonventionen.</w:t>
      </w:r>
    </w:p>
    <w:p>
      <w:pPr>
        <w:pStyle w:val="Point0"/>
        <w:rPr>
          <w:noProof/>
        </w:rPr>
      </w:pPr>
      <w:r>
        <w:rPr>
          <w:noProof/>
        </w:rPr>
        <w:t xml:space="preserve">c) </w:t>
      </w:r>
      <w:r>
        <w:rPr>
          <w:noProof/>
        </w:rPr>
        <w:tab/>
        <w:t>Säkerställa att de åtgärder som antas inom ramen för Nafokommissionen är förenliga med internationell rätt, särskilt bestämmelserna i FN:s havsrättskonvention från 1982, FN:s avtal angående bevarande och förvaltning av gränsöverskridande och långvandrande fiskbestånd från 1995 och 1993 års avtal om att främja fiskefartygens iakttagande av internationella bevarande- och förvaltningsåtgärder på det fria havet, samt FN:s livsmedels- och jordbruksorganisations avtal om hamnstatsåtgärder från 2009.</w:t>
      </w:r>
    </w:p>
    <w:p>
      <w:pPr>
        <w:pStyle w:val="Point0"/>
        <w:rPr>
          <w:noProof/>
        </w:rPr>
      </w:pPr>
      <w:r>
        <w:rPr>
          <w:noProof/>
        </w:rPr>
        <w:t>d)</w:t>
      </w:r>
      <w:r>
        <w:rPr>
          <w:noProof/>
        </w:rPr>
        <w:tab/>
        <w:t>Främja ståndpunkter som är förenliga med bästa praxis inom regionala fiskeriförvaltningsorganisationer i samma område.</w:t>
      </w:r>
    </w:p>
    <w:p>
      <w:pPr>
        <w:pStyle w:val="Point0"/>
        <w:rPr>
          <w:noProof/>
          <w:szCs w:val="24"/>
        </w:rPr>
      </w:pPr>
      <w:r>
        <w:rPr>
          <w:noProof/>
        </w:rPr>
        <w:t xml:space="preserve">e) </w:t>
      </w:r>
      <w:r>
        <w:rPr>
          <w:noProof/>
        </w:rPr>
        <w:tab/>
        <w:t>Sträva efter samstämmighet och synergi med den politik som unionen för som en del av sina bilaterala fiskeriförbindelser med tredjeländer samt säkerställa överensstämmelse med dess övriga politik, i synnerhet på områdena yttre förbindelser, sysselsättning, miljö, handel, utveckling, forskning och innovation.</w:t>
      </w:r>
    </w:p>
    <w:p>
      <w:pPr>
        <w:pStyle w:val="Point0"/>
        <w:rPr>
          <w:noProof/>
          <w:szCs w:val="24"/>
        </w:rPr>
      </w:pPr>
      <w:r>
        <w:rPr>
          <w:noProof/>
        </w:rPr>
        <w:t>f)</w:t>
      </w:r>
      <w:r>
        <w:rPr>
          <w:noProof/>
        </w:rPr>
        <w:tab/>
        <w:t>Säkerställa att unionens internationella åtaganden iakttas.</w:t>
      </w:r>
    </w:p>
    <w:p>
      <w:pPr>
        <w:pStyle w:val="Point0"/>
        <w:rPr>
          <w:noProof/>
          <w:szCs w:val="24"/>
        </w:rPr>
      </w:pPr>
      <w:r>
        <w:rPr>
          <w:noProof/>
        </w:rPr>
        <w:t>g)</w:t>
      </w:r>
      <w:r>
        <w:rPr>
          <w:noProof/>
        </w:rPr>
        <w:tab/>
        <w:t>Följa rådets slutsatser av den 19 mars 2012 om kommissionens meddelande om den gemensamma fiskeripolitikens internationella dimension</w:t>
      </w:r>
      <w:r>
        <w:rPr>
          <w:rStyle w:val="FootnoteReference"/>
          <w:noProof/>
          <w:szCs w:val="24"/>
        </w:rPr>
        <w:footnoteReference w:id="1"/>
      </w:r>
      <w:r>
        <w:rPr>
          <w:noProof/>
        </w:rPr>
        <w:t>.</w:t>
      </w:r>
    </w:p>
    <w:p>
      <w:pPr>
        <w:pStyle w:val="Point0"/>
        <w:rPr>
          <w:noProof/>
          <w:szCs w:val="24"/>
        </w:rPr>
      </w:pPr>
      <w:r>
        <w:rPr>
          <w:noProof/>
        </w:rPr>
        <w:t xml:space="preserve">h) </w:t>
      </w:r>
      <w:r>
        <w:rPr>
          <w:noProof/>
        </w:rPr>
        <w:tab/>
        <w:t>Sträva efter att skapa likvärdiga förutsättningar för unionens flotta inom Nafos regleringsområde, utifrån samma principer och standarder som tillämpas i enlighet med unionslagstiftningen, och främja ett enhetligt genomförande av dessa principer och standarder.</w:t>
      </w:r>
    </w:p>
    <w:p>
      <w:pPr>
        <w:pStyle w:val="Point0"/>
        <w:rPr>
          <w:noProof/>
          <w:szCs w:val="24"/>
        </w:rPr>
      </w:pPr>
      <w:r>
        <w:rPr>
          <w:noProof/>
        </w:rPr>
        <w:t xml:space="preserve">i) </w:t>
      </w:r>
      <w:r>
        <w:rPr>
          <w:noProof/>
        </w:rPr>
        <w:tab/>
        <w:t xml:space="preserve">Arbeta i linje med det gemensamma meddelandet från unionens höga representant för utrikes frågor och säkerhetspolitik och kommissionen </w:t>
      </w:r>
      <w:r>
        <w:rPr>
          <w:i/>
          <w:noProof/>
        </w:rPr>
        <w:t>Internationell världshavsförvaltning</w:t>
      </w:r>
      <w:r>
        <w:rPr>
          <w:noProof/>
        </w:rPr>
        <w:t>:</w:t>
      </w:r>
      <w:r>
        <w:rPr>
          <w:i/>
          <w:noProof/>
        </w:rPr>
        <w:t xml:space="preserve"> en agenda för havens framtid</w:t>
      </w:r>
      <w:r>
        <w:rPr>
          <w:rStyle w:val="FootnoteReference"/>
          <w:noProof/>
        </w:rPr>
        <w:footnoteReference w:id="2"/>
      </w:r>
      <w:r>
        <w:rPr>
          <w:noProof/>
        </w:rPr>
        <w:t xml:space="preserve"> samt rådets slutsatser om detta gemensamma meddelande</w:t>
      </w:r>
      <w:r>
        <w:rPr>
          <w:rStyle w:val="FootnoteReference"/>
          <w:noProof/>
        </w:rPr>
        <w:footnoteReference w:id="3"/>
      </w:r>
      <w:r>
        <w:rPr>
          <w:noProof/>
        </w:rPr>
        <w:t xml:space="preserve"> och främja åtgärder som stöder och förbättrar ändamålsenligheten hos Nafo och, vid behov, förbättrar förvaltningen och effektiviteten i denna organisation (särskilt vad gäller vetenskap, efterlevnad, transparens och beslutsfattande) som ett bidrag till den hållbara förvaltingen av världshaven i alla dess dimensioner.</w:t>
      </w:r>
    </w:p>
    <w:p>
      <w:pPr>
        <w:pStyle w:val="Point0"/>
        <w:rPr>
          <w:noProof/>
          <w:szCs w:val="24"/>
        </w:rPr>
      </w:pPr>
      <w:r>
        <w:rPr>
          <w:noProof/>
        </w:rPr>
        <w:t xml:space="preserve">j) </w:t>
      </w:r>
      <w:r>
        <w:rPr>
          <w:noProof/>
        </w:rPr>
        <w:tab/>
        <w:t>Främja samordning mellan regionala fiskeriförvaltningsorganisationer och regionala havskonventioner, beroende på vad som är tillämpligt, inom ramen för deras mandat när så är lämpligt.</w:t>
      </w:r>
    </w:p>
    <w:p>
      <w:pPr>
        <w:pStyle w:val="Point0"/>
        <w:rPr>
          <w:noProof/>
          <w:szCs w:val="24"/>
        </w:rPr>
      </w:pPr>
      <w:r>
        <w:rPr>
          <w:noProof/>
        </w:rPr>
        <w:t>k)</w:t>
      </w:r>
      <w:r>
        <w:rPr>
          <w:rFonts w:ascii="TimesNewRomanPSMT" w:hAnsi="TimesNewRomanPSMT"/>
          <w:noProof/>
          <w:szCs w:val="24"/>
        </w:rPr>
        <w:tab/>
      </w:r>
      <w:r>
        <w:rPr>
          <w:noProof/>
        </w:rPr>
        <w:t>Främja samarbetsmekanismer mellan regionala fiskeriförvaltningsorganisationer för andra arter än tonfisk som liknar Kobe-processen i de regionala fiskeriförvaltningsorganisationerna för tonfisk.</w:t>
      </w:r>
    </w:p>
    <w:p>
      <w:pPr>
        <w:pStyle w:val="Heading1"/>
        <w:rPr>
          <w:noProof/>
        </w:rPr>
      </w:pPr>
      <w:r>
        <w:rPr>
          <w:noProof/>
        </w:rPr>
        <w:t>RIKTLINJER</w:t>
      </w:r>
    </w:p>
    <w:p>
      <w:pPr>
        <w:autoSpaceDE w:val="0"/>
        <w:autoSpaceDN w:val="0"/>
        <w:adjustRightInd w:val="0"/>
        <w:spacing w:before="0" w:after="0"/>
        <w:rPr>
          <w:noProof/>
        </w:rPr>
      </w:pPr>
      <w:r>
        <w:rPr>
          <w:noProof/>
        </w:rPr>
        <w:t>Unionen ska, när så är lämpligt, stödja antagandet av följande Nafo-åtgärder:</w:t>
      </w:r>
    </w:p>
    <w:p>
      <w:pPr>
        <w:pStyle w:val="Point0"/>
        <w:rPr>
          <w:noProof/>
        </w:rPr>
      </w:pPr>
      <w:r>
        <w:rPr>
          <w:noProof/>
        </w:rPr>
        <w:t xml:space="preserve">a) </w:t>
      </w:r>
      <w:r>
        <w:rPr>
          <w:noProof/>
        </w:rPr>
        <w:tab/>
        <w:t>Bevarande- och förvaltningsåtgärder för fiskeresurserna inom Nafos regleringsområde baserade på bästa tillgängliga vetenskapliga utlåtanden och försiktighetsansatsen, bland annat totala tillåtna fångstmängder (TAC) och kvoter eller reglering av fiskeansträngningen för levande marina biologiska resurser som regleras av Nafo, vilka skulle kunna nå nyttjandetakten för maximal hållbar avkastning genom en successiv och stegvis anpassning senast 2020. Vid behov ska särskilda åtgärder för bestånd som utsätts för överfiske övervägas, i syfte att hålla fiskeansträngningen i linje med tillgängliga fiskemöjligheter.</w:t>
      </w:r>
    </w:p>
    <w:p>
      <w:pPr>
        <w:pStyle w:val="Point0"/>
        <w:rPr>
          <w:noProof/>
        </w:rPr>
      </w:pPr>
      <w:r>
        <w:rPr>
          <w:noProof/>
        </w:rPr>
        <w:t xml:space="preserve">b) </w:t>
      </w:r>
      <w:r>
        <w:rPr>
          <w:noProof/>
        </w:rPr>
        <w:tab/>
        <w:t>Åtgärder för att förebygga, motverka och undanröja olagligt, orapporterat och oreglerat fiske (IUU-fiske) i regleringsområdet, inbegripet upprättande av förteckningar över IUU-fartyg.</w:t>
      </w:r>
    </w:p>
    <w:p>
      <w:pPr>
        <w:pStyle w:val="Point0"/>
        <w:rPr>
          <w:noProof/>
        </w:rPr>
      </w:pPr>
      <w:r>
        <w:rPr>
          <w:noProof/>
        </w:rPr>
        <w:t xml:space="preserve">c) </w:t>
      </w:r>
      <w:r>
        <w:rPr>
          <w:noProof/>
        </w:rPr>
        <w:tab/>
        <w:t>Övervaknings-, kontroll- och tillsynsåtgärder i Nafos regleringsområde i syfte att garantera en effektiv kontroll och överensstämmelse med de åtgärder som antagits inom Nafo.</w:t>
      </w:r>
    </w:p>
    <w:p>
      <w:pPr>
        <w:pStyle w:val="Point0"/>
        <w:rPr>
          <w:noProof/>
        </w:rPr>
      </w:pPr>
      <w:r>
        <w:rPr>
          <w:noProof/>
        </w:rPr>
        <w:t xml:space="preserve">d) </w:t>
      </w:r>
      <w:r>
        <w:rPr>
          <w:noProof/>
        </w:rPr>
        <w:tab/>
        <w:t>Åtgärder för att minimera fiskeverksamhetens negativa inverkan på den marina biologiska mångfalden och på marina ekosystem och deras habitat, inbegripet åtgärder för att minska havsföroreningar och utsläpp av plast till havs och för att minska påverkan på den marina biologiska mångfalden och ekosystemen från plast som finns i havet, skyddsåtgärder för känsliga marina ekosystem i regleringsområdet i enlighet med Nafokonventionen, samtidigt som hänsyn tas till FAO:s internationella riktlinjer för förvaltning av djuphavsfiske på det fria havet, och åtgärder för att i största möjliga utsträckning undvika och minska oönskade fångster, särskilt av känsliga marina arter, och att gradvis eliminera utkast.</w:t>
      </w:r>
    </w:p>
    <w:p>
      <w:pPr>
        <w:pStyle w:val="Point0"/>
        <w:rPr>
          <w:noProof/>
        </w:rPr>
      </w:pPr>
      <w:r>
        <w:rPr>
          <w:noProof/>
        </w:rPr>
        <w:t>e)</w:t>
      </w:r>
      <w:r>
        <w:rPr>
          <w:noProof/>
        </w:rPr>
        <w:tab/>
        <w:t>Åtgärder för att minska påverkan från övergivna, förlorade eller på andra sätt kasserade fiskeredskap i havet och för att underlätta identifiering och bärgning av sådana redskap.</w:t>
      </w:r>
    </w:p>
    <w:p>
      <w:pPr>
        <w:pStyle w:val="Point0"/>
        <w:rPr>
          <w:noProof/>
        </w:rPr>
      </w:pPr>
      <w:r>
        <w:rPr>
          <w:noProof/>
        </w:rPr>
        <w:t xml:space="preserve">f) </w:t>
      </w:r>
      <w:r>
        <w:rPr>
          <w:noProof/>
        </w:rPr>
        <w:tab/>
        <w:t>Åtgärder som syftar till förbud mot fiske som uteslutande bedrivs för att skörda hajfenor och som kräver att alla hajar ska landas med alla hajfenor naturligt fästade vid hajkroppen.</w:t>
      </w:r>
    </w:p>
    <w:p>
      <w:pPr>
        <w:pStyle w:val="Point0"/>
        <w:rPr>
          <w:noProof/>
        </w:rPr>
      </w:pPr>
      <w:r>
        <w:rPr>
          <w:noProof/>
        </w:rPr>
        <w:t>g)</w:t>
      </w:r>
      <w:r>
        <w:rPr>
          <w:noProof/>
        </w:rPr>
        <w:tab/>
        <w:t>Gemensamma metoder tillsammans med andra regionala fiskeriförvaltningsorganisationer, i synnerhet dem som deltar i fiskeriförvaltningen i samma region.</w:t>
      </w:r>
    </w:p>
    <w:p>
      <w:pPr>
        <w:pStyle w:val="Point0"/>
        <w:rPr>
          <w:noProof/>
        </w:rPr>
      </w:pPr>
      <w:r>
        <w:rPr>
          <w:noProof/>
        </w:rPr>
        <w:t>h)</w:t>
      </w:r>
      <w:r>
        <w:rPr>
          <w:noProof/>
        </w:rPr>
        <w:tab/>
        <w:t>Utveckling av metoder som rör kampen mot påverkan från annan verksamhet än fiske på de marina biologiska resurserna i regleringsområdet.</w:t>
      </w:r>
    </w:p>
    <w:p>
      <w:pPr>
        <w:pStyle w:val="Point0"/>
        <w:rPr>
          <w:noProof/>
        </w:rPr>
      </w:pPr>
      <w:r>
        <w:rPr>
          <w:noProof/>
        </w:rPr>
        <w:t>i)</w:t>
      </w:r>
      <w:r>
        <w:rPr>
          <w:noProof/>
        </w:rPr>
        <w:tab/>
        <w:t>Rekommendationer, när så är lämpligt och i den omfattning som är möjlig enligt relevanta konstituerande handlingar, som uppmuntrar genomförandet av Internationella arbetsorganisationens konvention om arbete ombord på fiskefartyg.</w:t>
      </w:r>
    </w:p>
    <w:p>
      <w:pPr>
        <w:pStyle w:val="Point0"/>
        <w:rPr>
          <w:noProof/>
        </w:rPr>
      </w:pPr>
      <w:r>
        <w:rPr>
          <w:noProof/>
        </w:rPr>
        <w:t>j)</w:t>
      </w:r>
      <w:r>
        <w:rPr>
          <w:noProof/>
        </w:rPr>
        <w:tab/>
        <w:t xml:space="preserve">Ytterligare tekniska åtgärder baserade på rekommendationer från underorgan till och arbetsgrupper inom Nafo.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BILAGA II</w:t>
      </w:r>
    </w:p>
    <w:p>
      <w:pPr>
        <w:jc w:val="center"/>
        <w:rPr>
          <w:rFonts w:eastAsia="Calibri"/>
          <w:b/>
          <w:noProof/>
          <w:szCs w:val="20"/>
          <w:u w:val="single"/>
        </w:rPr>
      </w:pPr>
      <w:r>
        <w:rPr>
          <w:b/>
          <w:noProof/>
          <w:szCs w:val="20"/>
          <w:u w:val="single"/>
        </w:rPr>
        <w:t xml:space="preserve">Årlig specificering av unionens ståndpunkt vid </w:t>
      </w:r>
    </w:p>
    <w:p>
      <w:pPr>
        <w:jc w:val="center"/>
        <w:rPr>
          <w:rFonts w:eastAsia="Calibri"/>
          <w:b/>
          <w:noProof/>
          <w:szCs w:val="20"/>
          <w:u w:val="single"/>
        </w:rPr>
      </w:pPr>
      <w:r>
        <w:rPr>
          <w:b/>
          <w:noProof/>
          <w:szCs w:val="20"/>
          <w:u w:val="single"/>
        </w:rPr>
        <w:t xml:space="preserve">möten i Fiskeriorganisationen för Nordatlantens västra del </w:t>
      </w:r>
    </w:p>
    <w:p>
      <w:pPr>
        <w:jc w:val="center"/>
        <w:rPr>
          <w:rFonts w:eastAsia="Calibri"/>
          <w:b/>
          <w:i/>
          <w:strike/>
          <w:noProof/>
          <w:szCs w:val="20"/>
          <w:u w:val="single"/>
          <w:lang w:eastAsia="en-GB"/>
        </w:rPr>
      </w:pPr>
    </w:p>
    <w:p>
      <w:pPr>
        <w:rPr>
          <w:rFonts w:eastAsia="Calibri"/>
          <w:noProof/>
          <w:szCs w:val="20"/>
        </w:rPr>
      </w:pPr>
      <w:r>
        <w:rPr>
          <w:noProof/>
        </w:rPr>
        <w:t>Före varje möte i Nafokommissionen, när detta organ ska anta beslut som har rättslig verkan för unionen, ska nödvändiga åtgärder vidtas så att den ståndpunkt som ska uttryckas på unionens vägnar tar hänsyn till de senaste vetenskapliga och andra relevanta uppgifter som översänts till Europeiska kommissionen, i enlighet med de principer och riktlinjer som anges i bilaga I.</w:t>
      </w:r>
    </w:p>
    <w:p>
      <w:pPr>
        <w:rPr>
          <w:rFonts w:eastAsia="Calibri"/>
          <w:noProof/>
          <w:szCs w:val="20"/>
        </w:rPr>
      </w:pPr>
      <w:r>
        <w:rPr>
          <w:noProof/>
        </w:rPr>
        <w:t>I detta syfte och på grundval av dessa uppgifter ska Europeiska kommissionen i god tid före varje möte i Nafokommissionen tillställa rådet eller dess förberedande organ ett skriftligt dokument med uppgifter om den föreslagna specificeringen av unionens ståndpunkt för diskussion och antagande av den ståndpunkt som ska uttryckas på unionens vägnar.</w:t>
      </w:r>
    </w:p>
    <w:p>
      <w:pPr>
        <w:rPr>
          <w:rFonts w:eastAsia="Calibri"/>
          <w:noProof/>
          <w:szCs w:val="20"/>
        </w:rPr>
      </w:pPr>
      <w:r>
        <w:rPr>
          <w:noProof/>
        </w:rPr>
        <w:t>Om det under ett möte i Nafokommissionen är omöjligt att nå en överenskommelse, även på plats, som innebär att unionens ståndpunkt beaktar nya element, ska frågan hänskjutas till rådet eller dess förberedande organ.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7CE7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546B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9487A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B82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11:32: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till"/>
    <w:docVar w:name="LW_ACCOMPAGNANT.CP" w:val="till"/>
    <w:docVar w:name="LW_ANNEX_NBR_FIRST" w:val="1"/>
    <w:docVar w:name="LW_ANNEX_NBR_LAST" w:val="2"/>
    <w:docVar w:name="LW_ANNEX_UNIQUE" w:val="0"/>
    <w:docVar w:name="LW_CORRIGENDUM" w:val="&lt;UNUSED&gt;"/>
    <w:docVar w:name="LW_COVERPAGE_EXISTS" w:val="True"/>
    <w:docVar w:name="LW_COVERPAGE_GUID" w:val="D2F10F81-39F4-437B-AD08-7F56BA128C61"/>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yssel den "/>
    <w:docVar w:name="LW_EMISSION_SUFFIX" w:val="&lt;EMPTY&gt;"/>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den ståndpunkt som ska intas på Europeiska unionens vägnar i Fiskeriorganisationen för Nordatlantens västra del och om upphävande av beslut 9449/1/14 REV 1"/>
    <w:docVar w:name="LW_OBJETACTEPRINCIPAL.CP" w:val="om den ståndpunkt som ska intas på Europeiska unionens vägnar i Fiskeriorganisationen för Nordatlantens västra del och om upphävande av beslut 9449/1/14 REV 1"/>
    <w:docVar w:name="LW_PART_NBR" w:val="&lt;UNUSED&gt;"/>
    <w:docVar w:name="LW_PART_NBR_TOTAL" w:val="&lt;UNUSED&gt;"/>
    <w:docVar w:name="LW_REF.INST.NEW" w:val="COM"/>
    <w:docVar w:name="LW_REF.INST.NEW_ADOPTED" w:val="final"/>
    <w:docVar w:name="LW_REF.INST.NEW_TEXT" w:val="(2019)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OR"/>
    <w:docVar w:name="LW_TYPE.DOC.CP" w:val="BILAGOR"/>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1006</Words>
  <Characters>6471</Characters>
  <Application>Microsoft Office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2019-02-26T15:03:00Z</dcterms:created>
  <dcterms:modified xsi:type="dcterms:W3CDTF">2019-03-06T10:32:00Z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