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51BF769C-4A6C-4D41-83D0-2B33021E74D8" style="width:449.8pt;height:422.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u w:color="000000"/>
          <w:bdr w:val="nil"/>
        </w:rPr>
        <w:t>•</w:t>
      </w:r>
      <w:r>
        <w:rPr>
          <w:noProof/>
        </w:rPr>
        <w:tab/>
        <w:t>Forslagets begrundelse og formål</w:t>
      </w:r>
    </w:p>
    <w:p>
      <w:pPr>
        <w:pBdr>
          <w:top w:val="nil"/>
          <w:left w:val="nil"/>
          <w:bottom w:val="nil"/>
          <w:right w:val="nil"/>
          <w:between w:val="nil"/>
          <w:bar w:val="nil"/>
        </w:pBdr>
        <w:spacing w:before="0" w:after="240"/>
        <w:rPr>
          <w:noProof/>
        </w:rPr>
      </w:pPr>
      <w:r>
        <w:rPr>
          <w:noProof/>
        </w:rPr>
        <w:t>Ved Europa-Parlamentets og Rådets forordning (EU) 2017/352 af 15. februar 2017 opstilles der rammer for levering af havnetjenester og fælles regler om finansiel gennemsigtighed for havne</w:t>
      </w:r>
      <w:r>
        <w:rPr>
          <w:rStyle w:val="FootnoteReference"/>
          <w:noProof/>
        </w:rPr>
        <w:footnoteReference w:id="1"/>
      </w:r>
      <w:r>
        <w:rPr>
          <w:noProof/>
        </w:rPr>
        <w:t xml:space="preserve"> (herefter "forordning (EU) 2017/352"). I henhold til forordningens artikel 13 skal medlemsstaterne sikre, at der opkræves en havneinfrastrukturafgift.</w:t>
      </w:r>
    </w:p>
    <w:p>
      <w:pPr>
        <w:pBdr>
          <w:top w:val="nil"/>
          <w:left w:val="nil"/>
          <w:bottom w:val="nil"/>
          <w:right w:val="nil"/>
          <w:between w:val="nil"/>
          <w:bar w:val="nil"/>
        </w:pBdr>
        <w:spacing w:before="0" w:after="240"/>
        <w:rPr>
          <w:noProof/>
        </w:rPr>
      </w:pPr>
      <w:r>
        <w:rPr>
          <w:noProof/>
        </w:rPr>
        <w:t xml:space="preserve">Udbruddet af covid-19 har alvorlige konsekvenser for søtransporten og operatørernes finansielle bæredygtighed. </w:t>
      </w:r>
      <w:r>
        <w:rPr>
          <w:noProof/>
          <w:color w:val="000000" w:themeColor="text1"/>
          <w:szCs w:val="24"/>
        </w:rPr>
        <w:t>Suspension eller udsættelse af betaling af havneinfrastrukturafgifter kan derfor hjælpe skibsoperatører under sådanne særlige omstændigheder.</w:t>
      </w:r>
    </w:p>
    <w:p>
      <w:pPr>
        <w:rPr>
          <w:noProof/>
          <w:color w:val="000000" w:themeColor="text1"/>
          <w:szCs w:val="24"/>
        </w:rPr>
      </w:pPr>
      <w:r>
        <w:rPr>
          <w:noProof/>
          <w:color w:val="000000" w:themeColor="text1"/>
          <w:szCs w:val="24"/>
        </w:rPr>
        <w:t xml:space="preserve">I henhold til artikel 13, stk. 1, i forordning (EU) 2017/352 skal medlemsstaterne sikre, at der opkræves en havneinfrastrukturafgift. </w:t>
      </w:r>
    </w:p>
    <w:p>
      <w:pPr>
        <w:rPr>
          <w:noProof/>
          <w:color w:val="000000" w:themeColor="text1"/>
          <w:szCs w:val="24"/>
        </w:rPr>
      </w:pPr>
      <w:r>
        <w:rPr>
          <w:noProof/>
          <w:color w:val="000000" w:themeColor="text1"/>
          <w:szCs w:val="24"/>
        </w:rPr>
        <w:t>Havneinfrastrukturafgifter er i artikel 2, nr. 9), i forordning (EU) 2017/352 defineret som "</w:t>
      </w:r>
      <w:r>
        <w:rPr>
          <w:i/>
          <w:noProof/>
          <w:color w:val="000000" w:themeColor="text1"/>
          <w:szCs w:val="24"/>
        </w:rPr>
        <w:t>en afgift, der opkræves til direkte eller indirekte fordel for havnemyndigheden eller den kompetente myndighed for brug af infrastruktur, faciliteter og tjenesteydelser, herunder vandvejen til den pågældende havn, samt adgang til ekspedition af passagerer og gods, men med undtagelse af afgifter for forpagtet jord og afgifter med tilsvarende virkning</w:t>
      </w:r>
      <w:r>
        <w:rPr>
          <w:noProof/>
          <w:color w:val="000000" w:themeColor="text1"/>
          <w:szCs w:val="24"/>
        </w:rPr>
        <w:t>".</w:t>
      </w:r>
    </w:p>
    <w:p>
      <w:pPr>
        <w:rPr>
          <w:noProof/>
          <w:color w:val="000000" w:themeColor="text1"/>
          <w:szCs w:val="24"/>
        </w:rPr>
      </w:pPr>
      <w:r>
        <w:rPr>
          <w:noProof/>
          <w:color w:val="000000" w:themeColor="text1"/>
          <w:szCs w:val="24"/>
        </w:rPr>
        <w:t>Havneinfrastrukturafgifter opkræves af en havnemyndighed eller en kompetent myndighed hos havnebrugerne, dvs. skibsejere eller -operatører.</w:t>
      </w:r>
    </w:p>
    <w:p>
      <w:pPr>
        <w:rPr>
          <w:noProof/>
          <w:color w:val="000000" w:themeColor="text1"/>
          <w:szCs w:val="24"/>
        </w:rPr>
      </w:pPr>
      <w:r>
        <w:rPr>
          <w:noProof/>
          <w:color w:val="000000" w:themeColor="text1"/>
          <w:szCs w:val="24"/>
        </w:rPr>
        <w:t>I henhold til artikel 13, stk. 4, i forordning (EU) 2017/352 kan havneinfrastrukturafgifter bl.a. differentieres i forbindelse med visse kategorier af brugere, men det tillades ikke, at en havnemyndighed eller en kompetent myndighed giver afkald på, suspenderer, nedsætter eller udsætter betalingen af havneinfrastrukturafgifter for alle havnebrugere.</w:t>
      </w:r>
    </w:p>
    <w:p>
      <w:pPr>
        <w:rPr>
          <w:noProof/>
          <w:color w:val="000000" w:themeColor="text1"/>
          <w:szCs w:val="24"/>
        </w:rPr>
      </w:pPr>
      <w:r>
        <w:rPr>
          <w:noProof/>
          <w:color w:val="000000" w:themeColor="text1"/>
          <w:szCs w:val="24"/>
        </w:rPr>
        <w:t>Den nye overgangsbestemmelse vil give medlemsstaterne mulighed for at tillade, at havnemyndighederne eller de kompetente myndigheder beslutter, om de vil:</w:t>
      </w:r>
    </w:p>
    <w:p>
      <w:pPr>
        <w:pStyle w:val="Tiret0"/>
        <w:numPr>
          <w:ilvl w:val="0"/>
          <w:numId w:val="10"/>
        </w:numPr>
        <w:rPr>
          <w:noProof/>
        </w:rPr>
      </w:pPr>
      <w:r>
        <w:rPr>
          <w:noProof/>
        </w:rPr>
        <w:t xml:space="preserve">give afkald på (ignorere, dvs. ikke kræve betaling overhovedet) eller </w:t>
      </w:r>
    </w:p>
    <w:p>
      <w:pPr>
        <w:pStyle w:val="Tiret0"/>
        <w:rPr>
          <w:noProof/>
        </w:rPr>
      </w:pPr>
      <w:r>
        <w:rPr>
          <w:noProof/>
        </w:rPr>
        <w:t xml:space="preserve">suspendere (indefryse eller stille betalingen i bero for en bestemt periode) eller </w:t>
      </w:r>
    </w:p>
    <w:p>
      <w:pPr>
        <w:pStyle w:val="Tiret0"/>
        <w:rPr>
          <w:noProof/>
        </w:rPr>
      </w:pPr>
      <w:r>
        <w:rPr>
          <w:noProof/>
        </w:rPr>
        <w:t>nedsætte (reducere betalingen) eller</w:t>
      </w:r>
    </w:p>
    <w:p>
      <w:pPr>
        <w:pStyle w:val="Tiret0"/>
        <w:rPr>
          <w:noProof/>
        </w:rPr>
      </w:pPr>
      <w:r>
        <w:rPr>
          <w:noProof/>
        </w:rPr>
        <w:t>udsætte (kræve betaling på et senere tidspunkt) betalingen af havneinfrastrukturafgifter.</w:t>
      </w:r>
    </w:p>
    <w:p>
      <w:pPr>
        <w:rPr>
          <w:noProof/>
          <w:color w:val="000000" w:themeColor="text1"/>
          <w:szCs w:val="24"/>
        </w:rPr>
      </w:pPr>
      <w:r>
        <w:rPr>
          <w:noProof/>
          <w:color w:val="000000" w:themeColor="text1"/>
          <w:szCs w:val="24"/>
        </w:rPr>
        <w:t>Da varigheden af covid-19-udbruddets indvirkning på søtransporten er usikker og for at give sektoren tilstrækkelig fleksibilitet, finder den nye overgangsbestemmelse anvendelse på havneinfrastrukturafgifter, der forfalder til betaling mellem den 1. marts 2020 og den 31. december 2020.</w:t>
      </w:r>
    </w:p>
    <w:p>
      <w:pPr>
        <w:rPr>
          <w:noProof/>
          <w:color w:val="000000" w:themeColor="text1"/>
          <w:szCs w:val="24"/>
        </w:rPr>
      </w:pPr>
      <w:r>
        <w:rPr>
          <w:noProof/>
          <w:color w:val="000000" w:themeColor="text1"/>
          <w:szCs w:val="24"/>
        </w:rPr>
        <w:t>I artikel 13, stk. 5, i forordning (EU) 2017/352 fastsættes det, at: "Havnemyndigheden eller den kompetente myndighed sikrer, at havneinfrastrukturbrugere underrettes om eventuelle ændringer af havneinfrastrukturafgifternes art og størrelse mindst to måneder inden, disse afgifter træder i kraft."</w:t>
      </w:r>
    </w:p>
    <w:p>
      <w:pPr>
        <w:rPr>
          <w:noProof/>
          <w:color w:val="000000" w:themeColor="text1"/>
          <w:szCs w:val="24"/>
        </w:rPr>
      </w:pPr>
      <w:r>
        <w:rPr>
          <w:noProof/>
          <w:color w:val="000000" w:themeColor="text1"/>
          <w:szCs w:val="24"/>
        </w:rPr>
        <w:lastRenderedPageBreak/>
        <w:t>Der bør ses bort fra kravet om et varsel på "mindst to måneder" under særlige omstændigheder såsom den nuværende coronaviruskrise. Derfor giver den foreslåede ændring havnemyndigheder eller kompetente myndigheder mulighed for at fravige varslet på "mindst to måneder" under særlige omstændigheder og give et kortere varsel, hvis varighed skal fastsættes af havnemyndigheden eller den kompetente myndighed.</w:t>
      </w:r>
    </w:p>
    <w:p>
      <w:pPr>
        <w:pStyle w:val="ManualHeading2"/>
        <w:rPr>
          <w:rFonts w:eastAsia="Arial Unicode MS"/>
          <w:noProof/>
          <w:u w:color="000000"/>
          <w:bdr w:val="nil"/>
        </w:rPr>
      </w:pPr>
      <w:r>
        <w:rPr>
          <w:noProof/>
          <w:u w:color="000000"/>
          <w:bdr w:val="nil"/>
        </w:rPr>
        <w:t>•</w:t>
      </w:r>
      <w:r>
        <w:rPr>
          <w:noProof/>
        </w:rPr>
        <w:tab/>
        <w:t>Sammenhæng med de gældende regler på samme område</w:t>
      </w:r>
    </w:p>
    <w:p>
      <w:pPr>
        <w:pBdr>
          <w:top w:val="nil"/>
          <w:left w:val="nil"/>
          <w:bottom w:val="nil"/>
          <w:right w:val="nil"/>
          <w:between w:val="nil"/>
          <w:bar w:val="nil"/>
        </w:pBdr>
        <w:spacing w:before="0" w:after="240"/>
        <w:rPr>
          <w:noProof/>
        </w:rPr>
      </w:pPr>
      <w:r>
        <w:rPr>
          <w:noProof/>
        </w:rPr>
        <w:t>Forordning (EU) 2017/352 åbner ikke mulighed for, at havne kan give afkald på, suspendere, nedsætte eller udsætte havneinfrastrukturafgifter under særlige omstændigheder såsom dem, der er en følge af covid-19-udbruddet. Forordningen bør derfor ændres for at give mulighed for at afbøde virkningerne af den nuværende krise og skabe retssikkerhed for medlemsstaterne, deres kompetente myndigheder og enkeltpersoner.</w:t>
      </w:r>
    </w:p>
    <w:p>
      <w:pPr>
        <w:pStyle w:val="ManualHeading2"/>
        <w:rPr>
          <w:rFonts w:eastAsia="Arial Unicode MS"/>
          <w:noProof/>
        </w:rPr>
      </w:pPr>
      <w:r>
        <w:rPr>
          <w:noProof/>
          <w:u w:color="000000"/>
          <w:bdr w:val="nil"/>
        </w:rPr>
        <w:t>•</w:t>
      </w:r>
      <w:r>
        <w:rPr>
          <w:noProof/>
        </w:rPr>
        <w:tab/>
        <w:t>Sammenhæng med Unionens politik på andre områder</w:t>
      </w:r>
    </w:p>
    <w:p>
      <w:pPr>
        <w:pBdr>
          <w:top w:val="nil"/>
          <w:left w:val="nil"/>
          <w:bottom w:val="nil"/>
          <w:right w:val="nil"/>
          <w:between w:val="nil"/>
          <w:bar w:val="nil"/>
        </w:pBdr>
        <w:spacing w:before="0" w:after="240"/>
        <w:rPr>
          <w:noProof/>
        </w:rPr>
      </w:pPr>
      <w:r>
        <w:rPr>
          <w:noProof/>
        </w:rPr>
        <w:t>Skibsoperatørernes økonomiske resultater er afgørende for, at søtransporten fungerer effektivt. De negative økonomiske følger for skibsoperatører af det nuværende covid-19-udbrud vil påvirke disses finansielle soliditet og have alvorlige negative følger for transportsystemet og økonomien som helhed. Ændringen af forordning (EU) 2017/352 kan være med til at løse dette problem ved, at medlemsstaterne får mulighed for at give havnemyndigheder eller kompetente myndigheder fleksibilitet til at beslutte at give afkald på, suspendere, nedsætte eller udsætte betalingen af havneinfrastrukturafgifter. Medlemsstaterne skal sikre, at de vedtagne foranstaltninger er i overensstemmelse med statsstøttereglerne.</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u w:color="000000"/>
          <w:bdr w:val="nil"/>
        </w:rPr>
        <w:t>•</w:t>
      </w:r>
      <w:r>
        <w:rPr>
          <w:noProof/>
        </w:rPr>
        <w:tab/>
      </w:r>
      <w:r>
        <w:rPr>
          <w:noProof/>
          <w:u w:color="000000"/>
          <w:bdr w:val="nil"/>
        </w:rPr>
        <w:t>Retsgrundlag</w:t>
      </w:r>
    </w:p>
    <w:p>
      <w:pPr>
        <w:pBdr>
          <w:top w:val="nil"/>
          <w:left w:val="nil"/>
          <w:bottom w:val="nil"/>
          <w:right w:val="nil"/>
          <w:between w:val="nil"/>
          <w:bar w:val="nil"/>
        </w:pBdr>
        <w:spacing w:before="0" w:after="240"/>
        <w:rPr>
          <w:rFonts w:eastAsia="Arial Unicode MS"/>
          <w:noProof/>
        </w:rPr>
      </w:pPr>
      <w:r>
        <w:rPr>
          <w:noProof/>
        </w:rPr>
        <w:t xml:space="preserve">Retsgrundlaget for dette initiativ er artikel 100, stk. 2, i traktaten om Den Europæiske Unions funktionsmåde. Denne bestemmelse åbner mulighed for at vedtage alle nødvendige bestemmelser for søtransport og har allerede har tjent som grundlag for vedtagelsen af forordning (EU) 2017/352. </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Nærhedsprincippet (for områder, der ikke er omfattet af enekompetence) </w:t>
      </w:r>
    </w:p>
    <w:p>
      <w:pPr>
        <w:pBdr>
          <w:top w:val="nil"/>
          <w:left w:val="nil"/>
          <w:bottom w:val="nil"/>
          <w:right w:val="nil"/>
          <w:between w:val="nil"/>
          <w:bar w:val="nil"/>
        </w:pBdr>
        <w:spacing w:before="0" w:after="240"/>
        <w:rPr>
          <w:noProof/>
        </w:rPr>
      </w:pPr>
      <w:r>
        <w:rPr>
          <w:noProof/>
        </w:rPr>
        <w:t>Målene med forslaget kan ikke i tilstrækkelig grad opfyldes af medlemsstaterne af følgende grunde. Forordning (EU) 2017/352 giver ikke medlemsstaterne mulighed for af grunde som dem, der her er tale om, at tillade, at havne kan give afkald på, suspendere, nedsætte eller udsætte havneinfrastrukturafgifter. Dette mål kan kun nås ved en ændring af forordningen.</w:t>
      </w:r>
    </w:p>
    <w:p>
      <w:pPr>
        <w:pStyle w:val="ManualHeading2"/>
        <w:rPr>
          <w:rFonts w:eastAsia="Arial Unicode MS"/>
          <w:noProof/>
          <w:u w:color="000000"/>
          <w:bdr w:val="nil"/>
        </w:rPr>
      </w:pPr>
      <w:r>
        <w:rPr>
          <w:noProof/>
          <w:u w:color="000000"/>
          <w:bdr w:val="nil"/>
        </w:rPr>
        <w:t>•</w:t>
      </w:r>
      <w:r>
        <w:rPr>
          <w:noProof/>
        </w:rPr>
        <w:tab/>
      </w:r>
      <w:r>
        <w:rPr>
          <w:noProof/>
          <w:u w:color="000000"/>
          <w:bdr w:val="nil"/>
        </w:rPr>
        <w:t>Proportionalitetsprincippet</w:t>
      </w:r>
    </w:p>
    <w:p>
      <w:pPr>
        <w:pBdr>
          <w:top w:val="nil"/>
          <w:left w:val="nil"/>
          <w:bottom w:val="nil"/>
          <w:right w:val="nil"/>
          <w:between w:val="nil"/>
          <w:bar w:val="nil"/>
        </w:pBdr>
        <w:spacing w:before="0" w:after="240"/>
        <w:rPr>
          <w:noProof/>
        </w:rPr>
      </w:pPr>
      <w:r>
        <w:rPr>
          <w:noProof/>
        </w:rPr>
        <w:t xml:space="preserve">Forslaget er begrænset i tid og går ikke ud over, hvad der er nødvendigt for at nå målet om at afbøde virkningerne af det nuværende covid-19-udbrud med henblik på anvendelsen af forordning (EU) 2017/352. Den foreslåede foranstaltning er derfor forholdsmæssig. </w:t>
      </w:r>
    </w:p>
    <w:p>
      <w:pPr>
        <w:pStyle w:val="ManualHeading2"/>
        <w:rPr>
          <w:rFonts w:eastAsia="Arial Unicode MS"/>
          <w:noProof/>
          <w:u w:color="000000"/>
          <w:bdr w:val="nil"/>
        </w:rPr>
      </w:pPr>
      <w:r>
        <w:rPr>
          <w:noProof/>
          <w:u w:color="000000"/>
          <w:bdr w:val="nil"/>
        </w:rPr>
        <w:t>•</w:t>
      </w:r>
      <w:r>
        <w:rPr>
          <w:noProof/>
        </w:rPr>
        <w:tab/>
      </w:r>
      <w:r>
        <w:rPr>
          <w:noProof/>
          <w:u w:color="000000"/>
          <w:bdr w:val="nil"/>
        </w:rPr>
        <w:t>Valg af retsakt</w:t>
      </w:r>
    </w:p>
    <w:p>
      <w:pPr>
        <w:pBdr>
          <w:top w:val="nil"/>
          <w:left w:val="nil"/>
          <w:bottom w:val="nil"/>
          <w:right w:val="nil"/>
          <w:between w:val="nil"/>
          <w:bar w:val="nil"/>
        </w:pBdr>
        <w:spacing w:before="0" w:after="240"/>
        <w:rPr>
          <w:rFonts w:eastAsia="Arial Unicode MS"/>
          <w:noProof/>
        </w:rPr>
      </w:pPr>
      <w:r>
        <w:rPr>
          <w:noProof/>
        </w:rPr>
        <w:t>Da retsakten ændrer forordning (EU) 2017/352, er den relevante retsakt en forordning.</w:t>
      </w:r>
    </w:p>
    <w:p>
      <w:pPr>
        <w:pStyle w:val="ManualHeading1"/>
        <w:rPr>
          <w:noProof/>
        </w:rPr>
      </w:pPr>
      <w:r>
        <w:rPr>
          <w:noProof/>
        </w:rPr>
        <w:lastRenderedPageBreak/>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u w:color="000000"/>
          <w:bdr w:val="nil"/>
        </w:rPr>
        <w:t>•</w:t>
      </w:r>
      <w:r>
        <w:rPr>
          <w:noProof/>
        </w:rPr>
        <w:tab/>
      </w:r>
      <w:r>
        <w:rPr>
          <w:noProof/>
          <w:u w:color="000000"/>
          <w:bdr w:val="nil"/>
        </w:rPr>
        <w:t>Efterfølgende evalueringer/kvalitetskontrol af gældende lovgivning</w:t>
      </w:r>
    </w:p>
    <w:p>
      <w:pPr>
        <w:pBdr>
          <w:top w:val="nil"/>
          <w:left w:val="nil"/>
          <w:bottom w:val="nil"/>
          <w:right w:val="nil"/>
          <w:between w:val="nil"/>
          <w:bar w:val="nil"/>
        </w:pBdr>
        <w:spacing w:before="0" w:after="240"/>
        <w:rPr>
          <w:rFonts w:eastAsia="Arial Unicode MS"/>
          <w:noProof/>
        </w:rPr>
      </w:pPr>
      <w:r>
        <w:rPr>
          <w:noProof/>
        </w:rPr>
        <w:t>Dette er en hasteforanstaltning, som udløses af det pludselige og uforudseelige udbrud af covid-19. Af denne grund er foranstaltningen ikke relevant for programmet for målrettet og effektiv regulering, og der er ikke foretaget nogen efterfølgende evaluering.</w:t>
      </w:r>
    </w:p>
    <w:p>
      <w:pPr>
        <w:pStyle w:val="ManualHeading2"/>
        <w:rPr>
          <w:rFonts w:eastAsia="Arial Unicode MS"/>
          <w:noProof/>
          <w:u w:color="000000"/>
          <w:bdr w:val="nil"/>
        </w:rPr>
      </w:pPr>
      <w:r>
        <w:rPr>
          <w:noProof/>
          <w:u w:color="000000"/>
          <w:bdr w:val="nil"/>
        </w:rPr>
        <w:t>•</w:t>
      </w:r>
      <w:r>
        <w:rPr>
          <w:noProof/>
        </w:rPr>
        <w:tab/>
      </w:r>
      <w:r>
        <w:rPr>
          <w:noProof/>
          <w:u w:color="000000"/>
          <w:bdr w:val="nil"/>
        </w:rPr>
        <w:t>Høringer af interesserede parter</w:t>
      </w:r>
    </w:p>
    <w:p>
      <w:pPr>
        <w:pBdr>
          <w:top w:val="nil"/>
          <w:left w:val="nil"/>
          <w:bottom w:val="nil"/>
          <w:right w:val="nil"/>
          <w:between w:val="nil"/>
          <w:bar w:val="nil"/>
        </w:pBdr>
        <w:spacing w:before="0" w:after="240"/>
        <w:rPr>
          <w:noProof/>
        </w:rPr>
      </w:pPr>
      <w:r>
        <w:rPr>
          <w:noProof/>
        </w:rPr>
        <w:t xml:space="preserve">I betragtning af sagens hastende karakter er der ikke blevet gennemført en formel høring af de interesserede parter. Nogle af medlemsstaternes myndigheder og havne har imidlertid allerede bebudet foranstaltninger svarende til de påtænkte. </w:t>
      </w:r>
    </w:p>
    <w:p>
      <w:pPr>
        <w:pStyle w:val="ManualHeading2"/>
        <w:rPr>
          <w:rFonts w:eastAsia="Arial Unicode MS"/>
          <w:noProof/>
          <w:u w:color="000000"/>
          <w:bdr w:val="nil"/>
        </w:rPr>
      </w:pPr>
      <w:r>
        <w:rPr>
          <w:noProof/>
          <w:u w:color="000000"/>
          <w:bdr w:val="nil"/>
        </w:rPr>
        <w:t>•</w:t>
      </w:r>
      <w:r>
        <w:rPr>
          <w:noProof/>
        </w:rPr>
        <w:tab/>
      </w:r>
      <w:r>
        <w:rPr>
          <w:noProof/>
          <w:u w:color="000000"/>
          <w:bdr w:val="nil"/>
        </w:rPr>
        <w:t>Ekspertbistand</w:t>
      </w:r>
    </w:p>
    <w:p>
      <w:pPr>
        <w:pBdr>
          <w:top w:val="nil"/>
          <w:left w:val="nil"/>
          <w:bottom w:val="nil"/>
          <w:right w:val="nil"/>
          <w:between w:val="nil"/>
          <w:bar w:val="nil"/>
        </w:pBdr>
        <w:spacing w:before="0" w:after="240"/>
        <w:rPr>
          <w:rFonts w:eastAsia="Arial Unicode MS"/>
          <w:noProof/>
        </w:rPr>
      </w:pPr>
      <w:r>
        <w:rPr>
          <w:noProof/>
        </w:rPr>
        <w:t>Som nævnt har det ikke været muligt på passende vis at indhente ekspertbistand grundet sagens hastende karakter.</w:t>
      </w:r>
    </w:p>
    <w:p>
      <w:pPr>
        <w:pStyle w:val="ManualHeading2"/>
        <w:rPr>
          <w:rFonts w:eastAsia="Arial Unicode MS"/>
          <w:noProof/>
          <w:u w:color="000000"/>
          <w:bdr w:val="nil"/>
        </w:rPr>
      </w:pPr>
      <w:r>
        <w:rPr>
          <w:noProof/>
          <w:u w:color="000000"/>
          <w:bdr w:val="nil"/>
        </w:rPr>
        <w:t>•</w:t>
      </w:r>
      <w:r>
        <w:rPr>
          <w:noProof/>
        </w:rPr>
        <w:tab/>
      </w:r>
      <w:r>
        <w:rPr>
          <w:noProof/>
          <w:u w:color="000000"/>
          <w:bdr w:val="nil"/>
        </w:rPr>
        <w:t>Konsekvensanalyse</w:t>
      </w:r>
    </w:p>
    <w:p>
      <w:pPr>
        <w:pBdr>
          <w:top w:val="nil"/>
          <w:left w:val="nil"/>
          <w:bottom w:val="nil"/>
          <w:right w:val="nil"/>
          <w:between w:val="nil"/>
          <w:bar w:val="nil"/>
        </w:pBdr>
        <w:spacing w:before="0" w:after="240"/>
        <w:rPr>
          <w:rFonts w:eastAsia="Arial Unicode MS"/>
          <w:noProof/>
        </w:rPr>
      </w:pPr>
      <w:r>
        <w:rPr>
          <w:noProof/>
        </w:rPr>
        <w:t xml:space="preserve">I betragtning af sagens hastende karakter har der ikke kunnet gennemføres en konsekvensanalyse. </w:t>
      </w:r>
    </w:p>
    <w:p>
      <w:pPr>
        <w:pStyle w:val="ManualHeading2"/>
        <w:rPr>
          <w:rFonts w:eastAsia="Arial Unicode MS"/>
          <w:noProof/>
          <w:u w:color="000000"/>
          <w:bdr w:val="nil"/>
        </w:rPr>
      </w:pPr>
      <w:r>
        <w:rPr>
          <w:noProof/>
          <w:u w:color="000000"/>
          <w:bdr w:val="nil"/>
        </w:rPr>
        <w:t>•</w:t>
      </w:r>
      <w:r>
        <w:rPr>
          <w:noProof/>
        </w:rPr>
        <w:tab/>
      </w:r>
      <w:r>
        <w:rPr>
          <w:noProof/>
          <w:u w:color="000000"/>
          <w:bdr w:val="nil"/>
        </w:rPr>
        <w:t>Grundlæggende rettigheder</w:t>
      </w:r>
    </w:p>
    <w:p>
      <w:pPr>
        <w:pBdr>
          <w:top w:val="nil"/>
          <w:left w:val="nil"/>
          <w:bottom w:val="nil"/>
          <w:right w:val="nil"/>
          <w:between w:val="nil"/>
          <w:bar w:val="nil"/>
        </w:pBdr>
        <w:spacing w:before="0" w:after="240"/>
        <w:rPr>
          <w:rFonts w:eastAsia="Arial Unicode MS"/>
          <w:noProof/>
        </w:rPr>
      </w:pPr>
      <w:r>
        <w:rPr>
          <w:noProof/>
        </w:rPr>
        <w:t xml:space="preserve">Ikke relevant. </w:t>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0" w:after="240"/>
        <w:rPr>
          <w:noProof/>
        </w:rPr>
      </w:pPr>
      <w:r>
        <w:rPr>
          <w:noProof/>
        </w:rPr>
        <w:t>Ikke relevant.</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u w:color="000000"/>
          <w:bdr w:val="nil"/>
        </w:rPr>
        <w:t>•</w:t>
      </w:r>
      <w:r>
        <w:rPr>
          <w:noProof/>
        </w:rPr>
        <w:tab/>
      </w:r>
      <w:r>
        <w:rPr>
          <w:noProof/>
          <w:u w:color="000000"/>
          <w:bdr w:val="nil"/>
        </w:rPr>
        <w:t>Planer for gennemførelsen og foranstaltninger til overvågning, evaluering og rapportering</w:t>
      </w:r>
    </w:p>
    <w:p>
      <w:pPr>
        <w:pBdr>
          <w:top w:val="nil"/>
          <w:left w:val="nil"/>
          <w:bottom w:val="nil"/>
          <w:right w:val="nil"/>
          <w:between w:val="nil"/>
          <w:bar w:val="nil"/>
        </w:pBdr>
        <w:spacing w:before="0" w:after="240"/>
        <w:rPr>
          <w:rFonts w:eastAsia="Arial Unicode MS"/>
          <w:noProof/>
        </w:rPr>
      </w:pPr>
      <w:r>
        <w:rPr>
          <w:noProof/>
        </w:rPr>
        <w:t>Foranstaltningen omfatter ikke særlige overvågnings- eller rapporteringsordninger. Medlemsstaterne vil dog blive anmodet om at aflægge rapport om anvendelsen af foranstaltningerne med henblik på udarbejdelsen af en rapport til Europa-Parlamentet og Rådet om forordningens anvendelse og virkning senest den 24. marts 2023, jf. artikel 20 i forordning (EU) 2017/352.</w:t>
      </w:r>
    </w:p>
    <w:p>
      <w:pPr>
        <w:pStyle w:val="ManualHeading2"/>
        <w:rPr>
          <w:rFonts w:eastAsia="Arial Unicode MS"/>
          <w:noProof/>
          <w:u w:color="000000"/>
          <w:bdr w:val="nil"/>
        </w:rPr>
      </w:pPr>
      <w:r>
        <w:rPr>
          <w:noProof/>
          <w:u w:color="000000"/>
          <w:bdr w:val="nil"/>
        </w:rPr>
        <w:t>•</w:t>
      </w:r>
      <w:r>
        <w:rPr>
          <w:noProof/>
        </w:rPr>
        <w:tab/>
      </w:r>
      <w:r>
        <w:rPr>
          <w:noProof/>
          <w:u w:color="000000"/>
          <w:bdr w:val="nil"/>
        </w:rPr>
        <w:t>Nærmere redegørelse for de enkelte bestemmelser i forslaget</w:t>
      </w:r>
    </w:p>
    <w:p>
      <w:pPr>
        <w:rPr>
          <w:noProof/>
          <w:color w:val="000000" w:themeColor="text1"/>
          <w:szCs w:val="24"/>
        </w:rPr>
      </w:pPr>
      <w:r>
        <w:rPr>
          <w:noProof/>
          <w:color w:val="000000" w:themeColor="text1"/>
          <w:szCs w:val="24"/>
        </w:rPr>
        <w:t xml:space="preserve">Der tilføjes et nyt stk. 3 i artikel 21 i forordning (EU) 2017/352. Den nye bestemmelse giver medlemsstaterne mulighed for uanset bestemmelserne i artikel 13, stk. 1, at tillade, at havnemyndigheder eller kompetente myndigheder kan give afkald på, suspendere, nedsætte eller udsætte betalingen af havneinfrastrukturafgifter, der forfalder mellem den 1. marts 2020 og den 31. december 2020. Afkald på samt suspensioner, nedsættelser eller udsættelser af havneinfrastrukturafgiften skal gives på en gennemsigtig, objektiv og ikkediskriminerende måde til alle havnebrugere, der er omfattet af havneinfrastrukturafgifter. </w:t>
      </w:r>
      <w:r>
        <w:rPr>
          <w:noProof/>
        </w:rPr>
        <w:t>Den nye bestemmelse giver også havnemyndigheder eller kompetente myndigheder mulighed for at fravige varslet på "mindst to måneder" i artikel 13, stk. 5, i forordning (EU) 2017/352.</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2020/0067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 xml:space="preserve">om ændring af forordning (EU) 2017/352 med henblik på at give havnemyndigheder eller kompetente myndigheder mulighed for at tilvejebringe fleksibilitet for så vidt angår opkrævning af havneinfrastrukturafgifter i forbindelse med covid-19-udbruddet </w:t>
      </w:r>
      <w:r>
        <w:rPr>
          <w:noProof/>
        </w:rPr>
        <w:br/>
      </w:r>
    </w:p>
    <w:p>
      <w:pPr>
        <w:pStyle w:val="IntrtEEE"/>
        <w:rPr>
          <w:noProof/>
        </w:rPr>
      </w:pPr>
      <w:r>
        <w:rPr>
          <w:noProof/>
        </w:rPr>
        <w:t>(EØS-relevant tekst)</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100, stk. 2,</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r>
        <w:rPr>
          <w:rStyle w:val="FootnoteReference"/>
          <w:noProof/>
        </w:rPr>
        <w:footnoteReference w:id="2"/>
      </w:r>
      <w:r>
        <w:rPr>
          <w:noProof/>
        </w:rPr>
        <w:t>,</w:t>
      </w:r>
    </w:p>
    <w:p>
      <w:pPr>
        <w:rPr>
          <w:noProof/>
        </w:rPr>
      </w:pPr>
      <w:r>
        <w:rPr>
          <w:noProof/>
        </w:rPr>
        <w:t>under henvisning til udtalelse fra Regionsudvalget</w:t>
      </w:r>
      <w:r>
        <w:rPr>
          <w:rStyle w:val="FootnoteReference"/>
          <w:noProof/>
        </w:rPr>
        <w:footnoteReference w:id="3"/>
      </w:r>
      <w:r>
        <w:rPr>
          <w:noProof/>
        </w:rPr>
        <w:t>,</w:t>
      </w:r>
    </w:p>
    <w:p>
      <w:pPr>
        <w:rPr>
          <w:noProof/>
        </w:rPr>
      </w:pPr>
      <w:r>
        <w:rPr>
          <w:noProof/>
        </w:rPr>
        <w:t>efter den almindelige lovgivningsprocedure, og</w:t>
      </w:r>
    </w:p>
    <w:p>
      <w:pPr>
        <w:rPr>
          <w:noProof/>
        </w:rPr>
      </w:pPr>
      <w:r>
        <w:rPr>
          <w:noProof/>
        </w:rPr>
        <w:t>ud fra følgende betragtninger:</w:t>
      </w:r>
    </w:p>
    <w:p>
      <w:pPr>
        <w:pStyle w:val="ManualConsidrant"/>
        <w:rPr>
          <w:noProof/>
          <w:sz w:val="16"/>
        </w:rPr>
      </w:pPr>
      <w:r>
        <w:t>(1)</w:t>
      </w:r>
      <w:r>
        <w:tab/>
      </w:r>
      <w:r>
        <w:rPr>
          <w:noProof/>
        </w:rPr>
        <w:t xml:space="preserve">Udbruddet af covid-19 har alvorlige konsekvenser for søtransporten. De alvorlige konsekvenser for søtransporten og havneinfrastrukturen har gjort sig gældende siden den 1. marts 2020, og de vil sandsynligvis vare ved i hele 2020. Et afkald på eller en suspension, en nedsættelse eller en udsættelse af opkrævningen af havneinfrastrukturafgifter kan derfor bidrage til at opretholde skibsoperatørers økonomiske aktiviteter under disse særlige omstændigheder. </w:t>
      </w:r>
    </w:p>
    <w:p>
      <w:pPr>
        <w:pStyle w:val="ManualConsidrant"/>
        <w:rPr>
          <w:noProof/>
        </w:rPr>
      </w:pPr>
      <w:r>
        <w:t>(2)</w:t>
      </w:r>
      <w:r>
        <w:tab/>
      </w:r>
      <w:r>
        <w:rPr>
          <w:noProof/>
        </w:rPr>
        <w:t>I henhold til artikel 13, stk. 1, i Europa-Parlamentets og Rådets forordning (EU) 2017/352</w:t>
      </w:r>
      <w:r>
        <w:rPr>
          <w:rStyle w:val="FootnoteReference"/>
          <w:noProof/>
        </w:rPr>
        <w:footnoteReference w:id="4"/>
      </w:r>
      <w:r>
        <w:rPr>
          <w:noProof/>
        </w:rPr>
        <w:t xml:space="preserve"> skal medlemsstaterne sikre, at der opkræves havneinfrastrukturafgifter af en havnemyndighed eller en kompetent myndighed. Der er ingen undtagelse fra denne forpligtelse til at opkræve afgifter, ikke engang under særlige omstændigheder. </w:t>
      </w:r>
    </w:p>
    <w:p>
      <w:pPr>
        <w:pStyle w:val="ManualConsidrant"/>
        <w:rPr>
          <w:noProof/>
          <w:u w:val="single"/>
        </w:rPr>
      </w:pPr>
      <w:r>
        <w:t>(3)</w:t>
      </w:r>
      <w:r>
        <w:tab/>
      </w:r>
      <w:r>
        <w:rPr>
          <w:noProof/>
        </w:rPr>
        <w:t>I lyset af konsekvenserne af covid-19-udbruddet bør medlemsstaterne kunne give havnemyndigheder eller kompetente myndigheder mulighed for at give afkald på, suspendere, nedsætte eller udsætte betalingen af havneinfrastrukturafgifter, der forfalder mellem den 1. marts 2020 og den 31. december 2020. Afkald på samt suspensioner, nedsættelser eller udsættelser af havneinfrastrukturafgifter bør gives på en gennemsigtig, objektiv og ikkediskriminerende måde til alle havnebrugere, der er omfattet af havneinfrastrukturafgifter.</w:t>
      </w:r>
    </w:p>
    <w:p>
      <w:pPr>
        <w:pStyle w:val="ManualConsidrant"/>
        <w:rPr>
          <w:noProof/>
        </w:rPr>
      </w:pPr>
      <w:r>
        <w:lastRenderedPageBreak/>
        <w:t>(4)</w:t>
      </w:r>
      <w:r>
        <w:tab/>
      </w:r>
      <w:r>
        <w:rPr>
          <w:noProof/>
        </w:rPr>
        <w:t>I betragtning af sagens hastende karakter bør havnemyndigheder eller kompetente myndigheder også have mulighed for at fravige forpligtelsen i artikel 13, stk. 5, i forordning (EU) 2017/352 til at underrette brugerne af havneinfrastrukturen om eventuelle ændringer af havneinfrastrukturafgifternes art og størrelse mindst to måneder inden, disse afgifter træder i kraft.</w:t>
      </w:r>
    </w:p>
    <w:p>
      <w:pPr>
        <w:pStyle w:val="ManualConsidrant"/>
        <w:rPr>
          <w:noProof/>
        </w:rPr>
      </w:pPr>
      <w:r>
        <w:t>(5)</w:t>
      </w:r>
      <w:r>
        <w:tab/>
      </w:r>
      <w:r>
        <w:rPr>
          <w:noProof/>
        </w:rPr>
        <w:t>Da målene for nærværende forordning kræver vedtagelse af en ændring af forordning (EU) 2017/352, kan Unionen i lyset af den presserende situation, som covid-19-udbruddet har skabt, vedtage foranstaltninger i overensstemmelse med nærhedsprincippet, jf. artikel 5 i traktaten om Den Europæiske Union. I overensstemmelse med proportionalitetsprincippet, jf. nævnte artikel, går denne forordning ikke videre, end hvad der er nødvendigt for at nå dette mål.</w:t>
      </w:r>
    </w:p>
    <w:p>
      <w:pPr>
        <w:pStyle w:val="ManualConsidrant"/>
        <w:rPr>
          <w:noProof/>
        </w:rPr>
      </w:pPr>
      <w:r>
        <w:t>(6)</w:t>
      </w:r>
      <w:r>
        <w:tab/>
      </w:r>
      <w:r>
        <w:rPr>
          <w:noProof/>
        </w:rPr>
        <w:t>I betragtning af sagens hastende karakter som følge af de særlige omstændigheder, der følger af covid-19-udbruddet, og som berettiger de foreslåede foranstaltninger, og navnlig behovet for at vedtage sådanne foranstaltninger hurtigt med henblik på at opretholde skibsoperatørers økonomiske aktiviteter, bør den periode på otte uger, der er omhandlet i artikel 4 i protokol nr. 1 om de nationale parlamenters rolle i Unionen, der er knyttet som bilag til traktaten om Den Europæiske Union, traktaten om Den Europæiske Unions funktionsmåde og traktaten om oprettelse af Det Europæiske Atomenergifællesskab, fraviges.</w:t>
      </w:r>
    </w:p>
    <w:p>
      <w:pPr>
        <w:pStyle w:val="ManualConsidrant"/>
        <w:rPr>
          <w:noProof/>
        </w:rPr>
      </w:pPr>
      <w:r>
        <w:t>(7)</w:t>
      </w:r>
      <w:r>
        <w:tab/>
      </w:r>
      <w:r>
        <w:rPr>
          <w:noProof/>
        </w:rPr>
        <w:t>Det uforudsigelige og pludselige covid-19-udbrud og de relevante lovgivningsprocedurer, der er nødvendige for vedtagelsen af relevante foranstaltninger, har gjort det umuligt at vedtage sådanne foranstaltninger i tide. Derfor bør bestemmelserne i denne forordning også omfatte de afgifter, der skal betales for perioden forud for dens ikrafttræden. I betragtning af arten af disse bestemmelser bør en sådan tilgang ikke føre til en tilsidesættelse af de berørte personers berettigede forventninger.</w:t>
      </w:r>
    </w:p>
    <w:p>
      <w:pPr>
        <w:pStyle w:val="ManualConsidrant"/>
        <w:rPr>
          <w:noProof/>
        </w:rPr>
      </w:pPr>
      <w:r>
        <w:t>(8)</w:t>
      </w:r>
      <w:r>
        <w:tab/>
      </w:r>
      <w:r>
        <w:rPr>
          <w:noProof/>
        </w:rPr>
        <w:t xml:space="preserve">På grund af sagens hastende karakter bør denne forordning træde i kraft dagen efter offentliggørelsen i </w:t>
      </w:r>
      <w:r>
        <w:rPr>
          <w:i/>
          <w:iCs/>
          <w:noProof/>
        </w:rPr>
        <w:t>Den Europæiske Unions Tidende</w:t>
      </w:r>
      <w:r>
        <w:rPr>
          <w:noProof/>
        </w:rPr>
        <w:t xml:space="preserve"> —</w:t>
      </w:r>
    </w:p>
    <w:p>
      <w:pPr>
        <w:pStyle w:val="Formuledadoption"/>
        <w:rPr>
          <w:noProof/>
        </w:rPr>
      </w:pPr>
      <w:r>
        <w:rPr>
          <w:noProof/>
        </w:rPr>
        <w:t>VEDTAGET DENNE FORORDNING:</w:t>
      </w:r>
    </w:p>
    <w:p>
      <w:pPr>
        <w:pStyle w:val="Titrearticle"/>
        <w:rPr>
          <w:noProof/>
        </w:rPr>
      </w:pPr>
      <w:r>
        <w:rPr>
          <w:noProof/>
        </w:rPr>
        <w:t>Artikel 1</w:t>
      </w:r>
    </w:p>
    <w:p>
      <w:pPr>
        <w:rPr>
          <w:noProof/>
        </w:rPr>
      </w:pPr>
      <w:r>
        <w:rPr>
          <w:noProof/>
        </w:rPr>
        <w:t xml:space="preserve">I artikel 21 i forordning (EU) 2017/352 tilføjes følgende som stk. 3: </w:t>
      </w:r>
    </w:p>
    <w:p>
      <w:pPr>
        <w:rPr>
          <w:noProof/>
        </w:rPr>
      </w:pPr>
      <w:r>
        <w:rPr>
          <w:noProof/>
        </w:rPr>
        <w:t xml:space="preserve">"3. Uanset artikel 13, stk. 1, kan medlemsstaterne tillade, at havnemyndigheden eller den kompetente myndighed ikke opkræver havneinfrastrukturafgiften eller suspenderer eller nedsætter denne eller udsætter betalingen af sådanne havneinfrastrukturafgifter, som forfalder mellem den 1. marts 2020 og den 31. december 2020. Afkald på samt suspensioner, nedsættelser eller udsættelser af havneinfrastrukturafgiften gives på en gennemsigtig, objektiv og ikkediskriminerende måde til alle havnebrugere, der er omfattet af havneinfrastrukturafgifter. </w:t>
      </w:r>
    </w:p>
    <w:p>
      <w:pPr>
        <w:rPr>
          <w:noProof/>
        </w:rPr>
      </w:pPr>
      <w:r>
        <w:rPr>
          <w:noProof/>
        </w:rPr>
        <w:t>Havnemyndigheden eller den kompetente myndighed sikrer, at havnebrugerne og repræsentanter for eller sammenslutninger af havnebrugere underrettes i overensstemmelse hermed. Den i artikel 13, stk. 5, omhandlede frist på mindst to måneder finder ikke anvendelse."</w:t>
      </w:r>
    </w:p>
    <w:p>
      <w:pPr>
        <w:pStyle w:val="Titrearticle"/>
        <w:rPr>
          <w:noProof/>
        </w:rPr>
      </w:pPr>
      <w:r>
        <w:rPr>
          <w:noProof/>
        </w:rPr>
        <w:lastRenderedPageBreak/>
        <w:t>Artikel 2</w:t>
      </w:r>
    </w:p>
    <w:p>
      <w:pPr>
        <w:rPr>
          <w:noProof/>
        </w:rPr>
      </w:pPr>
      <w:r>
        <w:rPr>
          <w:noProof/>
        </w:rPr>
        <w:t xml:space="preserve">Denne forordning træder i kraft dagen efter offentliggørelsen i </w:t>
      </w:r>
      <w:r>
        <w:rPr>
          <w:i/>
          <w:noProof/>
        </w:rPr>
        <w:t>Den Europæiske Unions Tidende</w:t>
      </w:r>
      <w:r>
        <w:rPr>
          <w:noProof/>
        </w:rPr>
        <w:t>.</w:t>
      </w:r>
    </w:p>
    <w:p>
      <w:pPr>
        <w:pStyle w:val="Applicationdirecte"/>
        <w:rPr>
          <w:noProof/>
        </w:rPr>
      </w:pPr>
      <w:r>
        <w:rPr>
          <w:noProof/>
        </w:rPr>
        <w:t>Denne forordning er bindende i alle enkeltheder og gælder umiddelbart i hver medlemsstat.</w:t>
      </w:r>
    </w:p>
    <w:p>
      <w:pPr>
        <w:pStyle w:val="Fait"/>
        <w:rPr>
          <w:noProof/>
        </w:rPr>
      </w:pPr>
      <w:r>
        <w:t xml:space="preserve">Udfærdiget i Bruxelles, den </w:t>
      </w:r>
      <w:r>
        <w:rPr>
          <w:rStyle w:val="Marker"/>
        </w:rPr>
        <w:t>[…]</w:t>
      </w:r>
      <w:r>
        <w:t>.</w:t>
      </w: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Europa-Parlamentets og Rådets forordning (EU) 2017/352 af 15. februar 2017 om opstilling af rammer for levering af havnetjenester og fælles regler om finansiel gennemsigtighed for havne (EUT L 57 af 3.3.2017, s. 1).</w:t>
      </w:r>
    </w:p>
  </w:footnote>
  <w:footnote w:id="2">
    <w:p>
      <w:pPr>
        <w:pStyle w:val="FootnoteText"/>
      </w:pPr>
      <w:r>
        <w:rPr>
          <w:rStyle w:val="FootnoteReference"/>
        </w:rPr>
        <w:footnoteRef/>
      </w:r>
      <w:r>
        <w:tab/>
        <w:t>EUT C […] af […], s. […].</w:t>
      </w:r>
    </w:p>
  </w:footnote>
  <w:footnote w:id="3">
    <w:p>
      <w:pPr>
        <w:pStyle w:val="FootnoteText"/>
      </w:pPr>
      <w:r>
        <w:rPr>
          <w:rStyle w:val="FootnoteReference"/>
        </w:rPr>
        <w:footnoteRef/>
      </w:r>
      <w:r>
        <w:tab/>
        <w:t>EUT C […] af […], s. […].</w:t>
      </w:r>
    </w:p>
  </w:footnote>
  <w:footnote w:id="4">
    <w:p>
      <w:pPr>
        <w:pStyle w:val="FootnoteText"/>
      </w:pPr>
      <w:r>
        <w:rPr>
          <w:rStyle w:val="FootnoteReference"/>
        </w:rPr>
        <w:footnoteRef/>
      </w:r>
      <w:r>
        <w:tab/>
        <w:t>Europa-Parlamentets og Rådets forordning (EU) 2017/352 af 15. februar 2017 om opstilling af rammer for levering af havnetjenester og fælles regler om finansiel gennemsigtighed for havne (EUT L 57 af 3.3.2017,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CF03C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01885B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70AD60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CE6BA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DECA7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24896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9EA6F4C"/>
    <w:lvl w:ilvl="0">
      <w:start w:val="1"/>
      <w:numFmt w:val="decimal"/>
      <w:pStyle w:val="ListNumber"/>
      <w:lvlText w:val="%1."/>
      <w:lvlJc w:val="left"/>
      <w:pPr>
        <w:tabs>
          <w:tab w:val="num" w:pos="360"/>
        </w:tabs>
        <w:ind w:left="360" w:hanging="360"/>
      </w:pPr>
    </w:lvl>
  </w:abstractNum>
  <w:abstractNum w:abstractNumId="7">
    <w:nsid w:val="FFFFFF89"/>
    <w:multiLevelType w:val="singleLevel"/>
    <w:tmpl w:val="F46EDD2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066FA0"/>
    <w:multiLevelType w:val="hybridMultilevel"/>
    <w:tmpl w:val="2D74393C"/>
    <w:lvl w:ilvl="0" w:tplc="FB6846CA">
      <w:start w:val="1"/>
      <w:numFmt w:val="decimal"/>
      <w:pStyle w:val="ListPoi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num>
  <w:num w:numId="11">
    <w:abstractNumId w:val="22"/>
    <w:lvlOverride w:ilvl="0">
      <w:startOverride w:val="1"/>
    </w:lvlOverride>
  </w:num>
  <w:num w:numId="12">
    <w:abstractNumId w:val="18"/>
  </w:num>
  <w:num w:numId="13">
    <w:abstractNumId w:val="12"/>
  </w:num>
  <w:num w:numId="14">
    <w:abstractNumId w:val="21"/>
  </w:num>
  <w:num w:numId="15">
    <w:abstractNumId w:val="11"/>
  </w:num>
  <w:num w:numId="16">
    <w:abstractNumId w:val="13"/>
  </w:num>
  <w:num w:numId="17">
    <w:abstractNumId w:val="9"/>
  </w:num>
  <w:num w:numId="18">
    <w:abstractNumId w:val="20"/>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8 13:25:5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51BF769C-4A6C-4D41-83D0-2B33021E74D8"/>
    <w:docVar w:name="LW_COVERPAGE_TYPE" w:val="1"/>
    <w:docVar w:name="LW_CROSSREFERENCE" w:val="&lt;UNUSED&gt;"/>
    <w:docVar w:name="LW_DocType" w:val="COM"/>
    <w:docVar w:name="LW_EMISSION" w:val="29.4.2020"/>
    <w:docVar w:name="LW_EMISSION_ISODATE" w:val="2020-04-29"/>
    <w:docVar w:name="LW_EMISSION_LOCATION" w:val="BRX"/>
    <w:docVar w:name="LW_EMISSION_PREFIX" w:val="Bruxelles,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EØS-relevant teks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067"/>
    <w:docVar w:name="LW_REF.II.NEW.CP_YEAR" w:val="2020"/>
    <w:docVar w:name="LW_REF.INST.NEW" w:val="COM"/>
    <w:docVar w:name="LW_REF.INST.NEW_ADOPTED" w:val="final"/>
    <w:docVar w:name="LW_REF.INST.NEW_TEXT" w:val="(2020) 1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lt;UNUSED&gt;"/>
    <w:docVar w:name="LW_TITRE.OBJ.CP" w:val="om ændring af forordning (EU) 2017/352 med henblik på at give havnemyndigheder eller kompetente myndigheder mulighed for at tilvejebringe fleksibilitet for så vidt angår opkrævning af havneinfrastrukturafgifter i forbindelse med covid-19-udbruddet _x000b_"/>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szCs w:val="24"/>
      <w:lang w:eastAsia="en-GB"/>
    </w:rPr>
  </w:style>
  <w:style w:type="paragraph" w:customStyle="1" w:styleId="sti-art">
    <w:name w:val="sti-art"/>
    <w:basedOn w:val="Normal"/>
    <w:pPr>
      <w:spacing w:before="100" w:beforeAutospacing="1" w:after="100" w:afterAutospacing="1"/>
      <w:jc w:val="left"/>
    </w:pPr>
    <w:rPr>
      <w:szCs w:val="24"/>
      <w:lang w:eastAsia="en-GB"/>
    </w:rPr>
  </w:style>
  <w:style w:type="character" w:customStyle="1" w:styleId="italic">
    <w:name w:val="italic"/>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0"/>
      <w:ind w:left="720"/>
      <w:jc w:val="left"/>
    </w:pPr>
    <w:rPr>
      <w:szCs w:val="24"/>
      <w:lang w:eastAsia="fr-BE"/>
    </w:rPr>
  </w:style>
  <w:style w:type="paragraph" w:customStyle="1" w:styleId="ti-art">
    <w:name w:val="ti-art"/>
    <w:basedOn w:val="Normal"/>
    <w:pPr>
      <w:spacing w:before="100" w:beforeAutospacing="1" w:after="100" w:afterAutospacing="1"/>
      <w:jc w:val="left"/>
    </w:pPr>
    <w:rPr>
      <w:szCs w:val="24"/>
      <w:lang w:eastAsia="fr-BE"/>
    </w:rPr>
  </w:style>
  <w:style w:type="paragraph" w:customStyle="1" w:styleId="Normal2">
    <w:name w:val="Normal2"/>
    <w:basedOn w:val="Normal"/>
    <w:pPr>
      <w:spacing w:before="100" w:beforeAutospacing="1" w:after="100" w:afterAutospacing="1"/>
      <w:jc w:val="left"/>
    </w:pPr>
    <w:rPr>
      <w:szCs w:val="24"/>
      <w:lang w:eastAsia="fr-BE"/>
    </w:rPr>
  </w:style>
  <w:style w:type="character" w:customStyle="1" w:styleId="highlight">
    <w:name w:val="highlight"/>
    <w:basedOn w:val="DefaultParagraphFont"/>
  </w:style>
  <w:style w:type="paragraph" w:customStyle="1" w:styleId="ListPoin">
    <w:name w:val="List Poin"/>
    <w:basedOn w:val="ListParagraph"/>
    <w:pPr>
      <w:numPr>
        <w:numId w:val="9"/>
      </w:numPr>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szCs w:val="24"/>
      <w:lang w:eastAsia="en-GB"/>
    </w:rPr>
  </w:style>
  <w:style w:type="paragraph" w:customStyle="1" w:styleId="sti-art">
    <w:name w:val="sti-art"/>
    <w:basedOn w:val="Normal"/>
    <w:pPr>
      <w:spacing w:before="100" w:beforeAutospacing="1" w:after="100" w:afterAutospacing="1"/>
      <w:jc w:val="left"/>
    </w:pPr>
    <w:rPr>
      <w:szCs w:val="24"/>
      <w:lang w:eastAsia="en-GB"/>
    </w:rPr>
  </w:style>
  <w:style w:type="character" w:customStyle="1" w:styleId="italic">
    <w:name w:val="italic"/>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0"/>
      <w:ind w:left="720"/>
      <w:jc w:val="left"/>
    </w:pPr>
    <w:rPr>
      <w:szCs w:val="24"/>
      <w:lang w:eastAsia="fr-BE"/>
    </w:rPr>
  </w:style>
  <w:style w:type="paragraph" w:customStyle="1" w:styleId="ti-art">
    <w:name w:val="ti-art"/>
    <w:basedOn w:val="Normal"/>
    <w:pPr>
      <w:spacing w:before="100" w:beforeAutospacing="1" w:after="100" w:afterAutospacing="1"/>
      <w:jc w:val="left"/>
    </w:pPr>
    <w:rPr>
      <w:szCs w:val="24"/>
      <w:lang w:eastAsia="fr-BE"/>
    </w:rPr>
  </w:style>
  <w:style w:type="paragraph" w:customStyle="1" w:styleId="Normal2">
    <w:name w:val="Normal2"/>
    <w:basedOn w:val="Normal"/>
    <w:pPr>
      <w:spacing w:before="100" w:beforeAutospacing="1" w:after="100" w:afterAutospacing="1"/>
      <w:jc w:val="left"/>
    </w:pPr>
    <w:rPr>
      <w:szCs w:val="24"/>
      <w:lang w:eastAsia="fr-BE"/>
    </w:rPr>
  </w:style>
  <w:style w:type="character" w:customStyle="1" w:styleId="highlight">
    <w:name w:val="highlight"/>
    <w:basedOn w:val="DefaultParagraphFont"/>
  </w:style>
  <w:style w:type="paragraph" w:customStyle="1" w:styleId="ListPoin">
    <w:name w:val="List Poin"/>
    <w:basedOn w:val="ListParagraph"/>
    <w:pPr>
      <w:numPr>
        <w:numId w:val="9"/>
      </w:numPr>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C92BEC3-36D7-42FD-B835-D6F7B1BB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7</Pages>
  <Words>1780</Words>
  <Characters>11663</Characters>
  <Application>Microsoft Office Word</Application>
  <DocSecurity>0</DocSecurity>
  <Lines>204</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21</cp:revision>
  <dcterms:created xsi:type="dcterms:W3CDTF">2020-05-08T09:32:00Z</dcterms:created>
  <dcterms:modified xsi:type="dcterms:W3CDTF">2020-05-08T11:25:00Z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