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288C8A15-751E-4A14-A2CB-C3CC3BEB5C85" style="width:450.4pt;height:334.0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Toc290299526"/>
      <w:bookmarkStart w:id="2" w:name="_Toc293654075"/>
      <w:bookmarkStart w:id="3" w:name="_Toc295473794"/>
      <w:bookmarkStart w:id="4" w:name="_Toc297024215"/>
      <w:bookmarkStart w:id="5" w:name="_GoBack"/>
      <w:bookmarkEnd w:id="5"/>
    </w:p>
    <w:p>
      <w:pPr>
        <w:jc w:val="center"/>
        <w:rPr>
          <w:b/>
          <w:noProof/>
        </w:rPr>
      </w:pPr>
    </w:p>
    <w:p>
      <w:pPr>
        <w:jc w:val="center"/>
        <w:rPr>
          <w:b/>
          <w:noProof/>
        </w:rPr>
      </w:pPr>
      <w:r>
        <w:rPr>
          <w:b/>
          <w:noProof/>
        </w:rPr>
        <w:t>Izmijenjeni Prijedlog</w:t>
      </w:r>
    </w:p>
    <w:p>
      <w:pPr>
        <w:jc w:val="center"/>
        <w:rPr>
          <w:b/>
          <w:noProof/>
        </w:rPr>
      </w:pPr>
      <w:r>
        <w:rPr>
          <w:b/>
          <w:noProof/>
        </w:rPr>
        <w:t>međuinstitucijskog sporazuma</w:t>
      </w:r>
    </w:p>
    <w:p>
      <w:pPr>
        <w:jc w:val="center"/>
        <w:rPr>
          <w:b/>
          <w:noProof/>
        </w:rPr>
      </w:pPr>
      <w:r>
        <w:rPr>
          <w:b/>
          <w:noProof/>
        </w:rPr>
        <w:t>između Europskog parlamenta, Vijeća i Komisije o proračunskoj disciplini, o suradnji u vezi s proračunskim pitanjima te o dobrom financijskom upravljanju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Prijedlog Komisije COM(2018) 323 mijenja se kako slijedi:</w:t>
      </w:r>
    </w:p>
    <w:p>
      <w:pPr>
        <w:pStyle w:val="Point0number"/>
        <w:rPr>
          <w:noProof/>
        </w:rPr>
      </w:pPr>
      <w:r>
        <w:rPr>
          <w:noProof/>
        </w:rPr>
        <w:t>U dijelu I.B točka 11. zamjenjuje se sljedećim:</w:t>
      </w:r>
    </w:p>
    <w:bookmarkEnd w:id="1"/>
    <w:bookmarkEnd w:id="2"/>
    <w:bookmarkEnd w:id="3"/>
    <w:bookmarkEnd w:id="4"/>
    <w:p>
      <w:pPr>
        <w:pStyle w:val="Text1"/>
        <w:rPr>
          <w:noProof/>
        </w:rPr>
      </w:pPr>
      <w:r>
        <w:rPr>
          <w:noProof/>
        </w:rPr>
        <w:t>„</w:t>
      </w:r>
      <w:r>
        <w:rPr>
          <w:i/>
          <w:noProof/>
        </w:rPr>
        <w:t>Pričuva za solidarnost i pomoć u nuždi</w:t>
      </w:r>
    </w:p>
    <w:p>
      <w:pPr>
        <w:pStyle w:val="Text1"/>
        <w:rPr>
          <w:noProof/>
        </w:rPr>
      </w:pPr>
      <w:r>
        <w:rPr>
          <w:noProof/>
        </w:rPr>
        <w:t>11. Kad Komisija smatra da je potrebno iskoristiti sredstva iz pričuve za solidarnost i pomoć u nuždi, ona Europskom parlamentu i Vijeću podnosi prijedlog o prijenosu sredstava iz pričuve u odgovarajuće proračunske linije u skladu s Financijskom uredbom.”</w:t>
      </w:r>
    </w:p>
    <w:p>
      <w:pPr>
        <w:pStyle w:val="Point0number"/>
        <w:rPr>
          <w:noProof/>
        </w:rPr>
      </w:pPr>
      <w:r>
        <w:rPr>
          <w:noProof/>
        </w:rPr>
        <w:t>U dijelu II.A umeće se sljedeća točka 15.a:</w:t>
      </w:r>
    </w:p>
    <w:p>
      <w:pPr>
        <w:pStyle w:val="Text1"/>
        <w:rPr>
          <w:noProof/>
        </w:rPr>
      </w:pPr>
      <w:r>
        <w:rPr>
          <w:noProof/>
        </w:rPr>
        <w:t>„15.a Komisija sastavlja godišnje izvješće o provedbi Instrumenta Europske unije za oporavak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(„Europski instrument za oporavak”), u kojemu navodi sve dostupne informacije koje nisu povjerljive i odnose se na sljedeće: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</w:rPr>
      </w:pPr>
      <w:r>
        <w:rPr>
          <w:noProof/>
        </w:rPr>
        <w:t>–</w:t>
      </w:r>
      <w:r>
        <w:rPr>
          <w:noProof/>
        </w:rPr>
        <w:tab/>
        <w:t>imovinu i obveze koje proizlaze iz operacija davanja i uzimanja zajmova koje se provode na temelju članka 3.b Odluke o vlastitim sredstvima</w:t>
      </w:r>
      <w:r>
        <w:rPr>
          <w:rStyle w:val="FootnoteReference"/>
          <w:rFonts w:eastAsia="Times New Roman"/>
          <w:noProof/>
          <w:szCs w:val="24"/>
          <w:lang w:eastAsia="de-DE"/>
        </w:rPr>
        <w:footnoteReference w:id="2"/>
      </w:r>
      <w:r>
        <w:rPr>
          <w:noProof/>
        </w:rPr>
        <w:t>,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</w:rPr>
      </w:pPr>
      <w:r>
        <w:rPr>
          <w:noProof/>
        </w:rPr>
        <w:t>–</w:t>
      </w:r>
      <w:r>
        <w:rPr>
          <w:noProof/>
        </w:rPr>
        <w:tab/>
        <w:t>ukupni iznos primitaka dodijeljenih programima Unije u provedbi Europskog instrumenta za oporavak u prethodnoj godini, raščlanjen po programima i proračunskim linijama,</w:t>
      </w:r>
    </w:p>
    <w:p>
      <w:pPr>
        <w:pStyle w:val="Tiret1"/>
        <w:tabs>
          <w:tab w:val="num" w:pos="1417"/>
        </w:tabs>
        <w:ind w:left="1417" w:hanging="567"/>
        <w:rPr>
          <w:rFonts w:eastAsia="Times New Roman"/>
          <w:noProof/>
          <w:szCs w:val="24"/>
        </w:rPr>
      </w:pPr>
      <w:r>
        <w:rPr>
          <w:noProof/>
        </w:rPr>
        <w:t>–</w:t>
      </w:r>
      <w:r>
        <w:rPr>
          <w:noProof/>
        </w:rPr>
        <w:tab/>
        <w:t>doprinos pozajmljenih sredstava ostvarenju ciljeva Europskog instrumenta za oporavak i konkretnih programa Unije.”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336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SL, …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SL, ….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A6"/>
    <w:multiLevelType w:val="multilevel"/>
    <w:tmpl w:val="056EBA2E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3C78B8"/>
    <w:multiLevelType w:val="multilevel"/>
    <w:tmpl w:val="778A8B04"/>
    <w:name w:val="Point"/>
    <w:lvl w:ilvl="0">
      <w:start w:val="1"/>
      <w:numFmt w:val="decimal"/>
      <w:pStyle w:val="Point0number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0AB28E9C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288C8A15-751E-4A14-A2CB-C3CC3BEB5C85"/>
    <w:docVar w:name="LW_COVERPAGE_TYPE" w:val="1"/>
    <w:docVar w:name="LW_CROSSREFERENCE" w:val="&lt;UNUSED&gt;"/>
    <w:docVar w:name="LW_DocType" w:val="NORMAL"/>
    <w:docVar w:name="LW_EMISSION" w:val="28.5.2020."/>
    <w:docVar w:name="LW_EMISSION_ISODATE" w:val="2020-05-28"/>
    <w:docVar w:name="LW_EMISSION_LOCATION" w:val="BRX"/>
    <w:docVar w:name="LW_EMISSION_PREFIX" w:val="Bruxelles, "/>
    <w:docVar w:name="LW_EMISSION_SUFFIX" w:val="&lt;EMPTY&gt;"/>
    <w:docVar w:name="LW_ID_DOCTYPE_NONLW" w:val="CP-035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44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&lt;FMT:Bold&gt;izme\u273?u Europskog parlamenta, Vije\u263?a i Komisije o prora\u269?unskoj disciplini, o suradnji u vezi s prora\u269?unskim pitanjima te o dobrom financijskom upravljanju&lt;/FMT&gt;"/>
    <w:docVar w:name="LW_TYPE.DOC.CP" w:val="Izmijenjeni Prijedlog_x000b__x000b_me\u273?uinstitucijskog sporazum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Exposdesmotifstitre">
    <w:name w:val="Exposé des motifs titre"/>
    <w:basedOn w:val="Normal"/>
    <w:next w:val="Normal"/>
    <w:link w:val="ExposdesmotifstitreChar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ExposdesmotifstitreChar">
    <w:name w:val="Exposé des motifs titre Char"/>
    <w:basedOn w:val="DefaultParagraphFont"/>
    <w:link w:val="Exposdesmotifstitre"/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character" w:customStyle="1" w:styleId="FooterCoverPageChar">
    <w:name w:val="Footer Cover Page Char"/>
    <w:basedOn w:val="ExposdesmotifstitreChar"/>
    <w:link w:val="Foot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ExposdesmotifstitreChar"/>
    <w:link w:val="Head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NumPar1">
    <w:name w:val="NumPar 1"/>
    <w:basedOn w:val="Normal"/>
    <w:next w:val="Text1"/>
    <w:pPr>
      <w:numPr>
        <w:numId w:val="1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</w:p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character" w:customStyle="1" w:styleId="Deleted">
    <w:name w:val="Deleted"/>
    <w:basedOn w:val="DefaultParagraphFont"/>
    <w:rPr>
      <w: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Manual">
    <w:name w:val="Manual"/>
    <w:basedOn w:val="NumPar1"/>
    <w:pPr>
      <w:numPr>
        <w:numId w:val="0"/>
      </w:numPr>
      <w:ind w:left="850"/>
    </w:pPr>
    <w:rPr>
      <w:noProof/>
    </w:rPr>
  </w:style>
  <w:style w:type="paragraph" w:customStyle="1" w:styleId="Tiret1">
    <w:name w:val="Tiret 1"/>
    <w:basedOn w:val="Normal"/>
    <w:rPr>
      <w:rFonts w:eastAsiaTheme="minorHAnsi"/>
      <w:szCs w:val="22"/>
      <w:lang w:eastAsia="en-US"/>
    </w:rPr>
  </w:style>
  <w:style w:type="paragraph" w:customStyle="1" w:styleId="Tiret0">
    <w:name w:val="Tiret 0"/>
    <w:basedOn w:val="Normal"/>
    <w:rPr>
      <w:rFonts w:eastAsiaTheme="minorHAnsi"/>
      <w:szCs w:val="22"/>
      <w:lang w:eastAsia="en-US"/>
    </w:rPr>
  </w:style>
  <w:style w:type="paragraph" w:customStyle="1" w:styleId="PartTitle">
    <w:name w:val="PartTitle"/>
    <w:basedOn w:val="Normal"/>
    <w:next w:val="Normal"/>
    <w:pPr>
      <w:keepNext/>
      <w:pageBreakBefore/>
      <w:spacing w:after="360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Manualnum">
    <w:name w:val="Manual num"/>
    <w:basedOn w:val="NumPar1"/>
    <w:rPr>
      <w:noProof/>
    </w:r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al"/>
    <w:pPr>
      <w:numPr>
        <w:numId w:val="9"/>
      </w:numPr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</w:pPr>
    <w:rPr>
      <w:rFonts w:eastAsiaTheme="minorHAnsi"/>
      <w:szCs w:val="22"/>
      <w:lang w:eastAsia="en-US"/>
    </w:rPr>
  </w:style>
  <w:style w:type="paragraph" w:customStyle="1" w:styleId="Tiret2">
    <w:name w:val="Tiret 2"/>
    <w:basedOn w:val="NumPar1"/>
    <w:pPr>
      <w:numPr>
        <w:numId w:val="0"/>
      </w:numPr>
      <w:ind w:left="851" w:hanging="426"/>
    </w:pPr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Exposdesmotifstitre">
    <w:name w:val="Exposé des motifs titre"/>
    <w:basedOn w:val="Normal"/>
    <w:next w:val="Normal"/>
    <w:link w:val="ExposdesmotifstitreChar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Normal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nhideWhenUsed/>
    <w:pPr>
      <w:tabs>
        <w:tab w:val="center" w:pos="4535"/>
        <w:tab w:val="right" w:pos="9071"/>
      </w:tabs>
      <w:spacing w:before="0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ExposdesmotifstitreChar">
    <w:name w:val="Exposé des motifs titre Char"/>
    <w:basedOn w:val="DefaultParagraphFont"/>
    <w:link w:val="Exposdesmotifstitre"/>
    <w:rPr>
      <w:rFonts w:ascii="Times New Roman" w:eastAsia="Times New Roman" w:hAnsi="Times New Roman" w:cs="Times New Roman"/>
      <w:b/>
      <w:sz w:val="24"/>
      <w:szCs w:val="24"/>
      <w:u w:val="single"/>
      <w:lang w:eastAsia="de-DE"/>
    </w:rPr>
  </w:style>
  <w:style w:type="character" w:customStyle="1" w:styleId="FooterCoverPageChar">
    <w:name w:val="Footer Cover Page Char"/>
    <w:basedOn w:val="ExposdesmotifstitreChar"/>
    <w:link w:val="Foot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ExposdesmotifstitreChar"/>
    <w:link w:val="HeaderCoverPage"/>
    <w:rPr>
      <w:rFonts w:ascii="Times New Roman" w:eastAsia="Times New Roman" w:hAnsi="Times New Roman" w:cs="Times New Roman"/>
      <w:b w:val="0"/>
      <w:sz w:val="24"/>
      <w:szCs w:val="24"/>
      <w:u w:val="single"/>
      <w:lang w:eastAsia="de-DE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NumPar1">
    <w:name w:val="NumPar 1"/>
    <w:basedOn w:val="Normal"/>
    <w:next w:val="Text1"/>
    <w:pPr>
      <w:numPr>
        <w:numId w:val="1"/>
      </w:numPr>
    </w:pPr>
  </w:style>
  <w:style w:type="paragraph" w:customStyle="1" w:styleId="NumPar2">
    <w:name w:val="NumPar 2"/>
    <w:basedOn w:val="Normal"/>
    <w:next w:val="Normal"/>
    <w:pPr>
      <w:numPr>
        <w:ilvl w:val="1"/>
        <w:numId w:val="1"/>
      </w:numPr>
    </w:pPr>
  </w:style>
  <w:style w:type="paragraph" w:customStyle="1" w:styleId="NumPar3">
    <w:name w:val="NumPar 3"/>
    <w:basedOn w:val="Normal"/>
    <w:next w:val="Normal"/>
    <w:pPr>
      <w:numPr>
        <w:ilvl w:val="2"/>
        <w:numId w:val="1"/>
      </w:numPr>
    </w:pPr>
  </w:style>
  <w:style w:type="paragraph" w:customStyle="1" w:styleId="NumPar4">
    <w:name w:val="NumPar 4"/>
    <w:basedOn w:val="Normal"/>
    <w:next w:val="Normal"/>
    <w:pPr>
      <w:numPr>
        <w:ilvl w:val="3"/>
        <w:numId w:val="1"/>
      </w:numPr>
    </w:pPr>
  </w:style>
  <w:style w:type="paragraph" w:customStyle="1" w:styleId="ManualHeading2">
    <w:name w:val="Manual Heading 2"/>
    <w:basedOn w:val="Normal"/>
    <w:next w:val="Normal"/>
    <w:pPr>
      <w:keepNext/>
      <w:tabs>
        <w:tab w:val="left" w:pos="850"/>
      </w:tabs>
      <w:ind w:left="850" w:hanging="850"/>
      <w:outlineLvl w:val="1"/>
    </w:pPr>
    <w:rPr>
      <w:b/>
    </w:rPr>
  </w:style>
  <w:style w:type="character" w:customStyle="1" w:styleId="Deleted">
    <w:name w:val="Deleted"/>
    <w:basedOn w:val="DefaultParagraphFont"/>
    <w:rPr>
      <w: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classification">
    <w:name w:val="Declassification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Manual">
    <w:name w:val="Manual"/>
    <w:basedOn w:val="NumPar1"/>
    <w:pPr>
      <w:numPr>
        <w:numId w:val="0"/>
      </w:numPr>
      <w:ind w:left="850"/>
    </w:pPr>
    <w:rPr>
      <w:noProof/>
    </w:rPr>
  </w:style>
  <w:style w:type="paragraph" w:customStyle="1" w:styleId="Tiret1">
    <w:name w:val="Tiret 1"/>
    <w:basedOn w:val="Normal"/>
    <w:rPr>
      <w:rFonts w:eastAsiaTheme="minorHAnsi"/>
      <w:szCs w:val="22"/>
      <w:lang w:eastAsia="en-US"/>
    </w:rPr>
  </w:style>
  <w:style w:type="paragraph" w:customStyle="1" w:styleId="Tiret0">
    <w:name w:val="Tiret 0"/>
    <w:basedOn w:val="Normal"/>
    <w:rPr>
      <w:rFonts w:eastAsiaTheme="minorHAnsi"/>
      <w:szCs w:val="22"/>
      <w:lang w:eastAsia="en-US"/>
    </w:rPr>
  </w:style>
  <w:style w:type="paragraph" w:customStyle="1" w:styleId="PartTitle">
    <w:name w:val="PartTitle"/>
    <w:basedOn w:val="Normal"/>
    <w:next w:val="Normal"/>
    <w:pPr>
      <w:keepNext/>
      <w:pageBreakBefore/>
      <w:spacing w:after="360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Manualnum">
    <w:name w:val="Manual num"/>
    <w:basedOn w:val="NumPar1"/>
    <w:rPr>
      <w:noProof/>
    </w:rPr>
  </w:style>
  <w:style w:type="paragraph" w:customStyle="1" w:styleId="ManualNumPar1">
    <w:name w:val="Manual NumPar 1"/>
    <w:basedOn w:val="Normal"/>
    <w:next w:val="Text1"/>
    <w:pPr>
      <w:ind w:left="850" w:hanging="850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al"/>
    <w:pPr>
      <w:numPr>
        <w:numId w:val="9"/>
      </w:numPr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</w:pPr>
    <w:rPr>
      <w:rFonts w:eastAsiaTheme="minorHAnsi"/>
      <w:szCs w:val="22"/>
      <w:lang w:eastAsia="en-US"/>
    </w:rPr>
  </w:style>
  <w:style w:type="paragraph" w:customStyle="1" w:styleId="Tiret2">
    <w:name w:val="Tiret 2"/>
    <w:basedOn w:val="NumPar1"/>
    <w:pPr>
      <w:numPr>
        <w:numId w:val="0"/>
      </w:numPr>
      <w:ind w:left="851" w:hanging="426"/>
    </w:pPr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C5EA-CBFB-4173-8965-5ABE5428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1125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2020-05-22T09:18:00Z</dcterms:created>
  <dcterms:modified xsi:type="dcterms:W3CDTF">2020-05-28T15:24:00Z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7.0.1, Build 20190916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PTemplateID">
    <vt:lpwstr>CP-035</vt:lpwstr>
  </property>
</Properties>
</file>