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A84BAFB-5B97-4E2D-B389-B3445C207D7E" style="width:450.4pt;height:420.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before="0" w:after="240"/>
        <w:rPr>
          <w:noProof/>
        </w:rPr>
      </w:pPr>
      <w:bookmarkStart w:id="1" w:name="_GoBack"/>
      <w:bookmarkEnd w:id="1"/>
      <w:r>
        <w:rPr>
          <w:noProof/>
        </w:rPr>
        <w:lastRenderedPageBreak/>
        <w:t xml:space="preserve">ANEXĂ </w:t>
      </w:r>
    </w:p>
    <w:p>
      <w:pPr>
        <w:spacing w:after="480"/>
        <w:jc w:val="center"/>
        <w:rPr>
          <w:rFonts w:eastAsia="Times New Roman"/>
          <w:i/>
          <w:noProof/>
        </w:rPr>
      </w:pPr>
      <w:r>
        <w:rPr>
          <w:i/>
          <w:noProof/>
        </w:rPr>
        <w:t>Măsurile din cadrul prezentului plan de acțiune sunt sau vor trebui să fie puse în aplicare în conformitate cu principiile unei mai bune reglementări, inclusiv, după caz, evaluările și evaluările impactului.</w:t>
      </w:r>
    </w:p>
    <w:tbl>
      <w:tblPr>
        <w:tblStyle w:val="TableGrid"/>
        <w:tblW w:w="9639" w:type="dxa"/>
        <w:tblInd w:w="-459" w:type="dxa"/>
        <w:tblLook w:val="04A0" w:firstRow="1" w:lastRow="0" w:firstColumn="1" w:lastColumn="0" w:noHBand="0" w:noVBand="1"/>
      </w:tblPr>
      <w:tblGrid>
        <w:gridCol w:w="7067"/>
        <w:gridCol w:w="2572"/>
      </w:tblGrid>
      <w:tr>
        <w:tc>
          <w:tcPr>
            <w:tcW w:w="7067" w:type="dxa"/>
          </w:tcPr>
          <w:p>
            <w:pPr>
              <w:spacing w:before="120" w:after="120"/>
              <w:jc w:val="both"/>
              <w:rPr>
                <w:rFonts w:ascii="Times New Roman" w:eastAsia="Times New Roman" w:hAnsi="Times New Roman" w:cs="Times New Roman"/>
                <w:b/>
                <w:noProof/>
              </w:rPr>
            </w:pPr>
            <w:r>
              <w:rPr>
                <w:rFonts w:ascii="Times New Roman" w:hAnsi="Times New Roman"/>
                <w:b/>
                <w:noProof/>
              </w:rPr>
              <w:t>Decizii-cheie care urmează să fie luate de către Comisie</w:t>
            </w:r>
          </w:p>
        </w:tc>
        <w:tc>
          <w:tcPr>
            <w:tcW w:w="2572" w:type="dxa"/>
          </w:tcPr>
          <w:p>
            <w:pPr>
              <w:spacing w:before="120" w:after="120"/>
              <w:jc w:val="both"/>
              <w:rPr>
                <w:rFonts w:ascii="Times New Roman" w:eastAsia="Times New Roman" w:hAnsi="Times New Roman" w:cs="Times New Roman"/>
                <w:b/>
                <w:noProof/>
              </w:rPr>
            </w:pPr>
            <w:r>
              <w:rPr>
                <w:rFonts w:ascii="Times New Roman" w:hAnsi="Times New Roman"/>
                <w:b/>
                <w:noProof/>
              </w:rPr>
              <w:t>Calendar orientativ</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O REȚEA COERENTĂ DE ZONE PROTEJATE</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Criteriile și orientările pentru identificarea și desemnarea zonelor protejate suplimentare și a coridoarelor ecologice, privind planificarea adecvată a gestionării și privind modul în care alte măsuri eficace de conservare bazate pe zone și ecologizarea urbană pot contribui la îndeplinirea obiectivelor UE pentru 2030 în materie de protejare a naturii</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 xml:space="preserve">Evaluarea progreselor înregistrate de UE în ceea ce privește îndeplinirea obiectivelor sale pentru 2030 privind zonele protejate și a necesității unor acțiuni suplimentare, legislative sau de altă natură </w:t>
            </w:r>
          </w:p>
        </w:tc>
        <w:tc>
          <w:tcPr>
            <w:tcW w:w="2572" w:type="dxa"/>
          </w:tcPr>
          <w:p>
            <w:pPr>
              <w:spacing w:before="120" w:after="120"/>
              <w:jc w:val="both"/>
              <w:rPr>
                <w:rFonts w:ascii="Times New Roman" w:hAnsi="Times New Roman" w:cs="Times New Roman"/>
                <w:noProof/>
              </w:rPr>
            </w:pPr>
            <w:r>
              <w:rPr>
                <w:rFonts w:ascii="Times New Roman" w:hAnsi="Times New Roman"/>
                <w:noProof/>
              </w:rPr>
              <w:t>până în 2024</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UN PLAN AL UE DE REFACERE A NATURII</w:t>
            </w:r>
          </w:p>
        </w:tc>
      </w:tr>
      <w:tr>
        <w:tc>
          <w:tcPr>
            <w:tcW w:w="7067" w:type="dxa"/>
          </w:tcPr>
          <w:p>
            <w:pPr>
              <w:spacing w:before="120" w:after="120"/>
              <w:jc w:val="both"/>
              <w:rPr>
                <w:rFonts w:ascii="Times New Roman" w:eastAsia="Times New Roman" w:hAnsi="Times New Roman" w:cs="Times New Roman"/>
                <w:noProof/>
              </w:rPr>
            </w:pPr>
            <w:r>
              <w:rPr>
                <w:rFonts w:ascii="Times New Roman" w:hAnsi="Times New Roman"/>
                <w:noProof/>
              </w:rPr>
              <w:t>Propunere privind obiectivele UE în materie de refacere a naturii</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Orientări privind selecția speciilor și a habitatelor pentru a se asigura că cel puțin 30 % din speciile și habitatele care nu se află în prezent într-un stadiu corespunzător de conservare sunt încadrate în această categorie până în 2030 sau prezintă o puternică tendință pozitivă</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Revizuirea Directivei privind utilizarea durabilă a pesticidelor și consolidarea dispozițiilor privind gestionarea integrată a dăunătorilor</w:t>
            </w:r>
          </w:p>
        </w:tc>
        <w:tc>
          <w:tcPr>
            <w:tcW w:w="2572" w:type="dxa"/>
          </w:tcPr>
          <w:p>
            <w:pPr>
              <w:spacing w:before="120" w:after="120"/>
              <w:jc w:val="both"/>
              <w:rPr>
                <w:rFonts w:ascii="Times New Roman" w:eastAsia="Times New Roman" w:hAnsi="Times New Roman" w:cs="Times New Roman"/>
                <w:noProof/>
              </w:rPr>
            </w:pPr>
            <w:r>
              <w:rPr>
                <w:rFonts w:ascii="Times New Roman" w:hAnsi="Times New Roman"/>
                <w:noProof/>
              </w:rPr>
              <w:t>2022</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Examinarea și posibila revizuire a inițiativei UE privind polenizatorii</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Măsuri prin care să se asigure că planurile strategice PAC ale statelor membre stabilesc valori naționale explicite pentru obiectivele relevante ale Strategiei privind biodiversitatea și ale Strategiei „De la fermă la consumator”, sprijinite, printre altele, de instrumentele PAC și de punerea în aplicare a Directivei privind habitatele </w:t>
            </w:r>
          </w:p>
        </w:tc>
        <w:tc>
          <w:tcPr>
            <w:tcW w:w="2572" w:type="dxa"/>
          </w:tcPr>
          <w:p>
            <w:pPr>
              <w:spacing w:before="120" w:after="120"/>
              <w:jc w:val="both"/>
              <w:rPr>
                <w:rFonts w:ascii="Times New Roman" w:hAnsi="Times New Roman" w:cs="Times New Roman"/>
                <w:noProof/>
              </w:rPr>
            </w:pPr>
            <w:r>
              <w:rPr>
                <w:rFonts w:ascii="Times New Roman" w:hAnsi="Times New Roman"/>
                <w:noProof/>
              </w:rPr>
              <w:t>începând din 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Plan de acțiune pentru agricultura ecologică pentru perioada 2021-2026 </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Revizuirea Strategiei tematice pentru protecția solului</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Noua Strategie a UE pentru păduri, inclusiv o foaie de parcurs pentru plantarea a cel puțin alte 3 miliarde de copaci în UE până în 2030</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Dezvoltarea în continuare a Sistemului de informare privind pădurile din Europa</w:t>
            </w:r>
          </w:p>
        </w:tc>
        <w:tc>
          <w:tcPr>
            <w:tcW w:w="2572" w:type="dxa"/>
          </w:tcPr>
          <w:p>
            <w:pPr>
              <w:spacing w:before="120" w:after="120"/>
              <w:jc w:val="both"/>
              <w:rPr>
                <w:rFonts w:ascii="Times New Roman" w:hAnsi="Times New Roman" w:cs="Times New Roman"/>
                <w:noProof/>
              </w:rPr>
            </w:pPr>
            <w:r>
              <w:rPr>
                <w:rFonts w:ascii="Times New Roman" w:hAnsi="Times New Roman"/>
                <w:noProof/>
              </w:rPr>
              <w:t>începând din 2020</w:t>
            </w:r>
          </w:p>
        </w:tc>
      </w:tr>
      <w:tr>
        <w:tc>
          <w:tcPr>
            <w:tcW w:w="7067" w:type="dxa"/>
          </w:tcPr>
          <w:p>
            <w:pPr>
              <w:spacing w:before="120" w:after="120"/>
              <w:jc w:val="both"/>
              <w:rPr>
                <w:rFonts w:ascii="Times New Roman" w:hAnsi="Times New Roman" w:cs="Times New Roman"/>
                <w:noProof/>
              </w:rPr>
            </w:pPr>
            <w:r>
              <w:rPr>
                <w:rFonts w:ascii="Times New Roman" w:hAnsi="Times New Roman"/>
                <w:noProof/>
                <w:szCs w:val="24"/>
              </w:rPr>
              <w:t>Orientări privind practicile favorabile biodiversității cum ar fi împădurirea, reîmpădurirea și silvicultura apropiată de natură</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lastRenderedPageBreak/>
              <w:t>Evaluarea cererii și ofertei de biomasă la nivelul UE și la nivel mondial și durabilitatea acesteia</w:t>
            </w:r>
          </w:p>
        </w:tc>
        <w:tc>
          <w:tcPr>
            <w:tcW w:w="2572" w:type="dxa"/>
          </w:tcPr>
          <w:p>
            <w:pPr>
              <w:spacing w:before="120" w:after="120"/>
              <w:jc w:val="both"/>
              <w:rPr>
                <w:rFonts w:ascii="Times New Roman" w:hAnsi="Times New Roman" w:cs="Times New Roman"/>
                <w:noProof/>
              </w:rPr>
            </w:pPr>
            <w:r>
              <w:rPr>
                <w:rFonts w:ascii="Times New Roman" w:hAnsi="Times New Roman"/>
                <w:noProof/>
              </w:rPr>
              <w:t>în curs</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Studiu privind </w:t>
            </w:r>
            <w:r>
              <w:rPr>
                <w:rFonts w:ascii="Times New Roman" w:hAnsi="Times New Roman"/>
                <w:noProof/>
                <w:color w:val="000000"/>
              </w:rPr>
              <w:t>durabilitatea utilizării biomasei forestiere pentru producerea de energie</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Orientări operaționale referitoare la noile criterii de durabilitate privind biomasa forestieră utilizată pentru producerea de energie</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Analiza datelor privind biocombustibilii cu risc ridicat în ceea ce privește schimbarea indirectă a utilizării terenurilor și </w:t>
            </w:r>
            <w:r>
              <w:rPr>
                <w:rFonts w:ascii="Times New Roman" w:hAnsi="Times New Roman"/>
                <w:noProof/>
                <w:color w:val="000000"/>
              </w:rPr>
              <w:t>stabilirea unei traiectorii pentru eliminarea progresivă a acestora până în 2030</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Nou plan de acțiune pentru conservarea resurselor halieutice și protejarea ecosistemelor marine </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Orientări și sprijin pentru statele membre în vederea identificării siturilor și pentru a contribui la mobilizarea finanțării pentru refacerea a 25 000 de km de râuri cu curgere liberă</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szCs w:val="24"/>
              </w:rPr>
              <w:t>Orientări tehnice pentru statele membre cu privire la măsurile lor de revizuire a autorizațiilor de captare și de îndiguire a apei și de restabilire a debitelor ecologice în cadrul planurilor revizuite de gestionare a bazinelor hidrografice</w:t>
            </w:r>
          </w:p>
        </w:tc>
        <w:tc>
          <w:tcPr>
            <w:tcW w:w="2572" w:type="dxa"/>
          </w:tcPr>
          <w:p>
            <w:pPr>
              <w:spacing w:before="120" w:after="120"/>
              <w:jc w:val="both"/>
              <w:rPr>
                <w:rFonts w:ascii="Times New Roman" w:hAnsi="Times New Roman" w:cs="Times New Roman"/>
                <w:noProof/>
              </w:rPr>
            </w:pPr>
            <w:r>
              <w:rPr>
                <w:rFonts w:ascii="Times New Roman" w:hAnsi="Times New Roman"/>
                <w:noProof/>
                <w:szCs w:val="24"/>
              </w:rPr>
              <w:t>2023</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Crearea Platformei de înverzire urbană a UE în cadrul </w:t>
            </w:r>
            <w:r>
              <w:rPr>
                <w:rFonts w:ascii="Times New Roman" w:hAnsi="Times New Roman"/>
                <w:bCs/>
                <w:noProof/>
              </w:rPr>
              <w:t>unui</w:t>
            </w:r>
            <w:r>
              <w:rPr>
                <w:rFonts w:ascii="Times New Roman" w:hAnsi="Times New Roman"/>
                <w:noProof/>
              </w:rPr>
              <w:t xml:space="preserve"> nou „Acord privind orașele verzi” (</w:t>
            </w:r>
            <w:r>
              <w:rPr>
                <w:rFonts w:ascii="Times New Roman" w:hAnsi="Times New Roman"/>
                <w:i/>
                <w:iCs/>
                <w:noProof/>
              </w:rPr>
              <w:t>Green City Accord</w:t>
            </w:r>
            <w:r>
              <w:rPr>
                <w:rFonts w:ascii="Times New Roman" w:hAnsi="Times New Roman"/>
                <w:noProof/>
              </w:rPr>
              <w:t>) încheiat cu municipalitățile și cu primarii</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Orientări tehnice privind ecologizarea urbană și asistența pentru mobilizarea finanțării și consolidarea capacităților statelor membre, ale autorităților locale și regionale, inclusiv pentru elaborarea unor planuri de ecologizare urbană</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Plan de acțiune integrat privind gestionarea substanțelor nutritive</w:t>
            </w:r>
          </w:p>
        </w:tc>
        <w:tc>
          <w:tcPr>
            <w:tcW w:w="2572" w:type="dxa"/>
          </w:tcPr>
          <w:p>
            <w:pPr>
              <w:spacing w:before="120" w:after="120"/>
              <w:jc w:val="both"/>
              <w:rPr>
                <w:rFonts w:ascii="Times New Roman" w:hAnsi="Times New Roman" w:cs="Times New Roman"/>
                <w:noProof/>
              </w:rPr>
            </w:pPr>
            <w:r>
              <w:rPr>
                <w:rFonts w:ascii="Times New Roman" w:hAnsi="Times New Roman"/>
                <w:noProof/>
              </w:rPr>
              <w:t>2022</w:t>
            </w:r>
          </w:p>
        </w:tc>
      </w:tr>
      <w:tr>
        <w:tc>
          <w:tcPr>
            <w:tcW w:w="9639" w:type="dxa"/>
            <w:gridSpan w:val="2"/>
            <w:shd w:val="clear" w:color="auto" w:fill="D9D9D9" w:themeFill="background1" w:themeFillShade="D9"/>
          </w:tcPr>
          <w:p>
            <w:pPr>
              <w:spacing w:before="120" w:after="120"/>
              <w:jc w:val="both"/>
              <w:rPr>
                <w:rFonts w:ascii="Times New Roman" w:hAnsi="Times New Roman" w:cs="Times New Roman"/>
                <w:b/>
                <w:noProof/>
              </w:rPr>
            </w:pPr>
            <w:r>
              <w:rPr>
                <w:rFonts w:ascii="Times New Roman" w:hAnsi="Times New Roman"/>
                <w:b/>
                <w:noProof/>
              </w:rPr>
              <w:t>FACILITAREA SCHIMBARII TRANSFORMAȚIONALE</w:t>
            </w:r>
          </w:p>
        </w:tc>
      </w:tr>
      <w:tr>
        <w:trPr>
          <w:trHeight w:val="753"/>
        </w:trPr>
        <w:tc>
          <w:tcPr>
            <w:tcW w:w="7067" w:type="dxa"/>
          </w:tcPr>
          <w:p>
            <w:pPr>
              <w:spacing w:before="120" w:after="120"/>
              <w:rPr>
                <w:rFonts w:ascii="Times New Roman" w:hAnsi="Times New Roman" w:cs="Times New Roman"/>
                <w:bCs/>
                <w:noProof/>
              </w:rPr>
            </w:pPr>
            <w:r>
              <w:rPr>
                <w:rFonts w:ascii="Times New Roman" w:hAnsi="Times New Roman"/>
                <w:bCs/>
                <w:noProof/>
              </w:rPr>
              <w:t xml:space="preserve">Evaluarea eficacității noului cadru de guvernanță a biodiversității pe bază de cooperare și necesitatea unei abordări consolidate, cu caracter obligatoriu din punct de vedere juridic sau o altă abordare a guvernanței biodiversității </w:t>
            </w:r>
          </w:p>
        </w:tc>
        <w:tc>
          <w:tcPr>
            <w:tcW w:w="2572" w:type="dxa"/>
          </w:tcPr>
          <w:p>
            <w:pPr>
              <w:spacing w:before="120" w:after="120"/>
              <w:jc w:val="both"/>
              <w:rPr>
                <w:rFonts w:ascii="Times New Roman" w:hAnsi="Times New Roman" w:cs="Times New Roman"/>
                <w:noProof/>
              </w:rPr>
            </w:pPr>
            <w:r>
              <w:rPr>
                <w:rFonts w:ascii="Times New Roman" w:hAnsi="Times New Roman"/>
                <w:noProof/>
              </w:rPr>
              <w:t>2023</w:t>
            </w:r>
          </w:p>
        </w:tc>
      </w:tr>
      <w:tr>
        <w:tc>
          <w:tcPr>
            <w:tcW w:w="7067" w:type="dxa"/>
            <w:shd w:val="clear" w:color="auto" w:fill="auto"/>
          </w:tcPr>
          <w:p>
            <w:pPr>
              <w:spacing w:before="120" w:after="120"/>
              <w:jc w:val="both"/>
              <w:rPr>
                <w:rFonts w:ascii="Times New Roman" w:hAnsi="Times New Roman" w:cs="Times New Roman"/>
                <w:bCs/>
                <w:noProof/>
              </w:rPr>
            </w:pPr>
            <w:r>
              <w:rPr>
                <w:rFonts w:ascii="Times New Roman" w:hAnsi="Times New Roman"/>
                <w:bCs/>
                <w:noProof/>
              </w:rPr>
              <w:t>Examinarea și posibila revizuire a Directivei privind infracțiunile de mediu</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Noua inițiativă privind guvernanța corporativă durabilă, care abordează </w:t>
            </w:r>
            <w:r>
              <w:rPr>
                <w:rFonts w:ascii="Times New Roman" w:hAnsi="Times New Roman"/>
                <w:bCs/>
                <w:noProof/>
                <w:color w:val="333333"/>
              </w:rPr>
              <w:t xml:space="preserve">drepturile omului și obligația de diligență în ceea ce privește protecția mediului </w:t>
            </w:r>
            <w:r>
              <w:rPr>
                <w:rFonts w:ascii="Times New Roman" w:hAnsi="Times New Roman"/>
                <w:noProof/>
              </w:rPr>
              <w:t>și în cadrul lanțurilor valorice economice</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Sprijin pentru crearea unei mișcări a mediului de afaceri din UE pentru biodiversitate </w:t>
            </w:r>
          </w:p>
        </w:tc>
        <w:tc>
          <w:tcPr>
            <w:tcW w:w="2572" w:type="dxa"/>
          </w:tcPr>
          <w:p>
            <w:pPr>
              <w:spacing w:before="120" w:after="120"/>
              <w:jc w:val="both"/>
              <w:rPr>
                <w:rFonts w:ascii="Times New Roman" w:hAnsi="Times New Roman" w:cs="Times New Roman"/>
                <w:noProof/>
              </w:rPr>
            </w:pPr>
            <w:r>
              <w:rPr>
                <w:rFonts w:ascii="Times New Roman" w:hAnsi="Times New Roman"/>
                <w:noProof/>
              </w:rPr>
              <w:t>începând din 2020</w:t>
            </w:r>
          </w:p>
        </w:tc>
      </w:tr>
      <w:tr>
        <w:tc>
          <w:tcPr>
            <w:tcW w:w="7067" w:type="dxa"/>
          </w:tcPr>
          <w:p>
            <w:pPr>
              <w:spacing w:before="120" w:after="120"/>
              <w:jc w:val="both"/>
              <w:rPr>
                <w:rFonts w:ascii="Times New Roman" w:hAnsi="Times New Roman" w:cs="Times New Roman"/>
                <w:noProof/>
              </w:rPr>
            </w:pPr>
            <w:r>
              <w:rPr>
                <w:rFonts w:ascii="Times New Roman" w:hAnsi="Times New Roman"/>
                <w:bCs/>
                <w:noProof/>
              </w:rPr>
              <w:t>Strategia reînnoită privind finanțarea durabilă</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Adoptarea unui act delegat în temeiul Regulamentului privind taxonomia, pentru a stabili o clasificare comună a activităților economice care să contribuie în mod substanțial la protejarea și refacerea biodiversității și a ecosistemelor</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szCs w:val="24"/>
              </w:rPr>
              <w:t>Metode, criterii și standarde pentru o mai bună integrare a considerentelor legate de biodiversitate în luarea deciziilor publice și de afaceri la toate nivelurile și pentru măsurarea amprentei ecologice a produselor și organizațiilor</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Promovarea unei inițiative internaționale de contabilitate a capitalului natural</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Instituirea unui nou Centru de cunoștințe privind biodiversitatea</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Propunere de recomandare a Consiliului privind încurajarea cooperării în domeniul educației pentru durabilitatea mediului, inclusiv în ceea ce privește educația în materie de biodiversitate</w:t>
            </w:r>
          </w:p>
        </w:tc>
        <w:tc>
          <w:tcPr>
            <w:tcW w:w="2572" w:type="dxa"/>
            <w:shd w:val="clear" w:color="auto" w:fill="auto"/>
          </w:tcPr>
          <w:p>
            <w:pPr>
              <w:spacing w:before="120" w:after="120"/>
              <w:jc w:val="both"/>
              <w:rPr>
                <w:rFonts w:ascii="Times New Roman" w:hAnsi="Times New Roman" w:cs="Times New Roman"/>
                <w:noProof/>
              </w:rPr>
            </w:pPr>
            <w:r>
              <w:rPr>
                <w:rFonts w:ascii="Times New Roman" w:hAnsi="Times New Roman"/>
                <w:noProof/>
              </w:rPr>
              <w:t>2021</w:t>
            </w:r>
          </w:p>
        </w:tc>
      </w:tr>
      <w:tr>
        <w:tc>
          <w:tcPr>
            <w:tcW w:w="9639" w:type="dxa"/>
            <w:gridSpan w:val="2"/>
            <w:shd w:val="clear" w:color="auto" w:fill="D9D9D9" w:themeFill="background1" w:themeFillShade="D9"/>
          </w:tcPr>
          <w:p>
            <w:pPr>
              <w:spacing w:before="120" w:after="120"/>
              <w:rPr>
                <w:rFonts w:ascii="Times New Roman" w:eastAsia="Times New Roman" w:hAnsi="Times New Roman" w:cs="Times New Roman"/>
                <w:b/>
                <w:noProof/>
                <w:color w:val="000000" w:themeColor="text1"/>
              </w:rPr>
            </w:pPr>
            <w:r>
              <w:rPr>
                <w:rFonts w:ascii="Times New Roman" w:hAnsi="Times New Roman"/>
                <w:b/>
                <w:noProof/>
                <w:color w:val="000000" w:themeColor="text1"/>
              </w:rPr>
              <w:t>UNIUNEA EUROPEANĂ PENTRU O AGENDĂ GLOBALĂ AMBIȚIOASĂ ÎN MATERIE DE BIODIVERSITATE</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Negocierea unui acord privind un cadru ambițios post-2020 în materie de biodiversitate la cea de a 15-a Conferință a părților la Convenția privind diversitatea biologică (CBD COP15)</w:t>
            </w:r>
          </w:p>
        </w:tc>
        <w:tc>
          <w:tcPr>
            <w:tcW w:w="2572" w:type="dxa"/>
          </w:tcPr>
          <w:p>
            <w:pPr>
              <w:spacing w:before="120" w:after="120"/>
              <w:jc w:val="both"/>
              <w:rPr>
                <w:rFonts w:ascii="Times New Roman" w:hAnsi="Times New Roman" w:cs="Times New Roman"/>
                <w:noProof/>
              </w:rPr>
            </w:pPr>
            <w:r>
              <w:rPr>
                <w:rFonts w:ascii="Times New Roman" w:hAnsi="Times New Roman"/>
                <w:noProof/>
              </w:rPr>
              <w:t>2020-2021</w:t>
            </w:r>
          </w:p>
        </w:tc>
      </w:tr>
      <w:tr>
        <w:tc>
          <w:tcPr>
            <w:tcW w:w="7067" w:type="dxa"/>
          </w:tcPr>
          <w:p>
            <w:pPr>
              <w:spacing w:before="120" w:after="120"/>
              <w:jc w:val="both"/>
              <w:rPr>
                <w:rFonts w:ascii="Times New Roman" w:hAnsi="Times New Roman" w:cs="Times New Roman"/>
                <w:noProof/>
              </w:rPr>
            </w:pPr>
            <w:r>
              <w:rPr>
                <w:rFonts w:ascii="Times New Roman" w:hAnsi="Times New Roman"/>
                <w:noProof/>
              </w:rPr>
              <w:t xml:space="preserve">Negocierea unui </w:t>
            </w:r>
            <w:r>
              <w:rPr>
                <w:rFonts w:ascii="Times New Roman" w:hAnsi="Times New Roman"/>
                <w:noProof/>
                <w:szCs w:val="24"/>
              </w:rPr>
              <w:t>acord ambițios cu privire la diversitatea biologică marină a zonelor din afara jurisdicțiilor naționale</w:t>
            </w:r>
            <w:r>
              <w:rPr>
                <w:rFonts w:ascii="Times New Roman" w:hAnsi="Times New Roman"/>
                <w:noProof/>
              </w:rPr>
              <w:t xml:space="preserve"> și la trei mari zone marine protejate din Oceanul Antarctic</w:t>
            </w:r>
          </w:p>
        </w:tc>
        <w:tc>
          <w:tcPr>
            <w:tcW w:w="2572" w:type="dxa"/>
          </w:tcPr>
          <w:p>
            <w:pPr>
              <w:spacing w:before="120" w:after="120"/>
              <w:jc w:val="both"/>
              <w:rPr>
                <w:rFonts w:ascii="Times New Roman" w:hAnsi="Times New Roman" w:cs="Times New Roman"/>
                <w:noProof/>
              </w:rPr>
            </w:pPr>
            <w:r>
              <w:rPr>
                <w:rFonts w:ascii="Times New Roman" w:hAnsi="Times New Roman"/>
                <w:noProof/>
              </w:rPr>
              <w:t>începând din 2020</w:t>
            </w:r>
          </w:p>
        </w:tc>
      </w:tr>
      <w:tr>
        <w:tc>
          <w:tcPr>
            <w:tcW w:w="7067" w:type="dxa"/>
          </w:tcPr>
          <w:p>
            <w:pPr>
              <w:spacing w:before="120" w:after="120"/>
              <w:jc w:val="both"/>
              <w:rPr>
                <w:rFonts w:ascii="Times New Roman" w:hAnsi="Times New Roman" w:cs="Times New Roman"/>
                <w:noProof/>
              </w:rPr>
            </w:pPr>
            <w:r>
              <w:rPr>
                <w:rFonts w:ascii="Times New Roman" w:hAnsi="Times New Roman"/>
                <w:noProof/>
                <w:szCs w:val="24"/>
              </w:rPr>
              <w:t xml:space="preserve">Evaluarea impactului acordurilor comerciale asupra biodiversității și monitorizare, după caz </w:t>
            </w:r>
          </w:p>
        </w:tc>
        <w:tc>
          <w:tcPr>
            <w:tcW w:w="2572" w:type="dxa"/>
          </w:tcPr>
          <w:p>
            <w:pPr>
              <w:spacing w:before="120" w:after="120"/>
              <w:jc w:val="both"/>
              <w:rPr>
                <w:rFonts w:ascii="Times New Roman" w:hAnsi="Times New Roman" w:cs="Times New Roman"/>
                <w:noProof/>
              </w:rPr>
            </w:pPr>
            <w:r>
              <w:rPr>
                <w:rFonts w:ascii="Times New Roman" w:hAnsi="Times New Roman"/>
                <w:noProof/>
                <w:szCs w:val="24"/>
              </w:rPr>
              <w:t>începând din 2020</w:t>
            </w:r>
          </w:p>
        </w:tc>
      </w:tr>
      <w:tr>
        <w:tc>
          <w:tcPr>
            <w:tcW w:w="7067" w:type="dxa"/>
          </w:tcPr>
          <w:p>
            <w:pPr>
              <w:spacing w:before="120" w:after="120"/>
              <w:jc w:val="both"/>
              <w:rPr>
                <w:rFonts w:ascii="Times New Roman" w:hAnsi="Times New Roman" w:cs="Times New Roman"/>
                <w:noProof/>
                <w:szCs w:val="24"/>
              </w:rPr>
            </w:pPr>
            <w:r>
              <w:rPr>
                <w:rFonts w:ascii="Times New Roman" w:hAnsi="Times New Roman"/>
                <w:noProof/>
                <w:szCs w:val="24"/>
              </w:rPr>
              <w:t>Măsuri de evitare sau de minimizare a introducerii pe piața UE a produselor asociate cu defrișarea sau degradarea pădurilor</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 xml:space="preserve">Revizuirea Planului de acțiune al UE în materie de combatere a traficului cu specii sălbatice de faună și floră </w:t>
            </w:r>
          </w:p>
        </w:tc>
        <w:tc>
          <w:tcPr>
            <w:tcW w:w="2572" w:type="dxa"/>
          </w:tcPr>
          <w:p>
            <w:pPr>
              <w:spacing w:before="120" w:after="120"/>
              <w:jc w:val="both"/>
              <w:rPr>
                <w:rFonts w:ascii="Times New Roman" w:hAnsi="Times New Roman" w:cs="Times New Roman"/>
                <w:noProof/>
              </w:rPr>
            </w:pPr>
            <w:r>
              <w:rPr>
                <w:rFonts w:ascii="Times New Roman" w:hAnsi="Times New Roman"/>
                <w:noProof/>
              </w:rPr>
              <w:t>2021</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 xml:space="preserve">Propunere de înăsprire a normelor privind comerțul cu fildeș în UE </w:t>
            </w:r>
          </w:p>
        </w:tc>
        <w:tc>
          <w:tcPr>
            <w:tcW w:w="2572" w:type="dxa"/>
          </w:tcPr>
          <w:p>
            <w:pPr>
              <w:spacing w:before="120" w:after="120"/>
              <w:jc w:val="both"/>
              <w:rPr>
                <w:rFonts w:ascii="Times New Roman" w:hAnsi="Times New Roman" w:cs="Times New Roman"/>
                <w:noProof/>
              </w:rPr>
            </w:pPr>
            <w:r>
              <w:rPr>
                <w:rFonts w:ascii="Times New Roman" w:hAnsi="Times New Roman"/>
                <w:noProof/>
              </w:rPr>
              <w:t>2020</w:t>
            </w:r>
          </w:p>
        </w:tc>
      </w:tr>
      <w:tr>
        <w:tc>
          <w:tcPr>
            <w:tcW w:w="7067" w:type="dxa"/>
            <w:shd w:val="clear" w:color="auto" w:fill="auto"/>
          </w:tcPr>
          <w:p>
            <w:pPr>
              <w:spacing w:before="120" w:after="120"/>
              <w:jc w:val="both"/>
              <w:rPr>
                <w:rFonts w:ascii="Times New Roman" w:hAnsi="Times New Roman" w:cs="Times New Roman"/>
                <w:noProof/>
              </w:rPr>
            </w:pPr>
            <w:r>
              <w:rPr>
                <w:rFonts w:ascii="Times New Roman" w:hAnsi="Times New Roman"/>
                <w:noProof/>
              </w:rPr>
              <w:t>Inițiativa NaturAfrica privind protejarea speciilor sălbatice de faună și floră și a ecosistemelor esențiale</w:t>
            </w:r>
          </w:p>
        </w:tc>
        <w:tc>
          <w:tcPr>
            <w:tcW w:w="2572" w:type="dxa"/>
          </w:tcPr>
          <w:p>
            <w:pPr>
              <w:spacing w:before="120" w:after="120"/>
              <w:jc w:val="both"/>
              <w:rPr>
                <w:rFonts w:ascii="Times New Roman" w:hAnsi="Times New Roman" w:cs="Times New Roman"/>
                <w:noProof/>
              </w:rPr>
            </w:pPr>
            <w:r>
              <w:rPr>
                <w:rFonts w:ascii="Times New Roman" w:hAnsi="Times New Roman"/>
                <w:noProof/>
              </w:rPr>
              <w:t>începând din 2021</w:t>
            </w:r>
          </w:p>
        </w:tc>
      </w:tr>
    </w:tbl>
    <w:p>
      <w:pPr>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062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227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77F"/>
    <w:multiLevelType w:val="hybridMultilevel"/>
    <w:tmpl w:val="F3549252"/>
    <w:lvl w:ilvl="0" w:tplc="90CEADFC">
      <w:start w:val="202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4321C"/>
    <w:multiLevelType w:val="multilevel"/>
    <w:tmpl w:val="18A01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880712"/>
    <w:multiLevelType w:val="hybridMultilevel"/>
    <w:tmpl w:val="D2709E76"/>
    <w:lvl w:ilvl="0" w:tplc="0C0EEB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C31AE"/>
    <w:multiLevelType w:val="hybridMultilevel"/>
    <w:tmpl w:val="C7AE0E3A"/>
    <w:lvl w:ilvl="0" w:tplc="506230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14800"/>
    <w:multiLevelType w:val="hybridMultilevel"/>
    <w:tmpl w:val="666A540C"/>
    <w:lvl w:ilvl="0" w:tplc="60C83EAA">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B8160A1"/>
    <w:multiLevelType w:val="hybridMultilevel"/>
    <w:tmpl w:val="E4E6F362"/>
    <w:lvl w:ilvl="0" w:tplc="51F81068">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65145E"/>
    <w:multiLevelType w:val="multilevel"/>
    <w:tmpl w:val="B104831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5682"/>
        </w:tabs>
        <w:ind w:left="568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num w:numId="1">
    <w:abstractNumId w:val="7"/>
  </w:num>
  <w:num w:numId="2">
    <w:abstractNumId w:val="6"/>
  </w:num>
  <w:num w:numId="3">
    <w:abstractNumId w:val="5"/>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1"/>
    <w:docVar w:name="LW_CORRIGENDUM" w:val="&lt;UNUSED&gt;"/>
    <w:docVar w:name="LW_COVERPAGE_EXISTS" w:val="True"/>
    <w:docVar w:name="LW_COVERPAGE_GUID" w:val="9A84BAFB-5B97-4E2D-B389-B3445C207D7E"/>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Strategia UE privind biodiversitatea pentru 2030_x000d__x000d__x000d__x000d__x000d__x000d__x000d__x000d__x000d__x000d__x000d__x000b__x000d__x000d__x000d__x000d__x000d__x000d__x000b_Readucerea naturii în vie\u539?ile noastre"/>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 COMITETUL ECONOMIC SI SOCIAL EUROPEAN \u536?I COMITETUL REGIUNILOR"/>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qFormat/>
    <w:pPr>
      <w:keepNext/>
      <w:tabs>
        <w:tab w:val="num" w:pos="709"/>
      </w:tabs>
      <w:spacing w:after="240" w:line="240" w:lineRule="auto"/>
      <w:ind w:left="709" w:hanging="709"/>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0"/>
    <w:qFormat/>
    <w:pPr>
      <w:keepNext/>
      <w:tabs>
        <w:tab w:val="num" w:pos="1922"/>
      </w:tabs>
      <w:spacing w:after="240" w:line="240" w:lineRule="auto"/>
      <w:ind w:left="1922" w:hanging="720"/>
      <w:jc w:val="both"/>
      <w:outlineLvl w:val="3"/>
    </w:pPr>
    <w:rPr>
      <w:rFonts w:ascii="Times New Roman" w:eastAsia="Times New Roman" w:hAnsi="Times New Roman" w:cs="Times New Roman"/>
      <w:sz w:val="24"/>
      <w:szCs w:val="20"/>
      <w:lang w:eastAsia="en-IE"/>
    </w:rPr>
  </w:style>
  <w:style w:type="paragraph" w:styleId="Heading5">
    <w:name w:val="heading 5"/>
    <w:basedOn w:val="Normal"/>
    <w:next w:val="Normal"/>
    <w:link w:val="Heading5Char"/>
    <w:semiHidden/>
    <w:pPr>
      <w:keepNext/>
      <w:tabs>
        <w:tab w:val="num" w:pos="2880"/>
      </w:tabs>
      <w:spacing w:after="240" w:line="240" w:lineRule="auto"/>
      <w:ind w:left="3838" w:hanging="958"/>
      <w:jc w:val="both"/>
      <w:outlineLvl w:val="4"/>
    </w:pPr>
    <w:rPr>
      <w:rFonts w:ascii="Times New Roman" w:eastAsia="Times New Roman" w:hAnsi="Times New Roman" w:cs="Times New Roman"/>
      <w:sz w:val="24"/>
      <w:szCs w:val="20"/>
      <w:lang w:eastAsia="en-IE"/>
    </w:rPr>
  </w:style>
  <w:style w:type="paragraph" w:styleId="Heading6">
    <w:name w:val="heading 6"/>
    <w:basedOn w:val="Normal"/>
    <w:next w:val="Normal"/>
    <w:link w:val="Heading6Char"/>
    <w:semiHidden/>
    <w:pPr>
      <w:keepNext/>
      <w:tabs>
        <w:tab w:val="num" w:pos="2880"/>
      </w:tabs>
      <w:spacing w:after="240" w:line="240" w:lineRule="auto"/>
      <w:ind w:left="3838" w:hanging="958"/>
      <w:jc w:val="both"/>
      <w:outlineLvl w:val="5"/>
    </w:pPr>
    <w:rPr>
      <w:rFonts w:ascii="Times New Roman" w:eastAsia="Times New Roman" w:hAnsi="Times New Roman" w:cs="Times New Roman"/>
      <w:sz w:val="24"/>
      <w:szCs w:val="20"/>
      <w:lang w:eastAsia="en-IE"/>
    </w:rPr>
  </w:style>
  <w:style w:type="paragraph" w:styleId="Heading7">
    <w:name w:val="heading 7"/>
    <w:basedOn w:val="Normal"/>
    <w:next w:val="Normal"/>
    <w:link w:val="Heading7Char"/>
    <w:semiHidden/>
    <w:pPr>
      <w:keepNext/>
      <w:tabs>
        <w:tab w:val="num" w:pos="2880"/>
      </w:tabs>
      <w:spacing w:after="240" w:line="240" w:lineRule="auto"/>
      <w:ind w:left="3838" w:hanging="958"/>
      <w:jc w:val="both"/>
      <w:outlineLvl w:val="6"/>
    </w:pPr>
    <w:rPr>
      <w:rFonts w:ascii="Times New Roman" w:eastAsia="Times New Roman" w:hAnsi="Times New Roman" w:cs="Times New Roman"/>
      <w:sz w:val="24"/>
      <w:szCs w:val="20"/>
      <w:lang w:eastAsia="en-IE"/>
    </w:rPr>
  </w:style>
  <w:style w:type="paragraph" w:styleId="Heading8">
    <w:name w:val="heading 8"/>
    <w:basedOn w:val="Normal"/>
    <w:next w:val="Normal"/>
    <w:link w:val="Heading8Char"/>
    <w:semiHidden/>
    <w:pPr>
      <w:keepNext/>
      <w:tabs>
        <w:tab w:val="num" w:pos="2880"/>
      </w:tabs>
      <w:spacing w:after="240" w:line="240" w:lineRule="auto"/>
      <w:ind w:left="3838" w:hanging="958"/>
      <w:jc w:val="both"/>
      <w:outlineLvl w:val="7"/>
    </w:pPr>
    <w:rPr>
      <w:rFonts w:ascii="Times New Roman" w:eastAsia="Times New Roman" w:hAnsi="Times New Roman" w:cs="Times New Roman"/>
      <w:sz w:val="24"/>
      <w:szCs w:val="20"/>
      <w:lang w:eastAsia="en-IE"/>
    </w:rPr>
  </w:style>
  <w:style w:type="paragraph" w:styleId="Heading9">
    <w:name w:val="heading 9"/>
    <w:basedOn w:val="Normal"/>
    <w:next w:val="Normal"/>
    <w:link w:val="Heading9Char"/>
    <w:semiHidden/>
    <w:pPr>
      <w:keepNext/>
      <w:tabs>
        <w:tab w:val="num" w:pos="2880"/>
      </w:tabs>
      <w:spacing w:after="240" w:line="240" w:lineRule="auto"/>
      <w:ind w:left="3838" w:hanging="958"/>
      <w:jc w:val="both"/>
      <w:outlineLvl w:val="8"/>
    </w:pPr>
    <w:rPr>
      <w:rFonts w:ascii="Times New Roman" w:eastAsia="Times New Roman" w:hAnsi="Times New Roman" w:cs="Times New Roman"/>
      <w:sz w:val="24"/>
      <w:szCs w:val="20"/>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FooterLine">
    <w:name w:val="Footer Line"/>
    <w:basedOn w:val="Footer"/>
    <w:next w:val="Footer"/>
    <w:uiPriority w:val="99"/>
    <w:pPr>
      <w:tabs>
        <w:tab w:val="clear" w:pos="4680"/>
        <w:tab w:val="clear" w:pos="9360"/>
        <w:tab w:val="right" w:pos="8646"/>
      </w:tabs>
      <w:spacing w:before="120" w:line="264" w:lineRule="auto"/>
      <w:jc w:val="both"/>
    </w:pPr>
    <w:rPr>
      <w:rFonts w:ascii="Times New Roman" w:eastAsia="Times New Roman" w:hAnsi="Times New Roman" w:cs="Times New Roman"/>
      <w:sz w:val="16"/>
      <w:szCs w:val="20"/>
      <w:lang w:eastAsia="en-IE"/>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Fußnotentextf,f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IE"/>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jc w:val="both"/>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style>
  <w:style w:type="paragraph" w:customStyle="1" w:styleId="FigureBody">
    <w:name w:val="Figure Body"/>
    <w:basedOn w:val="Normal"/>
    <w:uiPriority w:val="7"/>
    <w:pPr>
      <w:keepNext/>
      <w:spacing w:after="40" w:line="240" w:lineRule="auto"/>
      <w:jc w:val="both"/>
    </w:pPr>
    <w:rPr>
      <w:rFonts w:ascii="Times New Roman" w:hAnsi="Times New Roman" w:cs="Times New Roman"/>
      <w:sz w:val="24"/>
      <w:szCs w:val="24"/>
      <w:lang w:eastAsia="en-GB"/>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tabs>
        <w:tab w:val="num" w:pos="482"/>
      </w:tabs>
      <w:spacing w:before="240" w:after="240" w:line="240" w:lineRule="auto"/>
      <w:ind w:left="482" w:hanging="482"/>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qFormat/>
    <w:pPr>
      <w:keepNext/>
      <w:tabs>
        <w:tab w:val="num" w:pos="709"/>
      </w:tabs>
      <w:spacing w:after="240" w:line="240" w:lineRule="auto"/>
      <w:ind w:left="709" w:hanging="709"/>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tabs>
        <w:tab w:val="num" w:pos="1922"/>
      </w:tabs>
      <w:spacing w:after="240" w:line="240" w:lineRule="auto"/>
      <w:ind w:left="1922" w:hanging="720"/>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0"/>
    <w:qFormat/>
    <w:pPr>
      <w:keepNext/>
      <w:tabs>
        <w:tab w:val="num" w:pos="1922"/>
      </w:tabs>
      <w:spacing w:after="240" w:line="240" w:lineRule="auto"/>
      <w:ind w:left="1922" w:hanging="720"/>
      <w:jc w:val="both"/>
      <w:outlineLvl w:val="3"/>
    </w:pPr>
    <w:rPr>
      <w:rFonts w:ascii="Times New Roman" w:eastAsia="Times New Roman" w:hAnsi="Times New Roman" w:cs="Times New Roman"/>
      <w:sz w:val="24"/>
      <w:szCs w:val="20"/>
      <w:lang w:eastAsia="en-IE"/>
    </w:rPr>
  </w:style>
  <w:style w:type="paragraph" w:styleId="Heading5">
    <w:name w:val="heading 5"/>
    <w:basedOn w:val="Normal"/>
    <w:next w:val="Normal"/>
    <w:link w:val="Heading5Char"/>
    <w:semiHidden/>
    <w:pPr>
      <w:keepNext/>
      <w:tabs>
        <w:tab w:val="num" w:pos="2880"/>
      </w:tabs>
      <w:spacing w:after="240" w:line="240" w:lineRule="auto"/>
      <w:ind w:left="3838" w:hanging="958"/>
      <w:jc w:val="both"/>
      <w:outlineLvl w:val="4"/>
    </w:pPr>
    <w:rPr>
      <w:rFonts w:ascii="Times New Roman" w:eastAsia="Times New Roman" w:hAnsi="Times New Roman" w:cs="Times New Roman"/>
      <w:sz w:val="24"/>
      <w:szCs w:val="20"/>
      <w:lang w:eastAsia="en-IE"/>
    </w:rPr>
  </w:style>
  <w:style w:type="paragraph" w:styleId="Heading6">
    <w:name w:val="heading 6"/>
    <w:basedOn w:val="Normal"/>
    <w:next w:val="Normal"/>
    <w:link w:val="Heading6Char"/>
    <w:semiHidden/>
    <w:pPr>
      <w:keepNext/>
      <w:tabs>
        <w:tab w:val="num" w:pos="2880"/>
      </w:tabs>
      <w:spacing w:after="240" w:line="240" w:lineRule="auto"/>
      <w:ind w:left="3838" w:hanging="958"/>
      <w:jc w:val="both"/>
      <w:outlineLvl w:val="5"/>
    </w:pPr>
    <w:rPr>
      <w:rFonts w:ascii="Times New Roman" w:eastAsia="Times New Roman" w:hAnsi="Times New Roman" w:cs="Times New Roman"/>
      <w:sz w:val="24"/>
      <w:szCs w:val="20"/>
      <w:lang w:eastAsia="en-IE"/>
    </w:rPr>
  </w:style>
  <w:style w:type="paragraph" w:styleId="Heading7">
    <w:name w:val="heading 7"/>
    <w:basedOn w:val="Normal"/>
    <w:next w:val="Normal"/>
    <w:link w:val="Heading7Char"/>
    <w:semiHidden/>
    <w:pPr>
      <w:keepNext/>
      <w:tabs>
        <w:tab w:val="num" w:pos="2880"/>
      </w:tabs>
      <w:spacing w:after="240" w:line="240" w:lineRule="auto"/>
      <w:ind w:left="3838" w:hanging="958"/>
      <w:jc w:val="both"/>
      <w:outlineLvl w:val="6"/>
    </w:pPr>
    <w:rPr>
      <w:rFonts w:ascii="Times New Roman" w:eastAsia="Times New Roman" w:hAnsi="Times New Roman" w:cs="Times New Roman"/>
      <w:sz w:val="24"/>
      <w:szCs w:val="20"/>
      <w:lang w:eastAsia="en-IE"/>
    </w:rPr>
  </w:style>
  <w:style w:type="paragraph" w:styleId="Heading8">
    <w:name w:val="heading 8"/>
    <w:basedOn w:val="Normal"/>
    <w:next w:val="Normal"/>
    <w:link w:val="Heading8Char"/>
    <w:semiHidden/>
    <w:pPr>
      <w:keepNext/>
      <w:tabs>
        <w:tab w:val="num" w:pos="2880"/>
      </w:tabs>
      <w:spacing w:after="240" w:line="240" w:lineRule="auto"/>
      <w:ind w:left="3838" w:hanging="958"/>
      <w:jc w:val="both"/>
      <w:outlineLvl w:val="7"/>
    </w:pPr>
    <w:rPr>
      <w:rFonts w:ascii="Times New Roman" w:eastAsia="Times New Roman" w:hAnsi="Times New Roman" w:cs="Times New Roman"/>
      <w:sz w:val="24"/>
      <w:szCs w:val="20"/>
      <w:lang w:eastAsia="en-IE"/>
    </w:rPr>
  </w:style>
  <w:style w:type="paragraph" w:styleId="Heading9">
    <w:name w:val="heading 9"/>
    <w:basedOn w:val="Normal"/>
    <w:next w:val="Normal"/>
    <w:link w:val="Heading9Char"/>
    <w:semiHidden/>
    <w:pPr>
      <w:keepNext/>
      <w:tabs>
        <w:tab w:val="num" w:pos="2880"/>
      </w:tabs>
      <w:spacing w:after="240" w:line="240" w:lineRule="auto"/>
      <w:ind w:left="3838" w:hanging="958"/>
      <w:jc w:val="both"/>
      <w:outlineLvl w:val="8"/>
    </w:pPr>
    <w:rPr>
      <w:rFonts w:ascii="Times New Roman" w:eastAsia="Times New Roman" w:hAnsi="Times New Roman" w:cs="Times New Roman"/>
      <w:sz w:val="24"/>
      <w:szCs w:val="20"/>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FooterLine">
    <w:name w:val="Footer Line"/>
    <w:basedOn w:val="Footer"/>
    <w:next w:val="Footer"/>
    <w:uiPriority w:val="99"/>
    <w:pPr>
      <w:tabs>
        <w:tab w:val="clear" w:pos="4680"/>
        <w:tab w:val="clear" w:pos="9360"/>
        <w:tab w:val="right" w:pos="8646"/>
      </w:tabs>
      <w:spacing w:before="120" w:line="264" w:lineRule="auto"/>
      <w:jc w:val="both"/>
    </w:pPr>
    <w:rPr>
      <w:rFonts w:ascii="Times New Roman" w:eastAsia="Times New Roman" w:hAnsi="Times New Roman" w:cs="Times New Roman"/>
      <w:sz w:val="16"/>
      <w:szCs w:val="20"/>
      <w:lang w:eastAsia="en-IE"/>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Fußnotentextf,f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IE"/>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jc w:val="both"/>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style>
  <w:style w:type="paragraph" w:customStyle="1" w:styleId="FigureBody">
    <w:name w:val="Figure Body"/>
    <w:basedOn w:val="Normal"/>
    <w:uiPriority w:val="7"/>
    <w:pPr>
      <w:keepNext/>
      <w:spacing w:after="40" w:line="240" w:lineRule="auto"/>
      <w:jc w:val="both"/>
    </w:pPr>
    <w:rPr>
      <w:rFonts w:ascii="Times New Roman" w:hAnsi="Times New Roman" w:cs="Times New Roman"/>
      <w:sz w:val="24"/>
      <w:szCs w:val="24"/>
      <w:lang w:eastAsia="en-GB"/>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3F7E2F-4B9C-4532-89C8-172D7C2B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5665</Characters>
  <Application>Microsoft Office Word</Application>
  <DocSecurity>0</DocSecurity>
  <Lines>145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2020-05-19T09:51:00Z</dcterms:created>
  <dcterms:modified xsi:type="dcterms:W3CDTF">2020-06-04T07:23:00Z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