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52D1603-2282-4FBF-A7AD-0F2010E296D3" style="width:450.45pt;height:395.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Covid-19-pandemia aiheuttaa toimitusketjuun merkittäviä häiriöitä, joiden vuoksi liikkuvien työkoneiden valmistajien on ollut vaikea noudattaa joitakin niistä määräajoista, jotka vahvistetaan liikkuviin työkoneisiin tarkoitettujen polttomoottoreiden kaasu- ja hiukkaspäästöjen raja-arvoihin ja tyyppihyväksyntään liittyvistä vaatimuksista 14. syyskuuta 2016 annetussa Euroopan parlamentin ja neuvoston asetuksessa (EU) 2016/1628.</w:t>
      </w:r>
    </w:p>
    <w:p>
      <w:pPr>
        <w:rPr>
          <w:noProof/>
        </w:rPr>
      </w:pPr>
      <w:r>
        <w:rPr>
          <w:noProof/>
        </w:rPr>
        <w:t xml:space="preserve">Kyseisessä asetuksessa vahvistetaan uudet päästörajat (vaihe V), joilla on tarkoitus vähentää liikkuviin työkoneisiin tarkoitettujen moottoreiden nykyisiä ilmaa pilaavia epäpuhtauspäästöjä. Koska tietyillä valmistajilla on rakenteellisia vaikeuksia siirtyä noudattamaan vaiheen V päästörajoja, asetuksessa annetaan niille aikaa siirtymän toteuttamiseen. </w:t>
      </w:r>
    </w:p>
    <w:p>
      <w:pPr>
        <w:rPr>
          <w:noProof/>
        </w:rPr>
      </w:pPr>
      <w:r>
        <w:rPr>
          <w:noProof/>
        </w:rPr>
        <w:t>Asetuksen 58 artiklan 5 kohdassa säädettyjen siirtymäaikojen ja sen liitteessä III vahvistettujen määräpäivien mukaan valmistajilla on 30. kesäkuuta 2020 asti aikaa varustaa valmistamansa liikkuvat työkoneet seuraavien luokkien siirtymäajan moottoreilla: NRE tehoalueella 56 kW &lt; P ≥ 130 kW, NRG, NRSh, NRS, IWP ja IWA tehoalueella 19 kW ≤ P &lt; 300 kW, SMB ja ATS. Nämä moottorit on saatettava unionin markkinoille 31. joulukuuta 2020 mennessä.</w:t>
      </w:r>
    </w:p>
    <w:p>
      <w:pPr>
        <w:rPr>
          <w:noProof/>
        </w:rPr>
      </w:pPr>
      <w:r>
        <w:rPr>
          <w:noProof/>
        </w:rPr>
        <w:t xml:space="preserve">Covid-19-pandemia on kuitenkin aiheuttanut täydellisiä katkoksia osien ja komponenttien toimituksiin, minkä vuoksi valmistajille on jäänyt varastoon moottoreita ja keskeneräisiä tuotteita. Näiden häiriöiden vuoksi monet moottoreiden ja koneiden valmistajat eivät pysty noudattamaa edellä mainittuja määräaikoja kärsimättä vakavaa taloudellista vahinkoa. </w:t>
      </w:r>
    </w:p>
    <w:p>
      <w:pPr>
        <w:rPr>
          <w:noProof/>
        </w:rPr>
      </w:pPr>
      <w:r>
        <w:rPr>
          <w:noProof/>
        </w:rPr>
        <w:t>Kun otetaan huomioon nämä häiriöt, joihin ei ollut voitu varautua ennakolta, pidennetään siirtymävaiheen moottoreilla varustettujen liikkuvien koneiden ja traktorien valmistamiseen ja markkinoille saattamiseen sovellettavia määräaikoja kahdellatoista kuukaudella. Tämä pidentäminen ei koske siirtymäajan moottoreita, joihin sovelletaan 58 artiklan 5 kohdan toisessa, kolmannessa ja neljännessä alakohdassa vahvistettuja päivämääriä.</w:t>
      </w:r>
    </w:p>
    <w:p>
      <w:pPr>
        <w:rPr>
          <w:noProof/>
        </w:rPr>
      </w:pPr>
      <w:r>
        <w:rPr>
          <w:noProof/>
        </w:rPr>
        <w:t>Kahdentoista kuukauden pidennys on perusteltu, kun otetaan huomioon siirtymäajan moottoreilla varustettavien tuotteiden kausiluontoisuus. Tämä koskee etenkin traktoreita ja puutarhalaitteita. Lisäksi on vaikea ennustaa tarkasti, kuinka kauan asianomaisten tuotteiden saattaminen valmiiksi viivästyy (esim. sisävesialusten tapauksessa). On myös huomattava, että määräaikojen pidentämisen kestosta riippumatta talouden toimijoilla ei ole mitään syytä lykätä pitempään sellaisten koneiden, ajoneuvojen ja alusten, joista heille on jo syntynyt kustannuksia, rakentamista valmiiksi ja saattamista markkinoille.</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u w:color="000000"/>
          <w:bdr w:val="nil"/>
        </w:rPr>
        <w:t>•</w:t>
      </w:r>
      <w:r>
        <w:rPr>
          <w:noProof/>
        </w:rPr>
        <w:tab/>
      </w:r>
      <w:r>
        <w:rPr>
          <w:noProof/>
          <w:u w:color="000000"/>
          <w:bdr w:val="nil"/>
        </w:rPr>
        <w:t>Oikeusperusta</w:t>
      </w:r>
    </w:p>
    <w:p>
      <w:pPr>
        <w:pBdr>
          <w:top w:val="nil"/>
          <w:left w:val="nil"/>
          <w:bottom w:val="nil"/>
          <w:right w:val="nil"/>
          <w:between w:val="nil"/>
          <w:bar w:val="nil"/>
        </w:pBdr>
        <w:spacing w:before="0" w:after="240"/>
        <w:rPr>
          <w:rFonts w:eastAsia="Arial Unicode MS"/>
          <w:noProof/>
        </w:rPr>
      </w:pPr>
      <w:r>
        <w:rPr>
          <w:noProof/>
        </w:rPr>
        <w:t>Euroopan unionin toiminnasta tehdyn sopimuksen 114 artikla</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Toissijaisuusperiaate (jaetun toimivallan osalta) </w:t>
      </w:r>
    </w:p>
    <w:p>
      <w:pPr>
        <w:pBdr>
          <w:top w:val="nil"/>
          <w:left w:val="nil"/>
          <w:bottom w:val="nil"/>
          <w:right w:val="nil"/>
          <w:between w:val="nil"/>
          <w:bar w:val="nil"/>
        </w:pBdr>
        <w:spacing w:before="0" w:after="240"/>
        <w:rPr>
          <w:noProof/>
        </w:rPr>
      </w:pPr>
      <w:r>
        <w:rPr>
          <w:noProof/>
        </w:rPr>
        <w:t>Toissijaisuusperiaatetta sovelletaan, koska asia, jota ehdotus koskee, ei kuulu unionin yksinomaiseen toimivaltaan.</w:t>
      </w:r>
    </w:p>
    <w:p>
      <w:pPr>
        <w:pBdr>
          <w:top w:val="nil"/>
          <w:left w:val="nil"/>
          <w:bottom w:val="nil"/>
          <w:right w:val="nil"/>
          <w:between w:val="nil"/>
          <w:bar w:val="nil"/>
        </w:pBdr>
        <w:spacing w:before="0" w:after="240"/>
        <w:rPr>
          <w:noProof/>
        </w:rPr>
      </w:pPr>
      <w:r>
        <w:rPr>
          <w:noProof/>
        </w:rPr>
        <w:lastRenderedPageBreak/>
        <w:t>Koska ehdotus sisältää muutoksia voimassa olevaan EU:n lainsäädäntöön, ainoastaan EU voi tehokkaasti ratkaista asiaan liittyvät kysymykset. Lisäksi jäsenvaltiot eivät voi riittävällä tavalla saavuttaa toimenpiteen tavoitteita.</w:t>
      </w:r>
    </w:p>
    <w:p>
      <w:pPr>
        <w:pBdr>
          <w:top w:val="nil"/>
          <w:left w:val="nil"/>
          <w:bottom w:val="nil"/>
          <w:right w:val="nil"/>
          <w:between w:val="nil"/>
          <w:bar w:val="nil"/>
        </w:pBdr>
        <w:spacing w:before="0" w:after="240"/>
        <w:rPr>
          <w:noProof/>
        </w:rPr>
      </w:pPr>
      <w:r>
        <w:rPr>
          <w:noProof/>
        </w:rPr>
        <w:t xml:space="preserve">Euroopan unionin toimet ovat välttämättömiä, jotta vältetään esteiden syntyminen sisämarkkinoille eritoten liikkuvien työkoneiden moottoreiden alalla. Niitä puoltaa myös ilman saastumisen eri maiden rajat ylittävä luonne. </w:t>
      </w:r>
    </w:p>
    <w:p>
      <w:pPr>
        <w:pBdr>
          <w:top w:val="nil"/>
          <w:left w:val="nil"/>
          <w:bottom w:val="nil"/>
          <w:right w:val="nil"/>
          <w:between w:val="nil"/>
          <w:bar w:val="nil"/>
        </w:pBdr>
        <w:spacing w:before="0" w:after="240"/>
        <w:rPr>
          <w:noProof/>
        </w:rPr>
      </w:pPr>
      <w:r>
        <w:rPr>
          <w:noProof/>
        </w:rPr>
        <w:t>Sen vuoksi ehdotus on toissijaisuusperiaatteen mukainen.</w:t>
      </w:r>
    </w:p>
    <w:p>
      <w:pPr>
        <w:pStyle w:val="ManualHeading2"/>
        <w:rPr>
          <w:rFonts w:eastAsia="Arial Unicode MS"/>
          <w:noProof/>
          <w:u w:color="000000"/>
          <w:bdr w:val="nil"/>
        </w:rPr>
      </w:pPr>
      <w:r>
        <w:rPr>
          <w:noProof/>
          <w:u w:color="000000"/>
          <w:bdr w:val="nil"/>
        </w:rPr>
        <w:t>•</w:t>
      </w:r>
      <w:r>
        <w:rPr>
          <w:noProof/>
        </w:rPr>
        <w:tab/>
      </w:r>
      <w:r>
        <w:rPr>
          <w:noProof/>
          <w:u w:color="000000"/>
          <w:bdr w:val="nil"/>
        </w:rPr>
        <w:t>Suhteellisuusperiaate</w:t>
      </w:r>
    </w:p>
    <w:p>
      <w:pPr>
        <w:pBdr>
          <w:top w:val="nil"/>
          <w:left w:val="nil"/>
          <w:bottom w:val="nil"/>
          <w:right w:val="nil"/>
          <w:between w:val="nil"/>
          <w:bar w:val="nil"/>
        </w:pBdr>
        <w:spacing w:before="0" w:after="240"/>
        <w:rPr>
          <w:noProof/>
        </w:rPr>
      </w:pPr>
      <w:r>
        <w:rPr>
          <w:noProof/>
        </w:rPr>
        <w:t>Ehdotus on suhteellisuusperiaatteen mukainen, koska siinä ei ylitetä sitä, mikä on tarpeen sen tavoitteiden saavuttamiseksi; tavoitteena on varmistaa sisämarkkinoiden moitteeton toiminta ja taata samalla korkeatasoinen suoja yleiselle turvallisuudelle ja ympäristölle. Ehdotettu pidennys on oikeassa suhteessa COVID-19-pandemian aiheuttaman häiriön odotettuun kestoon.</w:t>
      </w:r>
    </w:p>
    <w:p>
      <w:pPr>
        <w:pStyle w:val="ManualHeading2"/>
        <w:rPr>
          <w:rFonts w:eastAsia="Arial Unicode MS"/>
          <w:noProof/>
          <w:u w:color="000000"/>
          <w:bdr w:val="nil"/>
        </w:rPr>
      </w:pPr>
      <w:r>
        <w:rPr>
          <w:noProof/>
          <w:u w:color="000000"/>
          <w:bdr w:val="nil"/>
        </w:rPr>
        <w:t>•</w:t>
      </w:r>
      <w:r>
        <w:rPr>
          <w:noProof/>
        </w:rPr>
        <w:tab/>
      </w:r>
      <w:r>
        <w:rPr>
          <w:noProof/>
          <w:u w:color="000000"/>
          <w:bdr w:val="nil"/>
        </w:rPr>
        <w:t>Toimintatavan valinta</w:t>
      </w:r>
    </w:p>
    <w:p>
      <w:pPr>
        <w:pBdr>
          <w:top w:val="nil"/>
          <w:left w:val="nil"/>
          <w:bottom w:val="nil"/>
          <w:right w:val="nil"/>
          <w:between w:val="nil"/>
          <w:bar w:val="nil"/>
        </w:pBdr>
        <w:spacing w:before="0" w:after="240"/>
        <w:rPr>
          <w:noProof/>
        </w:rPr>
      </w:pPr>
      <w:r>
        <w:rPr>
          <w:noProof/>
        </w:rPr>
        <w:t>Asetusta muuttava asetus</w:t>
      </w:r>
    </w:p>
    <w:p>
      <w:pPr>
        <w:pStyle w:val="ManualHeading1"/>
        <w:rPr>
          <w:noProof/>
        </w:rPr>
      </w:pPr>
      <w:r>
        <w:rPr>
          <w:noProof/>
        </w:rPr>
        <w:t>3.</w:t>
      </w:r>
      <w:r>
        <w:rPr>
          <w:noProof/>
        </w:rPr>
        <w:tab/>
        <w:t>JÄLKIARVIOINTIEN, SIDOSRYHMIEN KUULEMISTEN JA VAIKUTUSTENARVIOINTIEN TULOKSET</w:t>
      </w:r>
    </w:p>
    <w:p>
      <w:pPr>
        <w:pStyle w:val="Text1"/>
        <w:ind w:left="0"/>
        <w:rPr>
          <w:noProof/>
        </w:rPr>
      </w:pPr>
      <w:r>
        <w:rPr>
          <w:noProof/>
        </w:rPr>
        <w:t>Tähän ehdotukseen ei liity erillistä vaikutustenarviointia, sillä asetuksesta (EU) 2016/1628 on jo tehty vaikutustenarviointi. Tällä ehdotuksella ei muuteta kyseisen asetuksen asiasisältöä eikä aseteta uusia velvoitteita asianomaisille osapuolille. Ensisijaisena tarkoituksena on nykyiseen covid-19-pandemiaan liittyvistä poikkeuksellisista syistä pidentää kahdellatoista kuukaudella määräaikaa, jota sovelletaan siirtymäajan moottoreiden ja niille varustettujen koneiden valmistamiseen ja saattamiseen markkinoille. Ehdotuksella ei ole ympäristövaikutuksia, sillä ehdotetut toimenpiteet helpottavat sellaisten tuotteiden saattamista markkinoille, jotka on varustettu ennen pandemiaa valmistetuilla moottoreilla. Lisäksi vältetään tarve romuttaa tällaisilla moottoreilla varustettuja tuotteita, jotka eivät muutoin ole vaatimusten mukaisia.</w:t>
      </w:r>
    </w:p>
    <w:p>
      <w:pPr>
        <w:pStyle w:val="ManualHeading1"/>
        <w:rPr>
          <w:noProof/>
        </w:rPr>
      </w:pPr>
      <w:r>
        <w:rPr>
          <w:noProof/>
        </w:rPr>
        <w:t>4.</w:t>
      </w:r>
      <w:r>
        <w:rPr>
          <w:noProof/>
        </w:rPr>
        <w:tab/>
        <w:t>TALOUSARVIOVAIKUTUKSET</w:t>
      </w:r>
    </w:p>
    <w:p>
      <w:pPr>
        <w:pStyle w:val="Text1"/>
        <w:ind w:left="0"/>
        <w:rPr>
          <w:noProof/>
        </w:rPr>
      </w:pPr>
      <w:r>
        <w:rPr>
          <w:noProof/>
        </w:rPr>
        <w:t xml:space="preserve">Ehdotuksella ei ole EU:n toimielimiin kohdistuvia talousarviovaikutuksia. </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2020/0113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asetuksen (EU) 2016/1628 muuttamisesta sen siirtymäsäännösten osalta covid-19-kriisin vaikutusten huomioon ottamiseksi</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114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t>(1)</w:t>
      </w:r>
      <w:r>
        <w:tab/>
      </w:r>
      <w:r>
        <w:rPr>
          <w:noProof/>
        </w:rPr>
        <w:t>Euroopan parlamentin ja neuvoston asetuksessa (EU) 2016/1628</w:t>
      </w:r>
      <w:r>
        <w:rPr>
          <w:rStyle w:val="FootnoteReference"/>
          <w:noProof/>
        </w:rPr>
        <w:footnoteReference w:id="2"/>
      </w:r>
      <w:r>
        <w:rPr>
          <w:noProof/>
        </w:rPr>
        <w:t xml:space="preserve"> vahvistetaan vaatimuksia, jotka liittyvät liikkuviin työkoneisiin tarkoitettujen moottoreiden päästörajoihin ja EU-tyyppihyväksyntämenettelyihin. </w:t>
      </w:r>
    </w:p>
    <w:p>
      <w:pPr>
        <w:pStyle w:val="ManualConsidrant"/>
        <w:rPr>
          <w:noProof/>
        </w:rPr>
      </w:pPr>
      <w:r>
        <w:t>(2)</w:t>
      </w:r>
      <w:r>
        <w:tab/>
      </w:r>
      <w:r>
        <w:rPr>
          <w:noProof/>
        </w:rPr>
        <w:t xml:space="preserve">Asetuksessa vahvistetaan uusiin päästörajoihin, joista käytetään nimitystä ’vaihe V’, sovellettavat määräpäivät, jotta valmistajilla olisi käytettävissään selkeät ja kattavat tiedot ja riittävästi aikaa siirtyä uuteen päästövaiheeseen ja samalla kevennettäisiin hyväksyntäviranomaisten hallinnollista rasitetta huomattavasti. </w:t>
      </w:r>
    </w:p>
    <w:p>
      <w:pPr>
        <w:pStyle w:val="ManualConsidrant"/>
        <w:rPr>
          <w:noProof/>
        </w:rPr>
      </w:pPr>
      <w:r>
        <w:t>(3)</w:t>
      </w:r>
      <w:r>
        <w:tab/>
      </w:r>
      <w:r>
        <w:rPr>
          <w:noProof/>
        </w:rPr>
        <w:t>Covid-19-pandemia on aiheuttanut kriittisten osien ja komponenttien toimitusketjuun häiriöitä, jotka puolestaan ovat aiheuttaneet viivästyksiä sellaisten moottoreiden ja sellaisilla moottoreilla varustettujen koneiden tapauksessa, jotka ovat vaihetta V vähemmän tiukkojen päästörajojen mukaisia ja jotka on saatettava markkinoille ennen asetuksessa (EU) 2016/1628 vahvistettuja päivämääriä.</w:t>
      </w:r>
    </w:p>
    <w:p>
      <w:pPr>
        <w:pStyle w:val="ManualConsidrant"/>
        <w:rPr>
          <w:noProof/>
        </w:rPr>
      </w:pPr>
      <w:r>
        <w:t>(4)</w:t>
      </w:r>
      <w:r>
        <w:tab/>
      </w:r>
      <w:r>
        <w:rPr>
          <w:noProof/>
        </w:rPr>
        <w:t>Kun otetaan huomion covid-19-pandemian aiheuttamat häiriöt, on erittäin todennäköistä, etteivät liikkuvien työkoneiden valmistajat vakavaa taloudellista vahinkoa kärsimättä pysty varmistamaan, että siirtymäajan piiriin kuuluvien moottoreiden ja niillä varustettujen koneiden osalta noudatetaan asetuksessa (EU) 2016/1628 vahvistettuja määräaikoja.</w:t>
      </w:r>
    </w:p>
    <w:p>
      <w:pPr>
        <w:pStyle w:val="ManualConsidrant"/>
        <w:rPr>
          <w:noProof/>
        </w:rPr>
      </w:pPr>
      <w:r>
        <w:lastRenderedPageBreak/>
        <w:t>(5)</w:t>
      </w:r>
      <w:r>
        <w:tab/>
      </w:r>
      <w:r>
        <w:rPr>
          <w:noProof/>
        </w:rPr>
        <w:t>Nykyiset olosuhteet huomioon ottaen ja sisämarkkinoiden moitteettoman toiminnan varmistamiseksi, oikeusvarmuuden tarjoamiseksi ja mahdollisten markkinahäiriöiden välttämiseksi on tarpeen muuttaa asetuksen (EU) 2016/1628 tiettyjen siirtymäsäännösten soveltamispäiviä.</w:t>
      </w:r>
    </w:p>
    <w:p>
      <w:pPr>
        <w:pStyle w:val="ManualConsidrant"/>
        <w:rPr>
          <w:noProof/>
        </w:rPr>
      </w:pPr>
      <w:r>
        <w:t>(6)</w:t>
      </w:r>
      <w:r>
        <w:tab/>
      </w:r>
      <w:r>
        <w:rPr>
          <w:noProof/>
        </w:rPr>
        <w:t>Kun otetaan huomioon, että määräaikojen jatkamisella ei ole ympäristövaikutuksia, koska asianomaiset siirtymävaiheen moottorit on jo valmistettu, ja että covid-19-pandemian aiheuttamien viivästystä tarkkaa kestoa on vaikea ennustaa, asianomaisia määräaikoja olisi pidennettävä 12 kuukaudella.</w:t>
      </w:r>
    </w:p>
    <w:p>
      <w:pPr>
        <w:pStyle w:val="ManualConsidrant"/>
        <w:rPr>
          <w:noProof/>
        </w:rPr>
      </w:pPr>
      <w:r>
        <w:t>(7)</w:t>
      </w:r>
      <w:r>
        <w:tab/>
      </w:r>
      <w:r>
        <w:rPr>
          <w:noProof/>
        </w:rPr>
        <w:t>Koska asetuksen (EU) 2016/1628 58 artiklan 5 kohdassa säädetty tiettyjä moottoreita koskeva siirtymäaika päättyy 31 päivänä joulukuuta 2020 ja koska valmistajilla on siirtymäajan moottoreiden valmistamiseen aikaa 30 päivään kesäkuuta 2020 saakka, tämän asetuksen olisi tultava voimaan kiireellisesti.</w:t>
      </w:r>
    </w:p>
    <w:p>
      <w:pPr>
        <w:pStyle w:val="ManualConsidrant"/>
        <w:rPr>
          <w:noProof/>
        </w:rPr>
      </w:pPr>
      <w:r>
        <w:t>(8)</w:t>
      </w:r>
      <w:r>
        <w:tab/>
      </w:r>
      <w:r>
        <w:rPr>
          <w:noProof/>
        </w:rPr>
        <w:t>Asian kiireellisyyden vuoksi katsotaan olevan tarpeen poiketa Euroopan unionista tehtyyn sopimukseen, Euroopan unionin toiminnasta tehtyyn sopimukseen ja Euroopan atomienergiayhteisön perustamissopimukseen liitetyssä, kansallisten parlamenttien asemasta Euroopan unionissa tehdyssä pöytäkirjassa N:o 1 olevassa 4 artiklassa tarkoitetusta kahdeksan viikon määräajasta.</w:t>
      </w:r>
    </w:p>
    <w:p>
      <w:pPr>
        <w:pStyle w:val="ManualConsidrant"/>
        <w:rPr>
          <w:noProof/>
        </w:rPr>
      </w:pPr>
      <w:r>
        <w:t>(9)</w:t>
      </w:r>
      <w:r>
        <w:tab/>
      </w:r>
      <w:r>
        <w:rPr>
          <w:noProof/>
        </w:rPr>
        <w:t xml:space="preserve">Koska tuen tarve on kiireellinen, tämän asetuksen olisi tultava voimaan sitä päivää seuraavana päivänä, jona se julkaistaan </w:t>
      </w:r>
      <w:r>
        <w:rPr>
          <w:i/>
          <w:iCs/>
          <w:noProof/>
        </w:rPr>
        <w:t>Euroopan unionin virallisessa lehdessä</w:t>
      </w:r>
      <w:r>
        <w:rPr>
          <w:noProof/>
        </w:rPr>
        <w:t>,</w:t>
      </w:r>
    </w:p>
    <w:p>
      <w:pPr>
        <w:rPr>
          <w:noProof/>
        </w:rPr>
      </w:pPr>
    </w:p>
    <w:p>
      <w:pPr>
        <w:pStyle w:val="Formuledadoption"/>
        <w:rPr>
          <w:noProof/>
        </w:rPr>
      </w:pPr>
      <w:r>
        <w:rPr>
          <w:noProof/>
        </w:rPr>
        <w:t>OVAT HYVÄKSYNEET TÄMÄN ASETUKSEN:</w:t>
      </w:r>
    </w:p>
    <w:p>
      <w:pPr>
        <w:pStyle w:val="Titrearticle"/>
        <w:rPr>
          <w:noProof/>
        </w:rPr>
      </w:pPr>
      <w:r>
        <w:rPr>
          <w:noProof/>
        </w:rPr>
        <w:t>1 artikla</w:t>
      </w:r>
    </w:p>
    <w:p>
      <w:pPr>
        <w:rPr>
          <w:noProof/>
        </w:rPr>
      </w:pPr>
      <w:r>
        <w:rPr>
          <w:noProof/>
        </w:rPr>
        <w:t>Muutetaan asetus (EU) 2016/1628 seuraavasti:</w:t>
      </w:r>
    </w:p>
    <w:p>
      <w:pPr>
        <w:rPr>
          <w:noProof/>
        </w:rPr>
      </w:pPr>
      <w:r>
        <w:rPr>
          <w:noProof/>
        </w:rPr>
        <w:t xml:space="preserve">Muutetaan 58 artikla seuraavasti: </w:t>
      </w:r>
    </w:p>
    <w:p>
      <w:pPr>
        <w:pStyle w:val="Point0"/>
        <w:rPr>
          <w:noProof/>
        </w:rPr>
      </w:pPr>
      <w:r>
        <w:t>(1)</w:t>
      </w:r>
      <w:r>
        <w:tab/>
      </w:r>
      <w:r>
        <w:rPr>
          <w:noProof/>
        </w:rPr>
        <w:t>Muutetaan 5 kohta seuraavasti:</w:t>
      </w:r>
    </w:p>
    <w:p>
      <w:pPr>
        <w:pStyle w:val="Point0"/>
        <w:rPr>
          <w:noProof/>
        </w:rPr>
      </w:pPr>
      <w:r>
        <w:t>(a)</w:t>
      </w:r>
      <w:r>
        <w:tab/>
      </w:r>
      <w:r>
        <w:rPr>
          <w:noProof/>
        </w:rPr>
        <w:t>Korvataan toisen alakohdan ensimmäinen virke seuraavasti:</w:t>
      </w:r>
    </w:p>
    <w:p>
      <w:pPr>
        <w:pStyle w:val="Text1"/>
        <w:rPr>
          <w:noProof/>
        </w:rPr>
      </w:pPr>
      <w:r>
        <w:rPr>
          <w:noProof/>
        </w:rPr>
        <w:t xml:space="preserve">”Luokan NRE niihin alaluokkiin kuuluvien moottoreiden osalta, joille liitteessä III asetettu vaiheen V moottoreiden markkinoille saattamiseen sovellettava päivämäärä on 1 päivä tammikuuta 2020, jäsenvaltioiden on sallittava siirtymäajan ja ensimmäisessä alakohdassa tarkoitetun 18 kuukauden ajanjakson pidentäminen 12 kuukaudella sellaisten alkuperäisten laitevalmistajien tapauksessa, joiden kokonaisvuosituotanto on vähemmän kuin 100 polttomoottorilla varustettujen liikkuvien työkoneiden yksikköä.” </w:t>
      </w:r>
    </w:p>
    <w:p>
      <w:pPr>
        <w:pStyle w:val="Point0"/>
        <w:rPr>
          <w:noProof/>
        </w:rPr>
      </w:pPr>
      <w:r>
        <w:t>(b)</w:t>
      </w:r>
      <w:r>
        <w:tab/>
      </w:r>
      <w:r>
        <w:rPr>
          <w:noProof/>
        </w:rPr>
        <w:t>Korvataan kolmas alakohta seuraavasti:</w:t>
      </w:r>
    </w:p>
    <w:p>
      <w:pPr>
        <w:pStyle w:val="Text1"/>
        <w:rPr>
          <w:noProof/>
        </w:rPr>
      </w:pPr>
      <w:r>
        <w:rPr>
          <w:noProof/>
        </w:rPr>
        <w:t>”Luokan NRE niihin alaluokkiin kuuluvien ajoneuvonostureissa käytettävien moottoreiden osalta, joille liitteessä III asetettu vaiheen V moottoreiden markkinoille saattamiseen sovellettava päivämäärä on 1 päivä tammikuuta 2020, siirtymäaikaa ja ensimmäisessä alakohdassa tarkoitettua 18 kuukauden ajanjaksoa pidennetään 12 kuukaudella.”</w:t>
      </w:r>
    </w:p>
    <w:p>
      <w:pPr>
        <w:pStyle w:val="Point0"/>
        <w:rPr>
          <w:noProof/>
        </w:rPr>
      </w:pPr>
      <w:r>
        <w:t>(c)</w:t>
      </w:r>
      <w:r>
        <w:tab/>
      </w:r>
      <w:r>
        <w:rPr>
          <w:noProof/>
        </w:rPr>
        <w:t xml:space="preserve">Lisätään viides alakohta seuraavasti: </w:t>
      </w:r>
    </w:p>
    <w:p>
      <w:pPr>
        <w:pStyle w:val="Text1"/>
        <w:rPr>
          <w:noProof/>
        </w:rPr>
      </w:pPr>
      <w:r>
        <w:rPr>
          <w:noProof/>
        </w:rPr>
        <w:t xml:space="preserve">”Kaikkien niihin alaluokkiin kuuluvien moottoreiden osalta, joille liitteessä III asetettu vaiheen V moottoreiden markkinoille saattamiseen sovellettava päivämäärä on 1 päivä tammikuuta 2019, lukuun ottamatta neljännessä alakohdassa tarkoitettuja </w:t>
      </w:r>
      <w:r>
        <w:rPr>
          <w:noProof/>
        </w:rPr>
        <w:lastRenderedPageBreak/>
        <w:t>moottoreita, siirtymäaikaa ja ensimmäisessä alakohdassa tarkoitettua 18 kuukauden ajanjaksoa pidennetään 12 kuukaudella.”</w:t>
      </w:r>
    </w:p>
    <w:p>
      <w:pPr>
        <w:pStyle w:val="Point0"/>
        <w:rPr>
          <w:noProof/>
        </w:rPr>
      </w:pPr>
      <w:r>
        <w:t>(2)</w:t>
      </w:r>
      <w:r>
        <w:tab/>
      </w:r>
      <w:r>
        <w:rPr>
          <w:noProof/>
        </w:rPr>
        <w:t>Lisätään 7 kohtaan d alakohta seuraavasti:</w:t>
      </w:r>
    </w:p>
    <w:p>
      <w:pPr>
        <w:pStyle w:val="Text2"/>
        <w:rPr>
          <w:noProof/>
        </w:rPr>
      </w:pPr>
      <w:r>
        <w:rPr>
          <w:noProof/>
        </w:rPr>
        <w:t>”d) 36 kuukautta liitteessä III asetetusta moottoreiden markkinoille saattamiseen sovellettavasta päivämäärästä lukien 5 kohdan viidennen alakohdan tapauksessa.”</w:t>
      </w:r>
    </w:p>
    <w:p>
      <w:pPr>
        <w:pStyle w:val="Titrearticle"/>
        <w:rPr>
          <w:noProof/>
        </w:rPr>
      </w:pPr>
      <w:r>
        <w:rPr>
          <w:noProof/>
        </w:rPr>
        <w:t>2 artikla</w:t>
      </w:r>
    </w:p>
    <w:p>
      <w:pPr>
        <w:rPr>
          <w:noProof/>
        </w:rPr>
      </w:pPr>
      <w:r>
        <w:rPr>
          <w:noProof/>
        </w:rPr>
        <w:t xml:space="preserve">Tämä asetus tulee voimaan sitä päivää seuraavana päivänä, jona se julkaistaan </w:t>
      </w:r>
      <w:r>
        <w:rPr>
          <w:i/>
          <w:iCs/>
          <w:noProof/>
        </w:rPr>
        <w:t>Euroopan unionin virallisessa lehdessä</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keepNext/>
        <w:rPr>
          <w:noProof/>
        </w:rPr>
      </w:pPr>
      <w:r>
        <w:rPr>
          <w:noProof/>
        </w:rPr>
        <w:t>Puhemies</w:t>
      </w:r>
      <w:r>
        <w:rPr>
          <w:noProof/>
        </w:rPr>
        <w:tab/>
        <w:t>Puheenjohtaja</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C , , ps .</w:t>
      </w:r>
    </w:p>
  </w:footnote>
  <w:footnote w:id="2">
    <w:p>
      <w:pPr>
        <w:pStyle w:val="FootnoteText"/>
      </w:pPr>
      <w:r>
        <w:rPr>
          <w:rStyle w:val="FootnoteReference"/>
        </w:rPr>
        <w:footnoteRef/>
      </w:r>
      <w:r>
        <w:tab/>
        <w:t>Euroopan parlamentin ja neuvoston asetus (EU) 2016/1628, annettu 14 päivänä syyskuuta 2016, liikkuviin työkoneisiin tarkoitettujen polttomoottoreiden kaasu- ja hiukkaspäästöjen raja-arvoihin ja tyyppihyväksyntään liittyvistä vaatimuksista, asetusten (EU) N:o 1024/2012 ja (EU) N:o 167/2013 muuttamisesta ja direktiivin 97/68/EY muuttamisesta ja kumoamisesta (EUVL L 252, 16.9.2016, s.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5:59:0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52D1603-2282-4FBF-A7AD-0F2010E296D3"/>
    <w:docVar w:name="LW_COVERPAGE_TYPE" w:val="1"/>
    <w:docVar w:name="LW_CROSSREFERENCE" w:val="&lt;UNUSED&gt;"/>
    <w:docVar w:name="LW_DocType" w:val="COM"/>
    <w:docVar w:name="LW_EMISSION" w:val="2.6.2020"/>
    <w:docVar w:name="LW_EMISSION_ISODATE" w:val="2020-06-02"/>
    <w:docVar w:name="LW_EMISSION_LOCATION" w:val="BRX"/>
    <w:docVar w:name="LW_EMISSION_PREFIX" w:val="Bryssel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13"/>
    <w:docVar w:name="LW_REF.II.NEW.CP_YEAR" w:val="2020"/>
    <w:docVar w:name="LW_REF.INST.NEW" w:val="COM"/>
    <w:docVar w:name="LW_REF.INST.NEW_ADOPTED" w:val="final"/>
    <w:docVar w:name="LW_REF.INST.NEW_TEXT" w:val="(2020)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asetuksen (EU) 2016/1628 muuttamisesta sen siirtymäsäännösten osalta covid-19-kriisin vaikutusten huomioon ottamiseksi"/>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53B945-9A24-4079-B80E-3346AE84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1118</Words>
  <Characters>9305</Characters>
  <Application>Microsoft Office Word</Application>
  <DocSecurity>0</DocSecurity>
  <Lines>169</Lines>
  <Paragraphs>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2020-06-03T12:13:00Z</dcterms:created>
  <dcterms:modified xsi:type="dcterms:W3CDTF">2020-06-04T13:59:00Z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