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594DB2C-8833-44CD-82B5-7B7ED16C8D2B" style="width:450.45pt;height:395.7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rPr>
          <w:noProof/>
        </w:rPr>
      </w:pPr>
      <w:r>
        <w:rPr>
          <w:noProof/>
        </w:rPr>
        <w:t>Η πανδημία COVID-19 προκαλεί σημαντικές διαταράξεις στην αλυσίδα εφοδιασμού, που είχαν επιπτώσεις στην ικανότητα των κατασκευαστών μη οδικών κινητών μηχανημάτων να τηρήσουν ορισμένες από τις προθεσμίες που επιβάλλει ο κανονισμός (ΕΕ) 2016/1628 του Ευρωπαϊκού Κοινοβουλίου και του Συμβουλίου, της 14ης Σεπτεμβρίου 2016, σχετικά με τις απαιτήσεις που αφορούν τα όρια εκπομπών για τους αέριους και σωματιδιακούς ρύπους και την έγκριση τύπου για κινητήρες εσωτερικής καύσης για μη οδικά κινητά μηχανήματα.</w:t>
      </w:r>
    </w:p>
    <w:p>
      <w:pPr>
        <w:rPr>
          <w:noProof/>
        </w:rPr>
      </w:pPr>
      <w:r>
        <w:rPr>
          <w:noProof/>
        </w:rPr>
        <w:t xml:space="preserve">Ο εν λόγω κανονισμός καθορίζει νέα όρια εκπομπών, γνωστά ως «στάδιο V», τα οποία αποσκοπούν στη μείωση των σημερινών εκπομπών ατμοσφαιρικών ρύπων από κινητήρες για μη οδικά κινητά μηχανήματα. Δεδομένης της διαρθρωτικής πρόκλησης που παρουσιάζει, για ορισμένους κατασκευαστές, η στροφή προς τα όρια εκπομπών του σταδίου V, ο κανονισμός προβλέπει ένα χρονικό περιθώριο για την πραγματοποίηση αυτής της μετάβασης. </w:t>
      </w:r>
    </w:p>
    <w:p>
      <w:pPr>
        <w:rPr>
          <w:noProof/>
        </w:rPr>
      </w:pPr>
      <w:r>
        <w:rPr>
          <w:noProof/>
        </w:rPr>
        <w:t>Σύμφωνα με τις μεταβατικές περιόδους που προβλέπονται στο άρθρο 58 παράγραφος 5 και τις ημερομηνίες που ορίζονται στο παράρτημα III του εν λόγω κανονισμού, οι κατασκευαστές διαθέτουν προθεσμία έως τις 30 Ιουνίου 2020 για την παραγωγή μη οδικών κινητών μηχανημάτων με μεταβατικούς κινητήρες των ακόλουθων κατηγοριών: NRE στο εύρος ισχύος &lt; 56 kW και ≥ 130 kW, NRG, NRSh, NRS, IWP και IWA στο εύρος ισχύος 19 ≤ P &lt; 300, SMB και ATS. Στη συνέχεια, διαθέτουν προθεσμία έως την 31η Δεκεμβρίου 2020 για να διαθέσουν τα μηχανήματα αυτά στην αγορά της Ένωσης.</w:t>
      </w:r>
    </w:p>
    <w:p>
      <w:pPr>
        <w:rPr>
          <w:noProof/>
        </w:rPr>
      </w:pPr>
      <w:r>
        <w:rPr>
          <w:noProof/>
        </w:rPr>
        <w:t xml:space="preserve">Ωστόσο, η έξαρση της νόσου COVID 19 έχει προκαλέσει πλήρη διακοπή της προμήθειας εξαρτημάτων και κατασκευαστικών στοιχείων, αφήνοντας τους κατασκευαστές με αποθέματα κινητήρων και ημιτελών προϊόντων. Λόγω αυτής της διατάραξης, πολλοί κατασκευαστές κινητήρων και μηχανημάτων δεν θα είναι σε θέση να τηρήσουν τις προαναφερθείσες προθεσμίες χωρίς να υποστούν σοβαρή οικονομική ζημία. </w:t>
      </w:r>
    </w:p>
    <w:p>
      <w:pPr>
        <w:rPr>
          <w:noProof/>
        </w:rPr>
      </w:pPr>
      <w:r>
        <w:rPr>
          <w:noProof/>
        </w:rPr>
        <w:t>Υπό το πρίσμα αυτής της διατάραξης που δεν θα μπορούσε να είχε προβλεφθεί, οι ημερομηνίες για την παραγωγή και τη διάθεση στην αγορά μη οδικών κινητών μηχανημάτων και ελκυστήρων με μεταβατικούς κινητήρες μετατίθενται κατά δώδεκα μήνες. Η αναβολή αυτή δεν ισχύει για τους μεταβατικούς κινητήρες που καλύπτονται από τις ημερομηνίες που ορίζονται στο άρθρο 58 παράγραφος 5 δεύτερο, τρίτο και τέταρτο εδάφιο.</w:t>
      </w:r>
    </w:p>
    <w:p>
      <w:pPr>
        <w:rPr>
          <w:noProof/>
        </w:rPr>
      </w:pPr>
      <w:r>
        <w:rPr>
          <w:noProof/>
        </w:rPr>
        <w:t>Η παράταση των 12 μηνών είναι δικαιολογημένη, δεδομένου του εποχικού χαρακτήρα των εμπορευμάτων στα οποία θα τοποθετηθούν οι μεταβατικοί κινητήρες. Αυτό ισχύει ιδίως για τους ελκυστήρες και τον εξοπλισμό κήπου. Επιπλέον, είναι δύσκολο να προβλεφθεί η ακριβής διάρκεια των καθυστερήσεων που θα σημειωθούν για την ολοκλήρωση των εμπορευμάτων που επηρεάζονται (π.χ. σκάφη εσωτερικής ναυσιπλοΐας). Τέλος, θα πρέπει να σημειωθεί ότι, ανεξάρτητα από τη διάρκεια της παράτασης, οι οικονομικοί φορείς δεν θα έχουν συμφέρον να καθυστερήσουν περαιτέρω την ολοκλήρωση και τη διάθεση στην αγορά των μηχανημάτων, οχημάτων και σκαφών για τα οποία έχουν ήδη επιβαρυνθεί με δαπάνες.</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rPr>
        <w:tab/>
      </w:r>
      <w:r>
        <w:rPr>
          <w:noProof/>
          <w:u w:color="000000"/>
          <w:bdr w:val="nil"/>
        </w:rPr>
        <w:t>Νομική βάση</w:t>
      </w:r>
    </w:p>
    <w:p>
      <w:pPr>
        <w:pBdr>
          <w:top w:val="nil"/>
          <w:left w:val="nil"/>
          <w:bottom w:val="nil"/>
          <w:right w:val="nil"/>
          <w:between w:val="nil"/>
          <w:bar w:val="nil"/>
        </w:pBdr>
        <w:spacing w:before="0" w:after="240"/>
        <w:rPr>
          <w:rFonts w:eastAsia="Arial Unicode MS"/>
          <w:noProof/>
        </w:rPr>
      </w:pPr>
      <w:r>
        <w:rPr>
          <w:noProof/>
        </w:rPr>
        <w:t>Άρθρο 114 της Συνθήκης για τη λειτουργία της Ευρωπαϊκής Ένωσης</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 xml:space="preserve">Επικουρικότητα (σε περίπτωση μη αποκλειστικής αρμοδιότητας) </w:t>
      </w:r>
    </w:p>
    <w:p>
      <w:pPr>
        <w:pBdr>
          <w:top w:val="nil"/>
          <w:left w:val="nil"/>
          <w:bottom w:val="nil"/>
          <w:right w:val="nil"/>
          <w:between w:val="nil"/>
          <w:bar w:val="nil"/>
        </w:pBdr>
        <w:spacing w:before="0" w:after="240"/>
        <w:rPr>
          <w:noProof/>
        </w:rPr>
      </w:pPr>
      <w:r>
        <w:rPr>
          <w:noProof/>
        </w:rPr>
        <w:t>Δεδομένου ότι η πρόταση δεν εμπίπτει στην αποκλειστική αρμοδιότητα της Ένωσης, εφαρμόζεται η αρχή της επικουρικότητας.</w:t>
      </w:r>
    </w:p>
    <w:p>
      <w:pPr>
        <w:pBdr>
          <w:top w:val="nil"/>
          <w:left w:val="nil"/>
          <w:bottom w:val="nil"/>
          <w:right w:val="nil"/>
          <w:between w:val="nil"/>
          <w:bar w:val="nil"/>
        </w:pBdr>
        <w:spacing w:before="0" w:after="240"/>
        <w:rPr>
          <w:noProof/>
        </w:rPr>
      </w:pPr>
      <w:r>
        <w:rPr>
          <w:noProof/>
        </w:rPr>
        <w:t>Καθώς η πρόταση αφορά τροποποιήσεις ισχύουσας ενωσιακής νομοθεσίας, μόνο η ΕΕ μπορεί να αντιμετωπίσει αποτελεσματικά τα ζητήματα. Επιπλέον, οι στόχοι πολιτικής δεν μπορούν να επιτευχθούν επαρκώς με δράσεις των κρατών μελών.</w:t>
      </w:r>
    </w:p>
    <w:p>
      <w:pPr>
        <w:pBdr>
          <w:top w:val="nil"/>
          <w:left w:val="nil"/>
          <w:bottom w:val="nil"/>
          <w:right w:val="nil"/>
          <w:between w:val="nil"/>
          <w:bar w:val="nil"/>
        </w:pBdr>
        <w:spacing w:before="0" w:after="240"/>
        <w:rPr>
          <w:noProof/>
        </w:rPr>
      </w:pPr>
      <w:r>
        <w:rPr>
          <w:noProof/>
        </w:rPr>
        <w:t xml:space="preserve">Η ανάληψη δράσης σε επίπεδο Ευρωπαϊκής Ένωσης είναι απαραίτητη προκειμένου να αποφευχθεί η δημιουργία φραγμών στην ενιαία αγορά, ιδίως όσον αφορά τους κινητήρες μη οδικών κινητών μηχανημάτων, καθώς και λόγω του διακρατικού χαρακτήρα της ατμοσφαιρικής ρύπανσης. </w:t>
      </w:r>
    </w:p>
    <w:p>
      <w:pPr>
        <w:pBdr>
          <w:top w:val="nil"/>
          <w:left w:val="nil"/>
          <w:bottom w:val="nil"/>
          <w:right w:val="nil"/>
          <w:between w:val="nil"/>
          <w:bar w:val="nil"/>
        </w:pBdr>
        <w:spacing w:before="0" w:after="240"/>
        <w:rPr>
          <w:noProof/>
        </w:rPr>
      </w:pPr>
      <w:r>
        <w:rPr>
          <w:noProof/>
        </w:rPr>
        <w:t>Συνεπώς, η πρόταση είναι σύμφωνη με την αρχή της επικουρικότητας.</w:t>
      </w:r>
    </w:p>
    <w:p>
      <w:pPr>
        <w:pStyle w:val="ManualHeading2"/>
        <w:rPr>
          <w:rFonts w:eastAsia="Arial Unicode MS"/>
          <w:noProof/>
          <w:u w:color="000000"/>
          <w:bdr w:val="nil"/>
        </w:rPr>
      </w:pPr>
      <w:r>
        <w:rPr>
          <w:noProof/>
          <w:u w:color="000000"/>
          <w:bdr w:val="nil"/>
        </w:rPr>
        <w:t>•</w:t>
      </w:r>
      <w:r>
        <w:rPr>
          <w:noProof/>
        </w:rPr>
        <w:tab/>
      </w:r>
      <w:r>
        <w:rPr>
          <w:noProof/>
          <w:u w:color="000000"/>
          <w:bdr w:val="nil"/>
        </w:rPr>
        <w:t>Αναλογικότητα</w:t>
      </w:r>
    </w:p>
    <w:p>
      <w:pPr>
        <w:pBdr>
          <w:top w:val="nil"/>
          <w:left w:val="nil"/>
          <w:bottom w:val="nil"/>
          <w:right w:val="nil"/>
          <w:between w:val="nil"/>
          <w:bar w:val="nil"/>
        </w:pBdr>
        <w:spacing w:before="0" w:after="240"/>
        <w:rPr>
          <w:noProof/>
        </w:rPr>
      </w:pPr>
      <w:r>
        <w:rPr>
          <w:noProof/>
        </w:rPr>
        <w:t>Η πρόταση τηρεί την αρχή της αναλογικότητας, επειδή δεν υπερβαίνει αυτό που είναι αναγκαίο για να επιτευχθούν οι στόχοι εξασφάλισης της ορθής λειτουργίας της εσωτερικής αγοράς, με την ταυτόχρονη παροχή υψηλού επιπέδου δημόσιας ασφάλειας και προστασίας του περιβάλλοντος. Η διάρκεια της προτεινόμενης παράτασης είναι ανάλογη με την αναμενόμενη διάρκεια της διατάραξης που οφείλεται στην πανδημία COVID-19.</w:t>
      </w:r>
    </w:p>
    <w:p>
      <w:pPr>
        <w:pStyle w:val="ManualHeading2"/>
        <w:rPr>
          <w:rFonts w:eastAsia="Arial Unicode MS"/>
          <w:noProof/>
          <w:u w:color="000000"/>
          <w:bdr w:val="nil"/>
        </w:rPr>
      </w:pPr>
      <w:r>
        <w:rPr>
          <w:noProof/>
          <w:u w:color="000000"/>
          <w:bdr w:val="nil"/>
        </w:rPr>
        <w:t>•</w:t>
      </w:r>
      <w:r>
        <w:rPr>
          <w:noProof/>
        </w:rPr>
        <w:tab/>
      </w:r>
      <w:r>
        <w:rPr>
          <w:noProof/>
          <w:u w:color="000000"/>
          <w:bdr w:val="nil"/>
        </w:rPr>
        <w:t>Επιλογή της νομικής πράξης</w:t>
      </w:r>
    </w:p>
    <w:p>
      <w:pPr>
        <w:pBdr>
          <w:top w:val="nil"/>
          <w:left w:val="nil"/>
          <w:bottom w:val="nil"/>
          <w:right w:val="nil"/>
          <w:between w:val="nil"/>
          <w:bar w:val="nil"/>
        </w:pBdr>
        <w:spacing w:before="0" w:after="240"/>
        <w:rPr>
          <w:noProof/>
        </w:rPr>
      </w:pPr>
      <w:r>
        <w:rPr>
          <w:noProof/>
        </w:rPr>
        <w:t>Κανονισμός για την τροποποίηση κανονισμού</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Text1"/>
        <w:ind w:left="0"/>
        <w:rPr>
          <w:noProof/>
        </w:rPr>
      </w:pPr>
      <w:r>
        <w:rPr>
          <w:noProof/>
        </w:rPr>
        <w:t>Η παρούσα πρόταση δεν συνοδεύεται από χωριστή εκτίμηση επιπτώσεων, καθώς έχει ήδη καταρτιστεί εκτίμηση επιπτώσεων για τον κανονισμό (ΕΕ) 2016/1628. Η παρούσα πρόταση δεν τροποποιεί επί της ουσίας τον εν λόγω κανονισμό και δεν επιβάλλει νέες υποχρεώσεις στα εμπλεκόμενα μέρη. Αποσκοπεί κυρίως στην παροχή, για εξαιρετικούς λόγους στο πλαίσιο της τρέχουσας έξαρσης της νόσου COVID-19, παράτασης δώδεκα μηνών για την κατασκευή και τη διάθεση στην αγορά μεταβατικών κινητήρων και μηχανημάτων που είναι εξοπλισμένα με αυτούς. Η παρούσα πρόταση δεν έχει περιβαλλοντικές επιπτώσεις, δεδομένου ότι τα μέτρα διευκολύνουν τη διάθεση στην αγορά εμπορευμάτων που είναι εξοπλισμένα με κινητήρες οι οποίοι είχαν παραχθεί πριν από την πανδημία. Με την πρόταση αποφεύγεται επίσης η ανάγκη διάλυσης άλλων μη συμμορφούμενων εμπορευμάτων που είναι εξοπλισμένα με τους εν λόγω κινητήρες.</w:t>
      </w:r>
    </w:p>
    <w:p>
      <w:pPr>
        <w:pStyle w:val="ManualHeading1"/>
        <w:rPr>
          <w:noProof/>
        </w:rPr>
      </w:pPr>
      <w:r>
        <w:rPr>
          <w:noProof/>
        </w:rPr>
        <w:t>4.</w:t>
      </w:r>
      <w:r>
        <w:rPr>
          <w:noProof/>
        </w:rPr>
        <w:tab/>
        <w:t>ΔΗΜΟΣΙΟΝΟΜΙΚΕΣ ΕΠΙΠΤΩΣΕΙΣ</w:t>
      </w:r>
    </w:p>
    <w:p>
      <w:pPr>
        <w:pStyle w:val="Text1"/>
        <w:ind w:left="0"/>
        <w:rPr>
          <w:noProof/>
        </w:rPr>
      </w:pPr>
      <w:r>
        <w:rPr>
          <w:noProof/>
        </w:rPr>
        <w:t xml:space="preserve">Η πρόταση δεν έχει δημοσιονομικές επιπτώσεις για τα θεσμικά όργανα της ΕΕ. </w:t>
      </w:r>
    </w:p>
    <w:p>
      <w:pPr>
        <w:pStyle w:val="Text1"/>
        <w:ind w:left="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2020/0113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για την τροποποίηση του κανονισμού (ΕΕ) 2016/1628 όσον αφορά τις μεταβατικές διατάξεις του για την αντιμετώπιση των επιπτώσεων της κρίσης της νόσου COVID-19</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114,</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1"/>
      </w:r>
      <w:r>
        <w:rPr>
          <w:noProof/>
        </w:rPr>
        <w:t xml:space="preserve">, </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Ο κανονισμός (ΕΕ) 2016/1628 του Ευρωπαϊκού Κοινοβουλίου και του Συμβουλίου</w:t>
      </w:r>
      <w:r>
        <w:rPr>
          <w:rStyle w:val="FootnoteReference"/>
          <w:noProof/>
        </w:rPr>
        <w:footnoteReference w:id="2"/>
      </w:r>
      <w:r>
        <w:rPr>
          <w:noProof/>
        </w:rPr>
        <w:t xml:space="preserve"> θεσπίζει απαιτήσεις που αφορούν τα όρια εκπομπών και τις διαδικασίες έγκρισης τύπου ΕΕ για κινητήρες για μη οδικά κινητά μηχανήματα. </w:t>
      </w:r>
    </w:p>
    <w:p>
      <w:pPr>
        <w:pStyle w:val="ManualConsidrant"/>
        <w:rPr>
          <w:noProof/>
        </w:rPr>
      </w:pPr>
      <w:r>
        <w:t>(2)</w:t>
      </w:r>
      <w:r>
        <w:tab/>
      </w:r>
      <w:r>
        <w:rPr>
          <w:noProof/>
        </w:rPr>
        <w:t xml:space="preserve">Ορίζονται οι ημερομηνίες που ισχύουν για τα νέα όρια εκπομπών, γνωστά ως «στάδιο V», προκειμένου να παρέχονται στους κατασκευαστές σαφείς και ολοκληρωμένες πληροφορίες και επαρκές χρονικό διάστημα για τη μετάβαση στο νέο στάδιο εκπομπών, ενώ παράλληλα μειώνεται σημαντικά ο διοικητικός φόρτος για τις αρμόδιες για την έγκριση αρχές. </w:t>
      </w:r>
    </w:p>
    <w:p>
      <w:pPr>
        <w:pStyle w:val="ManualConsidrant"/>
        <w:rPr>
          <w:noProof/>
        </w:rPr>
      </w:pPr>
      <w:r>
        <w:t>(3)</w:t>
      </w:r>
      <w:r>
        <w:tab/>
      </w:r>
      <w:r>
        <w:rPr>
          <w:noProof/>
        </w:rPr>
        <w:t>Η έξαρση της νόσου COVID-19 έχει προκαλέσει διατάραξη της αλυσίδας εφοδιασμού κρίσιμων εξαρτημάτων και κατασκευαστικών στοιχείων, γεγονός που έχει οδηγήσει σε καθυστερήσεις όσον αφορά τους κινητήρες και τα μηχανήματα που είναι εξοπλισμένα με τους εν λόγω κινητήρες τα οποία συμμορφώνονται με λιγότερο αυστηρά όρια εκπομπών από εκείνα του σταδίου V και τα οποία πρέπει να διατεθούν στην αγορά πριν από τις ημερομηνίες που ορίζει ο κανονισμός (ΕΕ) 2016/1628.</w:t>
      </w:r>
    </w:p>
    <w:p>
      <w:pPr>
        <w:pStyle w:val="ManualConsidrant"/>
        <w:rPr>
          <w:noProof/>
        </w:rPr>
      </w:pPr>
      <w:r>
        <w:t>(4)</w:t>
      </w:r>
      <w:r>
        <w:tab/>
      </w:r>
      <w:r>
        <w:rPr>
          <w:noProof/>
        </w:rPr>
        <w:t xml:space="preserve">Λαμβανομένης υπόψη της διατάραξης που προκλήθηκε από την έξαρση της νόσου COVID-19, είναι πολύ πιθανό οι κατασκευαστές μη οδικών κινητών μηχανημάτων να μην είναι σε θέση να διασφαλίσουν ότι οι κινητήρες και τα μηχανήματα που είναι εξοπλισμένα με τους εν λόγω κινητήρες, που επωφελούνται από τη μεταβατική </w:t>
      </w:r>
      <w:r>
        <w:rPr>
          <w:noProof/>
        </w:rPr>
        <w:lastRenderedPageBreak/>
        <w:t>περίοδο, τηρούν τις προθεσμίες που ορίζονται στον κανονισμό (ΕΕ) 2016/1628, χωρίς να υποστούν σοβαρή οικονομική ζημία.</w:t>
      </w:r>
    </w:p>
    <w:p>
      <w:pPr>
        <w:pStyle w:val="ManualConsidrant"/>
        <w:rPr>
          <w:noProof/>
        </w:rPr>
      </w:pPr>
      <w:r>
        <w:t>(5)</w:t>
      </w:r>
      <w:r>
        <w:tab/>
      </w:r>
      <w:r>
        <w:rPr>
          <w:noProof/>
        </w:rPr>
        <w:t>Δεδομένων των τρεχουσών συνθηκών και προκειμένου να εξασφαλιστεί η ομαλή λειτουργία της εσωτερικής αγοράς, να παρασχεθεί ασφάλεια δικαίου και να αποφευχθεί ενδεχόμενη διατάραξη της λειτουργίας της αγοράς, είναι αναγκαίο να τροποποιηθούν οι ημερομηνίες εφαρμογής ορισμένων μεταβατικών διατάξεων του κανονισμού (ΕΕ) 2016/1628.</w:t>
      </w:r>
    </w:p>
    <w:p>
      <w:pPr>
        <w:pStyle w:val="ManualConsidrant"/>
        <w:rPr>
          <w:noProof/>
        </w:rPr>
      </w:pPr>
      <w:r>
        <w:t>(6)</w:t>
      </w:r>
      <w:r>
        <w:tab/>
      </w:r>
      <w:r>
        <w:rPr>
          <w:noProof/>
        </w:rPr>
        <w:t>Δεδομένου ότι η εν λόγω παράταση δεν θα έχει περιβαλλοντικές επιπτώσεις, καθώς οι εν λόγω μεταβατικοί κινητήρες έχουν ήδη παραχθεί, σε συνδυασμό με το γεγονός ότι είναι δύσκολο να προβλεφθεί η ακριβής διάρκεια των καθυστερήσεων που προκαλούνται από τη διατάραξη λόγω της COVID-19, οι σχετικές προθεσμίες θα πρέπει να παραταθούν κατά 12 μήνες.</w:t>
      </w:r>
    </w:p>
    <w:p>
      <w:pPr>
        <w:pStyle w:val="ManualConsidrant"/>
        <w:rPr>
          <w:noProof/>
        </w:rPr>
      </w:pPr>
      <w:r>
        <w:t>(7)</w:t>
      </w:r>
      <w:r>
        <w:tab/>
      </w:r>
      <w:r>
        <w:rPr>
          <w:noProof/>
        </w:rPr>
        <w:t>Επειδή η μεταβατική περίοδος που προβλέπεται στο άρθρο 58 παράγραφος 5 του κανονισμού (ΕΕ) 2016/1628 για ορισμένους κινητήρες θα λήξει στις 31 Δεκεμβρίου 2020 και επειδή οι κατασκευαστές έχουν προθεσμία έως τις 30 Ιουνίου 2020 για την παραγωγή μεταβατικών κινητήρων, ο παρών κανονισμός θα πρέπει να αρχίσει να ισχύει επειγόντως.</w:t>
      </w:r>
    </w:p>
    <w:p>
      <w:pPr>
        <w:pStyle w:val="ManualConsidrant"/>
        <w:rPr>
          <w:noProof/>
        </w:rPr>
      </w:pPr>
      <w:r>
        <w:t>(8)</w:t>
      </w:r>
      <w:r>
        <w:tab/>
      </w:r>
      <w:r>
        <w:rPr>
          <w:noProof/>
        </w:rPr>
        <w:t>Λαμβανομένου υπόψη του εν λόγω επείγοντος χαρακτήρα, θεωρείται σκόπιμο να εφαρμοστεί η εξαίρεση από την προθεσμία των οκτώ εβδομάδων που αναφέρεται στο άρθρο 4 του πρωτοκόλλου αριθ. 1 σχετικά με τον ρόλο των εθνικών κοινοβουλίων στην Ευρωπαϊκή Ένωση, το οποίο προσαρτάται στη Συνθήκη για την Ευρωπαϊκή Ένωση, στη Συνθήκη για τη λειτουργία της Ευρωπαϊκής Ένωσης και στη Συνθήκη για την ίδρυση της Ευρωπαϊκής Κοινότητας Ατομικής Ενέργειας.</w:t>
      </w:r>
    </w:p>
    <w:p>
      <w:pPr>
        <w:pStyle w:val="ManualConsidrant"/>
        <w:rPr>
          <w:noProof/>
        </w:rPr>
      </w:pPr>
      <w:r>
        <w:t>(9)</w:t>
      </w:r>
      <w:r>
        <w:tab/>
      </w:r>
      <w:r>
        <w:rPr>
          <w:noProof/>
        </w:rPr>
        <w:t xml:space="preserve">Δεδομένου του επείγοντος χαρακτήρα της απαιτούμενης στήριξης, ο παρών κανονισμός θα πρέπει να αρχίσει να ισχύει την επομένη της ημέρας δημοσίευσής του στην </w:t>
      </w:r>
      <w:r>
        <w:rPr>
          <w:i/>
          <w:noProof/>
        </w:rPr>
        <w:t>Επίσημη Εφημερίδα της Ευρωπαϊκής Ένωσης</w:t>
      </w:r>
      <w:r>
        <w:rPr>
          <w:noProof/>
        </w:rPr>
        <w:t>,</w:t>
      </w:r>
    </w:p>
    <w:p>
      <w:pPr>
        <w:rPr>
          <w:noProof/>
        </w:rPr>
      </w:pPr>
    </w:p>
    <w:p>
      <w:pPr>
        <w:pStyle w:val="Formuledadoption"/>
        <w:rPr>
          <w:noProof/>
        </w:rPr>
      </w:pPr>
      <w:r>
        <w:rPr>
          <w:noProof/>
        </w:rPr>
        <w:t>ΕΞΕΔΩΣΑΝ ΤΟΝ ΠΑΡΟΝΤΑ ΚΑΝΟΝΙΣΜΟ:</w:t>
      </w:r>
    </w:p>
    <w:p>
      <w:pPr>
        <w:pStyle w:val="Titrearticle"/>
        <w:rPr>
          <w:noProof/>
        </w:rPr>
      </w:pPr>
      <w:r>
        <w:rPr>
          <w:noProof/>
        </w:rPr>
        <w:t>Άρθρο 1</w:t>
      </w:r>
    </w:p>
    <w:p>
      <w:pPr>
        <w:rPr>
          <w:noProof/>
        </w:rPr>
      </w:pPr>
      <w:r>
        <w:rPr>
          <w:noProof/>
        </w:rPr>
        <w:t>Ο κανονισμός (ΕΕ) 2016/1628 τροποποιείται ως εξής:</w:t>
      </w:r>
    </w:p>
    <w:p>
      <w:pPr>
        <w:rPr>
          <w:noProof/>
        </w:rPr>
      </w:pPr>
      <w:r>
        <w:rPr>
          <w:noProof/>
        </w:rPr>
        <w:t xml:space="preserve">Το άρθρο 58 τροποποιείται ως εξής: </w:t>
      </w:r>
    </w:p>
    <w:p>
      <w:pPr>
        <w:pStyle w:val="Point0"/>
        <w:rPr>
          <w:noProof/>
        </w:rPr>
      </w:pPr>
      <w:r>
        <w:t>(1)</w:t>
      </w:r>
      <w:r>
        <w:tab/>
      </w:r>
      <w:r>
        <w:rPr>
          <w:noProof/>
        </w:rPr>
        <w:t>η παράγραφος 5 τροποποιείται ως εξής:</w:t>
      </w:r>
    </w:p>
    <w:p>
      <w:pPr>
        <w:pStyle w:val="Point0"/>
        <w:rPr>
          <w:noProof/>
        </w:rPr>
      </w:pPr>
      <w:r>
        <w:rPr>
          <w:noProof/>
          <w:highlight w:val="lightGray"/>
        </w:rPr>
        <w:t>α)</w:t>
      </w:r>
      <w:r>
        <w:rPr>
          <w:noProof/>
          <w:highlight w:val="lightGray"/>
        </w:rPr>
        <w:tab/>
      </w:r>
      <w:r>
        <w:rPr>
          <w:noProof/>
        </w:rPr>
        <w:t>στο δεύτερο εδάφιο, η πρώτη περίοδος αντικαθίσταται ως εξής:</w:t>
      </w:r>
    </w:p>
    <w:p>
      <w:pPr>
        <w:pStyle w:val="Text1"/>
        <w:rPr>
          <w:noProof/>
        </w:rPr>
      </w:pPr>
      <w:r>
        <w:rPr>
          <w:noProof/>
        </w:rPr>
        <w:t xml:space="preserve">«Για τους κινητήρες των υποκατηγοριών NRE για τους οποίους η ημερομηνία που ορίζεται στο παράρτημα III για τη διάθεση κινητήρων του σταδίου V στην αγορά είναι η 1η Ιανουαρίου 2020, τα κράτη μέλη επιτρέπουν την παράταση της μεταβατικής περιόδου και της δεκαοκτάμηνης περιόδου που αναφέρεται στο πρώτο εδάφιο κατά 12 επιπλέον μήνες για τους ΚΠΕ με συνολική ετήσια παραγωγή μικρότερη των 100 μονάδων μη οδικών κινητών μηχανημάτων εξοπλισμένων με κινητήρες εσωτερικής καύσης»· </w:t>
      </w:r>
    </w:p>
    <w:p>
      <w:pPr>
        <w:pStyle w:val="Point0"/>
        <w:rPr>
          <w:noProof/>
        </w:rPr>
      </w:pPr>
      <w:r>
        <w:rPr>
          <w:noProof/>
        </w:rPr>
        <w:t>β)</w:t>
      </w:r>
      <w:r>
        <w:rPr>
          <w:noProof/>
        </w:rPr>
        <w:tab/>
        <w:t>το τρίτο εδάφιο αντικαθίσταται ως εξής:</w:t>
      </w:r>
    </w:p>
    <w:p>
      <w:pPr>
        <w:pStyle w:val="Text1"/>
        <w:rPr>
          <w:noProof/>
        </w:rPr>
      </w:pPr>
      <w:r>
        <w:rPr>
          <w:noProof/>
        </w:rPr>
        <w:t xml:space="preserve">«Για τους κινητήρες των υποκατηγοριών NRE για τους οποίους η ημερομηνία που ορίζεται στο παράρτημα III για τη διάθεση κινητήρων του σταδίου V στην αγορά </w:t>
      </w:r>
      <w:r>
        <w:rPr>
          <w:noProof/>
        </w:rPr>
        <w:lastRenderedPageBreak/>
        <w:t>είναι η 1η Ιανουαρίου 2020, οι οποίοι χρησιμοποιούνται για κινητούς γερανούς, η μεταβατική περίοδος και η δεκαοκτάμηνη περίοδος που αναφέρονται στο πρώτο εδάφιο παρατείνονται κατά 12 μήνες»·</w:t>
      </w:r>
    </w:p>
    <w:p>
      <w:pPr>
        <w:pStyle w:val="Point0"/>
        <w:rPr>
          <w:noProof/>
        </w:rPr>
      </w:pPr>
      <w:r>
        <w:rPr>
          <w:noProof/>
        </w:rPr>
        <w:t>γ)</w:t>
      </w:r>
      <w:r>
        <w:rPr>
          <w:noProof/>
        </w:rPr>
        <w:tab/>
        <w:t xml:space="preserve">προστίθεται το ακόλουθο πέμπτο εδάφιο: </w:t>
      </w:r>
    </w:p>
    <w:p>
      <w:pPr>
        <w:pStyle w:val="Text1"/>
        <w:rPr>
          <w:noProof/>
        </w:rPr>
      </w:pPr>
      <w:r>
        <w:rPr>
          <w:noProof/>
        </w:rPr>
        <w:t>«Για τους κινητήρες όλων των υποκατηγοριών για τους οποίους η ημερομηνία που ορίζεται στο παράρτημα III για τη διάθεση κινητήρων του σταδίου V στην αγορά είναι η 1η Ιανουαρίου 2019, πλην των κινητήρων που αναφέρονται στο τέταρτο εδάφιο, η μεταβατική περίοδος και η δεκαοκτάμηνη περίοδος που αναφέρονται στο πρώτο εδάφιο παρατείνονται κατά 12 μήνες»·</w:t>
      </w:r>
    </w:p>
    <w:p>
      <w:pPr>
        <w:pStyle w:val="Point0"/>
        <w:rPr>
          <w:noProof/>
        </w:rPr>
      </w:pPr>
      <w:r>
        <w:t>(2)</w:t>
      </w:r>
      <w:r>
        <w:tab/>
      </w:r>
      <w:r>
        <w:rPr>
          <w:noProof/>
        </w:rPr>
        <w:t>στην παράγραφο 7 προστίθεται το ακόλουθο στοιχείο δ):</w:t>
      </w:r>
    </w:p>
    <w:p>
      <w:pPr>
        <w:pStyle w:val="Text2"/>
        <w:rPr>
          <w:noProof/>
        </w:rPr>
      </w:pPr>
      <w:r>
        <w:rPr>
          <w:noProof/>
        </w:rPr>
        <w:t>«δ) 36 μήνες από την εφαρμοστέα ημερομηνία διάθεσης στην αγορά κινητήρων που ορίζεται στο παράρτημα ΙΙΙ, στην περίπτωση που προβλέπεται στην παράγραφο 5 πέμπτο εδάφιο».</w:t>
      </w:r>
    </w:p>
    <w:p>
      <w:pPr>
        <w:pStyle w:val="Titrearticle"/>
        <w:rPr>
          <w:noProof/>
        </w:rPr>
      </w:pPr>
      <w:r>
        <w:rPr>
          <w:noProof/>
        </w:rPr>
        <w:t>Άρθρο 2</w:t>
      </w:r>
    </w:p>
    <w:p>
      <w:pPr>
        <w:rPr>
          <w:noProof/>
        </w:rPr>
      </w:pPr>
      <w:r>
        <w:rPr>
          <w:noProof/>
        </w:rPr>
        <w:t xml:space="preserve">Ο παρών κανονισμός αρχίζει να ισχύει την επομένη της ημέρας δημοσίευσής του στην </w:t>
      </w:r>
      <w:r>
        <w:rPr>
          <w:i/>
          <w:noProof/>
        </w:rPr>
        <w:t>Επίσημη Εφημερίδα της Ευρωπαϊκής Ένωσης</w:t>
      </w:r>
      <w:r>
        <w:rPr>
          <w:noProof/>
        </w:rPr>
        <w:t>.</w:t>
      </w:r>
    </w:p>
    <w:p>
      <w:pPr>
        <w:pStyle w:val="Applicationdirecte"/>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keepNext/>
        <w:rPr>
          <w:noProof/>
        </w:rPr>
      </w:pPr>
      <w:r>
        <w:rPr>
          <w:noProof/>
        </w:rPr>
        <w:t>Ο Πρόεδρος</w:t>
      </w:r>
      <w:r>
        <w:rPr>
          <w:noProof/>
        </w:rPr>
        <w:tab/>
        <w:t>Ο Πρόεδρος</w:t>
      </w:r>
    </w:p>
    <w:p>
      <w:pPr>
        <w:pStyle w:val="Institutionquisigne"/>
        <w:rPr>
          <w:noProof/>
        </w:rPr>
      </w:pPr>
    </w:p>
    <w:p>
      <w:pPr>
        <w:pStyle w:val="Personnequisigne"/>
        <w:keepNext/>
        <w:rPr>
          <w:noProof/>
        </w:rPr>
      </w:pPr>
    </w:p>
    <w:p>
      <w:pPr>
        <w:pStyle w:val="Institutionquisigne"/>
        <w:rPr>
          <w:noProof/>
        </w:rPr>
      </w:pP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C της , σ. .</w:t>
      </w:r>
    </w:p>
  </w:footnote>
  <w:footnote w:id="2">
    <w:p>
      <w:pPr>
        <w:pStyle w:val="FootnoteText"/>
      </w:pPr>
      <w:r>
        <w:rPr>
          <w:rStyle w:val="FootnoteReference"/>
        </w:rPr>
        <w:footnoteRef/>
      </w:r>
      <w:r>
        <w:tab/>
        <w:t>Κανονισμός (ΕΕ) 2016/1628 του Ευρωπαϊκού Κοινοβουλίου και του Συμβουλίου, της 14ης Σεπτεμβρίου 2016, σχετικά με τις απαιτήσεις που αφορούν τα όρια εκπομπών για τους αέριους και σωματιδιακούς ρύπους και την έγκριση τύπου για κινητήρες εσωτερικής καύσης για μη οδικά κινητά μηχανήματα, για την τροποποίηση των κανονισμών (ΕΕ) αριθ. 1024/2012 και (ΕΕ) αριθ. 167/2013 και για την τροποποίηση και κατάργηση της οδηγίας 97/68/ΕΚ (ΕΕ L 252 της 16.9.2016. σ. 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86D0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F9AA6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39C4E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A0021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4B263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AB807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13A4CA2"/>
    <w:lvl w:ilvl="0">
      <w:start w:val="1"/>
      <w:numFmt w:val="decimal"/>
      <w:pStyle w:val="ListNumber"/>
      <w:lvlText w:val="%1."/>
      <w:lvlJc w:val="left"/>
      <w:pPr>
        <w:tabs>
          <w:tab w:val="num" w:pos="360"/>
        </w:tabs>
        <w:ind w:left="360" w:hanging="360"/>
      </w:pPr>
    </w:lvl>
  </w:abstractNum>
  <w:abstractNum w:abstractNumId="7">
    <w:nsid w:val="FFFFFF89"/>
    <w:multiLevelType w:val="singleLevel"/>
    <w:tmpl w:val="4C4211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6:00:2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594DB2C-8833-44CD-82B5-7B7ED16C8D2B"/>
    <w:docVar w:name="LW_COVERPAGE_TYPE" w:val="1"/>
    <w:docVar w:name="LW_CROSSREFERENCE" w:val="&lt;UNUSED&gt;"/>
    <w:docVar w:name="LW_DocType" w:val="COM"/>
    <w:docVar w:name="LW_EMISSION" w:val="2.6.2020"/>
    <w:docVar w:name="LW_EMISSION_ISODATE" w:val="2020-06-02"/>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113"/>
    <w:docVar w:name="LW_REF.II.NEW.CP_YEAR" w:val="2020"/>
    <w:docVar w:name="LW_REF.INST.NEW" w:val="COM"/>
    <w:docVar w:name="LW_REF.INST.NEW_ADOPTED" w:val="final"/>
    <w:docVar w:name="LW_REF.INST.NEW_TEXT" w:val="(2020) 2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47?\u953?\u945? \u964?\u951?\u957? \u964?\u961?\u959?\u960?\u959?\u960?\u959?\u943?\u951?\u963?\u951? \u964?\u959?\u965? \u954?\u945?\u957?\u959?\u957?\u953?\u963?\u956?\u959?\u973? (\u917?\u917?) 2016/1628 \u972?\u963?\u959?\u957? \u945?\u966?\u959?\u961?\u940? \u964?\u953?\u962? \u956?\u949?\u964?\u945?\u946?\u945?\u964?\u953?\u954?\u941?\u962? \u948?\u953?\u945?\u964?\u940?\u958?\u949?\u953?\u962? \u964?\u959?\u965? \u947?\u953?\u945? \u964?\u951?\u957? \u945?\u957?\u964?\u953?\u956?\u949?\u964?\u974?\u960?\u953?\u963?\u951? \u964?\u969?\u957? \u949?\u960?\u953?\u960?\u964?\u974?\u963?\u949?\u969?\u957? \u964?\u951?\u962? \u954?\u961?\u943?\u963?\u951?\u962? \u964?\u951?\u962? \u957?\u972?\u963?\u959?\u965? COVID-19"/>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0F4D1C1-63D9-443C-9615-A3DF1A92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1654</Words>
  <Characters>9647</Characters>
  <Application>Microsoft Office Word</Application>
  <DocSecurity>0</DocSecurity>
  <Lines>182</Lines>
  <Paragraphs>75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dcterms:created xsi:type="dcterms:W3CDTF">2020-06-03T09:53:00Z</dcterms:created>
  <dcterms:modified xsi:type="dcterms:W3CDTF">2020-06-04T14:00:00Z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