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CF207F4-3113-4F79-BFCB-C98B58F112E3" style="width:450.7pt;height:365.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rPr>
          <w:b/>
          <w:noProof/>
        </w:rPr>
      </w:pPr>
      <w:r>
        <w:rPr>
          <w:b/>
          <w:noProof/>
        </w:rPr>
        <w:t>Ehdotuksen perustelut ja tavoitteet</w:t>
      </w:r>
    </w:p>
    <w:p>
      <w:pPr>
        <w:rPr>
          <w:noProof/>
        </w:rPr>
      </w:pPr>
      <w:r>
        <w:rPr>
          <w:noProof/>
        </w:rPr>
        <w:t>Ehdotus koskee neuvoston päätöstä, jolla korvattaisiin voimassa oleva, 12. kesäkuuta 2014 annettu neuvoston päätös N:o 376/2014/EU</w:t>
      </w:r>
      <w:r>
        <w:rPr>
          <w:rStyle w:val="FootnoteReference"/>
          <w:noProof/>
        </w:rPr>
        <w:footnoteReference w:id="2"/>
      </w:r>
      <w:r>
        <w:rPr>
          <w:noProof/>
        </w:rPr>
        <w:t>. Se hyväksyttiin Euroopan unionin toiminnasta tehdyn sopimuksen (SEUT-sopimus) 349 artiklan perusteella. Kyseisessä artiklassa sallitaan EU:n syrjäisimpiä alueita koskevien erityistoimenpiteiden toteuttaminen, sillä siinä tunnustetaan, että useat pysyvät rajoitteet yhdessä haittaavat suuresti näiden alueiden kehitystä ja vaikuttavat niiden sosiaaliseen ja taloudelliseen tilanteeseen. Siinä sallitaan tällaiset toimenpiteet sillä edellytyksellä, että ne eivät heikennä unionin oikeusjärjestyksen, sisämarkkinat ja yhteiset politiikat mukaan luettuina, yhtenäisyyttä ja johdonmukaisuutta. Voimassa olevassa päätöksessä annetaan Portugalille lupa soveltaa enintään 75 prosenttia Portugalin yleisiä valmisteverokantoja alempia valmisteverokantoja Madeiran itsehallintoalueella siellä tuotettaviin ja kulutettaviin rommiin ja likööreihin sekä Azorien itsehallintoalueella siellä tuotettaviin ja kulutettaviin likööreihin ja tislattuihin alkoholijuomiin. Nykyisen päätöksen voimassaolo päättyy 31. joulukuuta 2020.</w:t>
      </w:r>
    </w:p>
    <w:p>
      <w:pPr>
        <w:rPr>
          <w:noProof/>
        </w:rPr>
      </w:pPr>
      <w:r>
        <w:rPr>
          <w:noProof/>
        </w:rPr>
        <w:t>Tämän toimenpiteen tavoitteena on korvata portugalilaisten syrjäisimpien alueiden tuottajien epäedullista kilpailuasemaa, jonka aiheuttajia ovat Portugalin syrjäisimpien alueiden syrjäinen sijainti, saaristoluonne, pieni koko, vaikea pinnanmuodostus ja ilmasto ja taloudellinen riippuvuus muutamista harvoista tuotteista. Ne haittaavat suuresti näiden alueiden kehitystä. Näiden ominaispiirteiden vuoksi syrjäisimpien alueiden tuottajilla on korkeammat tuotantokustannukset kuin mantereella toimivilla tuottajilla.</w:t>
      </w:r>
    </w:p>
    <w:p>
      <w:pPr>
        <w:rPr>
          <w:noProof/>
        </w:rPr>
      </w:pPr>
      <w:r>
        <w:rPr>
          <w:noProof/>
        </w:rPr>
        <w:t xml:space="preserve">Päätöksen voimassaolon päättymisen lähestyessä Euroopan komissio teetti ulkopuolisen selvityksen arvioidakseen nykyistä järjestelmää sekä vaikutuksia, joita voisi olla vuoden 2020 jälkeistä aikaa koskevilla mahdollisilla vaihtoehdoilla, mukaan luettuna tämän ehdotuksen perustana oleva vaihtoehto. </w:t>
      </w:r>
    </w:p>
    <w:p>
      <w:pPr>
        <w:rPr>
          <w:noProof/>
        </w:rPr>
      </w:pPr>
      <w:r>
        <w:rPr>
          <w:noProof/>
        </w:rPr>
        <w:t>Tämän ehdotuksen mukaan poikkeuksen soveltamista jatketaan vuoteen 2027 asti, ja poikkeusta laajennetaan siten, että se kattaa paikallisesti tuotetun rommin myynnin Azoreilla (valmisteverokannan alennus pysyy 75 prosentissa) ja että kaikkien poikkeuksen piiriin kuuluvien tuotteiden myyntiin Manner-Portugalissa sovelletaan 50 prosentilla alennettua valmisteverokantaa.</w:t>
      </w:r>
    </w:p>
    <w:p>
      <w:pPr>
        <w:rPr>
          <w:b/>
          <w:noProof/>
        </w:rPr>
      </w:pPr>
      <w:r>
        <w:rPr>
          <w:b/>
          <w:noProof/>
        </w:rPr>
        <w:t>Yhdenmukaisuus muiden alaa koskevien politiikkojen säännösten kanssa</w:t>
      </w:r>
    </w:p>
    <w:p>
      <w:pPr>
        <w:rPr>
          <w:noProof/>
          <w:color w:val="000000"/>
          <w:szCs w:val="24"/>
        </w:rPr>
      </w:pPr>
      <w:r>
        <w:rPr>
          <w:noProof/>
          <w:color w:val="000000"/>
          <w:szCs w:val="24"/>
        </w:rPr>
        <w:t>Vuonna 2017 annetussa tiedonannossa strategisesta kumppanuudesta EU:n syrjäisimpien alueiden kanssa</w:t>
      </w:r>
      <w:r>
        <w:rPr>
          <w:rStyle w:val="FootnoteReference"/>
          <w:noProof/>
          <w:color w:val="000000"/>
          <w:szCs w:val="24"/>
        </w:rPr>
        <w:footnoteReference w:id="3"/>
      </w:r>
      <w:r>
        <w:rPr>
          <w:noProof/>
          <w:color w:val="000000"/>
          <w:szCs w:val="24"/>
        </w:rPr>
        <w:t xml:space="preserve"> todetaan, että syrjäisimmillä alueilla on edelleen vakavia haasteita, joista monet ovat pysyviä. Tiedonannossa esitetään komission lähestymistapa siihen, miten syrjäisimpiä alueita tuetaan niiden ainutlaatuisten vahvuuksien hyödyntämisessä ja kasvua ja työpaikkoja tarjoavien uusien kasvualojen määrittämisessä.</w:t>
      </w:r>
    </w:p>
    <w:p>
      <w:pPr>
        <w:rPr>
          <w:noProof/>
          <w:szCs w:val="24"/>
        </w:rPr>
      </w:pPr>
      <w:r>
        <w:rPr>
          <w:noProof/>
        </w:rPr>
        <w:lastRenderedPageBreak/>
        <w:t>Tätä taustaa vasten tämän ehdotuksen tavoitteena on tukea Portugalin syrjäisimpiä alueita niiden voimavarojen hyödyntämisessä paikallisen kasvun ja työpaikkojen luomisen mahdollistamiseksi yhdellä nimenomaisella alalla – alkoholialalla. Ehdotuksella täydennetään syrjäisestä sijainnista ja saaristoasemasta johtuvia erityisiä valinnaisia toimenpiteitä koskevaa ohjelmaa (POSEI)</w:t>
      </w:r>
      <w:r>
        <w:rPr>
          <w:rStyle w:val="FootnoteReference"/>
          <w:noProof/>
          <w:szCs w:val="24"/>
        </w:rPr>
        <w:footnoteReference w:id="4"/>
      </w:r>
      <w:r>
        <w:rPr>
          <w:noProof/>
        </w:rPr>
        <w:t xml:space="preserve">, jonka tarkoituksena on tukea alkutuotantoa ja raaka-ainetuotantoa. </w:t>
      </w:r>
    </w:p>
    <w:p>
      <w:pPr>
        <w:rPr>
          <w:b/>
          <w:noProof/>
        </w:rPr>
      </w:pPr>
      <w:r>
        <w:rPr>
          <w:b/>
          <w:noProof/>
        </w:rPr>
        <w:t>Yhdenmukaisuus unionin muiden politiikkojen kanssa</w:t>
      </w:r>
    </w:p>
    <w:p>
      <w:pPr>
        <w:spacing w:before="0" w:after="0"/>
        <w:rPr>
          <w:noProof/>
          <w:szCs w:val="24"/>
        </w:rPr>
      </w:pPr>
      <w:r>
        <w:rPr>
          <w:noProof/>
        </w:rPr>
        <w:t>Ehdotus on yhdenmukainen vuoden 2015 sisämarkkinastrategian</w:t>
      </w:r>
      <w:r>
        <w:rPr>
          <w:rStyle w:val="FootnoteReference"/>
          <w:noProof/>
          <w:szCs w:val="24"/>
        </w:rPr>
        <w:footnoteReference w:id="5"/>
      </w:r>
      <w:r>
        <w:rPr>
          <w:noProof/>
        </w:rPr>
        <w:t xml:space="preserve"> kanssa. Siinä komissio asettaa tavoitteeksi syvemmät ja oikeudenmukaisemmat sisämarkkinat, jotka hyödyttävät kaikkia sidosryhmiä. Yksi ehdotetun toimenpiteen tavoitteista on vähentää syrjäisimpien alueiden yrityksille aiheutuvia lisäkustannuksia, jotka vaikeuttavat niiden täysimääräistä osallistumista sisämarkkinoihin. Koska kyseessä olevat tuotantomäärät ovat pieniä, ehdotuksella ei odoteta olevan kielteistä vaikutusta sisämarkkinoiden moitteettomaan toimintaan. </w:t>
      </w:r>
    </w:p>
    <w:p>
      <w:pPr>
        <w:pStyle w:val="ManualHeading1"/>
        <w:rPr>
          <w:noProof/>
        </w:rPr>
      </w:pPr>
      <w:r>
        <w:rPr>
          <w:noProof/>
        </w:rPr>
        <w:t>2.</w:t>
      </w:r>
      <w:r>
        <w:rPr>
          <w:noProof/>
        </w:rPr>
        <w:tab/>
        <w:t>OIKEUSPERUSTA, TOISSIJAISUUSPERIAATE JA SUHTEELLISUUSPERIAATE</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48"/>
        <w:gridCol w:w="6"/>
      </w:tblGrid>
      <w:tr>
        <w:tc>
          <w:tcPr>
            <w:tcW w:w="9354" w:type="dxa"/>
            <w:gridSpan w:val="2"/>
          </w:tcPr>
          <w:p>
            <w:pPr>
              <w:rPr>
                <w:noProof/>
              </w:rPr>
            </w:pPr>
            <w:r>
              <w:rPr>
                <w:b/>
                <w:noProof/>
              </w:rPr>
              <w:t>Oikeusperusta</w:t>
            </w:r>
          </w:p>
          <w:p>
            <w:pPr>
              <w:rPr>
                <w:noProof/>
              </w:rPr>
            </w:pPr>
            <w:r>
              <w:rPr>
                <w:noProof/>
              </w:rPr>
              <w:t xml:space="preserve">Oikeusperustana on SEUT-sopimuksen 349 artikla. Sen nojalla neuvosto voi hyväksyä erityissäännöksiä, joilla mukautetaan perussopimusten soveltamista EU:n syrjäisimpiin alueisiin. </w:t>
            </w:r>
          </w:p>
        </w:tc>
      </w:tr>
      <w:tr>
        <w:tc>
          <w:tcPr>
            <w:tcW w:w="9354" w:type="dxa"/>
            <w:gridSpan w:val="2"/>
          </w:tcPr>
          <w:p>
            <w:pPr>
              <w:rPr>
                <w:noProof/>
              </w:rPr>
            </w:pPr>
            <w:r>
              <w:rPr>
                <w:b/>
                <w:noProof/>
              </w:rPr>
              <w:t>Toissijaisuusperiaate</w:t>
            </w:r>
          </w:p>
          <w:p>
            <w:pPr>
              <w:pStyle w:val="Text1"/>
              <w:ind w:left="0"/>
              <w:rPr>
                <w:noProof/>
              </w:rPr>
            </w:pPr>
            <w:r>
              <w:rPr>
                <w:noProof/>
              </w:rPr>
              <w:t>Ainoastaan neuvostolla on SEUT-sopimuksen 349 artiklan nojalla valtuudet hyväksyä erityistoimenpiteitä, joilla mukautetaan perussopimusten, mukaan lukien yhteiset politiikat, soveltamista EU:n syrjäisimpiin alueisiin niiden taloudelliseen ja sosiaaliseen tilanteeseen vaikuttavien pysyvien rajoitusten vuoksi. Tämä pätee myös SEUT-sopimuksen 110 artiklaa koskeviin poikkeuksiin. Näin ollen ehdotus neuvoston päätökseksi on toissijaisuusperiaatteen mukainen.</w:t>
            </w:r>
          </w:p>
        </w:tc>
      </w:tr>
      <w:tr>
        <w:tc>
          <w:tcPr>
            <w:tcW w:w="9354" w:type="dxa"/>
            <w:gridSpan w:val="2"/>
          </w:tcPr>
          <w:p>
            <w:pPr>
              <w:rPr>
                <w:noProof/>
              </w:rPr>
            </w:pPr>
            <w:r>
              <w:rPr>
                <w:b/>
                <w:noProof/>
              </w:rPr>
              <w:t>Suhteellisuusperiaate</w:t>
            </w:r>
          </w:p>
        </w:tc>
      </w:tr>
      <w:tr>
        <w:trPr>
          <w:gridAfter w:val="1"/>
          <w:wAfter w:w="6" w:type="dxa"/>
        </w:trPr>
        <w:tc>
          <w:tcPr>
            <w:tcW w:w="9348" w:type="dxa"/>
          </w:tcPr>
          <w:p>
            <w:pPr>
              <w:rPr>
                <w:noProof/>
              </w:rPr>
            </w:pPr>
            <w:r>
              <w:rPr>
                <w:noProof/>
              </w:rPr>
              <w:t xml:space="preserve">Tässä ehdotuksessa noudatetaan Euroopan unionista tehdyn sopimuksen (SEU-sopimus) 5 artiklan 4 kohdassa määrättyä suhteellisuusperiaatetta. Ehdotetuissa muutoksissa ei ylitetä sitä, mikä on tarpeen kyseessä olevien ongelmien ratkaisemiseksi ja näin ollen SEU-sopimuksen tavoitteiden (sisämarkkinoiden moitteeton ja tehokas toiminta) saavuttamiseksi. </w:t>
            </w:r>
          </w:p>
          <w:p>
            <w:pPr>
              <w:rPr>
                <w:noProof/>
              </w:rPr>
            </w:pPr>
            <w:r>
              <w:rPr>
                <w:noProof/>
              </w:rPr>
              <w:t xml:space="preserve">Erityisesti ehdotettu alennettujen valmisteverokantojen soveltamisen laajentaminen koskemaan Manner-Portugalia vahvistaisi Portugalin syrjäisimpien alueiden tuottajien kilpailukykyä aiheuttamatta juurikaan kielteisiä vaikutuksia (menetetyt verotulot, hallinnollinen rasite) ja asettaisi ne tasavertaiseen asemaan Manner-Portugalin samanlaisten tuotteiden tuottajien kanssa. </w:t>
            </w:r>
          </w:p>
        </w:tc>
      </w:tr>
      <w:tr>
        <w:tc>
          <w:tcPr>
            <w:tcW w:w="9354" w:type="dxa"/>
            <w:gridSpan w:val="2"/>
          </w:tcPr>
          <w:p>
            <w:pPr>
              <w:rPr>
                <w:noProof/>
              </w:rPr>
            </w:pPr>
            <w:r>
              <w:rPr>
                <w:b/>
                <w:noProof/>
              </w:rPr>
              <w:lastRenderedPageBreak/>
              <w:t>Välineen valinta</w:t>
            </w:r>
          </w:p>
        </w:tc>
      </w:tr>
      <w:tr>
        <w:tc>
          <w:tcPr>
            <w:tcW w:w="9354" w:type="dxa"/>
            <w:gridSpan w:val="2"/>
          </w:tcPr>
          <w:p>
            <w:pPr>
              <w:rPr>
                <w:noProof/>
              </w:rPr>
            </w:pPr>
            <w:r>
              <w:rPr>
                <w:noProof/>
              </w:rPr>
              <w:t xml:space="preserve">Neuvoston päätös N:o 376/2014/EU ehdotetaan korvattavan neuvoston päätöksellä. </w:t>
            </w:r>
          </w:p>
        </w:tc>
      </w:tr>
    </w:tbl>
    <w:p>
      <w:pPr>
        <w:pStyle w:val="ManualHeading1"/>
        <w:rPr>
          <w:noProof/>
        </w:rPr>
      </w:pPr>
      <w:r>
        <w:rPr>
          <w:noProof/>
        </w:rPr>
        <w:t>3.</w:t>
      </w:r>
      <w:r>
        <w:rPr>
          <w:noProof/>
        </w:rPr>
        <w:tab/>
        <w:t>JÄLKIARVIOINTIEN, SIDOSRYHMIEN KUULEMISTEN JA VAIKUTUSTENARVIOINTIEN TULOKSET</w:t>
      </w:r>
    </w:p>
    <w:p>
      <w:pPr>
        <w:rPr>
          <w:b/>
          <w:noProof/>
        </w:rPr>
      </w:pPr>
      <w:r>
        <w:rPr>
          <w:b/>
          <w:noProof/>
        </w:rPr>
        <w:t>Voimassa olevan lainsäädännön jälkiarviointi</w:t>
      </w:r>
    </w:p>
    <w:p>
      <w:pPr>
        <w:rPr>
          <w:noProof/>
        </w:rPr>
      </w:pPr>
      <w:r>
        <w:rPr>
          <w:noProof/>
        </w:rPr>
        <w:t xml:space="preserve">Ulkopuolisessa selvityksessä kävi ilmi, että syrjäisimpien alueiden tuottajien tuotantokustannukset ovat edelleen Manner-Portugalin tuottajien kustannuksia korkeammat, ja niitä kompensoidaan nykyisin alennetulla valmisteverolla. Lisäksi selvityksessä havaittiin seuraavat kaksi seikkaa, jotka ovat tulleet ilmi voimassa olevan päätöksen antamisen jälkeen. </w:t>
      </w:r>
    </w:p>
    <w:p>
      <w:pPr>
        <w:rPr>
          <w:noProof/>
        </w:rPr>
      </w:pPr>
      <w:r>
        <w:rPr>
          <w:noProof/>
        </w:rPr>
        <w:t xml:space="preserve">Ulkopuolisessa selvityksessä todettiin ensinnäkin, että Azoreilla tuotetaan nyt rommia, mutta se ei sisälly nykyiseen järjestelmään. Järjestelmä kattaa kuitenkin Madeiralla tuotetun rommin, minkä vuoksi rommintuottajien toimintaedellytykset näillä syrjäisimpiin kuuluvilla kahdella alueella ovat epätasapuoliset. Toiseksi selvityksessä todettiin, että Azoreilla tapahtuvan rommin lisätuotannon lisäksi rommintuotanto Madeiralla on kasvussa ja että syrjäisimpien alueiden rajallisten markkinoiden vuoksi kaikkea rommia ei pystytä myymään paikallisesti. Manner-Portugalin markkinoille pääsystä aiheutuvat lisäkustannukset muodostavat esteen asianomaisille tuottajille, minkä vuoksi rommia varastoidaan ja siitä aiheutuu kustannuksia. </w:t>
      </w:r>
    </w:p>
    <w:p>
      <w:pPr>
        <w:rPr>
          <w:b/>
          <w:noProof/>
        </w:rPr>
      </w:pPr>
      <w:r>
        <w:rPr>
          <w:b/>
          <w:noProof/>
        </w:rPr>
        <w:t>Sidosryhmien kuuleminen</w:t>
      </w:r>
    </w:p>
    <w:p>
      <w:pPr>
        <w:rPr>
          <w:noProof/>
        </w:rPr>
      </w:pPr>
      <w:r>
        <w:rPr>
          <w:noProof/>
        </w:rPr>
        <w:t xml:space="preserve">Nykyisen järjestelmän analysointia tukevaa ulkopuolista selvitystä varten saatiin kyselylomakkeiden, haastattelujen ja keskustelujen kautta vastauksia Euroopan komission asiaankuuluvilta yksiköiltä, Portugalin viranomaisilta, kyseisten kahden syrjäisimpiin kuuluvan alueen tuottajilta ja portugalilaisilta jakelijoilta. Manner-Portugalin tuottajilta ja kansalaisyhteiskunnalta ei saatu vastauksia, vaikka ulkopuolinen toimeksisaaja siihen erityisesti pyrki. </w:t>
      </w:r>
    </w:p>
    <w:p>
      <w:pPr>
        <w:rPr>
          <w:b/>
          <w:noProof/>
        </w:rPr>
      </w:pPr>
      <w:r>
        <w:rPr>
          <w:b/>
          <w:noProof/>
        </w:rPr>
        <w:t>Vaikutustenarviointi</w:t>
      </w:r>
    </w:p>
    <w:p>
      <w:pPr>
        <w:rPr>
          <w:noProof/>
        </w:rPr>
      </w:pPr>
      <w:r>
        <w:rPr>
          <w:noProof/>
        </w:rPr>
        <w:t xml:space="preserve">Tätä aloitetta on valmisteltu kahdella perättäisellä toimenpiteellä: ensin tehtiin nykyisen järjestelmän jälkiarviointi ja välittömästi sen jälkeen ennakoiva arviointi. Tällaisesta nykyisen järjestelmän jatkamisen tai sen mahdollisen muuttamisen vaikutuksia koskevasta arvioinnista on laadittu analyysiasiakirja, johon sisältyy arviointiliite. Tämä asiakirja perustuu ulkopuoliseen selvitykseen ja kyseisen jäsenvaltion toimittamiin tietoihin. </w:t>
      </w:r>
    </w:p>
    <w:p>
      <w:pPr>
        <w:pStyle w:val="ManualHeading1"/>
        <w:rPr>
          <w:noProof/>
        </w:rPr>
      </w:pPr>
      <w:r>
        <w:rPr>
          <w:noProof/>
        </w:rPr>
        <w:t>4.</w:t>
      </w:r>
      <w:r>
        <w:rPr>
          <w:noProof/>
        </w:rPr>
        <w:tab/>
        <w:t>TALOUSARVIOVAIKUTUKSET</w:t>
      </w:r>
    </w:p>
    <w:p>
      <w:pPr>
        <w:rPr>
          <w:noProof/>
        </w:rPr>
      </w:pPr>
      <w:r>
        <w:rPr>
          <w:noProof/>
        </w:rPr>
        <w:t>Ehdotus ei vaikuta Euroopan unionin talousarvioon, koska valmisteveroista saatavat tulot menevät kokonaan jäsenvaltioille.</w:t>
      </w:r>
    </w:p>
    <w:p>
      <w:pPr>
        <w:pStyle w:val="ManualHeading1"/>
        <w:rPr>
          <w:noProof/>
        </w:rPr>
      </w:pPr>
      <w:r>
        <w:rPr>
          <w:noProof/>
        </w:rPr>
        <w:t>5.</w:t>
      </w:r>
      <w:r>
        <w:rPr>
          <w:noProof/>
        </w:rPr>
        <w:tab/>
        <w:t xml:space="preserve">LISÄTIEDOT </w:t>
      </w:r>
    </w:p>
    <w:p>
      <w:pPr>
        <w:rPr>
          <w:b/>
          <w:noProof/>
        </w:rPr>
      </w:pPr>
      <w:r>
        <w:rPr>
          <w:b/>
          <w:noProof/>
        </w:rPr>
        <w:t>Toteuttamissuunnitelmat, seuranta, arviointi ja raportointijärjestelyt</w:t>
      </w:r>
    </w:p>
    <w:p>
      <w:pPr>
        <w:rPr>
          <w:noProof/>
        </w:rPr>
      </w:pPr>
      <w:r>
        <w:rPr>
          <w:noProof/>
        </w:rPr>
        <w:lastRenderedPageBreak/>
        <w:t xml:space="preserve">Poikkeuksen täytäntöönpanon ja toimivuuden seuranta kuuluu Portugalin viranomaisille ja komissiolle, kuten tähänkin asti. </w:t>
      </w:r>
    </w:p>
    <w:p>
      <w:pPr>
        <w:rPr>
          <w:noProof/>
        </w:rPr>
      </w:pPr>
      <w:r>
        <w:rPr>
          <w:noProof/>
        </w:rPr>
        <w:t xml:space="preserve">Portugalia pyydetään toimittamaan vuosia 2019–2024 koskeva seurantakertomus viimeistään 30. syyskuuta 2025. Seurantakertomuksen on sisällettävä seuraavat: </w:t>
      </w:r>
    </w:p>
    <w:p>
      <w:pPr>
        <w:pStyle w:val="Bullet0"/>
        <w:numPr>
          <w:ilvl w:val="0"/>
          <w:numId w:val="11"/>
        </w:numPr>
        <w:rPr>
          <w:noProof/>
        </w:rPr>
      </w:pPr>
      <w:r>
        <w:rPr>
          <w:noProof/>
        </w:rPr>
        <w:t>tiedot tuotannosta aiheutuvista lisäkustannuksia</w:t>
      </w:r>
    </w:p>
    <w:p>
      <w:pPr>
        <w:pStyle w:val="Bullet0"/>
        <w:rPr>
          <w:noProof/>
        </w:rPr>
      </w:pPr>
      <w:r>
        <w:rPr>
          <w:noProof/>
        </w:rPr>
        <w:t>talouden vääristymät ja vaikutukset markkinoihin</w:t>
      </w:r>
    </w:p>
    <w:p>
      <w:pPr>
        <w:pStyle w:val="Bullet0"/>
        <w:rPr>
          <w:noProof/>
        </w:rPr>
      </w:pPr>
      <w:r>
        <w:rPr>
          <w:noProof/>
        </w:rPr>
        <w:t>tiedot, joiden perusteella voidaan arvioida vaikuttavuutta, tehokkuutta ja yhdenmukaisuutta muiden EU-politiikkojen kanssa</w:t>
      </w:r>
    </w:p>
    <w:p>
      <w:pPr>
        <w:pStyle w:val="Bullet0"/>
        <w:rPr>
          <w:noProof/>
        </w:rPr>
      </w:pPr>
      <w:r>
        <w:rPr>
          <w:noProof/>
        </w:rPr>
        <w:t xml:space="preserve">tiedot uuden lainsäädännön pysymisestä tarkoituksenmukaisena ja sen EU:n tason lisäarvosta. </w:t>
      </w:r>
    </w:p>
    <w:p>
      <w:pPr>
        <w:rPr>
          <w:noProof/>
        </w:rPr>
      </w:pPr>
      <w:r>
        <w:rPr>
          <w:noProof/>
        </w:rPr>
        <w:t>Raportointimenettelyssä olisi myös pyrittävä keräämään kaikilta asiaankuuluvilta sidosryhmiltä tietoja niille aiheutuvien tuotantoon ja vaatimusten noudattamiseen liittyvien kustannusten tasosta ja kehityksestä sekä mahdollisista markkinoiden vääristymistä.</w:t>
      </w:r>
    </w:p>
    <w:p>
      <w:pPr>
        <w:rPr>
          <w:noProof/>
        </w:rPr>
      </w:pPr>
      <w:r>
        <w:rPr>
          <w:noProof/>
        </w:rPr>
        <w:t>Sen varmistamiseksi, että Portugalin viranomaisten keräämät tiedot sisältävät ne tiedot, joita komissio tarvitsee tehdäkseen perustellun päätöksen järjestelmän validiudesta ja toteuttamiskelpoisuudesta tulevaisuudessa, komissio laatii erityiset ohjeet vaadituista tiedoista. Ohjeet tulevat olemaan mahdollisimman pitkälle yhteiset muiden samanlaisten EU:n syrjäisimpiä alueita koskevien ja samanlaisella lainsäädännöllä säänneltyjen järjestelmien ohjeiden kanssa.</w:t>
      </w:r>
    </w:p>
    <w:p>
      <w:pPr>
        <w:rPr>
          <w:noProof/>
        </w:rPr>
      </w:pPr>
      <w:r>
        <w:rPr>
          <w:noProof/>
        </w:rPr>
        <w:t>Siten komissio pystyy arvioimaan, ovatko poikkeuksen myöntämisperusteet edelleen voimassa, onko Portugalin myöntämä veroetuus yhä oikeasuhteinen ja onko veropoikkeusjärjestelmälle olemassa vaihtoehtoisia toimenpiteitä ottaen huomioon niiden kansainvälinen ulottuvuus.</w:t>
      </w:r>
    </w:p>
    <w:p>
      <w:pPr>
        <w:rPr>
          <w:noProof/>
        </w:rPr>
      </w:pPr>
      <w:r>
        <w:rPr>
          <w:noProof/>
        </w:rPr>
        <w:t>Seurantakertomuksen rakenne ja siinä edellytetyt tiedot esitetään ehdotuksen liitteessä 1.</w:t>
      </w:r>
    </w:p>
    <w:p>
      <w:pPr>
        <w:rPr>
          <w:b/>
          <w:noProof/>
        </w:rPr>
      </w:pPr>
      <w:r>
        <w:rPr>
          <w:b/>
          <w:noProof/>
        </w:rPr>
        <w:t>Ehdotukseen sisältyvien säännösten yksityiskohtaiset selitykset</w:t>
      </w:r>
    </w:p>
    <w:p>
      <w:pPr>
        <w:rPr>
          <w:noProof/>
        </w:rPr>
      </w:pPr>
      <w:r>
        <w:rPr>
          <w:noProof/>
        </w:rPr>
        <w:t>Tätä kohtaa ei sovelleta, sillä artiklojen sisältö on selkeä.</w:t>
      </w:r>
    </w:p>
    <w:p>
      <w:pPr>
        <w:pStyle w:val="Footnotere"/>
        <w:sectPr>
          <w:footerReference w:type="default" r:id="rId14"/>
          <w:footerReference w:type="first" r:id="rId15"/>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2020/0118 (CNS)</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luvan antamisesta Portugalille soveltaa alennettuja valmisteverokantoja tiettyihin Madeiran ja Azorien itsehallintoalueilla tuotettaviin alkoholituotteisiin</w:t>
      </w:r>
    </w:p>
    <w:p>
      <w:pPr>
        <w:pStyle w:val="Institutionquiagit"/>
        <w:rPr>
          <w:noProof/>
        </w:rPr>
      </w:pPr>
      <w:r>
        <w:rPr>
          <w:noProof/>
        </w:rPr>
        <w:t>EUROOPAN UNIONIN NEUVOSTO, joka</w:t>
      </w:r>
    </w:p>
    <w:p>
      <w:pPr>
        <w:rPr>
          <w:noProof/>
        </w:rPr>
      </w:pPr>
      <w:r>
        <w:rPr>
          <w:noProof/>
        </w:rPr>
        <w:t>ottaa huomioon Euroopan unionin toiminnasta tehdyn sopimuksen ja erityisesti sen 349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6"/>
      </w:r>
      <w:r>
        <w:rPr>
          <w:noProof/>
        </w:rPr>
        <w:t>,</w:t>
      </w:r>
    </w:p>
    <w:p>
      <w:pPr>
        <w:rPr>
          <w:noProof/>
        </w:rPr>
      </w:pPr>
      <w:r>
        <w:rPr>
          <w:noProof/>
        </w:rPr>
        <w:t>noudattaa erityistä lainsäätämisjärjestystä,</w:t>
      </w:r>
    </w:p>
    <w:p>
      <w:pPr>
        <w:rPr>
          <w:noProof/>
        </w:rPr>
      </w:pPr>
      <w:r>
        <w:rPr>
          <w:noProof/>
        </w:rPr>
        <w:t>sekä katsoo seuraavaa:</w:t>
      </w:r>
    </w:p>
    <w:p>
      <w:pPr>
        <w:pStyle w:val="ManualConsidrant"/>
        <w:rPr>
          <w:noProof/>
        </w:rPr>
      </w:pPr>
      <w:r>
        <w:t>(1)</w:t>
      </w:r>
      <w:r>
        <w:tab/>
      </w:r>
      <w:r>
        <w:rPr>
          <w:noProof/>
        </w:rPr>
        <w:t>Neuvoston asetuksessa N:o 376/2014/EU</w:t>
      </w:r>
      <w:r>
        <w:rPr>
          <w:rStyle w:val="FootnoteReference"/>
          <w:noProof/>
        </w:rPr>
        <w:footnoteReference w:id="7"/>
      </w:r>
      <w:r>
        <w:rPr>
          <w:noProof/>
        </w:rPr>
        <w:t xml:space="preserve"> annetaan Portugalille lupa soveltaa Madeiran itsehallintoalueella siellä tuotettaviin ja kulutettaviin rommiin ja likööreihin sekä Azorien itsehallintoalueella siellä tuotettaviin ja kulutettaviin likööreihin ja tislattuihin alkoholijuomiin alennettua valmisteverokantaa, joka voi olla alhaisempi kuin neuvoston direktiivissä 92/84/ETY</w:t>
      </w:r>
      <w:r>
        <w:rPr>
          <w:rStyle w:val="FootnoteReference"/>
          <w:noProof/>
        </w:rPr>
        <w:footnoteReference w:id="8"/>
      </w:r>
      <w:r>
        <w:rPr>
          <w:noProof/>
        </w:rPr>
        <w:t xml:space="preserve"> vahvistettu valmisteveron vähimmäismäärä, mutta enintään 75 prosenttia alhaisempi kuin alkoholin yleinen kansallinen valmisteverokanta. </w:t>
      </w:r>
    </w:p>
    <w:p>
      <w:pPr>
        <w:pStyle w:val="ManualConsidrant"/>
        <w:rPr>
          <w:noProof/>
        </w:rPr>
      </w:pPr>
      <w:r>
        <w:t>(2)</w:t>
      </w:r>
      <w:r>
        <w:tab/>
      </w:r>
      <w:r>
        <w:rPr>
          <w:noProof/>
        </w:rPr>
        <w:t xml:space="preserve">Helmikuussa 2019 Portugalin viranomaiset pyysivät komissiota esittämään ehdotuksen neuvoston päätökseksi, jolla pidennettäisiin päätöksessä N:o 376/2014/EU vahvistettua lupaa koskevaa määräaikaa vielä seitsemäksi vuodeksi eli 1 päivästä tammikuuta 2021 31 päivään joulukuuta 2027 siten, että luvan edellytykset pysyvät </w:t>
      </w:r>
      <w:r>
        <w:rPr>
          <w:noProof/>
        </w:rPr>
        <w:lastRenderedPageBreak/>
        <w:t xml:space="preserve">samoina ja sen maantieteellistä soveltamisalaa laajennetaan kattamaan Manner-Portugali mutta pienemmällä verovähennyksellä. </w:t>
      </w:r>
    </w:p>
    <w:p>
      <w:pPr>
        <w:pStyle w:val="ManualConsidrant"/>
        <w:rPr>
          <w:noProof/>
        </w:rPr>
      </w:pPr>
      <w:r>
        <w:t>(3)</w:t>
      </w:r>
      <w:r>
        <w:tab/>
      </w:r>
      <w:r>
        <w:rPr>
          <w:noProof/>
        </w:rPr>
        <w:t xml:space="preserve">Madeiran ja Azorien itsehallintoalueiden tuottajilla on vaikeuksia päästä kyseisten alueiden ulkopuolisille markkinoille, ja alue- ja paikallismarkkinat ovat ainoat paikat myydä tiettyjä alkoholituotteita. Näille tuottajille koituu lisäkustannuksia, koska maatalousperäiset raaka-aineet ovat Azorien ja Madeiran itsehallintoalueilla tilojen pienen koon ja hajanaisuuden sekä koneistuksen vähäisyyden vuoksi kalliimpia kuin tavanomaisissa tuotanto-olosuhteissa. Lisäksi sokeriruo’on jalostusmäärät ovat pienemmät kuin muilla syrjäisimmillä alueilla pinnanmuodostuksen, ilmaston, maaperän ja pienimuotoisen tuotannon vuoksi. Lisäkustannuksia aiheutuu myös tiettyjen sellaisten raaka-aineiden ja pakkausmateriaalien, joita ei tuoteta paikallisesti, kuljettamisesta kyseisille saarille. </w:t>
      </w:r>
    </w:p>
    <w:p>
      <w:pPr>
        <w:pStyle w:val="ManualConsidrant"/>
        <w:rPr>
          <w:noProof/>
        </w:rPr>
      </w:pPr>
      <w:r>
        <w:t>(4)</w:t>
      </w:r>
      <w:r>
        <w:tab/>
      </w:r>
      <w:r>
        <w:rPr>
          <w:noProof/>
        </w:rPr>
        <w:t>Azoreilla saaristoluonne ilmenee kaksinkertaisena, sillä kyseessä on ryhmä saaria, jotka ovat levittäytyneet laajalle alueelle. Kuljetuksista aiheutuu näillä syrjäisillä saarialueilla vielä enemmän lisäkustannuksia. Tämä pätee myös eräisiin mantereelle suuntautuviin tarpeellisiin kuljetuksiin ja lähetyksiin. Myös valmiiden tuotteiden varastointi aiheuttaa lisäkustannuksia, koska paikallinen kulutus ei kata tuotannon – erityisesti rommin tuotannon – koko määrää. Aluemarkkinoiden pieni koko kasvattaa yksikkökustannuksia erityisesti siitä syystä, että kiinteiden kustannusten ja tuotannon suhde on epäedullinen. Tuottajille koituu myös ylimääräisiä kustannuksia, joista yleensä vastaa paikallistalous, kuten suurempia työvoima- ja energiakustannuksia.</w:t>
      </w:r>
    </w:p>
    <w:p>
      <w:pPr>
        <w:pStyle w:val="ManualConsidrant"/>
        <w:rPr>
          <w:noProof/>
        </w:rPr>
      </w:pPr>
      <w:r>
        <w:t>(5)</w:t>
      </w:r>
      <w:r>
        <w:tab/>
      </w:r>
      <w:r>
        <w:rPr>
          <w:noProof/>
        </w:rPr>
        <w:t>Rommintuotanto on lisääntynyt lisääntyneen sokeriruo’on tuotannon seurauksena. Osa rommista kypsytetään tai käytetään liköörien valmistukseen, mutta myymättä jäävät rommimäärät varastoidaan, ja siitä maksettava hinta kasvattaa edelleen tuottajille aiheutuvia lisäkustannuksia. Lisäkustannuksista on se seuraus, että Madeiran ja Azorien itsehallintoalueille sijoittautuneet tuottajat eivät pysty kilpailemaan kyseisten alueiden ulkopuolisten tuottajien kanssa lopputuotteen korkeamman hinnan vuoksi eivätkä ne näin ollen pääse muille markkinoille. Manner-Portugalin markkinoille pääsy alennettujen valmisteverokantojen ansiosta korjaisi tätä ongelmaa.</w:t>
      </w:r>
    </w:p>
    <w:p>
      <w:pPr>
        <w:pStyle w:val="ManualConsidrant"/>
        <w:rPr>
          <w:noProof/>
        </w:rPr>
      </w:pPr>
      <w:r>
        <w:t>(6)</w:t>
      </w:r>
      <w:r>
        <w:tab/>
      </w:r>
      <w:r>
        <w:rPr>
          <w:noProof/>
        </w:rPr>
        <w:t xml:space="preserve">Jotta ei aiheutettaisi vakavaa haittaa Madeiran ja Azorien itsehallintoalueiden kehitykselle ja jotta voitaisiin säilyttää alkoholiteollisuus ja sen tarjoamat työpaikat näillä alueilla, on tarpeen uusia päätöksellä N:o 376/2014/EU vahvistettu lupa ja laajentaa sen soveltamisalaa. </w:t>
      </w:r>
    </w:p>
    <w:p>
      <w:pPr>
        <w:pStyle w:val="ManualConsidrant"/>
        <w:rPr>
          <w:noProof/>
        </w:rPr>
      </w:pPr>
      <w:r>
        <w:t>(7)</w:t>
      </w:r>
      <w:r>
        <w:tab/>
      </w:r>
      <w:r>
        <w:rPr>
          <w:noProof/>
        </w:rPr>
        <w:t>Päätöstä N:o 376/2014/EU sovelletaan 31 päivään joulukuuta 2020</w:t>
      </w:r>
      <w:r>
        <w:rPr>
          <w:noProof/>
          <w:color w:val="444444"/>
          <w:sz w:val="27"/>
          <w:szCs w:val="27"/>
          <w:shd w:val="clear" w:color="auto" w:fill="FFFFFF"/>
        </w:rPr>
        <w:t xml:space="preserve">. </w:t>
      </w:r>
      <w:r>
        <w:rPr>
          <w:noProof/>
        </w:rPr>
        <w:t>Selkeyden vuoksi on tarpeen antaa uusi päätös luvan antamisesta Portugalille soveltaa Madeiran ja Azorien itsehallintoalueilla alennettua valmisteverokantaa.</w:t>
      </w:r>
    </w:p>
    <w:p>
      <w:pPr>
        <w:pStyle w:val="ManualConsidrant"/>
        <w:rPr>
          <w:noProof/>
        </w:rPr>
      </w:pPr>
      <w:r>
        <w:t>(8)</w:t>
      </w:r>
      <w:r>
        <w:tab/>
      </w:r>
      <w:r>
        <w:rPr>
          <w:noProof/>
        </w:rPr>
        <w:t>Koska veroetuus ei ylitä sitä, mikä on tarpeen lisäkustannusten korvaamiseksi, ja koska kyseessä olevat määrät ovat pieniä ja veroetuus myönnetään ainoastaan Madeiran ja Azorien itsehallintoalueilla ja Manner-Portugalissa tapahtuvaan kulutukseen, toimenpide ei vahingoita unionin oikeusjärjestyksen yhtenäisyyttä ja johdonmukaisuutta.</w:t>
      </w:r>
    </w:p>
    <w:p>
      <w:pPr>
        <w:pStyle w:val="ManualConsidrant"/>
        <w:rPr>
          <w:noProof/>
        </w:rPr>
      </w:pPr>
      <w:r>
        <w:t>(9)</w:t>
      </w:r>
      <w:r>
        <w:tab/>
      </w:r>
      <w:r>
        <w:rPr>
          <w:noProof/>
        </w:rPr>
        <w:t>Jotta komissio voi arvioida, täyttyvätkö luvan myöntämisperusteet edelleen, Portugalin olisi toimitettava komissiolle seurantakertomus viimeistään 30 päivänä syyskuuta 2025.</w:t>
      </w:r>
    </w:p>
    <w:p>
      <w:pPr>
        <w:pStyle w:val="ManualConsidrant"/>
        <w:rPr>
          <w:noProof/>
        </w:rPr>
      </w:pPr>
      <w:r>
        <w:lastRenderedPageBreak/>
        <w:t>(10)</w:t>
      </w:r>
      <w:r>
        <w:tab/>
      </w:r>
      <w:r>
        <w:rPr>
          <w:noProof/>
        </w:rPr>
        <w:t>Tällä päätöksellä ei rajoiteta SEUT-sopimuksen 107 ja 108 artiklan mahdollista soveltamista,</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 xml:space="preserve">Poiketen siitä, mitä SEUT-sopimuksen 110 artiklassa määrätään, Portugalille annetaan lupa soveltaa direktiivin 92/84/ETY 3 artiklassa vahvistettua alkoholiin sovellettavaa täyttä valmisteverokantaa alempaa valmisteverokantaa Madeiran itsehallintoalueella siellä tuotettaviin ja kulutettaviin rommiin ja likööreihin sekä Azorien itsehallintoalueella siellä tuotettaviin ja kulutettaviin rommiin, likööreihin ja tislattuihin alkoholijuomiin. </w:t>
      </w:r>
    </w:p>
    <w:p>
      <w:pPr>
        <w:pStyle w:val="Titrearticle"/>
        <w:rPr>
          <w:noProof/>
        </w:rPr>
      </w:pPr>
      <w:r>
        <w:rPr>
          <w:noProof/>
        </w:rPr>
        <w:t>2 artikla</w:t>
      </w:r>
    </w:p>
    <w:p>
      <w:pPr>
        <w:rPr>
          <w:noProof/>
        </w:rPr>
      </w:pPr>
      <w:r>
        <w:rPr>
          <w:noProof/>
        </w:rPr>
        <w:t>Poiketen siitä, mitä SEUT-sopimuksen 110 artiklassa määrätään, Portugalille annetaan lupa soveltaa direktiivin 92/84/ETY 3 artiklassa vahvistettua alkoholiin sovellettavaa täyttä valmisteverokantaa alempaa valmisteverokantaa Madeiran itsehallintoalueella tuotettaviin ja kulutettaviin rommiin ja likööreihin, jotka kulutetaan Manner-Portugalissa, sekä Azorien itsehallintoalueella tuotettaviin ja kulutettaviin rommiin, likööreihin ja tislattuihin alkoholijuomiin, jotka kulutetaan Manner-Portugalissa.</w:t>
      </w:r>
    </w:p>
    <w:p>
      <w:pPr>
        <w:pStyle w:val="Titrearticle"/>
        <w:rPr>
          <w:noProof/>
        </w:rPr>
      </w:pPr>
      <w:r>
        <w:rPr>
          <w:noProof/>
        </w:rPr>
        <w:t>3 artikla</w:t>
      </w:r>
    </w:p>
    <w:p>
      <w:pPr>
        <w:rPr>
          <w:noProof/>
        </w:rPr>
      </w:pPr>
      <w:r>
        <w:rPr>
          <w:noProof/>
        </w:rPr>
        <w:t xml:space="preserve">Edellä 1 ja 2 artiklassa vahvistettu lupa rajoitetaan Madeiralla koskemaan seuraavia tuotteita: </w:t>
      </w:r>
    </w:p>
    <w:p>
      <w:pPr>
        <w:pStyle w:val="Text1"/>
        <w:rPr>
          <w:noProof/>
        </w:rPr>
      </w:pPr>
      <w:r>
        <w:rPr>
          <w:noProof/>
        </w:rPr>
        <w:t>a) 24 päivään toukokuuta 2021 asti Euroopan parlamentin ja neuvoston asetuksen (EY) N:o 110/2008</w:t>
      </w:r>
      <w:r>
        <w:rPr>
          <w:rStyle w:val="FootnoteReference"/>
          <w:noProof/>
        </w:rPr>
        <w:footnoteReference w:id="9"/>
      </w:r>
      <w:r>
        <w:rPr>
          <w:noProof/>
        </w:rPr>
        <w:t xml:space="preserve"> liitteessä II olevassa 1 kohdassa määritelty rommi, jolla on mainitun asetuksen liitteessä III olevassa 1 kohdassa tarkoitettu maantieteellinen merkintä ”Rum da Madeira”, ja 25 päivästä toukokuuta 2021 alkaen Euroopan parlamentin ja neuvoston asetuksen (EU) 2019/787</w:t>
      </w:r>
      <w:r>
        <w:rPr>
          <w:rStyle w:val="FootnoteReference"/>
          <w:noProof/>
        </w:rPr>
        <w:footnoteReference w:id="10"/>
      </w:r>
      <w:r>
        <w:rPr>
          <w:noProof/>
        </w:rPr>
        <w:t xml:space="preserve"> liitteessä I olevassa 1 kohdassa määritelty rommi, jolla on maantieteellinen merkintä ”Rum da Madeira;</w:t>
      </w:r>
    </w:p>
    <w:p>
      <w:pPr>
        <w:pStyle w:val="Text1"/>
        <w:rPr>
          <w:noProof/>
        </w:rPr>
      </w:pPr>
      <w:r>
        <w:rPr>
          <w:noProof/>
        </w:rPr>
        <w:t xml:space="preserve">b) 24 päivään toukokuuta 2021 asti asetuksen (EY) N:o 110/2008 liitteessä II olevassa 32 ja 33 kohdassa määritelty, alueellisista hedelmistä tai raaka-aineista tuotettu likööri ja ”crème de” -alkoholijuoma ja 25 päivästä toukokuuta 2021 alkaen asetuksen (EU) 2019/787 liitteessä I olevassa 33 ja 34 kohdassa määritelty, </w:t>
      </w:r>
      <w:r>
        <w:rPr>
          <w:noProof/>
        </w:rPr>
        <w:lastRenderedPageBreak/>
        <w:t>alueellisista hedelmistä tai raaka-aineista tuotettu likööri ja ”crème de” -alkoholijuoma;</w:t>
      </w:r>
    </w:p>
    <w:p>
      <w:pPr>
        <w:rPr>
          <w:i/>
          <w:noProof/>
        </w:rPr>
      </w:pPr>
      <w:r>
        <w:rPr>
          <w:noProof/>
        </w:rPr>
        <w:t>Edellä 1 ja 2 artiklassa vahvistettu lupa rajoitetaan Azoreilla koskemaan seuraavia tuotteita:</w:t>
      </w:r>
    </w:p>
    <w:p>
      <w:pPr>
        <w:pStyle w:val="Text1"/>
        <w:rPr>
          <w:noProof/>
        </w:rPr>
      </w:pPr>
      <w:r>
        <w:rPr>
          <w:noProof/>
        </w:rPr>
        <w:t xml:space="preserve">a) 24 päivään toukokuuta 2021 asti asetuksen (EY) N:o 110/2008 liitteessä II olevassa 1 kohdassa määritelty, alueellisesta sokeriruo’osta tuotettu rommi ja 25 päivästä toukokuuta 2021 alkaen asetuksen (EU) 2019/787 liitteessä I olevassa 1 kohdassa määritelty, alueellisesta sokeriruo’osta tuotettu rommi; </w:t>
      </w:r>
    </w:p>
    <w:p>
      <w:pPr>
        <w:pStyle w:val="Text1"/>
        <w:rPr>
          <w:noProof/>
        </w:rPr>
      </w:pPr>
      <w:r>
        <w:rPr>
          <w:noProof/>
        </w:rPr>
        <w:t xml:space="preserve">b) 24 päivään toukokuuta 2021 asti asetuksen (EY) N:o 110/2008 liitteessä II olevassa 32 ja 33 kohdassa määritelty, alueellisista hedelmistä tai raaka-aineista tuotettu likööri ja ”crème de” -alkoholijuoma ja 25 päivästä toukokuuta 2021 alkaen asetuksen (EU) 2019/787 liitteessä I olevassa 33 ja 34 kohdassa määritelty, alueellisista hedelmistä tai raaka-aineista tuotettu likööri ja ”crème de” -alkoholijuoma; </w:t>
      </w:r>
    </w:p>
    <w:p>
      <w:pPr>
        <w:pStyle w:val="Text1"/>
        <w:rPr>
          <w:noProof/>
        </w:rPr>
      </w:pPr>
      <w:r>
        <w:rPr>
          <w:noProof/>
        </w:rPr>
        <w:t>c) 24 päivään toukokuuta 2021 asti viinistä tai rypäleiden puristusjätteistä valmistetut tislatut alkoholijuomat, joilla on asetuksen (EY) N:o 110/2008 liitteessä II olevassa 4 ja 6 kohdassa määritellyt ominaisuudet ja laatu, ja 25 päivästä toukokuuta 2021 alkaen viinistä tai rypäleiden puristejäännöksestä valmistetut tislatut alkoholijuomat, joilla on asetuksen (EU) 2019/787 liitteessä I olevassa 4 ja 6 kohdassa määritellyt ominaisuudet ja laatu.</w:t>
      </w:r>
    </w:p>
    <w:p>
      <w:pPr>
        <w:pStyle w:val="Titrearticle"/>
        <w:rPr>
          <w:noProof/>
        </w:rPr>
      </w:pPr>
      <w:r>
        <w:rPr>
          <w:noProof/>
        </w:rPr>
        <w:t>4 artikla</w:t>
      </w:r>
    </w:p>
    <w:p>
      <w:pPr>
        <w:rPr>
          <w:noProof/>
        </w:rPr>
      </w:pPr>
      <w:r>
        <w:rPr>
          <w:noProof/>
        </w:rPr>
        <w:t>Tämä päätöksen 1 artiklassa tarkoitettuihin tuotteisiin sovellettava alennettu valmisteverokanta voi olla direktiivissä 92/84/ETY alkoholin valmisteverolle vahvistettua vähimmäisverokantaa alhaisempi, mutta se voi olla enintään 75 prosenttia alkoholin yleistä kansallista valmisteverokantaa alhaisempi.</w:t>
      </w:r>
    </w:p>
    <w:p>
      <w:pPr>
        <w:pStyle w:val="Titrearticle"/>
        <w:rPr>
          <w:noProof/>
        </w:rPr>
      </w:pPr>
      <w:r>
        <w:rPr>
          <w:noProof/>
        </w:rPr>
        <w:t>5 artikla</w:t>
      </w:r>
    </w:p>
    <w:p>
      <w:pPr>
        <w:rPr>
          <w:noProof/>
        </w:rPr>
      </w:pPr>
      <w:r>
        <w:rPr>
          <w:noProof/>
        </w:rPr>
        <w:t>Tämän päätöksen 2 artiklassa tarkoitettuihin tuotteisiin sovellettava alennettu valmisteverokanta voi olla direktiivissä 92/84/ETY alkoholin valmisteverolle vahvistettua vähimmäisverokantaa alhaisempi, mutta se voi olla enintään 50 prosenttia alkoholin yleistä kansallista valmisteverokantaa alhaisempi.</w:t>
      </w:r>
    </w:p>
    <w:p>
      <w:pPr>
        <w:pStyle w:val="Titrearticle"/>
        <w:rPr>
          <w:noProof/>
        </w:rPr>
      </w:pPr>
      <w:r>
        <w:rPr>
          <w:noProof/>
        </w:rPr>
        <w:t>6 artikla</w:t>
      </w:r>
    </w:p>
    <w:p>
      <w:pPr>
        <w:rPr>
          <w:noProof/>
        </w:rPr>
      </w:pPr>
      <w:r>
        <w:rPr>
          <w:noProof/>
        </w:rPr>
        <w:t>Portugalin on viimeistään 30 päivänä syyskuuta 2025 toimitettava komissiolle seurantakertomus, jonka avulla komissio voi arvioida, täyttyvätkö 1 ja 2 artiklassa säädetyn luvan myöntämisedellytykset edelleen. Seurantakertomuksessa on oltava liitteessä edellytetyt tiedot.</w:t>
      </w:r>
    </w:p>
    <w:p>
      <w:pPr>
        <w:pStyle w:val="Titrearticle"/>
        <w:rPr>
          <w:noProof/>
        </w:rPr>
      </w:pPr>
      <w:r>
        <w:rPr>
          <w:noProof/>
        </w:rPr>
        <w:t>7 artikla</w:t>
      </w:r>
    </w:p>
    <w:p>
      <w:pPr>
        <w:rPr>
          <w:noProof/>
        </w:rPr>
      </w:pPr>
      <w:r>
        <w:rPr>
          <w:noProof/>
        </w:rPr>
        <w:t>Tätä päätöstä sovelletaan 1 päivästä tammikuuta 2021 31 päivään joulukuuta 2027.</w:t>
      </w:r>
    </w:p>
    <w:p>
      <w:pPr>
        <w:pStyle w:val="Titrearticle"/>
        <w:rPr>
          <w:noProof/>
        </w:rPr>
      </w:pPr>
      <w:r>
        <w:rPr>
          <w:noProof/>
        </w:rPr>
        <w:lastRenderedPageBreak/>
        <w:t>8 artikla</w:t>
      </w:r>
    </w:p>
    <w:p>
      <w:pPr>
        <w:rPr>
          <w:noProof/>
        </w:rPr>
      </w:pPr>
      <w:r>
        <w:rPr>
          <w:noProof/>
        </w:rPr>
        <w:t>Tämä päätös on osoitettu Portugalin tasavallalle.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r>
      <w:hyperlink r:id="rId1" w:history="1">
        <w:r>
          <w:rPr>
            <w:rStyle w:val="Hyperlink"/>
            <w:color w:val="auto"/>
            <w:u w:val="none"/>
          </w:rPr>
          <w:t>Neuvoston päätös N:o 376/2014/EU, annettu 12 päivänä kesäkuuta 2014, luvan antamisesta Portugalille soveltaa alennettuja valmisteverokantoja Madeiran itsehallintoalueella siellä tuotettaviin ja kulutettaviin rommiin ja likööreihin sekä Azorien itsehallintoalueella siellä tuotettaviin ja kulutettaviin likööreihin ja tislattuihin alkoholijuomiin</w:t>
        </w:r>
      </w:hyperlink>
      <w:r>
        <w:t>.</w:t>
      </w:r>
    </w:p>
  </w:footnote>
  <w:footnote w:id="3">
    <w:p>
      <w:pPr>
        <w:pStyle w:val="FootnoteText"/>
      </w:pPr>
      <w:r>
        <w:rPr>
          <w:rStyle w:val="FootnoteReference"/>
        </w:rPr>
        <w:footnoteRef/>
      </w:r>
      <w:r>
        <w:tab/>
        <w:t>COM(2017) 623 final.</w:t>
      </w:r>
    </w:p>
  </w:footnote>
  <w:footnote w:id="4">
    <w:p>
      <w:pPr>
        <w:pStyle w:val="FootnoteText"/>
      </w:pPr>
      <w:r>
        <w:rPr>
          <w:rStyle w:val="FootnoteReference"/>
        </w:rPr>
        <w:footnoteRef/>
      </w:r>
      <w:r>
        <w:tab/>
        <w:t>Euroopan parlamentin ja neuvoston asetus (EU) N:o 228/2013, annettu 13. maaliskuuta 2013.</w:t>
      </w:r>
    </w:p>
  </w:footnote>
  <w:footnote w:id="5">
    <w:p>
      <w:pPr>
        <w:pStyle w:val="FootnoteText"/>
      </w:pPr>
      <w:r>
        <w:rPr>
          <w:rStyle w:val="FootnoteReference"/>
        </w:rPr>
        <w:footnoteRef/>
      </w:r>
      <w:r>
        <w:tab/>
        <w:t>Komission tiedonanto Euroopan parlamentille, neuvostolle,</w:t>
      </w:r>
    </w:p>
    <w:p>
      <w:pPr>
        <w:pStyle w:val="FootnoteText"/>
      </w:pPr>
      <w:r>
        <w:t>Euroopan talous- ja sosiaalikomitealle ja alueiden komitealle – Sisämarkkinoiden päivitys: enemmän</w:t>
      </w:r>
    </w:p>
    <w:p>
      <w:pPr>
        <w:pStyle w:val="FootnoteText"/>
      </w:pPr>
      <w:r>
        <w:t>mahdollisuuksia kansalaisille ja yrityksille (COM(2015) 550 final), s. 4.</w:t>
      </w:r>
    </w:p>
  </w:footnote>
  <w:footnote w:id="6">
    <w:p>
      <w:pPr>
        <w:pStyle w:val="FootnoteText"/>
        <w:rPr>
          <w:lang w:val="fr-FR"/>
        </w:rPr>
      </w:pPr>
      <w:r>
        <w:rPr>
          <w:rStyle w:val="FootnoteReference"/>
        </w:rPr>
        <w:footnoteRef/>
      </w:r>
      <w:r>
        <w:rPr>
          <w:lang w:val="fr-FR"/>
        </w:rPr>
        <w:tab/>
        <w:t>EUVL C XXX, XXX, s. XXX.</w:t>
      </w:r>
    </w:p>
  </w:footnote>
  <w:footnote w:id="7">
    <w:p>
      <w:pPr>
        <w:pStyle w:val="FootnoteText"/>
      </w:pPr>
      <w:r>
        <w:rPr>
          <w:rStyle w:val="FootnoteReference"/>
        </w:rPr>
        <w:footnoteRef/>
      </w:r>
      <w:r>
        <w:tab/>
      </w:r>
      <w:r>
        <w:rPr>
          <w:color w:val="444444"/>
          <w:shd w:val="clear" w:color="auto" w:fill="FFFFFF"/>
        </w:rPr>
        <w:t>Neuvoston päätös N:o 376/2014/EU, annettu 12 päivänä kesäkuuta 2014, luvan antamisesta Portugalille soveltaa alennettuja valmisteverokantoja Madeiran itsehallintoalueella siellä tuotettaviin ja kulutettaviin rommiin ja likööreihin sekä Azorien itsehallintoalueella siellä tuotettaviin ja kulutettaviin likööreihin ja tislattuihin alkoholijuomiin</w:t>
      </w:r>
      <w:r>
        <w:t xml:space="preserve"> (</w:t>
      </w:r>
      <w:hyperlink r:id="rId2" w:history="1">
        <w:r>
          <w:rPr>
            <w:rStyle w:val="Hyperlink"/>
            <w:color w:val="auto"/>
            <w:u w:val="none"/>
          </w:rPr>
          <w:t>EUVL L 182, 21.6.2014, s. 1</w:t>
        </w:r>
      </w:hyperlink>
      <w:r>
        <w:rPr>
          <w:rStyle w:val="Hyperlink"/>
          <w:color w:val="auto"/>
          <w:u w:val="none"/>
        </w:rPr>
        <w:t>).</w:t>
      </w:r>
    </w:p>
  </w:footnote>
  <w:footnote w:id="8">
    <w:p>
      <w:pPr>
        <w:pStyle w:val="FootnoteText"/>
      </w:pPr>
      <w:r>
        <w:rPr>
          <w:rStyle w:val="FootnoteReference"/>
        </w:rPr>
        <w:footnoteRef/>
      </w:r>
      <w:r>
        <w:tab/>
      </w:r>
      <w:r>
        <w:rPr>
          <w:color w:val="444444"/>
          <w:sz w:val="19"/>
          <w:szCs w:val="19"/>
          <w:shd w:val="clear" w:color="auto" w:fill="FFFFFF"/>
        </w:rPr>
        <w:t>Neuvoston direktiivi 92/84/ETY, annettu 19 päivänä lokakuuta 1992, alkoholin ja alkoholijuomien valmisteverojen määrien lähentämisestä</w:t>
      </w:r>
      <w:r>
        <w:t xml:space="preserve"> (</w:t>
      </w:r>
      <w:hyperlink r:id="rId3" w:history="1">
        <w:r>
          <w:rPr>
            <w:rStyle w:val="Hyperlink"/>
            <w:color w:val="auto"/>
            <w:u w:val="none"/>
          </w:rPr>
          <w:t>EYVL L 316, 31.10.1992, s. 29</w:t>
        </w:r>
      </w:hyperlink>
      <w:r>
        <w:rPr>
          <w:rStyle w:val="Hyperlink"/>
          <w:color w:val="auto"/>
          <w:u w:val="none"/>
        </w:rPr>
        <w:t>).</w:t>
      </w:r>
    </w:p>
  </w:footnote>
  <w:footnote w:id="9">
    <w:p>
      <w:pPr>
        <w:pStyle w:val="FootnoteText"/>
      </w:pPr>
      <w:r>
        <w:rPr>
          <w:rStyle w:val="FootnoteReference"/>
        </w:rPr>
        <w:footnoteRef/>
      </w:r>
      <w:r>
        <w:tab/>
      </w:r>
      <w:r>
        <w:rPr>
          <w:color w:val="444444"/>
          <w:shd w:val="clear" w:color="auto" w:fill="FFFFFF"/>
        </w:rPr>
        <w:t>Euroopan parlamentin ja neuvoston asetus (EY) N:o 110/2008, annettu 15 päivänä tammikuuta 2008, tislattujen alkoholijuomien määritelmistä, kuvauksesta, esittelystä, merkinnöistä ja maantieteellisten merkintöjen suojaamisesta sekä neuvoston asetuksen (ETY) N:o 1576/89 kumoamisesta</w:t>
      </w:r>
      <w:r>
        <w:t xml:space="preserve"> </w:t>
      </w:r>
      <w:r>
        <w:rPr>
          <w:sz w:val="21"/>
          <w:szCs w:val="21"/>
        </w:rPr>
        <w:t>(</w:t>
      </w:r>
      <w:hyperlink r:id="rId4" w:history="1">
        <w:r>
          <w:rPr>
            <w:rStyle w:val="Hyperlink"/>
            <w:color w:val="auto"/>
            <w:u w:val="none"/>
          </w:rPr>
          <w:t>EUVL L 39, 13.2.2008, s. 16</w:t>
        </w:r>
      </w:hyperlink>
      <w:r>
        <w:rPr>
          <w:rStyle w:val="Hyperlink"/>
          <w:color w:val="auto"/>
          <w:u w:val="none"/>
        </w:rPr>
        <w:t>).</w:t>
      </w:r>
    </w:p>
  </w:footnote>
  <w:footnote w:id="10">
    <w:p>
      <w:pPr>
        <w:pStyle w:val="FootnoteText"/>
      </w:pPr>
      <w:r>
        <w:rPr>
          <w:rStyle w:val="FootnoteReference"/>
        </w:rPr>
        <w:footnoteRef/>
      </w:r>
      <w:r>
        <w:tab/>
      </w:r>
      <w:r>
        <w:rPr>
          <w:color w:val="444444"/>
          <w:shd w:val="clear" w:color="auto" w:fill="FFFFFF"/>
        </w:rPr>
        <w:t xml:space="preserve">Euroopan parlamentin ja neuvoston asetus (EU) 2019/787, annettu 17 päivänä huhtikuuta 2019, tislattujen alkoholijuomien määritelmistä, kuvauksesta, esittelystä ja merkinnöistä, tislattujen alkoholijuomien nimien käytöstä muiden elintarvikkeiden esittelyssä ja merkinnöissä, tislattujen alkoholijuomien maantieteellisten merkintöjen suojaamisesta, maatalousperäisen etyylialkoholin ja maatalousperäisten tisleiden käytöstä alkoholijuomissa ja asetuksen (EY) N:o 110/2008 kumoamisesta </w:t>
      </w:r>
      <w:r>
        <w:rPr>
          <w:color w:val="444444"/>
          <w:sz w:val="21"/>
          <w:szCs w:val="21"/>
          <w:shd w:val="clear" w:color="auto" w:fill="FFFFFF"/>
        </w:rPr>
        <w:t>(</w:t>
      </w:r>
      <w:r>
        <w:t>EUVL L 130, 17.5.2019, s.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A8B7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52BB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8218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8F9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0CF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66EFE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10FC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15"/>
    <w:lvlOverride w:ilvl="0">
      <w:startOverride w:val="1"/>
    </w:lvlOverride>
  </w:num>
  <w:num w:numId="12">
    <w:abstractNumId w:val="22"/>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3"/>
  </w:num>
  <w:num w:numId="29">
    <w:abstractNumId w:val="21"/>
  </w:num>
  <w:num w:numId="30">
    <w:abstractNumId w:val="11"/>
  </w:num>
  <w:num w:numId="31">
    <w:abstractNumId w:val="14"/>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fi-FI"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
  <w:docVars>
    <w:docVar w:name="Council" w:val="true"/>
    <w:docVar w:name="CoverPageOnWordDoc" w:val="false"/>
    <w:docVar w:name="DocuWriteMetaData" w:val="&lt;metadataset docuwriteversion=&quot;2.5.3&quot; technicalblockguid=&quot;80acc934-e788-4e78-bd1b-83f0976d10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9&lt;/text&gt;_x000d__x000a_  &lt;/metadata&gt;_x000d__x000a_  &lt;metadata key=&quot;md_Prefix&quot;&gt;_x000d__x000a_    &lt;text&gt;&lt;/text&gt;_x000d__x000a_  &lt;/metadata&gt;_x000d__x000a_  &lt;metadata key=&quot;md_DocumentNumber&quot;&gt;_x000d__x000a_    &lt;text&gt;1711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SEIDOM 28&lt;/text&gt;_x000d__x000a_      &lt;text&gt;REGIO 29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13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5&quot; text=&quot;European Commission&quot; /&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2013-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authorising France to apply a reduced rate of certain indirect taxes on &amp;#8216;traditional&amp;#8217; rum produced in Guadeloupe, French Guiana, Martinique and Réunion and amending Decision 2007/659/EC&quot;&gt;&amp;lt;FlowDocument FontFamily=&quot;Times New Roman&quot; AllowDrop=&quot;False&quot; NumberSubstitution.CultureSource=&quot;User&quot; xmlns=&quot;http://schemas.microsoft.com/winfx/2006/xaml/presentation&quot;&amp;gt;&amp;lt;Paragraph&amp;gt;Proposal for a COUNCIL DECISION authorising France to apply a reduced rate of certain indirect taxes on &amp;#8216;traditional&amp;#8217; rum produced in Guadeloupe, French Guiana, Martinique and Réunion and amending Decision 2007/659/EC&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CF/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ECISION&lt;/text&gt;_x000d__x000a_  &lt;/metadata&gt;_x000d__x000a_  &lt;metadata key=&quot;md_SourceDocTitle&quot;&gt;_x000d__x000a_    &lt;text&gt;authorising France to apply a reduced rate of certain indirect taxes on &amp;#8216;traditional&amp;#8217; rum produced in Guadeloupe, French Guiana, Martinique and Réunion and amending Decision 2007/659/E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20-06-18 08:43: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CF207F4-3113-4F79-BFCB-C98B58F112E3"/>
    <w:docVar w:name="LW_COVERPAGE_TYPE" w:val="1"/>
    <w:docVar w:name="LW_CROSSREFERENCE" w:val="{SWD(2020) 108 final}"/>
    <w:docVar w:name="LW_DocType" w:val="COM"/>
    <w:docVar w:name="LW_EMISSION" w:val="18.6.2020"/>
    <w:docVar w:name="LW_EMISSION_ISODATE" w:val="2020-06-18"/>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NS"/>
    <w:docVar w:name="LW_REF.II.NEW.CP_NUMBER" w:val="0118"/>
    <w:docVar w:name="LW_REF.II.NEW.CP_YEAR" w:val="2020"/>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luvan antamisesta Portugalille soveltaa alennettuja valmisteverokantoja tiettyihin Madeiran ja Azorien itsehallintoalueilla tuotettaviin alkoholituotteisii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Revision">
    <w:name w:val="Revision"/>
    <w:hidden/>
    <w:uiPriority w:val="99"/>
    <w:semiHidden/>
    <w:rPr>
      <w:sz w:val="24"/>
      <w:szCs w:val="24"/>
    </w:rPr>
  </w:style>
  <w:style w:type="character" w:customStyle="1" w:styleId="Notedebasdepage">
    <w:name w:val="Note de bas de page_"/>
    <w:link w:val="Notedebasdepage0"/>
    <w:uiPriority w:val="99"/>
    <w:locked/>
    <w:rPr>
      <w:rFonts w:ascii="Arial" w:hAnsi="Arial" w:cs="Arial"/>
      <w:sz w:val="14"/>
      <w:szCs w:val="14"/>
      <w:shd w:val="clear" w:color="auto" w:fill="FFFFFF"/>
    </w:rPr>
  </w:style>
  <w:style w:type="paragraph" w:customStyle="1" w:styleId="Notedebasdepage0">
    <w:name w:val="Note de bas de page"/>
    <w:basedOn w:val="Normal"/>
    <w:link w:val="Notedebasdepage"/>
    <w:uiPriority w:val="99"/>
    <w:pPr>
      <w:widowControl w:val="0"/>
      <w:shd w:val="clear" w:color="auto" w:fill="FFFFFF"/>
      <w:spacing w:before="0" w:line="259" w:lineRule="exact"/>
      <w:jc w:val="left"/>
    </w:pPr>
    <w:rPr>
      <w:rFonts w:ascii="Arial" w:hAnsi="Arial" w:cs="Arial"/>
      <w:sz w:val="14"/>
      <w:szCs w:val="14"/>
    </w:rPr>
  </w:style>
  <w:style w:type="character" w:styleId="Emphasis">
    <w:name w:val="Emphasis"/>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lang w:eastAsia="fr-FR"/>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lang w:eastAsia="fr-FR"/>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lang w:eastAsia="fr-FR"/>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lang w:eastAsia="fr-FR"/>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rPr>
  </w:style>
  <w:style w:type="character" w:customStyle="1" w:styleId="EndnoteTextChar">
    <w:name w:val="Endnote Text Char"/>
    <w:link w:val="EndnoteText"/>
    <w:rPr>
      <w:lang w:eastAsia="fr-FR"/>
    </w:rPr>
  </w:style>
  <w:style w:type="character" w:styleId="EndnoteReference">
    <w:name w:val="endnote reference"/>
    <w:rPr>
      <w:vertAlign w:val="superscript"/>
    </w:rPr>
  </w:style>
  <w:style w:type="character" w:styleId="FollowedHyperlink">
    <w:name w:val="FollowedHyperlink"/>
    <w:rPr>
      <w:color w:val="954F72"/>
      <w:u w:val="single"/>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NoSpacing">
    <w:name w:val="No Spacing"/>
    <w:uiPriority w:val="1"/>
    <w:qFormat/>
    <w:pPr>
      <w:jc w:val="both"/>
    </w:pPr>
    <w:rPr>
      <w:sz w:val="24"/>
      <w:lang w:eastAsia="fr-FR"/>
    </w:rPr>
  </w:style>
  <w:style w:type="paragraph" w:customStyle="1" w:styleId="Footnotere">
    <w:name w:val="Footnote re"/>
    <w:basedOn w:val="Normal"/>
    <w:rPr>
      <w:noProof/>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434">
      <w:bodyDiv w:val="1"/>
      <w:marLeft w:val="0"/>
      <w:marRight w:val="0"/>
      <w:marTop w:val="0"/>
      <w:marBottom w:val="0"/>
      <w:divBdr>
        <w:top w:val="none" w:sz="0" w:space="0" w:color="auto"/>
        <w:left w:val="none" w:sz="0" w:space="0" w:color="auto"/>
        <w:bottom w:val="none" w:sz="0" w:space="0" w:color="auto"/>
        <w:right w:val="none" w:sz="0" w:space="0" w:color="auto"/>
      </w:divBdr>
    </w:div>
    <w:div w:id="1329675382">
      <w:bodyDiv w:val="1"/>
      <w:marLeft w:val="400"/>
      <w:marRight w:val="400"/>
      <w:marTop w:val="400"/>
      <w:marBottom w:val="0"/>
      <w:divBdr>
        <w:top w:val="none" w:sz="0" w:space="0" w:color="auto"/>
        <w:left w:val="none" w:sz="0" w:space="0" w:color="auto"/>
        <w:bottom w:val="none" w:sz="0" w:space="0" w:color="auto"/>
        <w:right w:val="none" w:sz="0" w:space="0" w:color="auto"/>
      </w:divBdr>
    </w:div>
    <w:div w:id="1585341292">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qid=1582645232493&amp;uri=CELEX:51995DC0285" TargetMode="External"/><Relationship Id="rId2" Type="http://schemas.openxmlformats.org/officeDocument/2006/relationships/hyperlink" Target="https://eur-lex.europa.eu/search.html?qid=1582645138795&amp;text=376/2014/EU&amp;scope=EURLEX&amp;type=quick&amp;lang=en" TargetMode="External"/><Relationship Id="rId1" Type="http://schemas.openxmlformats.org/officeDocument/2006/relationships/hyperlink" Target="https://eur-lex.europa.eu/legal-content/FI/TXT/?uri=CELEX:32014D0376" TargetMode="External"/><Relationship Id="rId4" Type="http://schemas.openxmlformats.org/officeDocument/2006/relationships/hyperlink" Target="https://eur-lex.europa.eu/legal-content/EN/TXT/?qid=1582645328820&amp;uri=CELEX:02008R0110-20190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28CFA5-8BEF-48A4-9BF1-B02D35546D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6b018f-4aaa-4418-ad06-650d5c9b37c6"/>
    <ds:schemaRef ds:uri="http://www.w3.org/XML/1998/namespace"/>
    <ds:schemaRef ds:uri="http://purl.org/dc/dcmitype/"/>
  </ds:schemaRefs>
</ds:datastoreItem>
</file>

<file path=customXml/itemProps2.xml><?xml version="1.0" encoding="utf-8"?>
<ds:datastoreItem xmlns:ds="http://schemas.openxmlformats.org/officeDocument/2006/customXml" ds:itemID="{C7B2599A-6C35-4C84-AE1F-7A98B1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F7204-8EE8-4B8C-A03D-AE017D5F4A20}">
  <ds:schemaRefs>
    <ds:schemaRef ds:uri="http://schemas.microsoft.com/sharepoint/v3/contenttype/forms"/>
  </ds:schemaRefs>
</ds:datastoreItem>
</file>

<file path=customXml/itemProps4.xml><?xml version="1.0" encoding="utf-8"?>
<ds:datastoreItem xmlns:ds="http://schemas.openxmlformats.org/officeDocument/2006/customXml" ds:itemID="{0004F5D2-51DE-403B-AD0F-2580F9C3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2004</Words>
  <Characters>16961</Characters>
  <Application>Microsoft Office Word</Application>
  <DocSecurity>0</DocSecurity>
  <Lines>278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2013-11-29T08:48:00Z</cp:lastPrinted>
  <dcterms:created xsi:type="dcterms:W3CDTF">2020-06-08T09:50:00Z</dcterms:created>
  <dcterms:modified xsi:type="dcterms:W3CDTF">2020-06-18T06:43:00Z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Created using">
    <vt:lpwstr>DocuWrite 2.5.3, Build 20131115</vt:lpwstr>
  </property>
  <property fmtid="{D5CDD505-2E9C-101B-9397-08002B2CF9AE}" pid="8" name="Level of sensitivity">
    <vt:lpwstr>Standard treatment</vt:lpwstr>
  </property>
  <property fmtid="{D5CDD505-2E9C-101B-9397-08002B2CF9AE}" pid="9" name="ContentTypeId">
    <vt:lpwstr>0x010100258AA79CEB83498886A3A08681123250000BC207F20EB1F74299FC3A2A06E36F9A</vt:lpwstr>
  </property>
  <property fmtid="{D5CDD505-2E9C-101B-9397-08002B2CF9AE}" pid="10" name="Last edited using">
    <vt:lpwstr>LW 7.0.1, Build 20190916</vt:lpwstr>
  </property>
  <property fmtid="{D5CDD505-2E9C-101B-9397-08002B2CF9AE}" pid="11" name="DQCStatus">
    <vt:lpwstr>Green (DQC version 03)</vt:lpwstr>
  </property>
</Properties>
</file>