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4ACECBD-8CF4-4CE7-A3AF-DE1DF28B8A10" style="width:450.8pt;height:396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jc w:val="center"/>
        <w:rPr>
          <w:b/>
          <w:noProof/>
          <w:szCs w:val="24"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Informácie, ktoré sa majú uviesť v monitorovacej správe podľa článku 6</w:t>
      </w:r>
    </w:p>
    <w:p>
      <w:pPr>
        <w:jc w:val="center"/>
        <w:rPr>
          <w:noProof/>
          <w:szCs w:val="24"/>
        </w:rPr>
      </w:pP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  <w:u w:val="single"/>
        </w:rPr>
        <w:t>Odhadované dodatočné náklady</w:t>
      </w:r>
      <w:r>
        <w:rPr>
          <w:noProof/>
        </w:rPr>
        <w:t>. Poskytnú sa informácie o každom výrobku, na ktorý sa znížená sadzba spotrebnej dane vzťahuje. Portugalské orgány doplnia do tabuľky 1 aspoň tieto informácie, ak sú k dispozícii. Informácie uvedené v tabuľke musia postačovať na určenie toho, či existujú dodatočné náklady, ktoré zvyšujú náklady na miestne vyrábané výrobky v porovnaní s výrobkami vyrábanými inde.</w:t>
      </w:r>
    </w:p>
    <w:p>
      <w:pPr>
        <w:rPr>
          <w:noProof/>
        </w:rPr>
      </w:pPr>
      <w:r>
        <w:rPr>
          <w:noProof/>
        </w:rPr>
        <w:t>Tabuľka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662"/>
        <w:gridCol w:w="1517"/>
        <w:gridCol w:w="1353"/>
      </w:tblGrid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Madeira (v eurách)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Azory (v eurách)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Poznámky</w:t>
            </w:r>
            <w:r>
              <w:rPr>
                <w:rFonts w:ascii="Times New Roman" w:hAnsi="Times New Roman"/>
                <w:noProof/>
                <w:vertAlign w:val="superscript"/>
              </w:rPr>
              <w:t>2</w:t>
            </w: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Cena cukrovej trstiny (za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Cena mučenky (za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Cena limetky (za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Cena alkoholu (za hl čistého alkoholu</w:t>
            </w:r>
            <w:r>
              <w:rPr>
                <w:rFonts w:ascii="Times New Roman" w:hAnsi="Times New Roman"/>
                <w:noProof/>
                <w:vertAlign w:val="superscript"/>
              </w:rPr>
              <w:t>3</w:t>
            </w:r>
            <w:r>
              <w:rPr>
                <w:rFonts w:ascii="Times New Roman" w:hAnsi="Times New Roman"/>
                <w:noProof/>
              </w:rPr>
              <w:t xml:space="preserve"> – bez daní)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Prepravné náklady (za 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Ostatné náklady</w:t>
            </w:r>
            <w:r>
              <w:rPr>
                <w:rFonts w:ascii="Times New Roman" w:hAnsi="Times New Roman"/>
                <w:iCs/>
                <w:noProof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Poznámky k tabuľke: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1. Uveďte informácie o nákladoch na vodu, energiu a odpad, nákladoch v prípade viacerých zariadení a iných relevantných nákladoch.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2. Uveďte informácie o všetkých špecifikáciách a objasneniach, ktoré sú základom pre metódy výpočtu.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3. Hektoliter čistého alkoholu.</w:t>
      </w:r>
    </w:p>
    <w:p>
      <w:pPr>
        <w:rPr>
          <w:noProof/>
          <w:szCs w:val="20"/>
        </w:rPr>
      </w:pPr>
    </w:p>
    <w:p>
      <w:pPr>
        <w:rPr>
          <w:noProof/>
        </w:rPr>
      </w:pPr>
    </w:p>
    <w:p>
      <w:pPr>
        <w:pStyle w:val="NumPar1"/>
        <w:rPr>
          <w:noProof/>
          <w:u w:val="single"/>
        </w:rPr>
      </w:pPr>
      <w:r>
        <w:rPr>
          <w:noProof/>
          <w:u w:val="single"/>
        </w:rPr>
        <w:t>Iné dotácie</w:t>
      </w:r>
      <w:r>
        <w:rPr>
          <w:noProof/>
        </w:rPr>
        <w:t>. Portugalské orgány vyplnia tabuľku 2 za každý región a uvedú všetky ostatné opatrenia pomoci a podporné opatrenia, ktorých cieľom je riešiť dodatočné prevádzkové náklady hospodárskych subjektov súvisiace so statusom najvzdialenejších regiónov Madeira a Azory.</w:t>
      </w:r>
    </w:p>
    <w:p>
      <w:pPr>
        <w:rPr>
          <w:noProof/>
        </w:rPr>
      </w:pPr>
      <w:r>
        <w:rPr>
          <w:noProof/>
        </w:rPr>
        <w:t>Tabuľka 2</w:t>
      </w:r>
    </w:p>
    <w:tbl>
      <w:tblPr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177"/>
        <w:gridCol w:w="1036"/>
        <w:gridCol w:w="1163"/>
        <w:gridCol w:w="1083"/>
        <w:gridCol w:w="1577"/>
        <w:gridCol w:w="1616"/>
        <w:gridCol w:w="1323"/>
      </w:tblGrid>
      <w:t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Opatrenie pomoci/podporné opatrenie</w:t>
            </w:r>
            <w:r>
              <w:rPr>
                <w:b/>
                <w:bCs/>
                <w:noProof/>
                <w:vertAlign w:val="superscript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Obdobie</w:t>
            </w:r>
            <w:r>
              <w:rPr>
                <w:b/>
                <w:bCs/>
                <w:noProof/>
                <w:vertAlign w:val="superscript"/>
              </w:rPr>
              <w:t>2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Cieľový sektor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Rozpočet v EUR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Ročné výdavky v EUR (2019 – 2024)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Podiel rozpočtu pridelený na kompenzáciu dodatočných nákladov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6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Odhadovaný počet prijímajúcich podnikov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7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Poznámky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8</w:t>
            </w:r>
          </w:p>
        </w:tc>
      </w:tr>
      <w:t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[Uveďte zoznam]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lang w:eastAsia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Poznámky k tabuľke</w:t>
      </w:r>
      <w:r>
        <w:rPr>
          <w:iCs/>
          <w:noProof/>
          <w:sz w:val="18"/>
          <w:szCs w:val="18"/>
        </w:rPr>
        <w:t>:</w:t>
      </w:r>
    </w:p>
    <w:p>
      <w:pPr>
        <w:pStyle w:val="Point0number"/>
        <w:numPr>
          <w:ilvl w:val="0"/>
          <w:numId w:val="1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t>Uveďte názov a druh opatrenia.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informácie o rokoch, na ktoré sa opatrenie vzťahuje.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Poskytnite informácie len v prípade sektorovo orientovaných opatrení.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informácie o celkovom rozpočte opatrenia a zdrojoch financovania.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informácie o skutočných výdavkoch za každý rok v období monitorovania (2019 – 2024), ak sú k dispozícii.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približný odhad v % celkového rozpočtu.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Tam, kde je to možné, uveďte približný odhad.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akékoľvek pripomienky a objasnenia.</w:t>
      </w:r>
    </w:p>
    <w:p>
      <w:pPr>
        <w:rPr>
          <w:noProof/>
          <w:szCs w:val="20"/>
          <w:u w:val="single"/>
        </w:rPr>
      </w:pPr>
    </w:p>
    <w:p>
      <w:pPr>
        <w:pStyle w:val="NumPar1"/>
        <w:rPr>
          <w:noProof/>
          <w:u w:val="single"/>
        </w:rPr>
      </w:pPr>
      <w:r>
        <w:rPr>
          <w:noProof/>
          <w:u w:val="single"/>
        </w:rPr>
        <w:t>Vplyv na verejný rozpočet</w:t>
      </w:r>
      <w:r>
        <w:rPr>
          <w:noProof/>
        </w:rPr>
        <w:t>. Portugalské orgány vyplnia tabuľku 3, v ktorej uvedú odhadovanú celkovú sumu dane (v eurách), ktorá nebola vybraná z dôvodu uplatňovaných daňových rozdielov.</w:t>
      </w:r>
    </w:p>
    <w:p>
      <w:pPr>
        <w:rPr>
          <w:noProof/>
        </w:rPr>
      </w:pPr>
      <w:r>
        <w:rPr>
          <w:noProof/>
        </w:rPr>
        <w:t>Tabuľka 3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850"/>
        <w:gridCol w:w="851"/>
        <w:gridCol w:w="709"/>
        <w:gridCol w:w="708"/>
        <w:gridCol w:w="851"/>
      </w:tblGrid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2024</w:t>
            </w:r>
          </w:p>
        </w:tc>
      </w:tr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Ušlé daňové príjmy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u w:val="single"/>
          <w:lang w:eastAsia="fr-FR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Vplyv na celkovú hospodársku výkonnosť</w:t>
      </w:r>
      <w:r>
        <w:rPr>
          <w:noProof/>
        </w:rPr>
        <w:t>. Portugalské orgány vyplnia tabuľku 4 za každý región a uvedú akékoľvek údaje preukazujúce vplyv znížených spotrebných daní na sociálno-hospodársky rozvoj regiónov. Ukazovatele požadované v tabuľke sa týkajú výkonnosti podporovaného sektora v porovnaní s celkovou výkonnosťou hospodárstva Madeiry a hospodárstva Azor. Ak niektoré z ukazovateľov nie sú k dispozícii, uveďte alternatívne vykazované údaje o vplyve na celkovú hospodársku výkonnosť, ktoré umožnia vykonať analýzu sociálno-ekonomického vplyvu.</w:t>
      </w:r>
    </w:p>
    <w:p>
      <w:pPr>
        <w:rPr>
          <w:noProof/>
        </w:rPr>
      </w:pPr>
      <w:r>
        <w:rPr>
          <w:noProof/>
        </w:rPr>
        <w:t>Tabuľka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833"/>
        <w:gridCol w:w="833"/>
        <w:gridCol w:w="834"/>
        <w:gridCol w:w="834"/>
        <w:gridCol w:w="834"/>
        <w:gridCol w:w="834"/>
        <w:gridCol w:w="1323"/>
      </w:tblGrid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Rok</w:t>
            </w:r>
            <w:r>
              <w:rPr>
                <w:b/>
                <w:bCs/>
                <w:noProof/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Poznámky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3</w:t>
            </w: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Regionálna hrubá pridaná hodnota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V podporovanom sektore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Celkové regionálne zamestnanie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V podporovanom sektore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Počet aktívnych výrobcov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V podporovanom sektore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Index cenovej hladiny – pevninská časť Portugalska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Index cenovej hladiny v regióne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Počet turistov v regióne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Poznámky k tabuľke</w:t>
      </w:r>
      <w:r>
        <w:rPr>
          <w:iCs/>
          <w:noProof/>
          <w:sz w:val="18"/>
          <w:szCs w:val="18"/>
        </w:rPr>
        <w:t>: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informácie o výrobcoch rumu, likérov a vínnych destilátov.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Informácie nemusia byť dostupné pre všetky uvedené roky.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Uveďte pripomienky a objasnenia, ktoré považujete za relevantné.</w:t>
      </w:r>
    </w:p>
    <w:p>
      <w:pPr>
        <w:pStyle w:val="ListParagraph"/>
        <w:rPr>
          <w:rFonts w:ascii="Times New Roman" w:hAnsi="Times New Roman" w:cs="Times New Roman"/>
          <w:noProof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Špecifikácie režimu</w:t>
      </w:r>
      <w:r>
        <w:rPr>
          <w:noProof/>
        </w:rPr>
        <w:t>. Portugalské orgány vyplnia tabuľku 5 za každý výrobok a za každý z regiónov Madeira a Azory.</w:t>
      </w:r>
    </w:p>
    <w:p>
      <w:pPr>
        <w:rPr>
          <w:noProof/>
        </w:rPr>
      </w:pPr>
      <w:r>
        <w:rPr>
          <w:noProof/>
        </w:rPr>
        <w:t>Tabuľka 5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696"/>
        <w:gridCol w:w="696"/>
        <w:gridCol w:w="707"/>
        <w:gridCol w:w="707"/>
        <w:gridCol w:w="707"/>
        <w:gridCol w:w="706"/>
      </w:tblGrid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Množstvo (v hl čistého alkoholu</w:t>
            </w:r>
            <w:r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2024</w:t>
            </w: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Výroba likérov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Výroba vínnych destilátov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Výroba rumu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Likéry odoslané na pevninskú časť Portugalska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Likéry odoslané do iných členských štátov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Likéry vyvezené do tretích krajín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Vínne destiláty odoslané na pevninskú časť Portugalska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Vínne destiláty odoslané do iných členských štátov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Vínne destiláty vyvezené do tretích krajín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odoslaný na pevninskú časť Portugalska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odoslaný do iných členských štátov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vyvezený do tretích krajín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Poznámky k tabuľke:</w:t>
      </w:r>
    </w:p>
    <w:p>
      <w:pPr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1.</w:t>
      </w:r>
      <w:r>
        <w:rPr>
          <w:noProof/>
        </w:rPr>
        <w:tab/>
      </w:r>
      <w:r>
        <w:rPr>
          <w:bCs/>
          <w:iCs/>
          <w:noProof/>
          <w:sz w:val="18"/>
          <w:szCs w:val="18"/>
        </w:rPr>
        <w:t>Hektoliter čistého alkoholu.</w:t>
      </w:r>
    </w:p>
    <w:p>
      <w:pPr>
        <w:rPr>
          <w:bCs/>
          <w:iCs/>
          <w:noProof/>
          <w:sz w:val="18"/>
          <w:szCs w:val="18"/>
        </w:rPr>
      </w:pPr>
    </w:p>
    <w:p>
      <w:pPr>
        <w:rPr>
          <w:bCs/>
          <w:iCs/>
          <w:noProof/>
          <w:sz w:val="18"/>
          <w:szCs w:val="18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Nezrovnalosti</w:t>
      </w:r>
      <w:r>
        <w:rPr>
          <w:noProof/>
        </w:rPr>
        <w:t>. Portugalské orgány v súvislosti s uplatňovaním povolenia poskytujú informácie o všetkých vyšetrovaniach administratívnych nezrovnalostí, najmä o daňových únikoch alebo pašovaní. Poskytujú aj podrobné informácie obsahujúce aspoň údaje o povahe prípadu, hodnote a časovom období.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lang w:eastAsia="fr-FR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Sťažnosti</w:t>
      </w:r>
      <w:r>
        <w:rPr>
          <w:noProof/>
        </w:rPr>
        <w:t>. Portugalské orgány poskytujú informácie o tom, či miestne, regionálne alebo vnútroštátne orgány dostali akékoľvek sťažnosti týkajúce sa uplatňovania povolenia, či už od subjektov, na ktoré sa povolenie vzťahuje, alebo od subjektov, na ktoré sa povolenie nevzťahuje.</w:t>
      </w:r>
    </w:p>
    <w:p>
      <w:pPr>
        <w:rPr>
          <w:noProof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lang w:eastAsia="fr-FR"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5AD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F03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32B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B284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7C5C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B89F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9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4D42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5C728A"/>
    <w:multiLevelType w:val="hybridMultilevel"/>
    <w:tmpl w:val="8B8852AC"/>
    <w:lvl w:ilvl="0" w:tplc="2B84F5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8 08:46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4ACECBD-8CF4-4CE7-A3AF-DE1DF28B8A10"/>
    <w:docVar w:name="LW_COVERPAGE_TYPE" w:val="1"/>
    <w:docVar w:name="LW_CROSSREFERENCE" w:val="{SWD(2020) 108 final}"/>
    <w:docVar w:name="LW_DocType" w:val="ANNEX"/>
    <w:docVar w:name="LW_EMISSION" w:val="18. 6. 2020"/>
    <w:docVar w:name="LW_EMISSION_ISODATE" w:val="2020-06-18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Portugalsku povo\u318?uje uplat\u328?ova\u357? zní\u382?enú sadzbu spotrebnej dane na ur\u269?ité alkoholické výrobky vyrábané v autonómnych oblastiach Madeira a Azory"/>
    <w:docVar w:name="LW_OBJETACTEPRINCIPAL.CP" w:val="ktorým sa Portugalsku povo\u318?uje uplat\u328?ova\u357? zní\u382?enú sadzbu spotrebnej dane na ur\u269?ité alkoholické výrobky vyrábané v autonómnych oblastiach Madeira a Azory"/>
    <w:docVar w:name="LW_PART_NBR" w:val="1"/>
    <w:docVar w:name="LW_PART_NBR_TOTAL" w:val="1"/>
    <w:docVar w:name="LW_REF.INST.NEW" w:val="COM"/>
    <w:docVar w:name="LW_REF.INST.NEW_ADOPTED" w:val="final"/>
    <w:docVar w:name="LW_REF.INST.NEW_TEXT" w:val="(2020) 2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,"/>
    <w:docVar w:name="LW_TYPEACTEPRINCIPAL.CP" w:val="návrhu rozhodnuti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Pr>
      <w:rFonts w:eastAsia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sk-SK" w:eastAsia="fr-F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Pr>
      <w:rFonts w:eastAsia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sk-SK" w:eastAsia="fr-F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6F3501-66FF-4945-87C9-D9BAE132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682</Words>
  <Characters>4164</Characters>
  <Application>Microsoft Office Word</Application>
  <DocSecurity>0</DocSecurity>
  <Lines>378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 Alexandra (TAXUD)</dc:creator>
  <cp:keywords/>
  <dc:description/>
  <cp:lastModifiedBy>WES PDFC Administrator</cp:lastModifiedBy>
  <cp:revision>10</cp:revision>
  <dcterms:created xsi:type="dcterms:W3CDTF">2020-06-10T12:41:00Z</dcterms:created>
  <dcterms:modified xsi:type="dcterms:W3CDTF">2020-06-18T06:46:00Z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