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510A7DF5-ADE4-46CB-9459-B6011EEBEED3" style="width:450.8pt;height:397.0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PRILOG </w:t>
      </w:r>
    </w:p>
    <w:p>
      <w:pPr>
        <w:jc w:val="center"/>
        <w:rPr>
          <w:b/>
          <w:noProof/>
          <w:szCs w:val="24"/>
        </w:rPr>
      </w:pPr>
    </w:p>
    <w:p>
      <w:pPr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Podaci koji se trebaju uključiti u izvješće o praćenju iz članka 6.</w:t>
      </w:r>
    </w:p>
    <w:p>
      <w:pPr>
        <w:jc w:val="center"/>
        <w:rPr>
          <w:noProof/>
          <w:szCs w:val="24"/>
        </w:rPr>
      </w:pP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  <w:u w:val="single"/>
        </w:rPr>
        <w:t>Procijenjeni dodatni troškovi</w:t>
      </w:r>
      <w:r>
        <w:rPr>
          <w:noProof/>
        </w:rPr>
        <w:t>. Podaci se dostavljaju za svaki proizvod na koji se primjenjuje snižena stopa trošarine. Portugalska tijela popunjavaju tablicu 1. barem sa sljedećim informacijama, ako su takve informacije dostupne. Informacije navedene u tablici dostatne su za utvrđivanje postoji li dodatni trošak koji povećava trošak lokalno proizvedenih proizvoda u usporedbi s proizvodima proizvedenima drugdje.</w:t>
      </w:r>
    </w:p>
    <w:p>
      <w:pPr>
        <w:rPr>
          <w:noProof/>
        </w:rPr>
      </w:pPr>
      <w:r>
        <w:rPr>
          <w:noProof/>
        </w:rPr>
        <w:t>Tablica 1.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1662"/>
        <w:gridCol w:w="1517"/>
        <w:gridCol w:w="1353"/>
      </w:tblGrid>
      <w:t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MADEIRA (u eurima)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AZORI (u eurima)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Napomene</w:t>
            </w:r>
            <w:r>
              <w:rPr>
                <w:rFonts w:ascii="Times New Roman" w:hAnsi="Times New Roman"/>
                <w:noProof/>
                <w:vertAlign w:val="superscript"/>
              </w:rPr>
              <w:t>2</w:t>
            </w:r>
          </w:p>
        </w:tc>
      </w:tr>
      <w:t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Cijena šećerne trske (po 100 kg)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</w:tr>
      <w:t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Cijena marakuje (po 100 kg)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</w:tr>
      <w:t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Cijena limete (po 100 kg)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</w:tr>
      <w:t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Cijena alkohola (po hlča</w:t>
            </w:r>
            <w:r>
              <w:rPr>
                <w:rFonts w:ascii="Times New Roman" w:hAnsi="Times New Roman"/>
                <w:noProof/>
                <w:vertAlign w:val="superscript"/>
              </w:rPr>
              <w:t>3</w:t>
            </w:r>
            <w:r>
              <w:rPr>
                <w:rFonts w:ascii="Times New Roman" w:hAnsi="Times New Roman"/>
                <w:noProof/>
              </w:rPr>
              <w:t xml:space="preserve"> – bez poreza)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</w:tr>
      <w:t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Trošak transporta (po kilogramu)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</w:tr>
      <w:t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Ostali troškovi</w:t>
            </w:r>
            <w:r>
              <w:rPr>
                <w:rFonts w:ascii="Times New Roman" w:hAnsi="Times New Roman"/>
                <w:iCs/>
                <w:noProof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360"/>
              <w:jc w:val="center"/>
              <w:rPr>
                <w:noProof/>
              </w:rPr>
            </w:pPr>
          </w:p>
        </w:tc>
      </w:tr>
    </w:tbl>
    <w:p>
      <w:pPr>
        <w:rPr>
          <w:iCs/>
          <w:noProof/>
          <w:sz w:val="18"/>
          <w:szCs w:val="18"/>
        </w:rPr>
      </w:pPr>
      <w:r>
        <w:rPr>
          <w:iCs/>
          <w:noProof/>
          <w:sz w:val="18"/>
          <w:szCs w:val="18"/>
        </w:rPr>
        <w:t>Napomene uz tablicu:</w:t>
      </w:r>
    </w:p>
    <w:p>
      <w:pPr>
        <w:rPr>
          <w:iCs/>
          <w:noProof/>
          <w:sz w:val="18"/>
          <w:szCs w:val="18"/>
        </w:rPr>
      </w:pPr>
      <w:r>
        <w:rPr>
          <w:iCs/>
          <w:noProof/>
          <w:sz w:val="18"/>
          <w:szCs w:val="18"/>
        </w:rPr>
        <w:t>1. Navesti informacije o troškovima povezanima s vodom, energijom i otpadom, troškovima u slučaju više poslovnih jedinica i drugim relevantnim troškovima.</w:t>
      </w:r>
    </w:p>
    <w:p>
      <w:pPr>
        <w:rPr>
          <w:iCs/>
          <w:noProof/>
          <w:sz w:val="18"/>
          <w:szCs w:val="18"/>
        </w:rPr>
      </w:pPr>
      <w:r>
        <w:rPr>
          <w:iCs/>
          <w:noProof/>
          <w:sz w:val="18"/>
          <w:szCs w:val="18"/>
        </w:rPr>
        <w:t>2. Navesti informacije o svim specifikacijama i pojašnjenjima na kojima se temelje metode izračuna.</w:t>
      </w:r>
    </w:p>
    <w:p>
      <w:pPr>
        <w:rPr>
          <w:iCs/>
          <w:noProof/>
          <w:sz w:val="18"/>
          <w:szCs w:val="18"/>
        </w:rPr>
      </w:pPr>
      <w:r>
        <w:rPr>
          <w:iCs/>
          <w:noProof/>
          <w:sz w:val="18"/>
          <w:szCs w:val="18"/>
        </w:rPr>
        <w:t>3. Hektolitar čistog alkohola.</w:t>
      </w:r>
    </w:p>
    <w:p>
      <w:pPr>
        <w:rPr>
          <w:noProof/>
          <w:szCs w:val="20"/>
        </w:rPr>
      </w:pPr>
    </w:p>
    <w:p>
      <w:pPr>
        <w:rPr>
          <w:noProof/>
        </w:rPr>
      </w:pPr>
    </w:p>
    <w:p>
      <w:pPr>
        <w:pStyle w:val="NumPar1"/>
        <w:rPr>
          <w:noProof/>
          <w:u w:val="single"/>
        </w:rPr>
      </w:pPr>
      <w:r>
        <w:rPr>
          <w:noProof/>
          <w:u w:val="single"/>
        </w:rPr>
        <w:t>Druge subvencije</w:t>
      </w:r>
      <w:r>
        <w:rPr>
          <w:noProof/>
        </w:rPr>
        <w:t>. Portugalska tijela popunjavaju tablicu 2. za obje regije navodeći sve ostale mjere pomoći i potpore koje se odnose na dodatne operativne troškove gospodarskih subjekata povezane sa statusom najudaljenijih regija Madeira i Azori.</w:t>
      </w:r>
    </w:p>
    <w:p>
      <w:pPr>
        <w:rPr>
          <w:noProof/>
        </w:rPr>
      </w:pPr>
      <w:r>
        <w:rPr>
          <w:noProof/>
        </w:rPr>
        <w:t>Tablica 2.</w:t>
      </w:r>
    </w:p>
    <w:tbl>
      <w:tblPr>
        <w:tblW w:w="5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336"/>
        <w:gridCol w:w="936"/>
        <w:gridCol w:w="1296"/>
        <w:gridCol w:w="1097"/>
        <w:gridCol w:w="1296"/>
        <w:gridCol w:w="1469"/>
        <w:gridCol w:w="1363"/>
      </w:tblGrid>
      <w:t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Mjera pomoći/potpore</w:t>
            </w:r>
            <w:r>
              <w:rPr>
                <w:b/>
                <w:bCs/>
                <w:noProof/>
                <w:vertAlign w:val="superscript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Razdoblje</w:t>
            </w:r>
            <w:r>
              <w:rPr>
                <w:b/>
                <w:bCs/>
                <w:noProof/>
                <w:vertAlign w:val="superscript"/>
              </w:rPr>
              <w:t>2</w:t>
            </w:r>
            <w:r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Ciljni sektor</w:t>
            </w:r>
            <w:r>
              <w:rPr>
                <w:b/>
                <w:bCs/>
                <w:i/>
                <w:iCs/>
                <w:noProof/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Iznos proračuna u EUR</w:t>
            </w:r>
            <w:r>
              <w:rPr>
                <w:b/>
                <w:bCs/>
                <w:i/>
                <w:iCs/>
                <w:noProof/>
                <w:vertAlign w:val="superscript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Godišnji rashodi u EUR (2019.–2024.)</w:t>
            </w:r>
            <w:r>
              <w:rPr>
                <w:b/>
                <w:bCs/>
                <w:i/>
                <w:iCs/>
                <w:noProof/>
                <w:vertAlign w:val="superscript"/>
              </w:rPr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Udio proračuna koji se može pripisati naknadi dodatnih troškova</w:t>
            </w:r>
            <w:r>
              <w:rPr>
                <w:b/>
                <w:bCs/>
                <w:i/>
                <w:iCs/>
                <w:noProof/>
                <w:vertAlign w:val="superscript"/>
              </w:rPr>
              <w:t>6</w:t>
            </w:r>
            <w:r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Procijenjeni broj poduzeća korisnika</w:t>
            </w:r>
            <w:r>
              <w:rPr>
                <w:b/>
                <w:bCs/>
                <w:i/>
                <w:iCs/>
                <w:noProof/>
                <w:vertAlign w:val="superscript"/>
              </w:rPr>
              <w:t>7</w:t>
            </w:r>
            <w:r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Napomene</w:t>
            </w:r>
            <w:r>
              <w:rPr>
                <w:b/>
                <w:bCs/>
                <w:i/>
                <w:iCs/>
                <w:noProof/>
                <w:vertAlign w:val="superscript"/>
              </w:rPr>
              <w:t>8</w:t>
            </w:r>
          </w:p>
        </w:tc>
      </w:tr>
      <w:t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lastRenderedPageBreak/>
              <w:t>[popis]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lang w:eastAsia="fr-FR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</w:tbl>
    <w:p>
      <w:pPr>
        <w:rPr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Napomene uz tablicu</w:t>
      </w:r>
      <w:r>
        <w:rPr>
          <w:iCs/>
          <w:noProof/>
          <w:sz w:val="18"/>
          <w:szCs w:val="18"/>
        </w:rPr>
        <w:t xml:space="preserve">: </w:t>
      </w:r>
    </w:p>
    <w:p>
      <w:pPr>
        <w:pStyle w:val="Point0number"/>
        <w:numPr>
          <w:ilvl w:val="0"/>
          <w:numId w:val="11"/>
        </w:num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Navesti naziv i vrstu mjere. 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Navesti informacije o godinama obuhvaćenima mjerom. 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Navesti informacije samo o mjerama usmjerenima na sektor. 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>Navesti informacije o ukupnom proračunu mjere i izvorima financiranja.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>Navesti informacije o stvarnim izdacima za svaku godinu u razdoblju praćenja (2019.–2024.), ako su dostupne.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>Navesti približnu procjenu u postotku ukupnog proračuna.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Navesti približnu procjenu, ako je izvedivo. 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Navesti sve primjedbe i pojašnjenja. </w:t>
      </w:r>
    </w:p>
    <w:p>
      <w:pPr>
        <w:rPr>
          <w:noProof/>
          <w:szCs w:val="20"/>
          <w:u w:val="single"/>
        </w:rPr>
      </w:pPr>
    </w:p>
    <w:p>
      <w:pPr>
        <w:pStyle w:val="NumPar1"/>
        <w:rPr>
          <w:noProof/>
          <w:u w:val="single"/>
        </w:rPr>
      </w:pPr>
      <w:r>
        <w:rPr>
          <w:noProof/>
          <w:u w:val="single"/>
        </w:rPr>
        <w:t>Učinak na javni proračun</w:t>
      </w:r>
      <w:r>
        <w:rPr>
          <w:noProof/>
        </w:rPr>
        <w:t>. Portugalska tijela popunjavaju tablicu 3. navodeći procijenjeni ukupni iznos (u EUR) nenaplaćenog poreza zbog primijenjenih razlika u porezima.</w:t>
      </w:r>
    </w:p>
    <w:p>
      <w:pPr>
        <w:rPr>
          <w:noProof/>
        </w:rPr>
      </w:pPr>
      <w:r>
        <w:rPr>
          <w:noProof/>
        </w:rPr>
        <w:t>Tablica 3.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6"/>
        <w:gridCol w:w="850"/>
        <w:gridCol w:w="851"/>
        <w:gridCol w:w="756"/>
        <w:gridCol w:w="756"/>
        <w:gridCol w:w="851"/>
      </w:tblGrid>
      <w:t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2020.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2021.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2022.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2024.</w:t>
            </w:r>
          </w:p>
        </w:tc>
      </w:tr>
      <w:t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Otpisani porezni prihodi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</w:tbl>
    <w:p>
      <w:pPr>
        <w:rPr>
          <w:noProof/>
          <w:szCs w:val="20"/>
          <w:u w:val="single"/>
          <w:lang w:eastAsia="fr-FR"/>
        </w:rPr>
      </w:pPr>
    </w:p>
    <w:p>
      <w:pPr>
        <w:pStyle w:val="NumPar1"/>
        <w:rPr>
          <w:noProof/>
        </w:rPr>
      </w:pPr>
      <w:r>
        <w:rPr>
          <w:noProof/>
          <w:u w:val="single"/>
        </w:rPr>
        <w:t>Učinak na ukupne gospodarske rezultate</w:t>
      </w:r>
      <w:r>
        <w:rPr>
          <w:noProof/>
        </w:rPr>
        <w:t>. Portugalska tijela popunjavaju tablicu 4. za obje regije navodeći sve podatke kojima se dokazuje učinak sniženih trošarina na socioekonomski razvoj regija. Pokazatelji koji se zahtijevaju u tablici odnose se na rezultate podržanog sektora u usporedbi s općim rezultatima u gospodarstvu regija Madeira i Azori. Ako neki od pokazatelja nisu dostupni, u izvješće se uvrštavaju alternativni podaci o učinku na ukupne gospodarske rezultate kojima se omogućuje analiza socioekonomskog učinka.</w:t>
      </w:r>
    </w:p>
    <w:p>
      <w:pPr>
        <w:rPr>
          <w:noProof/>
        </w:rPr>
      </w:pPr>
      <w:r>
        <w:rPr>
          <w:noProof/>
        </w:rPr>
        <w:t>Tablica 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828"/>
        <w:gridCol w:w="828"/>
        <w:gridCol w:w="828"/>
        <w:gridCol w:w="828"/>
        <w:gridCol w:w="828"/>
        <w:gridCol w:w="828"/>
        <w:gridCol w:w="1363"/>
      </w:tblGrid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Godina</w:t>
            </w:r>
            <w:r>
              <w:rPr>
                <w:b/>
                <w:bCs/>
                <w:noProof/>
                <w:vertAlign w:val="superscript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2019.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2020.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2021.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2022.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2023.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2024.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>
            <w:pPr>
              <w:jc w:val="center"/>
              <w:rPr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Napomene</w:t>
            </w:r>
            <w:r>
              <w:rPr>
                <w:b/>
                <w:bCs/>
                <w:i/>
                <w:iCs/>
                <w:noProof/>
                <w:vertAlign w:val="superscript"/>
              </w:rPr>
              <w:t>3</w:t>
            </w:r>
          </w:p>
        </w:tc>
      </w:tr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Regionalna bruto dodana vrijednost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</w:tr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noProof/>
              </w:rPr>
            </w:pPr>
            <w:r>
              <w:rPr>
                <w:rFonts w:ascii="Times New Roman" w:hAnsi="Times New Roman"/>
                <w:i/>
                <w:iCs/>
                <w:noProof/>
              </w:rPr>
              <w:t>U sektoru za koji je dodijeljena potpora</w:t>
            </w:r>
            <w:r>
              <w:rPr>
                <w:rFonts w:ascii="Times New Roman" w:hAnsi="Times New Roman"/>
                <w:i/>
                <w:iCs/>
                <w:noProof/>
                <w:vertAlign w:val="superscript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noProof/>
              </w:rPr>
            </w:pPr>
          </w:p>
        </w:tc>
      </w:tr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Ukupno regionalno zapošljavanje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noProof/>
              </w:rPr>
            </w:pPr>
            <w:r>
              <w:rPr>
                <w:rFonts w:ascii="Times New Roman" w:hAnsi="Times New Roman"/>
                <w:i/>
                <w:iCs/>
                <w:noProof/>
              </w:rPr>
              <w:t>U sektoru za koji je dodijeljena potpora</w:t>
            </w:r>
            <w:r>
              <w:rPr>
                <w:rFonts w:ascii="Times New Roman" w:hAnsi="Times New Roman"/>
                <w:i/>
                <w:iCs/>
                <w:noProof/>
                <w:vertAlign w:val="superscript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Broj aktivnih proizvođača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i/>
                <w:iCs/>
                <w:noProof/>
              </w:rPr>
              <w:t>U sektoru za koji je dodijeljena potpora</w:t>
            </w:r>
            <w:r>
              <w:rPr>
                <w:rFonts w:ascii="Times New Roman" w:hAnsi="Times New Roman"/>
                <w:i/>
                <w:iCs/>
                <w:noProof/>
                <w:vertAlign w:val="superscript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Indeks razine cijena – kontinentalni dio Portugala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Indeks razine cijena u regiji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Broj turista u regiji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</w:tbl>
    <w:p>
      <w:pPr>
        <w:rPr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Napomene uz tablicu</w:t>
      </w:r>
      <w:r>
        <w:rPr>
          <w:iCs/>
          <w:noProof/>
          <w:sz w:val="18"/>
          <w:szCs w:val="18"/>
        </w:rPr>
        <w:t xml:space="preserve">: 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Navesti informacije o proizvođačima ruma, likera i rakije.    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>Informacije možda nisu dostupne za sve navedene godine.</w:t>
      </w:r>
    </w:p>
    <w:p>
      <w:pPr>
        <w:pStyle w:val="Point0number"/>
        <w:rPr>
          <w:noProof/>
          <w:sz w:val="18"/>
          <w:szCs w:val="18"/>
        </w:rPr>
      </w:pPr>
      <w:r>
        <w:rPr>
          <w:noProof/>
          <w:sz w:val="18"/>
          <w:szCs w:val="18"/>
        </w:rPr>
        <w:t>Navesti primjedbe i pojašnjenja ako se smatraju relevantnima.</w:t>
      </w:r>
    </w:p>
    <w:p>
      <w:pPr>
        <w:pStyle w:val="ListParagraph"/>
        <w:rPr>
          <w:rFonts w:ascii="Times New Roman" w:hAnsi="Times New Roman" w:cs="Times New Roman"/>
          <w:noProof/>
        </w:rPr>
      </w:pPr>
    </w:p>
    <w:p>
      <w:pPr>
        <w:pStyle w:val="NumPar1"/>
        <w:rPr>
          <w:noProof/>
        </w:rPr>
      </w:pPr>
      <w:r>
        <w:rPr>
          <w:noProof/>
          <w:u w:val="single"/>
        </w:rPr>
        <w:t>Specifikacije režima</w:t>
      </w:r>
      <w:r>
        <w:rPr>
          <w:noProof/>
        </w:rPr>
        <w:t xml:space="preserve">. Portugalska tijela popunjavaju tablicu 5. za svaki proizvod i za obje regije Madeira i Azori. </w:t>
      </w:r>
    </w:p>
    <w:p>
      <w:pPr>
        <w:rPr>
          <w:noProof/>
        </w:rPr>
      </w:pPr>
      <w:r>
        <w:rPr>
          <w:noProof/>
        </w:rPr>
        <w:t>Tablica 5.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756"/>
        <w:gridCol w:w="756"/>
        <w:gridCol w:w="756"/>
        <w:gridCol w:w="756"/>
        <w:gridCol w:w="756"/>
        <w:gridCol w:w="756"/>
      </w:tblGrid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Količina (u hlča</w:t>
            </w:r>
            <w:r>
              <w:rPr>
                <w:noProof/>
                <w:vertAlign w:val="superscript"/>
              </w:rPr>
              <w:t>1</w:t>
            </w:r>
            <w:r>
              <w:rPr>
                <w:noProof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2019.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2020.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2021.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2022.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2023.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2024.</w:t>
            </w: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Proizvodnja likera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Proizvodnja rakije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Proizvodnja ruma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Likeri otpremljeni u kontinentalni dio Portugala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Likeri otpremljeni u druge države članice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Likeri izvezeni u treće zemlje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Rakija otpremljena u kontinentalni dio Portugala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Rakija otpremljena u druge države članice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Rakija izvezena u treće zemlje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Rum otpremljen u kontinentalni dio Portugala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Rum otpremljen u druge države članice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Rum izvezen u treće zemlje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</w:tbl>
    <w:p>
      <w:pPr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 xml:space="preserve">Napomene uz tablicu: </w:t>
      </w:r>
    </w:p>
    <w:p>
      <w:pPr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1.</w:t>
      </w:r>
      <w:r>
        <w:rPr>
          <w:noProof/>
        </w:rPr>
        <w:tab/>
      </w:r>
      <w:r>
        <w:rPr>
          <w:bCs/>
          <w:iCs/>
          <w:noProof/>
          <w:sz w:val="18"/>
          <w:szCs w:val="18"/>
        </w:rPr>
        <w:t>Hektolitar čistog alkohola.</w:t>
      </w:r>
    </w:p>
    <w:p>
      <w:pPr>
        <w:rPr>
          <w:bCs/>
          <w:iCs/>
          <w:noProof/>
          <w:sz w:val="18"/>
          <w:szCs w:val="18"/>
        </w:rPr>
      </w:pPr>
    </w:p>
    <w:p>
      <w:pPr>
        <w:rPr>
          <w:bCs/>
          <w:iCs/>
          <w:noProof/>
          <w:sz w:val="18"/>
          <w:szCs w:val="18"/>
        </w:rPr>
      </w:pPr>
    </w:p>
    <w:p>
      <w:pPr>
        <w:pStyle w:val="NumPar1"/>
        <w:rPr>
          <w:noProof/>
        </w:rPr>
      </w:pPr>
      <w:r>
        <w:rPr>
          <w:noProof/>
          <w:u w:val="single"/>
        </w:rPr>
        <w:t>Nepravilnosti</w:t>
      </w:r>
      <w:r>
        <w:rPr>
          <w:noProof/>
        </w:rPr>
        <w:t>. Portugalska tijela dostavljaju informacije o svim istragama administrativnih nepravilnosti u kontekstu primjene odobrenja, a posebno u vezi s utajom poreza ili krijumčarenjem. Ujedno navode detaljne informacije, uključujući barem informacije o prirodi, vrijednosti i razdoblju predmeta.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5"/>
      </w:tblGrid>
      <w:t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</w:tc>
      </w:tr>
    </w:tbl>
    <w:p>
      <w:pPr>
        <w:rPr>
          <w:noProof/>
          <w:szCs w:val="20"/>
          <w:lang w:eastAsia="fr-FR"/>
        </w:rPr>
      </w:pPr>
    </w:p>
    <w:p>
      <w:pPr>
        <w:pStyle w:val="NumPar1"/>
        <w:rPr>
          <w:noProof/>
        </w:rPr>
      </w:pPr>
      <w:r>
        <w:rPr>
          <w:noProof/>
          <w:u w:val="single"/>
        </w:rPr>
        <w:t>Pritužbe</w:t>
      </w:r>
      <w:r>
        <w:rPr>
          <w:noProof/>
        </w:rPr>
        <w:t>. Portugalska tijela dostavljaju informacije o tome jesu li lokalna, regionalna ili nacionalna tijela primila pritužbe u vezi sa zahtjevom za odobrenje, neovisno o tome jesu li ih uputili korisnici ili nekorisnici.</w:t>
      </w:r>
    </w:p>
    <w:p>
      <w:pPr>
        <w:rPr>
          <w:noProof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5"/>
      </w:tblGrid>
      <w:tr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</w:tc>
      </w:tr>
    </w:tbl>
    <w:p>
      <w:pPr>
        <w:rPr>
          <w:noProof/>
          <w:szCs w:val="20"/>
          <w:lang w:eastAsia="fr-FR"/>
        </w:rPr>
      </w:pP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25ADA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DF03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932B6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3B284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17C5C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7B89F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09471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4D42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75C728A"/>
    <w:multiLevelType w:val="hybridMultilevel"/>
    <w:tmpl w:val="8B8852AC"/>
    <w:lvl w:ilvl="0" w:tplc="2B84F5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</w:num>
  <w:num w:numId="14">
    <w:abstractNumId w:val="21"/>
  </w:num>
  <w:num w:numId="15">
    <w:abstractNumId w:val="12"/>
  </w:num>
  <w:num w:numId="16">
    <w:abstractNumId w:val="14"/>
  </w:num>
  <w:num w:numId="17">
    <w:abstractNumId w:val="10"/>
  </w:num>
  <w:num w:numId="18">
    <w:abstractNumId w:val="20"/>
  </w:num>
  <w:num w:numId="19">
    <w:abstractNumId w:val="9"/>
  </w:num>
  <w:num w:numId="20">
    <w:abstractNumId w:val="15"/>
  </w:num>
  <w:num w:numId="21">
    <w:abstractNumId w:val="17"/>
  </w:num>
  <w:num w:numId="22">
    <w:abstractNumId w:val="18"/>
  </w:num>
  <w:num w:numId="23">
    <w:abstractNumId w:val="11"/>
  </w:num>
  <w:num w:numId="24">
    <w:abstractNumId w:val="16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6-18 08:47:2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1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10A7DF5-ADE4-46CB-9459-B6011EEBEED3"/>
    <w:docVar w:name="LW_COVERPAGE_TYPE" w:val="1"/>
    <w:docVar w:name="LW_CROSSREFERENCE" w:val="{SWD(2020) 108 final}"/>
    <w:docVar w:name="LW_DocType" w:val="ANNEX"/>
    <w:docVar w:name="LW_EMISSION" w:val="18.6.2020."/>
    <w:docVar w:name="LW_EMISSION_ISODATE" w:val="2020-06-18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odobravanju Portugalu primjene sni\u382?ene stope tro\u353?arine na odre\u273?ene alkoholne proizvode proizvedene u autonomnim regijama Madeiri i Azorima"/>
    <w:docVar w:name="LW_OBJETACTEPRINCIPAL.CP" w:val="o odobravanju Portugalu primjene sni\u382?ene stope tro\u353?arine na odre\u273?ene alkoholne proizvode proizvedene u autonomnim regijama Madeiri i Azorima"/>
    <w:docVar w:name="LW_PART_NBR" w:val="1"/>
    <w:docVar w:name="LW_PART_NBR_TOTAL" w:val="1"/>
    <w:docVar w:name="LW_REF.INST.NEW" w:val="COM"/>
    <w:docVar w:name="LW_REF.INST.NEW_ADOPTED" w:val="final"/>
    <w:docVar w:name="LW_REF.INST.NEW_TEXT" w:val="(2020) 24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G"/>
    <w:docVar w:name="LW_TYPE.DOC.CP" w:val="PRILOG"/>
    <w:docVar w:name="LW_TYPEACTEPRINCIPAL" w:val="Prijedlogu odluke Vije\u263?a "/>
    <w:docVar w:name="LW_TYPEACTEPRINCIPAL.CP" w:val="Prijedlogu odluke Vije\u263?a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Pr>
      <w:rFonts w:eastAsia="Times New Roman"/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hr-HR" w:eastAsia="fr-F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 w:cs="Calibri"/>
      <w:sz w:val="22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hr-HR" w:eastAsia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Pr>
      <w:rFonts w:eastAsia="Times New Roman"/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hr-HR" w:eastAsia="fr-F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 w:cs="Calibri"/>
      <w:sz w:val="22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hr-HR" w:eastAsia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CA375D1-B2A4-49A1-A4EE-31F72D99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5</Pages>
  <Words>676</Words>
  <Characters>4118</Characters>
  <Application>Microsoft Office Word</Application>
  <DocSecurity>0</DocSecurity>
  <Lines>374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ANDREOU Alexandra (TAXUD)</dc:creator>
  <cp:keywords/>
  <dc:description/>
  <cp:lastModifiedBy>WES PDFC Administrator</cp:lastModifiedBy>
  <cp:revision>10</cp:revision>
  <dcterms:created xsi:type="dcterms:W3CDTF">2020-06-10T14:25:00Z</dcterms:created>
  <dcterms:modified xsi:type="dcterms:W3CDTF">2020-06-18T06:47:00Z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