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C4CD7E31-A6FA-4160-ACDA-121B538FE832" style="width:449.75pt;height:397.4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BILAG </w:t>
      </w:r>
    </w:p>
    <w:p>
      <w:pPr>
        <w:jc w:val="center"/>
        <w:rPr>
          <w:b/>
          <w:noProof/>
          <w:szCs w:val="24"/>
        </w:rPr>
      </w:pPr>
    </w:p>
    <w:p>
      <w:pPr>
        <w:jc w:val="center"/>
        <w:rPr>
          <w:b/>
          <w:noProof/>
          <w:szCs w:val="24"/>
        </w:rPr>
      </w:pPr>
      <w:r>
        <w:rPr>
          <w:b/>
          <w:noProof/>
          <w:szCs w:val="24"/>
        </w:rPr>
        <w:t>Oplysninger, der skal medtages i den i artikel 6 omhandlede overvågningsrapport:</w:t>
      </w:r>
    </w:p>
    <w:p>
      <w:pPr>
        <w:jc w:val="center"/>
        <w:rPr>
          <w:noProof/>
          <w:szCs w:val="24"/>
        </w:rPr>
      </w:pPr>
    </w:p>
    <w:p>
      <w:pPr>
        <w:pStyle w:val="NumPar1"/>
        <w:numPr>
          <w:ilvl w:val="0"/>
          <w:numId w:val="10"/>
        </w:numPr>
        <w:rPr>
          <w:noProof/>
        </w:rPr>
      </w:pPr>
      <w:r>
        <w:rPr>
          <w:noProof/>
          <w:u w:val="single"/>
        </w:rPr>
        <w:t>Anslåede ekstra omkostninger</w:t>
      </w:r>
      <w:r>
        <w:rPr>
          <w:noProof/>
        </w:rPr>
        <w:t>. Der anføres oplysninger om hvert produkt, der er omfattet af den reducerede punktafgiftssats. De portugisiske myndigheder udfylder tabel 1 med mindst følgende oplysninger, når disse er tilgængelige. Oplysningerne i tabellen skal være tilstrækkelige til at fastslå, om der er ekstra omkostninger forbundet med produkter, der fremstilles lokalt, sammenlignet med produkter, der fremstilles andre steder.</w:t>
      </w:r>
    </w:p>
    <w:p>
      <w:pPr>
        <w:rPr>
          <w:noProof/>
        </w:rPr>
      </w:pPr>
      <w:r>
        <w:rPr>
          <w:noProof/>
        </w:rPr>
        <w:t>Tabel 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9"/>
        <w:gridCol w:w="1662"/>
        <w:gridCol w:w="1517"/>
        <w:gridCol w:w="1353"/>
      </w:tblGrid>
      <w:tr>
        <w:tc>
          <w:tcPr>
            <w:tcW w:w="3939" w:type="dxa"/>
            <w:tcBorders>
              <w:top w:val="single" w:sz="4" w:space="0" w:color="auto"/>
              <w:left w:val="single" w:sz="4" w:space="0" w:color="auto"/>
              <w:bottom w:val="single" w:sz="4" w:space="0" w:color="auto"/>
              <w:right w:val="single" w:sz="4" w:space="0" w:color="auto"/>
            </w:tcBorders>
          </w:tcPr>
          <w:p>
            <w:pPr>
              <w:pStyle w:val="ListParagraph"/>
              <w:ind w:left="0"/>
              <w:rPr>
                <w:rFonts w:ascii="Times New Roman" w:hAnsi="Times New Roman" w:cs="Times New Roman"/>
                <w:noProof/>
              </w:rPr>
            </w:pPr>
          </w:p>
        </w:tc>
        <w:tc>
          <w:tcPr>
            <w:tcW w:w="1662" w:type="dxa"/>
            <w:tcBorders>
              <w:top w:val="single" w:sz="4" w:space="0" w:color="auto"/>
              <w:left w:val="single" w:sz="4" w:space="0" w:color="auto"/>
              <w:bottom w:val="single" w:sz="4" w:space="0" w:color="auto"/>
              <w:right w:val="single" w:sz="4" w:space="0" w:color="auto"/>
            </w:tcBorders>
            <w:hideMark/>
          </w:tcPr>
          <w:p>
            <w:pPr>
              <w:pStyle w:val="ListParagraph"/>
              <w:ind w:left="0"/>
              <w:jc w:val="center"/>
              <w:rPr>
                <w:rFonts w:ascii="Times New Roman" w:hAnsi="Times New Roman" w:cs="Times New Roman"/>
                <w:noProof/>
              </w:rPr>
            </w:pPr>
            <w:r>
              <w:rPr>
                <w:rFonts w:ascii="Times New Roman" w:hAnsi="Times New Roman"/>
                <w:noProof/>
              </w:rPr>
              <w:t>MADEIRA (EUR)</w:t>
            </w:r>
          </w:p>
        </w:tc>
        <w:tc>
          <w:tcPr>
            <w:tcW w:w="1517" w:type="dxa"/>
            <w:tcBorders>
              <w:top w:val="single" w:sz="4" w:space="0" w:color="auto"/>
              <w:left w:val="single" w:sz="4" w:space="0" w:color="auto"/>
              <w:bottom w:val="single" w:sz="4" w:space="0" w:color="auto"/>
              <w:right w:val="single" w:sz="4" w:space="0" w:color="auto"/>
            </w:tcBorders>
            <w:hideMark/>
          </w:tcPr>
          <w:p>
            <w:pPr>
              <w:pStyle w:val="ListParagraph"/>
              <w:ind w:left="0"/>
              <w:jc w:val="center"/>
              <w:rPr>
                <w:rFonts w:ascii="Times New Roman" w:hAnsi="Times New Roman" w:cs="Times New Roman"/>
                <w:noProof/>
              </w:rPr>
            </w:pPr>
            <w:r>
              <w:rPr>
                <w:rFonts w:ascii="Times New Roman" w:hAnsi="Times New Roman"/>
                <w:noProof/>
              </w:rPr>
              <w:t>AZORERNE (EUR)</w:t>
            </w:r>
          </w:p>
        </w:tc>
        <w:tc>
          <w:tcPr>
            <w:tcW w:w="1353" w:type="dxa"/>
            <w:tcBorders>
              <w:top w:val="single" w:sz="4" w:space="0" w:color="auto"/>
              <w:left w:val="single" w:sz="4" w:space="0" w:color="auto"/>
              <w:bottom w:val="single" w:sz="4" w:space="0" w:color="auto"/>
              <w:right w:val="single" w:sz="4" w:space="0" w:color="auto"/>
            </w:tcBorders>
            <w:hideMark/>
          </w:tcPr>
          <w:p>
            <w:pPr>
              <w:pStyle w:val="ListParagraph"/>
              <w:ind w:left="0"/>
              <w:jc w:val="center"/>
              <w:rPr>
                <w:rFonts w:ascii="Times New Roman" w:hAnsi="Times New Roman" w:cs="Times New Roman"/>
                <w:noProof/>
              </w:rPr>
            </w:pPr>
            <w:r>
              <w:rPr>
                <w:rFonts w:ascii="Times New Roman" w:hAnsi="Times New Roman"/>
                <w:noProof/>
              </w:rPr>
              <w:t>Noter</w:t>
            </w:r>
            <w:r>
              <w:rPr>
                <w:rFonts w:ascii="Times New Roman" w:hAnsi="Times New Roman"/>
                <w:noProof/>
                <w:vertAlign w:val="superscript"/>
              </w:rPr>
              <w:t>2</w:t>
            </w:r>
          </w:p>
        </w:tc>
      </w:tr>
      <w:tr>
        <w:tc>
          <w:tcPr>
            <w:tcW w:w="3939" w:type="dxa"/>
            <w:tcBorders>
              <w:top w:val="single" w:sz="4" w:space="0" w:color="auto"/>
              <w:left w:val="single" w:sz="4" w:space="0" w:color="auto"/>
              <w:bottom w:val="single" w:sz="4" w:space="0" w:color="auto"/>
              <w:right w:val="single" w:sz="4" w:space="0" w:color="auto"/>
            </w:tcBorders>
            <w:hideMark/>
          </w:tcPr>
          <w:p>
            <w:pPr>
              <w:pStyle w:val="ListParagraph"/>
              <w:ind w:left="0"/>
              <w:rPr>
                <w:rFonts w:ascii="Times New Roman" w:hAnsi="Times New Roman" w:cs="Times New Roman"/>
                <w:noProof/>
              </w:rPr>
            </w:pPr>
            <w:r>
              <w:rPr>
                <w:rFonts w:ascii="Times New Roman" w:hAnsi="Times New Roman"/>
                <w:noProof/>
              </w:rPr>
              <w:t>Prisen på sukkerrør (pr. 100 kg)</w:t>
            </w:r>
          </w:p>
        </w:tc>
        <w:tc>
          <w:tcPr>
            <w:tcW w:w="1662" w:type="dxa"/>
            <w:tcBorders>
              <w:top w:val="single" w:sz="4" w:space="0" w:color="auto"/>
              <w:left w:val="single" w:sz="4" w:space="0" w:color="auto"/>
              <w:bottom w:val="single" w:sz="4" w:space="0" w:color="auto"/>
              <w:right w:val="single" w:sz="4" w:space="0" w:color="auto"/>
            </w:tcBorders>
          </w:tcPr>
          <w:p>
            <w:pPr>
              <w:ind w:left="360"/>
              <w:jc w:val="center"/>
              <w:rPr>
                <w:noProof/>
              </w:rPr>
            </w:pPr>
          </w:p>
        </w:tc>
        <w:tc>
          <w:tcPr>
            <w:tcW w:w="1517" w:type="dxa"/>
            <w:tcBorders>
              <w:top w:val="single" w:sz="4" w:space="0" w:color="auto"/>
              <w:left w:val="single" w:sz="4" w:space="0" w:color="auto"/>
              <w:bottom w:val="single" w:sz="4" w:space="0" w:color="auto"/>
              <w:right w:val="single" w:sz="4" w:space="0" w:color="auto"/>
            </w:tcBorders>
          </w:tcPr>
          <w:p>
            <w:pPr>
              <w:ind w:left="360"/>
              <w:jc w:val="center"/>
              <w:rPr>
                <w:noProof/>
              </w:rPr>
            </w:pPr>
          </w:p>
        </w:tc>
        <w:tc>
          <w:tcPr>
            <w:tcW w:w="1353" w:type="dxa"/>
            <w:tcBorders>
              <w:top w:val="single" w:sz="4" w:space="0" w:color="auto"/>
              <w:left w:val="single" w:sz="4" w:space="0" w:color="auto"/>
              <w:bottom w:val="single" w:sz="4" w:space="0" w:color="auto"/>
              <w:right w:val="single" w:sz="4" w:space="0" w:color="auto"/>
            </w:tcBorders>
          </w:tcPr>
          <w:p>
            <w:pPr>
              <w:ind w:left="360"/>
              <w:jc w:val="center"/>
              <w:rPr>
                <w:noProof/>
              </w:rPr>
            </w:pPr>
          </w:p>
        </w:tc>
      </w:tr>
      <w:tr>
        <w:tc>
          <w:tcPr>
            <w:tcW w:w="3939" w:type="dxa"/>
            <w:tcBorders>
              <w:top w:val="single" w:sz="4" w:space="0" w:color="auto"/>
              <w:left w:val="single" w:sz="4" w:space="0" w:color="auto"/>
              <w:bottom w:val="single" w:sz="4" w:space="0" w:color="auto"/>
              <w:right w:val="single" w:sz="4" w:space="0" w:color="auto"/>
            </w:tcBorders>
            <w:hideMark/>
          </w:tcPr>
          <w:p>
            <w:pPr>
              <w:pStyle w:val="ListParagraph"/>
              <w:ind w:left="0"/>
              <w:rPr>
                <w:rFonts w:ascii="Times New Roman" w:hAnsi="Times New Roman" w:cs="Times New Roman"/>
                <w:noProof/>
              </w:rPr>
            </w:pPr>
            <w:r>
              <w:rPr>
                <w:rFonts w:ascii="Times New Roman" w:hAnsi="Times New Roman"/>
                <w:noProof/>
              </w:rPr>
              <w:t>Prisen på passionsfrugt (pr. 100 kg)</w:t>
            </w:r>
          </w:p>
        </w:tc>
        <w:tc>
          <w:tcPr>
            <w:tcW w:w="1662" w:type="dxa"/>
            <w:tcBorders>
              <w:top w:val="single" w:sz="4" w:space="0" w:color="auto"/>
              <w:left w:val="single" w:sz="4" w:space="0" w:color="auto"/>
              <w:bottom w:val="single" w:sz="4" w:space="0" w:color="auto"/>
              <w:right w:val="single" w:sz="4" w:space="0" w:color="auto"/>
            </w:tcBorders>
          </w:tcPr>
          <w:p>
            <w:pPr>
              <w:ind w:left="360"/>
              <w:jc w:val="center"/>
              <w:rPr>
                <w:noProof/>
              </w:rPr>
            </w:pPr>
          </w:p>
        </w:tc>
        <w:tc>
          <w:tcPr>
            <w:tcW w:w="1517" w:type="dxa"/>
            <w:tcBorders>
              <w:top w:val="single" w:sz="4" w:space="0" w:color="auto"/>
              <w:left w:val="single" w:sz="4" w:space="0" w:color="auto"/>
              <w:bottom w:val="single" w:sz="4" w:space="0" w:color="auto"/>
              <w:right w:val="single" w:sz="4" w:space="0" w:color="auto"/>
            </w:tcBorders>
          </w:tcPr>
          <w:p>
            <w:pPr>
              <w:ind w:left="360"/>
              <w:jc w:val="center"/>
              <w:rPr>
                <w:noProof/>
              </w:rPr>
            </w:pPr>
          </w:p>
        </w:tc>
        <w:tc>
          <w:tcPr>
            <w:tcW w:w="1353" w:type="dxa"/>
            <w:tcBorders>
              <w:top w:val="single" w:sz="4" w:space="0" w:color="auto"/>
              <w:left w:val="single" w:sz="4" w:space="0" w:color="auto"/>
              <w:bottom w:val="single" w:sz="4" w:space="0" w:color="auto"/>
              <w:right w:val="single" w:sz="4" w:space="0" w:color="auto"/>
            </w:tcBorders>
          </w:tcPr>
          <w:p>
            <w:pPr>
              <w:ind w:left="360"/>
              <w:jc w:val="center"/>
              <w:rPr>
                <w:noProof/>
              </w:rPr>
            </w:pPr>
          </w:p>
        </w:tc>
      </w:tr>
      <w:tr>
        <w:tc>
          <w:tcPr>
            <w:tcW w:w="3939" w:type="dxa"/>
            <w:tcBorders>
              <w:top w:val="single" w:sz="4" w:space="0" w:color="auto"/>
              <w:left w:val="single" w:sz="4" w:space="0" w:color="auto"/>
              <w:bottom w:val="single" w:sz="4" w:space="0" w:color="auto"/>
              <w:right w:val="single" w:sz="4" w:space="0" w:color="auto"/>
            </w:tcBorders>
            <w:hideMark/>
          </w:tcPr>
          <w:p>
            <w:pPr>
              <w:pStyle w:val="ListParagraph"/>
              <w:ind w:left="0"/>
              <w:rPr>
                <w:rFonts w:ascii="Times New Roman" w:hAnsi="Times New Roman" w:cs="Times New Roman"/>
                <w:noProof/>
              </w:rPr>
            </w:pPr>
            <w:r>
              <w:rPr>
                <w:rFonts w:ascii="Times New Roman" w:hAnsi="Times New Roman"/>
                <w:noProof/>
              </w:rPr>
              <w:t>Prisen på limefrugt (pr. 100 kg)</w:t>
            </w:r>
          </w:p>
        </w:tc>
        <w:tc>
          <w:tcPr>
            <w:tcW w:w="1662" w:type="dxa"/>
            <w:tcBorders>
              <w:top w:val="single" w:sz="4" w:space="0" w:color="auto"/>
              <w:left w:val="single" w:sz="4" w:space="0" w:color="auto"/>
              <w:bottom w:val="single" w:sz="4" w:space="0" w:color="auto"/>
              <w:right w:val="single" w:sz="4" w:space="0" w:color="auto"/>
            </w:tcBorders>
          </w:tcPr>
          <w:p>
            <w:pPr>
              <w:ind w:left="360"/>
              <w:jc w:val="center"/>
              <w:rPr>
                <w:noProof/>
              </w:rPr>
            </w:pPr>
          </w:p>
        </w:tc>
        <w:tc>
          <w:tcPr>
            <w:tcW w:w="1517" w:type="dxa"/>
            <w:tcBorders>
              <w:top w:val="single" w:sz="4" w:space="0" w:color="auto"/>
              <w:left w:val="single" w:sz="4" w:space="0" w:color="auto"/>
              <w:bottom w:val="single" w:sz="4" w:space="0" w:color="auto"/>
              <w:right w:val="single" w:sz="4" w:space="0" w:color="auto"/>
            </w:tcBorders>
          </w:tcPr>
          <w:p>
            <w:pPr>
              <w:ind w:left="360"/>
              <w:jc w:val="center"/>
              <w:rPr>
                <w:noProof/>
              </w:rPr>
            </w:pPr>
          </w:p>
        </w:tc>
        <w:tc>
          <w:tcPr>
            <w:tcW w:w="1353" w:type="dxa"/>
            <w:tcBorders>
              <w:top w:val="single" w:sz="4" w:space="0" w:color="auto"/>
              <w:left w:val="single" w:sz="4" w:space="0" w:color="auto"/>
              <w:bottom w:val="single" w:sz="4" w:space="0" w:color="auto"/>
              <w:right w:val="single" w:sz="4" w:space="0" w:color="auto"/>
            </w:tcBorders>
          </w:tcPr>
          <w:p>
            <w:pPr>
              <w:ind w:left="360"/>
              <w:jc w:val="center"/>
              <w:rPr>
                <w:noProof/>
              </w:rPr>
            </w:pPr>
          </w:p>
        </w:tc>
      </w:tr>
      <w:tr>
        <w:tc>
          <w:tcPr>
            <w:tcW w:w="3939" w:type="dxa"/>
            <w:tcBorders>
              <w:top w:val="single" w:sz="4" w:space="0" w:color="auto"/>
              <w:left w:val="single" w:sz="4" w:space="0" w:color="auto"/>
              <w:bottom w:val="single" w:sz="4" w:space="0" w:color="auto"/>
              <w:right w:val="single" w:sz="4" w:space="0" w:color="auto"/>
            </w:tcBorders>
            <w:hideMark/>
          </w:tcPr>
          <w:p>
            <w:pPr>
              <w:pStyle w:val="ListParagraph"/>
              <w:ind w:left="0"/>
              <w:rPr>
                <w:rFonts w:ascii="Times New Roman" w:hAnsi="Times New Roman" w:cs="Times New Roman"/>
                <w:noProof/>
              </w:rPr>
            </w:pPr>
            <w:r>
              <w:rPr>
                <w:rFonts w:ascii="Times New Roman" w:hAnsi="Times New Roman"/>
                <w:noProof/>
              </w:rPr>
              <w:t>Prisen på alkohol (pr. hlpa</w:t>
            </w:r>
            <w:r>
              <w:rPr>
                <w:rFonts w:ascii="Times New Roman" w:hAnsi="Times New Roman"/>
                <w:noProof/>
                <w:vertAlign w:val="superscript"/>
              </w:rPr>
              <w:t>3</w:t>
            </w:r>
            <w:r>
              <w:rPr>
                <w:rFonts w:ascii="Times New Roman" w:hAnsi="Times New Roman"/>
                <w:noProof/>
              </w:rPr>
              <w:t xml:space="preserve"> – eksklusive afgifter)</w:t>
            </w:r>
          </w:p>
        </w:tc>
        <w:tc>
          <w:tcPr>
            <w:tcW w:w="1662" w:type="dxa"/>
            <w:tcBorders>
              <w:top w:val="single" w:sz="4" w:space="0" w:color="auto"/>
              <w:left w:val="single" w:sz="4" w:space="0" w:color="auto"/>
              <w:bottom w:val="single" w:sz="4" w:space="0" w:color="auto"/>
              <w:right w:val="single" w:sz="4" w:space="0" w:color="auto"/>
            </w:tcBorders>
          </w:tcPr>
          <w:p>
            <w:pPr>
              <w:ind w:left="360"/>
              <w:jc w:val="center"/>
              <w:rPr>
                <w:noProof/>
              </w:rPr>
            </w:pPr>
          </w:p>
        </w:tc>
        <w:tc>
          <w:tcPr>
            <w:tcW w:w="1517" w:type="dxa"/>
            <w:tcBorders>
              <w:top w:val="single" w:sz="4" w:space="0" w:color="auto"/>
              <w:left w:val="single" w:sz="4" w:space="0" w:color="auto"/>
              <w:bottom w:val="single" w:sz="4" w:space="0" w:color="auto"/>
              <w:right w:val="single" w:sz="4" w:space="0" w:color="auto"/>
            </w:tcBorders>
          </w:tcPr>
          <w:p>
            <w:pPr>
              <w:ind w:left="360"/>
              <w:jc w:val="center"/>
              <w:rPr>
                <w:noProof/>
              </w:rPr>
            </w:pPr>
          </w:p>
        </w:tc>
        <w:tc>
          <w:tcPr>
            <w:tcW w:w="1353" w:type="dxa"/>
            <w:tcBorders>
              <w:top w:val="single" w:sz="4" w:space="0" w:color="auto"/>
              <w:left w:val="single" w:sz="4" w:space="0" w:color="auto"/>
              <w:bottom w:val="single" w:sz="4" w:space="0" w:color="auto"/>
              <w:right w:val="single" w:sz="4" w:space="0" w:color="auto"/>
            </w:tcBorders>
          </w:tcPr>
          <w:p>
            <w:pPr>
              <w:ind w:left="360"/>
              <w:jc w:val="center"/>
              <w:rPr>
                <w:noProof/>
              </w:rPr>
            </w:pPr>
          </w:p>
        </w:tc>
      </w:tr>
      <w:tr>
        <w:tc>
          <w:tcPr>
            <w:tcW w:w="3939" w:type="dxa"/>
            <w:tcBorders>
              <w:top w:val="single" w:sz="4" w:space="0" w:color="auto"/>
              <w:left w:val="single" w:sz="4" w:space="0" w:color="auto"/>
              <w:bottom w:val="single" w:sz="4" w:space="0" w:color="auto"/>
              <w:right w:val="single" w:sz="4" w:space="0" w:color="auto"/>
            </w:tcBorders>
            <w:hideMark/>
          </w:tcPr>
          <w:p>
            <w:pPr>
              <w:pStyle w:val="ListParagraph"/>
              <w:ind w:left="0"/>
              <w:rPr>
                <w:rFonts w:ascii="Times New Roman" w:hAnsi="Times New Roman" w:cs="Times New Roman"/>
                <w:noProof/>
              </w:rPr>
            </w:pPr>
            <w:r>
              <w:rPr>
                <w:rFonts w:ascii="Times New Roman" w:hAnsi="Times New Roman"/>
                <w:noProof/>
              </w:rPr>
              <w:t>Fragtomkostninger (pr. kg)</w:t>
            </w:r>
          </w:p>
        </w:tc>
        <w:tc>
          <w:tcPr>
            <w:tcW w:w="1662" w:type="dxa"/>
            <w:tcBorders>
              <w:top w:val="single" w:sz="4" w:space="0" w:color="auto"/>
              <w:left w:val="single" w:sz="4" w:space="0" w:color="auto"/>
              <w:bottom w:val="single" w:sz="4" w:space="0" w:color="auto"/>
              <w:right w:val="single" w:sz="4" w:space="0" w:color="auto"/>
            </w:tcBorders>
          </w:tcPr>
          <w:p>
            <w:pPr>
              <w:ind w:left="360"/>
              <w:jc w:val="center"/>
              <w:rPr>
                <w:noProof/>
              </w:rPr>
            </w:pPr>
          </w:p>
        </w:tc>
        <w:tc>
          <w:tcPr>
            <w:tcW w:w="1517" w:type="dxa"/>
            <w:tcBorders>
              <w:top w:val="single" w:sz="4" w:space="0" w:color="auto"/>
              <w:left w:val="single" w:sz="4" w:space="0" w:color="auto"/>
              <w:bottom w:val="single" w:sz="4" w:space="0" w:color="auto"/>
              <w:right w:val="single" w:sz="4" w:space="0" w:color="auto"/>
            </w:tcBorders>
          </w:tcPr>
          <w:p>
            <w:pPr>
              <w:ind w:left="360"/>
              <w:jc w:val="center"/>
              <w:rPr>
                <w:noProof/>
              </w:rPr>
            </w:pPr>
          </w:p>
        </w:tc>
        <w:tc>
          <w:tcPr>
            <w:tcW w:w="1353" w:type="dxa"/>
            <w:tcBorders>
              <w:top w:val="single" w:sz="4" w:space="0" w:color="auto"/>
              <w:left w:val="single" w:sz="4" w:space="0" w:color="auto"/>
              <w:bottom w:val="single" w:sz="4" w:space="0" w:color="auto"/>
              <w:right w:val="single" w:sz="4" w:space="0" w:color="auto"/>
            </w:tcBorders>
          </w:tcPr>
          <w:p>
            <w:pPr>
              <w:ind w:left="360"/>
              <w:jc w:val="center"/>
              <w:rPr>
                <w:noProof/>
              </w:rPr>
            </w:pPr>
          </w:p>
        </w:tc>
      </w:tr>
      <w:tr>
        <w:tc>
          <w:tcPr>
            <w:tcW w:w="3939" w:type="dxa"/>
            <w:tcBorders>
              <w:top w:val="single" w:sz="4" w:space="0" w:color="auto"/>
              <w:left w:val="single" w:sz="4" w:space="0" w:color="auto"/>
              <w:bottom w:val="single" w:sz="4" w:space="0" w:color="auto"/>
              <w:right w:val="single" w:sz="4" w:space="0" w:color="auto"/>
            </w:tcBorders>
            <w:hideMark/>
          </w:tcPr>
          <w:p>
            <w:pPr>
              <w:pStyle w:val="ListParagraph"/>
              <w:ind w:left="0"/>
              <w:rPr>
                <w:rFonts w:ascii="Times New Roman" w:hAnsi="Times New Roman" w:cs="Times New Roman"/>
                <w:noProof/>
              </w:rPr>
            </w:pPr>
            <w:r>
              <w:rPr>
                <w:rFonts w:ascii="Times New Roman" w:hAnsi="Times New Roman"/>
                <w:noProof/>
              </w:rPr>
              <w:t>Andre omkostninger</w:t>
            </w:r>
            <w:r>
              <w:rPr>
                <w:rFonts w:ascii="Times New Roman" w:hAnsi="Times New Roman"/>
                <w:iCs/>
                <w:noProof/>
                <w:sz w:val="18"/>
                <w:szCs w:val="18"/>
                <w:vertAlign w:val="superscript"/>
              </w:rPr>
              <w:t>1</w:t>
            </w:r>
            <w:r>
              <w:rPr>
                <w:rFonts w:ascii="Times New Roman" w:hAnsi="Times New Roman"/>
                <w:noProof/>
              </w:rPr>
              <w:t xml:space="preserve"> </w:t>
            </w:r>
          </w:p>
        </w:tc>
        <w:tc>
          <w:tcPr>
            <w:tcW w:w="1662" w:type="dxa"/>
            <w:tcBorders>
              <w:top w:val="single" w:sz="4" w:space="0" w:color="auto"/>
              <w:left w:val="single" w:sz="4" w:space="0" w:color="auto"/>
              <w:bottom w:val="single" w:sz="4" w:space="0" w:color="auto"/>
              <w:right w:val="single" w:sz="4" w:space="0" w:color="auto"/>
            </w:tcBorders>
          </w:tcPr>
          <w:p>
            <w:pPr>
              <w:ind w:left="360"/>
              <w:jc w:val="center"/>
              <w:rPr>
                <w:noProof/>
              </w:rPr>
            </w:pPr>
          </w:p>
        </w:tc>
        <w:tc>
          <w:tcPr>
            <w:tcW w:w="1517" w:type="dxa"/>
            <w:tcBorders>
              <w:top w:val="single" w:sz="4" w:space="0" w:color="auto"/>
              <w:left w:val="single" w:sz="4" w:space="0" w:color="auto"/>
              <w:bottom w:val="single" w:sz="4" w:space="0" w:color="auto"/>
              <w:right w:val="single" w:sz="4" w:space="0" w:color="auto"/>
            </w:tcBorders>
          </w:tcPr>
          <w:p>
            <w:pPr>
              <w:ind w:left="360"/>
              <w:jc w:val="center"/>
              <w:rPr>
                <w:noProof/>
              </w:rPr>
            </w:pPr>
          </w:p>
        </w:tc>
        <w:tc>
          <w:tcPr>
            <w:tcW w:w="1353" w:type="dxa"/>
            <w:tcBorders>
              <w:top w:val="single" w:sz="4" w:space="0" w:color="auto"/>
              <w:left w:val="single" w:sz="4" w:space="0" w:color="auto"/>
              <w:bottom w:val="single" w:sz="4" w:space="0" w:color="auto"/>
              <w:right w:val="single" w:sz="4" w:space="0" w:color="auto"/>
            </w:tcBorders>
          </w:tcPr>
          <w:p>
            <w:pPr>
              <w:ind w:left="360"/>
              <w:jc w:val="center"/>
              <w:rPr>
                <w:noProof/>
              </w:rPr>
            </w:pPr>
          </w:p>
        </w:tc>
      </w:tr>
    </w:tbl>
    <w:p>
      <w:pPr>
        <w:rPr>
          <w:iCs/>
          <w:noProof/>
          <w:sz w:val="18"/>
          <w:szCs w:val="18"/>
        </w:rPr>
      </w:pPr>
      <w:r>
        <w:rPr>
          <w:iCs/>
          <w:noProof/>
          <w:sz w:val="18"/>
          <w:szCs w:val="18"/>
        </w:rPr>
        <w:t>Noter til tabellen:</w:t>
      </w:r>
    </w:p>
    <w:p>
      <w:pPr>
        <w:rPr>
          <w:iCs/>
          <w:noProof/>
          <w:sz w:val="18"/>
          <w:szCs w:val="18"/>
        </w:rPr>
      </w:pPr>
      <w:r>
        <w:rPr>
          <w:iCs/>
          <w:noProof/>
          <w:sz w:val="18"/>
          <w:szCs w:val="18"/>
        </w:rPr>
        <w:t>1. Angiv oplysninger om vand-, energi- og affaldsrelaterede omkostninger, omkostninger i tilfælde af flere virksomheder og andre relevante omkostninger.</w:t>
      </w:r>
    </w:p>
    <w:p>
      <w:pPr>
        <w:rPr>
          <w:iCs/>
          <w:noProof/>
          <w:sz w:val="18"/>
          <w:szCs w:val="18"/>
        </w:rPr>
      </w:pPr>
      <w:r>
        <w:rPr>
          <w:iCs/>
          <w:noProof/>
          <w:sz w:val="18"/>
          <w:szCs w:val="18"/>
        </w:rPr>
        <w:t>2. Angiv oplysninger om alle de specifikationer og forklaringer, der understøtter beregningsmetoderne.</w:t>
      </w:r>
    </w:p>
    <w:p>
      <w:pPr>
        <w:rPr>
          <w:iCs/>
          <w:noProof/>
          <w:sz w:val="18"/>
          <w:szCs w:val="18"/>
        </w:rPr>
      </w:pPr>
      <w:r>
        <w:rPr>
          <w:iCs/>
          <w:noProof/>
          <w:sz w:val="18"/>
          <w:szCs w:val="18"/>
        </w:rPr>
        <w:t>3. Hektoliter ren alkohol.</w:t>
      </w:r>
    </w:p>
    <w:p>
      <w:pPr>
        <w:rPr>
          <w:noProof/>
          <w:szCs w:val="20"/>
        </w:rPr>
      </w:pPr>
    </w:p>
    <w:p>
      <w:pPr>
        <w:rPr>
          <w:noProof/>
        </w:rPr>
      </w:pPr>
    </w:p>
    <w:p>
      <w:pPr>
        <w:pStyle w:val="NumPar1"/>
        <w:rPr>
          <w:noProof/>
          <w:u w:val="single"/>
        </w:rPr>
      </w:pPr>
      <w:r>
        <w:rPr>
          <w:noProof/>
          <w:u w:val="single"/>
        </w:rPr>
        <w:t>Andre tilskud</w:t>
      </w:r>
      <w:r>
        <w:rPr>
          <w:noProof/>
        </w:rPr>
        <w:t>. De portugisiske myndigheder udfylder tabel 2 for hver region, idet de anfører alle andre typer støtte og støtteforanstaltninger til afbødning af de ekstra driftsomkostninger, som de erhvervsdrivende har på grund af Madeiras og Azorernes status af regioner i EU's yderste periferi.</w:t>
      </w:r>
    </w:p>
    <w:p>
      <w:pPr>
        <w:rPr>
          <w:noProof/>
        </w:rPr>
      </w:pPr>
      <w:r>
        <w:rPr>
          <w:noProof/>
        </w:rPr>
        <w:t>Tabel 2.</w:t>
      </w:r>
    </w:p>
    <w:tbl>
      <w:tblPr>
        <w:tblW w:w="54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1083"/>
        <w:gridCol w:w="1351"/>
        <w:gridCol w:w="1046"/>
        <w:gridCol w:w="993"/>
        <w:gridCol w:w="1841"/>
        <w:gridCol w:w="1422"/>
        <w:gridCol w:w="993"/>
      </w:tblGrid>
      <w:tr>
        <w:tc>
          <w:tcPr>
            <w:tcW w:w="710" w:type="pct"/>
            <w:tcBorders>
              <w:top w:val="single" w:sz="4" w:space="0" w:color="auto"/>
              <w:left w:val="single" w:sz="4" w:space="0" w:color="auto"/>
              <w:bottom w:val="single" w:sz="4" w:space="0" w:color="auto"/>
              <w:right w:val="single" w:sz="4" w:space="0" w:color="auto"/>
            </w:tcBorders>
            <w:shd w:val="clear" w:color="auto" w:fill="E7E6E6"/>
            <w:vAlign w:val="center"/>
            <w:hideMark/>
          </w:tcPr>
          <w:p>
            <w:pPr>
              <w:rPr>
                <w:b/>
                <w:bCs/>
                <w:noProof/>
              </w:rPr>
            </w:pPr>
            <w:r>
              <w:rPr>
                <w:b/>
                <w:bCs/>
                <w:noProof/>
              </w:rPr>
              <w:t>Støtte / støttefor-anstaltning</w:t>
            </w:r>
            <w:r>
              <w:rPr>
                <w:b/>
                <w:bCs/>
                <w:noProof/>
                <w:vertAlign w:val="superscript"/>
              </w:rPr>
              <w:t>1</w:t>
            </w:r>
          </w:p>
        </w:tc>
        <w:tc>
          <w:tcPr>
            <w:tcW w:w="532" w:type="pct"/>
            <w:tcBorders>
              <w:top w:val="single" w:sz="4" w:space="0" w:color="auto"/>
              <w:left w:val="single" w:sz="4" w:space="0" w:color="auto"/>
              <w:bottom w:val="single" w:sz="4" w:space="0" w:color="auto"/>
              <w:right w:val="single" w:sz="4" w:space="0" w:color="auto"/>
            </w:tcBorders>
            <w:shd w:val="clear" w:color="auto" w:fill="E7E6E6"/>
            <w:vAlign w:val="center"/>
            <w:hideMark/>
          </w:tcPr>
          <w:p>
            <w:pPr>
              <w:rPr>
                <w:b/>
                <w:bCs/>
                <w:noProof/>
              </w:rPr>
            </w:pPr>
            <w:r>
              <w:rPr>
                <w:b/>
                <w:bCs/>
                <w:noProof/>
              </w:rPr>
              <w:t>Periode</w:t>
            </w:r>
            <w:r>
              <w:rPr>
                <w:b/>
                <w:bCs/>
                <w:noProof/>
                <w:vertAlign w:val="superscript"/>
              </w:rPr>
              <w:t>2</w:t>
            </w:r>
            <w:r>
              <w:rPr>
                <w:b/>
                <w:bCs/>
                <w:noProof/>
              </w:rPr>
              <w:t xml:space="preserve"> </w:t>
            </w:r>
          </w:p>
        </w:tc>
        <w:tc>
          <w:tcPr>
            <w:tcW w:w="664" w:type="pct"/>
            <w:tcBorders>
              <w:top w:val="single" w:sz="4" w:space="0" w:color="auto"/>
              <w:left w:val="single" w:sz="4" w:space="0" w:color="auto"/>
              <w:bottom w:val="single" w:sz="4" w:space="0" w:color="auto"/>
              <w:right w:val="single" w:sz="4" w:space="0" w:color="auto"/>
            </w:tcBorders>
            <w:shd w:val="clear" w:color="auto" w:fill="E7E6E6"/>
            <w:vAlign w:val="center"/>
            <w:hideMark/>
          </w:tcPr>
          <w:p>
            <w:pPr>
              <w:rPr>
                <w:b/>
                <w:bCs/>
                <w:noProof/>
              </w:rPr>
            </w:pPr>
            <w:r>
              <w:rPr>
                <w:b/>
                <w:bCs/>
                <w:noProof/>
              </w:rPr>
              <w:t>Målsektor</w:t>
            </w:r>
            <w:r>
              <w:rPr>
                <w:b/>
                <w:bCs/>
                <w:i/>
                <w:iCs/>
                <w:noProof/>
                <w:vertAlign w:val="superscript"/>
              </w:rPr>
              <w:t>3</w:t>
            </w:r>
          </w:p>
        </w:tc>
        <w:tc>
          <w:tcPr>
            <w:tcW w:w="514" w:type="pct"/>
            <w:tcBorders>
              <w:top w:val="single" w:sz="4" w:space="0" w:color="auto"/>
              <w:left w:val="single" w:sz="4" w:space="0" w:color="auto"/>
              <w:bottom w:val="single" w:sz="4" w:space="0" w:color="auto"/>
              <w:right w:val="single" w:sz="4" w:space="0" w:color="auto"/>
            </w:tcBorders>
            <w:shd w:val="clear" w:color="auto" w:fill="E7E6E6"/>
            <w:vAlign w:val="center"/>
            <w:hideMark/>
          </w:tcPr>
          <w:p>
            <w:pPr>
              <w:jc w:val="left"/>
              <w:rPr>
                <w:b/>
                <w:bCs/>
                <w:noProof/>
              </w:rPr>
            </w:pPr>
            <w:r>
              <w:rPr>
                <w:b/>
                <w:bCs/>
                <w:noProof/>
              </w:rPr>
              <w:t>Budget-beløb i EUR</w:t>
            </w:r>
            <w:r>
              <w:rPr>
                <w:b/>
                <w:bCs/>
                <w:i/>
                <w:iCs/>
                <w:noProof/>
                <w:vertAlign w:val="superscript"/>
              </w:rPr>
              <w:t>4</w:t>
            </w:r>
          </w:p>
        </w:tc>
        <w:tc>
          <w:tcPr>
            <w:tcW w:w="488" w:type="pct"/>
            <w:tcBorders>
              <w:top w:val="single" w:sz="4" w:space="0" w:color="auto"/>
              <w:left w:val="single" w:sz="4" w:space="0" w:color="auto"/>
              <w:bottom w:val="single" w:sz="4" w:space="0" w:color="auto"/>
              <w:right w:val="single" w:sz="4" w:space="0" w:color="auto"/>
            </w:tcBorders>
            <w:shd w:val="clear" w:color="auto" w:fill="E7E6E6"/>
            <w:vAlign w:val="center"/>
            <w:hideMark/>
          </w:tcPr>
          <w:p>
            <w:pPr>
              <w:jc w:val="left"/>
              <w:rPr>
                <w:b/>
                <w:bCs/>
                <w:noProof/>
              </w:rPr>
            </w:pPr>
            <w:r>
              <w:rPr>
                <w:b/>
                <w:bCs/>
                <w:noProof/>
              </w:rPr>
              <w:t>Årlig udgift i EUR (2019-2024)</w:t>
            </w:r>
            <w:r>
              <w:rPr>
                <w:b/>
                <w:bCs/>
                <w:i/>
                <w:iCs/>
                <w:noProof/>
                <w:vertAlign w:val="superscript"/>
              </w:rPr>
              <w:t>5</w:t>
            </w:r>
          </w:p>
        </w:tc>
        <w:tc>
          <w:tcPr>
            <w:tcW w:w="905" w:type="pct"/>
            <w:tcBorders>
              <w:top w:val="single" w:sz="4" w:space="0" w:color="auto"/>
              <w:left w:val="single" w:sz="4" w:space="0" w:color="auto"/>
              <w:bottom w:val="single" w:sz="4" w:space="0" w:color="auto"/>
              <w:right w:val="single" w:sz="4" w:space="0" w:color="auto"/>
            </w:tcBorders>
            <w:shd w:val="clear" w:color="auto" w:fill="E7E6E6"/>
            <w:vAlign w:val="center"/>
            <w:hideMark/>
          </w:tcPr>
          <w:p>
            <w:pPr>
              <w:jc w:val="left"/>
              <w:rPr>
                <w:b/>
                <w:bCs/>
                <w:noProof/>
              </w:rPr>
            </w:pPr>
            <w:r>
              <w:rPr>
                <w:b/>
                <w:bCs/>
                <w:noProof/>
              </w:rPr>
              <w:t>Andel af budgettet, der kan tilregnes kompensation for ekstra omkostninger</w:t>
            </w:r>
            <w:r>
              <w:rPr>
                <w:b/>
                <w:bCs/>
                <w:i/>
                <w:iCs/>
                <w:noProof/>
                <w:vertAlign w:val="superscript"/>
              </w:rPr>
              <w:t>6</w:t>
            </w:r>
            <w:r>
              <w:rPr>
                <w:b/>
                <w:bCs/>
                <w:noProof/>
              </w:rPr>
              <w:t xml:space="preserve"> </w:t>
            </w:r>
          </w:p>
        </w:tc>
        <w:tc>
          <w:tcPr>
            <w:tcW w:w="699" w:type="pct"/>
            <w:tcBorders>
              <w:top w:val="single" w:sz="4" w:space="0" w:color="auto"/>
              <w:left w:val="single" w:sz="4" w:space="0" w:color="auto"/>
              <w:bottom w:val="single" w:sz="4" w:space="0" w:color="auto"/>
              <w:right w:val="single" w:sz="4" w:space="0" w:color="auto"/>
            </w:tcBorders>
            <w:shd w:val="clear" w:color="auto" w:fill="E7E6E6"/>
            <w:vAlign w:val="center"/>
            <w:hideMark/>
          </w:tcPr>
          <w:p>
            <w:pPr>
              <w:rPr>
                <w:b/>
                <w:bCs/>
                <w:noProof/>
              </w:rPr>
            </w:pPr>
            <w:r>
              <w:rPr>
                <w:b/>
                <w:bCs/>
                <w:noProof/>
              </w:rPr>
              <w:t>Skønnet antal støttemod-tagende virksom-heder</w:t>
            </w:r>
            <w:r>
              <w:rPr>
                <w:b/>
                <w:bCs/>
                <w:i/>
                <w:iCs/>
                <w:noProof/>
                <w:vertAlign w:val="superscript"/>
              </w:rPr>
              <w:t>7</w:t>
            </w:r>
            <w:r>
              <w:rPr>
                <w:b/>
                <w:bCs/>
                <w:noProof/>
              </w:rPr>
              <w:t xml:space="preserve"> </w:t>
            </w:r>
          </w:p>
        </w:tc>
        <w:tc>
          <w:tcPr>
            <w:tcW w:w="488" w:type="pct"/>
            <w:tcBorders>
              <w:top w:val="single" w:sz="4" w:space="0" w:color="auto"/>
              <w:left w:val="single" w:sz="4" w:space="0" w:color="auto"/>
              <w:bottom w:val="single" w:sz="4" w:space="0" w:color="auto"/>
              <w:right w:val="single" w:sz="4" w:space="0" w:color="auto"/>
            </w:tcBorders>
            <w:shd w:val="clear" w:color="auto" w:fill="E7E6E6"/>
            <w:vAlign w:val="center"/>
            <w:hideMark/>
          </w:tcPr>
          <w:p>
            <w:pPr>
              <w:rPr>
                <w:b/>
                <w:bCs/>
                <w:noProof/>
              </w:rPr>
            </w:pPr>
            <w:r>
              <w:rPr>
                <w:b/>
                <w:bCs/>
                <w:i/>
                <w:iCs/>
                <w:noProof/>
              </w:rPr>
              <w:t>Noter</w:t>
            </w:r>
            <w:r>
              <w:rPr>
                <w:b/>
                <w:bCs/>
                <w:i/>
                <w:iCs/>
                <w:noProof/>
                <w:vertAlign w:val="superscript"/>
              </w:rPr>
              <w:t>8</w:t>
            </w:r>
          </w:p>
        </w:tc>
      </w:tr>
      <w:tr>
        <w:tc>
          <w:tcPr>
            <w:tcW w:w="710" w:type="pct"/>
            <w:tcBorders>
              <w:top w:val="single" w:sz="4" w:space="0" w:color="auto"/>
              <w:left w:val="single" w:sz="4" w:space="0" w:color="auto"/>
              <w:bottom w:val="single" w:sz="4" w:space="0" w:color="auto"/>
              <w:right w:val="single" w:sz="4" w:space="0" w:color="auto"/>
            </w:tcBorders>
            <w:hideMark/>
          </w:tcPr>
          <w:p>
            <w:pPr>
              <w:rPr>
                <w:i/>
                <w:iCs/>
                <w:noProof/>
              </w:rPr>
            </w:pPr>
            <w:r>
              <w:rPr>
                <w:i/>
                <w:iCs/>
                <w:noProof/>
              </w:rPr>
              <w:t>[angiv]</w:t>
            </w:r>
          </w:p>
        </w:tc>
        <w:tc>
          <w:tcPr>
            <w:tcW w:w="532" w:type="pct"/>
            <w:tcBorders>
              <w:top w:val="single" w:sz="4" w:space="0" w:color="auto"/>
              <w:left w:val="single" w:sz="4" w:space="0" w:color="auto"/>
              <w:bottom w:val="single" w:sz="4" w:space="0" w:color="auto"/>
              <w:right w:val="single" w:sz="4" w:space="0" w:color="auto"/>
            </w:tcBorders>
          </w:tcPr>
          <w:p>
            <w:pPr>
              <w:rPr>
                <w:noProof/>
                <w:lang w:eastAsia="fr-FR"/>
              </w:rPr>
            </w:pPr>
          </w:p>
        </w:tc>
        <w:tc>
          <w:tcPr>
            <w:tcW w:w="664" w:type="pct"/>
            <w:tcBorders>
              <w:top w:val="single" w:sz="4" w:space="0" w:color="auto"/>
              <w:left w:val="single" w:sz="4" w:space="0" w:color="auto"/>
              <w:bottom w:val="single" w:sz="4" w:space="0" w:color="auto"/>
              <w:right w:val="single" w:sz="4" w:space="0" w:color="auto"/>
            </w:tcBorders>
          </w:tcPr>
          <w:p>
            <w:pPr>
              <w:rPr>
                <w:noProof/>
              </w:rPr>
            </w:pPr>
          </w:p>
        </w:tc>
        <w:tc>
          <w:tcPr>
            <w:tcW w:w="514" w:type="pct"/>
            <w:tcBorders>
              <w:top w:val="single" w:sz="4" w:space="0" w:color="auto"/>
              <w:left w:val="single" w:sz="4" w:space="0" w:color="auto"/>
              <w:bottom w:val="single" w:sz="4" w:space="0" w:color="auto"/>
              <w:right w:val="single" w:sz="4" w:space="0" w:color="auto"/>
            </w:tcBorders>
          </w:tcPr>
          <w:p>
            <w:pPr>
              <w:rPr>
                <w:noProof/>
              </w:rPr>
            </w:pPr>
          </w:p>
        </w:tc>
        <w:tc>
          <w:tcPr>
            <w:tcW w:w="488" w:type="pct"/>
            <w:tcBorders>
              <w:top w:val="single" w:sz="4" w:space="0" w:color="auto"/>
              <w:left w:val="single" w:sz="4" w:space="0" w:color="auto"/>
              <w:bottom w:val="single" w:sz="4" w:space="0" w:color="auto"/>
              <w:right w:val="single" w:sz="4" w:space="0" w:color="auto"/>
            </w:tcBorders>
          </w:tcPr>
          <w:p>
            <w:pPr>
              <w:rPr>
                <w:noProof/>
              </w:rPr>
            </w:pPr>
          </w:p>
        </w:tc>
        <w:tc>
          <w:tcPr>
            <w:tcW w:w="905" w:type="pct"/>
            <w:tcBorders>
              <w:top w:val="single" w:sz="4" w:space="0" w:color="auto"/>
              <w:left w:val="single" w:sz="4" w:space="0" w:color="auto"/>
              <w:bottom w:val="single" w:sz="4" w:space="0" w:color="auto"/>
              <w:right w:val="single" w:sz="4" w:space="0" w:color="auto"/>
            </w:tcBorders>
          </w:tcPr>
          <w:p>
            <w:pPr>
              <w:rPr>
                <w:noProof/>
              </w:rPr>
            </w:pPr>
          </w:p>
        </w:tc>
        <w:tc>
          <w:tcPr>
            <w:tcW w:w="699" w:type="pct"/>
            <w:tcBorders>
              <w:top w:val="single" w:sz="4" w:space="0" w:color="auto"/>
              <w:left w:val="single" w:sz="4" w:space="0" w:color="auto"/>
              <w:bottom w:val="single" w:sz="4" w:space="0" w:color="auto"/>
              <w:right w:val="single" w:sz="4" w:space="0" w:color="auto"/>
            </w:tcBorders>
          </w:tcPr>
          <w:p>
            <w:pPr>
              <w:rPr>
                <w:noProof/>
              </w:rPr>
            </w:pPr>
          </w:p>
        </w:tc>
        <w:tc>
          <w:tcPr>
            <w:tcW w:w="488" w:type="pct"/>
            <w:tcBorders>
              <w:top w:val="single" w:sz="4" w:space="0" w:color="auto"/>
              <w:left w:val="single" w:sz="4" w:space="0" w:color="auto"/>
              <w:bottom w:val="single" w:sz="4" w:space="0" w:color="auto"/>
              <w:right w:val="single" w:sz="4" w:space="0" w:color="auto"/>
            </w:tcBorders>
          </w:tcPr>
          <w:p>
            <w:pPr>
              <w:rPr>
                <w:noProof/>
              </w:rPr>
            </w:pPr>
          </w:p>
        </w:tc>
      </w:tr>
    </w:tbl>
    <w:p>
      <w:pPr>
        <w:rPr>
          <w:iCs/>
          <w:noProof/>
          <w:sz w:val="18"/>
          <w:szCs w:val="18"/>
        </w:rPr>
      </w:pPr>
      <w:r>
        <w:rPr>
          <w:bCs/>
          <w:iCs/>
          <w:noProof/>
          <w:sz w:val="18"/>
          <w:szCs w:val="18"/>
        </w:rPr>
        <w:lastRenderedPageBreak/>
        <w:t>Noter til tabellen</w:t>
      </w:r>
      <w:r>
        <w:rPr>
          <w:iCs/>
          <w:noProof/>
          <w:sz w:val="18"/>
          <w:szCs w:val="18"/>
        </w:rPr>
        <w:t xml:space="preserve">: </w:t>
      </w:r>
    </w:p>
    <w:p>
      <w:pPr>
        <w:pStyle w:val="Point0number"/>
        <w:numPr>
          <w:ilvl w:val="0"/>
          <w:numId w:val="11"/>
        </w:numPr>
        <w:rPr>
          <w:noProof/>
          <w:sz w:val="18"/>
          <w:szCs w:val="18"/>
        </w:rPr>
      </w:pPr>
      <w:r>
        <w:rPr>
          <w:noProof/>
          <w:sz w:val="18"/>
          <w:szCs w:val="18"/>
        </w:rPr>
        <w:t xml:space="preserve">Angiv betegnelse og type foranstaltning. </w:t>
      </w:r>
    </w:p>
    <w:p>
      <w:pPr>
        <w:pStyle w:val="Point0number"/>
        <w:rPr>
          <w:noProof/>
          <w:sz w:val="18"/>
          <w:szCs w:val="18"/>
        </w:rPr>
      </w:pPr>
      <w:r>
        <w:rPr>
          <w:noProof/>
          <w:sz w:val="18"/>
          <w:szCs w:val="18"/>
        </w:rPr>
        <w:t xml:space="preserve">Oplys det antal år, foranstaltningen dækker. </w:t>
      </w:r>
    </w:p>
    <w:p>
      <w:pPr>
        <w:pStyle w:val="Point0number"/>
        <w:rPr>
          <w:noProof/>
          <w:sz w:val="18"/>
          <w:szCs w:val="18"/>
        </w:rPr>
      </w:pPr>
      <w:r>
        <w:rPr>
          <w:noProof/>
          <w:sz w:val="18"/>
          <w:szCs w:val="18"/>
        </w:rPr>
        <w:t xml:space="preserve">Angiv kun oplysninger om sektororienterede foranstaltninger. </w:t>
      </w:r>
    </w:p>
    <w:p>
      <w:pPr>
        <w:pStyle w:val="Point0number"/>
        <w:rPr>
          <w:noProof/>
          <w:sz w:val="18"/>
          <w:szCs w:val="18"/>
        </w:rPr>
      </w:pPr>
      <w:r>
        <w:rPr>
          <w:noProof/>
          <w:sz w:val="18"/>
          <w:szCs w:val="18"/>
        </w:rPr>
        <w:t>Angiv oplysninger om det samlede budget for foranstaltningen og kilderne til finansiering.</w:t>
      </w:r>
    </w:p>
    <w:p>
      <w:pPr>
        <w:pStyle w:val="Point0number"/>
        <w:rPr>
          <w:noProof/>
          <w:sz w:val="18"/>
          <w:szCs w:val="18"/>
        </w:rPr>
      </w:pPr>
      <w:r>
        <w:rPr>
          <w:noProof/>
          <w:sz w:val="18"/>
          <w:szCs w:val="18"/>
        </w:rPr>
        <w:t>Oplys den faktiske udgift for hvert år i overvågningsperioden (2019-2024), hvis den er tilgængelig.</w:t>
      </w:r>
    </w:p>
    <w:p>
      <w:pPr>
        <w:pStyle w:val="Point0number"/>
        <w:rPr>
          <w:noProof/>
          <w:sz w:val="18"/>
          <w:szCs w:val="18"/>
        </w:rPr>
      </w:pPr>
      <w:r>
        <w:rPr>
          <w:noProof/>
          <w:sz w:val="18"/>
          <w:szCs w:val="18"/>
        </w:rPr>
        <w:t>Angiv et tilnærmet skøn i % af det samlede budget.</w:t>
      </w:r>
    </w:p>
    <w:p>
      <w:pPr>
        <w:pStyle w:val="Point0number"/>
        <w:rPr>
          <w:noProof/>
          <w:sz w:val="18"/>
          <w:szCs w:val="18"/>
        </w:rPr>
      </w:pPr>
      <w:r>
        <w:rPr>
          <w:noProof/>
          <w:sz w:val="18"/>
          <w:szCs w:val="18"/>
        </w:rPr>
        <w:t xml:space="preserve">Angiv et tilnærmet skøn, hvor det er muligt. </w:t>
      </w:r>
    </w:p>
    <w:p>
      <w:pPr>
        <w:pStyle w:val="Point0number"/>
        <w:rPr>
          <w:noProof/>
          <w:sz w:val="18"/>
          <w:szCs w:val="18"/>
        </w:rPr>
      </w:pPr>
      <w:r>
        <w:rPr>
          <w:noProof/>
          <w:sz w:val="18"/>
          <w:szCs w:val="18"/>
        </w:rPr>
        <w:t xml:space="preserve">Anfør eventuelle kommentarer og forklaringer. </w:t>
      </w:r>
    </w:p>
    <w:p>
      <w:pPr>
        <w:rPr>
          <w:noProof/>
          <w:szCs w:val="20"/>
          <w:u w:val="single"/>
        </w:rPr>
      </w:pPr>
    </w:p>
    <w:p>
      <w:pPr>
        <w:pStyle w:val="NumPar1"/>
        <w:rPr>
          <w:noProof/>
          <w:u w:val="single"/>
        </w:rPr>
      </w:pPr>
      <w:r>
        <w:rPr>
          <w:noProof/>
          <w:u w:val="single"/>
        </w:rPr>
        <w:t>Virkning for det offentlige budget</w:t>
      </w:r>
      <w:r>
        <w:rPr>
          <w:noProof/>
        </w:rPr>
        <w:t>. De portugisiske myndigheder udfylder tabel 3 og anfører det samlede beløb (i EUR) for den afgift, som ikke opkræves på grund af den anvendte satsforskel.</w:t>
      </w:r>
    </w:p>
    <w:p>
      <w:pPr>
        <w:rPr>
          <w:noProof/>
        </w:rPr>
      </w:pPr>
      <w:r>
        <w:rPr>
          <w:noProof/>
        </w:rPr>
        <w:t>Tabel 3.</w:t>
      </w:r>
    </w:p>
    <w:tbl>
      <w:tblPr>
        <w:tblW w:w="0" w:type="auto"/>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09"/>
        <w:gridCol w:w="850"/>
        <w:gridCol w:w="851"/>
        <w:gridCol w:w="709"/>
        <w:gridCol w:w="708"/>
        <w:gridCol w:w="851"/>
      </w:tblGrid>
      <w:tr>
        <w:tc>
          <w:tcPr>
            <w:tcW w:w="2268" w:type="dxa"/>
            <w:tcBorders>
              <w:top w:val="single" w:sz="4" w:space="0" w:color="auto"/>
              <w:left w:val="single" w:sz="4" w:space="0" w:color="auto"/>
              <w:bottom w:val="single" w:sz="4" w:space="0" w:color="auto"/>
              <w:right w:val="single" w:sz="4" w:space="0" w:color="auto"/>
            </w:tcBorders>
          </w:tcPr>
          <w:p>
            <w:pPr>
              <w:rPr>
                <w:noProof/>
              </w:rPr>
            </w:pPr>
          </w:p>
        </w:tc>
        <w:tc>
          <w:tcPr>
            <w:tcW w:w="709" w:type="dxa"/>
            <w:tcBorders>
              <w:top w:val="single" w:sz="4" w:space="0" w:color="auto"/>
              <w:left w:val="single" w:sz="4" w:space="0" w:color="auto"/>
              <w:bottom w:val="single" w:sz="4" w:space="0" w:color="auto"/>
              <w:right w:val="single" w:sz="4" w:space="0" w:color="auto"/>
            </w:tcBorders>
            <w:hideMark/>
          </w:tcPr>
          <w:p>
            <w:pPr>
              <w:jc w:val="center"/>
              <w:rPr>
                <w:noProof/>
              </w:rPr>
            </w:pPr>
            <w:r>
              <w:rPr>
                <w:noProof/>
              </w:rPr>
              <w:t>2019</w:t>
            </w:r>
          </w:p>
        </w:tc>
        <w:tc>
          <w:tcPr>
            <w:tcW w:w="850" w:type="dxa"/>
            <w:tcBorders>
              <w:top w:val="single" w:sz="4" w:space="0" w:color="auto"/>
              <w:left w:val="single" w:sz="4" w:space="0" w:color="auto"/>
              <w:bottom w:val="single" w:sz="4" w:space="0" w:color="auto"/>
              <w:right w:val="single" w:sz="4" w:space="0" w:color="auto"/>
            </w:tcBorders>
            <w:hideMark/>
          </w:tcPr>
          <w:p>
            <w:pPr>
              <w:jc w:val="center"/>
              <w:rPr>
                <w:noProof/>
              </w:rPr>
            </w:pPr>
            <w:r>
              <w:rPr>
                <w:noProof/>
              </w:rPr>
              <w:t>2020</w:t>
            </w:r>
          </w:p>
        </w:tc>
        <w:tc>
          <w:tcPr>
            <w:tcW w:w="851" w:type="dxa"/>
            <w:tcBorders>
              <w:top w:val="single" w:sz="4" w:space="0" w:color="auto"/>
              <w:left w:val="single" w:sz="4" w:space="0" w:color="auto"/>
              <w:bottom w:val="single" w:sz="4" w:space="0" w:color="auto"/>
              <w:right w:val="single" w:sz="4" w:space="0" w:color="auto"/>
            </w:tcBorders>
            <w:hideMark/>
          </w:tcPr>
          <w:p>
            <w:pPr>
              <w:jc w:val="center"/>
              <w:rPr>
                <w:noProof/>
              </w:rPr>
            </w:pPr>
            <w:r>
              <w:rPr>
                <w:noProof/>
              </w:rPr>
              <w:t>2021</w:t>
            </w:r>
          </w:p>
        </w:tc>
        <w:tc>
          <w:tcPr>
            <w:tcW w:w="709" w:type="dxa"/>
            <w:tcBorders>
              <w:top w:val="single" w:sz="4" w:space="0" w:color="auto"/>
              <w:left w:val="single" w:sz="4" w:space="0" w:color="auto"/>
              <w:bottom w:val="single" w:sz="4" w:space="0" w:color="auto"/>
              <w:right w:val="single" w:sz="4" w:space="0" w:color="auto"/>
            </w:tcBorders>
            <w:hideMark/>
          </w:tcPr>
          <w:p>
            <w:pPr>
              <w:jc w:val="center"/>
              <w:rPr>
                <w:noProof/>
              </w:rPr>
            </w:pPr>
            <w:r>
              <w:rPr>
                <w:noProof/>
              </w:rPr>
              <w:t>2022</w:t>
            </w:r>
          </w:p>
        </w:tc>
        <w:tc>
          <w:tcPr>
            <w:tcW w:w="708" w:type="dxa"/>
            <w:tcBorders>
              <w:top w:val="single" w:sz="4" w:space="0" w:color="auto"/>
              <w:left w:val="single" w:sz="4" w:space="0" w:color="auto"/>
              <w:bottom w:val="single" w:sz="4" w:space="0" w:color="auto"/>
              <w:right w:val="single" w:sz="4" w:space="0" w:color="auto"/>
            </w:tcBorders>
            <w:hideMark/>
          </w:tcPr>
          <w:p>
            <w:pPr>
              <w:jc w:val="center"/>
              <w:rPr>
                <w:noProof/>
              </w:rPr>
            </w:pPr>
            <w:r>
              <w:rPr>
                <w:noProof/>
              </w:rPr>
              <w:t>2023</w:t>
            </w:r>
          </w:p>
        </w:tc>
        <w:tc>
          <w:tcPr>
            <w:tcW w:w="851" w:type="dxa"/>
            <w:tcBorders>
              <w:top w:val="single" w:sz="4" w:space="0" w:color="auto"/>
              <w:left w:val="single" w:sz="4" w:space="0" w:color="auto"/>
              <w:bottom w:val="single" w:sz="4" w:space="0" w:color="auto"/>
              <w:right w:val="single" w:sz="4" w:space="0" w:color="auto"/>
            </w:tcBorders>
            <w:hideMark/>
          </w:tcPr>
          <w:p>
            <w:pPr>
              <w:jc w:val="center"/>
              <w:rPr>
                <w:noProof/>
              </w:rPr>
            </w:pPr>
            <w:r>
              <w:rPr>
                <w:noProof/>
              </w:rPr>
              <w:t>2024</w:t>
            </w:r>
          </w:p>
        </w:tc>
      </w:tr>
      <w:tr>
        <w:tc>
          <w:tcPr>
            <w:tcW w:w="2268" w:type="dxa"/>
            <w:tcBorders>
              <w:top w:val="single" w:sz="4" w:space="0" w:color="auto"/>
              <w:left w:val="single" w:sz="4" w:space="0" w:color="auto"/>
              <w:bottom w:val="single" w:sz="4" w:space="0" w:color="auto"/>
              <w:right w:val="single" w:sz="4" w:space="0" w:color="auto"/>
            </w:tcBorders>
            <w:hideMark/>
          </w:tcPr>
          <w:p>
            <w:pPr>
              <w:rPr>
                <w:noProof/>
              </w:rPr>
            </w:pPr>
            <w:r>
              <w:rPr>
                <w:noProof/>
              </w:rPr>
              <w:t>Mistet afgiftsprovenu</w:t>
            </w:r>
          </w:p>
        </w:tc>
        <w:tc>
          <w:tcPr>
            <w:tcW w:w="709" w:type="dxa"/>
            <w:tcBorders>
              <w:top w:val="single" w:sz="4" w:space="0" w:color="auto"/>
              <w:left w:val="single" w:sz="4" w:space="0" w:color="auto"/>
              <w:bottom w:val="single" w:sz="4" w:space="0" w:color="auto"/>
              <w:right w:val="single" w:sz="4" w:space="0" w:color="auto"/>
            </w:tcBorders>
          </w:tcPr>
          <w:p>
            <w:pPr>
              <w:rPr>
                <w:noProof/>
              </w:rPr>
            </w:pPr>
          </w:p>
        </w:tc>
        <w:tc>
          <w:tcPr>
            <w:tcW w:w="850" w:type="dxa"/>
            <w:tcBorders>
              <w:top w:val="single" w:sz="4" w:space="0" w:color="auto"/>
              <w:left w:val="single" w:sz="4" w:space="0" w:color="auto"/>
              <w:bottom w:val="single" w:sz="4" w:space="0" w:color="auto"/>
              <w:right w:val="single" w:sz="4" w:space="0" w:color="auto"/>
            </w:tcBorders>
          </w:tcPr>
          <w:p>
            <w:pPr>
              <w:rPr>
                <w:noProof/>
              </w:rPr>
            </w:pPr>
          </w:p>
        </w:tc>
        <w:tc>
          <w:tcPr>
            <w:tcW w:w="851" w:type="dxa"/>
            <w:tcBorders>
              <w:top w:val="single" w:sz="4" w:space="0" w:color="auto"/>
              <w:left w:val="single" w:sz="4" w:space="0" w:color="auto"/>
              <w:bottom w:val="single" w:sz="4" w:space="0" w:color="auto"/>
              <w:right w:val="single" w:sz="4" w:space="0" w:color="auto"/>
            </w:tcBorders>
          </w:tcPr>
          <w:p>
            <w:pPr>
              <w:rPr>
                <w:noProof/>
              </w:rPr>
            </w:pPr>
          </w:p>
        </w:tc>
        <w:tc>
          <w:tcPr>
            <w:tcW w:w="709" w:type="dxa"/>
            <w:tcBorders>
              <w:top w:val="single" w:sz="4" w:space="0" w:color="auto"/>
              <w:left w:val="single" w:sz="4" w:space="0" w:color="auto"/>
              <w:bottom w:val="single" w:sz="4" w:space="0" w:color="auto"/>
              <w:right w:val="single" w:sz="4" w:space="0" w:color="auto"/>
            </w:tcBorders>
          </w:tcPr>
          <w:p>
            <w:pPr>
              <w:rPr>
                <w:noProof/>
              </w:rPr>
            </w:pPr>
          </w:p>
        </w:tc>
        <w:tc>
          <w:tcPr>
            <w:tcW w:w="708" w:type="dxa"/>
            <w:tcBorders>
              <w:top w:val="single" w:sz="4" w:space="0" w:color="auto"/>
              <w:left w:val="single" w:sz="4" w:space="0" w:color="auto"/>
              <w:bottom w:val="single" w:sz="4" w:space="0" w:color="auto"/>
              <w:right w:val="single" w:sz="4" w:space="0" w:color="auto"/>
            </w:tcBorders>
          </w:tcPr>
          <w:p>
            <w:pPr>
              <w:rPr>
                <w:noProof/>
              </w:rPr>
            </w:pPr>
          </w:p>
        </w:tc>
        <w:tc>
          <w:tcPr>
            <w:tcW w:w="851" w:type="dxa"/>
            <w:tcBorders>
              <w:top w:val="single" w:sz="4" w:space="0" w:color="auto"/>
              <w:left w:val="single" w:sz="4" w:space="0" w:color="auto"/>
              <w:bottom w:val="single" w:sz="4" w:space="0" w:color="auto"/>
              <w:right w:val="single" w:sz="4" w:space="0" w:color="auto"/>
            </w:tcBorders>
          </w:tcPr>
          <w:p>
            <w:pPr>
              <w:rPr>
                <w:noProof/>
              </w:rPr>
            </w:pPr>
          </w:p>
        </w:tc>
      </w:tr>
    </w:tbl>
    <w:p>
      <w:pPr>
        <w:rPr>
          <w:noProof/>
          <w:szCs w:val="20"/>
          <w:u w:val="single"/>
          <w:lang w:eastAsia="fr-FR"/>
        </w:rPr>
      </w:pPr>
    </w:p>
    <w:p>
      <w:pPr>
        <w:pStyle w:val="NumPar1"/>
        <w:rPr>
          <w:noProof/>
        </w:rPr>
      </w:pPr>
      <w:r>
        <w:rPr>
          <w:noProof/>
          <w:u w:val="single"/>
        </w:rPr>
        <w:t>Virkning for de samlede økonomiske resultater</w:t>
      </w:r>
      <w:r>
        <w:rPr>
          <w:noProof/>
        </w:rPr>
        <w:t>. De portugisiske myndigheder udfylder tabel 4 for hver region og anfører eventuelle data, der viser virkningen af de reducerede punktafgifter for regionernes socioøkonomiske udvikling. De indikatorer, som kræves i tabellen, henviser til den støttede sektors resultater sammenlignet med de generelle resultater for Madeiras økonomi og Azorernes økonomi. Hvis nogle af indikatorerne ikke er tilgængelige, anføres alternative rapporteringsdata om virkningen for de samlede økonomiske resultater, således at den socioøkonomiske virkning kan analyseres.</w:t>
      </w:r>
    </w:p>
    <w:p>
      <w:pPr>
        <w:rPr>
          <w:noProof/>
        </w:rPr>
      </w:pPr>
      <w:r>
        <w:rPr>
          <w:noProof/>
        </w:rPr>
        <w:t>Tabel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874"/>
        <w:gridCol w:w="874"/>
        <w:gridCol w:w="873"/>
        <w:gridCol w:w="873"/>
        <w:gridCol w:w="873"/>
        <w:gridCol w:w="873"/>
        <w:gridCol w:w="1044"/>
      </w:tblGrid>
      <w:tr>
        <w:tc>
          <w:tcPr>
            <w:tcW w:w="1617" w:type="pct"/>
            <w:tcBorders>
              <w:top w:val="single" w:sz="4" w:space="0" w:color="auto"/>
              <w:left w:val="single" w:sz="4" w:space="0" w:color="auto"/>
              <w:bottom w:val="single" w:sz="4" w:space="0" w:color="auto"/>
              <w:right w:val="single" w:sz="4" w:space="0" w:color="auto"/>
            </w:tcBorders>
            <w:shd w:val="clear" w:color="auto" w:fill="E7E6E6"/>
            <w:hideMark/>
          </w:tcPr>
          <w:p>
            <w:pPr>
              <w:jc w:val="right"/>
              <w:rPr>
                <w:b/>
                <w:bCs/>
                <w:noProof/>
              </w:rPr>
            </w:pPr>
            <w:r>
              <w:rPr>
                <w:b/>
                <w:bCs/>
                <w:noProof/>
              </w:rPr>
              <w:t>År</w:t>
            </w:r>
            <w:r>
              <w:rPr>
                <w:b/>
                <w:bCs/>
                <w:noProof/>
                <w:vertAlign w:val="superscript"/>
              </w:rPr>
              <w:t>2</w:t>
            </w:r>
          </w:p>
        </w:tc>
        <w:tc>
          <w:tcPr>
            <w:tcW w:w="470" w:type="pct"/>
            <w:tcBorders>
              <w:top w:val="single" w:sz="4" w:space="0" w:color="auto"/>
              <w:left w:val="single" w:sz="4" w:space="0" w:color="auto"/>
              <w:bottom w:val="single" w:sz="4" w:space="0" w:color="auto"/>
              <w:right w:val="single" w:sz="4" w:space="0" w:color="auto"/>
            </w:tcBorders>
            <w:shd w:val="clear" w:color="auto" w:fill="E7E6E6"/>
            <w:hideMark/>
          </w:tcPr>
          <w:p>
            <w:pPr>
              <w:jc w:val="center"/>
              <w:rPr>
                <w:b/>
                <w:bCs/>
                <w:noProof/>
              </w:rPr>
            </w:pPr>
            <w:r>
              <w:rPr>
                <w:b/>
                <w:bCs/>
                <w:noProof/>
              </w:rPr>
              <w:t>2019</w:t>
            </w:r>
          </w:p>
        </w:tc>
        <w:tc>
          <w:tcPr>
            <w:tcW w:w="470" w:type="pct"/>
            <w:tcBorders>
              <w:top w:val="single" w:sz="4" w:space="0" w:color="auto"/>
              <w:left w:val="single" w:sz="4" w:space="0" w:color="auto"/>
              <w:bottom w:val="single" w:sz="4" w:space="0" w:color="auto"/>
              <w:right w:val="single" w:sz="4" w:space="0" w:color="auto"/>
            </w:tcBorders>
            <w:shd w:val="clear" w:color="auto" w:fill="E7E6E6"/>
            <w:hideMark/>
          </w:tcPr>
          <w:p>
            <w:pPr>
              <w:jc w:val="center"/>
              <w:rPr>
                <w:b/>
                <w:bCs/>
                <w:noProof/>
              </w:rPr>
            </w:pPr>
            <w:r>
              <w:rPr>
                <w:b/>
                <w:bCs/>
                <w:noProof/>
              </w:rPr>
              <w:t>2020</w:t>
            </w:r>
          </w:p>
        </w:tc>
        <w:tc>
          <w:tcPr>
            <w:tcW w:w="470" w:type="pct"/>
            <w:tcBorders>
              <w:top w:val="single" w:sz="4" w:space="0" w:color="auto"/>
              <w:left w:val="single" w:sz="4" w:space="0" w:color="auto"/>
              <w:bottom w:val="single" w:sz="4" w:space="0" w:color="auto"/>
              <w:right w:val="single" w:sz="4" w:space="0" w:color="auto"/>
            </w:tcBorders>
            <w:shd w:val="clear" w:color="auto" w:fill="E7E6E6"/>
            <w:hideMark/>
          </w:tcPr>
          <w:p>
            <w:pPr>
              <w:jc w:val="center"/>
              <w:rPr>
                <w:b/>
                <w:bCs/>
                <w:noProof/>
              </w:rPr>
            </w:pPr>
            <w:r>
              <w:rPr>
                <w:b/>
                <w:bCs/>
                <w:noProof/>
              </w:rPr>
              <w:t>2021</w:t>
            </w:r>
          </w:p>
        </w:tc>
        <w:tc>
          <w:tcPr>
            <w:tcW w:w="470" w:type="pct"/>
            <w:tcBorders>
              <w:top w:val="single" w:sz="4" w:space="0" w:color="auto"/>
              <w:left w:val="single" w:sz="4" w:space="0" w:color="auto"/>
              <w:bottom w:val="single" w:sz="4" w:space="0" w:color="auto"/>
              <w:right w:val="single" w:sz="4" w:space="0" w:color="auto"/>
            </w:tcBorders>
            <w:shd w:val="clear" w:color="auto" w:fill="E7E6E6"/>
            <w:hideMark/>
          </w:tcPr>
          <w:p>
            <w:pPr>
              <w:jc w:val="center"/>
              <w:rPr>
                <w:b/>
                <w:bCs/>
                <w:noProof/>
              </w:rPr>
            </w:pPr>
            <w:r>
              <w:rPr>
                <w:b/>
                <w:bCs/>
                <w:noProof/>
              </w:rPr>
              <w:t>2022</w:t>
            </w:r>
          </w:p>
        </w:tc>
        <w:tc>
          <w:tcPr>
            <w:tcW w:w="470" w:type="pct"/>
            <w:tcBorders>
              <w:top w:val="single" w:sz="4" w:space="0" w:color="auto"/>
              <w:left w:val="single" w:sz="4" w:space="0" w:color="auto"/>
              <w:bottom w:val="single" w:sz="4" w:space="0" w:color="auto"/>
              <w:right w:val="single" w:sz="4" w:space="0" w:color="auto"/>
            </w:tcBorders>
            <w:shd w:val="clear" w:color="auto" w:fill="E7E6E6"/>
            <w:hideMark/>
          </w:tcPr>
          <w:p>
            <w:pPr>
              <w:jc w:val="center"/>
              <w:rPr>
                <w:b/>
                <w:bCs/>
                <w:noProof/>
              </w:rPr>
            </w:pPr>
            <w:r>
              <w:rPr>
                <w:b/>
                <w:bCs/>
                <w:noProof/>
              </w:rPr>
              <w:t>2023</w:t>
            </w:r>
          </w:p>
        </w:tc>
        <w:tc>
          <w:tcPr>
            <w:tcW w:w="470" w:type="pct"/>
            <w:tcBorders>
              <w:top w:val="single" w:sz="4" w:space="0" w:color="auto"/>
              <w:left w:val="single" w:sz="4" w:space="0" w:color="auto"/>
              <w:bottom w:val="single" w:sz="4" w:space="0" w:color="auto"/>
              <w:right w:val="single" w:sz="4" w:space="0" w:color="auto"/>
            </w:tcBorders>
            <w:shd w:val="clear" w:color="auto" w:fill="E7E6E6"/>
            <w:hideMark/>
          </w:tcPr>
          <w:p>
            <w:pPr>
              <w:jc w:val="center"/>
              <w:rPr>
                <w:b/>
                <w:bCs/>
                <w:noProof/>
              </w:rPr>
            </w:pPr>
            <w:r>
              <w:rPr>
                <w:b/>
                <w:bCs/>
                <w:noProof/>
              </w:rPr>
              <w:t>2024</w:t>
            </w:r>
          </w:p>
        </w:tc>
        <w:tc>
          <w:tcPr>
            <w:tcW w:w="562" w:type="pct"/>
            <w:tcBorders>
              <w:top w:val="single" w:sz="4" w:space="0" w:color="auto"/>
              <w:left w:val="single" w:sz="4" w:space="0" w:color="auto"/>
              <w:bottom w:val="single" w:sz="4" w:space="0" w:color="auto"/>
              <w:right w:val="single" w:sz="4" w:space="0" w:color="auto"/>
            </w:tcBorders>
            <w:shd w:val="clear" w:color="auto" w:fill="E7E6E6"/>
            <w:hideMark/>
          </w:tcPr>
          <w:p>
            <w:pPr>
              <w:jc w:val="center"/>
              <w:rPr>
                <w:noProof/>
              </w:rPr>
            </w:pPr>
            <w:r>
              <w:rPr>
                <w:b/>
                <w:bCs/>
                <w:i/>
                <w:iCs/>
                <w:noProof/>
              </w:rPr>
              <w:t>Noter</w:t>
            </w:r>
            <w:r>
              <w:rPr>
                <w:b/>
                <w:bCs/>
                <w:i/>
                <w:iCs/>
                <w:noProof/>
                <w:vertAlign w:val="superscript"/>
              </w:rPr>
              <w:t>3</w:t>
            </w:r>
          </w:p>
        </w:tc>
      </w:tr>
      <w:tr>
        <w:tc>
          <w:tcPr>
            <w:tcW w:w="1617" w:type="pct"/>
            <w:tcBorders>
              <w:top w:val="single" w:sz="4" w:space="0" w:color="auto"/>
              <w:left w:val="single" w:sz="4" w:space="0" w:color="auto"/>
              <w:bottom w:val="single" w:sz="4" w:space="0" w:color="auto"/>
              <w:right w:val="single" w:sz="4" w:space="0" w:color="auto"/>
            </w:tcBorders>
            <w:hideMark/>
          </w:tcPr>
          <w:p>
            <w:pPr>
              <w:rPr>
                <w:noProof/>
              </w:rPr>
            </w:pPr>
            <w:r>
              <w:rPr>
                <w:noProof/>
              </w:rPr>
              <w:t xml:space="preserve">Regional bruttoværditilvækst </w:t>
            </w:r>
          </w:p>
        </w:tc>
        <w:tc>
          <w:tcPr>
            <w:tcW w:w="470" w:type="pct"/>
            <w:tcBorders>
              <w:top w:val="single" w:sz="4" w:space="0" w:color="auto"/>
              <w:left w:val="single" w:sz="4" w:space="0" w:color="auto"/>
              <w:bottom w:val="single" w:sz="4" w:space="0" w:color="auto"/>
              <w:right w:val="single" w:sz="4" w:space="0" w:color="auto"/>
            </w:tcBorders>
          </w:tcPr>
          <w:p>
            <w:pPr>
              <w:jc w:val="center"/>
              <w:rPr>
                <w:noProof/>
              </w:rPr>
            </w:pPr>
          </w:p>
        </w:tc>
        <w:tc>
          <w:tcPr>
            <w:tcW w:w="470" w:type="pct"/>
            <w:tcBorders>
              <w:top w:val="single" w:sz="4" w:space="0" w:color="auto"/>
              <w:left w:val="single" w:sz="4" w:space="0" w:color="auto"/>
              <w:bottom w:val="single" w:sz="4" w:space="0" w:color="auto"/>
              <w:right w:val="single" w:sz="4" w:space="0" w:color="auto"/>
            </w:tcBorders>
          </w:tcPr>
          <w:p>
            <w:pPr>
              <w:jc w:val="center"/>
              <w:rPr>
                <w:noProof/>
              </w:rPr>
            </w:pPr>
          </w:p>
        </w:tc>
        <w:tc>
          <w:tcPr>
            <w:tcW w:w="470" w:type="pct"/>
            <w:tcBorders>
              <w:top w:val="single" w:sz="4" w:space="0" w:color="auto"/>
              <w:left w:val="single" w:sz="4" w:space="0" w:color="auto"/>
              <w:bottom w:val="single" w:sz="4" w:space="0" w:color="auto"/>
              <w:right w:val="single" w:sz="4" w:space="0" w:color="auto"/>
            </w:tcBorders>
          </w:tcPr>
          <w:p>
            <w:pPr>
              <w:jc w:val="center"/>
              <w:rPr>
                <w:noProof/>
              </w:rPr>
            </w:pPr>
          </w:p>
        </w:tc>
        <w:tc>
          <w:tcPr>
            <w:tcW w:w="470" w:type="pct"/>
            <w:tcBorders>
              <w:top w:val="single" w:sz="4" w:space="0" w:color="auto"/>
              <w:left w:val="single" w:sz="4" w:space="0" w:color="auto"/>
              <w:bottom w:val="single" w:sz="4" w:space="0" w:color="auto"/>
              <w:right w:val="single" w:sz="4" w:space="0" w:color="auto"/>
            </w:tcBorders>
          </w:tcPr>
          <w:p>
            <w:pPr>
              <w:jc w:val="center"/>
              <w:rPr>
                <w:noProof/>
              </w:rPr>
            </w:pPr>
          </w:p>
        </w:tc>
        <w:tc>
          <w:tcPr>
            <w:tcW w:w="470" w:type="pct"/>
            <w:tcBorders>
              <w:top w:val="single" w:sz="4" w:space="0" w:color="auto"/>
              <w:left w:val="single" w:sz="4" w:space="0" w:color="auto"/>
              <w:bottom w:val="single" w:sz="4" w:space="0" w:color="auto"/>
              <w:right w:val="single" w:sz="4" w:space="0" w:color="auto"/>
            </w:tcBorders>
          </w:tcPr>
          <w:p>
            <w:pPr>
              <w:jc w:val="center"/>
              <w:rPr>
                <w:noProof/>
              </w:rPr>
            </w:pPr>
          </w:p>
        </w:tc>
        <w:tc>
          <w:tcPr>
            <w:tcW w:w="470" w:type="pct"/>
            <w:tcBorders>
              <w:top w:val="single" w:sz="4" w:space="0" w:color="auto"/>
              <w:left w:val="single" w:sz="4" w:space="0" w:color="auto"/>
              <w:bottom w:val="single" w:sz="4" w:space="0" w:color="auto"/>
              <w:right w:val="single" w:sz="4" w:space="0" w:color="auto"/>
            </w:tcBorders>
          </w:tcPr>
          <w:p>
            <w:pPr>
              <w:jc w:val="center"/>
              <w:rPr>
                <w:noProof/>
              </w:rPr>
            </w:pPr>
          </w:p>
        </w:tc>
        <w:tc>
          <w:tcPr>
            <w:tcW w:w="562" w:type="pct"/>
            <w:tcBorders>
              <w:top w:val="single" w:sz="4" w:space="0" w:color="auto"/>
              <w:left w:val="single" w:sz="4" w:space="0" w:color="auto"/>
              <w:bottom w:val="single" w:sz="4" w:space="0" w:color="auto"/>
              <w:right w:val="single" w:sz="4" w:space="0" w:color="auto"/>
            </w:tcBorders>
          </w:tcPr>
          <w:p>
            <w:pPr>
              <w:jc w:val="center"/>
              <w:rPr>
                <w:noProof/>
              </w:rPr>
            </w:pPr>
          </w:p>
        </w:tc>
      </w:tr>
      <w:tr>
        <w:tc>
          <w:tcPr>
            <w:tcW w:w="1617" w:type="pct"/>
            <w:tcBorders>
              <w:top w:val="single" w:sz="4" w:space="0" w:color="auto"/>
              <w:left w:val="single" w:sz="4" w:space="0" w:color="auto"/>
              <w:bottom w:val="single" w:sz="4" w:space="0" w:color="auto"/>
              <w:right w:val="single" w:sz="4" w:space="0" w:color="auto"/>
            </w:tcBorders>
            <w:hideMark/>
          </w:tcPr>
          <w:p>
            <w:pPr>
              <w:pStyle w:val="ListParagraph"/>
              <w:numPr>
                <w:ilvl w:val="0"/>
                <w:numId w:val="1"/>
              </w:numPr>
              <w:rPr>
                <w:rFonts w:ascii="Times New Roman" w:hAnsi="Times New Roman" w:cs="Times New Roman"/>
                <w:i/>
                <w:iCs/>
                <w:noProof/>
              </w:rPr>
            </w:pPr>
            <w:r>
              <w:rPr>
                <w:rFonts w:ascii="Times New Roman" w:hAnsi="Times New Roman"/>
                <w:i/>
                <w:iCs/>
                <w:noProof/>
              </w:rPr>
              <w:t>I den støttede sektor</w:t>
            </w:r>
            <w:r>
              <w:rPr>
                <w:rFonts w:ascii="Times New Roman" w:hAnsi="Times New Roman"/>
                <w:i/>
                <w:iCs/>
                <w:noProof/>
                <w:vertAlign w:val="superscript"/>
              </w:rPr>
              <w:t>1</w:t>
            </w:r>
          </w:p>
        </w:tc>
        <w:tc>
          <w:tcPr>
            <w:tcW w:w="470" w:type="pct"/>
            <w:tcBorders>
              <w:top w:val="single" w:sz="4" w:space="0" w:color="auto"/>
              <w:left w:val="single" w:sz="4" w:space="0" w:color="auto"/>
              <w:bottom w:val="single" w:sz="4" w:space="0" w:color="auto"/>
              <w:right w:val="single" w:sz="4" w:space="0" w:color="auto"/>
            </w:tcBorders>
          </w:tcPr>
          <w:p>
            <w:pPr>
              <w:jc w:val="center"/>
              <w:rPr>
                <w:noProof/>
              </w:rPr>
            </w:pPr>
          </w:p>
        </w:tc>
        <w:tc>
          <w:tcPr>
            <w:tcW w:w="470" w:type="pct"/>
            <w:tcBorders>
              <w:top w:val="single" w:sz="4" w:space="0" w:color="auto"/>
              <w:left w:val="single" w:sz="4" w:space="0" w:color="auto"/>
              <w:bottom w:val="single" w:sz="4" w:space="0" w:color="auto"/>
              <w:right w:val="single" w:sz="4" w:space="0" w:color="auto"/>
            </w:tcBorders>
          </w:tcPr>
          <w:p>
            <w:pPr>
              <w:jc w:val="center"/>
              <w:rPr>
                <w:noProof/>
              </w:rPr>
            </w:pPr>
          </w:p>
        </w:tc>
        <w:tc>
          <w:tcPr>
            <w:tcW w:w="470" w:type="pct"/>
            <w:tcBorders>
              <w:top w:val="single" w:sz="4" w:space="0" w:color="auto"/>
              <w:left w:val="single" w:sz="4" w:space="0" w:color="auto"/>
              <w:bottom w:val="single" w:sz="4" w:space="0" w:color="auto"/>
              <w:right w:val="single" w:sz="4" w:space="0" w:color="auto"/>
            </w:tcBorders>
          </w:tcPr>
          <w:p>
            <w:pPr>
              <w:jc w:val="center"/>
              <w:rPr>
                <w:noProof/>
              </w:rPr>
            </w:pPr>
          </w:p>
        </w:tc>
        <w:tc>
          <w:tcPr>
            <w:tcW w:w="470" w:type="pct"/>
            <w:tcBorders>
              <w:top w:val="single" w:sz="4" w:space="0" w:color="auto"/>
              <w:left w:val="single" w:sz="4" w:space="0" w:color="auto"/>
              <w:bottom w:val="single" w:sz="4" w:space="0" w:color="auto"/>
              <w:right w:val="single" w:sz="4" w:space="0" w:color="auto"/>
            </w:tcBorders>
          </w:tcPr>
          <w:p>
            <w:pPr>
              <w:jc w:val="center"/>
              <w:rPr>
                <w:noProof/>
              </w:rPr>
            </w:pPr>
          </w:p>
        </w:tc>
        <w:tc>
          <w:tcPr>
            <w:tcW w:w="470" w:type="pct"/>
            <w:tcBorders>
              <w:top w:val="single" w:sz="4" w:space="0" w:color="auto"/>
              <w:left w:val="single" w:sz="4" w:space="0" w:color="auto"/>
              <w:bottom w:val="single" w:sz="4" w:space="0" w:color="auto"/>
              <w:right w:val="single" w:sz="4" w:space="0" w:color="auto"/>
            </w:tcBorders>
          </w:tcPr>
          <w:p>
            <w:pPr>
              <w:jc w:val="center"/>
              <w:rPr>
                <w:noProof/>
              </w:rPr>
            </w:pPr>
          </w:p>
        </w:tc>
        <w:tc>
          <w:tcPr>
            <w:tcW w:w="470" w:type="pct"/>
            <w:tcBorders>
              <w:top w:val="single" w:sz="4" w:space="0" w:color="auto"/>
              <w:left w:val="single" w:sz="4" w:space="0" w:color="auto"/>
              <w:bottom w:val="single" w:sz="4" w:space="0" w:color="auto"/>
              <w:right w:val="single" w:sz="4" w:space="0" w:color="auto"/>
            </w:tcBorders>
          </w:tcPr>
          <w:p>
            <w:pPr>
              <w:jc w:val="center"/>
              <w:rPr>
                <w:noProof/>
              </w:rPr>
            </w:pPr>
          </w:p>
        </w:tc>
        <w:tc>
          <w:tcPr>
            <w:tcW w:w="562" w:type="pct"/>
            <w:tcBorders>
              <w:top w:val="single" w:sz="4" w:space="0" w:color="auto"/>
              <w:left w:val="single" w:sz="4" w:space="0" w:color="auto"/>
              <w:bottom w:val="single" w:sz="4" w:space="0" w:color="auto"/>
              <w:right w:val="single" w:sz="4" w:space="0" w:color="auto"/>
            </w:tcBorders>
          </w:tcPr>
          <w:p>
            <w:pPr>
              <w:jc w:val="center"/>
              <w:rPr>
                <w:noProof/>
              </w:rPr>
            </w:pPr>
          </w:p>
        </w:tc>
      </w:tr>
      <w:tr>
        <w:tc>
          <w:tcPr>
            <w:tcW w:w="1617" w:type="pct"/>
            <w:tcBorders>
              <w:top w:val="single" w:sz="4" w:space="0" w:color="auto"/>
              <w:left w:val="single" w:sz="4" w:space="0" w:color="auto"/>
              <w:bottom w:val="single" w:sz="4" w:space="0" w:color="auto"/>
              <w:right w:val="single" w:sz="4" w:space="0" w:color="auto"/>
            </w:tcBorders>
            <w:hideMark/>
          </w:tcPr>
          <w:p>
            <w:pPr>
              <w:rPr>
                <w:noProof/>
              </w:rPr>
            </w:pPr>
            <w:r>
              <w:rPr>
                <w:noProof/>
              </w:rPr>
              <w:t xml:space="preserve">Samlet regional beskæftigelse </w:t>
            </w: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562" w:type="pct"/>
            <w:tcBorders>
              <w:top w:val="single" w:sz="4" w:space="0" w:color="auto"/>
              <w:left w:val="single" w:sz="4" w:space="0" w:color="auto"/>
              <w:bottom w:val="single" w:sz="4" w:space="0" w:color="auto"/>
              <w:right w:val="single" w:sz="4" w:space="0" w:color="auto"/>
            </w:tcBorders>
          </w:tcPr>
          <w:p>
            <w:pPr>
              <w:rPr>
                <w:noProof/>
              </w:rPr>
            </w:pPr>
          </w:p>
        </w:tc>
      </w:tr>
      <w:tr>
        <w:tc>
          <w:tcPr>
            <w:tcW w:w="1617" w:type="pct"/>
            <w:tcBorders>
              <w:top w:val="single" w:sz="4" w:space="0" w:color="auto"/>
              <w:left w:val="single" w:sz="4" w:space="0" w:color="auto"/>
              <w:bottom w:val="single" w:sz="4" w:space="0" w:color="auto"/>
              <w:right w:val="single" w:sz="4" w:space="0" w:color="auto"/>
            </w:tcBorders>
            <w:hideMark/>
          </w:tcPr>
          <w:p>
            <w:pPr>
              <w:pStyle w:val="ListParagraph"/>
              <w:numPr>
                <w:ilvl w:val="0"/>
                <w:numId w:val="1"/>
              </w:numPr>
              <w:rPr>
                <w:rFonts w:ascii="Times New Roman" w:hAnsi="Times New Roman" w:cs="Times New Roman"/>
                <w:i/>
                <w:iCs/>
                <w:noProof/>
              </w:rPr>
            </w:pPr>
            <w:r>
              <w:rPr>
                <w:rFonts w:ascii="Times New Roman" w:hAnsi="Times New Roman"/>
                <w:i/>
                <w:iCs/>
                <w:noProof/>
              </w:rPr>
              <w:t>I den støttede sektor</w:t>
            </w:r>
            <w:r>
              <w:rPr>
                <w:rFonts w:ascii="Times New Roman" w:hAnsi="Times New Roman"/>
                <w:i/>
                <w:iCs/>
                <w:noProof/>
                <w:vertAlign w:val="superscript"/>
              </w:rPr>
              <w:t>1</w:t>
            </w: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562" w:type="pct"/>
            <w:tcBorders>
              <w:top w:val="single" w:sz="4" w:space="0" w:color="auto"/>
              <w:left w:val="single" w:sz="4" w:space="0" w:color="auto"/>
              <w:bottom w:val="single" w:sz="4" w:space="0" w:color="auto"/>
              <w:right w:val="single" w:sz="4" w:space="0" w:color="auto"/>
            </w:tcBorders>
          </w:tcPr>
          <w:p>
            <w:pPr>
              <w:rPr>
                <w:noProof/>
              </w:rPr>
            </w:pPr>
          </w:p>
        </w:tc>
      </w:tr>
      <w:tr>
        <w:tc>
          <w:tcPr>
            <w:tcW w:w="1617" w:type="pct"/>
            <w:tcBorders>
              <w:top w:val="single" w:sz="4" w:space="0" w:color="auto"/>
              <w:left w:val="single" w:sz="4" w:space="0" w:color="auto"/>
              <w:bottom w:val="single" w:sz="4" w:space="0" w:color="auto"/>
              <w:right w:val="single" w:sz="4" w:space="0" w:color="auto"/>
            </w:tcBorders>
            <w:hideMark/>
          </w:tcPr>
          <w:p>
            <w:pPr>
              <w:rPr>
                <w:noProof/>
              </w:rPr>
            </w:pPr>
            <w:r>
              <w:rPr>
                <w:noProof/>
              </w:rPr>
              <w:t xml:space="preserve">Antal aktive producenter </w:t>
            </w: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562" w:type="pct"/>
            <w:tcBorders>
              <w:top w:val="single" w:sz="4" w:space="0" w:color="auto"/>
              <w:left w:val="single" w:sz="4" w:space="0" w:color="auto"/>
              <w:bottom w:val="single" w:sz="4" w:space="0" w:color="auto"/>
              <w:right w:val="single" w:sz="4" w:space="0" w:color="auto"/>
            </w:tcBorders>
          </w:tcPr>
          <w:p>
            <w:pPr>
              <w:rPr>
                <w:noProof/>
              </w:rPr>
            </w:pPr>
          </w:p>
        </w:tc>
      </w:tr>
      <w:tr>
        <w:tc>
          <w:tcPr>
            <w:tcW w:w="1617" w:type="pct"/>
            <w:tcBorders>
              <w:top w:val="single" w:sz="4" w:space="0" w:color="auto"/>
              <w:left w:val="single" w:sz="4" w:space="0" w:color="auto"/>
              <w:bottom w:val="single" w:sz="4" w:space="0" w:color="auto"/>
              <w:right w:val="single" w:sz="4" w:space="0" w:color="auto"/>
            </w:tcBorders>
            <w:hideMark/>
          </w:tcPr>
          <w:p>
            <w:pPr>
              <w:pStyle w:val="ListParagraph"/>
              <w:numPr>
                <w:ilvl w:val="0"/>
                <w:numId w:val="1"/>
              </w:numPr>
              <w:rPr>
                <w:rFonts w:ascii="Times New Roman" w:hAnsi="Times New Roman" w:cs="Times New Roman"/>
                <w:noProof/>
              </w:rPr>
            </w:pPr>
            <w:r>
              <w:rPr>
                <w:rFonts w:ascii="Times New Roman" w:hAnsi="Times New Roman"/>
                <w:i/>
                <w:iCs/>
                <w:noProof/>
              </w:rPr>
              <w:t>I den støttede sektor</w:t>
            </w:r>
            <w:r>
              <w:rPr>
                <w:rFonts w:ascii="Times New Roman" w:hAnsi="Times New Roman"/>
                <w:i/>
                <w:iCs/>
                <w:noProof/>
                <w:vertAlign w:val="superscript"/>
              </w:rPr>
              <w:t>1</w:t>
            </w: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562" w:type="pct"/>
            <w:tcBorders>
              <w:top w:val="single" w:sz="4" w:space="0" w:color="auto"/>
              <w:left w:val="single" w:sz="4" w:space="0" w:color="auto"/>
              <w:bottom w:val="single" w:sz="4" w:space="0" w:color="auto"/>
              <w:right w:val="single" w:sz="4" w:space="0" w:color="auto"/>
            </w:tcBorders>
          </w:tcPr>
          <w:p>
            <w:pPr>
              <w:rPr>
                <w:noProof/>
              </w:rPr>
            </w:pPr>
          </w:p>
        </w:tc>
      </w:tr>
      <w:tr>
        <w:tc>
          <w:tcPr>
            <w:tcW w:w="1617" w:type="pct"/>
            <w:tcBorders>
              <w:top w:val="single" w:sz="4" w:space="0" w:color="auto"/>
              <w:left w:val="single" w:sz="4" w:space="0" w:color="auto"/>
              <w:bottom w:val="single" w:sz="4" w:space="0" w:color="auto"/>
              <w:right w:val="single" w:sz="4" w:space="0" w:color="auto"/>
            </w:tcBorders>
            <w:hideMark/>
          </w:tcPr>
          <w:p>
            <w:pPr>
              <w:rPr>
                <w:noProof/>
              </w:rPr>
            </w:pPr>
            <w:r>
              <w:rPr>
                <w:noProof/>
              </w:rPr>
              <w:t>Prisniveauindekset for det portugisiske fastland</w:t>
            </w: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562" w:type="pct"/>
            <w:tcBorders>
              <w:top w:val="single" w:sz="4" w:space="0" w:color="auto"/>
              <w:left w:val="single" w:sz="4" w:space="0" w:color="auto"/>
              <w:bottom w:val="single" w:sz="4" w:space="0" w:color="auto"/>
              <w:right w:val="single" w:sz="4" w:space="0" w:color="auto"/>
            </w:tcBorders>
          </w:tcPr>
          <w:p>
            <w:pPr>
              <w:rPr>
                <w:noProof/>
              </w:rPr>
            </w:pPr>
          </w:p>
        </w:tc>
      </w:tr>
      <w:tr>
        <w:tc>
          <w:tcPr>
            <w:tcW w:w="1617" w:type="pct"/>
            <w:tcBorders>
              <w:top w:val="single" w:sz="4" w:space="0" w:color="auto"/>
              <w:left w:val="single" w:sz="4" w:space="0" w:color="auto"/>
              <w:bottom w:val="single" w:sz="4" w:space="0" w:color="auto"/>
              <w:right w:val="single" w:sz="4" w:space="0" w:color="auto"/>
            </w:tcBorders>
            <w:hideMark/>
          </w:tcPr>
          <w:p>
            <w:pPr>
              <w:rPr>
                <w:noProof/>
              </w:rPr>
            </w:pPr>
            <w:r>
              <w:rPr>
                <w:noProof/>
              </w:rPr>
              <w:t xml:space="preserve">Prisniveauindekset for regionen </w:t>
            </w: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562" w:type="pct"/>
            <w:tcBorders>
              <w:top w:val="single" w:sz="4" w:space="0" w:color="auto"/>
              <w:left w:val="single" w:sz="4" w:space="0" w:color="auto"/>
              <w:bottom w:val="single" w:sz="4" w:space="0" w:color="auto"/>
              <w:right w:val="single" w:sz="4" w:space="0" w:color="auto"/>
            </w:tcBorders>
          </w:tcPr>
          <w:p>
            <w:pPr>
              <w:rPr>
                <w:noProof/>
              </w:rPr>
            </w:pPr>
          </w:p>
        </w:tc>
      </w:tr>
      <w:tr>
        <w:tc>
          <w:tcPr>
            <w:tcW w:w="1617" w:type="pct"/>
            <w:tcBorders>
              <w:top w:val="single" w:sz="4" w:space="0" w:color="auto"/>
              <w:left w:val="single" w:sz="4" w:space="0" w:color="auto"/>
              <w:bottom w:val="single" w:sz="4" w:space="0" w:color="auto"/>
              <w:right w:val="single" w:sz="4" w:space="0" w:color="auto"/>
            </w:tcBorders>
            <w:hideMark/>
          </w:tcPr>
          <w:p>
            <w:pPr>
              <w:rPr>
                <w:noProof/>
              </w:rPr>
            </w:pPr>
            <w:r>
              <w:rPr>
                <w:noProof/>
              </w:rPr>
              <w:t>Antal turister i regionen</w:t>
            </w: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562" w:type="pct"/>
            <w:tcBorders>
              <w:top w:val="single" w:sz="4" w:space="0" w:color="auto"/>
              <w:left w:val="single" w:sz="4" w:space="0" w:color="auto"/>
              <w:bottom w:val="single" w:sz="4" w:space="0" w:color="auto"/>
              <w:right w:val="single" w:sz="4" w:space="0" w:color="auto"/>
            </w:tcBorders>
          </w:tcPr>
          <w:p>
            <w:pPr>
              <w:rPr>
                <w:noProof/>
              </w:rPr>
            </w:pPr>
          </w:p>
        </w:tc>
      </w:tr>
    </w:tbl>
    <w:p>
      <w:pPr>
        <w:rPr>
          <w:iCs/>
          <w:noProof/>
          <w:sz w:val="18"/>
          <w:szCs w:val="18"/>
        </w:rPr>
      </w:pPr>
      <w:r>
        <w:rPr>
          <w:bCs/>
          <w:iCs/>
          <w:noProof/>
          <w:sz w:val="18"/>
          <w:szCs w:val="18"/>
        </w:rPr>
        <w:t>Noter til tabellen</w:t>
      </w:r>
      <w:r>
        <w:rPr>
          <w:iCs/>
          <w:noProof/>
          <w:sz w:val="18"/>
          <w:szCs w:val="18"/>
        </w:rPr>
        <w:t xml:space="preserve">: </w:t>
      </w:r>
    </w:p>
    <w:p>
      <w:pPr>
        <w:pStyle w:val="Point0number"/>
        <w:rPr>
          <w:noProof/>
          <w:sz w:val="18"/>
          <w:szCs w:val="18"/>
        </w:rPr>
      </w:pPr>
      <w:r>
        <w:rPr>
          <w:noProof/>
          <w:sz w:val="18"/>
          <w:szCs w:val="18"/>
        </w:rPr>
        <w:t xml:space="preserve">Angiv oplysninger om producenter af rom, likører og brændevin.    </w:t>
      </w:r>
    </w:p>
    <w:p>
      <w:pPr>
        <w:pStyle w:val="Point0number"/>
        <w:rPr>
          <w:noProof/>
          <w:sz w:val="18"/>
          <w:szCs w:val="18"/>
        </w:rPr>
      </w:pPr>
      <w:r>
        <w:rPr>
          <w:noProof/>
          <w:sz w:val="18"/>
          <w:szCs w:val="18"/>
        </w:rPr>
        <w:t>Oplysningerne er måske ikke tilgængelige for alle år på listen.</w:t>
      </w:r>
    </w:p>
    <w:p>
      <w:pPr>
        <w:pStyle w:val="Point0number"/>
        <w:rPr>
          <w:noProof/>
          <w:sz w:val="18"/>
          <w:szCs w:val="18"/>
        </w:rPr>
      </w:pPr>
      <w:r>
        <w:rPr>
          <w:noProof/>
          <w:sz w:val="18"/>
          <w:szCs w:val="18"/>
        </w:rPr>
        <w:t>Anfør kommentarer og forklaringer i relevant omfang.</w:t>
      </w:r>
    </w:p>
    <w:p>
      <w:pPr>
        <w:pStyle w:val="ListParagraph"/>
        <w:rPr>
          <w:rFonts w:ascii="Times New Roman" w:hAnsi="Times New Roman" w:cs="Times New Roman"/>
          <w:noProof/>
        </w:rPr>
      </w:pPr>
    </w:p>
    <w:p>
      <w:pPr>
        <w:pStyle w:val="NumPar1"/>
        <w:rPr>
          <w:noProof/>
        </w:rPr>
      </w:pPr>
      <w:r>
        <w:rPr>
          <w:noProof/>
          <w:u w:val="single"/>
        </w:rPr>
        <w:t>Specifikationer for ordningen</w:t>
      </w:r>
      <w:r>
        <w:rPr>
          <w:noProof/>
        </w:rPr>
        <w:t xml:space="preserve">. De portugisiske myndigheder udfylder tabel 5 for hvert produkt og for hver af de to regioner Madeira og Azorerne. </w:t>
      </w:r>
    </w:p>
    <w:p>
      <w:pPr>
        <w:rPr>
          <w:noProof/>
        </w:rPr>
      </w:pPr>
      <w:r>
        <w:rPr>
          <w:noProof/>
        </w:rPr>
        <w:t>Tabel 5.</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9"/>
        <w:gridCol w:w="696"/>
        <w:gridCol w:w="696"/>
        <w:gridCol w:w="707"/>
        <w:gridCol w:w="707"/>
        <w:gridCol w:w="707"/>
        <w:gridCol w:w="706"/>
      </w:tblGrid>
      <w:tr>
        <w:tc>
          <w:tcPr>
            <w:tcW w:w="4569" w:type="dxa"/>
            <w:tcBorders>
              <w:top w:val="single" w:sz="4" w:space="0" w:color="auto"/>
              <w:left w:val="single" w:sz="4" w:space="0" w:color="auto"/>
              <w:bottom w:val="single" w:sz="4" w:space="0" w:color="auto"/>
              <w:right w:val="single" w:sz="4" w:space="0" w:color="auto"/>
            </w:tcBorders>
            <w:hideMark/>
          </w:tcPr>
          <w:p>
            <w:pPr>
              <w:jc w:val="center"/>
              <w:rPr>
                <w:noProof/>
              </w:rPr>
            </w:pPr>
            <w:r>
              <w:rPr>
                <w:noProof/>
              </w:rPr>
              <w:t>Mængde (i hlpa</w:t>
            </w:r>
            <w:r>
              <w:rPr>
                <w:noProof/>
                <w:vertAlign w:val="superscript"/>
              </w:rPr>
              <w:t>1</w:t>
            </w:r>
            <w:r>
              <w:rPr>
                <w:noProof/>
              </w:rPr>
              <w:t>)</w:t>
            </w:r>
          </w:p>
        </w:tc>
        <w:tc>
          <w:tcPr>
            <w:tcW w:w="696" w:type="dxa"/>
            <w:tcBorders>
              <w:top w:val="single" w:sz="4" w:space="0" w:color="auto"/>
              <w:left w:val="single" w:sz="4" w:space="0" w:color="auto"/>
              <w:bottom w:val="single" w:sz="4" w:space="0" w:color="auto"/>
              <w:right w:val="single" w:sz="4" w:space="0" w:color="auto"/>
            </w:tcBorders>
            <w:hideMark/>
          </w:tcPr>
          <w:p>
            <w:pPr>
              <w:rPr>
                <w:noProof/>
              </w:rPr>
            </w:pPr>
            <w:r>
              <w:rPr>
                <w:noProof/>
              </w:rPr>
              <w:t>2019</w:t>
            </w:r>
          </w:p>
        </w:tc>
        <w:tc>
          <w:tcPr>
            <w:tcW w:w="696" w:type="dxa"/>
            <w:tcBorders>
              <w:top w:val="single" w:sz="4" w:space="0" w:color="auto"/>
              <w:left w:val="single" w:sz="4" w:space="0" w:color="auto"/>
              <w:bottom w:val="single" w:sz="4" w:space="0" w:color="auto"/>
              <w:right w:val="single" w:sz="4" w:space="0" w:color="auto"/>
            </w:tcBorders>
            <w:hideMark/>
          </w:tcPr>
          <w:p>
            <w:pPr>
              <w:rPr>
                <w:noProof/>
              </w:rPr>
            </w:pPr>
            <w:r>
              <w:rPr>
                <w:noProof/>
              </w:rPr>
              <w:t>2020</w:t>
            </w:r>
          </w:p>
        </w:tc>
        <w:tc>
          <w:tcPr>
            <w:tcW w:w="707" w:type="dxa"/>
            <w:tcBorders>
              <w:top w:val="single" w:sz="4" w:space="0" w:color="auto"/>
              <w:left w:val="single" w:sz="4" w:space="0" w:color="auto"/>
              <w:bottom w:val="single" w:sz="4" w:space="0" w:color="auto"/>
              <w:right w:val="single" w:sz="4" w:space="0" w:color="auto"/>
            </w:tcBorders>
            <w:hideMark/>
          </w:tcPr>
          <w:p>
            <w:pPr>
              <w:rPr>
                <w:noProof/>
              </w:rPr>
            </w:pPr>
            <w:r>
              <w:rPr>
                <w:noProof/>
              </w:rPr>
              <w:t>2021</w:t>
            </w:r>
          </w:p>
        </w:tc>
        <w:tc>
          <w:tcPr>
            <w:tcW w:w="707" w:type="dxa"/>
            <w:tcBorders>
              <w:top w:val="single" w:sz="4" w:space="0" w:color="auto"/>
              <w:left w:val="single" w:sz="4" w:space="0" w:color="auto"/>
              <w:bottom w:val="single" w:sz="4" w:space="0" w:color="auto"/>
              <w:right w:val="single" w:sz="4" w:space="0" w:color="auto"/>
            </w:tcBorders>
            <w:hideMark/>
          </w:tcPr>
          <w:p>
            <w:pPr>
              <w:rPr>
                <w:noProof/>
              </w:rPr>
            </w:pPr>
            <w:r>
              <w:rPr>
                <w:noProof/>
              </w:rPr>
              <w:t>2022</w:t>
            </w:r>
          </w:p>
        </w:tc>
        <w:tc>
          <w:tcPr>
            <w:tcW w:w="707" w:type="dxa"/>
            <w:tcBorders>
              <w:top w:val="single" w:sz="4" w:space="0" w:color="auto"/>
              <w:left w:val="single" w:sz="4" w:space="0" w:color="auto"/>
              <w:bottom w:val="single" w:sz="4" w:space="0" w:color="auto"/>
              <w:right w:val="single" w:sz="4" w:space="0" w:color="auto"/>
            </w:tcBorders>
            <w:hideMark/>
          </w:tcPr>
          <w:p>
            <w:pPr>
              <w:rPr>
                <w:noProof/>
              </w:rPr>
            </w:pPr>
            <w:r>
              <w:rPr>
                <w:noProof/>
              </w:rPr>
              <w:t>2023</w:t>
            </w:r>
          </w:p>
        </w:tc>
        <w:tc>
          <w:tcPr>
            <w:tcW w:w="706" w:type="dxa"/>
            <w:tcBorders>
              <w:top w:val="single" w:sz="4" w:space="0" w:color="auto"/>
              <w:left w:val="single" w:sz="4" w:space="0" w:color="auto"/>
              <w:bottom w:val="single" w:sz="4" w:space="0" w:color="auto"/>
              <w:right w:val="single" w:sz="4" w:space="0" w:color="auto"/>
            </w:tcBorders>
            <w:hideMark/>
          </w:tcPr>
          <w:p>
            <w:pPr>
              <w:rPr>
                <w:noProof/>
              </w:rPr>
            </w:pPr>
            <w:r>
              <w:rPr>
                <w:noProof/>
              </w:rPr>
              <w:t>2024</w:t>
            </w:r>
          </w:p>
        </w:tc>
      </w:tr>
      <w:tr>
        <w:tc>
          <w:tcPr>
            <w:tcW w:w="4569" w:type="dxa"/>
            <w:tcBorders>
              <w:top w:val="single" w:sz="4" w:space="0" w:color="auto"/>
              <w:left w:val="single" w:sz="4" w:space="0" w:color="auto"/>
              <w:bottom w:val="single" w:sz="4" w:space="0" w:color="auto"/>
              <w:right w:val="single" w:sz="4" w:space="0" w:color="auto"/>
            </w:tcBorders>
            <w:hideMark/>
          </w:tcPr>
          <w:p>
            <w:pPr>
              <w:rPr>
                <w:noProof/>
              </w:rPr>
            </w:pPr>
            <w:r>
              <w:rPr>
                <w:noProof/>
              </w:rPr>
              <w:t xml:space="preserve">Produktion af likører </w:t>
            </w:r>
          </w:p>
        </w:tc>
        <w:tc>
          <w:tcPr>
            <w:tcW w:w="696" w:type="dxa"/>
            <w:tcBorders>
              <w:top w:val="single" w:sz="4" w:space="0" w:color="auto"/>
              <w:left w:val="single" w:sz="4" w:space="0" w:color="auto"/>
              <w:bottom w:val="single" w:sz="4" w:space="0" w:color="auto"/>
              <w:right w:val="single" w:sz="4" w:space="0" w:color="auto"/>
            </w:tcBorders>
          </w:tcPr>
          <w:p>
            <w:pPr>
              <w:rPr>
                <w:noProof/>
              </w:rPr>
            </w:pPr>
          </w:p>
        </w:tc>
        <w:tc>
          <w:tcPr>
            <w:tcW w:w="696"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6" w:type="dxa"/>
            <w:tcBorders>
              <w:top w:val="single" w:sz="4" w:space="0" w:color="auto"/>
              <w:left w:val="single" w:sz="4" w:space="0" w:color="auto"/>
              <w:bottom w:val="single" w:sz="4" w:space="0" w:color="auto"/>
              <w:right w:val="single" w:sz="4" w:space="0" w:color="auto"/>
            </w:tcBorders>
          </w:tcPr>
          <w:p>
            <w:pPr>
              <w:rPr>
                <w:noProof/>
              </w:rPr>
            </w:pPr>
          </w:p>
        </w:tc>
      </w:tr>
      <w:tr>
        <w:tc>
          <w:tcPr>
            <w:tcW w:w="4569" w:type="dxa"/>
            <w:tcBorders>
              <w:top w:val="single" w:sz="4" w:space="0" w:color="auto"/>
              <w:left w:val="single" w:sz="4" w:space="0" w:color="auto"/>
              <w:bottom w:val="single" w:sz="4" w:space="0" w:color="auto"/>
              <w:right w:val="single" w:sz="4" w:space="0" w:color="auto"/>
            </w:tcBorders>
            <w:hideMark/>
          </w:tcPr>
          <w:p>
            <w:pPr>
              <w:rPr>
                <w:noProof/>
              </w:rPr>
            </w:pPr>
            <w:r>
              <w:rPr>
                <w:noProof/>
              </w:rPr>
              <w:t xml:space="preserve">Produktion af brændevin </w:t>
            </w:r>
          </w:p>
        </w:tc>
        <w:tc>
          <w:tcPr>
            <w:tcW w:w="696" w:type="dxa"/>
            <w:tcBorders>
              <w:top w:val="single" w:sz="4" w:space="0" w:color="auto"/>
              <w:left w:val="single" w:sz="4" w:space="0" w:color="auto"/>
              <w:bottom w:val="single" w:sz="4" w:space="0" w:color="auto"/>
              <w:right w:val="single" w:sz="4" w:space="0" w:color="auto"/>
            </w:tcBorders>
          </w:tcPr>
          <w:p>
            <w:pPr>
              <w:rPr>
                <w:noProof/>
              </w:rPr>
            </w:pPr>
          </w:p>
        </w:tc>
        <w:tc>
          <w:tcPr>
            <w:tcW w:w="696"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6" w:type="dxa"/>
            <w:tcBorders>
              <w:top w:val="single" w:sz="4" w:space="0" w:color="auto"/>
              <w:left w:val="single" w:sz="4" w:space="0" w:color="auto"/>
              <w:bottom w:val="single" w:sz="4" w:space="0" w:color="auto"/>
              <w:right w:val="single" w:sz="4" w:space="0" w:color="auto"/>
            </w:tcBorders>
          </w:tcPr>
          <w:p>
            <w:pPr>
              <w:rPr>
                <w:noProof/>
              </w:rPr>
            </w:pPr>
          </w:p>
        </w:tc>
      </w:tr>
      <w:tr>
        <w:tc>
          <w:tcPr>
            <w:tcW w:w="4569" w:type="dxa"/>
            <w:tcBorders>
              <w:top w:val="single" w:sz="4" w:space="0" w:color="auto"/>
              <w:left w:val="single" w:sz="4" w:space="0" w:color="auto"/>
              <w:bottom w:val="single" w:sz="4" w:space="0" w:color="auto"/>
              <w:right w:val="single" w:sz="4" w:space="0" w:color="auto"/>
            </w:tcBorders>
            <w:hideMark/>
          </w:tcPr>
          <w:p>
            <w:pPr>
              <w:rPr>
                <w:noProof/>
              </w:rPr>
            </w:pPr>
            <w:r>
              <w:rPr>
                <w:noProof/>
              </w:rPr>
              <w:t xml:space="preserve">Produktion af rom </w:t>
            </w:r>
          </w:p>
        </w:tc>
        <w:tc>
          <w:tcPr>
            <w:tcW w:w="696" w:type="dxa"/>
            <w:tcBorders>
              <w:top w:val="single" w:sz="4" w:space="0" w:color="auto"/>
              <w:left w:val="single" w:sz="4" w:space="0" w:color="auto"/>
              <w:bottom w:val="single" w:sz="4" w:space="0" w:color="auto"/>
              <w:right w:val="single" w:sz="4" w:space="0" w:color="auto"/>
            </w:tcBorders>
          </w:tcPr>
          <w:p>
            <w:pPr>
              <w:rPr>
                <w:noProof/>
              </w:rPr>
            </w:pPr>
          </w:p>
        </w:tc>
        <w:tc>
          <w:tcPr>
            <w:tcW w:w="696"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6" w:type="dxa"/>
            <w:tcBorders>
              <w:top w:val="single" w:sz="4" w:space="0" w:color="auto"/>
              <w:left w:val="single" w:sz="4" w:space="0" w:color="auto"/>
              <w:bottom w:val="single" w:sz="4" w:space="0" w:color="auto"/>
              <w:right w:val="single" w:sz="4" w:space="0" w:color="auto"/>
            </w:tcBorders>
          </w:tcPr>
          <w:p>
            <w:pPr>
              <w:rPr>
                <w:noProof/>
              </w:rPr>
            </w:pPr>
          </w:p>
        </w:tc>
      </w:tr>
      <w:tr>
        <w:tc>
          <w:tcPr>
            <w:tcW w:w="4569" w:type="dxa"/>
            <w:tcBorders>
              <w:top w:val="single" w:sz="4" w:space="0" w:color="auto"/>
              <w:left w:val="single" w:sz="4" w:space="0" w:color="auto"/>
              <w:bottom w:val="single" w:sz="4" w:space="0" w:color="auto"/>
              <w:right w:val="single" w:sz="4" w:space="0" w:color="auto"/>
            </w:tcBorders>
            <w:hideMark/>
          </w:tcPr>
          <w:p>
            <w:pPr>
              <w:rPr>
                <w:noProof/>
              </w:rPr>
            </w:pPr>
            <w:r>
              <w:rPr>
                <w:noProof/>
              </w:rPr>
              <w:t xml:space="preserve">Likører afsendt til det portugisiske fastland </w:t>
            </w:r>
          </w:p>
        </w:tc>
        <w:tc>
          <w:tcPr>
            <w:tcW w:w="696" w:type="dxa"/>
            <w:tcBorders>
              <w:top w:val="single" w:sz="4" w:space="0" w:color="auto"/>
              <w:left w:val="single" w:sz="4" w:space="0" w:color="auto"/>
              <w:bottom w:val="single" w:sz="4" w:space="0" w:color="auto"/>
              <w:right w:val="single" w:sz="4" w:space="0" w:color="auto"/>
            </w:tcBorders>
          </w:tcPr>
          <w:p>
            <w:pPr>
              <w:rPr>
                <w:noProof/>
              </w:rPr>
            </w:pPr>
          </w:p>
        </w:tc>
        <w:tc>
          <w:tcPr>
            <w:tcW w:w="696"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6" w:type="dxa"/>
            <w:tcBorders>
              <w:top w:val="single" w:sz="4" w:space="0" w:color="auto"/>
              <w:left w:val="single" w:sz="4" w:space="0" w:color="auto"/>
              <w:bottom w:val="single" w:sz="4" w:space="0" w:color="auto"/>
              <w:right w:val="single" w:sz="4" w:space="0" w:color="auto"/>
            </w:tcBorders>
          </w:tcPr>
          <w:p>
            <w:pPr>
              <w:rPr>
                <w:noProof/>
              </w:rPr>
            </w:pPr>
          </w:p>
        </w:tc>
      </w:tr>
      <w:tr>
        <w:tc>
          <w:tcPr>
            <w:tcW w:w="4569" w:type="dxa"/>
            <w:tcBorders>
              <w:top w:val="single" w:sz="4" w:space="0" w:color="auto"/>
              <w:left w:val="single" w:sz="4" w:space="0" w:color="auto"/>
              <w:bottom w:val="single" w:sz="4" w:space="0" w:color="auto"/>
              <w:right w:val="single" w:sz="4" w:space="0" w:color="auto"/>
            </w:tcBorders>
            <w:hideMark/>
          </w:tcPr>
          <w:p>
            <w:pPr>
              <w:rPr>
                <w:noProof/>
              </w:rPr>
            </w:pPr>
            <w:r>
              <w:rPr>
                <w:noProof/>
              </w:rPr>
              <w:t xml:space="preserve">Likører afsendt til andre medlemsstater </w:t>
            </w:r>
          </w:p>
        </w:tc>
        <w:tc>
          <w:tcPr>
            <w:tcW w:w="696" w:type="dxa"/>
            <w:tcBorders>
              <w:top w:val="single" w:sz="4" w:space="0" w:color="auto"/>
              <w:left w:val="single" w:sz="4" w:space="0" w:color="auto"/>
              <w:bottom w:val="single" w:sz="4" w:space="0" w:color="auto"/>
              <w:right w:val="single" w:sz="4" w:space="0" w:color="auto"/>
            </w:tcBorders>
          </w:tcPr>
          <w:p>
            <w:pPr>
              <w:rPr>
                <w:noProof/>
              </w:rPr>
            </w:pPr>
          </w:p>
        </w:tc>
        <w:tc>
          <w:tcPr>
            <w:tcW w:w="696"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6" w:type="dxa"/>
            <w:tcBorders>
              <w:top w:val="single" w:sz="4" w:space="0" w:color="auto"/>
              <w:left w:val="single" w:sz="4" w:space="0" w:color="auto"/>
              <w:bottom w:val="single" w:sz="4" w:space="0" w:color="auto"/>
              <w:right w:val="single" w:sz="4" w:space="0" w:color="auto"/>
            </w:tcBorders>
          </w:tcPr>
          <w:p>
            <w:pPr>
              <w:rPr>
                <w:noProof/>
              </w:rPr>
            </w:pPr>
          </w:p>
        </w:tc>
      </w:tr>
      <w:tr>
        <w:tc>
          <w:tcPr>
            <w:tcW w:w="4569" w:type="dxa"/>
            <w:tcBorders>
              <w:top w:val="single" w:sz="4" w:space="0" w:color="auto"/>
              <w:left w:val="single" w:sz="4" w:space="0" w:color="auto"/>
              <w:bottom w:val="single" w:sz="4" w:space="0" w:color="auto"/>
              <w:right w:val="single" w:sz="4" w:space="0" w:color="auto"/>
            </w:tcBorders>
            <w:hideMark/>
          </w:tcPr>
          <w:p>
            <w:pPr>
              <w:rPr>
                <w:noProof/>
              </w:rPr>
            </w:pPr>
            <w:r>
              <w:rPr>
                <w:noProof/>
              </w:rPr>
              <w:t xml:space="preserve">Likører eksporteret til tredjelande </w:t>
            </w:r>
          </w:p>
        </w:tc>
        <w:tc>
          <w:tcPr>
            <w:tcW w:w="696" w:type="dxa"/>
            <w:tcBorders>
              <w:top w:val="single" w:sz="4" w:space="0" w:color="auto"/>
              <w:left w:val="single" w:sz="4" w:space="0" w:color="auto"/>
              <w:bottom w:val="single" w:sz="4" w:space="0" w:color="auto"/>
              <w:right w:val="single" w:sz="4" w:space="0" w:color="auto"/>
            </w:tcBorders>
          </w:tcPr>
          <w:p>
            <w:pPr>
              <w:rPr>
                <w:noProof/>
              </w:rPr>
            </w:pPr>
          </w:p>
        </w:tc>
        <w:tc>
          <w:tcPr>
            <w:tcW w:w="696"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6" w:type="dxa"/>
            <w:tcBorders>
              <w:top w:val="single" w:sz="4" w:space="0" w:color="auto"/>
              <w:left w:val="single" w:sz="4" w:space="0" w:color="auto"/>
              <w:bottom w:val="single" w:sz="4" w:space="0" w:color="auto"/>
              <w:right w:val="single" w:sz="4" w:space="0" w:color="auto"/>
            </w:tcBorders>
          </w:tcPr>
          <w:p>
            <w:pPr>
              <w:rPr>
                <w:noProof/>
              </w:rPr>
            </w:pPr>
          </w:p>
        </w:tc>
      </w:tr>
      <w:tr>
        <w:tc>
          <w:tcPr>
            <w:tcW w:w="4569" w:type="dxa"/>
            <w:tcBorders>
              <w:top w:val="single" w:sz="4" w:space="0" w:color="auto"/>
              <w:left w:val="single" w:sz="4" w:space="0" w:color="auto"/>
              <w:bottom w:val="single" w:sz="4" w:space="0" w:color="auto"/>
              <w:right w:val="single" w:sz="4" w:space="0" w:color="auto"/>
            </w:tcBorders>
            <w:hideMark/>
          </w:tcPr>
          <w:p>
            <w:pPr>
              <w:rPr>
                <w:noProof/>
              </w:rPr>
            </w:pPr>
            <w:r>
              <w:rPr>
                <w:noProof/>
              </w:rPr>
              <w:t xml:space="preserve">Brændevin afsendt til det portugisiske fastland </w:t>
            </w:r>
          </w:p>
        </w:tc>
        <w:tc>
          <w:tcPr>
            <w:tcW w:w="696" w:type="dxa"/>
            <w:tcBorders>
              <w:top w:val="single" w:sz="4" w:space="0" w:color="auto"/>
              <w:left w:val="single" w:sz="4" w:space="0" w:color="auto"/>
              <w:bottom w:val="single" w:sz="4" w:space="0" w:color="auto"/>
              <w:right w:val="single" w:sz="4" w:space="0" w:color="auto"/>
            </w:tcBorders>
          </w:tcPr>
          <w:p>
            <w:pPr>
              <w:rPr>
                <w:noProof/>
              </w:rPr>
            </w:pPr>
          </w:p>
        </w:tc>
        <w:tc>
          <w:tcPr>
            <w:tcW w:w="696"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6" w:type="dxa"/>
            <w:tcBorders>
              <w:top w:val="single" w:sz="4" w:space="0" w:color="auto"/>
              <w:left w:val="single" w:sz="4" w:space="0" w:color="auto"/>
              <w:bottom w:val="single" w:sz="4" w:space="0" w:color="auto"/>
              <w:right w:val="single" w:sz="4" w:space="0" w:color="auto"/>
            </w:tcBorders>
          </w:tcPr>
          <w:p>
            <w:pPr>
              <w:rPr>
                <w:noProof/>
              </w:rPr>
            </w:pPr>
          </w:p>
        </w:tc>
      </w:tr>
      <w:tr>
        <w:tc>
          <w:tcPr>
            <w:tcW w:w="4569" w:type="dxa"/>
            <w:tcBorders>
              <w:top w:val="single" w:sz="4" w:space="0" w:color="auto"/>
              <w:left w:val="single" w:sz="4" w:space="0" w:color="auto"/>
              <w:bottom w:val="single" w:sz="4" w:space="0" w:color="auto"/>
              <w:right w:val="single" w:sz="4" w:space="0" w:color="auto"/>
            </w:tcBorders>
            <w:hideMark/>
          </w:tcPr>
          <w:p>
            <w:pPr>
              <w:rPr>
                <w:noProof/>
              </w:rPr>
            </w:pPr>
            <w:r>
              <w:rPr>
                <w:noProof/>
              </w:rPr>
              <w:t xml:space="preserve">Brændevin afsendt til andre medlemsstater </w:t>
            </w:r>
          </w:p>
        </w:tc>
        <w:tc>
          <w:tcPr>
            <w:tcW w:w="696" w:type="dxa"/>
            <w:tcBorders>
              <w:top w:val="single" w:sz="4" w:space="0" w:color="auto"/>
              <w:left w:val="single" w:sz="4" w:space="0" w:color="auto"/>
              <w:bottom w:val="single" w:sz="4" w:space="0" w:color="auto"/>
              <w:right w:val="single" w:sz="4" w:space="0" w:color="auto"/>
            </w:tcBorders>
          </w:tcPr>
          <w:p>
            <w:pPr>
              <w:rPr>
                <w:noProof/>
              </w:rPr>
            </w:pPr>
          </w:p>
        </w:tc>
        <w:tc>
          <w:tcPr>
            <w:tcW w:w="696"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6" w:type="dxa"/>
            <w:tcBorders>
              <w:top w:val="single" w:sz="4" w:space="0" w:color="auto"/>
              <w:left w:val="single" w:sz="4" w:space="0" w:color="auto"/>
              <w:bottom w:val="single" w:sz="4" w:space="0" w:color="auto"/>
              <w:right w:val="single" w:sz="4" w:space="0" w:color="auto"/>
            </w:tcBorders>
          </w:tcPr>
          <w:p>
            <w:pPr>
              <w:rPr>
                <w:noProof/>
              </w:rPr>
            </w:pPr>
          </w:p>
        </w:tc>
      </w:tr>
      <w:tr>
        <w:tc>
          <w:tcPr>
            <w:tcW w:w="4569" w:type="dxa"/>
            <w:tcBorders>
              <w:top w:val="single" w:sz="4" w:space="0" w:color="auto"/>
              <w:left w:val="single" w:sz="4" w:space="0" w:color="auto"/>
              <w:bottom w:val="single" w:sz="4" w:space="0" w:color="auto"/>
              <w:right w:val="single" w:sz="4" w:space="0" w:color="auto"/>
            </w:tcBorders>
            <w:hideMark/>
          </w:tcPr>
          <w:p>
            <w:pPr>
              <w:rPr>
                <w:noProof/>
              </w:rPr>
            </w:pPr>
            <w:r>
              <w:rPr>
                <w:noProof/>
              </w:rPr>
              <w:t xml:space="preserve">Brændevin eksporteret til tredjelande </w:t>
            </w:r>
          </w:p>
        </w:tc>
        <w:tc>
          <w:tcPr>
            <w:tcW w:w="696" w:type="dxa"/>
            <w:tcBorders>
              <w:top w:val="single" w:sz="4" w:space="0" w:color="auto"/>
              <w:left w:val="single" w:sz="4" w:space="0" w:color="auto"/>
              <w:bottom w:val="single" w:sz="4" w:space="0" w:color="auto"/>
              <w:right w:val="single" w:sz="4" w:space="0" w:color="auto"/>
            </w:tcBorders>
          </w:tcPr>
          <w:p>
            <w:pPr>
              <w:rPr>
                <w:noProof/>
              </w:rPr>
            </w:pPr>
          </w:p>
        </w:tc>
        <w:tc>
          <w:tcPr>
            <w:tcW w:w="696"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6" w:type="dxa"/>
            <w:tcBorders>
              <w:top w:val="single" w:sz="4" w:space="0" w:color="auto"/>
              <w:left w:val="single" w:sz="4" w:space="0" w:color="auto"/>
              <w:bottom w:val="single" w:sz="4" w:space="0" w:color="auto"/>
              <w:right w:val="single" w:sz="4" w:space="0" w:color="auto"/>
            </w:tcBorders>
          </w:tcPr>
          <w:p>
            <w:pPr>
              <w:rPr>
                <w:noProof/>
              </w:rPr>
            </w:pPr>
          </w:p>
        </w:tc>
      </w:tr>
      <w:tr>
        <w:tc>
          <w:tcPr>
            <w:tcW w:w="4569" w:type="dxa"/>
            <w:tcBorders>
              <w:top w:val="single" w:sz="4" w:space="0" w:color="auto"/>
              <w:left w:val="single" w:sz="4" w:space="0" w:color="auto"/>
              <w:bottom w:val="single" w:sz="4" w:space="0" w:color="auto"/>
              <w:right w:val="single" w:sz="4" w:space="0" w:color="auto"/>
            </w:tcBorders>
            <w:hideMark/>
          </w:tcPr>
          <w:p>
            <w:pPr>
              <w:rPr>
                <w:noProof/>
              </w:rPr>
            </w:pPr>
            <w:r>
              <w:rPr>
                <w:noProof/>
              </w:rPr>
              <w:t xml:space="preserve">Rom afsendt til det portugisiske fastland </w:t>
            </w:r>
          </w:p>
        </w:tc>
        <w:tc>
          <w:tcPr>
            <w:tcW w:w="696" w:type="dxa"/>
            <w:tcBorders>
              <w:top w:val="single" w:sz="4" w:space="0" w:color="auto"/>
              <w:left w:val="single" w:sz="4" w:space="0" w:color="auto"/>
              <w:bottom w:val="single" w:sz="4" w:space="0" w:color="auto"/>
              <w:right w:val="single" w:sz="4" w:space="0" w:color="auto"/>
            </w:tcBorders>
          </w:tcPr>
          <w:p>
            <w:pPr>
              <w:rPr>
                <w:noProof/>
              </w:rPr>
            </w:pPr>
          </w:p>
        </w:tc>
        <w:tc>
          <w:tcPr>
            <w:tcW w:w="696"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6" w:type="dxa"/>
            <w:tcBorders>
              <w:top w:val="single" w:sz="4" w:space="0" w:color="auto"/>
              <w:left w:val="single" w:sz="4" w:space="0" w:color="auto"/>
              <w:bottom w:val="single" w:sz="4" w:space="0" w:color="auto"/>
              <w:right w:val="single" w:sz="4" w:space="0" w:color="auto"/>
            </w:tcBorders>
          </w:tcPr>
          <w:p>
            <w:pPr>
              <w:rPr>
                <w:noProof/>
              </w:rPr>
            </w:pPr>
          </w:p>
        </w:tc>
      </w:tr>
      <w:tr>
        <w:tc>
          <w:tcPr>
            <w:tcW w:w="4569" w:type="dxa"/>
            <w:tcBorders>
              <w:top w:val="single" w:sz="4" w:space="0" w:color="auto"/>
              <w:left w:val="single" w:sz="4" w:space="0" w:color="auto"/>
              <w:bottom w:val="single" w:sz="4" w:space="0" w:color="auto"/>
              <w:right w:val="single" w:sz="4" w:space="0" w:color="auto"/>
            </w:tcBorders>
            <w:hideMark/>
          </w:tcPr>
          <w:p>
            <w:pPr>
              <w:rPr>
                <w:noProof/>
              </w:rPr>
            </w:pPr>
            <w:r>
              <w:rPr>
                <w:noProof/>
              </w:rPr>
              <w:t xml:space="preserve">Rom afsendt til andre medlemsstater </w:t>
            </w:r>
          </w:p>
        </w:tc>
        <w:tc>
          <w:tcPr>
            <w:tcW w:w="696" w:type="dxa"/>
            <w:tcBorders>
              <w:top w:val="single" w:sz="4" w:space="0" w:color="auto"/>
              <w:left w:val="single" w:sz="4" w:space="0" w:color="auto"/>
              <w:bottom w:val="single" w:sz="4" w:space="0" w:color="auto"/>
              <w:right w:val="single" w:sz="4" w:space="0" w:color="auto"/>
            </w:tcBorders>
          </w:tcPr>
          <w:p>
            <w:pPr>
              <w:rPr>
                <w:noProof/>
              </w:rPr>
            </w:pPr>
          </w:p>
        </w:tc>
        <w:tc>
          <w:tcPr>
            <w:tcW w:w="696"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6" w:type="dxa"/>
            <w:tcBorders>
              <w:top w:val="single" w:sz="4" w:space="0" w:color="auto"/>
              <w:left w:val="single" w:sz="4" w:space="0" w:color="auto"/>
              <w:bottom w:val="single" w:sz="4" w:space="0" w:color="auto"/>
              <w:right w:val="single" w:sz="4" w:space="0" w:color="auto"/>
            </w:tcBorders>
          </w:tcPr>
          <w:p>
            <w:pPr>
              <w:rPr>
                <w:noProof/>
              </w:rPr>
            </w:pPr>
          </w:p>
        </w:tc>
      </w:tr>
      <w:tr>
        <w:tc>
          <w:tcPr>
            <w:tcW w:w="4569" w:type="dxa"/>
            <w:tcBorders>
              <w:top w:val="single" w:sz="4" w:space="0" w:color="auto"/>
              <w:left w:val="single" w:sz="4" w:space="0" w:color="auto"/>
              <w:bottom w:val="single" w:sz="4" w:space="0" w:color="auto"/>
              <w:right w:val="single" w:sz="4" w:space="0" w:color="auto"/>
            </w:tcBorders>
            <w:hideMark/>
          </w:tcPr>
          <w:p>
            <w:pPr>
              <w:rPr>
                <w:noProof/>
              </w:rPr>
            </w:pPr>
            <w:r>
              <w:rPr>
                <w:noProof/>
              </w:rPr>
              <w:t xml:space="preserve">Rom eksporteret til tredjelande </w:t>
            </w:r>
          </w:p>
        </w:tc>
        <w:tc>
          <w:tcPr>
            <w:tcW w:w="696" w:type="dxa"/>
            <w:tcBorders>
              <w:top w:val="single" w:sz="4" w:space="0" w:color="auto"/>
              <w:left w:val="single" w:sz="4" w:space="0" w:color="auto"/>
              <w:bottom w:val="single" w:sz="4" w:space="0" w:color="auto"/>
              <w:right w:val="single" w:sz="4" w:space="0" w:color="auto"/>
            </w:tcBorders>
          </w:tcPr>
          <w:p>
            <w:pPr>
              <w:rPr>
                <w:noProof/>
              </w:rPr>
            </w:pPr>
          </w:p>
        </w:tc>
        <w:tc>
          <w:tcPr>
            <w:tcW w:w="696"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6" w:type="dxa"/>
            <w:tcBorders>
              <w:top w:val="single" w:sz="4" w:space="0" w:color="auto"/>
              <w:left w:val="single" w:sz="4" w:space="0" w:color="auto"/>
              <w:bottom w:val="single" w:sz="4" w:space="0" w:color="auto"/>
              <w:right w:val="single" w:sz="4" w:space="0" w:color="auto"/>
            </w:tcBorders>
          </w:tcPr>
          <w:p>
            <w:pPr>
              <w:rPr>
                <w:noProof/>
              </w:rPr>
            </w:pPr>
          </w:p>
        </w:tc>
      </w:tr>
    </w:tbl>
    <w:p>
      <w:pPr>
        <w:rPr>
          <w:bCs/>
          <w:iCs/>
          <w:noProof/>
          <w:sz w:val="18"/>
          <w:szCs w:val="18"/>
        </w:rPr>
      </w:pPr>
      <w:r>
        <w:rPr>
          <w:bCs/>
          <w:iCs/>
          <w:noProof/>
          <w:sz w:val="18"/>
          <w:szCs w:val="18"/>
        </w:rPr>
        <w:t xml:space="preserve">Noter til tabellen: </w:t>
      </w:r>
    </w:p>
    <w:p>
      <w:pPr>
        <w:rPr>
          <w:bCs/>
          <w:iCs/>
          <w:noProof/>
          <w:sz w:val="18"/>
          <w:szCs w:val="18"/>
        </w:rPr>
      </w:pPr>
      <w:r>
        <w:rPr>
          <w:bCs/>
          <w:iCs/>
          <w:noProof/>
          <w:sz w:val="18"/>
          <w:szCs w:val="18"/>
        </w:rPr>
        <w:t>1.</w:t>
      </w:r>
      <w:r>
        <w:rPr>
          <w:noProof/>
        </w:rPr>
        <w:tab/>
      </w:r>
      <w:r>
        <w:rPr>
          <w:bCs/>
          <w:iCs/>
          <w:noProof/>
          <w:sz w:val="18"/>
          <w:szCs w:val="18"/>
        </w:rPr>
        <w:t>Hektoliter ren alkohol.</w:t>
      </w:r>
    </w:p>
    <w:p>
      <w:pPr>
        <w:rPr>
          <w:bCs/>
          <w:iCs/>
          <w:noProof/>
          <w:sz w:val="18"/>
          <w:szCs w:val="18"/>
        </w:rPr>
      </w:pPr>
    </w:p>
    <w:p>
      <w:pPr>
        <w:rPr>
          <w:bCs/>
          <w:iCs/>
          <w:noProof/>
          <w:sz w:val="18"/>
          <w:szCs w:val="18"/>
        </w:rPr>
      </w:pPr>
    </w:p>
    <w:p>
      <w:pPr>
        <w:pStyle w:val="NumPar1"/>
        <w:rPr>
          <w:noProof/>
        </w:rPr>
      </w:pPr>
      <w:r>
        <w:rPr>
          <w:noProof/>
          <w:u w:val="single"/>
        </w:rPr>
        <w:t>Uregelmæssigheder</w:t>
      </w:r>
      <w:r>
        <w:rPr>
          <w:noProof/>
        </w:rPr>
        <w:t>. De portugisiske myndigheder oplyser om eventuelle efterforskninger af administrative uregelmæssigheder, navnlig vedrørende afgiftsunddragelse og smugling, i forbindelse med anvendelsen af bemyndigelsen. De skal også angive detaljerede oplysninger, herunder som minimum om sagens art, værdi og tidsperiode.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5"/>
      </w:tblGrid>
      <w:tr>
        <w:tc>
          <w:tcPr>
            <w:tcW w:w="8395" w:type="dxa"/>
            <w:tcBorders>
              <w:top w:val="single" w:sz="4" w:space="0" w:color="auto"/>
              <w:left w:val="single" w:sz="4" w:space="0" w:color="auto"/>
              <w:bottom w:val="single" w:sz="4" w:space="0" w:color="auto"/>
              <w:right w:val="single" w:sz="4" w:space="0" w:color="auto"/>
            </w:tcBorders>
          </w:tcPr>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tc>
      </w:tr>
    </w:tbl>
    <w:p>
      <w:pPr>
        <w:rPr>
          <w:noProof/>
          <w:szCs w:val="20"/>
          <w:lang w:eastAsia="fr-FR"/>
        </w:rPr>
      </w:pPr>
    </w:p>
    <w:p>
      <w:pPr>
        <w:pStyle w:val="NumPar1"/>
        <w:rPr>
          <w:noProof/>
        </w:rPr>
      </w:pPr>
      <w:r>
        <w:rPr>
          <w:noProof/>
          <w:u w:val="single"/>
        </w:rPr>
        <w:t>Klager</w:t>
      </w:r>
      <w:r>
        <w:rPr>
          <w:noProof/>
        </w:rPr>
        <w:t>. De portugisiske myndigheder oplyser, hvorvidt de lokale, regionale eller nationale myndigheder har modtaget klager over anvendelsen af bemyndigelsen fra enten modtagere eller andre.</w:t>
      </w:r>
    </w:p>
    <w:p>
      <w:pPr>
        <w:rPr>
          <w:noProof/>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5"/>
      </w:tblGrid>
      <w:tr>
        <w:tc>
          <w:tcPr>
            <w:tcW w:w="8395" w:type="dxa"/>
            <w:tcBorders>
              <w:top w:val="single" w:sz="4" w:space="0" w:color="auto"/>
              <w:left w:val="single" w:sz="4" w:space="0" w:color="auto"/>
              <w:bottom w:val="single" w:sz="4" w:space="0" w:color="auto"/>
              <w:right w:val="single" w:sz="4" w:space="0" w:color="auto"/>
            </w:tcBorders>
          </w:tcPr>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tc>
      </w:tr>
    </w:tbl>
    <w:p>
      <w:pPr>
        <w:rPr>
          <w:noProof/>
          <w:szCs w:val="20"/>
          <w:lang w:eastAsia="fr-FR"/>
        </w:rPr>
      </w:pPr>
    </w:p>
    <w:p>
      <w:pPr>
        <w:rPr>
          <w:noProof/>
        </w:rPr>
      </w:pP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25ADAC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DF03CE0"/>
    <w:lvl w:ilvl="0">
      <w:start w:val="1"/>
      <w:numFmt w:val="decimal"/>
      <w:pStyle w:val="ListNumber3"/>
      <w:lvlText w:val="%1."/>
      <w:lvlJc w:val="left"/>
      <w:pPr>
        <w:tabs>
          <w:tab w:val="num" w:pos="926"/>
        </w:tabs>
        <w:ind w:left="926" w:hanging="360"/>
      </w:pPr>
    </w:lvl>
  </w:abstractNum>
  <w:abstractNum w:abstractNumId="2">
    <w:nsid w:val="FFFFFF7F"/>
    <w:multiLevelType w:val="singleLevel"/>
    <w:tmpl w:val="3932B694"/>
    <w:lvl w:ilvl="0">
      <w:start w:val="1"/>
      <w:numFmt w:val="decimal"/>
      <w:pStyle w:val="ListNumber2"/>
      <w:lvlText w:val="%1."/>
      <w:lvlJc w:val="left"/>
      <w:pPr>
        <w:tabs>
          <w:tab w:val="num" w:pos="643"/>
        </w:tabs>
        <w:ind w:left="643" w:hanging="360"/>
      </w:pPr>
    </w:lvl>
  </w:abstractNum>
  <w:abstractNum w:abstractNumId="3">
    <w:nsid w:val="FFFFFF81"/>
    <w:multiLevelType w:val="singleLevel"/>
    <w:tmpl w:val="93B284E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17C5C8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7B89F3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0947112"/>
    <w:lvl w:ilvl="0">
      <w:start w:val="1"/>
      <w:numFmt w:val="decimal"/>
      <w:pStyle w:val="ListNumber"/>
      <w:lvlText w:val="%1."/>
      <w:lvlJc w:val="left"/>
      <w:pPr>
        <w:tabs>
          <w:tab w:val="num" w:pos="360"/>
        </w:tabs>
        <w:ind w:left="360" w:hanging="360"/>
      </w:pPr>
    </w:lvl>
  </w:abstractNum>
  <w:abstractNum w:abstractNumId="7">
    <w:nsid w:val="FFFFFF89"/>
    <w:multiLevelType w:val="singleLevel"/>
    <w:tmpl w:val="24D422A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75C728A"/>
    <w:multiLevelType w:val="hybridMultilevel"/>
    <w:tmpl w:val="8B8852AC"/>
    <w:lvl w:ilvl="0" w:tplc="2B84F570">
      <w:start w:val="1"/>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3"/>
  </w:num>
  <w:num w:numId="14">
    <w:abstractNumId w:val="21"/>
  </w:num>
  <w:num w:numId="15">
    <w:abstractNumId w:val="12"/>
  </w:num>
  <w:num w:numId="16">
    <w:abstractNumId w:val="14"/>
  </w:num>
  <w:num w:numId="17">
    <w:abstractNumId w:val="10"/>
  </w:num>
  <w:num w:numId="18">
    <w:abstractNumId w:val="20"/>
  </w:num>
  <w:num w:numId="19">
    <w:abstractNumId w:val="9"/>
  </w:num>
  <w:num w:numId="20">
    <w:abstractNumId w:val="15"/>
  </w:num>
  <w:num w:numId="21">
    <w:abstractNumId w:val="17"/>
  </w:num>
  <w:num w:numId="22">
    <w:abstractNumId w:val="18"/>
  </w:num>
  <w:num w:numId="23">
    <w:abstractNumId w:val="11"/>
  </w:num>
  <w:num w:numId="24">
    <w:abstractNumId w:val="16"/>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hideSpellingErrors/>
  <w:hideGrammaticalErrors/>
  <w:attachedTemplate r:id="rId1"/>
  <w:revisionView w:markup="0"/>
  <w:defaultTabStop w:val="720"/>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6-18 08:46:1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1"/>
    <w:docVar w:name="DQCResult_UnknownFonts" w:val="0;0"/>
    <w:docVar w:name="DQCResult_UnknownStyles" w:val="0;1"/>
    <w:docVar w:name="DQCStatus" w:val="Green"/>
    <w:docVar w:name="DQCVersion" w:val="3"/>
    <w:docVar w:name="DQCWithWarnings" w:val="0"/>
    <w:docVar w:name="LW_ACCOMPAGNANT" w:val="til"/>
    <w:docVar w:name="LW_ACCOMPAGNANT.CP" w:val="til"/>
    <w:docVar w:name="LW_ANNEX_NBR_FIRST" w:val="1"/>
    <w:docVar w:name="LW_ANNEX_NBR_LAST" w:val="1"/>
    <w:docVar w:name="LW_ANNEX_UNIQUE" w:val="1"/>
    <w:docVar w:name="LW_CORRIGENDUM" w:val="&lt;UNUSED&gt;"/>
    <w:docVar w:name="LW_COVERPAGE_EXISTS" w:val="True"/>
    <w:docVar w:name="LW_COVERPAGE_GUID" w:val="C4CD7E31-A6FA-4160-ACDA-121B538FE832"/>
    <w:docVar w:name="LW_COVERPAGE_TYPE" w:val="1"/>
    <w:docVar w:name="LW_CROSSREFERENCE" w:val="{SWD(2020) 108 final}"/>
    <w:docVar w:name="LW_DocType" w:val="ANNEX"/>
    <w:docVar w:name="LW_EMISSION" w:val="18.6.2020"/>
    <w:docVar w:name="LW_EMISSION_ISODATE" w:val="2020-06-18"/>
    <w:docVar w:name="LW_EMISSION_LOCATION" w:val="BRX"/>
    <w:docVar w:name="LW_EMISSION_PREFIX" w:val="Bruxelles, den "/>
    <w:docVar w:name="LW_EMISSION_SUFFIX" w:val=" "/>
    <w:docVar w:name="LW_ID_DOCSTRUCTURE" w:val="COM/ANNEX"/>
    <w:docVar w:name="LW_ID_DOCTYPE" w:val="SG-017"/>
    <w:docVar w:name="LW_LANGUE" w:val="DA"/>
    <w:docVar w:name="LW_LEVEL_OF_SENSITIVITY" w:val="Standard treatment"/>
    <w:docVar w:name="LW_NOM.INST" w:val="EUROPA-KOMMISSIONEN"/>
    <w:docVar w:name="LW_NOM.INST_JOINTDOC" w:val="&lt;EMPTY&gt;"/>
    <w:docVar w:name="LW_OBJETACTEPRINCIPAL" w:val="om bemyndigelse af Portugal til at anvende en reduceret punktafgiftssats på visse alkoholholdige produkter i de selvstyrende regioner Madeira og Azorerne"/>
    <w:docVar w:name="LW_OBJETACTEPRINCIPAL.CP" w:val="om bemyndigelse af Portugal til at anvende en reduceret punktafgiftssats på visse alkoholholdige produkter i de selvstyrende regioner Madeira og Azorerne"/>
    <w:docVar w:name="LW_PART_NBR" w:val="1"/>
    <w:docVar w:name="LW_PART_NBR_TOTAL" w:val="1"/>
    <w:docVar w:name="LW_REF.INST.NEW" w:val="COM"/>
    <w:docVar w:name="LW_REF.INST.NEW_ADOPTED" w:val="final"/>
    <w:docVar w:name="LW_REF.INST.NEW_TEXT" w:val="(2020) 24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BILAG"/>
    <w:docVar w:name="LW_TYPE.DOC.CP" w:val="BILAG"/>
    <w:docVar w:name="LW_TYPEACTEPRINCIPAL" w:val="Forslag til Rådets afgørelse"/>
    <w:docVar w:name="LW_TYPEACTEPRINCIPAL.CP" w:val="Forslag til Rådets afgørels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Pr>
      <w:rFonts w:eastAsia="Times New Roman"/>
      <w:sz w:val="20"/>
      <w:szCs w:val="20"/>
      <w:lang w:eastAsia="fr-FR"/>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lang w:val="da-DK" w:eastAsia="fr-FR"/>
    </w:rPr>
  </w:style>
  <w:style w:type="paragraph" w:styleId="ListParagraph">
    <w:name w:val="List Paragraph"/>
    <w:basedOn w:val="Normal"/>
    <w:uiPriority w:val="34"/>
    <w:qFormat/>
    <w:pPr>
      <w:spacing w:before="0" w:after="0"/>
      <w:ind w:left="720"/>
      <w:jc w:val="left"/>
    </w:pPr>
    <w:rPr>
      <w:rFonts w:ascii="Calibri" w:eastAsia="Calibri" w:hAnsi="Calibri" w:cs="Calibri"/>
      <w:sz w:val="22"/>
    </w:rPr>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CommentSubject">
    <w:name w:val="annotation subject"/>
    <w:basedOn w:val="CommentText"/>
    <w:next w:val="CommentText"/>
    <w:link w:val="CommentSubjectChar"/>
    <w:uiPriority w:val="99"/>
    <w:semiHidden/>
    <w:unhideWhenUsed/>
    <w:rPr>
      <w:rFonts w:eastAsiaTheme="minorHAnsi"/>
      <w:b/>
      <w:bCs/>
      <w:lang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da-DK" w:eastAsia="fr-FR"/>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da-DK"/>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Pr>
      <w:rFonts w:eastAsia="Times New Roman"/>
      <w:sz w:val="20"/>
      <w:szCs w:val="20"/>
      <w:lang w:eastAsia="fr-FR"/>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lang w:val="da-DK" w:eastAsia="fr-FR"/>
    </w:rPr>
  </w:style>
  <w:style w:type="paragraph" w:styleId="ListParagraph">
    <w:name w:val="List Paragraph"/>
    <w:basedOn w:val="Normal"/>
    <w:uiPriority w:val="34"/>
    <w:qFormat/>
    <w:pPr>
      <w:spacing w:before="0" w:after="0"/>
      <w:ind w:left="720"/>
      <w:jc w:val="left"/>
    </w:pPr>
    <w:rPr>
      <w:rFonts w:ascii="Calibri" w:eastAsia="Calibri" w:hAnsi="Calibri" w:cs="Calibri"/>
      <w:sz w:val="22"/>
    </w:rPr>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CommentSubject">
    <w:name w:val="annotation subject"/>
    <w:basedOn w:val="CommentText"/>
    <w:next w:val="CommentText"/>
    <w:link w:val="CommentSubjectChar"/>
    <w:uiPriority w:val="99"/>
    <w:semiHidden/>
    <w:unhideWhenUsed/>
    <w:rPr>
      <w:rFonts w:eastAsiaTheme="minorHAnsi"/>
      <w:b/>
      <w:bCs/>
      <w:lang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da-DK" w:eastAsia="fr-FR"/>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da-DK"/>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FCD87F0-68E6-4391-A403-E5DC8067F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5</Pages>
  <Words>679</Words>
  <Characters>4254</Characters>
  <Application>Microsoft Office Word</Application>
  <DocSecurity>0</DocSecurity>
  <Lines>386</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ANDREOU Alexandra (TAXUD)</dc:creator>
  <cp:keywords/>
  <dc:description/>
  <cp:lastModifiedBy>WES PDFC Administrator</cp:lastModifiedBy>
  <cp:revision>10</cp:revision>
  <dcterms:created xsi:type="dcterms:W3CDTF">2020-06-08T13:41:00Z</dcterms:created>
  <dcterms:modified xsi:type="dcterms:W3CDTF">2020-06-18T06:46:00Z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