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9CC953D-16B4-4308-B6AF-1626542A6475"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p>
    <w:p>
      <w:pPr>
        <w:jc w:val="center"/>
        <w:rPr>
          <w:b/>
          <w:noProof/>
          <w:szCs w:val="24"/>
        </w:rPr>
      </w:pPr>
    </w:p>
    <w:p>
      <w:pPr>
        <w:jc w:val="center"/>
        <w:rPr>
          <w:b/>
          <w:noProof/>
          <w:szCs w:val="24"/>
        </w:rPr>
      </w:pPr>
      <w:r>
        <w:rPr>
          <w:b/>
          <w:noProof/>
        </w:rPr>
        <w:t>In het in artikel 6 bedoelde monitoringverslag op te nemen informatie:</w:t>
      </w:r>
    </w:p>
    <w:p>
      <w:pPr>
        <w:jc w:val="center"/>
        <w:rPr>
          <w:noProof/>
          <w:szCs w:val="24"/>
        </w:rPr>
      </w:pPr>
    </w:p>
    <w:p>
      <w:pPr>
        <w:pStyle w:val="NumPar1"/>
        <w:numPr>
          <w:ilvl w:val="0"/>
          <w:numId w:val="10"/>
        </w:numPr>
        <w:rPr>
          <w:noProof/>
        </w:rPr>
      </w:pPr>
      <w:r>
        <w:rPr>
          <w:noProof/>
          <w:u w:val="single"/>
        </w:rPr>
        <w:t>Geraamde extra kosten</w:t>
      </w:r>
      <w:r>
        <w:rPr>
          <w:noProof/>
        </w:rPr>
        <w:t>. Informatie wordt verstrekt voor ieder product waarop een verlaagd accijnstarief wordt toegepast. De Portugese autoriteiten vullen tabel 1 in met ten minste de volgende gegevens, voor zover beschikbaar. De informatie in de tabel is toereikend om te bepalen of er extra kosten zijn die de kosten van lokaal vervaardigde producten doen stijgen ten opzichte van elders geproduceerde producten.</w:t>
      </w:r>
    </w:p>
    <w:p>
      <w:pPr>
        <w:rPr>
          <w:noProof/>
        </w:rPr>
      </w:pPr>
      <w:r>
        <w:rPr>
          <w:noProof/>
        </w:rPr>
        <w:t>Tabel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643"/>
        <w:gridCol w:w="1499"/>
        <w:gridCol w:w="1496"/>
      </w:tblGrid>
      <w:tr>
        <w:tc>
          <w:tcPr>
            <w:tcW w:w="3939" w:type="dxa"/>
            <w:tcBorders>
              <w:top w:val="single" w:sz="4" w:space="0" w:color="auto"/>
              <w:left w:val="single" w:sz="4" w:space="0" w:color="auto"/>
              <w:bottom w:val="single" w:sz="4" w:space="0" w:color="auto"/>
              <w:right w:val="single" w:sz="4" w:space="0" w:color="auto"/>
            </w:tcBorders>
          </w:tcPr>
          <w:p>
            <w:pPr>
              <w:pStyle w:val="ListParagraph"/>
              <w:ind w:left="0"/>
              <w:rPr>
                <w:rFonts w:ascii="Times New Roman" w:hAnsi="Times New Roman" w:cs="Times New Roman"/>
                <w:noProof/>
              </w:rPr>
            </w:pPr>
          </w:p>
        </w:tc>
        <w:tc>
          <w:tcPr>
            <w:tcW w:w="1662"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MADEIRA (EUR)</w:t>
            </w:r>
          </w:p>
        </w:tc>
        <w:tc>
          <w:tcPr>
            <w:tcW w:w="1517"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DE AZOREN (EUR)</w:t>
            </w:r>
          </w:p>
        </w:tc>
        <w:tc>
          <w:tcPr>
            <w:tcW w:w="1353"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Opmerkingen</w:t>
            </w:r>
            <w:r>
              <w:rPr>
                <w:rFonts w:ascii="Times New Roman" w:hAnsi="Times New Roman"/>
                <w:noProof/>
                <w:vertAlign w:val="superscript"/>
              </w:rPr>
              <w:t>2</w:t>
            </w: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Prijs suikerriet (per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Prijs passievruchten (per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Prijs limoenvruchten (per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Prijs alcohol (per hza</w:t>
            </w:r>
            <w:r>
              <w:rPr>
                <w:rFonts w:ascii="Times New Roman" w:hAnsi="Times New Roman"/>
                <w:noProof/>
                <w:vertAlign w:val="superscript"/>
              </w:rPr>
              <w:t>3</w:t>
            </w:r>
            <w:r>
              <w:rPr>
                <w:rFonts w:ascii="Times New Roman" w:hAnsi="Times New Roman"/>
                <w:noProof/>
              </w:rPr>
              <w:t xml:space="preserve"> - exclusief belastingen)</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Vrachtkosten (per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Overige kosten</w:t>
            </w:r>
            <w:r>
              <w:rPr>
                <w:rFonts w:ascii="Times New Roman" w:hAnsi="Times New Roman"/>
                <w:iCs/>
                <w:noProof/>
                <w:sz w:val="18"/>
                <w:szCs w:val="18"/>
                <w:vertAlign w:val="superscript"/>
              </w:rPr>
              <w:t>1</w:t>
            </w:r>
            <w:r>
              <w:rPr>
                <w:rFonts w:ascii="Times New Roman" w:hAnsi="Times New Roman"/>
                <w:noProof/>
              </w:rPr>
              <w:t xml:space="preserve"> </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bl>
    <w:p>
      <w:pPr>
        <w:rPr>
          <w:iCs/>
          <w:noProof/>
          <w:sz w:val="18"/>
          <w:szCs w:val="18"/>
        </w:rPr>
      </w:pPr>
      <w:r>
        <w:rPr>
          <w:iCs/>
          <w:noProof/>
          <w:sz w:val="18"/>
          <w:szCs w:val="18"/>
        </w:rPr>
        <w:t>Noten bij de tabel:</w:t>
      </w:r>
    </w:p>
    <w:p>
      <w:pPr>
        <w:rPr>
          <w:iCs/>
          <w:noProof/>
          <w:sz w:val="18"/>
          <w:szCs w:val="18"/>
        </w:rPr>
      </w:pPr>
      <w:r>
        <w:rPr>
          <w:iCs/>
          <w:noProof/>
          <w:sz w:val="18"/>
          <w:szCs w:val="18"/>
        </w:rPr>
        <w:t>1. Verstrek informatie over de kosten van water, energie en afval, de kosten voor verscheidene vestigingen en andere toepasselijke kosten.</w:t>
      </w:r>
    </w:p>
    <w:p>
      <w:pPr>
        <w:rPr>
          <w:iCs/>
          <w:noProof/>
          <w:sz w:val="18"/>
          <w:szCs w:val="18"/>
        </w:rPr>
      </w:pPr>
      <w:r>
        <w:rPr>
          <w:iCs/>
          <w:noProof/>
          <w:sz w:val="18"/>
          <w:szCs w:val="18"/>
        </w:rPr>
        <w:t>2. Verstrek informatie over alle specificaties en toelichtingen die aan de berekeningsmethoden ten grondslag liggen.</w:t>
      </w:r>
    </w:p>
    <w:p>
      <w:pPr>
        <w:rPr>
          <w:iCs/>
          <w:noProof/>
          <w:sz w:val="18"/>
          <w:szCs w:val="18"/>
        </w:rPr>
      </w:pPr>
      <w:r>
        <w:rPr>
          <w:iCs/>
          <w:noProof/>
          <w:sz w:val="18"/>
          <w:szCs w:val="18"/>
        </w:rPr>
        <w:t>3. Hectoliter zuivere alcohol.</w:t>
      </w:r>
    </w:p>
    <w:p>
      <w:pPr>
        <w:rPr>
          <w:noProof/>
        </w:rPr>
      </w:pPr>
    </w:p>
    <w:p>
      <w:pPr>
        <w:pStyle w:val="NumPar1"/>
        <w:rPr>
          <w:noProof/>
          <w:u w:val="single"/>
        </w:rPr>
      </w:pPr>
      <w:r>
        <w:rPr>
          <w:noProof/>
          <w:u w:val="single"/>
        </w:rPr>
        <w:t>Andere subsidies</w:t>
      </w:r>
      <w:r>
        <w:rPr>
          <w:noProof/>
        </w:rPr>
        <w:t>. De Portugese autoriteiten vullen tabel 2 in voor iedere regio, onder vermelding van alle andere bijstand en steunmaatregelen op grond van de extra exploitatiekosten van de ondernemingen in verband met de ultraperifere ligging van de regio’s Madeira en de Azoren.</w:t>
      </w:r>
    </w:p>
    <w:p>
      <w:pPr>
        <w:rPr>
          <w:noProof/>
        </w:rPr>
      </w:pPr>
      <w:r>
        <w:rPr>
          <w:noProof/>
        </w:rPr>
        <w:t>Tabel 2.</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150"/>
        <w:gridCol w:w="909"/>
        <w:gridCol w:w="1230"/>
        <w:gridCol w:w="1230"/>
        <w:gridCol w:w="1483"/>
        <w:gridCol w:w="1443"/>
        <w:gridCol w:w="1657"/>
      </w:tblGrid>
      <w:tr>
        <w:tc>
          <w:tcPr>
            <w:tcW w:w="77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Bijstand / steun-maatregel</w:t>
            </w:r>
            <w:r>
              <w:rPr>
                <w:b/>
                <w:bCs/>
                <w:noProof/>
                <w:vertAlign w:val="superscript"/>
              </w:rPr>
              <w:t>1</w:t>
            </w:r>
          </w:p>
        </w:tc>
        <w:tc>
          <w:tcPr>
            <w:tcW w:w="487"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Termijn</w:t>
            </w:r>
            <w:r>
              <w:rPr>
                <w:b/>
                <w:bCs/>
                <w:noProof/>
                <w:vertAlign w:val="superscript"/>
              </w:rPr>
              <w:t>2</w:t>
            </w:r>
            <w:r>
              <w:rPr>
                <w:b/>
                <w:bCs/>
                <w:noProof/>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Doel-sector</w:t>
            </w:r>
            <w:r>
              <w:rPr>
                <w:b/>
                <w:bCs/>
                <w:i/>
                <w:iCs/>
                <w:noProof/>
                <w:vertAlign w:val="superscript"/>
              </w:rPr>
              <w:t>3</w:t>
            </w:r>
          </w:p>
        </w:tc>
        <w:tc>
          <w:tcPr>
            <w:tcW w:w="50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Begroting in EUR</w:t>
            </w:r>
            <w:r>
              <w:rPr>
                <w:b/>
                <w:bCs/>
                <w:i/>
                <w:iCs/>
                <w:noProof/>
                <w:vertAlign w:val="superscript"/>
              </w:rPr>
              <w:t>4</w:t>
            </w:r>
          </w:p>
        </w:tc>
        <w:tc>
          <w:tcPr>
            <w:tcW w:w="749"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Jaarlijkse uitgaven, in EUR (2019-2024)</w:t>
            </w:r>
            <w:r>
              <w:rPr>
                <w:b/>
                <w:bCs/>
                <w:i/>
                <w:iCs/>
                <w:noProof/>
                <w:vertAlign w:val="superscript"/>
              </w:rPr>
              <w:t>5</w:t>
            </w:r>
          </w:p>
        </w:tc>
        <w:tc>
          <w:tcPr>
            <w:tcW w:w="852"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Aandeel van de begroting ter compensatie van extra kosten</w:t>
            </w:r>
            <w:r>
              <w:rPr>
                <w:b/>
                <w:bCs/>
                <w:i/>
                <w:iCs/>
                <w:noProof/>
                <w:vertAlign w:val="superscript"/>
              </w:rPr>
              <w:t>6</w:t>
            </w:r>
            <w:r>
              <w:rPr>
                <w:b/>
                <w:bCs/>
                <w:noProof/>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 xml:space="preserve">Geraamd </w:t>
            </w:r>
            <w:r>
              <w:rPr>
                <w:b/>
                <w:bCs/>
                <w:noProof/>
              </w:rPr>
              <w:br/>
              <w:t>aantal begunstigde onder-nemingen</w:t>
            </w:r>
            <w:r>
              <w:rPr>
                <w:b/>
                <w:bCs/>
                <w:i/>
                <w:iCs/>
                <w:noProof/>
                <w:vertAlign w:val="superscript"/>
              </w:rPr>
              <w:t>7</w:t>
            </w:r>
            <w:r>
              <w:rPr>
                <w:b/>
                <w:bCs/>
                <w:noProof/>
              </w:rPr>
              <w:t xml:space="preserve"> </w:t>
            </w:r>
          </w:p>
        </w:tc>
        <w:tc>
          <w:tcPr>
            <w:tcW w:w="507"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i/>
                <w:iCs/>
                <w:noProof/>
              </w:rPr>
              <w:t>Opmerkingen</w:t>
            </w:r>
            <w:r>
              <w:rPr>
                <w:b/>
                <w:bCs/>
                <w:i/>
                <w:iCs/>
                <w:noProof/>
                <w:vertAlign w:val="superscript"/>
              </w:rPr>
              <w:t>8</w:t>
            </w:r>
          </w:p>
        </w:tc>
      </w:tr>
      <w:tr>
        <w:tc>
          <w:tcPr>
            <w:tcW w:w="771" w:type="pct"/>
            <w:tcBorders>
              <w:top w:val="single" w:sz="4" w:space="0" w:color="auto"/>
              <w:left w:val="single" w:sz="4" w:space="0" w:color="auto"/>
              <w:bottom w:val="single" w:sz="4" w:space="0" w:color="auto"/>
              <w:right w:val="single" w:sz="4" w:space="0" w:color="auto"/>
            </w:tcBorders>
            <w:hideMark/>
          </w:tcPr>
          <w:p>
            <w:pPr>
              <w:rPr>
                <w:i/>
                <w:iCs/>
                <w:noProof/>
              </w:rPr>
            </w:pPr>
            <w:r>
              <w:rPr>
                <w:i/>
                <w:iCs/>
                <w:noProof/>
              </w:rPr>
              <w:t>[lijst]</w:t>
            </w:r>
          </w:p>
        </w:tc>
        <w:tc>
          <w:tcPr>
            <w:tcW w:w="487"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500" w:type="pct"/>
            <w:tcBorders>
              <w:top w:val="single" w:sz="4" w:space="0" w:color="auto"/>
              <w:left w:val="single" w:sz="4" w:space="0" w:color="auto"/>
              <w:bottom w:val="single" w:sz="4" w:space="0" w:color="auto"/>
              <w:right w:val="single" w:sz="4" w:space="0" w:color="auto"/>
            </w:tcBorders>
          </w:tcPr>
          <w:p>
            <w:pPr>
              <w:rPr>
                <w:noProof/>
              </w:rPr>
            </w:pPr>
          </w:p>
        </w:tc>
        <w:tc>
          <w:tcPr>
            <w:tcW w:w="749" w:type="pct"/>
            <w:tcBorders>
              <w:top w:val="single" w:sz="4" w:space="0" w:color="auto"/>
              <w:left w:val="single" w:sz="4" w:space="0" w:color="auto"/>
              <w:bottom w:val="single" w:sz="4" w:space="0" w:color="auto"/>
              <w:right w:val="single" w:sz="4" w:space="0" w:color="auto"/>
            </w:tcBorders>
          </w:tcPr>
          <w:p>
            <w:pPr>
              <w:rPr>
                <w:noProof/>
              </w:rPr>
            </w:pPr>
          </w:p>
        </w:tc>
        <w:tc>
          <w:tcPr>
            <w:tcW w:w="852" w:type="pct"/>
            <w:tcBorders>
              <w:top w:val="single" w:sz="4" w:space="0" w:color="auto"/>
              <w:left w:val="single" w:sz="4" w:space="0" w:color="auto"/>
              <w:bottom w:val="single" w:sz="4" w:space="0" w:color="auto"/>
              <w:right w:val="single" w:sz="4" w:space="0" w:color="auto"/>
            </w:tcBorders>
          </w:tcPr>
          <w:p>
            <w:pPr>
              <w:rPr>
                <w:noProof/>
              </w:rPr>
            </w:pPr>
          </w:p>
        </w:tc>
        <w:tc>
          <w:tcPr>
            <w:tcW w:w="679" w:type="pct"/>
            <w:tcBorders>
              <w:top w:val="single" w:sz="4" w:space="0" w:color="auto"/>
              <w:left w:val="single" w:sz="4" w:space="0" w:color="auto"/>
              <w:bottom w:val="single" w:sz="4" w:space="0" w:color="auto"/>
              <w:right w:val="single" w:sz="4" w:space="0" w:color="auto"/>
            </w:tcBorders>
          </w:tcPr>
          <w:p>
            <w:pPr>
              <w:rPr>
                <w:noProof/>
              </w:rPr>
            </w:pPr>
          </w:p>
        </w:tc>
        <w:tc>
          <w:tcPr>
            <w:tcW w:w="507"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Noten bij de tabel</w:t>
      </w:r>
      <w:r>
        <w:rPr>
          <w:iCs/>
          <w:noProof/>
          <w:sz w:val="18"/>
          <w:szCs w:val="18"/>
        </w:rPr>
        <w:t xml:space="preserve">: </w:t>
      </w:r>
    </w:p>
    <w:p>
      <w:pPr>
        <w:pStyle w:val="Point0number"/>
        <w:numPr>
          <w:ilvl w:val="0"/>
          <w:numId w:val="11"/>
        </w:numPr>
        <w:rPr>
          <w:noProof/>
          <w:sz w:val="18"/>
          <w:szCs w:val="18"/>
        </w:rPr>
      </w:pPr>
      <w:r>
        <w:rPr>
          <w:noProof/>
          <w:sz w:val="18"/>
          <w:szCs w:val="18"/>
        </w:rPr>
        <w:t xml:space="preserve">Benaming en soort maatregel. </w:t>
      </w:r>
    </w:p>
    <w:p>
      <w:pPr>
        <w:pStyle w:val="Point0number"/>
        <w:rPr>
          <w:noProof/>
          <w:sz w:val="18"/>
          <w:szCs w:val="18"/>
        </w:rPr>
      </w:pPr>
      <w:r>
        <w:rPr>
          <w:noProof/>
          <w:sz w:val="18"/>
          <w:szCs w:val="18"/>
        </w:rPr>
        <w:t xml:space="preserve">Informatie over de jaren waarvoor de maatregel geldt. </w:t>
      </w:r>
    </w:p>
    <w:p>
      <w:pPr>
        <w:pStyle w:val="Point0number"/>
        <w:rPr>
          <w:noProof/>
          <w:sz w:val="18"/>
          <w:szCs w:val="18"/>
        </w:rPr>
      </w:pPr>
      <w:r>
        <w:rPr>
          <w:noProof/>
          <w:sz w:val="18"/>
          <w:szCs w:val="18"/>
        </w:rPr>
        <w:t xml:space="preserve">Informatie uitsluitend over sectorspecifieke maatregelen. </w:t>
      </w:r>
    </w:p>
    <w:p>
      <w:pPr>
        <w:pStyle w:val="Point0number"/>
        <w:rPr>
          <w:noProof/>
          <w:sz w:val="18"/>
          <w:szCs w:val="18"/>
        </w:rPr>
      </w:pPr>
      <w:r>
        <w:rPr>
          <w:noProof/>
          <w:sz w:val="18"/>
          <w:szCs w:val="18"/>
        </w:rPr>
        <w:t>Informatie over de totale begroting van de maatregel en de financieringsbronnen.</w:t>
      </w:r>
    </w:p>
    <w:p>
      <w:pPr>
        <w:pStyle w:val="Point0number"/>
        <w:rPr>
          <w:noProof/>
          <w:sz w:val="18"/>
          <w:szCs w:val="18"/>
        </w:rPr>
      </w:pPr>
      <w:r>
        <w:rPr>
          <w:noProof/>
          <w:sz w:val="18"/>
          <w:szCs w:val="18"/>
        </w:rPr>
        <w:t>Informatie over de reële uitgaven per jaar in de monitoringperiode (2019-2024), indien beschikbaar.</w:t>
      </w:r>
    </w:p>
    <w:p>
      <w:pPr>
        <w:pStyle w:val="Point0number"/>
        <w:rPr>
          <w:noProof/>
          <w:sz w:val="18"/>
          <w:szCs w:val="18"/>
        </w:rPr>
      </w:pPr>
      <w:r>
        <w:rPr>
          <w:noProof/>
          <w:sz w:val="18"/>
          <w:szCs w:val="18"/>
        </w:rPr>
        <w:t>Globale raming, als percentage van de totale begroting.</w:t>
      </w:r>
    </w:p>
    <w:p>
      <w:pPr>
        <w:pStyle w:val="Point0number"/>
        <w:rPr>
          <w:noProof/>
          <w:sz w:val="18"/>
          <w:szCs w:val="18"/>
        </w:rPr>
      </w:pPr>
      <w:r>
        <w:rPr>
          <w:noProof/>
          <w:sz w:val="18"/>
          <w:szCs w:val="18"/>
        </w:rPr>
        <w:t xml:space="preserve">Globale raming, indien mogelijk. </w:t>
      </w:r>
    </w:p>
    <w:p>
      <w:pPr>
        <w:pStyle w:val="Point0number"/>
        <w:rPr>
          <w:noProof/>
          <w:sz w:val="18"/>
          <w:szCs w:val="18"/>
        </w:rPr>
      </w:pPr>
      <w:r>
        <w:rPr>
          <w:noProof/>
          <w:sz w:val="18"/>
          <w:szCs w:val="18"/>
        </w:rPr>
        <w:t xml:space="preserve">Toelichtingen en verduidelijkingen. </w:t>
      </w:r>
    </w:p>
    <w:p>
      <w:pPr>
        <w:rPr>
          <w:noProof/>
          <w:szCs w:val="20"/>
          <w:u w:val="single"/>
        </w:rPr>
      </w:pPr>
    </w:p>
    <w:p>
      <w:pPr>
        <w:pStyle w:val="NumPar1"/>
        <w:rPr>
          <w:noProof/>
          <w:u w:val="single"/>
        </w:rPr>
      </w:pPr>
      <w:r>
        <w:rPr>
          <w:noProof/>
          <w:u w:val="single"/>
        </w:rPr>
        <w:t>Gevolgen voor de overheidsbegroting</w:t>
      </w:r>
      <w:r>
        <w:rPr>
          <w:noProof/>
        </w:rPr>
        <w:t>. De Portugese autoriteiten vullen tabel 3 in met het geraamde totaalbedrag (in EUR) aan niet geïnde belastingen vanwege de toegepaste belastingdifferentiatie.</w:t>
      </w:r>
    </w:p>
    <w:p>
      <w:pPr>
        <w:rPr>
          <w:noProof/>
        </w:rPr>
      </w:pPr>
      <w:r>
        <w:rPr>
          <w:noProof/>
        </w:rPr>
        <w:t>Tabel 3.</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850"/>
        <w:gridCol w:w="851"/>
        <w:gridCol w:w="709"/>
        <w:gridCol w:w="708"/>
        <w:gridCol w:w="851"/>
      </w:tblGrid>
      <w:tr>
        <w:tc>
          <w:tcPr>
            <w:tcW w:w="2268"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2019</w:t>
            </w:r>
          </w:p>
        </w:tc>
        <w:tc>
          <w:tcPr>
            <w:tcW w:w="850"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2020</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2021</w:t>
            </w: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2022</w:t>
            </w:r>
          </w:p>
        </w:tc>
        <w:tc>
          <w:tcPr>
            <w:tcW w:w="708"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2023</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2024</w:t>
            </w:r>
          </w:p>
        </w:tc>
      </w:tr>
      <w:tr>
        <w:tc>
          <w:tcPr>
            <w:tcW w:w="2268" w:type="dxa"/>
            <w:tcBorders>
              <w:top w:val="single" w:sz="4" w:space="0" w:color="auto"/>
              <w:left w:val="single" w:sz="4" w:space="0" w:color="auto"/>
              <w:bottom w:val="single" w:sz="4" w:space="0" w:color="auto"/>
              <w:right w:val="single" w:sz="4" w:space="0" w:color="auto"/>
            </w:tcBorders>
            <w:hideMark/>
          </w:tcPr>
          <w:p>
            <w:pPr>
              <w:rPr>
                <w:noProof/>
              </w:rPr>
            </w:pPr>
            <w:r>
              <w:rPr>
                <w:noProof/>
              </w:rPr>
              <w:t>Gederfde belastinginkomsten</w:t>
            </w: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850"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708"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r>
    </w:tbl>
    <w:p>
      <w:pPr>
        <w:rPr>
          <w:noProof/>
          <w:szCs w:val="20"/>
          <w:u w:val="single"/>
        </w:rPr>
      </w:pPr>
    </w:p>
    <w:p>
      <w:pPr>
        <w:pStyle w:val="NumPar1"/>
        <w:rPr>
          <w:noProof/>
        </w:rPr>
      </w:pPr>
      <w:r>
        <w:rPr>
          <w:noProof/>
          <w:u w:val="single"/>
        </w:rPr>
        <w:t>Gevolgen voor de algemene economische prestaties</w:t>
      </w:r>
      <w:r>
        <w:rPr>
          <w:noProof/>
        </w:rPr>
        <w:t>. De Portugese autoriteiten vullen tabel 4 in voor iedere regio en verstrekken gegevens waaruit blijkt wat de gevolgen van de verlaagde accijnzen op de sociaaleconomische ontwikkeling van de regio’s zijn. De indicatoren in de tabel hebben betrekking op de prestaties van de ondersteunde sector in vergelijking met de algemene prestaties van de economie van Madeira en de Azoren. Indien sommige indicatoren niet beschikbaar zijn, worden alternatieve rapportagegegevens over de gevolgen voor de algemene economische prestaties opgenomen om de sociaaleconomische impact te analyseren.</w:t>
      </w:r>
    </w:p>
    <w:p>
      <w:pPr>
        <w:rPr>
          <w:noProof/>
        </w:rPr>
      </w:pPr>
      <w:r>
        <w:rPr>
          <w:noProof/>
        </w:rPr>
        <w:t>Tabel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786"/>
        <w:gridCol w:w="786"/>
        <w:gridCol w:w="786"/>
        <w:gridCol w:w="786"/>
        <w:gridCol w:w="786"/>
        <w:gridCol w:w="786"/>
        <w:gridCol w:w="1657"/>
      </w:tblGrid>
      <w:tr>
        <w:tc>
          <w:tcPr>
            <w:tcW w:w="1617" w:type="pct"/>
            <w:tcBorders>
              <w:top w:val="single" w:sz="4" w:space="0" w:color="auto"/>
              <w:left w:val="single" w:sz="4" w:space="0" w:color="auto"/>
              <w:bottom w:val="single" w:sz="4" w:space="0" w:color="auto"/>
              <w:right w:val="single" w:sz="4" w:space="0" w:color="auto"/>
            </w:tcBorders>
            <w:shd w:val="clear" w:color="auto" w:fill="E7E6E6"/>
            <w:hideMark/>
          </w:tcPr>
          <w:p>
            <w:pPr>
              <w:jc w:val="right"/>
              <w:rPr>
                <w:b/>
                <w:bCs/>
                <w:noProof/>
              </w:rPr>
            </w:pPr>
            <w:r>
              <w:rPr>
                <w:b/>
                <w:bCs/>
                <w:noProof/>
              </w:rPr>
              <w:t>Jaar</w:t>
            </w:r>
            <w:r>
              <w:rPr>
                <w:b/>
                <w:bCs/>
                <w:noProof/>
                <w:vertAlign w:val="superscript"/>
              </w:rPr>
              <w:t>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2019</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2020</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2021</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2023</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2024</w:t>
            </w:r>
          </w:p>
        </w:tc>
        <w:tc>
          <w:tcPr>
            <w:tcW w:w="562"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noProof/>
              </w:rPr>
            </w:pPr>
            <w:r>
              <w:rPr>
                <w:b/>
                <w:bCs/>
                <w:i/>
                <w:iCs/>
                <w:noProof/>
              </w:rPr>
              <w:t>Opmerkingen</w:t>
            </w:r>
            <w:r>
              <w:rPr>
                <w:b/>
                <w:bCs/>
                <w:i/>
                <w:iCs/>
                <w:noProof/>
                <w:vertAlign w:val="superscript"/>
              </w:rPr>
              <w:t>3</w:t>
            </w: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Regionale bruto toegevoegde waarde </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In de ondersteunde sector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Algemene regionale werkgelegenheid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In de ondersteunde sector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Aantal actieve producenten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noProof/>
              </w:rPr>
            </w:pPr>
            <w:r>
              <w:rPr>
                <w:rFonts w:ascii="Times New Roman" w:hAnsi="Times New Roman"/>
                <w:i/>
                <w:iCs/>
                <w:noProof/>
              </w:rPr>
              <w:t>In de ondersteunde sector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Prijsindexcijfer - Portugal vasteland</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Prijsindexcijfer van de regio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Aantal toeristen in de regio</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Noten bij de tabel</w:t>
      </w:r>
      <w:r>
        <w:rPr>
          <w:iCs/>
          <w:noProof/>
          <w:sz w:val="18"/>
          <w:szCs w:val="18"/>
        </w:rPr>
        <w:t xml:space="preserve">: </w:t>
      </w:r>
    </w:p>
    <w:p>
      <w:pPr>
        <w:pStyle w:val="Point0number"/>
        <w:rPr>
          <w:noProof/>
          <w:sz w:val="18"/>
          <w:szCs w:val="18"/>
        </w:rPr>
      </w:pPr>
      <w:r>
        <w:rPr>
          <w:noProof/>
          <w:sz w:val="18"/>
          <w:szCs w:val="18"/>
        </w:rPr>
        <w:t xml:space="preserve">Informatie over de producenten van rum, likeuren en eaux de vie.    </w:t>
      </w:r>
    </w:p>
    <w:p>
      <w:pPr>
        <w:pStyle w:val="Point0number"/>
        <w:rPr>
          <w:noProof/>
          <w:sz w:val="18"/>
          <w:szCs w:val="18"/>
        </w:rPr>
      </w:pPr>
      <w:r>
        <w:rPr>
          <w:noProof/>
          <w:sz w:val="18"/>
          <w:szCs w:val="18"/>
        </w:rPr>
        <w:t>De informatie is mogelijk niet voor alle vermelde jaren beschikbaar.</w:t>
      </w:r>
    </w:p>
    <w:p>
      <w:pPr>
        <w:pStyle w:val="Point0number"/>
        <w:rPr>
          <w:noProof/>
          <w:sz w:val="18"/>
          <w:szCs w:val="18"/>
        </w:rPr>
      </w:pPr>
      <w:r>
        <w:rPr>
          <w:noProof/>
          <w:sz w:val="18"/>
          <w:szCs w:val="18"/>
        </w:rPr>
        <w:t>Eventuele relevante toelichtingen en verduidelijkingen.</w:t>
      </w:r>
    </w:p>
    <w:p>
      <w:pPr>
        <w:pStyle w:val="ListParagraph"/>
        <w:rPr>
          <w:rFonts w:ascii="Times New Roman" w:hAnsi="Times New Roman" w:cs="Times New Roman"/>
          <w:noProof/>
        </w:rPr>
      </w:pPr>
    </w:p>
    <w:p>
      <w:pPr>
        <w:pStyle w:val="NumPar1"/>
        <w:rPr>
          <w:noProof/>
        </w:rPr>
      </w:pPr>
      <w:r>
        <w:rPr>
          <w:noProof/>
          <w:u w:val="single"/>
        </w:rPr>
        <w:t>Specificaties van de regeling</w:t>
      </w:r>
      <w:r>
        <w:rPr>
          <w:noProof/>
        </w:rPr>
        <w:t xml:space="preserve">. De Portugese autoriteiten vullen tabel 5 in voor ieder product en voor elk van de regio’s Madeira en de Azoren. </w:t>
      </w:r>
    </w:p>
    <w:p>
      <w:pPr>
        <w:rPr>
          <w:noProof/>
        </w:rPr>
      </w:pPr>
      <w:r>
        <w:rPr>
          <w:noProof/>
        </w:rPr>
        <w:t>Tabel 5.</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696"/>
        <w:gridCol w:w="696"/>
        <w:gridCol w:w="707"/>
        <w:gridCol w:w="707"/>
        <w:gridCol w:w="707"/>
        <w:gridCol w:w="706"/>
      </w:tblGrid>
      <w:tr>
        <w:tc>
          <w:tcPr>
            <w:tcW w:w="456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Hoeveelheid (in hza</w:t>
            </w:r>
            <w:r>
              <w:rPr>
                <w:noProof/>
                <w:vertAlign w:val="superscript"/>
              </w:rPr>
              <w:t>1</w:t>
            </w:r>
            <w:r>
              <w:rPr>
                <w:noProof/>
              </w:rPr>
              <w:t>)</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2019</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2020</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2021</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2022</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2023</w:t>
            </w:r>
          </w:p>
        </w:tc>
        <w:tc>
          <w:tcPr>
            <w:tcW w:w="706" w:type="dxa"/>
            <w:tcBorders>
              <w:top w:val="single" w:sz="4" w:space="0" w:color="auto"/>
              <w:left w:val="single" w:sz="4" w:space="0" w:color="auto"/>
              <w:bottom w:val="single" w:sz="4" w:space="0" w:color="auto"/>
              <w:right w:val="single" w:sz="4" w:space="0" w:color="auto"/>
            </w:tcBorders>
            <w:hideMark/>
          </w:tcPr>
          <w:p>
            <w:pPr>
              <w:rPr>
                <w:noProof/>
              </w:rPr>
            </w:pPr>
            <w:r>
              <w:rPr>
                <w:noProof/>
              </w:rPr>
              <w:t>2024</w:t>
            </w: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Likeurproductie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Eaux de vie-productie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Rumproductie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Likeur verzonden naar het vasteland van Portugal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Likeur verzonden naar andere lidstaten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Likeuruitvoer naar derde landen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Eaux de vie verzonden naar het vasteland van Portugal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Eaux de vie verzonden naar andere lidstaten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Eaux de vie-uitvoer naar derde landen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Rum verzonden naar het vasteland van Portugal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Rum verzonden naar andere lidstaten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Rumuitvoer naar derde landen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bl>
    <w:p>
      <w:pPr>
        <w:rPr>
          <w:bCs/>
          <w:iCs/>
          <w:noProof/>
          <w:sz w:val="18"/>
          <w:szCs w:val="18"/>
        </w:rPr>
      </w:pPr>
      <w:r>
        <w:rPr>
          <w:bCs/>
          <w:iCs/>
          <w:noProof/>
          <w:sz w:val="18"/>
          <w:szCs w:val="18"/>
        </w:rPr>
        <w:t xml:space="preserve">Noten bij de tabel: </w:t>
      </w:r>
    </w:p>
    <w:p>
      <w:pPr>
        <w:rPr>
          <w:bCs/>
          <w:iCs/>
          <w:noProof/>
          <w:sz w:val="18"/>
          <w:szCs w:val="18"/>
        </w:rPr>
      </w:pPr>
      <w:r>
        <w:rPr>
          <w:bCs/>
          <w:iCs/>
          <w:noProof/>
          <w:sz w:val="18"/>
          <w:szCs w:val="18"/>
        </w:rPr>
        <w:t>1.</w:t>
      </w:r>
      <w:r>
        <w:rPr>
          <w:bCs/>
          <w:iCs/>
          <w:noProof/>
          <w:sz w:val="18"/>
          <w:szCs w:val="18"/>
        </w:rPr>
        <w:tab/>
        <w:t>Hectoliter zuivere alcohol</w:t>
      </w:r>
    </w:p>
    <w:p>
      <w:pPr>
        <w:rPr>
          <w:bCs/>
          <w:iCs/>
          <w:noProof/>
          <w:sz w:val="18"/>
          <w:szCs w:val="18"/>
        </w:rPr>
      </w:pPr>
    </w:p>
    <w:p>
      <w:pPr>
        <w:rPr>
          <w:bCs/>
          <w:iCs/>
          <w:noProof/>
          <w:sz w:val="18"/>
          <w:szCs w:val="18"/>
        </w:rPr>
      </w:pPr>
    </w:p>
    <w:p>
      <w:pPr>
        <w:pStyle w:val="NumPar1"/>
        <w:rPr>
          <w:noProof/>
        </w:rPr>
      </w:pPr>
      <w:r>
        <w:rPr>
          <w:noProof/>
          <w:u w:val="single"/>
        </w:rPr>
        <w:t>Onregelmatigheden</w:t>
      </w:r>
      <w:r>
        <w:rPr>
          <w:noProof/>
        </w:rPr>
        <w:t>. De Portugese autoriteiten verstrekken informatie over eventuele onderzoeken naar administratieve onregelmatigheden, met name over belastingontduiking of smokkel, in het kader van de toepassing van de machtiging. Ze verstrekken verder gedetailleerde informatie, waaronder ten minste informatie over de aard van de zaak, de waarde en de termijn.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rPr>
      </w:pPr>
    </w:p>
    <w:p>
      <w:pPr>
        <w:pStyle w:val="NumPar1"/>
        <w:rPr>
          <w:noProof/>
        </w:rPr>
      </w:pPr>
      <w:r>
        <w:rPr>
          <w:noProof/>
          <w:u w:val="single"/>
        </w:rPr>
        <w:t>Klachten</w:t>
      </w:r>
      <w:r>
        <w:rPr>
          <w:noProof/>
        </w:rPr>
        <w:t>. De Portugese autoriteiten verstrekken informatie over klachten die de lokale, regionale of nationale autoriteiten hebben ontvangen over de toepassing van de machtiging, van begunstigden en niet-begunstigden.</w:t>
      </w:r>
    </w:p>
    <w:p>
      <w:pPr>
        <w:rPr>
          <w:noProo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5ADA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F03C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B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B284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7C5C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B89F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947112"/>
    <w:lvl w:ilvl="0">
      <w:start w:val="1"/>
      <w:numFmt w:val="decimal"/>
      <w:pStyle w:val="ListNumber"/>
      <w:lvlText w:val="%1."/>
      <w:lvlJc w:val="left"/>
      <w:pPr>
        <w:tabs>
          <w:tab w:val="num" w:pos="360"/>
        </w:tabs>
        <w:ind w:left="360" w:hanging="360"/>
      </w:pPr>
    </w:lvl>
  </w:abstractNum>
  <w:abstractNum w:abstractNumId="7">
    <w:nsid w:val="FFFFFF89"/>
    <w:multiLevelType w:val="singleLevel"/>
    <w:tmpl w:val="24D42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5C728A"/>
    <w:multiLevelType w:val="hybridMultilevel"/>
    <w:tmpl w:val="8B8852AC"/>
    <w:lvl w:ilvl="0" w:tplc="2B84F570">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9"/>
  </w:num>
  <w:num w:numId="20">
    <w:abstractNumId w:val="15"/>
  </w:num>
  <w:num w:numId="21">
    <w:abstractNumId w:val="17"/>
  </w:num>
  <w:num w:numId="22">
    <w:abstractNumId w:val="18"/>
  </w:num>
  <w:num w:numId="23">
    <w:abstractNumId w:val="11"/>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8 08:45: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09CC953D-16B4-4308-B6AF-1626542A6475"/>
    <w:docVar w:name="LW_COVERPAGE_TYPE" w:val="1"/>
    <w:docVar w:name="LW_CROSSREFERENCE" w:val="{SWD(2020) 108 final}"/>
    <w:docVar w:name="LW_DocType" w:val="ANNEX"/>
    <w:docVar w:name="LW_EMISSION" w:val="18.6.2020"/>
    <w:docVar w:name="LW_EMISSION_ISODATE" w:val="2020-06-1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waarbij Portugal wordt gemachtigd een verlaagd accijnstarief toe te passen op bepaalde in de autonome regio's Madeira en de Azoren geproduceerde alcoholhoudende producten"/>
    <w:docVar w:name="LW_OBJETACTEPRINCIPAL.CP" w:val="waarbij Portugal wordt gemachtigd een verlaagd accijnstarief toe te passen op bepaalde in de autonome regio's Madeira en de Azoren geproduceerde alcoholhoudende producten"/>
    <w:docVar w:name="LW_PART_NBR" w:val="1"/>
    <w:docVar w:name="LW_PART_NBR_TOTAL" w:val="1"/>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51323E-5C01-4553-98CD-4BCBC987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707</Words>
  <Characters>4280</Characters>
  <Application>Microsoft Office Word</Application>
  <DocSecurity>0</DocSecurity>
  <Lines>389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ANDREOU Alexandra (TAXUD)</dc:creator>
  <cp:keywords/>
  <dc:description/>
  <cp:lastModifiedBy>WES PDFC Administrator</cp:lastModifiedBy>
  <cp:revision>10</cp:revision>
  <dcterms:created xsi:type="dcterms:W3CDTF">2020-06-10T12:52:00Z</dcterms:created>
  <dcterms:modified xsi:type="dcterms:W3CDTF">2020-06-18T06:45:00Z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