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F913CEB8-3CD1-454F-89C9-96954C16F705" style="width:450.15pt;height:393.8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spacing w:after="240"/>
        <w:jc w:val="center"/>
        <w:rPr>
          <w:b/>
          <w:noProof/>
          <w:u w:val="single"/>
        </w:rPr>
      </w:pPr>
      <w:bookmarkStart w:id="1" w:name="_GoBack"/>
      <w:bookmarkEnd w:id="1"/>
      <w:r>
        <w:rPr>
          <w:b/>
          <w:noProof/>
          <w:u w:val="single"/>
        </w:rPr>
        <w:lastRenderedPageBreak/>
        <w:t>PRÍLOHA 1</w:t>
      </w:r>
    </w:p>
    <w:p>
      <w:pPr>
        <w:spacing w:after="240"/>
        <w:jc w:val="center"/>
        <w:rPr>
          <w:b/>
          <w:noProof/>
        </w:rPr>
      </w:pPr>
      <w:r>
        <w:rPr>
          <w:b/>
          <w:noProof/>
        </w:rPr>
        <w:t>Počet stanovísk doručených Komisii v roku 2019 podľa národných parlamentov/komôr (v rámci politického dialógu a postupu kontroly dodržiavania zásady subsidiarity)</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9"/>
        <w:gridCol w:w="3609"/>
        <w:gridCol w:w="1660"/>
        <w:gridCol w:w="2364"/>
      </w:tblGrid>
      <w:tr>
        <w:trPr>
          <w:cantSplit/>
          <w:tblHeader/>
        </w:trPr>
        <w:tc>
          <w:tcPr>
            <w:tcW w:w="1909" w:type="dxa"/>
            <w:shd w:val="clear" w:color="auto" w:fill="auto"/>
            <w:vAlign w:val="center"/>
          </w:tcPr>
          <w:p>
            <w:pPr>
              <w:spacing w:before="60" w:after="60"/>
              <w:jc w:val="center"/>
              <w:rPr>
                <w:b/>
                <w:bCs/>
                <w:noProof/>
                <w:color w:val="000000"/>
                <w:sz w:val="20"/>
              </w:rPr>
            </w:pPr>
            <w:r>
              <w:rPr>
                <w:b/>
                <w:bCs/>
                <w:noProof/>
                <w:color w:val="000000"/>
                <w:sz w:val="20"/>
              </w:rPr>
              <w:t>Členský štát</w:t>
            </w:r>
          </w:p>
        </w:tc>
        <w:tc>
          <w:tcPr>
            <w:tcW w:w="3609" w:type="dxa"/>
            <w:shd w:val="clear" w:color="auto" w:fill="auto"/>
            <w:vAlign w:val="center"/>
          </w:tcPr>
          <w:p>
            <w:pPr>
              <w:spacing w:before="60" w:after="60"/>
              <w:jc w:val="center"/>
              <w:rPr>
                <w:b/>
                <w:bCs/>
                <w:noProof/>
                <w:color w:val="000000"/>
                <w:sz w:val="20"/>
              </w:rPr>
            </w:pPr>
            <w:r>
              <w:rPr>
                <w:b/>
                <w:bCs/>
                <w:noProof/>
                <w:color w:val="000000"/>
                <w:sz w:val="20"/>
              </w:rPr>
              <w:t>Komora</w:t>
            </w:r>
          </w:p>
        </w:tc>
        <w:tc>
          <w:tcPr>
            <w:tcW w:w="1660" w:type="dxa"/>
            <w:shd w:val="clear" w:color="auto" w:fill="auto"/>
            <w:vAlign w:val="center"/>
          </w:tcPr>
          <w:p>
            <w:pPr>
              <w:spacing w:before="60" w:after="60"/>
              <w:jc w:val="center"/>
              <w:rPr>
                <w:b/>
                <w:bCs/>
                <w:noProof/>
                <w:color w:val="000000"/>
                <w:sz w:val="20"/>
              </w:rPr>
            </w:pPr>
            <w:r>
              <w:rPr>
                <w:b/>
                <w:bCs/>
                <w:noProof/>
                <w:color w:val="000000"/>
                <w:sz w:val="20"/>
              </w:rPr>
              <w:t>Celkový</w:t>
            </w:r>
            <w:r>
              <w:rPr>
                <w:noProof/>
              </w:rPr>
              <w:t xml:space="preserve"> </w:t>
            </w:r>
            <w:r>
              <w:rPr>
                <w:noProof/>
              </w:rPr>
              <w:br/>
            </w:r>
            <w:r>
              <w:rPr>
                <w:b/>
                <w:bCs/>
                <w:noProof/>
                <w:color w:val="000000"/>
                <w:sz w:val="20"/>
              </w:rPr>
              <w:t>počet</w:t>
            </w:r>
            <w:r>
              <w:rPr>
                <w:noProof/>
              </w:rPr>
              <w:t xml:space="preserve"> </w:t>
            </w:r>
            <w:r>
              <w:rPr>
                <w:noProof/>
              </w:rPr>
              <w:br/>
            </w:r>
            <w:r>
              <w:rPr>
                <w:b/>
                <w:bCs/>
                <w:noProof/>
                <w:color w:val="000000"/>
                <w:sz w:val="20"/>
              </w:rPr>
              <w:t>stanovísk</w:t>
            </w:r>
            <w:r>
              <w:rPr>
                <w:rStyle w:val="FootnoteReference"/>
                <w:noProof/>
                <w:sz w:val="20"/>
              </w:rPr>
              <w:footnoteReference w:id="1"/>
            </w:r>
          </w:p>
        </w:tc>
        <w:tc>
          <w:tcPr>
            <w:tcW w:w="2364" w:type="dxa"/>
            <w:shd w:val="clear" w:color="auto" w:fill="auto"/>
            <w:vAlign w:val="center"/>
          </w:tcPr>
          <w:p>
            <w:pPr>
              <w:spacing w:before="60" w:after="60"/>
              <w:jc w:val="center"/>
              <w:rPr>
                <w:b/>
                <w:bCs/>
                <w:noProof/>
                <w:color w:val="000000"/>
                <w:sz w:val="20"/>
              </w:rPr>
            </w:pPr>
            <w:r>
              <w:rPr>
                <w:b/>
                <w:bCs/>
                <w:noProof/>
                <w:color w:val="000000"/>
                <w:sz w:val="20"/>
              </w:rPr>
              <w:t>Z toho</w:t>
            </w:r>
            <w:r>
              <w:rPr>
                <w:noProof/>
              </w:rPr>
              <w:t xml:space="preserve"> </w:t>
            </w:r>
            <w:r>
              <w:rPr>
                <w:noProof/>
              </w:rPr>
              <w:br/>
            </w:r>
            <w:r>
              <w:rPr>
                <w:b/>
                <w:bCs/>
                <w:noProof/>
                <w:color w:val="000000"/>
                <w:sz w:val="20"/>
              </w:rPr>
              <w:t>odôvodnených</w:t>
            </w:r>
            <w:r>
              <w:rPr>
                <w:noProof/>
              </w:rPr>
              <w:t xml:space="preserve"> </w:t>
            </w:r>
            <w:r>
              <w:rPr>
                <w:noProof/>
              </w:rPr>
              <w:br/>
            </w:r>
            <w:r>
              <w:rPr>
                <w:b/>
                <w:bCs/>
                <w:noProof/>
                <w:color w:val="000000"/>
                <w:sz w:val="20"/>
              </w:rPr>
              <w:t>stanovísk</w:t>
            </w:r>
            <w:r>
              <w:rPr>
                <w:noProof/>
              </w:rPr>
              <w:t xml:space="preserve"> </w:t>
            </w:r>
            <w:r>
              <w:rPr>
                <w:noProof/>
              </w:rPr>
              <w:br/>
            </w:r>
            <w:r>
              <w:rPr>
                <w:b/>
                <w:noProof/>
                <w:sz w:val="20"/>
              </w:rPr>
              <w:t>(protokol č. 2)</w:t>
            </w:r>
          </w:p>
        </w:tc>
      </w:tr>
      <w:tr>
        <w:trPr>
          <w:cantSplit/>
        </w:trPr>
        <w:tc>
          <w:tcPr>
            <w:tcW w:w="1909" w:type="dxa"/>
            <w:shd w:val="clear" w:color="auto" w:fill="auto"/>
            <w:vAlign w:val="center"/>
          </w:tcPr>
          <w:p>
            <w:pPr>
              <w:jc w:val="center"/>
              <w:rPr>
                <w:noProof/>
                <w:color w:val="000000"/>
                <w:sz w:val="20"/>
              </w:rPr>
            </w:pPr>
            <w:r>
              <w:rPr>
                <w:noProof/>
                <w:color w:val="000000"/>
                <w:sz w:val="20"/>
              </w:rPr>
              <w:t>Česká republika</w:t>
            </w:r>
          </w:p>
        </w:tc>
        <w:tc>
          <w:tcPr>
            <w:tcW w:w="3609" w:type="dxa"/>
            <w:shd w:val="clear" w:color="auto" w:fill="auto"/>
            <w:vAlign w:val="center"/>
          </w:tcPr>
          <w:p>
            <w:pPr>
              <w:jc w:val="center"/>
              <w:rPr>
                <w:i/>
                <w:iCs/>
                <w:noProof/>
                <w:color w:val="000000"/>
                <w:sz w:val="20"/>
              </w:rPr>
            </w:pPr>
            <w:r>
              <w:rPr>
                <w:i/>
                <w:iCs/>
                <w:noProof/>
                <w:color w:val="000000"/>
                <w:sz w:val="20"/>
              </w:rPr>
              <w:t>Senát</w:t>
            </w:r>
          </w:p>
        </w:tc>
        <w:tc>
          <w:tcPr>
            <w:tcW w:w="1660" w:type="dxa"/>
            <w:shd w:val="clear" w:color="auto" w:fill="auto"/>
            <w:vAlign w:val="center"/>
          </w:tcPr>
          <w:p>
            <w:pPr>
              <w:jc w:val="center"/>
              <w:rPr>
                <w:noProof/>
                <w:color w:val="000000"/>
                <w:sz w:val="20"/>
              </w:rPr>
            </w:pPr>
            <w:r>
              <w:rPr>
                <w:noProof/>
                <w:color w:val="000000"/>
                <w:sz w:val="20"/>
              </w:rPr>
              <w:t>21</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Rumunsko</w:t>
            </w:r>
          </w:p>
        </w:tc>
        <w:tc>
          <w:tcPr>
            <w:tcW w:w="3609" w:type="dxa"/>
            <w:shd w:val="clear" w:color="auto" w:fill="auto"/>
            <w:vAlign w:val="center"/>
          </w:tcPr>
          <w:p>
            <w:pPr>
              <w:jc w:val="center"/>
              <w:rPr>
                <w:i/>
                <w:iCs/>
                <w:noProof/>
                <w:color w:val="000000"/>
                <w:sz w:val="20"/>
              </w:rPr>
            </w:pPr>
            <w:r>
              <w:rPr>
                <w:i/>
                <w:iCs/>
                <w:noProof/>
                <w:color w:val="000000"/>
                <w:sz w:val="20"/>
              </w:rPr>
              <w:t>Camera Deputaților</w:t>
            </w:r>
          </w:p>
        </w:tc>
        <w:tc>
          <w:tcPr>
            <w:tcW w:w="1660" w:type="dxa"/>
            <w:shd w:val="clear" w:color="auto" w:fill="auto"/>
            <w:vAlign w:val="center"/>
          </w:tcPr>
          <w:p>
            <w:pPr>
              <w:jc w:val="center"/>
              <w:rPr>
                <w:noProof/>
                <w:color w:val="000000"/>
                <w:sz w:val="20"/>
              </w:rPr>
            </w:pPr>
            <w:r>
              <w:rPr>
                <w:noProof/>
                <w:color w:val="000000"/>
                <w:sz w:val="20"/>
              </w:rPr>
              <w:t>15</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Portugalsko</w:t>
            </w:r>
          </w:p>
        </w:tc>
        <w:tc>
          <w:tcPr>
            <w:tcW w:w="3609" w:type="dxa"/>
            <w:shd w:val="clear" w:color="auto" w:fill="auto"/>
            <w:vAlign w:val="center"/>
          </w:tcPr>
          <w:p>
            <w:pPr>
              <w:jc w:val="center"/>
              <w:rPr>
                <w:i/>
                <w:iCs/>
                <w:noProof/>
                <w:color w:val="000000"/>
                <w:sz w:val="20"/>
              </w:rPr>
            </w:pPr>
            <w:r>
              <w:rPr>
                <w:i/>
                <w:iCs/>
                <w:noProof/>
                <w:color w:val="000000"/>
                <w:sz w:val="20"/>
              </w:rPr>
              <w:t>Assembleia da República</w:t>
            </w:r>
          </w:p>
        </w:tc>
        <w:tc>
          <w:tcPr>
            <w:tcW w:w="1660" w:type="dxa"/>
            <w:shd w:val="clear" w:color="auto" w:fill="auto"/>
            <w:vAlign w:val="center"/>
          </w:tcPr>
          <w:p>
            <w:pPr>
              <w:jc w:val="center"/>
              <w:rPr>
                <w:noProof/>
                <w:color w:val="000000"/>
                <w:sz w:val="20"/>
              </w:rPr>
            </w:pPr>
            <w:r>
              <w:rPr>
                <w:noProof/>
                <w:color w:val="000000"/>
                <w:sz w:val="20"/>
              </w:rPr>
              <w:t>14</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Česká republika</w:t>
            </w:r>
          </w:p>
        </w:tc>
        <w:tc>
          <w:tcPr>
            <w:tcW w:w="3609" w:type="dxa"/>
            <w:shd w:val="clear" w:color="auto" w:fill="auto"/>
            <w:vAlign w:val="center"/>
          </w:tcPr>
          <w:p>
            <w:pPr>
              <w:jc w:val="center"/>
              <w:rPr>
                <w:i/>
                <w:iCs/>
                <w:noProof/>
                <w:color w:val="000000"/>
                <w:sz w:val="20"/>
              </w:rPr>
            </w:pPr>
            <w:r>
              <w:rPr>
                <w:i/>
                <w:iCs/>
                <w:noProof/>
                <w:color w:val="000000"/>
                <w:sz w:val="20"/>
              </w:rPr>
              <w:t>Poslanecká sněmovna</w:t>
            </w:r>
          </w:p>
        </w:tc>
        <w:tc>
          <w:tcPr>
            <w:tcW w:w="1660" w:type="dxa"/>
            <w:shd w:val="clear" w:color="auto" w:fill="auto"/>
            <w:vAlign w:val="center"/>
          </w:tcPr>
          <w:p>
            <w:pPr>
              <w:jc w:val="center"/>
              <w:rPr>
                <w:noProof/>
                <w:color w:val="000000"/>
                <w:sz w:val="20"/>
              </w:rPr>
            </w:pPr>
            <w:r>
              <w:rPr>
                <w:noProof/>
                <w:color w:val="000000"/>
                <w:sz w:val="20"/>
              </w:rPr>
              <w:t>13</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Francúzsko</w:t>
            </w:r>
          </w:p>
        </w:tc>
        <w:tc>
          <w:tcPr>
            <w:tcW w:w="3609" w:type="dxa"/>
            <w:shd w:val="clear" w:color="auto" w:fill="auto"/>
            <w:vAlign w:val="center"/>
          </w:tcPr>
          <w:p>
            <w:pPr>
              <w:jc w:val="center"/>
              <w:rPr>
                <w:i/>
                <w:iCs/>
                <w:noProof/>
                <w:color w:val="000000"/>
                <w:sz w:val="20"/>
              </w:rPr>
            </w:pPr>
            <w:r>
              <w:rPr>
                <w:i/>
                <w:iCs/>
                <w:noProof/>
                <w:color w:val="000000"/>
                <w:sz w:val="20"/>
              </w:rPr>
              <w:t>Sénat</w:t>
            </w:r>
          </w:p>
        </w:tc>
        <w:tc>
          <w:tcPr>
            <w:tcW w:w="1660" w:type="dxa"/>
            <w:shd w:val="clear" w:color="auto" w:fill="auto"/>
            <w:vAlign w:val="center"/>
          </w:tcPr>
          <w:p>
            <w:pPr>
              <w:jc w:val="center"/>
              <w:rPr>
                <w:noProof/>
                <w:color w:val="000000"/>
                <w:sz w:val="20"/>
              </w:rPr>
            </w:pPr>
            <w:r>
              <w:rPr>
                <w:noProof/>
                <w:color w:val="000000"/>
                <w:sz w:val="20"/>
              </w:rPr>
              <w:t>12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Nemecko</w:t>
            </w:r>
          </w:p>
        </w:tc>
        <w:tc>
          <w:tcPr>
            <w:tcW w:w="3609" w:type="dxa"/>
            <w:shd w:val="clear" w:color="auto" w:fill="auto"/>
            <w:vAlign w:val="center"/>
          </w:tcPr>
          <w:p>
            <w:pPr>
              <w:jc w:val="center"/>
              <w:rPr>
                <w:i/>
                <w:iCs/>
                <w:noProof/>
                <w:color w:val="000000"/>
                <w:sz w:val="20"/>
              </w:rPr>
            </w:pPr>
            <w:r>
              <w:rPr>
                <w:i/>
                <w:iCs/>
                <w:noProof/>
                <w:color w:val="000000"/>
                <w:sz w:val="20"/>
              </w:rPr>
              <w:t>Bundesrat</w:t>
            </w:r>
          </w:p>
        </w:tc>
        <w:tc>
          <w:tcPr>
            <w:tcW w:w="1660" w:type="dxa"/>
            <w:shd w:val="clear" w:color="auto" w:fill="auto"/>
            <w:vAlign w:val="center"/>
          </w:tcPr>
          <w:p>
            <w:pPr>
              <w:jc w:val="center"/>
              <w:rPr>
                <w:noProof/>
                <w:color w:val="000000"/>
                <w:sz w:val="20"/>
              </w:rPr>
            </w:pPr>
            <w:r>
              <w:rPr>
                <w:noProof/>
                <w:color w:val="000000"/>
                <w:sz w:val="20"/>
              </w:rPr>
              <w:t>11</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Španielsko</w:t>
            </w:r>
          </w:p>
        </w:tc>
        <w:tc>
          <w:tcPr>
            <w:tcW w:w="3609" w:type="dxa"/>
            <w:shd w:val="clear" w:color="auto" w:fill="auto"/>
            <w:vAlign w:val="center"/>
          </w:tcPr>
          <w:p>
            <w:pPr>
              <w:jc w:val="center"/>
              <w:rPr>
                <w:noProof/>
                <w:color w:val="000000"/>
                <w:sz w:val="20"/>
              </w:rPr>
            </w:pPr>
            <w:r>
              <w:rPr>
                <w:i/>
                <w:iCs/>
                <w:noProof/>
                <w:color w:val="000000"/>
                <w:sz w:val="20"/>
              </w:rPr>
              <w:t>Las Cortes Generales:</w:t>
            </w:r>
            <w:r>
              <w:rPr>
                <w:noProof/>
              </w:rPr>
              <w:t xml:space="preserve"> </w:t>
            </w:r>
            <w:r>
              <w:rPr>
                <w:noProof/>
              </w:rPr>
              <w:br/>
            </w:r>
            <w:r>
              <w:rPr>
                <w:i/>
                <w:iCs/>
                <w:noProof/>
                <w:color w:val="000000"/>
                <w:sz w:val="20"/>
              </w:rPr>
              <w:t>Senado de España</w:t>
            </w:r>
            <w:r>
              <w:rPr>
                <w:noProof/>
                <w:color w:val="000000"/>
                <w:sz w:val="20"/>
              </w:rPr>
              <w:t xml:space="preserve"> a </w:t>
            </w:r>
            <w:r>
              <w:rPr>
                <w:noProof/>
              </w:rPr>
              <w:br/>
            </w:r>
            <w:r>
              <w:rPr>
                <w:i/>
                <w:iCs/>
                <w:noProof/>
                <w:color w:val="000000"/>
                <w:sz w:val="20"/>
              </w:rPr>
              <w:t>Congreso de los Diputados</w:t>
            </w:r>
          </w:p>
        </w:tc>
        <w:tc>
          <w:tcPr>
            <w:tcW w:w="1660" w:type="dxa"/>
            <w:shd w:val="clear" w:color="auto" w:fill="auto"/>
            <w:vAlign w:val="center"/>
          </w:tcPr>
          <w:p>
            <w:pPr>
              <w:jc w:val="center"/>
              <w:rPr>
                <w:noProof/>
                <w:color w:val="000000"/>
                <w:sz w:val="20"/>
              </w:rPr>
            </w:pPr>
            <w:r>
              <w:rPr>
                <w:noProof/>
                <w:color w:val="000000"/>
                <w:sz w:val="20"/>
              </w:rPr>
              <w:t>8</w:t>
            </w:r>
            <w:r>
              <w:rPr>
                <w:rStyle w:val="FootnoteReference"/>
                <w:noProof/>
                <w:color w:val="000000"/>
                <w:sz w:val="20"/>
              </w:rPr>
              <w:footnoteReference w:id="2"/>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Spojené kráľovstvo</w:t>
            </w:r>
          </w:p>
        </w:tc>
        <w:tc>
          <w:tcPr>
            <w:tcW w:w="3609" w:type="dxa"/>
            <w:shd w:val="clear" w:color="auto" w:fill="auto"/>
            <w:vAlign w:val="center"/>
          </w:tcPr>
          <w:p>
            <w:pPr>
              <w:jc w:val="center"/>
              <w:rPr>
                <w:iCs/>
                <w:noProof/>
                <w:color w:val="000000"/>
                <w:sz w:val="20"/>
              </w:rPr>
            </w:pPr>
            <w:r>
              <w:rPr>
                <w:iCs/>
                <w:noProof/>
                <w:color w:val="000000"/>
                <w:sz w:val="20"/>
              </w:rPr>
              <w:t>House of Lords</w:t>
            </w:r>
          </w:p>
        </w:tc>
        <w:tc>
          <w:tcPr>
            <w:tcW w:w="1660" w:type="dxa"/>
            <w:shd w:val="clear" w:color="auto" w:fill="auto"/>
            <w:vAlign w:val="center"/>
          </w:tcPr>
          <w:p>
            <w:pPr>
              <w:jc w:val="center"/>
              <w:rPr>
                <w:noProof/>
                <w:color w:val="000000"/>
                <w:sz w:val="20"/>
              </w:rPr>
            </w:pPr>
            <w:r>
              <w:rPr>
                <w:noProof/>
                <w:color w:val="000000"/>
                <w:sz w:val="20"/>
              </w:rPr>
              <w:t>8</w:t>
            </w:r>
            <w:r>
              <w:rPr>
                <w:rStyle w:val="FootnoteReference"/>
                <w:noProof/>
                <w:color w:val="000000"/>
                <w:sz w:val="20"/>
              </w:rPr>
              <w:footnoteReference w:id="3"/>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Taliansko</w:t>
            </w:r>
          </w:p>
        </w:tc>
        <w:tc>
          <w:tcPr>
            <w:tcW w:w="3609" w:type="dxa"/>
            <w:shd w:val="clear" w:color="auto" w:fill="auto"/>
            <w:vAlign w:val="center"/>
          </w:tcPr>
          <w:p>
            <w:pPr>
              <w:jc w:val="center"/>
              <w:rPr>
                <w:i/>
                <w:iCs/>
                <w:noProof/>
                <w:color w:val="000000"/>
                <w:sz w:val="20"/>
              </w:rPr>
            </w:pPr>
            <w:r>
              <w:rPr>
                <w:i/>
                <w:iCs/>
                <w:noProof/>
                <w:color w:val="000000"/>
                <w:sz w:val="20"/>
              </w:rPr>
              <w:t>Senato della Repubblica</w:t>
            </w:r>
          </w:p>
        </w:tc>
        <w:tc>
          <w:tcPr>
            <w:tcW w:w="1660" w:type="dxa"/>
            <w:shd w:val="clear" w:color="auto" w:fill="auto"/>
            <w:vAlign w:val="center"/>
          </w:tcPr>
          <w:p>
            <w:pPr>
              <w:jc w:val="center"/>
              <w:rPr>
                <w:noProof/>
                <w:color w:val="000000"/>
                <w:sz w:val="20"/>
              </w:rPr>
            </w:pPr>
            <w:r>
              <w:rPr>
                <w:noProof/>
                <w:color w:val="000000"/>
                <w:sz w:val="20"/>
              </w:rPr>
              <w:t>7</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Rumunsko</w:t>
            </w:r>
          </w:p>
        </w:tc>
        <w:tc>
          <w:tcPr>
            <w:tcW w:w="3609" w:type="dxa"/>
            <w:shd w:val="clear" w:color="auto" w:fill="auto"/>
            <w:vAlign w:val="center"/>
          </w:tcPr>
          <w:p>
            <w:pPr>
              <w:jc w:val="center"/>
              <w:rPr>
                <w:i/>
                <w:iCs/>
                <w:noProof/>
                <w:color w:val="000000"/>
                <w:sz w:val="20"/>
              </w:rPr>
            </w:pPr>
            <w:r>
              <w:rPr>
                <w:i/>
                <w:iCs/>
                <w:noProof/>
                <w:color w:val="000000"/>
                <w:sz w:val="20"/>
              </w:rPr>
              <w:t>Senatul</w:t>
            </w:r>
          </w:p>
        </w:tc>
        <w:tc>
          <w:tcPr>
            <w:tcW w:w="1660" w:type="dxa"/>
            <w:shd w:val="clear" w:color="auto" w:fill="auto"/>
            <w:vAlign w:val="center"/>
          </w:tcPr>
          <w:p>
            <w:pPr>
              <w:jc w:val="center"/>
              <w:rPr>
                <w:noProof/>
                <w:color w:val="000000"/>
                <w:sz w:val="20"/>
              </w:rPr>
            </w:pPr>
            <w:r>
              <w:rPr>
                <w:noProof/>
                <w:color w:val="000000"/>
                <w:sz w:val="20"/>
              </w:rPr>
              <w:t>7</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Švédsko</w:t>
            </w:r>
          </w:p>
        </w:tc>
        <w:tc>
          <w:tcPr>
            <w:tcW w:w="3609" w:type="dxa"/>
            <w:shd w:val="clear" w:color="auto" w:fill="auto"/>
            <w:vAlign w:val="center"/>
          </w:tcPr>
          <w:p>
            <w:pPr>
              <w:jc w:val="center"/>
              <w:rPr>
                <w:noProof/>
                <w:color w:val="000000"/>
                <w:sz w:val="20"/>
              </w:rPr>
            </w:pPr>
            <w:r>
              <w:rPr>
                <w:i/>
                <w:iCs/>
                <w:noProof/>
                <w:color w:val="000000"/>
                <w:sz w:val="20"/>
              </w:rPr>
              <w:t>Riksdag</w:t>
            </w:r>
          </w:p>
        </w:tc>
        <w:tc>
          <w:tcPr>
            <w:tcW w:w="1660" w:type="dxa"/>
            <w:shd w:val="clear" w:color="auto" w:fill="auto"/>
            <w:vAlign w:val="center"/>
          </w:tcPr>
          <w:p>
            <w:pPr>
              <w:jc w:val="center"/>
              <w:rPr>
                <w:noProof/>
                <w:color w:val="000000"/>
                <w:sz w:val="20"/>
              </w:rPr>
            </w:pPr>
            <w:r>
              <w:rPr>
                <w:noProof/>
                <w:color w:val="000000"/>
                <w:sz w:val="20"/>
              </w:rPr>
              <w:t>7</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Francúzsko</w:t>
            </w:r>
          </w:p>
        </w:tc>
        <w:tc>
          <w:tcPr>
            <w:tcW w:w="3609" w:type="dxa"/>
            <w:shd w:val="clear" w:color="auto" w:fill="auto"/>
            <w:vAlign w:val="center"/>
          </w:tcPr>
          <w:p>
            <w:pPr>
              <w:jc w:val="center"/>
              <w:rPr>
                <w:i/>
                <w:iCs/>
                <w:noProof/>
                <w:color w:val="000000"/>
                <w:sz w:val="20"/>
              </w:rPr>
            </w:pPr>
            <w:r>
              <w:rPr>
                <w:i/>
                <w:iCs/>
                <w:noProof/>
                <w:color w:val="000000"/>
                <w:sz w:val="20"/>
              </w:rPr>
              <w:t>Assemblée nationale</w:t>
            </w:r>
          </w:p>
        </w:tc>
        <w:tc>
          <w:tcPr>
            <w:tcW w:w="1660" w:type="dxa"/>
            <w:shd w:val="clear" w:color="auto" w:fill="auto"/>
            <w:vAlign w:val="center"/>
          </w:tcPr>
          <w:p>
            <w:pPr>
              <w:jc w:val="center"/>
              <w:rPr>
                <w:noProof/>
                <w:color w:val="000000"/>
                <w:sz w:val="20"/>
              </w:rPr>
            </w:pPr>
            <w:r>
              <w:rPr>
                <w:noProof/>
                <w:color w:val="000000"/>
                <w:sz w:val="20"/>
              </w:rPr>
              <w:t>6</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Holandsko</w:t>
            </w:r>
          </w:p>
        </w:tc>
        <w:tc>
          <w:tcPr>
            <w:tcW w:w="3609" w:type="dxa"/>
            <w:shd w:val="clear" w:color="auto" w:fill="auto"/>
            <w:vAlign w:val="center"/>
          </w:tcPr>
          <w:p>
            <w:pPr>
              <w:jc w:val="center"/>
              <w:rPr>
                <w:i/>
                <w:iCs/>
                <w:noProof/>
                <w:color w:val="000000"/>
                <w:sz w:val="20"/>
              </w:rPr>
            </w:pPr>
            <w:r>
              <w:rPr>
                <w:i/>
                <w:iCs/>
                <w:noProof/>
                <w:color w:val="000000"/>
                <w:sz w:val="20"/>
              </w:rPr>
              <w:t>Eerste Kamer</w:t>
            </w:r>
          </w:p>
        </w:tc>
        <w:tc>
          <w:tcPr>
            <w:tcW w:w="1660" w:type="dxa"/>
            <w:shd w:val="clear" w:color="auto" w:fill="auto"/>
            <w:vAlign w:val="center"/>
          </w:tcPr>
          <w:p>
            <w:pPr>
              <w:jc w:val="center"/>
              <w:rPr>
                <w:noProof/>
                <w:color w:val="000000"/>
                <w:sz w:val="20"/>
              </w:rPr>
            </w:pPr>
            <w:r>
              <w:rPr>
                <w:noProof/>
                <w:color w:val="000000"/>
                <w:sz w:val="20"/>
              </w:rPr>
              <w:t>6</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Maďarsko</w:t>
            </w:r>
          </w:p>
        </w:tc>
        <w:tc>
          <w:tcPr>
            <w:tcW w:w="3609" w:type="dxa"/>
            <w:shd w:val="clear" w:color="auto" w:fill="auto"/>
            <w:vAlign w:val="center"/>
          </w:tcPr>
          <w:p>
            <w:pPr>
              <w:jc w:val="center"/>
              <w:rPr>
                <w:i/>
                <w:iCs/>
                <w:noProof/>
                <w:color w:val="000000"/>
                <w:sz w:val="20"/>
              </w:rPr>
            </w:pPr>
            <w:r>
              <w:rPr>
                <w:i/>
                <w:iCs/>
                <w:noProof/>
                <w:color w:val="000000"/>
                <w:sz w:val="20"/>
              </w:rPr>
              <w:t>Országgyűlés</w:t>
            </w:r>
          </w:p>
        </w:tc>
        <w:tc>
          <w:tcPr>
            <w:tcW w:w="1660" w:type="dxa"/>
            <w:shd w:val="clear" w:color="auto" w:fill="auto"/>
            <w:vAlign w:val="center"/>
          </w:tcPr>
          <w:p>
            <w:pPr>
              <w:jc w:val="center"/>
              <w:rPr>
                <w:noProof/>
                <w:color w:val="000000"/>
                <w:sz w:val="20"/>
              </w:rPr>
            </w:pPr>
            <w:r>
              <w:rPr>
                <w:noProof/>
                <w:color w:val="000000"/>
                <w:sz w:val="20"/>
              </w:rPr>
              <w:t>5</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Taliansko</w:t>
            </w:r>
          </w:p>
        </w:tc>
        <w:tc>
          <w:tcPr>
            <w:tcW w:w="3609" w:type="dxa"/>
            <w:shd w:val="clear" w:color="auto" w:fill="auto"/>
            <w:vAlign w:val="center"/>
          </w:tcPr>
          <w:p>
            <w:pPr>
              <w:jc w:val="center"/>
              <w:rPr>
                <w:i/>
                <w:iCs/>
                <w:noProof/>
                <w:color w:val="000000"/>
                <w:sz w:val="20"/>
              </w:rPr>
            </w:pPr>
            <w:r>
              <w:rPr>
                <w:i/>
                <w:iCs/>
                <w:noProof/>
                <w:color w:val="000000"/>
                <w:sz w:val="20"/>
              </w:rPr>
              <w:t xml:space="preserve">Camera dei Deputati </w:t>
            </w:r>
          </w:p>
        </w:tc>
        <w:tc>
          <w:tcPr>
            <w:tcW w:w="1660" w:type="dxa"/>
            <w:shd w:val="clear" w:color="auto" w:fill="auto"/>
            <w:vAlign w:val="center"/>
          </w:tcPr>
          <w:p>
            <w:pPr>
              <w:jc w:val="center"/>
              <w:rPr>
                <w:noProof/>
                <w:color w:val="000000"/>
                <w:sz w:val="20"/>
              </w:rPr>
            </w:pPr>
            <w:r>
              <w:rPr>
                <w:noProof/>
                <w:color w:val="000000"/>
                <w:sz w:val="20"/>
              </w:rPr>
              <w:t>4</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Litva</w:t>
            </w:r>
          </w:p>
        </w:tc>
        <w:tc>
          <w:tcPr>
            <w:tcW w:w="3609" w:type="dxa"/>
            <w:shd w:val="clear" w:color="auto" w:fill="auto"/>
            <w:vAlign w:val="center"/>
          </w:tcPr>
          <w:p>
            <w:pPr>
              <w:jc w:val="center"/>
              <w:rPr>
                <w:i/>
                <w:iCs/>
                <w:noProof/>
                <w:color w:val="000000"/>
                <w:sz w:val="20"/>
              </w:rPr>
            </w:pPr>
            <w:r>
              <w:rPr>
                <w:i/>
                <w:iCs/>
                <w:noProof/>
                <w:color w:val="000000"/>
                <w:sz w:val="20"/>
              </w:rPr>
              <w:t>Seimas</w:t>
            </w:r>
          </w:p>
        </w:tc>
        <w:tc>
          <w:tcPr>
            <w:tcW w:w="1660" w:type="dxa"/>
            <w:shd w:val="clear" w:color="auto" w:fill="auto"/>
            <w:vAlign w:val="center"/>
          </w:tcPr>
          <w:p>
            <w:pPr>
              <w:jc w:val="center"/>
              <w:rPr>
                <w:noProof/>
                <w:color w:val="000000"/>
                <w:sz w:val="20"/>
              </w:rPr>
            </w:pPr>
            <w:r>
              <w:rPr>
                <w:noProof/>
                <w:color w:val="000000"/>
                <w:sz w:val="20"/>
              </w:rPr>
              <w:t>3</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Slovensko</w:t>
            </w:r>
          </w:p>
        </w:tc>
        <w:tc>
          <w:tcPr>
            <w:tcW w:w="3609" w:type="dxa"/>
            <w:shd w:val="clear" w:color="auto" w:fill="auto"/>
            <w:vAlign w:val="center"/>
          </w:tcPr>
          <w:p>
            <w:pPr>
              <w:jc w:val="center"/>
              <w:rPr>
                <w:i/>
                <w:iCs/>
                <w:noProof/>
                <w:color w:val="000000"/>
                <w:sz w:val="20"/>
              </w:rPr>
            </w:pPr>
            <w:r>
              <w:rPr>
                <w:i/>
                <w:iCs/>
                <w:noProof/>
                <w:color w:val="000000"/>
                <w:sz w:val="20"/>
              </w:rPr>
              <w:t>Národná rada</w:t>
            </w:r>
          </w:p>
        </w:tc>
        <w:tc>
          <w:tcPr>
            <w:tcW w:w="1660" w:type="dxa"/>
            <w:shd w:val="clear" w:color="auto" w:fill="auto"/>
            <w:vAlign w:val="center"/>
          </w:tcPr>
          <w:p>
            <w:pPr>
              <w:jc w:val="center"/>
              <w:rPr>
                <w:noProof/>
                <w:color w:val="000000"/>
                <w:sz w:val="20"/>
              </w:rPr>
            </w:pPr>
            <w:r>
              <w:rPr>
                <w:noProof/>
                <w:color w:val="000000"/>
                <w:sz w:val="20"/>
              </w:rPr>
              <w:t>3</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Malta</w:t>
            </w:r>
          </w:p>
        </w:tc>
        <w:tc>
          <w:tcPr>
            <w:tcW w:w="3609" w:type="dxa"/>
            <w:shd w:val="clear" w:color="auto" w:fill="auto"/>
            <w:vAlign w:val="center"/>
          </w:tcPr>
          <w:p>
            <w:pPr>
              <w:jc w:val="center"/>
              <w:rPr>
                <w:i/>
                <w:iCs/>
                <w:noProof/>
                <w:color w:val="000000"/>
                <w:sz w:val="20"/>
              </w:rPr>
            </w:pPr>
            <w:r>
              <w:rPr>
                <w:i/>
                <w:iCs/>
                <w:noProof/>
                <w:color w:val="000000"/>
                <w:sz w:val="20"/>
              </w:rPr>
              <w:t>Kamra tad-Deputati</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Holandsko</w:t>
            </w:r>
          </w:p>
        </w:tc>
        <w:tc>
          <w:tcPr>
            <w:tcW w:w="3609" w:type="dxa"/>
            <w:shd w:val="clear" w:color="auto" w:fill="auto"/>
            <w:vAlign w:val="center"/>
          </w:tcPr>
          <w:p>
            <w:pPr>
              <w:jc w:val="center"/>
              <w:rPr>
                <w:i/>
                <w:iCs/>
                <w:noProof/>
                <w:color w:val="000000"/>
                <w:sz w:val="20"/>
              </w:rPr>
            </w:pPr>
            <w:r>
              <w:rPr>
                <w:i/>
                <w:iCs/>
                <w:noProof/>
                <w:color w:val="000000"/>
                <w:sz w:val="20"/>
              </w:rPr>
              <w:t>Tweede Kamer</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Poľsko</w:t>
            </w:r>
          </w:p>
        </w:tc>
        <w:tc>
          <w:tcPr>
            <w:tcW w:w="3609" w:type="dxa"/>
            <w:shd w:val="clear" w:color="auto" w:fill="auto"/>
            <w:vAlign w:val="center"/>
          </w:tcPr>
          <w:p>
            <w:pPr>
              <w:jc w:val="center"/>
              <w:rPr>
                <w:i/>
                <w:iCs/>
                <w:noProof/>
                <w:color w:val="000000"/>
                <w:sz w:val="20"/>
              </w:rPr>
            </w:pPr>
            <w:r>
              <w:rPr>
                <w:i/>
                <w:iCs/>
                <w:noProof/>
                <w:color w:val="000000"/>
                <w:sz w:val="20"/>
              </w:rPr>
              <w:t>Sejm Rzeczypospolitej Polskiej</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Poľsko</w:t>
            </w:r>
          </w:p>
        </w:tc>
        <w:tc>
          <w:tcPr>
            <w:tcW w:w="3609" w:type="dxa"/>
            <w:shd w:val="clear" w:color="auto" w:fill="auto"/>
            <w:vAlign w:val="center"/>
          </w:tcPr>
          <w:p>
            <w:pPr>
              <w:jc w:val="center"/>
              <w:rPr>
                <w:i/>
                <w:iCs/>
                <w:noProof/>
                <w:color w:val="000000"/>
                <w:sz w:val="20"/>
              </w:rPr>
            </w:pPr>
            <w:r>
              <w:rPr>
                <w:i/>
                <w:iCs/>
                <w:noProof/>
                <w:color w:val="000000"/>
                <w:sz w:val="20"/>
              </w:rPr>
              <w:t>Senat Rzeczypospolitej Polskiej</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Belgicko</w:t>
            </w:r>
          </w:p>
        </w:tc>
        <w:tc>
          <w:tcPr>
            <w:tcW w:w="3609" w:type="dxa"/>
            <w:shd w:val="clear" w:color="auto" w:fill="auto"/>
            <w:vAlign w:val="center"/>
          </w:tcPr>
          <w:p>
            <w:pPr>
              <w:jc w:val="center"/>
              <w:rPr>
                <w:i/>
                <w:iCs/>
                <w:noProof/>
                <w:color w:val="000000"/>
                <w:sz w:val="20"/>
              </w:rPr>
            </w:pPr>
            <w:r>
              <w:rPr>
                <w:i/>
                <w:iCs/>
                <w:noProof/>
                <w:color w:val="000000"/>
                <w:sz w:val="20"/>
              </w:rPr>
              <w:t>Sénat de Belgique / Belgische Senaat</w:t>
            </w:r>
          </w:p>
        </w:tc>
        <w:tc>
          <w:tcPr>
            <w:tcW w:w="1660" w:type="dxa"/>
            <w:shd w:val="clear" w:color="auto" w:fill="auto"/>
            <w:vAlign w:val="center"/>
          </w:tcPr>
          <w:p>
            <w:pPr>
              <w:jc w:val="center"/>
              <w:rPr>
                <w:noProof/>
                <w:color w:val="000000"/>
                <w:sz w:val="20"/>
              </w:rPr>
            </w:pPr>
            <w:r>
              <w:rPr>
                <w:noProof/>
                <w:color w:val="000000"/>
                <w:sz w:val="20"/>
              </w:rPr>
              <w:t>1</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Belgicko</w:t>
            </w:r>
          </w:p>
        </w:tc>
        <w:tc>
          <w:tcPr>
            <w:tcW w:w="3609" w:type="dxa"/>
            <w:shd w:val="clear" w:color="auto" w:fill="auto"/>
            <w:vAlign w:val="center"/>
          </w:tcPr>
          <w:p>
            <w:pPr>
              <w:jc w:val="center"/>
              <w:rPr>
                <w:i/>
                <w:iCs/>
                <w:noProof/>
                <w:color w:val="000000"/>
                <w:sz w:val="20"/>
              </w:rPr>
            </w:pPr>
            <w:r>
              <w:rPr>
                <w:i/>
                <w:iCs/>
                <w:noProof/>
                <w:color w:val="000000"/>
                <w:sz w:val="20"/>
              </w:rPr>
              <w:t>Chambre des Représentants de Belgique / Belgische Kamer van volksvertegenwoordigers</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Bulharsko</w:t>
            </w:r>
          </w:p>
        </w:tc>
        <w:tc>
          <w:tcPr>
            <w:tcW w:w="3609" w:type="dxa"/>
            <w:shd w:val="clear" w:color="auto" w:fill="auto"/>
            <w:vAlign w:val="center"/>
          </w:tcPr>
          <w:p>
            <w:pPr>
              <w:jc w:val="center"/>
              <w:rPr>
                <w:i/>
                <w:iCs/>
                <w:noProof/>
                <w:color w:val="000000"/>
                <w:sz w:val="20"/>
              </w:rPr>
            </w:pPr>
            <w:r>
              <w:rPr>
                <w:i/>
                <w:iCs/>
                <w:noProof/>
                <w:color w:val="000000"/>
                <w:sz w:val="20"/>
              </w:rPr>
              <w:t>Narodno Sabranie</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Dánsko</w:t>
            </w:r>
          </w:p>
        </w:tc>
        <w:tc>
          <w:tcPr>
            <w:tcW w:w="3609" w:type="dxa"/>
            <w:shd w:val="clear" w:color="auto" w:fill="auto"/>
            <w:vAlign w:val="center"/>
          </w:tcPr>
          <w:p>
            <w:pPr>
              <w:jc w:val="center"/>
              <w:rPr>
                <w:i/>
                <w:iCs/>
                <w:noProof/>
                <w:color w:val="000000"/>
                <w:sz w:val="20"/>
              </w:rPr>
            </w:pPr>
            <w:r>
              <w:rPr>
                <w:i/>
                <w:iCs/>
                <w:noProof/>
                <w:color w:val="000000"/>
                <w:sz w:val="20"/>
              </w:rPr>
              <w:t>Folketing</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Nemecko</w:t>
            </w:r>
          </w:p>
        </w:tc>
        <w:tc>
          <w:tcPr>
            <w:tcW w:w="3609" w:type="dxa"/>
            <w:shd w:val="clear" w:color="auto" w:fill="auto"/>
            <w:vAlign w:val="center"/>
          </w:tcPr>
          <w:p>
            <w:pPr>
              <w:jc w:val="center"/>
              <w:rPr>
                <w:i/>
                <w:iCs/>
                <w:noProof/>
                <w:color w:val="000000"/>
                <w:sz w:val="20"/>
              </w:rPr>
            </w:pPr>
            <w:r>
              <w:rPr>
                <w:i/>
                <w:iCs/>
                <w:noProof/>
                <w:color w:val="000000"/>
                <w:sz w:val="20"/>
              </w:rPr>
              <w:t>Bundestag</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Estónsko</w:t>
            </w:r>
          </w:p>
        </w:tc>
        <w:tc>
          <w:tcPr>
            <w:tcW w:w="3609" w:type="dxa"/>
            <w:shd w:val="clear" w:color="auto" w:fill="auto"/>
            <w:vAlign w:val="center"/>
          </w:tcPr>
          <w:p>
            <w:pPr>
              <w:jc w:val="center"/>
              <w:rPr>
                <w:i/>
                <w:iCs/>
                <w:noProof/>
                <w:color w:val="000000"/>
                <w:sz w:val="20"/>
              </w:rPr>
            </w:pPr>
            <w:r>
              <w:rPr>
                <w:i/>
                <w:iCs/>
                <w:noProof/>
                <w:color w:val="000000"/>
                <w:sz w:val="20"/>
              </w:rPr>
              <w:t>Riigikogu</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Írsko</w:t>
            </w:r>
          </w:p>
        </w:tc>
        <w:tc>
          <w:tcPr>
            <w:tcW w:w="3609" w:type="dxa"/>
            <w:shd w:val="clear" w:color="auto" w:fill="auto"/>
            <w:vAlign w:val="center"/>
          </w:tcPr>
          <w:p>
            <w:pPr>
              <w:jc w:val="center"/>
              <w:rPr>
                <w:noProof/>
                <w:color w:val="000000"/>
                <w:sz w:val="20"/>
              </w:rPr>
            </w:pPr>
            <w:r>
              <w:rPr>
                <w:noProof/>
                <w:color w:val="000000"/>
                <w:sz w:val="20"/>
              </w:rPr>
              <w:t xml:space="preserve">Komory parlamentu </w:t>
            </w:r>
            <w:r>
              <w:rPr>
                <w:i/>
                <w:iCs/>
                <w:noProof/>
                <w:color w:val="000000"/>
                <w:sz w:val="20"/>
              </w:rPr>
              <w:t>Oireachtas:</w:t>
            </w:r>
            <w:r>
              <w:rPr>
                <w:noProof/>
              </w:rPr>
              <w:t xml:space="preserve"> </w:t>
            </w:r>
            <w:r>
              <w:rPr>
                <w:noProof/>
              </w:rPr>
              <w:br/>
            </w:r>
            <w:r>
              <w:rPr>
                <w:i/>
                <w:iCs/>
                <w:noProof/>
                <w:color w:val="000000"/>
                <w:sz w:val="20"/>
              </w:rPr>
              <w:t>Dáil</w:t>
            </w:r>
            <w:r>
              <w:rPr>
                <w:noProof/>
                <w:color w:val="000000"/>
                <w:sz w:val="20"/>
              </w:rPr>
              <w:t xml:space="preserve"> a </w:t>
            </w:r>
            <w:r>
              <w:rPr>
                <w:i/>
                <w:iCs/>
                <w:noProof/>
                <w:color w:val="000000"/>
                <w:sz w:val="20"/>
              </w:rPr>
              <w:t xml:space="preserve">Seanad Éireann </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Grécko</w:t>
            </w:r>
          </w:p>
        </w:tc>
        <w:tc>
          <w:tcPr>
            <w:tcW w:w="3609" w:type="dxa"/>
            <w:shd w:val="clear" w:color="auto" w:fill="auto"/>
            <w:vAlign w:val="center"/>
          </w:tcPr>
          <w:p>
            <w:pPr>
              <w:jc w:val="center"/>
              <w:rPr>
                <w:i/>
                <w:iCs/>
                <w:noProof/>
                <w:color w:val="000000"/>
                <w:sz w:val="20"/>
              </w:rPr>
            </w:pPr>
            <w:r>
              <w:rPr>
                <w:i/>
                <w:iCs/>
                <w:noProof/>
                <w:color w:val="000000"/>
                <w:sz w:val="20"/>
              </w:rPr>
              <w:t>Vouli ton Ellinon</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Chorvátsko</w:t>
            </w:r>
          </w:p>
        </w:tc>
        <w:tc>
          <w:tcPr>
            <w:tcW w:w="3609" w:type="dxa"/>
            <w:shd w:val="clear" w:color="auto" w:fill="auto"/>
            <w:vAlign w:val="center"/>
          </w:tcPr>
          <w:p>
            <w:pPr>
              <w:jc w:val="center"/>
              <w:rPr>
                <w:i/>
                <w:iCs/>
                <w:noProof/>
                <w:color w:val="000000"/>
                <w:sz w:val="20"/>
              </w:rPr>
            </w:pPr>
            <w:r>
              <w:rPr>
                <w:i/>
                <w:iCs/>
                <w:noProof/>
                <w:color w:val="000000"/>
                <w:sz w:val="20"/>
              </w:rPr>
              <w:t xml:space="preserve">Hrvatski Sabor </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Cyprus</w:t>
            </w:r>
          </w:p>
        </w:tc>
        <w:tc>
          <w:tcPr>
            <w:tcW w:w="3609" w:type="dxa"/>
            <w:shd w:val="clear" w:color="auto" w:fill="auto"/>
            <w:vAlign w:val="center"/>
          </w:tcPr>
          <w:p>
            <w:pPr>
              <w:jc w:val="center"/>
              <w:rPr>
                <w:i/>
                <w:iCs/>
                <w:noProof/>
                <w:color w:val="000000"/>
                <w:sz w:val="20"/>
              </w:rPr>
            </w:pPr>
            <w:r>
              <w:rPr>
                <w:i/>
                <w:iCs/>
                <w:noProof/>
                <w:color w:val="000000"/>
                <w:sz w:val="20"/>
              </w:rPr>
              <w:t xml:space="preserve">Vouli ton Antiprosopon </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Lotyšsko</w:t>
            </w:r>
          </w:p>
        </w:tc>
        <w:tc>
          <w:tcPr>
            <w:tcW w:w="3609" w:type="dxa"/>
            <w:shd w:val="clear" w:color="auto" w:fill="auto"/>
            <w:vAlign w:val="center"/>
          </w:tcPr>
          <w:p>
            <w:pPr>
              <w:jc w:val="center"/>
              <w:rPr>
                <w:i/>
                <w:iCs/>
                <w:noProof/>
                <w:color w:val="000000"/>
                <w:sz w:val="20"/>
              </w:rPr>
            </w:pPr>
            <w:r>
              <w:rPr>
                <w:i/>
                <w:iCs/>
                <w:noProof/>
                <w:color w:val="000000"/>
                <w:sz w:val="20"/>
              </w:rPr>
              <w:t>Saeima</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Luxembursko</w:t>
            </w:r>
          </w:p>
        </w:tc>
        <w:tc>
          <w:tcPr>
            <w:tcW w:w="3609" w:type="dxa"/>
            <w:shd w:val="clear" w:color="auto" w:fill="auto"/>
            <w:vAlign w:val="center"/>
          </w:tcPr>
          <w:p>
            <w:pPr>
              <w:jc w:val="center"/>
              <w:rPr>
                <w:i/>
                <w:iCs/>
                <w:noProof/>
                <w:color w:val="000000"/>
                <w:sz w:val="20"/>
              </w:rPr>
            </w:pPr>
            <w:r>
              <w:rPr>
                <w:i/>
                <w:iCs/>
                <w:noProof/>
                <w:color w:val="000000"/>
                <w:sz w:val="20"/>
              </w:rPr>
              <w:t>Chambre des Députés</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Rakúsko</w:t>
            </w:r>
          </w:p>
        </w:tc>
        <w:tc>
          <w:tcPr>
            <w:tcW w:w="3609" w:type="dxa"/>
            <w:shd w:val="clear" w:color="auto" w:fill="auto"/>
            <w:vAlign w:val="center"/>
          </w:tcPr>
          <w:p>
            <w:pPr>
              <w:jc w:val="center"/>
              <w:rPr>
                <w:i/>
                <w:iCs/>
                <w:noProof/>
                <w:color w:val="000000"/>
                <w:sz w:val="20"/>
              </w:rPr>
            </w:pPr>
            <w:r>
              <w:rPr>
                <w:i/>
                <w:iCs/>
                <w:noProof/>
                <w:color w:val="000000"/>
                <w:sz w:val="20"/>
              </w:rPr>
              <w:t>Bundesrat</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Rakúsko</w:t>
            </w:r>
          </w:p>
        </w:tc>
        <w:tc>
          <w:tcPr>
            <w:tcW w:w="3609" w:type="dxa"/>
            <w:shd w:val="clear" w:color="auto" w:fill="auto"/>
            <w:vAlign w:val="center"/>
          </w:tcPr>
          <w:p>
            <w:pPr>
              <w:jc w:val="center"/>
              <w:rPr>
                <w:i/>
                <w:iCs/>
                <w:noProof/>
                <w:color w:val="000000"/>
                <w:sz w:val="20"/>
              </w:rPr>
            </w:pPr>
            <w:r>
              <w:rPr>
                <w:i/>
                <w:iCs/>
                <w:noProof/>
                <w:color w:val="000000"/>
                <w:sz w:val="20"/>
              </w:rPr>
              <w:t>Nationalrat</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Slovinsko</w:t>
            </w:r>
          </w:p>
        </w:tc>
        <w:tc>
          <w:tcPr>
            <w:tcW w:w="3609" w:type="dxa"/>
            <w:shd w:val="clear" w:color="auto" w:fill="auto"/>
            <w:vAlign w:val="center"/>
          </w:tcPr>
          <w:p>
            <w:pPr>
              <w:jc w:val="center"/>
              <w:rPr>
                <w:i/>
                <w:iCs/>
                <w:noProof/>
                <w:color w:val="000000"/>
                <w:sz w:val="20"/>
              </w:rPr>
            </w:pPr>
            <w:r>
              <w:rPr>
                <w:i/>
                <w:iCs/>
                <w:noProof/>
                <w:color w:val="000000"/>
                <w:sz w:val="20"/>
              </w:rPr>
              <w:t>Državni svet</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Slovinsko</w:t>
            </w:r>
          </w:p>
        </w:tc>
        <w:tc>
          <w:tcPr>
            <w:tcW w:w="3609" w:type="dxa"/>
            <w:shd w:val="clear" w:color="auto" w:fill="auto"/>
            <w:vAlign w:val="center"/>
          </w:tcPr>
          <w:p>
            <w:pPr>
              <w:jc w:val="center"/>
              <w:rPr>
                <w:i/>
                <w:iCs/>
                <w:noProof/>
                <w:color w:val="000000"/>
                <w:sz w:val="20"/>
              </w:rPr>
            </w:pPr>
            <w:r>
              <w:rPr>
                <w:i/>
                <w:iCs/>
                <w:noProof/>
                <w:color w:val="000000"/>
                <w:sz w:val="20"/>
              </w:rPr>
              <w:t>Državni zbor</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Fínsko</w:t>
            </w:r>
          </w:p>
        </w:tc>
        <w:tc>
          <w:tcPr>
            <w:tcW w:w="3609" w:type="dxa"/>
            <w:shd w:val="clear" w:color="auto" w:fill="auto"/>
            <w:vAlign w:val="center"/>
          </w:tcPr>
          <w:p>
            <w:pPr>
              <w:jc w:val="center"/>
              <w:rPr>
                <w:i/>
                <w:iCs/>
                <w:noProof/>
                <w:color w:val="000000"/>
                <w:sz w:val="20"/>
              </w:rPr>
            </w:pPr>
            <w:r>
              <w:rPr>
                <w:i/>
                <w:iCs/>
                <w:noProof/>
                <w:color w:val="000000"/>
                <w:sz w:val="20"/>
              </w:rPr>
              <w:t>Eduskunta</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Spojené kráľovstvo</w:t>
            </w:r>
          </w:p>
        </w:tc>
        <w:tc>
          <w:tcPr>
            <w:tcW w:w="3609" w:type="dxa"/>
            <w:shd w:val="clear" w:color="auto" w:fill="auto"/>
            <w:vAlign w:val="center"/>
          </w:tcPr>
          <w:p>
            <w:pPr>
              <w:jc w:val="center"/>
              <w:rPr>
                <w:noProof/>
                <w:color w:val="000000"/>
                <w:sz w:val="20"/>
              </w:rPr>
            </w:pPr>
            <w:r>
              <w:rPr>
                <w:noProof/>
                <w:color w:val="000000"/>
                <w:sz w:val="20"/>
              </w:rPr>
              <w:t>House of Commons</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5518" w:type="dxa"/>
            <w:gridSpan w:val="2"/>
            <w:shd w:val="clear" w:color="auto" w:fill="auto"/>
            <w:vAlign w:val="center"/>
          </w:tcPr>
          <w:p>
            <w:pPr>
              <w:jc w:val="center"/>
              <w:rPr>
                <w:b/>
                <w:noProof/>
                <w:sz w:val="20"/>
              </w:rPr>
            </w:pPr>
            <w:r>
              <w:rPr>
                <w:b/>
                <w:noProof/>
                <w:sz w:val="20"/>
              </w:rPr>
              <w:t>SPOLU</w:t>
            </w:r>
          </w:p>
        </w:tc>
        <w:tc>
          <w:tcPr>
            <w:tcW w:w="1660" w:type="dxa"/>
            <w:shd w:val="clear" w:color="auto" w:fill="auto"/>
          </w:tcPr>
          <w:p>
            <w:pPr>
              <w:jc w:val="center"/>
              <w:rPr>
                <w:b/>
                <w:noProof/>
                <w:sz w:val="20"/>
              </w:rPr>
            </w:pPr>
            <w:r>
              <w:rPr>
                <w:b/>
                <w:noProof/>
                <w:sz w:val="20"/>
              </w:rPr>
              <w:t>159</w:t>
            </w:r>
          </w:p>
        </w:tc>
        <w:tc>
          <w:tcPr>
            <w:tcW w:w="2364" w:type="dxa"/>
            <w:shd w:val="clear" w:color="auto" w:fill="auto"/>
          </w:tcPr>
          <w:p>
            <w:pPr>
              <w:jc w:val="center"/>
              <w:rPr>
                <w:b/>
                <w:noProof/>
                <w:sz w:val="20"/>
              </w:rPr>
            </w:pPr>
            <w:r>
              <w:rPr>
                <w:b/>
                <w:noProof/>
                <w:sz w:val="20"/>
              </w:rPr>
              <w:t>0</w:t>
            </w:r>
          </w:p>
        </w:tc>
      </w:tr>
    </w:tbl>
    <w:p>
      <w:pPr>
        <w:rPr>
          <w:b/>
          <w:noProof/>
          <w:u w:val="single"/>
        </w:rPr>
      </w:pPr>
    </w:p>
    <w:p>
      <w:pPr>
        <w:jc w:val="left"/>
        <w:rPr>
          <w:b/>
          <w:noProof/>
          <w:u w:val="single"/>
        </w:rPr>
      </w:pPr>
      <w:r>
        <w:rPr>
          <w:noProof/>
        </w:rPr>
        <w:br w:type="page"/>
      </w:r>
    </w:p>
    <w:p>
      <w:pPr>
        <w:spacing w:after="240"/>
        <w:jc w:val="center"/>
        <w:rPr>
          <w:b/>
          <w:noProof/>
          <w:u w:val="single"/>
        </w:rPr>
      </w:pPr>
      <w:r>
        <w:rPr>
          <w:b/>
          <w:noProof/>
          <w:u w:val="single"/>
        </w:rPr>
        <w:t>PRÍLOHA 2</w:t>
      </w:r>
    </w:p>
    <w:p>
      <w:pPr>
        <w:spacing w:after="240"/>
        <w:jc w:val="center"/>
        <w:rPr>
          <w:b/>
          <w:noProof/>
        </w:rPr>
      </w:pPr>
      <w:r>
        <w:rPr>
          <w:b/>
          <w:noProof/>
        </w:rPr>
        <w:t>Dokumenty Komisie, ku ktorým dostala Komisia v roku 2019 najvyšší počet stanovísk</w:t>
      </w:r>
      <w:r>
        <w:rPr>
          <w:rStyle w:val="FootnoteReference"/>
          <w:noProof/>
        </w:rPr>
        <w:footnoteReference w:id="4"/>
      </w:r>
      <w:r>
        <w:rPr>
          <w:b/>
          <w:noProof/>
        </w:rPr>
        <w:t xml:space="preserve"> (v rámci politického dialógu a postupu kontroly dodržiavania zásady subsidiarity) </w:t>
      </w:r>
    </w:p>
    <w:tbl>
      <w:tblPr>
        <w:tblW w:w="9679" w:type="dxa"/>
        <w:tblInd w:w="-34" w:type="dxa"/>
        <w:tblCellMar>
          <w:top w:w="57" w:type="dxa"/>
          <w:left w:w="57" w:type="dxa"/>
          <w:bottom w:w="57" w:type="dxa"/>
          <w:right w:w="57" w:type="dxa"/>
        </w:tblCellMar>
        <w:tblLook w:val="04A0" w:firstRow="1" w:lastRow="0" w:firstColumn="1" w:lastColumn="0" w:noHBand="0" w:noVBand="1"/>
      </w:tblPr>
      <w:tblGrid>
        <w:gridCol w:w="534"/>
        <w:gridCol w:w="1883"/>
        <w:gridCol w:w="4343"/>
        <w:gridCol w:w="1164"/>
        <w:gridCol w:w="1755"/>
      </w:tblGrid>
      <w:tr>
        <w:trPr>
          <w:cantSplit/>
          <w:tblHeader/>
        </w:trPr>
        <w:tc>
          <w:tcPr>
            <w:tcW w:w="534" w:type="dxa"/>
            <w:tcBorders>
              <w:top w:val="single" w:sz="4" w:space="0" w:color="auto"/>
              <w:left w:val="single" w:sz="4" w:space="0" w:color="auto"/>
              <w:bottom w:val="single" w:sz="4" w:space="0" w:color="auto"/>
            </w:tcBorders>
            <w:shd w:val="clear" w:color="auto" w:fill="auto"/>
            <w:noWrap/>
            <w:vAlign w:val="center"/>
            <w:hideMark/>
          </w:tcPr>
          <w:p>
            <w:pPr>
              <w:jc w:val="center"/>
              <w:rPr>
                <w:noProof/>
                <w:color w:val="000000"/>
                <w:sz w:val="22"/>
                <w:szCs w:val="22"/>
                <w:lang w:eastAsia="en-GB"/>
              </w:rPr>
            </w:pPr>
          </w:p>
        </w:tc>
        <w:tc>
          <w:tcPr>
            <w:tcW w:w="1883" w:type="dxa"/>
            <w:tcBorders>
              <w:top w:val="single" w:sz="4" w:space="0" w:color="auto"/>
              <w:bottom w:val="single" w:sz="4" w:space="0" w:color="auto"/>
              <w:right w:val="single" w:sz="4" w:space="0" w:color="auto"/>
            </w:tcBorders>
            <w:shd w:val="clear" w:color="auto" w:fill="auto"/>
            <w:vAlign w:val="center"/>
            <w:hideMark/>
          </w:tcPr>
          <w:p>
            <w:pPr>
              <w:jc w:val="center"/>
              <w:rPr>
                <w:b/>
                <w:bCs/>
                <w:noProof/>
                <w:color w:val="000000"/>
                <w:sz w:val="22"/>
                <w:szCs w:val="22"/>
              </w:rPr>
            </w:pPr>
            <w:r>
              <w:rPr>
                <w:b/>
                <w:bCs/>
                <w:noProof/>
                <w:color w:val="000000"/>
                <w:sz w:val="22"/>
                <w:szCs w:val="22"/>
              </w:rPr>
              <w:t>Dokument</w:t>
            </w:r>
            <w:r>
              <w:rPr>
                <w:noProof/>
              </w:rPr>
              <w:t xml:space="preserve"> </w:t>
            </w:r>
            <w:r>
              <w:rPr>
                <w:noProof/>
              </w:rPr>
              <w:br/>
            </w:r>
            <w:r>
              <w:rPr>
                <w:b/>
                <w:bCs/>
                <w:noProof/>
                <w:color w:val="000000"/>
                <w:sz w:val="22"/>
                <w:szCs w:val="22"/>
              </w:rPr>
              <w:t>Komisie</w:t>
            </w:r>
          </w:p>
        </w:tc>
        <w:tc>
          <w:tcPr>
            <w:tcW w:w="4343"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bCs/>
                <w:noProof/>
                <w:color w:val="000000"/>
                <w:sz w:val="22"/>
                <w:szCs w:val="22"/>
              </w:rPr>
              <w:t>Názov</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bCs/>
                <w:noProof/>
                <w:color w:val="000000"/>
                <w:sz w:val="22"/>
                <w:szCs w:val="22"/>
              </w:rPr>
              <w:t>Celkový</w:t>
            </w:r>
            <w:r>
              <w:rPr>
                <w:noProof/>
              </w:rPr>
              <w:t xml:space="preserve"> </w:t>
            </w:r>
            <w:r>
              <w:rPr>
                <w:noProof/>
              </w:rPr>
              <w:br/>
            </w:r>
            <w:r>
              <w:rPr>
                <w:b/>
                <w:bCs/>
                <w:noProof/>
                <w:color w:val="000000"/>
                <w:sz w:val="22"/>
                <w:szCs w:val="22"/>
              </w:rPr>
              <w:t>počet</w:t>
            </w:r>
            <w:r>
              <w:rPr>
                <w:noProof/>
              </w:rPr>
              <w:t xml:space="preserve"> </w:t>
            </w:r>
            <w:r>
              <w:rPr>
                <w:noProof/>
              </w:rPr>
              <w:br/>
            </w:r>
            <w:r>
              <w:rPr>
                <w:b/>
                <w:bCs/>
                <w:noProof/>
                <w:color w:val="000000"/>
                <w:sz w:val="22"/>
                <w:szCs w:val="22"/>
              </w:rPr>
              <w:t>stanovísk</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bCs/>
                <w:noProof/>
                <w:color w:val="000000"/>
                <w:sz w:val="22"/>
                <w:szCs w:val="22"/>
              </w:rPr>
              <w:t>Z toho</w:t>
            </w:r>
            <w:r>
              <w:rPr>
                <w:noProof/>
              </w:rPr>
              <w:t xml:space="preserve"> </w:t>
            </w:r>
            <w:r>
              <w:rPr>
                <w:noProof/>
              </w:rPr>
              <w:br/>
            </w:r>
            <w:r>
              <w:rPr>
                <w:b/>
                <w:bCs/>
                <w:noProof/>
                <w:color w:val="000000"/>
                <w:sz w:val="22"/>
                <w:szCs w:val="22"/>
              </w:rPr>
              <w:t>odôvodnených</w:t>
            </w:r>
            <w:r>
              <w:rPr>
                <w:noProof/>
              </w:rPr>
              <w:t xml:space="preserve"> </w:t>
            </w:r>
            <w:r>
              <w:rPr>
                <w:noProof/>
              </w:rPr>
              <w:br/>
            </w:r>
            <w:r>
              <w:rPr>
                <w:b/>
                <w:bCs/>
                <w:noProof/>
                <w:color w:val="000000"/>
                <w:sz w:val="22"/>
                <w:szCs w:val="22"/>
              </w:rPr>
              <w:t>stanovísk</w:t>
            </w:r>
            <w:r>
              <w:rPr>
                <w:noProof/>
              </w:rPr>
              <w:t xml:space="preserve"> </w:t>
            </w:r>
            <w:r>
              <w:rPr>
                <w:noProof/>
              </w:rPr>
              <w:br/>
            </w:r>
            <w:r>
              <w:rPr>
                <w:b/>
                <w:bCs/>
                <w:noProof/>
                <w:color w:val="000000"/>
                <w:sz w:val="22"/>
                <w:szCs w:val="22"/>
              </w:rPr>
              <w:t>(protokol č. 2)</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COM(2018) 703</w:t>
            </w:r>
          </w:p>
        </w:tc>
        <w:tc>
          <w:tcPr>
            <w:tcW w:w="4343" w:type="dxa"/>
            <w:tcBorders>
              <w:top w:val="single" w:sz="4" w:space="0" w:color="auto"/>
              <w:left w:val="nil"/>
              <w:bottom w:val="single" w:sz="4" w:space="0" w:color="auto"/>
              <w:right w:val="single" w:sz="4" w:space="0" w:color="auto"/>
            </w:tcBorders>
            <w:shd w:val="clear" w:color="auto" w:fill="auto"/>
            <w:hideMark/>
          </w:tcPr>
          <w:p>
            <w:pPr>
              <w:rPr>
                <w:noProof/>
                <w:color w:val="000000"/>
                <w:sz w:val="22"/>
                <w:szCs w:val="22"/>
              </w:rPr>
            </w:pPr>
            <w:r>
              <w:rPr>
                <w:rStyle w:val="iceouttxt38"/>
                <w:noProof/>
                <w:color w:val="494949"/>
                <w:sz w:val="22"/>
                <w:szCs w:val="22"/>
              </w:rPr>
              <w:t>Oznámenie Európskemu parlamentu, Európskej rade, Rade, Európskemu hospodárskemu a sociálnemu výboru a Výboru regiónov – Zásady subsidiarity a proporcionality: Posilnenie ich úloh v tvorbe politík EÚ</w:t>
            </w:r>
          </w:p>
        </w:tc>
        <w:tc>
          <w:tcPr>
            <w:tcW w:w="1164"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szCs w:val="22"/>
              </w:rPr>
              <w:t>6</w:t>
            </w:r>
          </w:p>
        </w:tc>
        <w:tc>
          <w:tcPr>
            <w:tcW w:w="1755"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szCs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COM(2019) 22</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rStyle w:val="iceouttxt38"/>
                <w:noProof/>
                <w:color w:val="494949"/>
                <w:sz w:val="22"/>
                <w:szCs w:val="22"/>
              </w:rPr>
              <w:t>Diskusný dokument – Smerom k udržateľnej Európe do roku 2030</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5</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3</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COM(2018) 800</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rStyle w:val="iceouttxt38"/>
                <w:noProof/>
                <w:color w:val="494949"/>
                <w:sz w:val="22"/>
                <w:szCs w:val="22"/>
              </w:rPr>
              <w:t>Oznámenie Európskemu parlamentu, Rade, Európskemu hospodárskemu a sociálnemu výboru a Výboru regiónov – Pracovný program Komisie na rok 2019 – Plníme sľuby a pripravujeme sa na budúcnosť</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4</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4</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COM(2019) 8</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rStyle w:val="iceouttxt38"/>
                <w:noProof/>
                <w:color w:val="494949"/>
                <w:sz w:val="22"/>
                <w:szCs w:val="22"/>
              </w:rPr>
              <w:t>Oznámenie Európskemu parlamentu, Európskej rade a Rade – Efektívnejšie a demokratickejšie rozhodovanie v oblasti daňovej politiky EÚ</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4</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5</w:t>
            </w:r>
          </w:p>
        </w:tc>
        <w:tc>
          <w:tcPr>
            <w:tcW w:w="1883" w:type="dxa"/>
            <w:tcBorders>
              <w:top w:val="single" w:sz="4" w:space="0" w:color="auto"/>
              <w:left w:val="nil"/>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COM(2019) 163</w:t>
            </w:r>
          </w:p>
        </w:tc>
        <w:tc>
          <w:tcPr>
            <w:tcW w:w="4343" w:type="dxa"/>
            <w:tcBorders>
              <w:top w:val="single" w:sz="4" w:space="0" w:color="auto"/>
              <w:left w:val="nil"/>
              <w:bottom w:val="single" w:sz="4" w:space="0" w:color="auto"/>
              <w:right w:val="single" w:sz="4" w:space="0" w:color="auto"/>
            </w:tcBorders>
            <w:shd w:val="clear" w:color="auto" w:fill="auto"/>
            <w:hideMark/>
          </w:tcPr>
          <w:p>
            <w:pPr>
              <w:rPr>
                <w:noProof/>
                <w:color w:val="000000"/>
                <w:sz w:val="22"/>
                <w:szCs w:val="22"/>
              </w:rPr>
            </w:pPr>
            <w:r>
              <w:rPr>
                <w:rStyle w:val="iceouttxt38"/>
                <w:noProof/>
                <w:color w:val="494949"/>
                <w:sz w:val="22"/>
                <w:szCs w:val="22"/>
              </w:rPr>
              <w:t>Oznámenie Európskemu parlamentu, Európskej rade a Rade – Ďalšie posilnenie právneho štátu v Únii – Súčasný stav a možné nasledujúce kroky</w:t>
            </w:r>
          </w:p>
        </w:tc>
        <w:tc>
          <w:tcPr>
            <w:tcW w:w="1164"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szCs w:val="22"/>
              </w:rPr>
              <w:t>4</w:t>
            </w:r>
          </w:p>
        </w:tc>
        <w:tc>
          <w:tcPr>
            <w:tcW w:w="1755"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szCs w:val="22"/>
              </w:rPr>
              <w:t>0</w:t>
            </w:r>
          </w:p>
        </w:tc>
      </w:tr>
    </w:tbl>
    <w:p>
      <w:pPr>
        <w:rPr>
          <w:noProof/>
        </w:rPr>
      </w:pPr>
    </w:p>
    <w:sectPr>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6" w:h="16838" w:code="9"/>
      <w:pgMar w:top="1134" w:right="1440" w:bottom="1134" w:left="1440" w:header="425"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38148"/>
      <w:docPartObj>
        <w:docPartGallery w:val="Page Numbers (Bottom of Page)"/>
        <w:docPartUnique/>
      </w:docPartObj>
    </w:sdtPr>
    <w:sdtEndPr>
      <w:rPr>
        <w:noProof/>
      </w:rPr>
    </w:sdtEndPr>
    <w:sdtContent>
      <w:p>
        <w:pPr>
          <w:pStyle w:val="Footer"/>
          <w:jc w:val="cente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noProof/>
            <w:sz w:val="20"/>
          </w:rPr>
          <w:t>1</w:t>
        </w:r>
        <w:r>
          <w:rPr>
            <w:rFonts w:ascii="Times New Roman" w:hAnsi="Times New Roman"/>
            <w:sz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720" w:hanging="720"/>
      </w:pPr>
      <w:r>
        <w:rPr>
          <w:rStyle w:val="FootnoteReference"/>
        </w:rPr>
        <w:footnoteRef/>
      </w:r>
      <w:r>
        <w:tab/>
        <w:t>Vrátane stanovísk v rámci „politického dialógu“ aj odôvodnených stanovísk prijatých od národných parlamentov.</w:t>
      </w:r>
    </w:p>
  </w:footnote>
  <w:footnote w:id="2">
    <w:p>
      <w:pPr>
        <w:pStyle w:val="FootnoteText"/>
        <w:ind w:left="720" w:hanging="720"/>
      </w:pPr>
      <w:r>
        <w:rPr>
          <w:rStyle w:val="FootnoteReference"/>
        </w:rPr>
        <w:footnoteRef/>
      </w:r>
      <w:r>
        <w:t xml:space="preserve"> </w:t>
      </w:r>
      <w:r>
        <w:tab/>
        <w:t>Všetkých osem stanovísk boli spoločné stanoviská oboch komôr.</w:t>
      </w:r>
    </w:p>
  </w:footnote>
  <w:footnote w:id="3">
    <w:p>
      <w:pPr>
        <w:pStyle w:val="FootnoteText"/>
        <w:ind w:left="720" w:hanging="720"/>
      </w:pPr>
      <w:r>
        <w:rPr>
          <w:rStyle w:val="FootnoteReference"/>
        </w:rPr>
        <w:footnoteRef/>
      </w:r>
      <w:r>
        <w:tab/>
        <w:t xml:space="preserve">V súvislosti s týmito stanoviskami sa žiadna odpoveď Komisie neočakávala. </w:t>
      </w:r>
    </w:p>
  </w:footnote>
  <w:footnote w:id="4">
    <w:p>
      <w:pPr>
        <w:pStyle w:val="FootnoteText"/>
        <w:ind w:left="720" w:hanging="720"/>
      </w:pPr>
      <w:r>
        <w:rPr>
          <w:rStyle w:val="FootnoteReference"/>
        </w:rPr>
        <w:footnoteRef/>
      </w:r>
      <w:r>
        <w:tab/>
        <w:t xml:space="preserve">V tabuľke sa uvádzajú všetky dokumenty Komisie, ku ktorým Komisia dostala aspoň </w:t>
      </w:r>
      <w:r>
        <w:rPr>
          <w:u w:val="single"/>
        </w:rPr>
        <w:t>štyri</w:t>
      </w:r>
      <w:r>
        <w:t xml:space="preserve"> stanoviská, v poradí podľa počtu stanovísk. V niektorých prípadoch sa stanovisko týkalo aj iných dokumentov Komisie. Je potrebné poznamenať, že v roku 2019 nedosiahol túto prahovú hodnotu štyroch stanovísk žiadny legislatívny návrh.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7"/>
  </w:num>
  <w:num w:numId="8">
    <w:abstractNumId w:val="18"/>
  </w:num>
  <w:num w:numId="9">
    <w:abstractNumId w:val="9"/>
  </w:num>
  <w:num w:numId="10">
    <w:abstractNumId w:val="16"/>
  </w:num>
  <w:num w:numId="11">
    <w:abstractNumId w:val="15"/>
  </w:num>
  <w:num w:numId="12">
    <w:abstractNumId w:val="13"/>
  </w:num>
  <w:num w:numId="13">
    <w:abstractNumId w:val="14"/>
  </w:num>
  <w:num w:numId="14">
    <w:abstractNumId w:val="5"/>
  </w:num>
  <w:num w:numId="15">
    <w:abstractNumId w:val="10"/>
  </w:num>
  <w:num w:numId="16">
    <w:abstractNumId w:val="3"/>
  </w:num>
  <w:num w:numId="17">
    <w:abstractNumId w:val="7"/>
  </w:num>
  <w:num w:numId="18">
    <w:abstractNumId w:val="19"/>
  </w:num>
  <w:num w:numId="19">
    <w:abstractNumId w:val="8"/>
  </w:num>
  <w:num w:numId="20">
    <w:abstractNumId w:val="20"/>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k"/>
    <w:docVar w:name="LW_ANNEX_NBR_FIRST" w:val="1"/>
    <w:docVar w:name="LW_ANNEX_NBR_LAST" w:val="2"/>
    <w:docVar w:name="LW_ANNEX_UNIQUE" w:val="0"/>
    <w:docVar w:name="LW_CORRIGENDUM" w:val="&lt;UNUSED&gt;"/>
    <w:docVar w:name="LW_COVERPAGE_EXISTS" w:val="True"/>
    <w:docVar w:name="LW_COVERPAGE_GUID" w:val="F913CEB8-3CD1-454F-89C9-96954C16F705"/>
    <w:docVar w:name="LW_COVERPAGE_TYPE" w:val="1"/>
    <w:docVar w:name="LW_CROSSREFERENCE" w:val="&lt;UNUSED&gt;"/>
    <w:docVar w:name="LW_DocType" w:val="REP"/>
    <w:docVar w:name="LW_EMISSION" w:val="30. 6. 2020"/>
    <w:docVar w:name="LW_EMISSION_ISODATE" w:val="2020-06-30"/>
    <w:docVar w:name="LW_EMISSION_LOCATION" w:val="BRX"/>
    <w:docVar w:name="LW_EMISSION_PREFIX" w:val="V Bruseli"/>
    <w:docVar w:name="LW_EMISSION_SUFFIX" w:val=" "/>
    <w:docVar w:name="LW_ID_DOCTYPE_NONLW" w:val="CP-039"/>
    <w:docVar w:name="LW_LANGUE" w:val="SK"/>
    <w:docVar w:name="LW_LEVEL_OF_SENSITIVITY" w:val="Standard treatment"/>
    <w:docVar w:name="LW_NOM.INST" w:val="EURÓPSKA KOMISIA"/>
    <w:docVar w:name="LW_NOM.INST_JOINTDOC" w:val="&lt;EMPTY&gt;"/>
    <w:docVar w:name="LW_OBJETACTEPRINCIPAL.CP" w:val="&lt;FMT:Font=Calibri CE&gt;VÝRO\u268?NÁ SPRÁVA ZA ROK 2019&lt;/FMT&gt;_x000b_&lt;FMT:Font=Calibri&gt; &lt;/FMT&gt;&lt;FMT:Font=Calibri CE&gt;O UPLAT\u327?OVANÍ ZÁSAD SUBSIDIARITY A PROPORCIONALITY A O VZ\u356?AHOCH S NÁRODNÝMI PARLAMENTMI&lt;/FMT&gt;"/>
    <w:docVar w:name="LW_PART_NBR" w:val="&lt;UNUSED&gt;"/>
    <w:docVar w:name="LW_PART_NBR_TOTAL" w:val="&lt;UNUSED&gt;"/>
    <w:docVar w:name="LW_REF.INST.NEW" w:val="COM"/>
    <w:docVar w:name="LW_REF.INST.NEW_ADOPTED" w:val="final"/>
    <w:docVar w:name="LW_REF.INST.NEW_TEXT" w:val="(2020) 2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PRÍLOHY_x000b_"/>
    <w:docVar w:name="LW_TYPEACTEPRINCIPAL.CP" w:val="SPRÁVE KOMISIE"/>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character" w:customStyle="1" w:styleId="FootnoteTextChar">
    <w:name w:val="Footnote Text Char"/>
    <w:basedOn w:val="DefaultParagraphFont"/>
    <w:link w:val="FootnoteText"/>
    <w:uiPriority w:val="99"/>
    <w:semiHidden/>
    <w:rPr>
      <w:lang w:eastAsia="en-U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customStyle="1" w:styleId="iceouttxt38">
    <w:name w:val="iceouttxt38"/>
    <w:basedOn w:val="DefaultParagraphFont"/>
    <w:rPr>
      <w:sz w:val="24"/>
      <w:szCs w:val="24"/>
      <w:bdr w:val="none" w:sz="0" w:space="0" w:color="auto" w:frame="1"/>
      <w:vertAlign w:val="baseli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customStyle="1" w:styleId="SecurityMarking">
    <w:name w:val="SecurityMarking"/>
    <w:basedOn w:val="Normal"/>
    <w:pPr>
      <w:spacing w:line="276" w:lineRule="auto"/>
      <w:ind w:left="5103"/>
      <w:jc w:val="left"/>
    </w:pPr>
    <w:rPr>
      <w:rFonts w:eastAsiaTheme="minorHAnsi"/>
      <w:sz w:val="28"/>
      <w:szCs w:val="22"/>
    </w:rPr>
  </w:style>
  <w:style w:type="paragraph" w:customStyle="1" w:styleId="DateMarking">
    <w:name w:val="DateMarking"/>
    <w:basedOn w:val="Normal"/>
    <w:pPr>
      <w:spacing w:line="276" w:lineRule="auto"/>
      <w:ind w:left="5103"/>
      <w:jc w:val="left"/>
    </w:pPr>
    <w:rPr>
      <w:rFonts w:eastAsiaTheme="minorHAnsi"/>
      <w:i/>
      <w:sz w:val="28"/>
      <w:szCs w:val="22"/>
    </w:rPr>
  </w:style>
  <w:style w:type="paragraph" w:customStyle="1" w:styleId="ReleasableTo">
    <w:name w:val="ReleasableTo"/>
    <w:basedOn w:val="Normal"/>
    <w:pPr>
      <w:spacing w:line="276" w:lineRule="auto"/>
      <w:ind w:left="5103"/>
      <w:jc w:val="left"/>
    </w:pPr>
    <w:rPr>
      <w:rFonts w:eastAsiaTheme="minorHAnsi"/>
      <w:i/>
      <w:sz w:val="28"/>
      <w:szCs w:val="22"/>
    </w:rPr>
  </w:style>
  <w:style w:type="paragraph" w:customStyle="1" w:styleId="HeaderSensitivityRight">
    <w:name w:val="Header Sensitivity Right"/>
    <w:basedOn w:val="Normal"/>
    <w:pPr>
      <w:spacing w:after="12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character" w:customStyle="1" w:styleId="FootnoteTextChar">
    <w:name w:val="Footnote Text Char"/>
    <w:basedOn w:val="DefaultParagraphFont"/>
    <w:link w:val="FootnoteText"/>
    <w:uiPriority w:val="99"/>
    <w:semiHidden/>
    <w:rPr>
      <w:lang w:eastAsia="en-U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customStyle="1" w:styleId="iceouttxt38">
    <w:name w:val="iceouttxt38"/>
    <w:basedOn w:val="DefaultParagraphFont"/>
    <w:rPr>
      <w:sz w:val="24"/>
      <w:szCs w:val="24"/>
      <w:bdr w:val="none" w:sz="0" w:space="0" w:color="auto" w:frame="1"/>
      <w:vertAlign w:val="baseli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customStyle="1" w:styleId="SecurityMarking">
    <w:name w:val="SecurityMarking"/>
    <w:basedOn w:val="Normal"/>
    <w:pPr>
      <w:spacing w:line="276" w:lineRule="auto"/>
      <w:ind w:left="5103"/>
      <w:jc w:val="left"/>
    </w:pPr>
    <w:rPr>
      <w:rFonts w:eastAsiaTheme="minorHAnsi"/>
      <w:sz w:val="28"/>
      <w:szCs w:val="22"/>
    </w:rPr>
  </w:style>
  <w:style w:type="paragraph" w:customStyle="1" w:styleId="DateMarking">
    <w:name w:val="DateMarking"/>
    <w:basedOn w:val="Normal"/>
    <w:pPr>
      <w:spacing w:line="276" w:lineRule="auto"/>
      <w:ind w:left="5103"/>
      <w:jc w:val="left"/>
    </w:pPr>
    <w:rPr>
      <w:rFonts w:eastAsiaTheme="minorHAnsi"/>
      <w:i/>
      <w:sz w:val="28"/>
      <w:szCs w:val="22"/>
    </w:rPr>
  </w:style>
  <w:style w:type="paragraph" w:customStyle="1" w:styleId="ReleasableTo">
    <w:name w:val="ReleasableTo"/>
    <w:basedOn w:val="Normal"/>
    <w:pPr>
      <w:spacing w:line="276" w:lineRule="auto"/>
      <w:ind w:left="5103"/>
      <w:jc w:val="left"/>
    </w:pPr>
    <w:rPr>
      <w:rFonts w:eastAsiaTheme="minorHAnsi"/>
      <w:i/>
      <w:sz w:val="28"/>
      <w:szCs w:val="22"/>
    </w:rPr>
  </w:style>
  <w:style w:type="paragraph" w:customStyle="1" w:styleId="HeaderSensitivityRight">
    <w:name w:val="Header Sensitivity Right"/>
    <w:basedOn w:val="Normal"/>
    <w:pPr>
      <w:spacing w:after="12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EurolookProperties>
  <ProductCustomizationId/>
  <Created>
    <Version>4.6</Version>
    <Date>2018-08-29T12:28:07</Date>
    <Language>EN</Language>
  </Created>
  <Edited>
    <Version>10.0.40769.0</Version>
    <Date>2020-02-14T14:17:08</Date>
  </Edited>
  <DocumentModel>
    <Id>6cbda13a-4db2-46c6-876a-ef72275827ef</Id>
    <Name>Report</Name>
  </DocumentModel>
  <DocumentDate/>
  <DocumentVersion/>
  <CompatibilityMode>Eurolook4X</CompatibilityMode>
  <Address/>
</EurolookProperties>
</file>

<file path=customXml/item3.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SG.A.1</Service>
  <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185D78C-AD8C-44D8-9F36-C303026A0844}">
  <ds:schemaRefs/>
</ds:datastoreItem>
</file>

<file path=customXml/itemProps2.xml><?xml version="1.0" encoding="utf-8"?>
<ds:datastoreItem xmlns:ds="http://schemas.openxmlformats.org/officeDocument/2006/customXml" ds:itemID="{E0D61C8E-61D8-48E1-A8A1-D7C9F052D3FF}">
  <ds:schemaRefs/>
</ds:datastoreItem>
</file>

<file path=customXml/itemProps3.xml><?xml version="1.0" encoding="utf-8"?>
<ds:datastoreItem xmlns:ds="http://schemas.openxmlformats.org/officeDocument/2006/customXml" ds:itemID="{749A81CD-47B2-43EE-A84B-07911B2F577B}">
  <ds:schemaRefs/>
</ds:datastoreItem>
</file>

<file path=customXml/itemProps4.xml><?xml version="1.0" encoding="utf-8"?>
<ds:datastoreItem xmlns:ds="http://schemas.openxmlformats.org/officeDocument/2006/customXml" ds:itemID="{B5F848FB-DD26-46C6-9FBB-34453CE9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428</Words>
  <Characters>2316</Characters>
  <Application>Microsoft Office Word</Application>
  <DocSecurity>0</DocSecurity>
  <PresentationFormat>Microsoft Word 14.0</PresentationFormat>
  <Lines>257</Lines>
  <Paragraphs>228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Therace</dc:creator>
  <cp:keywords>EL4</cp:keywords>
  <cp:lastModifiedBy>DIGIT/C6</cp:lastModifiedBy>
  <cp:revision>12</cp:revision>
  <cp:lastPrinted>2020-02-19T06:37:00Z</cp:lastPrinted>
  <dcterms:created xsi:type="dcterms:W3CDTF">2020-02-28T10:53:00Z</dcterms:created>
  <dcterms:modified xsi:type="dcterms:W3CDTF">2020-06-25T19:38:00Z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anguage">
    <vt:lpwstr>EN</vt:lpwstr>
  </property>
  <property fmtid="{D5CDD505-2E9C-101B-9397-08002B2CF9AE}" pid="5" name="Level of sensitivity">
    <vt:lpwstr>Standard treatment</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DocStatus">
    <vt:lpwstr>Green</vt:lpwstr>
  </property>
  <property fmtid="{D5CDD505-2E9C-101B-9397-08002B2CF9AE}" pid="12" name="CPTemplateID">
    <vt:lpwstr>CP-039</vt:lpwstr>
  </property>
  <property fmtid="{D5CDD505-2E9C-101B-9397-08002B2CF9AE}" pid="13" name="_LW_INVALIDATED__LW_INVALIDATED__LW_INVALIDATED__LW_INVALIDATED__LW_INVALIDATED_TemplateVersion">
    <vt:lpwstr>4.6.5.0000</vt:lpwstr>
  </property>
  <property fmtid="{D5CDD505-2E9C-101B-9397-08002B2CF9AE}" pid="14" name="_LW_INVALIDATED__LW_INVALIDATED__LW_INVALIDATED__LW_INVALIDATED__LW_INVALIDATED_EurolookVersion">
    <vt:lpwstr>4.6</vt:lpwstr>
  </property>
  <property fmtid="{D5CDD505-2E9C-101B-9397-08002B2CF9AE}" pid="15" name="_LW_INVALIDATED__LW_INVALIDATED__LW_INVALIDATED__LW_INVALIDATED__LW_INVALIDATED_DocID_EU">
    <vt:lpwstr> </vt:lpwstr>
  </property>
  <property fmtid="{D5CDD505-2E9C-101B-9397-08002B2CF9AE}" pid="16" name="_LW_INVALIDATED__LW_INVALIDATED__LW_INVALIDATED__LW_INVALIDATED__LW_INVALIDATED_ELDocType">
    <vt:lpwstr>rep.dot</vt:lpwstr>
  </property>
  <property fmtid="{D5CDD505-2E9C-101B-9397-08002B2CF9AE}" pid="17" name="_LW_INVALIDATED__LW_INVALIDATED__LW_INVALIDATED__LW_INVALIDATED__LW_INVALIDATED_Formatting">
    <vt:lpwstr>4.1</vt:lpwstr>
  </property>
  <property fmtid="{D5CDD505-2E9C-101B-9397-08002B2CF9AE}" pid="18" name="_LW_INVALIDATED__LW_INVALIDATED__LW_INVALIDATED__LW_INVALIDATED__LW_INVALIDATED_EL_Author">
    <vt:lpwstr>Christine Therace</vt:lpwstr>
  </property>
  <property fmtid="{D5CDD505-2E9C-101B-9397-08002B2CF9AE}" pid="19" name="_LW_INVALIDATED__LW_INVALIDATED__LW_INVALIDATED__LW_INVALIDATED__LW_INVALIDATED_Type">
    <vt:lpwstr>Eurolook Report</vt:lpwstr>
  </property>
  <property fmtid="{D5CDD505-2E9C-101B-9397-08002B2CF9AE}" pid="20" name="_LW_INVALIDATED__LW_INVALIDATED__LW_INVALIDATED__LW_INVALIDATED__LW_INVALIDATED_EL_Language">
    <vt:lpwstr>EN</vt:lpwstr>
  </property>
</Properties>
</file>