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94EF125-55EC-4B43-890E-C91797B01EF3" style="width:451pt;height:406.85pt">
            <v:imagedata r:id="rId12" o:title=""/>
          </v:shape>
        </w:pict>
      </w:r>
    </w:p>
    <w:bookmarkEnd w:id="0"/>
    <w:p>
      <w:pPr>
        <w:rPr>
          <w:noProof/>
          <w:lang w:val="fr-B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ANEXO 1</w:t>
      </w:r>
    </w:p>
    <w:p>
      <w:pPr>
        <w:spacing w:after="240"/>
        <w:jc w:val="center"/>
        <w:rPr>
          <w:b/>
          <w:noProof/>
        </w:rPr>
      </w:pPr>
      <w:r>
        <w:rPr>
          <w:b/>
          <w:noProof/>
        </w:rPr>
        <w:t>Número de pareceres recebidos pela Comissão em 2019, por parlamento/câmara nacional (diálogo político e mecanismo de controlo da subsidiariedade)</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0"/>
              </w:rPr>
            </w:pPr>
            <w:r>
              <w:rPr>
                <w:b/>
                <w:bCs/>
                <w:noProof/>
                <w:color w:val="000000"/>
                <w:sz w:val="20"/>
              </w:rPr>
              <w:t>Estado-Membro</w:t>
            </w:r>
          </w:p>
        </w:tc>
        <w:tc>
          <w:tcPr>
            <w:tcW w:w="3609" w:type="dxa"/>
            <w:shd w:val="clear" w:color="auto" w:fill="auto"/>
            <w:vAlign w:val="center"/>
          </w:tcPr>
          <w:p>
            <w:pPr>
              <w:spacing w:before="60" w:after="60"/>
              <w:jc w:val="center"/>
              <w:rPr>
                <w:b/>
                <w:bCs/>
                <w:noProof/>
                <w:color w:val="000000"/>
                <w:sz w:val="20"/>
              </w:rPr>
            </w:pPr>
            <w:r>
              <w:rPr>
                <w:b/>
                <w:bCs/>
                <w:noProof/>
                <w:color w:val="000000"/>
                <w:sz w:val="20"/>
              </w:rPr>
              <w:t>Câmara</w:t>
            </w:r>
          </w:p>
        </w:tc>
        <w:tc>
          <w:tcPr>
            <w:tcW w:w="1660" w:type="dxa"/>
            <w:shd w:val="clear" w:color="auto" w:fill="auto"/>
            <w:vAlign w:val="center"/>
          </w:tcPr>
          <w:p>
            <w:pPr>
              <w:spacing w:before="60" w:after="60"/>
              <w:jc w:val="center"/>
              <w:rPr>
                <w:b/>
                <w:bCs/>
                <w:noProof/>
                <w:color w:val="000000"/>
                <w:sz w:val="20"/>
              </w:rPr>
            </w:pPr>
            <w:r>
              <w:rPr>
                <w:b/>
                <w:bCs/>
                <w:noProof/>
                <w:color w:val="000000"/>
                <w:sz w:val="20"/>
              </w:rPr>
              <w:t>Número total</w:t>
            </w:r>
            <w:r>
              <w:rPr>
                <w:noProof/>
              </w:rPr>
              <w:t xml:space="preserve"> </w:t>
            </w:r>
            <w:r>
              <w:rPr>
                <w:noProof/>
              </w:rPr>
              <w:br/>
            </w:r>
            <w:r>
              <w:rPr>
                <w:b/>
                <w:bCs/>
                <w:noProof/>
                <w:color w:val="000000"/>
                <w:sz w:val="20"/>
              </w:rPr>
              <w:t>de</w:t>
            </w:r>
            <w:r>
              <w:rPr>
                <w:noProof/>
              </w:rPr>
              <w:t xml:space="preserve"> </w:t>
            </w:r>
            <w:r>
              <w:rPr>
                <w:noProof/>
              </w:rPr>
              <w:br/>
            </w:r>
            <w:r>
              <w:rPr>
                <w:b/>
                <w:bCs/>
                <w:noProof/>
                <w:color w:val="000000"/>
                <w:sz w:val="20"/>
              </w:rPr>
              <w:t>pareceres</w:t>
            </w:r>
            <w:r>
              <w:rPr>
                <w:rStyle w:val="FootnoteReference"/>
                <w:noProof/>
                <w:sz w:val="20"/>
              </w:rPr>
              <w:footnoteReference w:id="1"/>
            </w:r>
          </w:p>
        </w:tc>
        <w:tc>
          <w:tcPr>
            <w:tcW w:w="2364" w:type="dxa"/>
            <w:shd w:val="clear" w:color="auto" w:fill="auto"/>
            <w:vAlign w:val="center"/>
          </w:tcPr>
          <w:p>
            <w:pPr>
              <w:spacing w:before="60" w:after="60"/>
              <w:jc w:val="center"/>
              <w:rPr>
                <w:b/>
                <w:bCs/>
                <w:noProof/>
                <w:color w:val="000000"/>
                <w:sz w:val="20"/>
              </w:rPr>
            </w:pPr>
            <w:r>
              <w:rPr>
                <w:b/>
                <w:bCs/>
                <w:noProof/>
                <w:color w:val="000000"/>
                <w:sz w:val="20"/>
              </w:rPr>
              <w:t>Número</w:t>
            </w:r>
            <w:r>
              <w:rPr>
                <w:noProof/>
              </w:rPr>
              <w:t xml:space="preserve"> </w:t>
            </w:r>
            <w:r>
              <w:rPr>
                <w:noProof/>
              </w:rPr>
              <w:br/>
            </w:r>
            <w:r>
              <w:rPr>
                <w:b/>
                <w:bCs/>
                <w:noProof/>
                <w:color w:val="000000"/>
                <w:sz w:val="20"/>
              </w:rPr>
              <w:t>de pareceres</w:t>
            </w:r>
            <w:r>
              <w:rPr>
                <w:noProof/>
              </w:rPr>
              <w:t xml:space="preserve"> </w:t>
            </w:r>
            <w:r>
              <w:rPr>
                <w:noProof/>
              </w:rPr>
              <w:br/>
            </w:r>
            <w:r>
              <w:rPr>
                <w:b/>
                <w:bCs/>
                <w:noProof/>
                <w:color w:val="000000"/>
                <w:sz w:val="20"/>
              </w:rPr>
              <w:t>fundamentados</w:t>
            </w:r>
            <w:r>
              <w:rPr>
                <w:noProof/>
              </w:rPr>
              <w:t xml:space="preserve"> </w:t>
            </w:r>
            <w:r>
              <w:rPr>
                <w:noProof/>
              </w:rPr>
              <w:br/>
            </w:r>
            <w:r>
              <w:rPr>
                <w:b/>
                <w:noProof/>
                <w:sz w:val="20"/>
              </w:rPr>
              <w:t>(Protocolo n.º 2)</w:t>
            </w:r>
          </w:p>
        </w:tc>
      </w:tr>
      <w:tr>
        <w:trPr>
          <w:cantSplit/>
        </w:trPr>
        <w:tc>
          <w:tcPr>
            <w:tcW w:w="1909" w:type="dxa"/>
            <w:shd w:val="clear" w:color="auto" w:fill="auto"/>
            <w:vAlign w:val="center"/>
          </w:tcPr>
          <w:p>
            <w:pPr>
              <w:jc w:val="center"/>
              <w:rPr>
                <w:noProof/>
                <w:color w:val="000000"/>
                <w:sz w:val="20"/>
              </w:rPr>
            </w:pPr>
            <w:r>
              <w:rPr>
                <w:noProof/>
                <w:color w:val="000000"/>
                <w:sz w:val="20"/>
              </w:rPr>
              <w:t>República Checa</w:t>
            </w:r>
          </w:p>
        </w:tc>
        <w:tc>
          <w:tcPr>
            <w:tcW w:w="3609" w:type="dxa"/>
            <w:shd w:val="clear" w:color="auto" w:fill="auto"/>
            <w:vAlign w:val="center"/>
          </w:tcPr>
          <w:p>
            <w:pPr>
              <w:jc w:val="center"/>
              <w:rPr>
                <w:i/>
                <w:iCs/>
                <w:noProof/>
                <w:color w:val="000000"/>
                <w:sz w:val="20"/>
              </w:rPr>
            </w:pPr>
            <w:r>
              <w:rPr>
                <w:i/>
                <w:iCs/>
                <w:noProof/>
                <w:color w:val="000000"/>
                <w:sz w:val="20"/>
              </w:rPr>
              <w:t>Sénat</w:t>
            </w:r>
          </w:p>
        </w:tc>
        <w:tc>
          <w:tcPr>
            <w:tcW w:w="1660" w:type="dxa"/>
            <w:shd w:val="clear" w:color="auto" w:fill="auto"/>
            <w:vAlign w:val="center"/>
          </w:tcPr>
          <w:p>
            <w:pPr>
              <w:jc w:val="center"/>
              <w:rPr>
                <w:noProof/>
                <w:color w:val="000000"/>
                <w:sz w:val="20"/>
              </w:rPr>
            </w:pPr>
            <w:r>
              <w:rPr>
                <w:noProof/>
                <w:color w:val="000000"/>
                <w:sz w:val="20"/>
              </w:rPr>
              <w:t>21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Roménia</w:t>
            </w:r>
          </w:p>
        </w:tc>
        <w:tc>
          <w:tcPr>
            <w:tcW w:w="3609" w:type="dxa"/>
            <w:shd w:val="clear" w:color="auto" w:fill="auto"/>
            <w:vAlign w:val="center"/>
          </w:tcPr>
          <w:p>
            <w:pPr>
              <w:jc w:val="center"/>
              <w:rPr>
                <w:i/>
                <w:iCs/>
                <w:noProof/>
                <w:color w:val="000000"/>
                <w:sz w:val="20"/>
              </w:rPr>
            </w:pPr>
            <w:r>
              <w:rPr>
                <w:i/>
                <w:iCs/>
                <w:noProof/>
                <w:color w:val="000000"/>
                <w:sz w:val="20"/>
              </w:rPr>
              <w:t>Camera Deputaților</w:t>
            </w:r>
          </w:p>
        </w:tc>
        <w:tc>
          <w:tcPr>
            <w:tcW w:w="1660" w:type="dxa"/>
            <w:shd w:val="clear" w:color="auto" w:fill="auto"/>
            <w:vAlign w:val="center"/>
          </w:tcPr>
          <w:p>
            <w:pPr>
              <w:jc w:val="center"/>
              <w:rPr>
                <w:noProof/>
                <w:color w:val="000000"/>
                <w:sz w:val="20"/>
              </w:rPr>
            </w:pPr>
            <w:r>
              <w:rPr>
                <w:noProof/>
                <w:color w:val="000000"/>
                <w:sz w:val="20"/>
              </w:rPr>
              <w:t>15</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Portugal</w:t>
            </w:r>
          </w:p>
        </w:tc>
        <w:tc>
          <w:tcPr>
            <w:tcW w:w="3609" w:type="dxa"/>
            <w:shd w:val="clear" w:color="auto" w:fill="auto"/>
            <w:vAlign w:val="center"/>
          </w:tcPr>
          <w:p>
            <w:pPr>
              <w:jc w:val="center"/>
              <w:rPr>
                <w:i/>
                <w:iCs/>
                <w:noProof/>
                <w:color w:val="000000"/>
                <w:sz w:val="20"/>
              </w:rPr>
            </w:pPr>
            <w:r>
              <w:rPr>
                <w:i/>
                <w:iCs/>
                <w:noProof/>
                <w:color w:val="000000"/>
                <w:sz w:val="20"/>
              </w:rPr>
              <w:t>Assembleia da República</w:t>
            </w:r>
          </w:p>
        </w:tc>
        <w:tc>
          <w:tcPr>
            <w:tcW w:w="1660" w:type="dxa"/>
            <w:shd w:val="clear" w:color="auto" w:fill="auto"/>
            <w:vAlign w:val="center"/>
          </w:tcPr>
          <w:p>
            <w:pPr>
              <w:jc w:val="center"/>
              <w:rPr>
                <w:noProof/>
                <w:color w:val="000000"/>
                <w:sz w:val="20"/>
              </w:rPr>
            </w:pPr>
            <w:r>
              <w:rPr>
                <w:noProof/>
                <w:color w:val="000000"/>
                <w:sz w:val="20"/>
              </w:rPr>
              <w:t>14</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República Checa</w:t>
            </w:r>
          </w:p>
        </w:tc>
        <w:tc>
          <w:tcPr>
            <w:tcW w:w="3609" w:type="dxa"/>
            <w:shd w:val="clear" w:color="auto" w:fill="auto"/>
            <w:vAlign w:val="center"/>
          </w:tcPr>
          <w:p>
            <w:pPr>
              <w:jc w:val="center"/>
              <w:rPr>
                <w:i/>
                <w:iCs/>
                <w:noProof/>
                <w:color w:val="000000"/>
                <w:sz w:val="20"/>
              </w:rPr>
            </w:pPr>
            <w:r>
              <w:rPr>
                <w:i/>
                <w:iCs/>
                <w:noProof/>
                <w:color w:val="000000"/>
                <w:sz w:val="20"/>
              </w:rPr>
              <w:t>Poslanecká sněmovna</w:t>
            </w:r>
          </w:p>
        </w:tc>
        <w:tc>
          <w:tcPr>
            <w:tcW w:w="1660" w:type="dxa"/>
            <w:shd w:val="clear" w:color="auto" w:fill="auto"/>
            <w:vAlign w:val="center"/>
          </w:tcPr>
          <w:p>
            <w:pPr>
              <w:jc w:val="center"/>
              <w:rPr>
                <w:noProof/>
                <w:color w:val="000000"/>
                <w:sz w:val="20"/>
              </w:rPr>
            </w:pPr>
            <w:r>
              <w:rPr>
                <w:noProof/>
                <w:color w:val="000000"/>
                <w:sz w:val="20"/>
              </w:rPr>
              <w:t>13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França</w:t>
            </w:r>
          </w:p>
        </w:tc>
        <w:tc>
          <w:tcPr>
            <w:tcW w:w="3609" w:type="dxa"/>
            <w:shd w:val="clear" w:color="auto" w:fill="auto"/>
            <w:vAlign w:val="center"/>
          </w:tcPr>
          <w:p>
            <w:pPr>
              <w:jc w:val="center"/>
              <w:rPr>
                <w:i/>
                <w:iCs/>
                <w:noProof/>
                <w:color w:val="000000"/>
                <w:sz w:val="20"/>
              </w:rPr>
            </w:pPr>
            <w:r>
              <w:rPr>
                <w:i/>
                <w:iCs/>
                <w:noProof/>
                <w:color w:val="000000"/>
                <w:sz w:val="20"/>
              </w:rPr>
              <w:t>Sénat</w:t>
            </w:r>
          </w:p>
        </w:tc>
        <w:tc>
          <w:tcPr>
            <w:tcW w:w="1660" w:type="dxa"/>
            <w:shd w:val="clear" w:color="auto" w:fill="auto"/>
            <w:vAlign w:val="center"/>
          </w:tcPr>
          <w:p>
            <w:pPr>
              <w:jc w:val="center"/>
              <w:rPr>
                <w:noProof/>
                <w:color w:val="000000"/>
                <w:sz w:val="20"/>
              </w:rPr>
            </w:pPr>
            <w:r>
              <w:rPr>
                <w:noProof/>
                <w:color w:val="000000"/>
                <w:sz w:val="20"/>
              </w:rPr>
              <w:t>12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Alemanha</w:t>
            </w:r>
          </w:p>
        </w:tc>
        <w:tc>
          <w:tcPr>
            <w:tcW w:w="3609" w:type="dxa"/>
            <w:shd w:val="clear" w:color="auto" w:fill="auto"/>
            <w:vAlign w:val="center"/>
          </w:tcPr>
          <w:p>
            <w:pPr>
              <w:jc w:val="center"/>
              <w:rPr>
                <w:i/>
                <w:iCs/>
                <w:noProof/>
                <w:color w:val="000000"/>
                <w:sz w:val="20"/>
              </w:rPr>
            </w:pPr>
            <w:r>
              <w:rPr>
                <w:i/>
                <w:iCs/>
                <w:noProof/>
                <w:color w:val="000000"/>
                <w:sz w:val="20"/>
              </w:rPr>
              <w:t>Bundesrat</w:t>
            </w:r>
          </w:p>
        </w:tc>
        <w:tc>
          <w:tcPr>
            <w:tcW w:w="1660" w:type="dxa"/>
            <w:shd w:val="clear" w:color="auto" w:fill="auto"/>
            <w:vAlign w:val="center"/>
          </w:tcPr>
          <w:p>
            <w:pPr>
              <w:jc w:val="center"/>
              <w:rPr>
                <w:noProof/>
                <w:color w:val="000000"/>
                <w:sz w:val="20"/>
              </w:rPr>
            </w:pPr>
            <w:r>
              <w:rPr>
                <w:noProof/>
                <w:color w:val="000000"/>
                <w:sz w:val="20"/>
              </w:rPr>
              <w:t>11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Espanha</w:t>
            </w:r>
          </w:p>
        </w:tc>
        <w:tc>
          <w:tcPr>
            <w:tcW w:w="3609" w:type="dxa"/>
            <w:shd w:val="clear" w:color="auto" w:fill="auto"/>
            <w:vAlign w:val="center"/>
          </w:tcPr>
          <w:p>
            <w:pPr>
              <w:jc w:val="center"/>
              <w:rPr>
                <w:noProof/>
                <w:color w:val="000000"/>
                <w:sz w:val="20"/>
              </w:rPr>
            </w:pPr>
            <w:r>
              <w:rPr>
                <w:i/>
                <w:iCs/>
                <w:noProof/>
                <w:color w:val="000000"/>
                <w:sz w:val="20"/>
              </w:rPr>
              <w:t>Las Cortes Generales:</w:t>
            </w:r>
            <w:r>
              <w:rPr>
                <w:noProof/>
              </w:rPr>
              <w:t xml:space="preserve"> </w:t>
            </w:r>
            <w:r>
              <w:rPr>
                <w:noProof/>
              </w:rPr>
              <w:br/>
            </w:r>
            <w:r>
              <w:rPr>
                <w:i/>
                <w:iCs/>
                <w:noProof/>
                <w:color w:val="000000"/>
                <w:sz w:val="20"/>
              </w:rPr>
              <w:t>Senado de España</w:t>
            </w:r>
            <w:r>
              <w:rPr>
                <w:noProof/>
                <w:color w:val="000000"/>
                <w:sz w:val="20"/>
              </w:rPr>
              <w:t xml:space="preserve"> e</w:t>
            </w:r>
            <w:r>
              <w:rPr>
                <w:noProof/>
              </w:rPr>
              <w:t xml:space="preserve"> </w:t>
            </w:r>
            <w:r>
              <w:rPr>
                <w:noProof/>
              </w:rPr>
              <w:br/>
            </w:r>
            <w:r>
              <w:rPr>
                <w:i/>
                <w:iCs/>
                <w:noProof/>
                <w:color w:val="000000"/>
                <w:sz w:val="20"/>
              </w:rPr>
              <w:t>Congreso de los Diputados</w:t>
            </w:r>
          </w:p>
        </w:tc>
        <w:tc>
          <w:tcPr>
            <w:tcW w:w="1660" w:type="dxa"/>
            <w:shd w:val="clear" w:color="auto" w:fill="auto"/>
            <w:vAlign w:val="center"/>
          </w:tcPr>
          <w:p>
            <w:pPr>
              <w:jc w:val="center"/>
              <w:rPr>
                <w:noProof/>
                <w:color w:val="000000"/>
                <w:sz w:val="20"/>
              </w:rPr>
            </w:pPr>
            <w:r>
              <w:rPr>
                <w:noProof/>
                <w:color w:val="000000"/>
                <w:sz w:val="20"/>
              </w:rPr>
              <w:t>8</w:t>
            </w:r>
            <w:r>
              <w:rPr>
                <w:rStyle w:val="FootnoteReference"/>
                <w:noProof/>
                <w:color w:val="000000"/>
                <w:sz w:val="20"/>
              </w:rPr>
              <w:footnoteReference w:id="2"/>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Reino Unido</w:t>
            </w:r>
          </w:p>
        </w:tc>
        <w:tc>
          <w:tcPr>
            <w:tcW w:w="3609" w:type="dxa"/>
            <w:shd w:val="clear" w:color="auto" w:fill="auto"/>
            <w:vAlign w:val="center"/>
          </w:tcPr>
          <w:p>
            <w:pPr>
              <w:jc w:val="center"/>
              <w:rPr>
                <w:iCs/>
                <w:noProof/>
                <w:color w:val="000000"/>
                <w:sz w:val="20"/>
              </w:rPr>
            </w:pPr>
            <w:r>
              <w:rPr>
                <w:iCs/>
                <w:noProof/>
                <w:color w:val="000000"/>
                <w:sz w:val="20"/>
              </w:rPr>
              <w:t>House of Lords – Câmara dos Lordes</w:t>
            </w:r>
          </w:p>
        </w:tc>
        <w:tc>
          <w:tcPr>
            <w:tcW w:w="1660" w:type="dxa"/>
            <w:shd w:val="clear" w:color="auto" w:fill="auto"/>
            <w:vAlign w:val="center"/>
          </w:tcPr>
          <w:p>
            <w:pPr>
              <w:jc w:val="center"/>
              <w:rPr>
                <w:noProof/>
                <w:color w:val="000000"/>
                <w:sz w:val="20"/>
              </w:rPr>
            </w:pPr>
            <w:r>
              <w:rPr>
                <w:noProof/>
                <w:color w:val="000000"/>
                <w:sz w:val="20"/>
              </w:rPr>
              <w:t>8</w:t>
            </w:r>
            <w:r>
              <w:rPr>
                <w:rStyle w:val="FootnoteReference"/>
                <w:noProof/>
                <w:color w:val="000000"/>
                <w:sz w:val="20"/>
              </w:rPr>
              <w:footnoteReference w:id="3"/>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Itália</w:t>
            </w:r>
          </w:p>
        </w:tc>
        <w:tc>
          <w:tcPr>
            <w:tcW w:w="3609" w:type="dxa"/>
            <w:shd w:val="clear" w:color="auto" w:fill="auto"/>
            <w:vAlign w:val="center"/>
          </w:tcPr>
          <w:p>
            <w:pPr>
              <w:jc w:val="center"/>
              <w:rPr>
                <w:i/>
                <w:iCs/>
                <w:noProof/>
                <w:color w:val="000000"/>
                <w:sz w:val="20"/>
              </w:rPr>
            </w:pPr>
            <w:r>
              <w:rPr>
                <w:i/>
                <w:iCs/>
                <w:noProof/>
                <w:color w:val="000000"/>
                <w:sz w:val="20"/>
              </w:rPr>
              <w:t>Senato della Repubblica</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Roménia</w:t>
            </w:r>
          </w:p>
        </w:tc>
        <w:tc>
          <w:tcPr>
            <w:tcW w:w="3609" w:type="dxa"/>
            <w:shd w:val="clear" w:color="auto" w:fill="auto"/>
            <w:vAlign w:val="center"/>
          </w:tcPr>
          <w:p>
            <w:pPr>
              <w:jc w:val="center"/>
              <w:rPr>
                <w:i/>
                <w:iCs/>
                <w:noProof/>
                <w:color w:val="000000"/>
                <w:sz w:val="20"/>
              </w:rPr>
            </w:pPr>
            <w:r>
              <w:rPr>
                <w:i/>
                <w:iCs/>
                <w:noProof/>
                <w:color w:val="000000"/>
                <w:sz w:val="20"/>
              </w:rPr>
              <w:t>Senatul</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Suécia</w:t>
            </w:r>
          </w:p>
        </w:tc>
        <w:tc>
          <w:tcPr>
            <w:tcW w:w="3609" w:type="dxa"/>
            <w:shd w:val="clear" w:color="auto" w:fill="auto"/>
            <w:vAlign w:val="center"/>
          </w:tcPr>
          <w:p>
            <w:pPr>
              <w:jc w:val="center"/>
              <w:rPr>
                <w:noProof/>
                <w:color w:val="000000"/>
                <w:sz w:val="20"/>
              </w:rPr>
            </w:pPr>
            <w:r>
              <w:rPr>
                <w:i/>
                <w:iCs/>
                <w:noProof/>
                <w:color w:val="000000"/>
                <w:sz w:val="20"/>
              </w:rPr>
              <w:t>Riksdag</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França</w:t>
            </w:r>
          </w:p>
        </w:tc>
        <w:tc>
          <w:tcPr>
            <w:tcW w:w="3609" w:type="dxa"/>
            <w:shd w:val="clear" w:color="auto" w:fill="auto"/>
            <w:vAlign w:val="center"/>
          </w:tcPr>
          <w:p>
            <w:pPr>
              <w:jc w:val="center"/>
              <w:rPr>
                <w:i/>
                <w:iCs/>
                <w:noProof/>
                <w:color w:val="000000"/>
                <w:sz w:val="20"/>
              </w:rPr>
            </w:pPr>
            <w:r>
              <w:rPr>
                <w:i/>
                <w:iCs/>
                <w:noProof/>
                <w:color w:val="000000"/>
                <w:sz w:val="20"/>
              </w:rPr>
              <w:t>Assemblée nationale</w:t>
            </w:r>
          </w:p>
        </w:tc>
        <w:tc>
          <w:tcPr>
            <w:tcW w:w="1660" w:type="dxa"/>
            <w:shd w:val="clear" w:color="auto" w:fill="auto"/>
            <w:vAlign w:val="center"/>
          </w:tcPr>
          <w:p>
            <w:pPr>
              <w:jc w:val="center"/>
              <w:rPr>
                <w:noProof/>
                <w:color w:val="000000"/>
                <w:sz w:val="20"/>
              </w:rPr>
            </w:pPr>
            <w:r>
              <w:rPr>
                <w:noProof/>
                <w:color w:val="000000"/>
                <w:sz w:val="20"/>
              </w:rPr>
              <w:t>6</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Países Baixos</w:t>
            </w:r>
          </w:p>
        </w:tc>
        <w:tc>
          <w:tcPr>
            <w:tcW w:w="3609" w:type="dxa"/>
            <w:shd w:val="clear" w:color="auto" w:fill="auto"/>
            <w:vAlign w:val="center"/>
          </w:tcPr>
          <w:p>
            <w:pPr>
              <w:jc w:val="center"/>
              <w:rPr>
                <w:i/>
                <w:iCs/>
                <w:noProof/>
                <w:color w:val="000000"/>
                <w:sz w:val="20"/>
              </w:rPr>
            </w:pPr>
            <w:r>
              <w:rPr>
                <w:i/>
                <w:iCs/>
                <w:noProof/>
                <w:color w:val="000000"/>
                <w:sz w:val="20"/>
              </w:rPr>
              <w:t>Eerste Kamer</w:t>
            </w:r>
          </w:p>
        </w:tc>
        <w:tc>
          <w:tcPr>
            <w:tcW w:w="1660" w:type="dxa"/>
            <w:shd w:val="clear" w:color="auto" w:fill="auto"/>
            <w:vAlign w:val="center"/>
          </w:tcPr>
          <w:p>
            <w:pPr>
              <w:jc w:val="center"/>
              <w:rPr>
                <w:noProof/>
                <w:color w:val="000000"/>
                <w:sz w:val="20"/>
              </w:rPr>
            </w:pPr>
            <w:r>
              <w:rPr>
                <w:noProof/>
                <w:color w:val="000000"/>
                <w:sz w:val="20"/>
              </w:rPr>
              <w:t>6</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Hungria</w:t>
            </w:r>
          </w:p>
        </w:tc>
        <w:tc>
          <w:tcPr>
            <w:tcW w:w="3609" w:type="dxa"/>
            <w:shd w:val="clear" w:color="auto" w:fill="auto"/>
            <w:vAlign w:val="center"/>
          </w:tcPr>
          <w:p>
            <w:pPr>
              <w:jc w:val="center"/>
              <w:rPr>
                <w:i/>
                <w:iCs/>
                <w:noProof/>
                <w:color w:val="000000"/>
                <w:sz w:val="20"/>
              </w:rPr>
            </w:pPr>
            <w:r>
              <w:rPr>
                <w:i/>
                <w:iCs/>
                <w:noProof/>
                <w:color w:val="000000"/>
                <w:sz w:val="20"/>
              </w:rPr>
              <w:t>Országgyűlés</w:t>
            </w:r>
          </w:p>
        </w:tc>
        <w:tc>
          <w:tcPr>
            <w:tcW w:w="1660" w:type="dxa"/>
            <w:shd w:val="clear" w:color="auto" w:fill="auto"/>
            <w:vAlign w:val="center"/>
          </w:tcPr>
          <w:p>
            <w:pPr>
              <w:jc w:val="center"/>
              <w:rPr>
                <w:noProof/>
                <w:color w:val="000000"/>
                <w:sz w:val="20"/>
              </w:rPr>
            </w:pPr>
            <w:r>
              <w:rPr>
                <w:noProof/>
                <w:color w:val="000000"/>
                <w:sz w:val="20"/>
              </w:rPr>
              <w:t>5</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Itália</w:t>
            </w:r>
          </w:p>
        </w:tc>
        <w:tc>
          <w:tcPr>
            <w:tcW w:w="3609" w:type="dxa"/>
            <w:shd w:val="clear" w:color="auto" w:fill="auto"/>
            <w:vAlign w:val="center"/>
          </w:tcPr>
          <w:p>
            <w:pPr>
              <w:jc w:val="center"/>
              <w:rPr>
                <w:i/>
                <w:iCs/>
                <w:noProof/>
                <w:color w:val="000000"/>
                <w:sz w:val="20"/>
              </w:rPr>
            </w:pPr>
            <w:r>
              <w:rPr>
                <w:i/>
                <w:iCs/>
                <w:noProof/>
                <w:color w:val="000000"/>
                <w:sz w:val="20"/>
              </w:rPr>
              <w:t xml:space="preserve">Camera dei Deputati </w:t>
            </w:r>
          </w:p>
        </w:tc>
        <w:tc>
          <w:tcPr>
            <w:tcW w:w="1660" w:type="dxa"/>
            <w:shd w:val="clear" w:color="auto" w:fill="auto"/>
            <w:vAlign w:val="center"/>
          </w:tcPr>
          <w:p>
            <w:pPr>
              <w:jc w:val="center"/>
              <w:rPr>
                <w:noProof/>
                <w:color w:val="000000"/>
                <w:sz w:val="20"/>
              </w:rPr>
            </w:pPr>
            <w:r>
              <w:rPr>
                <w:noProof/>
                <w:color w:val="000000"/>
                <w:sz w:val="20"/>
              </w:rPr>
              <w:t>4</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Lituânia</w:t>
            </w:r>
          </w:p>
        </w:tc>
        <w:tc>
          <w:tcPr>
            <w:tcW w:w="3609" w:type="dxa"/>
            <w:shd w:val="clear" w:color="auto" w:fill="auto"/>
            <w:vAlign w:val="center"/>
          </w:tcPr>
          <w:p>
            <w:pPr>
              <w:jc w:val="center"/>
              <w:rPr>
                <w:i/>
                <w:iCs/>
                <w:noProof/>
                <w:color w:val="000000"/>
                <w:sz w:val="20"/>
              </w:rPr>
            </w:pPr>
            <w:r>
              <w:rPr>
                <w:i/>
                <w:iCs/>
                <w:noProof/>
                <w:color w:val="000000"/>
                <w:sz w:val="20"/>
              </w:rPr>
              <w:t>Seimas</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Eslováquia</w:t>
            </w:r>
          </w:p>
        </w:tc>
        <w:tc>
          <w:tcPr>
            <w:tcW w:w="3609" w:type="dxa"/>
            <w:shd w:val="clear" w:color="auto" w:fill="auto"/>
            <w:vAlign w:val="center"/>
          </w:tcPr>
          <w:p>
            <w:pPr>
              <w:jc w:val="center"/>
              <w:rPr>
                <w:i/>
                <w:iCs/>
                <w:noProof/>
                <w:color w:val="000000"/>
                <w:sz w:val="20"/>
              </w:rPr>
            </w:pPr>
            <w:r>
              <w:rPr>
                <w:i/>
                <w:iCs/>
                <w:noProof/>
                <w:color w:val="000000"/>
                <w:sz w:val="20"/>
              </w:rPr>
              <w:t>Národná rada</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Malta</w:t>
            </w:r>
          </w:p>
        </w:tc>
        <w:tc>
          <w:tcPr>
            <w:tcW w:w="3609" w:type="dxa"/>
            <w:shd w:val="clear" w:color="auto" w:fill="auto"/>
            <w:vAlign w:val="center"/>
          </w:tcPr>
          <w:p>
            <w:pPr>
              <w:jc w:val="center"/>
              <w:rPr>
                <w:i/>
                <w:iCs/>
                <w:noProof/>
                <w:color w:val="000000"/>
                <w:sz w:val="20"/>
              </w:rPr>
            </w:pPr>
            <w:r>
              <w:rPr>
                <w:i/>
                <w:iCs/>
                <w:noProof/>
                <w:color w:val="000000"/>
                <w:sz w:val="20"/>
              </w:rPr>
              <w:t>Kamra tad-Deputati</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Países Baixos</w:t>
            </w:r>
          </w:p>
        </w:tc>
        <w:tc>
          <w:tcPr>
            <w:tcW w:w="3609" w:type="dxa"/>
            <w:shd w:val="clear" w:color="auto" w:fill="auto"/>
            <w:vAlign w:val="center"/>
          </w:tcPr>
          <w:p>
            <w:pPr>
              <w:jc w:val="center"/>
              <w:rPr>
                <w:i/>
                <w:iCs/>
                <w:noProof/>
                <w:color w:val="000000"/>
                <w:sz w:val="20"/>
              </w:rPr>
            </w:pPr>
            <w:r>
              <w:rPr>
                <w:i/>
                <w:iCs/>
                <w:noProof/>
                <w:color w:val="000000"/>
                <w:sz w:val="20"/>
              </w:rPr>
              <w:t>Tweede Kamer</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Polónia</w:t>
            </w:r>
          </w:p>
        </w:tc>
        <w:tc>
          <w:tcPr>
            <w:tcW w:w="3609" w:type="dxa"/>
            <w:shd w:val="clear" w:color="auto" w:fill="auto"/>
            <w:vAlign w:val="center"/>
          </w:tcPr>
          <w:p>
            <w:pPr>
              <w:jc w:val="center"/>
              <w:rPr>
                <w:i/>
                <w:iCs/>
                <w:noProof/>
                <w:color w:val="000000"/>
                <w:sz w:val="20"/>
              </w:rPr>
            </w:pPr>
            <w:r>
              <w:rPr>
                <w:i/>
                <w:iCs/>
                <w:noProof/>
                <w:color w:val="000000"/>
                <w:sz w:val="20"/>
              </w:rPr>
              <w:t>Sejm Rzeczypospolitej Polskiej</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Polónia</w:t>
            </w:r>
          </w:p>
        </w:tc>
        <w:tc>
          <w:tcPr>
            <w:tcW w:w="3609" w:type="dxa"/>
            <w:shd w:val="clear" w:color="auto" w:fill="auto"/>
            <w:vAlign w:val="center"/>
          </w:tcPr>
          <w:p>
            <w:pPr>
              <w:jc w:val="center"/>
              <w:rPr>
                <w:i/>
                <w:iCs/>
                <w:noProof/>
                <w:color w:val="000000"/>
                <w:sz w:val="20"/>
              </w:rPr>
            </w:pPr>
            <w:r>
              <w:rPr>
                <w:i/>
                <w:iCs/>
                <w:noProof/>
                <w:color w:val="000000"/>
                <w:sz w:val="20"/>
              </w:rPr>
              <w:t>Senat Rzeczypospolitej Polskiej</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Bélgica</w:t>
            </w:r>
          </w:p>
        </w:tc>
        <w:tc>
          <w:tcPr>
            <w:tcW w:w="3609" w:type="dxa"/>
            <w:shd w:val="clear" w:color="auto" w:fill="auto"/>
            <w:vAlign w:val="center"/>
          </w:tcPr>
          <w:p>
            <w:pPr>
              <w:jc w:val="center"/>
              <w:rPr>
                <w:i/>
                <w:iCs/>
                <w:noProof/>
                <w:color w:val="000000"/>
                <w:sz w:val="20"/>
                <w:lang w:val="fr-BE"/>
              </w:rPr>
            </w:pPr>
            <w:r>
              <w:rPr>
                <w:i/>
                <w:iCs/>
                <w:noProof/>
                <w:color w:val="000000"/>
                <w:sz w:val="20"/>
                <w:lang w:val="fr-BE"/>
              </w:rPr>
              <w:t>Sénat de Belgique / Belgische Senaat</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Bélgica</w:t>
            </w:r>
          </w:p>
        </w:tc>
        <w:tc>
          <w:tcPr>
            <w:tcW w:w="3609" w:type="dxa"/>
            <w:shd w:val="clear" w:color="auto" w:fill="auto"/>
            <w:vAlign w:val="center"/>
          </w:tcPr>
          <w:p>
            <w:pPr>
              <w:jc w:val="center"/>
              <w:rPr>
                <w:i/>
                <w:iCs/>
                <w:noProof/>
                <w:color w:val="000000"/>
                <w:sz w:val="20"/>
              </w:rPr>
            </w:pPr>
            <w:r>
              <w:rPr>
                <w:i/>
                <w:iCs/>
                <w:noProof/>
                <w:color w:val="000000"/>
                <w:sz w:val="20"/>
              </w:rPr>
              <w:t>Chambre des Représentants de Belgique / Belgische Kamer van volksvertegenwoordigers</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Bulgária</w:t>
            </w:r>
          </w:p>
        </w:tc>
        <w:tc>
          <w:tcPr>
            <w:tcW w:w="3609" w:type="dxa"/>
            <w:shd w:val="clear" w:color="auto" w:fill="auto"/>
            <w:vAlign w:val="center"/>
          </w:tcPr>
          <w:p>
            <w:pPr>
              <w:jc w:val="center"/>
              <w:rPr>
                <w:i/>
                <w:iCs/>
                <w:noProof/>
                <w:color w:val="000000"/>
                <w:sz w:val="20"/>
              </w:rPr>
            </w:pPr>
            <w:r>
              <w:rPr>
                <w:i/>
                <w:iCs/>
                <w:noProof/>
                <w:color w:val="000000"/>
                <w:sz w:val="20"/>
              </w:rPr>
              <w:t>Narodno Sabranie</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Dinamarca</w:t>
            </w:r>
          </w:p>
        </w:tc>
        <w:tc>
          <w:tcPr>
            <w:tcW w:w="3609" w:type="dxa"/>
            <w:shd w:val="clear" w:color="auto" w:fill="auto"/>
            <w:vAlign w:val="center"/>
          </w:tcPr>
          <w:p>
            <w:pPr>
              <w:jc w:val="center"/>
              <w:rPr>
                <w:i/>
                <w:iCs/>
                <w:noProof/>
                <w:color w:val="000000"/>
                <w:sz w:val="20"/>
              </w:rPr>
            </w:pPr>
            <w:r>
              <w:rPr>
                <w:i/>
                <w:iCs/>
                <w:noProof/>
                <w:color w:val="000000"/>
                <w:sz w:val="20"/>
              </w:rPr>
              <w:t>Folketing</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Alemanha</w:t>
            </w:r>
          </w:p>
        </w:tc>
        <w:tc>
          <w:tcPr>
            <w:tcW w:w="3609" w:type="dxa"/>
            <w:shd w:val="clear" w:color="auto" w:fill="auto"/>
            <w:vAlign w:val="center"/>
          </w:tcPr>
          <w:p>
            <w:pPr>
              <w:jc w:val="center"/>
              <w:rPr>
                <w:i/>
                <w:iCs/>
                <w:noProof/>
                <w:color w:val="000000"/>
                <w:sz w:val="20"/>
              </w:rPr>
            </w:pPr>
            <w:r>
              <w:rPr>
                <w:i/>
                <w:iCs/>
                <w:noProof/>
                <w:color w:val="000000"/>
                <w:sz w:val="20"/>
              </w:rPr>
              <w:t>Bundestag</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Estónia</w:t>
            </w:r>
          </w:p>
        </w:tc>
        <w:tc>
          <w:tcPr>
            <w:tcW w:w="3609" w:type="dxa"/>
            <w:shd w:val="clear" w:color="auto" w:fill="auto"/>
            <w:vAlign w:val="center"/>
          </w:tcPr>
          <w:p>
            <w:pPr>
              <w:jc w:val="center"/>
              <w:rPr>
                <w:i/>
                <w:iCs/>
                <w:noProof/>
                <w:color w:val="000000"/>
                <w:sz w:val="20"/>
              </w:rPr>
            </w:pPr>
            <w:r>
              <w:rPr>
                <w:i/>
                <w:iCs/>
                <w:noProof/>
                <w:color w:val="000000"/>
                <w:sz w:val="20"/>
              </w:rPr>
              <w:t>Riigikogu</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lastRenderedPageBreak/>
              <w:t>Irlanda</w:t>
            </w:r>
          </w:p>
        </w:tc>
        <w:tc>
          <w:tcPr>
            <w:tcW w:w="3609" w:type="dxa"/>
            <w:shd w:val="clear" w:color="auto" w:fill="auto"/>
            <w:vAlign w:val="center"/>
          </w:tcPr>
          <w:p>
            <w:pPr>
              <w:jc w:val="center"/>
              <w:rPr>
                <w:noProof/>
                <w:color w:val="000000"/>
                <w:sz w:val="20"/>
              </w:rPr>
            </w:pPr>
            <w:r>
              <w:rPr>
                <w:noProof/>
                <w:color w:val="000000"/>
                <w:sz w:val="20"/>
              </w:rPr>
              <w:t xml:space="preserve">Câmaras do </w:t>
            </w:r>
            <w:r>
              <w:rPr>
                <w:i/>
                <w:iCs/>
                <w:noProof/>
                <w:color w:val="000000"/>
                <w:sz w:val="20"/>
              </w:rPr>
              <w:t>Oireachtas</w:t>
            </w:r>
            <w:r>
              <w:rPr>
                <w:noProof/>
                <w:color w:val="000000"/>
                <w:sz w:val="20"/>
              </w:rPr>
              <w:t>:</w:t>
            </w:r>
            <w:r>
              <w:rPr>
                <w:noProof/>
              </w:rPr>
              <w:t xml:space="preserve"> </w:t>
            </w:r>
            <w:r>
              <w:rPr>
                <w:noProof/>
              </w:rPr>
              <w:br/>
            </w:r>
            <w:r>
              <w:rPr>
                <w:i/>
                <w:iCs/>
                <w:noProof/>
                <w:color w:val="000000"/>
                <w:sz w:val="20"/>
              </w:rPr>
              <w:t>Dáil</w:t>
            </w:r>
            <w:r>
              <w:rPr>
                <w:noProof/>
                <w:color w:val="000000"/>
                <w:sz w:val="20"/>
              </w:rPr>
              <w:t xml:space="preserve"> e </w:t>
            </w:r>
            <w:r>
              <w:rPr>
                <w:i/>
                <w:iCs/>
                <w:noProof/>
                <w:color w:val="000000"/>
                <w:sz w:val="20"/>
              </w:rPr>
              <w:t xml:space="preserve">Seanad Éireann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Grécia</w:t>
            </w:r>
          </w:p>
        </w:tc>
        <w:tc>
          <w:tcPr>
            <w:tcW w:w="3609" w:type="dxa"/>
            <w:shd w:val="clear" w:color="auto" w:fill="auto"/>
            <w:vAlign w:val="center"/>
          </w:tcPr>
          <w:p>
            <w:pPr>
              <w:jc w:val="center"/>
              <w:rPr>
                <w:i/>
                <w:iCs/>
                <w:noProof/>
                <w:color w:val="000000"/>
                <w:sz w:val="20"/>
              </w:rPr>
            </w:pPr>
            <w:r>
              <w:rPr>
                <w:i/>
                <w:iCs/>
                <w:noProof/>
                <w:color w:val="000000"/>
                <w:sz w:val="20"/>
              </w:rPr>
              <w:t>Vouli ton Ellinon</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Croácia</w:t>
            </w:r>
          </w:p>
        </w:tc>
        <w:tc>
          <w:tcPr>
            <w:tcW w:w="3609" w:type="dxa"/>
            <w:shd w:val="clear" w:color="auto" w:fill="auto"/>
            <w:vAlign w:val="center"/>
          </w:tcPr>
          <w:p>
            <w:pPr>
              <w:jc w:val="center"/>
              <w:rPr>
                <w:i/>
                <w:iCs/>
                <w:noProof/>
                <w:color w:val="000000"/>
                <w:sz w:val="20"/>
              </w:rPr>
            </w:pPr>
            <w:r>
              <w:rPr>
                <w:i/>
                <w:iCs/>
                <w:noProof/>
                <w:color w:val="000000"/>
                <w:sz w:val="20"/>
              </w:rPr>
              <w:t xml:space="preserve">Hrvatski Sabor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Chipre</w:t>
            </w:r>
          </w:p>
        </w:tc>
        <w:tc>
          <w:tcPr>
            <w:tcW w:w="3609" w:type="dxa"/>
            <w:shd w:val="clear" w:color="auto" w:fill="auto"/>
            <w:vAlign w:val="center"/>
          </w:tcPr>
          <w:p>
            <w:pPr>
              <w:jc w:val="center"/>
              <w:rPr>
                <w:i/>
                <w:iCs/>
                <w:noProof/>
                <w:color w:val="000000"/>
                <w:sz w:val="20"/>
              </w:rPr>
            </w:pPr>
            <w:r>
              <w:rPr>
                <w:i/>
                <w:iCs/>
                <w:noProof/>
                <w:color w:val="000000"/>
                <w:sz w:val="20"/>
              </w:rPr>
              <w:t xml:space="preserve">Vouli ton Antiprosopon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Letónia</w:t>
            </w:r>
          </w:p>
        </w:tc>
        <w:tc>
          <w:tcPr>
            <w:tcW w:w="3609" w:type="dxa"/>
            <w:shd w:val="clear" w:color="auto" w:fill="auto"/>
            <w:vAlign w:val="center"/>
          </w:tcPr>
          <w:p>
            <w:pPr>
              <w:jc w:val="center"/>
              <w:rPr>
                <w:i/>
                <w:iCs/>
                <w:noProof/>
                <w:color w:val="000000"/>
                <w:sz w:val="20"/>
              </w:rPr>
            </w:pPr>
            <w:r>
              <w:rPr>
                <w:i/>
                <w:iCs/>
                <w:noProof/>
                <w:color w:val="000000"/>
                <w:sz w:val="20"/>
              </w:rPr>
              <w:t>Saeima</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Luxemburgo</w:t>
            </w:r>
          </w:p>
        </w:tc>
        <w:tc>
          <w:tcPr>
            <w:tcW w:w="3609" w:type="dxa"/>
            <w:shd w:val="clear" w:color="auto" w:fill="auto"/>
            <w:vAlign w:val="center"/>
          </w:tcPr>
          <w:p>
            <w:pPr>
              <w:jc w:val="center"/>
              <w:rPr>
                <w:i/>
                <w:iCs/>
                <w:noProof/>
                <w:color w:val="000000"/>
                <w:sz w:val="20"/>
              </w:rPr>
            </w:pPr>
            <w:r>
              <w:rPr>
                <w:i/>
                <w:iCs/>
                <w:noProof/>
                <w:color w:val="000000"/>
                <w:sz w:val="20"/>
              </w:rPr>
              <w:t>Chambre des Députés</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Áustria</w:t>
            </w:r>
          </w:p>
        </w:tc>
        <w:tc>
          <w:tcPr>
            <w:tcW w:w="3609" w:type="dxa"/>
            <w:shd w:val="clear" w:color="auto" w:fill="auto"/>
            <w:vAlign w:val="center"/>
          </w:tcPr>
          <w:p>
            <w:pPr>
              <w:jc w:val="center"/>
              <w:rPr>
                <w:i/>
                <w:iCs/>
                <w:noProof/>
                <w:color w:val="000000"/>
                <w:sz w:val="20"/>
              </w:rPr>
            </w:pPr>
            <w:r>
              <w:rPr>
                <w:i/>
                <w:iCs/>
                <w:noProof/>
                <w:color w:val="000000"/>
                <w:sz w:val="20"/>
              </w:rPr>
              <w:t>Bundesrat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Áustria</w:t>
            </w:r>
          </w:p>
        </w:tc>
        <w:tc>
          <w:tcPr>
            <w:tcW w:w="3609" w:type="dxa"/>
            <w:shd w:val="clear" w:color="auto" w:fill="auto"/>
            <w:vAlign w:val="center"/>
          </w:tcPr>
          <w:p>
            <w:pPr>
              <w:jc w:val="center"/>
              <w:rPr>
                <w:i/>
                <w:iCs/>
                <w:noProof/>
                <w:color w:val="000000"/>
                <w:sz w:val="20"/>
              </w:rPr>
            </w:pPr>
            <w:r>
              <w:rPr>
                <w:i/>
                <w:iCs/>
                <w:noProof/>
                <w:color w:val="000000"/>
                <w:sz w:val="20"/>
              </w:rPr>
              <w:t>Nationalrat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Eslovénia</w:t>
            </w:r>
          </w:p>
        </w:tc>
        <w:tc>
          <w:tcPr>
            <w:tcW w:w="3609" w:type="dxa"/>
            <w:shd w:val="clear" w:color="auto" w:fill="auto"/>
            <w:vAlign w:val="center"/>
          </w:tcPr>
          <w:p>
            <w:pPr>
              <w:jc w:val="center"/>
              <w:rPr>
                <w:i/>
                <w:iCs/>
                <w:noProof/>
                <w:color w:val="000000"/>
                <w:sz w:val="20"/>
              </w:rPr>
            </w:pPr>
            <w:r>
              <w:rPr>
                <w:i/>
                <w:iCs/>
                <w:noProof/>
                <w:color w:val="000000"/>
                <w:sz w:val="20"/>
              </w:rPr>
              <w:t>Državni svet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Eslovénia</w:t>
            </w:r>
          </w:p>
        </w:tc>
        <w:tc>
          <w:tcPr>
            <w:tcW w:w="3609" w:type="dxa"/>
            <w:shd w:val="clear" w:color="auto" w:fill="auto"/>
            <w:vAlign w:val="center"/>
          </w:tcPr>
          <w:p>
            <w:pPr>
              <w:jc w:val="center"/>
              <w:rPr>
                <w:i/>
                <w:iCs/>
                <w:noProof/>
                <w:color w:val="000000"/>
                <w:sz w:val="20"/>
              </w:rPr>
            </w:pPr>
            <w:r>
              <w:rPr>
                <w:i/>
                <w:iCs/>
                <w:noProof/>
                <w:color w:val="000000"/>
                <w:sz w:val="20"/>
              </w:rPr>
              <w:t>Državni zbor</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Finlândia</w:t>
            </w:r>
          </w:p>
        </w:tc>
        <w:tc>
          <w:tcPr>
            <w:tcW w:w="3609" w:type="dxa"/>
            <w:shd w:val="clear" w:color="auto" w:fill="auto"/>
            <w:vAlign w:val="center"/>
          </w:tcPr>
          <w:p>
            <w:pPr>
              <w:jc w:val="center"/>
              <w:rPr>
                <w:i/>
                <w:iCs/>
                <w:noProof/>
                <w:color w:val="000000"/>
                <w:sz w:val="20"/>
              </w:rPr>
            </w:pPr>
            <w:r>
              <w:rPr>
                <w:i/>
                <w:iCs/>
                <w:noProof/>
                <w:color w:val="000000"/>
                <w:sz w:val="20"/>
              </w:rPr>
              <w:t>Eduskunta</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Reino Unido</w:t>
            </w:r>
          </w:p>
        </w:tc>
        <w:tc>
          <w:tcPr>
            <w:tcW w:w="3609" w:type="dxa"/>
            <w:shd w:val="clear" w:color="auto" w:fill="auto"/>
            <w:vAlign w:val="center"/>
          </w:tcPr>
          <w:p>
            <w:pPr>
              <w:jc w:val="center"/>
              <w:rPr>
                <w:noProof/>
                <w:color w:val="000000"/>
                <w:sz w:val="20"/>
              </w:rPr>
            </w:pPr>
            <w:r>
              <w:rPr>
                <w:noProof/>
                <w:color w:val="000000"/>
                <w:sz w:val="20"/>
              </w:rPr>
              <w:t>House of Commons – Parlamento</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5518" w:type="dxa"/>
            <w:gridSpan w:val="2"/>
            <w:shd w:val="clear" w:color="auto" w:fill="auto"/>
            <w:vAlign w:val="center"/>
          </w:tcPr>
          <w:p>
            <w:pPr>
              <w:jc w:val="center"/>
              <w:rPr>
                <w:b/>
                <w:noProof/>
                <w:sz w:val="20"/>
              </w:rPr>
            </w:pPr>
            <w:r>
              <w:rPr>
                <w:b/>
                <w:noProof/>
                <w:sz w:val="20"/>
              </w:rPr>
              <w:t>TOTAL</w:t>
            </w:r>
          </w:p>
        </w:tc>
        <w:tc>
          <w:tcPr>
            <w:tcW w:w="1660" w:type="dxa"/>
            <w:shd w:val="clear" w:color="auto" w:fill="auto"/>
          </w:tcPr>
          <w:p>
            <w:pPr>
              <w:jc w:val="center"/>
              <w:rPr>
                <w:b/>
                <w:noProof/>
                <w:sz w:val="20"/>
              </w:rPr>
            </w:pPr>
            <w:r>
              <w:rPr>
                <w:b/>
                <w:noProof/>
                <w:sz w:val="20"/>
              </w:rPr>
              <w:t>159</w:t>
            </w:r>
          </w:p>
        </w:tc>
        <w:tc>
          <w:tcPr>
            <w:tcW w:w="2364" w:type="dxa"/>
            <w:shd w:val="clear" w:color="auto" w:fill="auto"/>
          </w:tcPr>
          <w:p>
            <w:pPr>
              <w:jc w:val="center"/>
              <w:rPr>
                <w:b/>
                <w:noProof/>
                <w:sz w:val="20"/>
              </w:rPr>
            </w:pPr>
            <w:r>
              <w:rPr>
                <w:b/>
                <w:noProof/>
                <w:sz w:val="20"/>
              </w:rPr>
              <w:t>0</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ANEXO 2</w:t>
      </w:r>
    </w:p>
    <w:p>
      <w:pPr>
        <w:spacing w:after="240"/>
        <w:jc w:val="center"/>
        <w:rPr>
          <w:b/>
          <w:noProof/>
        </w:rPr>
      </w:pPr>
      <w:r>
        <w:rPr>
          <w:b/>
          <w:noProof/>
        </w:rPr>
        <w:t>Documentos da Comissão que suscitaram o maior número de pareceres</w:t>
      </w:r>
      <w:r>
        <w:rPr>
          <w:rStyle w:val="FootnoteReference"/>
          <w:noProof/>
        </w:rPr>
        <w:footnoteReference w:id="4"/>
      </w:r>
      <w:r>
        <w:rPr>
          <w:b/>
          <w:noProof/>
        </w:rPr>
        <w:t xml:space="preserve"> recebidos pela Comissão em 2019 (diálogo político e mecanismo de controlo da subsidiariedade) </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343"/>
        <w:gridCol w:w="1164"/>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lang w:eastAsia="en-GB"/>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Documento</w:t>
            </w:r>
            <w:r>
              <w:rPr>
                <w:noProof/>
              </w:rPr>
              <w:t xml:space="preserve"> </w:t>
            </w:r>
            <w:r>
              <w:rPr>
                <w:noProof/>
              </w:rPr>
              <w:br/>
            </w:r>
            <w:r>
              <w:rPr>
                <w:b/>
                <w:bCs/>
                <w:noProof/>
                <w:color w:val="000000"/>
                <w:sz w:val="22"/>
                <w:szCs w:val="22"/>
              </w:rPr>
              <w:t>da Comissão</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Título</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Número</w:t>
            </w:r>
            <w:r>
              <w:rPr>
                <w:noProof/>
              </w:rPr>
              <w:t xml:space="preserve"> </w:t>
            </w:r>
            <w:r>
              <w:rPr>
                <w:noProof/>
              </w:rPr>
              <w:br/>
            </w:r>
            <w:r>
              <w:rPr>
                <w:b/>
                <w:bCs/>
                <w:noProof/>
                <w:color w:val="000000"/>
                <w:sz w:val="22"/>
                <w:szCs w:val="22"/>
              </w:rPr>
              <w:t>total</w:t>
            </w:r>
            <w:r>
              <w:rPr>
                <w:noProof/>
              </w:rPr>
              <w:t xml:space="preserve"> </w:t>
            </w:r>
            <w:r>
              <w:rPr>
                <w:noProof/>
              </w:rPr>
              <w:br/>
            </w:r>
            <w:r>
              <w:rPr>
                <w:b/>
                <w:bCs/>
                <w:noProof/>
                <w:color w:val="000000"/>
                <w:sz w:val="22"/>
                <w:szCs w:val="22"/>
              </w:rPr>
              <w:t>de</w:t>
            </w:r>
            <w:r>
              <w:rPr>
                <w:noProof/>
              </w:rPr>
              <w:t xml:space="preserve"> </w:t>
            </w:r>
            <w:r>
              <w:rPr>
                <w:noProof/>
              </w:rPr>
              <w:br/>
            </w:r>
            <w:r>
              <w:rPr>
                <w:b/>
                <w:bCs/>
                <w:noProof/>
                <w:color w:val="000000"/>
                <w:sz w:val="22"/>
                <w:szCs w:val="22"/>
              </w:rPr>
              <w:t>pareceres</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Número</w:t>
            </w:r>
            <w:r>
              <w:rPr>
                <w:noProof/>
              </w:rPr>
              <w:t xml:space="preserve"> </w:t>
            </w:r>
            <w:r>
              <w:rPr>
                <w:noProof/>
              </w:rPr>
              <w:br/>
            </w:r>
            <w:r>
              <w:rPr>
                <w:b/>
                <w:bCs/>
                <w:noProof/>
                <w:color w:val="000000"/>
                <w:sz w:val="22"/>
                <w:szCs w:val="22"/>
              </w:rPr>
              <w:t>de pareceres</w:t>
            </w:r>
            <w:r>
              <w:rPr>
                <w:noProof/>
              </w:rPr>
              <w:t xml:space="preserve"> </w:t>
            </w:r>
            <w:r>
              <w:rPr>
                <w:noProof/>
              </w:rPr>
              <w:br/>
            </w:r>
            <w:r>
              <w:rPr>
                <w:b/>
                <w:bCs/>
                <w:noProof/>
                <w:color w:val="000000"/>
                <w:sz w:val="22"/>
                <w:szCs w:val="22"/>
              </w:rPr>
              <w:t>fundamentados</w:t>
            </w:r>
            <w:r>
              <w:rPr>
                <w:noProof/>
              </w:rPr>
              <w:t xml:space="preserve"> </w:t>
            </w:r>
            <w:r>
              <w:rPr>
                <w:noProof/>
              </w:rPr>
              <w:br/>
            </w:r>
            <w:r>
              <w:rPr>
                <w:b/>
                <w:bCs/>
                <w:noProof/>
                <w:color w:val="000000"/>
                <w:sz w:val="22"/>
                <w:szCs w:val="22"/>
              </w:rPr>
              <w:t>(Protocolo n.º 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COM(2018) 703</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rStyle w:val="iceouttxt38"/>
                <w:noProof/>
                <w:color w:val="494949"/>
                <w:sz w:val="22"/>
                <w:szCs w:val="22"/>
              </w:rPr>
              <w:t>Comunicação da Comissão ao Parlamento Europeu, ao Conselho Europeu, ao Conselho, ao Comité Económico e Social Europeu e ao Comité das Regiões «Os princípios da subsidiariedade e da proporcionalidade: reforçar o seu papel no processo de elaboração de políticas da UE»</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6</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COM(2019) 22</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Documento de Reflexão «Para uma Europa sustentável até 2030»</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5</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800</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Comunicação Da Comissão ao Parlamento Europeu, ao Conselho, ao Comité Económico e Social Europeu e ao Comité das Regiões «Programa de Trabalho da Comissão para 2019. Cumprir o prometido e preparar o futuro»</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COM(2019) 8</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Comunicação da Comissão ao Parlamento Europeu, ao Conselho Europeu e ao Conselho «Rumo a um processo de decisão mais eficaz e mais democrático no âmbito da política fiscal da UE»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COM(2019) 163</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rStyle w:val="iceouttxt38"/>
                <w:noProof/>
                <w:color w:val="494949"/>
                <w:sz w:val="22"/>
                <w:szCs w:val="22"/>
              </w:rPr>
              <w:t>Comunicação da Comissão ao Parlamento Europeu, ao Conselho Europeu e ao Conselho «Prosseguir o reforço do Estado de direito na União Ponto da situação e eventuais medidas futuras»</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0</w:t>
            </w:r>
          </w:p>
        </w:tc>
      </w:tr>
    </w:tbl>
    <w:p>
      <w:pPr>
        <w:rPr>
          <w:b/>
          <w:noProof/>
        </w:rPr>
      </w:pPr>
    </w:p>
    <w:sectPr>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pPr>
      <w:r>
        <w:rPr>
          <w:rStyle w:val="FootnoteReference"/>
        </w:rPr>
        <w:footnoteRef/>
      </w:r>
      <w:r>
        <w:t xml:space="preserve"> </w:t>
      </w:r>
      <w:r>
        <w:tab/>
        <w:t>Incluindo tanto os pareceres no âmbito do «diálogo político» como os pareceres fundamentados recebidos dos parlamentos nacionais.</w:t>
      </w:r>
    </w:p>
  </w:footnote>
  <w:footnote w:id="2">
    <w:p>
      <w:pPr>
        <w:pStyle w:val="FootnoteText"/>
        <w:ind w:left="284" w:hanging="284"/>
      </w:pPr>
      <w:r>
        <w:rPr>
          <w:rStyle w:val="FootnoteReference"/>
        </w:rPr>
        <w:footnoteRef/>
      </w:r>
      <w:r>
        <w:t xml:space="preserve"> </w:t>
      </w:r>
      <w:r>
        <w:tab/>
        <w:t>Os oito pareceres eram pareceres conjuntos das duas câmaras.</w:t>
      </w:r>
    </w:p>
  </w:footnote>
  <w:footnote w:id="3">
    <w:p>
      <w:pPr>
        <w:pStyle w:val="FootnoteText"/>
        <w:ind w:left="284" w:hanging="284"/>
      </w:pPr>
      <w:r>
        <w:rPr>
          <w:rStyle w:val="FootnoteReference"/>
        </w:rPr>
        <w:footnoteRef/>
      </w:r>
      <w:r>
        <w:t xml:space="preserve"> </w:t>
      </w:r>
      <w:r>
        <w:tab/>
        <w:t xml:space="preserve">Relativamente a estes pareceres, não se previa qualquer resposta da Comissão. </w:t>
      </w:r>
    </w:p>
  </w:footnote>
  <w:footnote w:id="4">
    <w:p>
      <w:pPr>
        <w:pStyle w:val="FootnoteText"/>
        <w:tabs>
          <w:tab w:val="left" w:pos="284"/>
        </w:tabs>
        <w:ind w:left="284" w:hanging="284"/>
      </w:pPr>
      <w:r>
        <w:rPr>
          <w:rStyle w:val="FootnoteReference"/>
        </w:rPr>
        <w:footnoteRef/>
      </w:r>
      <w:r>
        <w:t xml:space="preserve"> </w:t>
      </w:r>
      <w:r>
        <w:tab/>
        <w:t xml:space="preserve">O quadro classifica todos os documentos da Comissão que tenham sido objeto de, pelo menos, </w:t>
      </w:r>
      <w:r>
        <w:rPr>
          <w:u w:val="single"/>
        </w:rPr>
        <w:t>quatro</w:t>
      </w:r>
      <w:r>
        <w:t xml:space="preserve"> pareceres. Em alguns casos, o parecer também dizia respeito a outros documentos da Comissão. É de observar que nenhuma proposta legislativa atingiu o limiar de quatro pareceres em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
    <w:docVar w:name="LW_ANNEX_NBR_FIRST" w:val="1"/>
    <w:docVar w:name="LW_ANNEX_NBR_LAST" w:val="2"/>
    <w:docVar w:name="LW_ANNEX_UNIQUE" w:val="0"/>
    <w:docVar w:name="LW_CORRIGENDUM" w:val="&lt;UNUSED&gt;"/>
    <w:docVar w:name="LW_COVERPAGE_EXISTS" w:val="True"/>
    <w:docVar w:name="LW_COVERPAGE_GUID" w:val="A94EF125-55EC-4B43-890E-C91797B01EF3"/>
    <w:docVar w:name="LW_COVERPAGE_TYPE" w:val="1"/>
    <w:docVar w:name="LW_CROSSREFERENCE" w:val="&lt;UNUSED&gt;"/>
    <w:docVar w:name="LW_DocType" w:val="REP"/>
    <w:docVar w:name="LW_EMISSION" w:val="30.6.2020"/>
    <w:docVar w:name="LW_EMISSION_ISODATE" w:val="2020-06-30"/>
    <w:docVar w:name="LW_EMISSION_LOCATION" w:val="BRX"/>
    <w:docVar w:name="LW_EMISSION_PREFIX" w:val="Bruxelas, "/>
    <w:docVar w:name="LW_EMISSION_SUFFIX" w:val=" "/>
    <w:docVar w:name="LW_ID_DOCTYPE_NONLW" w:val="CP-039"/>
    <w:docVar w:name="LW_LANGUE" w:val="PT"/>
    <w:docVar w:name="LW_LEVEL_OF_SENSITIVITY" w:val="Standard treatment"/>
    <w:docVar w:name="LW_NOM.INST" w:val="COMISSÃO EUROPEIA"/>
    <w:docVar w:name="LW_NOM.INST_JOINTDOC" w:val="&lt;EMPTY&gt;"/>
    <w:docVar w:name="LW_OBJETACTEPRINCIPAL.CP" w:val="&lt;FMT:Bold&gt;RELATÓRIO ANUAL DE 2019&lt;/FMT&gt;&lt;FMT:Font=Calibri&gt; &lt;/FMT&gt;_x000b_&lt;FMT:Bold&gt;SOBRE A APLICAÇÃO DOS PRINCÍPIOS DA SUBSIDIARIEDADE E DA PROPORCIONALIDADE E AS RELAÇÕES COM OS PARLAMENTOS NACIONAIS&lt;/FMT&gt;"/>
    <w:docVar w:name="LW_PART_NBR" w:val="&lt;UNUSED&gt;"/>
    <w:docVar w:name="LW_PART_NBR_TOTAL" w:val="&lt;UNUSED&gt;"/>
    <w:docVar w:name="LW_REF.INST.NEW" w:val="COM"/>
    <w:docVar w:name="LW_REF.INST.NEW_ADOPTED" w:val="final"/>
    <w:docVar w:name="LW_REF.INST.NEW_TEXT" w:val="(2020)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EXOS_x000b_"/>
    <w:docVar w:name="LW_TYPEACTEPRINCIPAL.CP" w:val="RELATÓRIO DA COMISSÃO"/>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SecurityMarking">
    <w:name w:val="SecurityMarking"/>
    <w:basedOn w:val="Normal"/>
    <w:pPr>
      <w:spacing w:line="276" w:lineRule="auto"/>
      <w:ind w:left="5103"/>
      <w:jc w:val="left"/>
    </w:pPr>
    <w:rPr>
      <w:rFonts w:eastAsiaTheme="minorHAnsi"/>
      <w:sz w:val="28"/>
      <w:szCs w:val="22"/>
    </w:rPr>
  </w:style>
  <w:style w:type="paragraph" w:customStyle="1" w:styleId="DateMarking">
    <w:name w:val="DateMarking"/>
    <w:basedOn w:val="Normal"/>
    <w:pPr>
      <w:spacing w:line="276" w:lineRule="auto"/>
      <w:ind w:left="5103"/>
      <w:jc w:val="left"/>
    </w:pPr>
    <w:rPr>
      <w:rFonts w:eastAsiaTheme="minorHAnsi"/>
      <w:i/>
      <w:sz w:val="28"/>
      <w:szCs w:val="22"/>
    </w:rPr>
  </w:style>
  <w:style w:type="paragraph" w:customStyle="1" w:styleId="ReleasableTo">
    <w:name w:val="ReleasableTo"/>
    <w:basedOn w:val="Normal"/>
    <w:pPr>
      <w:spacing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SecurityMarking">
    <w:name w:val="SecurityMarking"/>
    <w:basedOn w:val="Normal"/>
    <w:pPr>
      <w:spacing w:line="276" w:lineRule="auto"/>
      <w:ind w:left="5103"/>
      <w:jc w:val="left"/>
    </w:pPr>
    <w:rPr>
      <w:rFonts w:eastAsiaTheme="minorHAnsi"/>
      <w:sz w:val="28"/>
      <w:szCs w:val="22"/>
    </w:rPr>
  </w:style>
  <w:style w:type="paragraph" w:customStyle="1" w:styleId="DateMarking">
    <w:name w:val="DateMarking"/>
    <w:basedOn w:val="Normal"/>
    <w:pPr>
      <w:spacing w:line="276" w:lineRule="auto"/>
      <w:ind w:left="5103"/>
      <w:jc w:val="left"/>
    </w:pPr>
    <w:rPr>
      <w:rFonts w:eastAsiaTheme="minorHAnsi"/>
      <w:i/>
      <w:sz w:val="28"/>
      <w:szCs w:val="22"/>
    </w:rPr>
  </w:style>
  <w:style w:type="paragraph" w:customStyle="1" w:styleId="ReleasableTo">
    <w:name w:val="ReleasableTo"/>
    <w:basedOn w:val="Normal"/>
    <w:pPr>
      <w:spacing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2.xml><?xml version="1.0" encoding="utf-8"?>
<EurolookProperties>
  <ProductCustomizationId/>
  <Created>
    <Version>4.6</Version>
    <Date>2018-08-29T12:28:07</Date>
    <Language>EN</Language>
  </Created>
  <Edited>
    <Version>10.0.40769.0</Version>
    <Date>2020-06-24T17:05:25</Date>
  </Edited>
  <DocumentModel>
    <Id>6cbda13a-4db2-46c6-876a-ef72275827ef</Id>
    <Name>Report</Name>
  </DocumentModel>
  <DocumentDate/>
  <DocumentVersion/>
  <CompatibilityMode>Eurolook4X</CompatibilityMode>
  <Address/>
</EurolookProperties>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9A81CD-47B2-43EE-A84B-07911B2F577B}">
  <ds:schemaRefs/>
</ds:datastoreItem>
</file>

<file path=customXml/itemProps2.xml><?xml version="1.0" encoding="utf-8"?>
<ds:datastoreItem xmlns:ds="http://schemas.openxmlformats.org/officeDocument/2006/customXml" ds:itemID="{E0D61C8E-61D8-48E1-A8A1-D7C9F052D3FF}">
  <ds:schemaRefs/>
</ds:datastoreItem>
</file>

<file path=customXml/itemProps3.xml><?xml version="1.0" encoding="utf-8"?>
<ds:datastoreItem xmlns:ds="http://schemas.openxmlformats.org/officeDocument/2006/customXml" ds:itemID="{E185D78C-AD8C-44D8-9F36-C303026A0844}">
  <ds:schemaRefs/>
</ds:datastoreItem>
</file>

<file path=customXml/itemProps4.xml><?xml version="1.0" encoding="utf-8"?>
<ds:datastoreItem xmlns:ds="http://schemas.openxmlformats.org/officeDocument/2006/customXml" ds:itemID="{B17769ED-1970-4DEA-A6C3-FA874D1C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482</Words>
  <Characters>2440</Characters>
  <Application>Microsoft Office Word</Application>
  <DocSecurity>0</DocSecurity>
  <PresentationFormat>Microsoft Word 14.0</PresentationFormat>
  <Lines>271</Lines>
  <Paragraphs>224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Therace</dc:creator>
  <cp:keywords>EL4</cp:keywords>
  <cp:lastModifiedBy>DIGIT/C6</cp:lastModifiedBy>
  <cp:revision>9</cp:revision>
  <cp:lastPrinted>2020-02-19T06:37:00Z</cp:lastPrinted>
  <dcterms:created xsi:type="dcterms:W3CDTF">2020-02-28T10:53:00Z</dcterms:created>
  <dcterms:modified xsi:type="dcterms:W3CDTF">2020-06-25T19:36:00Z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Level of sensitivity">
    <vt:lpwstr>Standard treatment</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DocStatus">
    <vt:lpwstr>Green</vt:lpwstr>
  </property>
  <property fmtid="{D5CDD505-2E9C-101B-9397-08002B2CF9AE}" pid="12" name="CPTemplateID">
    <vt:lpwstr>CP-039</vt:lpwstr>
  </property>
  <property fmtid="{D5CDD505-2E9C-101B-9397-08002B2CF9AE}" pid="13" name="_LW_INVALIDATED__LW_INVALIDATED__LW_INVALIDATED__LW_INVALIDATED_TemplateVersion">
    <vt:lpwstr>4.6.5.0000</vt:lpwstr>
  </property>
  <property fmtid="{D5CDD505-2E9C-101B-9397-08002B2CF9AE}" pid="14" name="_LW_INVALIDATED__LW_INVALIDATED__LW_INVALIDATED__LW_INVALIDATED_EurolookVersion">
    <vt:lpwstr>4.6</vt:lpwstr>
  </property>
  <property fmtid="{D5CDD505-2E9C-101B-9397-08002B2CF9AE}" pid="15" name="_LW_INVALIDATED__LW_INVALIDATED__LW_INVALIDATED__LW_INVALIDATED_DocID_EU">
    <vt:lpwstr> </vt:lpwstr>
  </property>
  <property fmtid="{D5CDD505-2E9C-101B-9397-08002B2CF9AE}" pid="16" name="_LW_INVALIDATED__LW_INVALIDATED__LW_INVALIDATED__LW_INVALIDATED_ELDocType">
    <vt:lpwstr>rep.dot</vt:lpwstr>
  </property>
  <property fmtid="{D5CDD505-2E9C-101B-9397-08002B2CF9AE}" pid="17" name="_LW_INVALIDATED__LW_INVALIDATED__LW_INVALIDATED__LW_INVALIDATED_Formatting">
    <vt:lpwstr>4.1</vt:lpwstr>
  </property>
  <property fmtid="{D5CDD505-2E9C-101B-9397-08002B2CF9AE}" pid="18" name="_LW_INVALIDATED__LW_INVALIDATED__LW_INVALIDATED__LW_INVALIDATED_EL_Author">
    <vt:lpwstr>Christine Therace</vt:lpwstr>
  </property>
  <property fmtid="{D5CDD505-2E9C-101B-9397-08002B2CF9AE}" pid="19" name="_LW_INVALIDATED__LW_INVALIDATED__LW_INVALIDATED__LW_INVALIDATED_Type">
    <vt:lpwstr>Eurolook Report</vt:lpwstr>
  </property>
  <property fmtid="{D5CDD505-2E9C-101B-9397-08002B2CF9AE}" pid="20" name="_LW_INVALIDATED__LW_INVALIDATED__LW_INVALIDATED__LW_INVALIDATED_EL_Language">
    <vt:lpwstr>EN</vt:lpwstr>
  </property>
</Properties>
</file>