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3E849B-9A94-44E7-BC51-07AEE55926DD" style="width:451pt;height:352.9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ind w:left="0" w:firstLine="0"/>
        <w:rPr>
          <w:noProof/>
        </w:rPr>
      </w:pPr>
      <w:r>
        <w:rPr>
          <w:noProof/>
        </w:rPr>
        <w:t>1.</w:t>
      </w:r>
      <w:r>
        <w:rPr>
          <w:noProof/>
        </w:rPr>
        <w:tab/>
        <w:t>KONTEKST WNIOSKU</w:t>
      </w:r>
    </w:p>
    <w:p>
      <w:pPr>
        <w:pStyle w:val="ManualHeading2"/>
        <w:ind w:left="0" w:firstLine="0"/>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We wszystkich państwach członkowskich narastają bezpośrednie i pośrednie skutki pandemii COVID-19. Obecna sytuacja jest bezprecedensowa i wymaga środków wspierających państwa członkowskie we wdrażaniu funduszy. W związku z tym należy zapewnić pełne wykorzystanie zasady N+2, aby dać państwom członkowskim wystarczającą ilość czasu na realizację przydzielonych środków i deklarację wydatków Komisji.</w:t>
      </w:r>
    </w:p>
    <w:p>
      <w:pPr>
        <w:pBdr>
          <w:top w:val="nil"/>
          <w:left w:val="nil"/>
          <w:bottom w:val="nil"/>
          <w:right w:val="nil"/>
          <w:between w:val="nil"/>
          <w:bar w:val="nil"/>
        </w:pBdr>
        <w:spacing w:before="0" w:after="240"/>
        <w:rPr>
          <w:noProof/>
        </w:rPr>
      </w:pPr>
      <w:r>
        <w:rPr>
          <w:noProof/>
        </w:rPr>
        <w:t xml:space="preserve">W szczególności, aby zasada umorzenia (N+2) uwzględniała wniosek o płatność pokrywający w całości rok N+2, przedłożony przez państwa członkowskie, należy dostosować termin umorzenia do terminu przedłożenia sprawozdania finansowego. </w:t>
      </w:r>
    </w:p>
    <w:p>
      <w:pPr>
        <w:pBdr>
          <w:top w:val="nil"/>
          <w:left w:val="nil"/>
          <w:bottom w:val="nil"/>
          <w:right w:val="nil"/>
          <w:between w:val="nil"/>
          <w:bar w:val="nil"/>
        </w:pBdr>
        <w:spacing w:before="0" w:after="240"/>
        <w:rPr>
          <w:rFonts w:eastAsia="Arial Unicode MS"/>
          <w:noProof/>
        </w:rPr>
      </w:pPr>
      <w:r>
        <w:rPr>
          <w:noProof/>
        </w:rPr>
        <w:t xml:space="preserve">Ponadto, aby zapewnić spójność podejścia do umorzenia zobowiązań i zapewnić państwom członkowskim okres wdrażania zgodnie z zasadą N+2, proponuje się dostosowanie umorzenia dodatkowych środków przydzielonych na programy krajowe w 2018 i 2019 r. do zasad mających zastosowanie do podstawowego przydziału programów krajowych.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 xml:space="preserve">Wniosek jest zgodny z ogólnymi ustanowionymi ramami prawnymi dotyczącymi Funduszu Azylu, Migracji i Integracji oraz Funduszu Bezpieczeństwa Wewnętrznego i ogranicza się do ukierunkowanych zmian rozporządzenia (UE) nr 514/2014. </w:t>
      </w:r>
    </w:p>
    <w:p>
      <w:pPr>
        <w:pStyle w:val="ManualHeading2"/>
        <w:ind w:left="0" w:firstLine="0"/>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Wniosek ograniczony jest do ukierunkowanych zmian rozporządzenia (UE) nr 514/2014 i zachowuje spójność z innymi politykami Unii.</w:t>
      </w:r>
    </w:p>
    <w:p>
      <w:pPr>
        <w:pStyle w:val="ManualHeading1"/>
        <w:ind w:left="0" w:firstLine="0"/>
        <w:rPr>
          <w:noProof/>
        </w:rPr>
      </w:pPr>
      <w:r>
        <w:rPr>
          <w:noProof/>
        </w:rPr>
        <w:t>2.</w:t>
      </w:r>
      <w:r>
        <w:rPr>
          <w:noProof/>
        </w:rPr>
        <w:tab/>
        <w:t>PODSTAWA PRAWNA, POMOCNICZOŚĆ I PROPORCJONALNOŚĆ</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Podstawa prawna</w:t>
      </w:r>
    </w:p>
    <w:p>
      <w:pPr>
        <w:rPr>
          <w:rFonts w:eastAsia="Times New Roman"/>
          <w:noProof/>
          <w:szCs w:val="24"/>
        </w:rPr>
      </w:pPr>
      <w:r>
        <w:rPr>
          <w:noProof/>
        </w:rPr>
        <w:t>Podstawą wniosku są art. 78 ust. 2, art. 79 ust. 2 i 4, art. 82 ust. 1, art. 84 i art. 87 ust. 2 Traktatu o funkcjonowaniu Unii Europejskiej (TFUE).</w:t>
      </w:r>
    </w:p>
    <w:p>
      <w:pPr>
        <w:rPr>
          <w:rFonts w:eastAsia="Times New Roman"/>
          <w:noProof/>
          <w:szCs w:val="24"/>
        </w:rPr>
      </w:pPr>
      <w:r>
        <w:rPr>
          <w:noProof/>
        </w:rPr>
        <w:t xml:space="preserve">Dostosowuje się w nim terminy dotyczące wniosków o płatność do terminów umorzenia oraz dostosowuje datę zobowiązania dodatkowych przydziałów środków w 2018 i 2019 r., które zostały przyznane w celu zaspokojenia nieprzewidzianych potrzeb w obszarach objętych Funduszem Azylu, Migracji i Integracji oraz Funduszem Bezpieczeństwa Wewnętrznego.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 xml:space="preserve">Pomocniczość </w:t>
      </w:r>
    </w:p>
    <w:p>
      <w:pPr>
        <w:pBdr>
          <w:top w:val="nil"/>
          <w:left w:val="nil"/>
          <w:bottom w:val="nil"/>
          <w:right w:val="nil"/>
          <w:between w:val="nil"/>
          <w:bar w:val="nil"/>
        </w:pBdr>
        <w:spacing w:before="0" w:after="240"/>
        <w:rPr>
          <w:rFonts w:eastAsia="Arial Unicode MS"/>
          <w:noProof/>
        </w:rPr>
      </w:pPr>
      <w:r>
        <w:rPr>
          <w:noProof/>
        </w:rPr>
        <w:t>Niniejszy wniosek ma na celu maksymalne wykorzystanie funduszy w celu zaradzenia bezpośrednim i pośrednim skutkom bezprecedensowego kryzysu w dziedzinie zdrowia publicznego w kontekście pandemii COVID-19.</w:t>
      </w:r>
      <w:r>
        <w:t xml:space="preserve">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Proporcjonalność</w:t>
      </w:r>
    </w:p>
    <w:p>
      <w:pPr>
        <w:pBdr>
          <w:top w:val="nil"/>
          <w:left w:val="nil"/>
          <w:bottom w:val="nil"/>
          <w:right w:val="nil"/>
          <w:between w:val="nil"/>
          <w:bar w:val="nil"/>
        </w:pBdr>
        <w:spacing w:before="0" w:after="240"/>
        <w:rPr>
          <w:noProof/>
        </w:rPr>
      </w:pPr>
      <w:r>
        <w:rPr>
          <w:noProof/>
        </w:rPr>
        <w:t>Wniosek</w:t>
      </w:r>
      <w:r>
        <w:t xml:space="preserve"> </w:t>
      </w:r>
      <w:r>
        <w:rPr>
          <w:noProof/>
        </w:rPr>
        <w:t xml:space="preserve">stanowi ograniczoną i ukierunkowaną zmianę, niewykraczającą poza to, co jest konieczne do osiągnięcia celu, jakim jest zapewnienie wykorzystania przez państwa członkowskie w jak największym stopniu przydziałów zasobów w odpowiedzi na </w:t>
      </w:r>
      <w:r>
        <w:rPr>
          <w:noProof/>
        </w:rPr>
        <w:lastRenderedPageBreak/>
        <w:t xml:space="preserve">powszechne kryzysy w sektorze zdrowia publicznego mogące mieć negatywny wpływ na dziedziny objęte zakresem funduszy.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Wybór instrumentu</w:t>
      </w:r>
    </w:p>
    <w:p>
      <w:r>
        <w:rPr>
          <w:noProof/>
        </w:rPr>
        <w:t xml:space="preserve">Właściwym instrumentem służącym wprowadzeniu zmian niezbędnych do zaradzenia tej bezprecedensowej sytuacji jest rozporządzenie. </w:t>
      </w:r>
    </w:p>
    <w:p>
      <w:pPr>
        <w:pStyle w:val="ManualHeading1"/>
        <w:ind w:left="0" w:firstLine="0"/>
        <w:rPr>
          <w:noProof/>
        </w:rPr>
      </w:pPr>
      <w:r>
        <w:rPr>
          <w:noProof/>
        </w:rPr>
        <w:t>3.</w:t>
      </w:r>
      <w:r>
        <w:rPr>
          <w:noProof/>
        </w:rPr>
        <w:tab/>
        <w:t>WYNIKI OCEN EX POST, KONSULTACJI Z ZAINTERESOWANYMI STRONAMI I OCEN SKUTKÓW</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Oceny ex post/kontrole sprawności obowiązującego prawodawstwa</w:t>
      </w:r>
    </w:p>
    <w:p>
      <w:pPr>
        <w:pStyle w:val="Text1"/>
        <w:ind w:left="0"/>
        <w:rPr>
          <w:noProof/>
        </w:rPr>
      </w:pPr>
      <w:r>
        <w:rPr>
          <w:noProof/>
        </w:rPr>
        <w:t>Nie dotyczy</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pStyle w:val="ManualHeading2"/>
        <w:tabs>
          <w:tab w:val="clear" w:pos="850"/>
          <w:tab w:val="left" w:pos="0"/>
        </w:tabs>
        <w:ind w:left="0" w:firstLine="0"/>
        <w:rPr>
          <w:rFonts w:eastAsia="Arial Unicode MS"/>
          <w:noProof/>
        </w:rPr>
      </w:pPr>
      <w:r>
        <w:rPr>
          <w:b w:val="0"/>
          <w:noProof/>
        </w:rPr>
        <w:t xml:space="preserve">Nie przeprowadzono konsultacji z zainteresowanymi podmiotami zewnętrznymi. We wniosku uwzględniono jednak pytania o wyjaśnienia i porady otrzymane od organów krajowych w związku ze stosowanymi przez nie środkami reagowania kryzysowego. </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Gromadzenie i wykorzystanie wiedzy eksperckiej</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Ocena skutków</w:t>
      </w:r>
    </w:p>
    <w:p>
      <w:pPr>
        <w:pBdr>
          <w:top w:val="nil"/>
          <w:left w:val="nil"/>
          <w:bottom w:val="nil"/>
          <w:right w:val="nil"/>
          <w:between w:val="nil"/>
          <w:bar w:val="nil"/>
        </w:pBdr>
        <w:spacing w:before="0" w:after="240"/>
        <w:rPr>
          <w:rFonts w:eastAsia="Arial Unicode MS"/>
          <w:noProof/>
        </w:rPr>
      </w:pPr>
      <w:r>
        <w:rPr>
          <w:noProof/>
        </w:rPr>
        <w:t>W celu przygotowania wniosku dotyczącego rozporządzenia (UE) nr 514/2014 przeprowadzona została ocena skutków. Przedmiotowe ograniczone i ukierunkowane zmiany nie wymagają osobnej oceny skutków.</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Sprawność regulacyjna i uproszczenie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ind w:left="0" w:firstLine="0"/>
        <w:rPr>
          <w:rFonts w:eastAsia="Arial Unicode MS"/>
          <w:noProof/>
          <w:u w:color="000000"/>
          <w:bdr w:val="nil"/>
        </w:rPr>
      </w:pPr>
      <w:r>
        <w:rPr>
          <w:noProof/>
          <w:u w:color="000000"/>
          <w:bdr w:val="nil"/>
        </w:rPr>
        <w:t xml:space="preserve">• </w:t>
      </w:r>
      <w:r>
        <w:rPr>
          <w:noProof/>
        </w:rPr>
        <w:tab/>
      </w:r>
      <w:r>
        <w:rPr>
          <w:noProof/>
          <w:u w:color="000000"/>
          <w:bdr w:val="nil"/>
        </w:rPr>
        <w:t>Prawa podstawowe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1"/>
        <w:ind w:left="0" w:firstLine="0"/>
        <w:rPr>
          <w:noProof/>
        </w:rPr>
      </w:pPr>
      <w:r>
        <w:rPr>
          <w:noProof/>
        </w:rPr>
        <w:t>4.</w:t>
      </w:r>
      <w:r>
        <w:rPr>
          <w:noProof/>
        </w:rPr>
        <w:tab/>
        <w:t>WPŁYW NA BUDŻET</w:t>
      </w:r>
    </w:p>
    <w:p>
      <w:pPr>
        <w:pStyle w:val="ManualHeading1"/>
        <w:tabs>
          <w:tab w:val="clear" w:pos="850"/>
        </w:tabs>
        <w:ind w:left="0" w:firstLine="0"/>
        <w:rPr>
          <w:b w:val="0"/>
          <w:smallCaps w:val="0"/>
          <w:noProof/>
        </w:rPr>
      </w:pPr>
      <w:r>
        <w:rPr>
          <w:b w:val="0"/>
          <w:smallCaps w:val="0"/>
          <w:noProof/>
        </w:rPr>
        <w:t xml:space="preserve">Proponowane zmiany nie oznaczają żadnych zmian rocznych pułapów zobowiązań i płatności w wieloletnich ramach finansowych. </w:t>
      </w:r>
    </w:p>
    <w:p>
      <w:pPr>
        <w:pStyle w:val="ManualHeading1"/>
        <w:ind w:left="0" w:firstLine="0"/>
        <w:rPr>
          <w:noProof/>
        </w:rPr>
      </w:pPr>
      <w:r>
        <w:rPr>
          <w:noProof/>
        </w:rPr>
        <w:t>5.</w:t>
      </w:r>
      <w:r>
        <w:rPr>
          <w:noProof/>
        </w:rPr>
        <w:tab/>
        <w:t>ELEMENTY FAKULTATYWNE</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pPr>
        <w:rPr>
          <w:noProof/>
          <w:color w:val="0000FF"/>
        </w:rPr>
      </w:pPr>
      <w:r>
        <w:rPr>
          <w:noProof/>
        </w:rPr>
        <w:t>Wdrożenie środków będzie monitorowane w ramach ogólnych mechanizmów ustanowionych w rozporządzeniu (UE) nr 514/2014, mających zastosowanie do umarzania.</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pPr>
        <w:rPr>
          <w:noProof/>
        </w:rPr>
      </w:pPr>
      <w:r>
        <w:rPr>
          <w:noProof/>
        </w:rPr>
        <w:t xml:space="preserve">Proponuje się zmianę rozporządzenia (UE) nr 514/2014 w celu zapewnienia uwzględnienia przy obliczaniu umorzenia wszystkich wniosków o płatność obejmujących rok N+2, złożonych przez państwo członkowskie w przepisowych terminach określonych w art. 44 rozporządzenia 514/2014. Ponadto zmianę rozporządzenia (UE) nr 514/2014 proponuje się w celu zapewnienia dostosowania okresu realizacji kwot odpowiadających dodatkowym </w:t>
      </w:r>
      <w:r>
        <w:rPr>
          <w:noProof/>
        </w:rPr>
        <w:lastRenderedPageBreak/>
        <w:t xml:space="preserve">alokacjom w ramach programów krajowych przewidzianych w 2018 i 2019 r. do okresu realizacji początkowego przydziału środków. Obie poprawki zapewniają spójność między przepisami i pozostają bez uszczerbku dla zasady N+2 dotyczącej umorzenia. </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2020/0140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Parlamentu Europejskiego i Rady (UE) nr 514/2014 w odniesieniu do procedury umorzenia</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78 ust. 2, art. 79 ust. 2 i 4, art. 82 ust. 1, art. 84 i art. 87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
      </w:r>
      <w:r>
        <w:rPr>
          <w:noProof/>
        </w:rPr>
        <w:t>,</w:t>
      </w:r>
    </w:p>
    <w:p>
      <w:pPr>
        <w:rPr>
          <w:noProof/>
        </w:rPr>
      </w:pPr>
      <w:r>
        <w:rPr>
          <w:noProof/>
        </w:rPr>
        <w:t>uwzględniając opinię Komitetu Regionów</w:t>
      </w:r>
      <w:r>
        <w:rPr>
          <w:rStyle w:val="FootnoteReference"/>
          <w:noProof/>
        </w:rPr>
        <w:footnoteReference w:id="3"/>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Państwa członkowskie odczuwają na bezprecedensową skalę skutki pandemii COVID-19. Ma to wpływ na migrację, bezpieczeństwo i zarządzanie granicami w państwach członkowskich, co z kolei pogłębia poważne niedobory płynności państw członkowskich spowodowane nagłym i znaczącym wzrostem inwestycji publicznych potrzebnych w wielu sektorach. Stworzyło to wyjątkową sytuację, której rozwiązanie wymaga użycia szczególnych środków.</w:t>
      </w:r>
    </w:p>
    <w:p>
      <w:pPr>
        <w:pStyle w:val="ManualConsidrant"/>
        <w:rPr>
          <w:noProof/>
        </w:rPr>
      </w:pPr>
      <w:r>
        <w:t>(2)</w:t>
      </w:r>
      <w:r>
        <w:tab/>
      </w:r>
      <w:r>
        <w:rPr>
          <w:noProof/>
        </w:rPr>
        <w:t xml:space="preserve">Konieczne jest zapewnienie państwom członkowskim dodatkowej elastyczności, aby mogły one reagować na ten bezprecedensowy kryzys poprzez zwiększenie możliwości pełnego wykorzystania dostępnego okresu wdrażania do momentu zamknięcia programów do dnia 31 grudnia 2023 r. W odpowiedzi na tę potrzebę należy dostosować terminy umorzenia do terminów składania wniosków o płatność salda rocznego. Ostateczny termin składania wniosków o płatność salda rocznego upływa w dniu 15 lutego, podczas gdy pierwotnie przewidziany termin umorzenia przypada na dzień 31 grudnia poprzedniego roku. Dzięki wyznaczeniu jednego wspólnego terminu, tj. 15 lutego, wniosek o płatność salda rocznego przedłożony przez państwo członkowskie w dniu 15 lutego zostanie uwzględniony do celów procesu umorzenia. </w:t>
      </w:r>
    </w:p>
    <w:p>
      <w:pPr>
        <w:pStyle w:val="ManualConsidrant"/>
        <w:rPr>
          <w:noProof/>
        </w:rPr>
      </w:pPr>
      <w:r>
        <w:t>(3)</w:t>
      </w:r>
      <w:r>
        <w:tab/>
      </w:r>
      <w:r>
        <w:rPr>
          <w:noProof/>
        </w:rPr>
        <w:t>W celu zapewnienia państwom członkowskim pełnej możliwości wykorzystania dodatkowych środków przydzielonych w 2018 i 2019 r. należy dostosować rok zobowiązania budżetowego. Te dodatkowe środki zostały ujęte w budżecie ogólnym Unii Europejskiej na lata budżetowe 2018 i 2019</w:t>
      </w:r>
      <w:r>
        <w:rPr>
          <w:rStyle w:val="FootnoteReference"/>
          <w:noProof/>
        </w:rPr>
        <w:footnoteReference w:id="4"/>
      </w:r>
      <w:r>
        <w:rPr>
          <w:noProof/>
        </w:rPr>
        <w:t xml:space="preserve">, a następnie przeznaczone na </w:t>
      </w:r>
      <w:r>
        <w:rPr>
          <w:noProof/>
        </w:rPr>
        <w:lastRenderedPageBreak/>
        <w:t xml:space="preserve">zobowiązania w ramach programów krajowych, zgodnie z art. 14 rozporządzenia (UE) nr 514/2014. </w:t>
      </w:r>
    </w:p>
    <w:p>
      <w:pPr>
        <w:pStyle w:val="ManualConsidrant"/>
        <w:rPr>
          <w:noProof/>
        </w:rPr>
      </w:pPr>
      <w:r>
        <w:t>(4)</w:t>
      </w:r>
      <w:r>
        <w:tab/>
      </w:r>
      <w:r>
        <w:rPr>
          <w:noProof/>
        </w:rPr>
        <w:t>W celu zapewnienia państwom członkowskim pewności prawa odnośnie do terminu umorzenia niniejsze rozporządzenie powinno wejść w życie następnego dnia po jego opublikowaniu w </w:t>
      </w:r>
      <w:r>
        <w:rPr>
          <w:i/>
          <w:noProof/>
        </w:rPr>
        <w:t>Dzienniku Urzędowym Unii Europejskiej</w:t>
      </w:r>
      <w:r>
        <w:rPr>
          <w:noProof/>
        </w:rPr>
        <w:t>.</w:t>
      </w:r>
    </w:p>
    <w:p>
      <w:pPr>
        <w:pStyle w:val="ManualConsidrant"/>
        <w:rPr>
          <w:noProof/>
        </w:rPr>
      </w:pPr>
      <w:r>
        <w:t>(5)</w:t>
      </w:r>
      <w:r>
        <w:tab/>
      </w:r>
      <w:r>
        <w:rPr>
          <w:noProof/>
        </w:rPr>
        <w:t>Należy zatem odpowiednio zmienić rozporządzenie (UE) nr 514/2014,</w:t>
      </w:r>
    </w:p>
    <w:p>
      <w:pPr>
        <w:pStyle w:val="Formuledadoption"/>
        <w:rPr>
          <w:noProof/>
        </w:rPr>
      </w:pPr>
      <w:r>
        <w:rPr>
          <w:noProof/>
        </w:rPr>
        <w:t>PRZYJMUJĄ NINIEJSZE ROZPORZĄDZENIE:</w:t>
      </w:r>
    </w:p>
    <w:p>
      <w:pPr>
        <w:pStyle w:val="Titrearticle"/>
        <w:rPr>
          <w:noProof/>
        </w:rPr>
      </w:pPr>
      <w:r>
        <w:rPr>
          <w:noProof/>
        </w:rPr>
        <w:t xml:space="preserve">Artykuł 1 </w:t>
      </w:r>
      <w:r>
        <w:rPr>
          <w:noProof/>
        </w:rPr>
        <w:br/>
      </w:r>
    </w:p>
    <w:p>
      <w:pPr>
        <w:rPr>
          <w:noProof/>
        </w:rPr>
      </w:pPr>
      <w:r>
        <w:rPr>
          <w:noProof/>
        </w:rPr>
        <w:t>W art. 50 rozporządzenia (UE) 514/2014 ust. 1 otrzymuje brzmienie:</w:t>
      </w:r>
    </w:p>
    <w:p>
      <w:pPr>
        <w:rPr>
          <w:noProof/>
        </w:rPr>
      </w:pPr>
      <w:r>
        <w:rPr>
          <w:noProof/>
        </w:rPr>
        <w:t xml:space="preserve">„1. Programy krajowe podlegają procedurze umorzenia wszczynanej na podstawie tego, że kwoty związane z zobowiązaniem, nieobjęte wstępnymi i rocznymi płatnościami zaliczkowymi, o których mowa w art. 35, oraz wnioskiem o płatność do terminu określonego w art. 44 ust. 1, w roku następującym po drugim roku, w którym podjęto dane zobowiązanie budżetowe, zostają umorzone. W celu umorzenia Komisja oblicza kwotę, dodając jedną szóstą rocznych zobowiązań budżetowych związanych z łączną kwotą wkładu na rok 2014 do każdego zobowiązania budżetowego na lata 2015–2020. </w:t>
      </w:r>
    </w:p>
    <w:p>
      <w:pPr>
        <w:rPr>
          <w:bCs/>
          <w:noProof/>
        </w:rPr>
      </w:pPr>
      <w:r>
        <w:rPr>
          <w:noProof/>
        </w:rPr>
        <w:t>W odniesieniu do kwot odpowiadających dodatkowym środkom przydzielonym na programy krajowe w roku 2018, rokiem zobowiązania budżetowego będzie rok 2019. W odniesieniu do kwot odpowiadających dodatkowym środkom przydzielonym na programy krajowe w roku 2019, rokiem zobowiązania budżetowego będzie rok 2020.”</w:t>
      </w:r>
    </w:p>
    <w:p>
      <w:pPr>
        <w:pStyle w:val="Titrearticle"/>
        <w:rPr>
          <w:noProof/>
        </w:rPr>
      </w:pPr>
      <w:r>
        <w:rPr>
          <w:noProof/>
        </w:rPr>
        <w:t>Artykuł 2</w:t>
      </w:r>
    </w:p>
    <w:p>
      <w:pPr>
        <w:rPr>
          <w:noProof/>
        </w:rPr>
      </w:pPr>
      <w:r>
        <w:rPr>
          <w:noProof/>
        </w:rPr>
        <w:t>Niniejsze rozporządzenie wchodzi w życie następnego dnia po jego opublikowaniu w </w:t>
      </w:r>
      <w:r>
        <w:rPr>
          <w:i/>
          <w:noProof/>
        </w:rPr>
        <w:t>Dzienniku Urzędowym Unii Europejskiej</w:t>
      </w:r>
      <w:r>
        <w:rPr>
          <w:noProof/>
        </w:rPr>
        <w:t>.</w:t>
      </w:r>
    </w:p>
    <w:p>
      <w:pPr>
        <w:pStyle w:val="Applicationdirecte"/>
        <w:rPr>
          <w:noProof/>
        </w:rPr>
      </w:pPr>
      <w:r>
        <w:rPr>
          <w:noProof/>
        </w:rPr>
        <w:t>Niniejsze rozporządzenie wiąże w całości i jest bezpośrednio stosowane w państwach członkowskich zgodnie z Traktatami.</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C  z , s. .</w:t>
      </w:r>
    </w:p>
  </w:footnote>
  <w:footnote w:id="3">
    <w:p>
      <w:pPr>
        <w:pStyle w:val="FootnoteText"/>
      </w:pPr>
      <w:r>
        <w:rPr>
          <w:rStyle w:val="FootnoteReference"/>
        </w:rPr>
        <w:footnoteRef/>
      </w:r>
      <w:r>
        <w:tab/>
        <w:t xml:space="preserve">Dz.U. C  z , s. .LS </w:t>
      </w:r>
    </w:p>
  </w:footnote>
  <w:footnote w:id="4">
    <w:p>
      <w:pPr>
        <w:spacing w:before="0" w:after="0"/>
        <w:rPr>
          <w:color w:val="1F497D"/>
          <w:sz w:val="20"/>
          <w:szCs w:val="20"/>
        </w:rPr>
      </w:pPr>
      <w:r>
        <w:rPr>
          <w:rStyle w:val="FootnoteReference"/>
        </w:rPr>
        <w:footnoteRef/>
      </w:r>
      <w:r>
        <w:tab/>
      </w:r>
      <w:r>
        <w:rPr>
          <w:sz w:val="20"/>
          <w:szCs w:val="20"/>
        </w:rPr>
        <w:t>Dz.U. L 57, s. 317 i Dz.U. L 67, s. 318.</w:t>
      </w:r>
    </w:p>
    <w:p>
      <w:pPr>
        <w:spacing w:before="0" w:after="0"/>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AC1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C1E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C9426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4823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CEC3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C6DF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9E6B80"/>
    <w:lvl w:ilvl="0">
      <w:start w:val="1"/>
      <w:numFmt w:val="decimal"/>
      <w:pStyle w:val="ListNumber"/>
      <w:lvlText w:val="%1."/>
      <w:lvlJc w:val="left"/>
      <w:pPr>
        <w:tabs>
          <w:tab w:val="num" w:pos="360"/>
        </w:tabs>
        <w:ind w:left="360" w:hanging="360"/>
      </w:pPr>
    </w:lvl>
  </w:abstractNum>
  <w:abstractNum w:abstractNumId="7">
    <w:nsid w:val="FFFFFF89"/>
    <w:multiLevelType w:val="singleLevel"/>
    <w:tmpl w:val="B234FF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7 17:50: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23E849B-9A94-44E7-BC51-07AEE55926DD"/>
    <w:docVar w:name="LW_COVERPAGE_TYPE" w:val="1"/>
    <w:docVar w:name="LW_CROSSREFERENCE" w:val="&lt;UNUSED&gt;"/>
    <w:docVar w:name="LW_DocType" w:val="COM"/>
    <w:docVar w:name="LW_EMISSION" w:val="13.7.2020"/>
    <w:docVar w:name="LW_EMISSION_ISODATE" w:val="2020-07-13"/>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40"/>
    <w:docVar w:name="LW_REF.II.NEW.CP_YEAR" w:val="2020"/>
    <w:docVar w:name="LW_REF.INST.NEW" w:val="COM"/>
    <w:docVar w:name="LW_REF.INST.NEW_ADOPTED" w:val="final"/>
    <w:docVar w:name="LW_REF.INST.NEW_TEXT" w:val="(2020)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u261?ce rozporz\u261?dzenie Parlamentu Europejskiego i Rady (UE) nr 514/2014 w odniesieniu do procedury umorzenia"/>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pl-PL"/>
    </w:rPr>
  </w:style>
  <w:style w:type="paragraph" w:styleId="ListParagraph">
    <w:name w:val="List Paragraph"/>
    <w:basedOn w:val="Normal"/>
    <w:uiPriority w:val="34"/>
    <w:qFormat/>
    <w:pPr>
      <w:spacing w:before="0" w:after="240"/>
      <w:ind w:left="720"/>
    </w:pPr>
    <w:rPr>
      <w:rFonts w:eastAsia="Calibr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pl-PL"/>
    </w:rPr>
  </w:style>
  <w:style w:type="paragraph" w:styleId="ListParagraph">
    <w:name w:val="List Paragraph"/>
    <w:basedOn w:val="Normal"/>
    <w:uiPriority w:val="34"/>
    <w:qFormat/>
    <w:pPr>
      <w:spacing w:before="0" w:after="240"/>
      <w:ind w:left="720"/>
    </w:pPr>
    <w:rPr>
      <w:rFonts w:eastAsia="Calibr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7179">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672610068">
      <w:bodyDiv w:val="1"/>
      <w:marLeft w:val="0"/>
      <w:marRight w:val="0"/>
      <w:marTop w:val="0"/>
      <w:marBottom w:val="0"/>
      <w:divBdr>
        <w:top w:val="none" w:sz="0" w:space="0" w:color="auto"/>
        <w:left w:val="none" w:sz="0" w:space="0" w:color="auto"/>
        <w:bottom w:val="none" w:sz="0" w:space="0" w:color="auto"/>
        <w:right w:val="none" w:sz="0" w:space="0" w:color="auto"/>
      </w:divBdr>
    </w:div>
    <w:div w:id="1120801894">
      <w:bodyDiv w:val="1"/>
      <w:marLeft w:val="0"/>
      <w:marRight w:val="0"/>
      <w:marTop w:val="0"/>
      <w:marBottom w:val="0"/>
      <w:divBdr>
        <w:top w:val="none" w:sz="0" w:space="0" w:color="auto"/>
        <w:left w:val="none" w:sz="0" w:space="0" w:color="auto"/>
        <w:bottom w:val="none" w:sz="0" w:space="0" w:color="auto"/>
        <w:right w:val="none" w:sz="0" w:space="0" w:color="auto"/>
      </w:divBdr>
    </w:div>
    <w:div w:id="1266230504">
      <w:bodyDiv w:val="1"/>
      <w:marLeft w:val="0"/>
      <w:marRight w:val="0"/>
      <w:marTop w:val="0"/>
      <w:marBottom w:val="0"/>
      <w:divBdr>
        <w:top w:val="none" w:sz="0" w:space="0" w:color="auto"/>
        <w:left w:val="none" w:sz="0" w:space="0" w:color="auto"/>
        <w:bottom w:val="none" w:sz="0" w:space="0" w:color="auto"/>
        <w:right w:val="none" w:sz="0" w:space="0" w:color="auto"/>
      </w:divBdr>
    </w:div>
    <w:div w:id="1814374570">
      <w:bodyDiv w:val="1"/>
      <w:marLeft w:val="0"/>
      <w:marRight w:val="0"/>
      <w:marTop w:val="0"/>
      <w:marBottom w:val="0"/>
      <w:divBdr>
        <w:top w:val="none" w:sz="0" w:space="0" w:color="auto"/>
        <w:left w:val="none" w:sz="0" w:space="0" w:color="auto"/>
        <w:bottom w:val="none" w:sz="0" w:space="0" w:color="auto"/>
        <w:right w:val="none" w:sz="0" w:space="0" w:color="auto"/>
      </w:divBdr>
    </w:div>
    <w:div w:id="1880583656">
      <w:bodyDiv w:val="1"/>
      <w:marLeft w:val="0"/>
      <w:marRight w:val="0"/>
      <w:marTop w:val="0"/>
      <w:marBottom w:val="0"/>
      <w:divBdr>
        <w:top w:val="none" w:sz="0" w:space="0" w:color="auto"/>
        <w:left w:val="none" w:sz="0" w:space="0" w:color="auto"/>
        <w:bottom w:val="none" w:sz="0" w:space="0" w:color="auto"/>
        <w:right w:val="none" w:sz="0" w:space="0" w:color="auto"/>
      </w:divBdr>
    </w:div>
    <w:div w:id="20267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EEC478DD6A9D14FA3FACDBA8C5653AF" ma:contentTypeVersion="0" ma:contentTypeDescription="Create a new document in this library." ma:contentTypeScope="" ma:versionID="fe3c46eca262d0e3d4d7066fb9279683">
  <xsd:schema xmlns:xsd="http://www.w3.org/2001/XMLSchema" xmlns:xs="http://www.w3.org/2001/XMLSchema" xmlns:p="http://schemas.microsoft.com/office/2006/metadata/properties" xmlns:ns2="http://schemas.microsoft.com/sharepoint/v3/fields" xmlns:ns3="ecb15db4-ed30-44b8-936d-866dfb363429" targetNamespace="http://schemas.microsoft.com/office/2006/metadata/properties" ma:root="true" ma:fieldsID="107a704e15c5850d638383fa27437db5" ns2:_="" ns3:_="">
    <xsd:import namespace="http://schemas.microsoft.com/sharepoint/v3/fields"/>
    <xsd:import namespace="ecb15db4-ed30-44b8-936d-866dfb36342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b15db4-ed30-44b8-936d-866dfb36342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cb15db4-ed30-44b8-936d-866dfb363429">EN</EC_Collab_DocumentLanguage>
    <EC_Collab_Status xmlns="ecb15db4-ed30-44b8-936d-866dfb363429">Not Started</EC_Collab_Status>
    <_Status xmlns="http://schemas.microsoft.com/sharepoint/v3/fields">Not Started</_Status>
    <EC_Collab_Reference xmlns="ecb15db4-ed30-44b8-936d-866dfb363429"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E9757F-33D3-4EF3-BEE4-8E908CFF0074}">
  <ds:schemaRefs>
    <ds:schemaRef ds:uri="http://schemas.microsoft.com/sharepoint/v3/contenttype/forms"/>
  </ds:schemaRefs>
</ds:datastoreItem>
</file>

<file path=customXml/itemProps2.xml><?xml version="1.0" encoding="utf-8"?>
<ds:datastoreItem xmlns:ds="http://schemas.openxmlformats.org/officeDocument/2006/customXml" ds:itemID="{CE7A3C91-F5CD-424D-B0AD-A9A0CCF4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cb15db4-ed30-44b8-936d-866dfb36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00C5D-FEC8-4240-8FC0-D0E6369C5758}">
  <ds:schemaRefs>
    <ds:schemaRef ds:uri="http://purl.org/dc/terms/"/>
    <ds:schemaRef ds:uri="ecb15db4-ed30-44b8-936d-866dfb36342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9A72D8FE-D3E5-4AA2-9D5B-F465B309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1114</Words>
  <Characters>7516</Characters>
  <Application>Microsoft Office Word</Application>
  <DocSecurity>0</DocSecurity>
  <Lines>144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2020-06-24T15:35:00Z</dcterms:created>
  <dcterms:modified xsi:type="dcterms:W3CDTF">2020-07-07T15:50:00Z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0x010100258AA79CEB83498886A3A0868112325000BEEC478DD6A9D14FA3FACDBA8C5653AF</vt:lpwstr>
  </property>
  <property fmtid="{D5CDD505-2E9C-101B-9397-08002B2CF9AE}" pid="11" name="DQCStatus">
    <vt:lpwstr>Green (DQC version 03)</vt:lpwstr>
  </property>
</Properties>
</file>