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2E6A83D-9142-4DCD-98DB-C37A486A8DAE" style="width:450.75pt;height:379.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Η δίκαιη φορολόγηση αποτελεί ένα από τα κύρια θεμέλια της ευρωπαϊκής κοινωνικής οικονομίας της αγοράς και βρίσκεται μεταξύ των βασικών πυλώνων της δέσμευσης της Επιτροπής για «</w:t>
      </w:r>
      <w:r>
        <w:rPr>
          <w:i/>
          <w:noProof/>
        </w:rPr>
        <w:t>μια οικονομία στην υπηρεσία των ανθρώπων</w:t>
      </w:r>
      <w:r>
        <w:rPr>
          <w:noProof/>
        </w:rPr>
        <w:t>»</w:t>
      </w:r>
      <w:r>
        <w:rPr>
          <w:rStyle w:val="FootnoteReference"/>
          <w:noProof/>
        </w:rPr>
        <w:footnoteReference w:id="1"/>
      </w:r>
      <w:r>
        <w:rPr>
          <w:noProof/>
        </w:rPr>
        <w:t xml:space="preserve">. Η δίκαιη φορολόγηση προωθεί την κοινωνική δικαιοσύνη και τους ίσους όρους ανταγωνισμού στην ΕΕ. Ένα δίκαιο σύστημα φορολόγησης πρέπει να βασίζεται σε φορολογικούς κανόνες που διασφαλίζουν ότι όλοι καταβάλλουν το μερίδιο που τους αναλογεί και παράλληλα να διευκολύνει τους φορολογούμενους, είτε είναι επιχειρήσεις είτε πολίτες, να συμμορφώνονται με τους κανόνες. Η δίκαιη και αποτελεσματική φορολόγηση είναι καθοριστικής σημασίας για την εξασφάλιση επαρκών εσόδων για δημόσιες επενδύσεις στον άνθρωπο και σε υποδομές, παράλληλα με τη δημιουργία εντός της ενιαίας αγοράς ενός επιχειρηματικού περιβάλλοντος στο οποίο μπορούν να αναπτυχθούν οι καινοτόμες επιχειρήσεις. </w:t>
      </w:r>
    </w:p>
    <w:p>
      <w:pPr>
        <w:pBdr>
          <w:top w:val="nil"/>
          <w:left w:val="nil"/>
          <w:bottom w:val="nil"/>
          <w:right w:val="nil"/>
          <w:between w:val="nil"/>
          <w:bar w:val="nil"/>
        </w:pBdr>
        <w:spacing w:before="0" w:after="240"/>
        <w:rPr>
          <w:noProof/>
        </w:rPr>
      </w:pPr>
      <w:r>
        <w:rPr>
          <w:noProof/>
        </w:rPr>
        <w:t>Η πανδημία COVID-19 καθιστά ακόμη πιο επιτακτική την ανάγκη προστασίας των δημόσιων οικονομικών και του περιορισμού των κοινωνικοοικονομικών επιπτώσεών της. Τα κράτη μέλη θα χρειαστούν επαρκή φορολογικά έσοδα προκειμένου να χρηματοδοτήσουν τις σημαντικές προσπάθειες που καταβάλλουν για τον περιορισμό του αρνητικού οικονομικού αντικτύπου των μέτρων για την καταπολέμηση της πανδημίας COVID-19, φροντίζοντας παράλληλα να μην επωμισθούν το βάρος της αύξησης των εν λόγω εσόδων οι πιο ευάλωτες ομάδες. Η διασφάλιση φορολογικής δικαιοσύνης μέσω της πρόληψης της φορολογικής απάτης, της φοροδιαφυγής και της φοροαποφυγής καθίσταται πιο σημαντική από ποτέ. Στο πλαίσιο αυτό, η ενίσχυση της διοικητικής συνεργασίας και η ανταλλαγή πληροφοριών είναι ζωτικής σημασίας για την καταπολέμηση της φοροαποφυγής και της φοροδιαφυγής στην Ένωση. Όπως τονίζεται στην Ανακοίνωση της Επιτροπής «Η ώρα της Ευρώπης: ανασύνταξη και προετοιμασία για την επόμενη γενιά»</w:t>
      </w:r>
      <w:r>
        <w:rPr>
          <w:rStyle w:val="FootnoteReference"/>
          <w:noProof/>
        </w:rPr>
        <w:footnoteReference w:id="2"/>
      </w:r>
      <w:r>
        <w:rPr>
          <w:noProof/>
        </w:rPr>
        <w:t>,</w:t>
      </w:r>
      <w:r>
        <w:rPr>
          <w:rStyle w:val="Aucun"/>
          <w:b/>
          <w:bCs/>
          <w:noProof/>
        </w:rPr>
        <w:t xml:space="preserve"> </w:t>
      </w:r>
      <w:r>
        <w:rPr>
          <w:noProof/>
        </w:rPr>
        <w:t>για</w:t>
      </w:r>
      <w:r>
        <w:rPr>
          <w:rStyle w:val="Aucun"/>
          <w:b/>
          <w:bCs/>
          <w:noProof/>
        </w:rPr>
        <w:t xml:space="preserve"> </w:t>
      </w:r>
      <w:r>
        <w:rPr>
          <w:noProof/>
        </w:rPr>
        <w:t>να διασφαλιστεί ότι στο επίκεντρο της ανάκαμψης θα βρεθεί η αλληλεγγύη και η δικαιοσύνη, η Επιτροπή θα εντείνει την καταπολέμηση της φορολογικής απάτης και άλλων αθέμιτων πρακτικών. Αυτό θα βοηθήσει τα κράτη μέλη να εισπράξουν τα φορολογικά έσοδα που απαιτούνται για την αντιμετώπιση των πιο σημαντικών προκλήσεων της τρέχουσας κρίσης.</w:t>
      </w:r>
    </w:p>
    <w:p>
      <w:pPr>
        <w:pBdr>
          <w:top w:val="nil"/>
          <w:left w:val="nil"/>
          <w:bottom w:val="nil"/>
          <w:right w:val="nil"/>
          <w:between w:val="nil"/>
          <w:bar w:val="nil"/>
        </w:pBdr>
        <w:spacing w:before="0" w:after="240"/>
        <w:rPr>
          <w:rFonts w:eastAsia="Arial Unicode MS"/>
          <w:noProof/>
        </w:rPr>
      </w:pPr>
      <w:r>
        <w:rPr>
          <w:noProof/>
        </w:rPr>
        <w:t>Η παρούσα νομοθετική πρόταση αποτελεί μέρος μιας δέσμης μέτρων για δίκαιη και απλή φορολογία για τη στήριξη της ανάκαμψης της ΕΕ, στην οποία περιλαμβάνεται ανακοίνωση για σχέδιο δράσης που παρουσιάζει μια σειρά μελλοντικών πρωτοβουλιών για δίκαιη και απλή φορολογία για τη στήριξη της στρατηγικής ανάκαμψης</w:t>
      </w:r>
      <w:r>
        <w:rPr>
          <w:rStyle w:val="FootnoteReference"/>
          <w:noProof/>
        </w:rPr>
        <w:footnoteReference w:id="3"/>
      </w:r>
      <w:r>
        <w:rPr>
          <w:noProof/>
        </w:rPr>
        <w:t xml:space="preserve"> και μια ανακοίνωση της Επιτροπής για </w:t>
      </w:r>
      <w:r>
        <w:rPr>
          <w:rStyle w:val="Aucun"/>
          <w:noProof/>
        </w:rPr>
        <w:t>τη χρηστή φορολογική διακυβέρνηση εντός και εκτός της ΕΕ</w:t>
      </w:r>
      <w:r>
        <w:rPr>
          <w:rStyle w:val="FootnoteReference"/>
          <w:noProof/>
        </w:rPr>
        <w:footnoteReference w:id="4"/>
      </w:r>
      <w:r>
        <w:rPr>
          <w:rStyle w:val="Aucun"/>
          <w:noProof/>
        </w:rPr>
        <w:t>, η οποία θα εξετάσει την πρόοδο που σημειώνεται ως προς την ενίσχυση της χρηστής φορολογικής διακυβέρνησης στην ΕΕ αλλά και εκτός αυτής και θα προτείνει τομείς προς βελτίωση.</w:t>
      </w:r>
    </w:p>
    <w:p>
      <w:pPr>
        <w:pBdr>
          <w:top w:val="nil"/>
          <w:left w:val="nil"/>
          <w:bottom w:val="nil"/>
          <w:right w:val="nil"/>
          <w:between w:val="nil"/>
          <w:bar w:val="nil"/>
        </w:pBdr>
        <w:spacing w:before="0" w:after="240"/>
        <w:rPr>
          <w:rFonts w:eastAsia="Arial Unicode MS"/>
          <w:noProof/>
        </w:rPr>
      </w:pPr>
      <w:r>
        <w:rPr>
          <w:noProof/>
        </w:rPr>
        <w:t xml:space="preserve">Τα τελευταία χρόνια, η ΕΕ εστίασε τις προσπάθειές της στην αντιμετώπιση της φορολογικής απάτης, της φοροδιαφυγής και της φοροαποφυγής καθώς και της ενίσχυσης της διαφάνειας. Παρότι έχουν πραγματοποιηθεί σημαντικές βελτιώσεις, ιδίως στο πεδίο της ανταλλαγής </w:t>
      </w:r>
      <w:r>
        <w:rPr>
          <w:noProof/>
        </w:rPr>
        <w:lastRenderedPageBreak/>
        <w:t>πληροφοριών, η αξιολόγηση</w:t>
      </w:r>
      <w:r>
        <w:rPr>
          <w:rStyle w:val="FootnoteReference"/>
          <w:noProof/>
        </w:rPr>
        <w:footnoteReference w:id="5"/>
      </w:r>
      <w:r>
        <w:rPr>
          <w:noProof/>
        </w:rPr>
        <w:t xml:space="preserve"> της εφαρμογής της οδηγίας 2011/16/ΕΕ του Συμβουλίου, της 15ης Φεβρουαρίου 2011, σχετικά με τη διοικητική συνεργασία στον τομέα της φορολογίας</w:t>
      </w:r>
      <w:r>
        <w:rPr>
          <w:rStyle w:val="FootnoteReference"/>
          <w:noProof/>
        </w:rPr>
        <w:footnoteReference w:id="6"/>
      </w:r>
      <w:r>
        <w:rPr>
          <w:noProof/>
        </w:rPr>
        <w:t xml:space="preserve"> έδειξε ότι εξακολουθεί να υπάρχει ανάγκη βελτίωσης των υφιστάμενων διατάξεων που αφορούν κάθε είδους ανταλλαγή πληροφοριών και διοικητική συνεργασία. Ιδίως, οι έννοιες της προβλέψιμης συνάφειας και των αιτημάτων παροχής πληροφοριών για μια ομάδα φορολογουμένων ανέκυψαν ως δύο από τα πλέον προβληματικά στοιχεία του πλαισίου λόγω της ασάφειάς τους. </w:t>
      </w:r>
    </w:p>
    <w:p>
      <w:pPr>
        <w:pBdr>
          <w:top w:val="nil"/>
          <w:left w:val="nil"/>
          <w:bottom w:val="nil"/>
          <w:right w:val="nil"/>
          <w:between w:val="nil"/>
          <w:bar w:val="nil"/>
        </w:pBdr>
        <w:spacing w:before="0" w:after="240"/>
        <w:rPr>
          <w:rFonts w:eastAsia="Arial Unicode MS"/>
          <w:noProof/>
        </w:rPr>
      </w:pPr>
      <w:r>
        <w:rPr>
          <w:noProof/>
        </w:rPr>
        <w:t>Η αξιολόγηση κατέδειξε επίσης ότι οι κανόνες για τη χρήση ταυτόχρονων ελέγχων, οι οποίοι επιτρέπουν την παρουσία υπαλλήλων ενός κράτους μέλους κατά τη διάρκεια έρευνας σε άλλο κράτος μέλος, στερούνται νομικής βάσης σε ορισμένα εθνικά συστήματα, γεγονός που επί του παρόντος έχει ως αποτέλεσμα να παρεμποδίζεται η αποτελεσματική χρήση των εν λόγω διατάξεων. Το ανωτέρω ζήτημα εξετάζεται αναλυτικότερα στην έκθεση του 2018 σχετικά με τους ελέγχους της ενδοομιλικής τιμολόγησης εντός της ΕΕ</w:t>
      </w:r>
      <w:r>
        <w:rPr>
          <w:rStyle w:val="FootnoteReference"/>
          <w:noProof/>
        </w:rPr>
        <w:footnoteReference w:id="7"/>
      </w:r>
      <w:r>
        <w:rPr>
          <w:noProof/>
        </w:rPr>
        <w:t xml:space="preserve"> που εκδόθηκε από το κοινό φόρουμ της ΕΕ σχετικά με τις τιμές μεταβίβασης. Η έκθεση βασίστηκε στην υφιστάμενη πρακτική των κρατών μελών να επισημαίνουν τρέχουσες αδυναμίες και να προτείνουν πιθανές βελτιώσεις για τη χρήση ελέγχων της ενδοομιλικής τιμολόγησης σε δύο ή περισσότερα κράτη μέλη. Η έκθεση πρότεινε την </w:t>
      </w:r>
      <w:r>
        <w:rPr>
          <w:i/>
          <w:noProof/>
        </w:rPr>
        <w:t>υιοθέτηση «μιας συντονισμένης προσέγγισης ως προς τους ελέγχους της ενδοομιλικής τιμολόγησης [που] θα συνέβαλλε σε καλύτερη λειτουργία της εσωτερικής αγοράς σε δύο μέτωπα: θα πρόσφερε στις φορολογικές διοικήσεις ένα διαφανές και αποδοτικό εργαλείο για τη διευκόλυνση της κατανομής των φορολογικών δικαιωμάτων και επίσης για την πρόληψη περιπτώσεων διπλής φορολογίας και διπλής μη φορολογίας»</w:t>
      </w:r>
      <w:r>
        <w:rPr>
          <w:noProof/>
        </w:rPr>
        <w:t xml:space="preserve">. </w:t>
      </w:r>
    </w:p>
    <w:p>
      <w:pPr>
        <w:pBdr>
          <w:top w:val="nil"/>
          <w:left w:val="nil"/>
          <w:bottom w:val="nil"/>
          <w:right w:val="nil"/>
          <w:between w:val="nil"/>
          <w:bar w:val="nil"/>
        </w:pBdr>
        <w:spacing w:before="0" w:after="240"/>
        <w:rPr>
          <w:rFonts w:eastAsia="Arial Unicode MS"/>
          <w:noProof/>
        </w:rPr>
      </w:pPr>
      <w:r>
        <w:rPr>
          <w:noProof/>
        </w:rPr>
        <w:t>Ως εκ τούτου, υπάρχει σαφής ανάγκη βελτίωσης του υφιστάμενου πλαισίου για την ανταλλαγή πληροφοριών και την διοικητική συνεργασία στην ΕΕ. Πράγματι, στην αρχή της θητείας της, η πρόεδρος της Επιτροπής υπογράμμισε την ανάγκη να εξεταστεί πώς μπορεί να βελτιωθεί η συνεργασία μεταξύ των εθνικών αρχών</w:t>
      </w:r>
      <w:r>
        <w:rPr>
          <w:rStyle w:val="FootnoteReference"/>
          <w:noProof/>
        </w:rPr>
        <w:footnoteReference w:id="8"/>
      </w:r>
      <w:r>
        <w:rPr>
          <w:noProof/>
        </w:rPr>
        <w:t xml:space="preserve">. Η βελτίωση της ανταλλαγής πληροφοριών και της διοικητική συνεργασίας στην ΕΕ διαδραματίζει κεντρικό ρόλο.  </w:t>
      </w:r>
    </w:p>
    <w:p>
      <w:pPr>
        <w:pBdr>
          <w:top w:val="nil"/>
          <w:left w:val="nil"/>
          <w:bottom w:val="nil"/>
          <w:right w:val="nil"/>
          <w:between w:val="nil"/>
          <w:bar w:val="nil"/>
        </w:pBdr>
        <w:spacing w:before="0" w:after="240"/>
        <w:rPr>
          <w:rFonts w:eastAsia="Arial Unicode MS"/>
          <w:noProof/>
        </w:rPr>
      </w:pPr>
      <w:r>
        <w:rPr>
          <w:noProof/>
        </w:rPr>
        <w:t xml:space="preserve">Εκτός από την ενίσχυση των υφιστάμενων κανόνων, η διεύρυνση της διοικητικής συνεργασίας σε νέους τομείς είναι απαραίτητη στην ΕΕ, προκειμένου να αντιμετωπιστούν οι προκλήσεις που δημιουργεί η ψηφιοποίηση της οικονομίας και να διευκολύνονται οι φορολογικές διοικήσεις να εισπράττουν φόρους με βελτιωμένο και πιο αποτελεσματικό τρόπο και να συμβαδίζουν με τις νέες εξελίξεις. Τα χαρακτηριστικά της οικονομίας ψηφιακής πλατφόρμας καθιστούν ιδιαίτερα δύσκολη την ιχνηλασιμότητα και τον εντοπισμό των φορολογητέων πράξεων από τις φορολογικές αρχές. Το πρόβλημα είναι εντονότερο ιδίως όταν οι εν λόγω συναλλαγές πραγματοποιούνται μέσω φορέων εκμετάλλευσης ψηφιακών πλατφορμών που είναι εγκατεστημένοι σε άλλη δικαιοδοσία. Η μη υποβολή στοιχείων για εισοδήματα που αποκτώνται από πωλητές που παρέχουν υπηρεσίες ή πωλούν αγαθά μέσα από ψηφιακές πλατφόρμες οδηγεί σε υστέρηση των φορολογικών εσόδων των κρατών μελών. Παρέχει επίσης στους πωλητές πλεονέκτημα έναντι όσων δεν δραστηριοποιούνται σε </w:t>
      </w:r>
      <w:r>
        <w:rPr>
          <w:noProof/>
        </w:rPr>
        <w:lastRenderedPageBreak/>
        <w:t>ψηφιακές πλατφόρμες. Εάν δεν αντιμετωπιστεί το συγκεκριμένο κανονιστικό κενό, δεν μπορεί να διασφαλιστεί ο στόχος της δίκαιης φορολόγησης.</w:t>
      </w:r>
    </w:p>
    <w:p>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Αντικείμενο της προτεινόμενης νομικής πράξης είναι η ευρεία πολιτική προτεραιότητα για διαφάνεια στη φορολογία, η οποία αποτελεί προαπαιτούμενο για την αποτελεσματική καταπολέμηση της φορολογικής απάτης, της φοροδιαφυγής και της φοροαποφυγής. Τα τελευταία χρόνια, τα κράτη μέλη της ΕΕ συμφώνησαν σε μια σειρά νομοθετικών πράξεων στον τομέα της διαφάνειας οι οποίες επιβάλλουν στις εθνικές φορολογικές αρχές την υποχρέωση να συνεργάζονται στενά σε επίπεδο ανταλλαγής πληροφοριών. Η οδηγία 2011/16/ΕΕ του Συμβουλίου αντικατέστησε την οδηγία 77/799/ EEC11 του Συμβουλίου και σηματοδότησε την έναρξη της ενισχυμένης διοικητικής συνεργασίας μεταξύ των φορολογικών αρχών της ΕΕ, θεσπίζοντας χρήσιμα εργαλεία για τη βελτίωση της συνεργασίας στους ακόλουθους τομείς:</w:t>
      </w:r>
    </w:p>
    <w:p>
      <w:pPr>
        <w:pStyle w:val="ListNumber"/>
        <w:rPr>
          <w:rFonts w:eastAsia="Arial Unicode MS"/>
          <w:noProof/>
        </w:rPr>
      </w:pPr>
      <w:r>
        <w:rPr>
          <w:noProof/>
        </w:rPr>
        <w:t xml:space="preserve">ανταλλαγές πληροφοριών κατόπιν αιτήματος, </w:t>
      </w:r>
    </w:p>
    <w:p>
      <w:pPr>
        <w:pStyle w:val="ListNumber"/>
        <w:rPr>
          <w:rFonts w:eastAsia="Arial Unicode MS"/>
          <w:noProof/>
        </w:rPr>
      </w:pPr>
      <w:r>
        <w:rPr>
          <w:noProof/>
        </w:rPr>
        <w:t xml:space="preserve">αυθόρμητες ανταλλαγές, </w:t>
      </w:r>
    </w:p>
    <w:p>
      <w:pPr>
        <w:pStyle w:val="ListNumber"/>
        <w:rPr>
          <w:rFonts w:eastAsia="Arial Unicode MS"/>
          <w:noProof/>
        </w:rPr>
      </w:pPr>
      <w:r>
        <w:rPr>
          <w:noProof/>
        </w:rPr>
        <w:t xml:space="preserve">αυτόματες ανταλλαγές βάσει εξαντλητικού καταλόγου τομέων (π.χ. εισόδημα από απασχόληση, αμοιβές διοικητικών στελεχών, προϊόντα ασφάλειας ζωής που δεν καλύπτονται από άλλες οδηγίες, συντάξεις· και κυριότητα ακίνητης περιουσίας και εισόδημα από αυτήν), </w:t>
      </w:r>
    </w:p>
    <w:p>
      <w:pPr>
        <w:pStyle w:val="ListNumber"/>
        <w:rPr>
          <w:rFonts w:eastAsia="Arial Unicode MS"/>
          <w:noProof/>
        </w:rPr>
      </w:pPr>
      <w:r>
        <w:rPr>
          <w:noProof/>
        </w:rPr>
        <w:t>συμμετοχή αλλοδαπών υπαλλήλων σε διοικητικές έρευνες,</w:t>
      </w:r>
    </w:p>
    <w:p>
      <w:pPr>
        <w:pStyle w:val="ListNumber"/>
        <w:rPr>
          <w:rFonts w:eastAsia="Arial Unicode MS"/>
          <w:noProof/>
        </w:rPr>
      </w:pPr>
      <w:r>
        <w:rPr>
          <w:noProof/>
        </w:rPr>
        <w:t xml:space="preserve">ταυτόχρονοι έλεγχοι και </w:t>
      </w:r>
    </w:p>
    <w:p>
      <w:pPr>
        <w:pStyle w:val="ListNumber"/>
        <w:rPr>
          <w:rFonts w:eastAsia="Arial Unicode MS"/>
          <w:noProof/>
        </w:rPr>
      </w:pPr>
      <w:r>
        <w:rPr>
          <w:noProof/>
        </w:rPr>
        <w:t xml:space="preserve">κοινοποιήσεις φορολογικών αποφάσεων σε άλλες φορολογικές αρχές. </w:t>
      </w:r>
    </w:p>
    <w:p>
      <w:pPr>
        <w:rPr>
          <w:noProof/>
        </w:rPr>
      </w:pPr>
      <w:r>
        <w:rPr>
          <w:noProof/>
        </w:rPr>
        <w:t xml:space="preserve">Η οδηγία 2011/16/EE του Συμβουλίου τροποποιήθηκε αρκετές φορές με τις ακόλουθες πρωτοβουλίες: </w:t>
      </w:r>
    </w:p>
    <w:p>
      <w:pPr>
        <w:pStyle w:val="ListBullet"/>
        <w:rPr>
          <w:rFonts w:eastAsia="Arial Unicode MS"/>
          <w:noProof/>
        </w:rPr>
      </w:pPr>
      <w:r>
        <w:rPr>
          <w:noProof/>
        </w:rPr>
        <w:t>Οδηγία 2014/107/ΕΕ του Συμβουλίου, της 9ης Δεκεμβρίου 2014</w:t>
      </w:r>
      <w:r>
        <w:rPr>
          <w:rStyle w:val="FootnoteReference"/>
          <w:rFonts w:eastAsia="Arial Unicode MS"/>
          <w:noProof/>
        </w:rPr>
        <w:footnoteReference w:id="9"/>
      </w:r>
      <w:r>
        <w:rPr>
          <w:noProof/>
        </w:rPr>
        <w:t xml:space="preserve"> (ΟΔΣ2), όσον αφορά την αυτόματη ανταλλαγή πληροφοριών επί χρηματοοικονομικών λογαριασμών μεταξύ των κρατών μελών με βάση το Κοινό Πρότυπο Αναφοράς (ΚΠΑ) του ΟΟΣΑ, το οποίο προβλέπει την αυτόματη ανταλλαγή πληροφοριών επί χρηματοοικονομικών λογαριασμών τους οποίους κατέχουν πρόσωπα με φορολογική κατοικία στην αλλοδαπή.</w:t>
      </w:r>
    </w:p>
    <w:p>
      <w:pPr>
        <w:pStyle w:val="ListBullet"/>
        <w:rPr>
          <w:rFonts w:eastAsia="Arial Unicode MS"/>
          <w:noProof/>
        </w:rPr>
      </w:pPr>
      <w:r>
        <w:rPr>
          <w:noProof/>
        </w:rPr>
        <w:t>Οδηγία (ΕΕ) 2015/2376 του Συμβουλίου, της 8ης Δεκεμβρίου 2015</w:t>
      </w:r>
      <w:r>
        <w:rPr>
          <w:rStyle w:val="FootnoteReference"/>
          <w:rFonts w:eastAsia="Arial Unicode MS"/>
          <w:noProof/>
        </w:rPr>
        <w:footnoteReference w:id="10"/>
      </w:r>
      <w:r>
        <w:rPr>
          <w:noProof/>
        </w:rPr>
        <w:t xml:space="preserve"> (ΟΔΣ3), όσον αφορά την υποχρεωτική αυτόματη ανταλλαγή πληροφοριών για εκ των προτέρων διασυνοριακές φορολογικές αποφάσεις.</w:t>
      </w:r>
    </w:p>
    <w:p>
      <w:pPr>
        <w:pStyle w:val="ListBullet"/>
        <w:rPr>
          <w:rFonts w:eastAsia="Arial Unicode MS"/>
          <w:noProof/>
        </w:rPr>
      </w:pPr>
      <w:r>
        <w:rPr>
          <w:noProof/>
        </w:rPr>
        <w:t>Οδηγία (ΕΕ) 2016/881 του Συμβουλίου, της 25ης Μαΐου 2016</w:t>
      </w:r>
      <w:r>
        <w:rPr>
          <w:rStyle w:val="FootnoteReference"/>
          <w:rFonts w:eastAsia="Arial Unicode MS"/>
          <w:noProof/>
        </w:rPr>
        <w:footnoteReference w:id="11"/>
      </w:r>
      <w:r>
        <w:rPr>
          <w:noProof/>
        </w:rPr>
        <w:t xml:space="preserve"> (ΟΔΣ4), όσον αφορά την υποχρεωτική αυτόματη ανταλλαγή πληροφοριών στον τομέα της παροχής στοιχείων ανά χώρα μεταξύ των φορολογικών αρχών.</w:t>
      </w:r>
    </w:p>
    <w:p>
      <w:pPr>
        <w:pStyle w:val="ListBullet"/>
        <w:rPr>
          <w:rFonts w:eastAsia="Arial Unicode MS"/>
          <w:noProof/>
        </w:rPr>
      </w:pPr>
      <w:r>
        <w:rPr>
          <w:noProof/>
        </w:rPr>
        <w:lastRenderedPageBreak/>
        <w:t>Οδηγία (ΕΕ) 2016/2258 του Συμβουλίου, της 6ης Δεκεμβρίου 2016</w:t>
      </w:r>
      <w:r>
        <w:rPr>
          <w:rStyle w:val="FootnoteReference"/>
          <w:rFonts w:eastAsia="Arial Unicode MS"/>
          <w:noProof/>
        </w:rPr>
        <w:footnoteReference w:id="12"/>
      </w:r>
      <w:r>
        <w:rPr>
          <w:noProof/>
        </w:rPr>
        <w:t xml:space="preserve"> (ΟΔΣ5), όσον αφορά την πρόσβαση των φορολογικών αρχών σε πληροφορίες για την καταπολέμηση της νομιμοποίησης εσόδων από παράνομες δραστηριότητες.</w:t>
      </w:r>
    </w:p>
    <w:p>
      <w:pPr>
        <w:pStyle w:val="ListBullet"/>
        <w:rPr>
          <w:rFonts w:eastAsia="Arial Unicode MS"/>
          <w:noProof/>
        </w:rPr>
      </w:pPr>
      <w:r>
        <w:rPr>
          <w:noProof/>
        </w:rPr>
        <w:t>Οδηγία (ΕΕ) 2018/822 του Συμβουλίου, της 25ης Μαΐου 2018</w:t>
      </w:r>
      <w:r>
        <w:rPr>
          <w:rStyle w:val="FootnoteReference"/>
          <w:rFonts w:eastAsia="Arial Unicode MS"/>
          <w:noProof/>
        </w:rPr>
        <w:footnoteReference w:id="13"/>
      </w:r>
      <w:r>
        <w:rPr>
          <w:noProof/>
        </w:rPr>
        <w:t xml:space="preserve"> (ΟΔΣ6), όσον αφορά την υποχρεωτική αυτόματη ανταλλαγή πληροφοριών στον τομέα της φορολογίας σχετικά με δηλωτέες διασυνοριακές ρυθμίσεις.</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Οι υφιστάμενες διατάξεις της οδηγίας αλληλεπιδρούν με τον γενικό κανονισμό για την προστασία δεδομένων</w:t>
      </w:r>
      <w:r>
        <w:rPr>
          <w:rStyle w:val="FootnoteReference"/>
          <w:rFonts w:eastAsia="Arial Unicode MS"/>
          <w:noProof/>
        </w:rPr>
        <w:footnoteReference w:id="14"/>
      </w:r>
      <w:r>
        <w:rPr>
          <w:noProof/>
        </w:rPr>
        <w:t xml:space="preserve"> (ΓΚΠΔ) σε διάφορες περιπτώσεις όπου τα δεδομένα προσωπικού χαρακτήρα έχουν σημασία και ταυτόχρονα περιλαμβάνουν ειδικές διατάξεις και εγγυήσεις για την προστασία δεδομένων. Οι προτεινόμενες τροποποιήσεις θα συνεχίσουν να ακολουθούν και να σέβονται τις εν λόγω εγγυήσεις. Τυχόν πιθανές αρνητικές επιπτώσεις στα δεδομένα προσωπικού χαρακτήρα θα ελαχιστοποιηθούν μέσω μέτρων ΤΠ και διαδικαστικών μέτρων. Η ανταλλαγή δεδομένων θα περνά μέσα από ένα ασφαλές ηλεκτρονικό σύστημα που κρυπτογραφεί και αποκρυπτογραφεί τα δεδομένα και, σε κάθε φορολογική διοίκηση, μόνο οι εξουσιοδοτημένοι υπάλληλοι πρέπει να έχουν πρόσβαση σε αυτές τις πληροφορίες. Ως από κοινού υπεύθυνοι επεξεργασίας των δεδομένων θα πρέπει να διασφαλίζουν την ασφαλή και ειδική αποθήκευση των δεδομένων. </w:t>
      </w:r>
    </w:p>
    <w:p>
      <w:pPr>
        <w:pBdr>
          <w:top w:val="nil"/>
          <w:left w:val="nil"/>
          <w:bottom w:val="nil"/>
          <w:right w:val="nil"/>
          <w:between w:val="nil"/>
          <w:bar w:val="nil"/>
        </w:pBdr>
        <w:spacing w:before="0" w:after="240"/>
        <w:rPr>
          <w:rFonts w:eastAsia="Arial Unicode MS"/>
          <w:noProof/>
        </w:rPr>
      </w:pPr>
      <w:r>
        <w:rPr>
          <w:noProof/>
        </w:rPr>
        <w:t>Η Επιτροπή δραστηριοποιείται σε διάφορους τομείς πολιτικής που σχετίζονται με την ψηφιακή οικονομία, περιλαμβανομένων των φορέων εκμετάλλευσης ψηφιακών πλατφορμών που καλύπτονται από την προτεινόμενη πρωτοβουλία. Η προτεινόμενη πρωτοβουλία δεν επηρεάζει άλλα έργα της Επιτροπής που βρίσκονται ταυτόχρονα σε εξέλιξη, καθώς στοχεύει ειδικά στην αντιμετώπιση συγκεκριμένων ζητημάτων σχετικών με την φορολογία. Δεν θίγει τυχόν απαιτήσεις πληροφόρησης που ενδέχεται να ληφθούν υπόψη για παρόχους ψηφιακών υπηρεσιών ως μέρος της δέσμης μέτρων νομοθετικής πράξης για τις ψηφιακές υπηρεσίες, στο πλαίσιο της επικείμενης αναθεώρησης της υφιστάμενης οδηγίας για το ηλεκτρονικό εμπόριο</w:t>
      </w:r>
      <w:r>
        <w:rPr>
          <w:rStyle w:val="FootnoteReference"/>
          <w:rFonts w:eastAsia="Arial Unicode MS"/>
          <w:noProof/>
        </w:rPr>
        <w:footnoteReference w:id="15"/>
      </w:r>
      <w:r>
        <w:rPr>
          <w:noProof/>
        </w:rPr>
        <w:t>, ή στο πλαίσιο πρωτοβουλίας που επιδιώκει τη βελτίωση των συνθηκών εργασίας των ατόμων που εργάζονται μέσω ψηφιακών πλατφορμών.</w:t>
      </w:r>
    </w:p>
    <w:p>
      <w:pPr>
        <w:pBdr>
          <w:top w:val="nil"/>
          <w:left w:val="nil"/>
          <w:bottom w:val="nil"/>
          <w:right w:val="nil"/>
          <w:between w:val="nil"/>
          <w:bar w:val="nil"/>
        </w:pBdr>
        <w:spacing w:before="0" w:after="240"/>
        <w:rPr>
          <w:rFonts w:eastAsia="Arial Unicode MS"/>
          <w:noProof/>
        </w:rPr>
      </w:pPr>
      <w:r>
        <w:rPr>
          <w:noProof/>
        </w:rPr>
        <w:t xml:space="preserve">Το πεδίο εφαρμογής των προτεινόμενων κανόνων περιλαμβάνει υπηρεσίες συμμετοχικής χρηματοδότησης που αποτελούνται τόσο από συμμετοχικές επενδύσεις όσο και από συμμετοχικές δανειοδοτήσεις. Λαμβανομένου υπόψη του πεδίου εφαρμογής και προκειμένου να διασφαλιστεί η συνεκτικότητα με τις πολιτικές της Ένωσης στο πεδίο της ρύθμισης της </w:t>
      </w:r>
      <w:r>
        <w:rPr>
          <w:noProof/>
        </w:rPr>
        <w:lastRenderedPageBreak/>
        <w:t>χρηματοπιστωτικής αγοράς, ο ορισμός των υπηρεσιών και των παρόχων υπηρεσιών συμμετοχικής χρηματοδότησης αναφέρεται στην οικεία νομοθεσία σε αυτόν τον τομέα.</w:t>
      </w:r>
    </w:p>
    <w:p>
      <w:pPr>
        <w:pBdr>
          <w:top w:val="nil"/>
          <w:left w:val="nil"/>
          <w:bottom w:val="nil"/>
          <w:right w:val="nil"/>
          <w:between w:val="nil"/>
          <w:bar w:val="nil"/>
        </w:pBdr>
        <w:spacing w:before="0" w:after="240"/>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rPr>
        <w:tab/>
      </w:r>
      <w:r>
        <w:rPr>
          <w:noProof/>
          <w:u w:color="000000"/>
          <w:bdr w:val="nil"/>
        </w:rPr>
        <w:t>Νομική βάση</w:t>
      </w:r>
    </w:p>
    <w:p>
      <w:pPr>
        <w:pBdr>
          <w:top w:val="nil"/>
          <w:left w:val="nil"/>
          <w:bottom w:val="nil"/>
          <w:right w:val="nil"/>
          <w:between w:val="nil"/>
          <w:bar w:val="nil"/>
        </w:pBdr>
        <w:spacing w:before="0" w:after="240"/>
        <w:rPr>
          <w:rFonts w:eastAsia="Arial Unicode MS"/>
          <w:noProof/>
        </w:rPr>
      </w:pPr>
      <w:r>
        <w:rPr>
          <w:noProof/>
        </w:rPr>
        <w:t>Η νομική βάση για νομοθετικές πρωτοβουλίες στον τομέα της άμεσης φορολογίας είναι το άρθρο 115 της Συνθήκης για τη λειτουργία της Ευρωπαϊκής Ένωσης (ΣΛΕΕ). Αν και δεν περιέχει ρητή αναφορά στην άμεση φορολογία, το άρθρο 115 αναφέρεται σε οδηγίες για την προσέγγιση των εθνικών δικαίων, οι οποίες έχουν άμεση επίπτωση στην εγκαθίδρυση ή τη λειτουργία της εσωτερικής αγοράς. Για να ικανοποιηθεί η συγκεκριμένη προϋπόθεση, είναι αναγκαίο η προτεινόμενη νομοθεσία της ΕΕ στον τομέα της άμεσης φορολογίας να αποσκοπεί στην αποκατάσταση των υφιστάμενων ασυνεπειών στη λειτουργία της εσωτερικής αγοράς. Επιπλέον, δεδομένου ότι οι πληροφορίες που ανταλλάσσονται βάσει της οδηγίας μπορούν επίσης να χρησιμοποιηθούν στον τομέα του ΦΠΑ και άλλων έμμεσων φόρων, το άρθρο 113 της ΣΛΕΕ αναφέρεται επίσης ως νομική βάση.</w:t>
      </w:r>
    </w:p>
    <w:p>
      <w:pPr>
        <w:pBdr>
          <w:top w:val="nil"/>
          <w:left w:val="nil"/>
          <w:bottom w:val="nil"/>
          <w:right w:val="nil"/>
          <w:between w:val="nil"/>
          <w:bar w:val="nil"/>
        </w:pBdr>
        <w:spacing w:before="0" w:after="240"/>
        <w:rPr>
          <w:rFonts w:eastAsia="Arial Unicode MS"/>
          <w:noProof/>
        </w:rPr>
      </w:pPr>
      <w:r>
        <w:rPr>
          <w:noProof/>
        </w:rPr>
        <w:t xml:space="preserve">Καθώς η προτεινόμενη πρωτοβουλία τροποποιεί την οδηγία, αυτό συνεπάγεται ότι η νομική βάση παραμένει η ίδια. Πράγματι, οι προτεινόμενοι κανόνες που αποσκοπούν στη βελτίωση του υφιστάμενου πλαισίου όσον αφορά την ανταλλαγή πληροφοριών και τη διοικητική συνεργασία δεν αποκλίνουν από το αντικείμενο της οδηγίας. Πιο συγκεκριμένα, οι προβλεπόμενες τροποποιήσεις θα παρέχουν σαφή ορισμό της προβλέψιμης συνάφειας και σαφές νομικό πλαίσιο για τη διενέργεια κοινών ελέγχων. Η συνεπής εφαρμογή αυτών των διατάξεων μπορεί να επιτευχθεί μόνο με την προσέγγιση των εθνικών νομοθεσιών. </w:t>
      </w:r>
    </w:p>
    <w:p>
      <w:pPr>
        <w:pBdr>
          <w:top w:val="nil"/>
          <w:left w:val="nil"/>
          <w:bottom w:val="nil"/>
          <w:right w:val="nil"/>
          <w:between w:val="nil"/>
          <w:bar w:val="nil"/>
        </w:pBdr>
        <w:spacing w:before="0" w:after="240"/>
        <w:rPr>
          <w:rFonts w:eastAsia="Arial Unicode MS"/>
          <w:noProof/>
        </w:rPr>
      </w:pPr>
      <w:r>
        <w:rPr>
          <w:noProof/>
        </w:rPr>
        <w:t>Εκτός από το υφιστάμενο πλαίσιο, η πρόταση εισάγει κανόνες για την υποβολή στοιχείων από φορείς εκμετάλλευσης ψηφιακών πλατφορμών ως απάντηση σε προβλήματα που προκύπτουν από τη χρήση ψηφιακών πλατφορμών σε διάφορες δραστηριότητες. Ο ψηφιακός χαρακτήρας των πλατφορμών δίνει στους πωλητές αγαθών και υπηρεσιών τη δυνατότητα να χρησιμοποιήσουν τις εν λόγω ψηφιακές πλατφόρμες για την άσκηση της δραστηριότητάς τους, χωρίς δυνητικά να δηλώνουν τα εισοδήματα που αποκτούν στο κράτος μέλος της κατοικίας τους. Κατά συνέπεια, τα κράτη μέλη πλήττονται από αδήλωτα εισοδήματα και απώλεια φορολογικών εσόδων. Μια τέτοια κατάσταση δημιουργεί επίσης συνθήκες αθέμιτου φορολογικού ανταγωνισμού έναντι προσώπων ή επιχειρήσεων που δεν ασκούν τις δραστηριότητές τους μέσω ψηφιακών πλατφορμών, γεγονός που στρεβλώνει τη λειτουργία της εσωτερικής αγοράς. Προκύπτει, επομένως, ότι η κατάσταση αυτή μπορεί να αντιμετωπιστεί μόνο με την υιοθέτηση ενιαίας προσέγγισης κατά τα προβλεπόμενα στο άρθρο 115 της ΣΛΕΕ.</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rFonts w:eastAsia="Arial Unicode MS"/>
          <w:noProof/>
        </w:rPr>
      </w:pPr>
      <w:r>
        <w:rPr>
          <w:noProof/>
        </w:rPr>
        <w:t xml:space="preserve">Η πρόταση τηρεί πλήρως την αρχή της επικουρικότητας, όπως ορίζεται στο άρθρο 5 της ΣΛΕΕ. Αφορά τη διοικητική συνεργασία στον τομέα της φορολογίας. Αυτό περιλαμβάνει ορισμένες τροποποιήσεις στους κανόνες για τη βελτίωση της λειτουργίας των υφιστάμενων διατάξεων που αφορούν τη διασυνοριακή συνεργασία μεταξύ φορολογικών διοικήσεων από διαφορετικά κράτη μέλη. Η πρόταση περιλαμβάνει επίσης την επέκταση του πεδίου της αυτόματης ανταλλαγής πληροφοριών σε φορείς εκμετάλλευσης ψηφιακών πλατφορμών, με την επιβολή σε αυτούς της υποχρέωσης να δηλώνουν το εισόδημα που κερδίζουν οι πωλητές αγαθών και υπηρεσιών που χρησιμοποιούν τις σχετικές πλατφόρμες. </w:t>
      </w:r>
    </w:p>
    <w:p>
      <w:pPr>
        <w:pBdr>
          <w:top w:val="nil"/>
          <w:left w:val="nil"/>
          <w:bottom w:val="nil"/>
          <w:right w:val="nil"/>
          <w:between w:val="nil"/>
          <w:bar w:val="nil"/>
        </w:pBdr>
        <w:spacing w:before="0" w:after="240"/>
        <w:rPr>
          <w:rFonts w:eastAsia="Arial Unicode MS"/>
          <w:noProof/>
        </w:rPr>
      </w:pPr>
      <w:r>
        <w:rPr>
          <w:noProof/>
        </w:rPr>
        <w:lastRenderedPageBreak/>
        <w:t>Η εφαρμογή των υφιστάμενων διατάξεων της οδηγίας έδειξε σημαντικές αποκλίσεις μεταξύ των κρατών μελών. Ενώ ορισμένα κράτη μέλη είναι διατεθειμένα να συνεργαστούν πλήρως και να ανταλλάξουν πληροφορίες, άλλα κράτη μέλη ακολουθούν περιοριστική προσέγγιση ή και απορρίπτουν την ανταλλαγή πληροφοριών. Επιπλέον, ορισμένες διατάξεις αποδείχθηκαν ανεπαρκείς για την αντιμετώπιση των αναγκών των φορολογικών διοικήσεων στη συνεργασία τους με άλλα κράτη μέλη με την πάροδο του χρόνου.</w:t>
      </w:r>
    </w:p>
    <w:p>
      <w:pPr>
        <w:pBdr>
          <w:top w:val="nil"/>
          <w:left w:val="nil"/>
          <w:bottom w:val="nil"/>
          <w:right w:val="nil"/>
          <w:between w:val="nil"/>
          <w:bar w:val="nil"/>
        </w:pBdr>
        <w:spacing w:before="0" w:after="240"/>
        <w:rPr>
          <w:rFonts w:eastAsia="Arial Unicode MS"/>
          <w:noProof/>
        </w:rPr>
      </w:pPr>
      <w:r>
        <w:rPr>
          <w:noProof/>
        </w:rPr>
        <w:t>Επίσης, η αυξημένη χρήση ψηφιακών πλατφορμών για την παροχή υπηρεσιών και την πώληση αγαθών οδήγησε σε ασυνεπείς δηλώσεις εισοδήματος από τους πωλητές, γεγονός που ενέχει υψηλό κίνδυνο φοροδιαφυγής. Αν και ορισμένα κράτη μέλη έχουν προβλέψει υποχρέωση υποβολής στοιχείων στην εθνική τους νομοθεσία, η εμπειρία δείχνει ότι οι εθνικές διατάξεις κατά της φοροδιαφυγής δεν μπορούν να είναι πλήρως αποτελεσματικές, ειδικά όταν οι στοχοθετημένες δραστηριότητες διεξάγονται διασυνοριακά.</w:t>
      </w:r>
    </w:p>
    <w:p>
      <w:pPr>
        <w:pBdr>
          <w:top w:val="nil"/>
          <w:left w:val="nil"/>
          <w:bottom w:val="nil"/>
          <w:right w:val="nil"/>
          <w:between w:val="nil"/>
          <w:bar w:val="nil"/>
        </w:pBdr>
        <w:spacing w:before="0" w:after="240"/>
        <w:rPr>
          <w:rFonts w:eastAsia="Arial Unicode MS"/>
          <w:noProof/>
        </w:rPr>
      </w:pPr>
      <w:r>
        <w:rPr>
          <w:noProof/>
        </w:rPr>
        <w:t xml:space="preserve">Η ασφάλεια δικαίου και η σαφήνεια μπορούν να διασφαλιστούν μόνο με την αντιμετώπιση των εν λόγω ελλείψεων μέσω ενός ενιαίου συνόλου κανόνων που θα ισχύουν για όλα τα κράτη μέλη. Η εσωτερική αγορά έχει ανάγκη από έναν άρτιο μηχανισμό αντιμετώπισης των εν λόγω νομοθετικών κενών με ομοιόμορφο τρόπο και αποκατάστασης των υφιστάμενων στρεβλώσεων μέσω της διασφάλισης της έγκαιρης και προσήκουσας πληροφόρησης των φορολογικών αρχών. Ένα εναρμονισμένο πλαίσιο σε ολόκληρη την ΕΕ για την υποβολή στοιχείων φαίνεται απαραίτητο, ιδίως ενόψει της διαδεδομένης διασυνοριακής διάστασης των υπηρεσιών που παρέχονται από φορείς εκμετάλλευσης πλατφορμών. Δεδομένου ότι με την υποχρέωση υποβολής στοιχείων όσον αφορά το εισόδημα που αποκτάται μέσω της χρήσης ψηφιακών πλατφορμών επιδιώκεται ουσιαστικά η ενημέρωση των φορολογικών αρχών για την ύπαρξη δραστηριοτήτων με διάσταση που υπερβαίνει τα όρια μίας μόνο δικαιοδοσίας, είναι αναγκαίο να αναληφθεί δράση σε επίπεδο ΕΕ για την υλοποίηση σχετικής πρωτοβουλίας, προκειμένου να διασφαλιστεί η υιοθέτηση ομοιόμορφης προσέγγισης όσον αφορά την αντιμετώπιση του προβλήματος που έχει διαπιστωθεί. </w:t>
      </w:r>
    </w:p>
    <w:p>
      <w:pPr>
        <w:pBdr>
          <w:top w:val="nil"/>
          <w:left w:val="nil"/>
          <w:bottom w:val="nil"/>
          <w:right w:val="nil"/>
          <w:between w:val="nil"/>
          <w:bar w:val="nil"/>
        </w:pBdr>
        <w:spacing w:before="0" w:after="240"/>
        <w:rPr>
          <w:rFonts w:eastAsia="Arial Unicode MS"/>
          <w:noProof/>
        </w:rPr>
      </w:pPr>
      <w:r>
        <w:rPr>
          <w:noProof/>
        </w:rPr>
        <w:t>Ως εκ τούτου, η ΕΕ είναι σε καλύτερη θέση από ό, τι τα μεμονωμένα κράτη μέλη για να αντιμετωπίσει τα προβλήματα που εντοπίστηκαν και να διασφαλίσει την αποτελεσματικότητα και την πληρότητα του συστήματος ανταλλαγής πληροφοριών και διοικητικής συνεργασίας. Πρώτον, θα διασφαλίσει τη συνεπή εφαρμογή των κανόνων σε ολόκληρη την ΕΕ. Δεύτερον, όλες οι ψηφιακές πλατφόρμες που καλύπτονται θα υπόκεινται στις ίδιες απαιτήσεις υποβολής στοιχείων. Τρίτον, η υποβολή στοιχείων θα συνοδεύεται από την ανταλλαγή πληροφοριών και, ως εκ τούτου, θα δώσει στις φορολογικές διοικήσεις τη δυνατότητα να λαμβάνουν ολοκληρωμένο σύνολο πληροφοριών σχετικά με το εισόδημα που αποκτάται μέσω ψηφιακής πλατφόρμας.</w:t>
      </w:r>
    </w:p>
    <w:p>
      <w:pPr>
        <w:pStyle w:val="ManualHeading2"/>
        <w:rPr>
          <w:rFonts w:eastAsia="Arial Unicode MS"/>
          <w:noProof/>
          <w:u w:color="000000"/>
          <w:bdr w:val="nil"/>
        </w:rPr>
      </w:pPr>
      <w:r>
        <w:rPr>
          <w:noProof/>
          <w:u w:color="000000"/>
          <w:bdr w:val="nil"/>
        </w:rPr>
        <w:t>•</w:t>
      </w:r>
      <w:r>
        <w:rPr>
          <w:noProof/>
        </w:rPr>
        <w:tab/>
      </w:r>
      <w:r>
        <w:rPr>
          <w:noProof/>
          <w:u w:color="000000"/>
          <w:bdr w:val="nil"/>
        </w:rPr>
        <w:t>Αναλογικότητα</w:t>
      </w:r>
    </w:p>
    <w:p>
      <w:pPr>
        <w:pBdr>
          <w:top w:val="nil"/>
          <w:left w:val="nil"/>
          <w:bottom w:val="nil"/>
          <w:right w:val="nil"/>
          <w:between w:val="nil"/>
          <w:bar w:val="nil"/>
        </w:pBdr>
        <w:spacing w:before="0" w:after="240"/>
        <w:rPr>
          <w:rFonts w:eastAsia="Arial Unicode MS"/>
          <w:noProof/>
        </w:rPr>
      </w:pPr>
      <w:r>
        <w:rPr>
          <w:noProof/>
        </w:rPr>
        <w:t xml:space="preserve">Η πρόταση συνίσταται στη βελτίωση των υφιστάμενων διατάξεων της οδηγίας και επεκτείνει το πεδίο των αυτόματων ανταλλαγών σε ορισμένες συγκεκριμένες πληροφορίες που υποβάλλονται από τους φορείς εκμετάλλευσης ψηφιακών πλατφορμών. Οι βελτιώσεις δεν υπερβαίνουν το μέτρο που είναι αναγκαίο για την επίτευξη του στόχου της ανταλλαγής πληροφοριών και γενικότερα, της διοικητικής συνεργασίας. Δεδομένου ότι οι στρεβλώσεις που έχουν διαπιστωθεί στη λειτουργία της εσωτερικής αγοράς εκτείνονται συνήθως πέραν των συνόρων ενός μόνο κράτους μέλους, οι κοινοί κανόνες της ΕΕ συνιστούν το ελάχιστο απαιτούμενο μέτρο για την αποτελεσματική αντιμετώπιση των προβλημάτων. </w:t>
      </w:r>
    </w:p>
    <w:p>
      <w:pPr>
        <w:pBdr>
          <w:top w:val="nil"/>
          <w:left w:val="nil"/>
          <w:bottom w:val="nil"/>
          <w:right w:val="nil"/>
          <w:between w:val="nil"/>
          <w:bar w:val="nil"/>
        </w:pBdr>
        <w:spacing w:before="0" w:after="240"/>
        <w:rPr>
          <w:rFonts w:eastAsia="Arial Unicode MS"/>
          <w:noProof/>
        </w:rPr>
      </w:pPr>
      <w:r>
        <w:rPr>
          <w:noProof/>
        </w:rPr>
        <w:t xml:space="preserve">Έτσι, οι προτεινόμενοι κανόνες συμβάλλουν στην πιο σαφή, συνεπή και αποτελεσματική εφαρμογή της οδηγίας, οδηγώντας σε καλύτερους τρόπους επίτευξης των στόχων της. Η </w:t>
      </w:r>
      <w:r>
        <w:rPr>
          <w:noProof/>
        </w:rPr>
        <w:lastRenderedPageBreak/>
        <w:t>προβλεπόμενη υποχρέωση των φορέων εκμετάλλευσης ψηφιακών πλατφορμών να δηλώνουν το εισόδημα που αποκτούν οι χρήστες τους, δηλαδή οι πωλητές, προσφέρει επίσης μια πρόσφορη λύση κατά της φοροδιαφυγής μέσω της χρήσης μηχανισμών για την ανταλλαγή πληροφοριών που έχουν ήδη δοκιμαστεί για την ΟΔΣ2 και την ΟΔΣ4. Στο πλαίσιο αυτό, θα μπορούσε να υποστηριχθεί ότι η προτεινόμενη πρωτοβουλία αποτελεί αναλογική απάντηση στις ασυνέπειες που διαπιστώθηκαν στην οδηγία και αποσκοπεί παράλληλα στην αντιμετώπιση του προβλήματος της φοροδιαφυγής.</w:t>
      </w:r>
    </w:p>
    <w:p>
      <w:pPr>
        <w:pStyle w:val="ManualHeading2"/>
        <w:rPr>
          <w:rFonts w:eastAsia="Arial Unicode MS"/>
          <w:noProof/>
          <w:u w:color="000000"/>
          <w:bdr w:val="nil"/>
        </w:rPr>
      </w:pPr>
      <w:r>
        <w:rPr>
          <w:noProof/>
          <w:u w:color="000000"/>
          <w:bdr w:val="nil"/>
        </w:rPr>
        <w:t>•</w:t>
      </w:r>
      <w:r>
        <w:rPr>
          <w:noProof/>
        </w:rPr>
        <w:tab/>
      </w:r>
      <w:r>
        <w:rPr>
          <w:noProof/>
          <w:u w:color="000000"/>
          <w:bdr w:val="nil"/>
        </w:rPr>
        <w:t>Επιλογή της νομικής πράξης</w:t>
      </w:r>
    </w:p>
    <w:p>
      <w:pPr>
        <w:pBdr>
          <w:top w:val="nil"/>
          <w:left w:val="nil"/>
          <w:bottom w:val="nil"/>
          <w:right w:val="nil"/>
          <w:between w:val="nil"/>
          <w:bar w:val="nil"/>
        </w:pBdr>
        <w:spacing w:before="0" w:after="240"/>
        <w:rPr>
          <w:rFonts w:eastAsia="Arial Unicode MS"/>
          <w:noProof/>
        </w:rPr>
      </w:pPr>
      <w:r>
        <w:rPr>
          <w:noProof/>
        </w:rPr>
        <w:t>Η νομική βάση της παρούσας πρότασης είναι διπλή: τα άρθρα 113 και 115 της ΣΛΕΕ που ορίζουν ρητά ότι η θέσπιση νομοθεσίας στον συγκεκριμένο τομέα είναι δυνατή μόνο με τον νομικό τύπο της οδηγίας. Δεν επιτρέπεται, επομένως, να χρησιμοποιηθεί κανένα άλλο είδος ενωσιακής νομικής πράξης για τη θέσπιση δεσμευτικών κανόνων στον τομέα της φορολογίας. Επιπλέον, η προτεινόμενη οδηγία είναι η έκτη τροποποίηση της ΟΔΣ, σε συνέχεια των οδηγιών 2014/107/ΕΕ, (ΕΕ) 2015/2376, (ΕΕ) 2016/881, (ΕΕ) 2016/2258 και (ΕΕ) 2016/822 του Συμβουλίου.</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rPr>
        <w:tab/>
      </w:r>
      <w:r>
        <w:rPr>
          <w:noProof/>
          <w:u w:color="000000"/>
          <w:bdr w:val="nil"/>
        </w:rPr>
        <w:t>Αξιολογήσεις υφιστάμενης νομοθεσίας</w:t>
      </w:r>
    </w:p>
    <w:p>
      <w:pPr>
        <w:pBdr>
          <w:top w:val="nil"/>
          <w:left w:val="nil"/>
          <w:bottom w:val="nil"/>
          <w:right w:val="nil"/>
          <w:between w:val="nil"/>
          <w:bar w:val="nil"/>
        </w:pBdr>
        <w:spacing w:before="0" w:after="240"/>
        <w:rPr>
          <w:rFonts w:eastAsia="Arial Unicode MS"/>
          <w:noProof/>
        </w:rPr>
      </w:pPr>
      <w:r>
        <w:rPr>
          <w:noProof/>
        </w:rPr>
        <w:t>Το 2019, η Επιτροπή αξιολόγησε</w:t>
      </w:r>
      <w:r>
        <w:rPr>
          <w:rStyle w:val="FootnoteReference"/>
          <w:noProof/>
        </w:rPr>
        <w:footnoteReference w:id="16"/>
      </w:r>
      <w:r>
        <w:rPr>
          <w:noProof/>
        </w:rPr>
        <w:t xml:space="preserve"> την αποτελεσματικότητα, την αποδοτικότητα, τη συνάφεια, τη συνοχή και την προστιθέμενη αξία για την ΕΕ των υφιστάμενων κανόνων σχετικά με τη διοικητική συνεργασία στον τομέα της άμεσης φορολογίας. Η αξιολόγηση κατέληξε στο συμπέρασμα ότι η συνεργασία αποφέρει σημαντικά οφέλη, ωστόσο υπάρχει ακόμη περιθώριο βελτίωσης. Έδειξε ότι εξακολουθούν να υφίστανται διαφορές στον τρόπο με τον οποίο τα κράτη μέλη αξιοποιούν τα διαθέσιμα εργαλεία διοικητικής συνεργασίας. Οι ανταλλασσόμενες πληροφορίες θα μπορούσαν να χρησιμοποιούνται πιο αποτελεσματικά και τα οφέλη της συνεργασίας θα μπορούσαν να αναλύονται με πιο ολοκληρωμένο τρόπο. Με βάση την αξιολόγηση, η παρούσα νομοθετική πρόταση παρουσιάζει ένα σύνολο συγκεκριμένων παρεμβάσεων για τη βελτίωση της λειτουργίας της διοικητικής συνεργασίας.</w:t>
      </w:r>
    </w:p>
    <w:p>
      <w:pPr>
        <w:pStyle w:val="ManualHeading2"/>
        <w:rPr>
          <w:rFonts w:eastAsia="Arial Unicode MS"/>
          <w:noProof/>
          <w:u w:color="000000"/>
          <w:bdr w:val="nil"/>
        </w:rPr>
      </w:pPr>
      <w:r>
        <w:rPr>
          <w:noProof/>
          <w:u w:color="000000"/>
          <w:bdr w:val="nil"/>
        </w:rPr>
        <w:t>•</w:t>
      </w:r>
      <w:r>
        <w:rPr>
          <w:noProof/>
        </w:rPr>
        <w:tab/>
      </w:r>
      <w:r>
        <w:rPr>
          <w:noProof/>
          <w:u w:color="000000"/>
          <w:bdr w:val="nil"/>
        </w:rPr>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Στις 10 Φεβρουαρίου 2020, η Επιτροπή ξεκίνησε δημόσια διαβούλευση για να συγκεντρώσει απόψεις σχετικά με την ανάληψη δράσης σε επίπεδο ΕΕ για την ενίσχυση του πλαισίου ανταλλαγής πληροφοριών στον τομέα της φορολογίας. Προτάθηκαν αρκετές πιθανές επιλογές, επί των οποίων οι  ενδιαφερόμενοι φορείς διατύπωσαν παρατηρήσεις σε συνολικά συνολικά 37 απαντήσεις. Επιπλέον, η Επιτροπή πραγματοποίησε στοχοθετημένες διαβουλεύσεις οργανώνοντας συνάντηση στις 27 Φεβρουαρίου 2020 με διάφορους εκπροσώπους των φορέων εκμετάλλευσης ψηφιακών πλατφορμών. Υπήρξε συναίνεση μεταξύ των εκπροσώπων των φορέων εκμετάλλευσης ψηφιακών πλατφορμών σχετικά με τα οφέλη της ύπαρξης τυποποιημένου νομικού πλαισίου της ΕΕ για τη συλλογή πληροφοριών από πλατφόρμες, σε σύγκριση με διάφορους εθνικούς κανόνες υποβολής στοιχείων. Επιπλέον, οι εκπρόσωποι των φορέων εκμετάλλευσης ψηφιακών πλατφορμών υποστήριξαν μια λύση παρόμοια με υπηρεσία μίας στάσης που περιλαμβάνεται στην οδηγία για τον ΦΠΑ που θα καθιστούσε δυνατή την υποβολή των πληροφοριών μόνο στη φορολογική διοίκηση κράτους μέλους στο οποίο εδρεύει η πλατφόρμα.</w:t>
      </w:r>
    </w:p>
    <w:p>
      <w:pPr>
        <w:pBdr>
          <w:top w:val="nil"/>
          <w:left w:val="nil"/>
          <w:bottom w:val="nil"/>
          <w:right w:val="nil"/>
          <w:between w:val="nil"/>
          <w:bar w:val="nil"/>
        </w:pBdr>
        <w:spacing w:before="0" w:after="240"/>
        <w:rPr>
          <w:rFonts w:eastAsia="Arial Unicode MS"/>
          <w:noProof/>
        </w:rPr>
      </w:pPr>
      <w:r>
        <w:rPr>
          <w:noProof/>
        </w:rPr>
        <w:lastRenderedPageBreak/>
        <w:t>Όσον αφορά τους κοινούς ελέγχους, τα αποτελέσματα της δημόσιας διαβούλευσης υπογράμμισαν την ανάγκη ενίσχυσης του ρόλου τους στο πλαίσιο της διοικητικής συνεργασίας σε επίπεδο ΕΕ.</w:t>
      </w:r>
    </w:p>
    <w:p>
      <w:pPr>
        <w:pStyle w:val="ManualHeading2"/>
        <w:rPr>
          <w:noProof/>
          <w:u w:color="000000"/>
          <w:bdr w:val="nil"/>
        </w:rPr>
      </w:pPr>
      <w:r>
        <w:rPr>
          <w:noProof/>
          <w:u w:color="000000"/>
          <w:bdr w:val="nil"/>
        </w:rPr>
        <w:t>•</w:t>
      </w:r>
      <w:r>
        <w:rPr>
          <w:noProof/>
        </w:rPr>
        <w:tab/>
      </w:r>
      <w:r>
        <w:rPr>
          <w:noProof/>
          <w:u w:color="000000"/>
          <w:bdr w:val="nil"/>
        </w:rPr>
        <w:t>Διαβουλεύσεις με τα κράτη μέλη</w:t>
      </w:r>
    </w:p>
    <w:p>
      <w:pPr>
        <w:spacing w:before="0" w:after="160" w:line="259" w:lineRule="auto"/>
        <w:rPr>
          <w:rFonts w:eastAsia="Arial Unicode MS"/>
          <w:noProof/>
          <w:u w:color="000000"/>
          <w:bdr w:val="nil"/>
        </w:rPr>
      </w:pPr>
      <w:r>
        <w:rPr>
          <w:noProof/>
        </w:rPr>
        <w:t xml:space="preserve">Η Ευρωπαϊκή Επιτροπή πραγματοποίησε στοχευμένες διαβουλεύσεις μέσω ερωτηματολογίου για τα κράτη μέλη. Επιπλέον, στις </w:t>
      </w:r>
      <w:r>
        <w:rPr>
          <w:noProof/>
          <w:u w:color="000000"/>
          <w:bdr w:val="nil"/>
        </w:rPr>
        <w:t>26 Φεβρουαρίου 2020, η ΓΔ TAXUD διοργάνωσε συνεδρίαση της ομάδας εργασίας IV και τα κράτη μέλη είχαν τη δυνατότητα να συζητήσουν πιθανή πρόταση τροποποίησης της ΟΔΣ. Η συνάντηση επικεντρώθηκε στην υποβολή στοιχείων και την ανταλλαγή πληροφοριών σχετικά με το εισόδημα που αποκτάται μέσω ψηφιακών πλατφορμών.</w:t>
      </w:r>
    </w:p>
    <w:p>
      <w:pPr>
        <w:spacing w:before="0" w:after="240" w:line="259" w:lineRule="auto"/>
        <w:rPr>
          <w:rFonts w:eastAsia="Calibri"/>
          <w:noProof/>
          <w:szCs w:val="24"/>
        </w:rPr>
      </w:pPr>
      <w:r>
        <w:rPr>
          <w:noProof/>
        </w:rPr>
        <w:t xml:space="preserve">Συνολικά, καταγράφηκε ευρεία υποστήριξη για μια πιθανή πρωτοβουλία της ΕΕ για την ανταλλαγή πληροφοριών σχετικά με το εισόδημα που αποκτούν οι πωλητές μέσω ψηφιακών πλατφορμών. Η πλειοψηφία των κρατών μελών τάχθηκε υπέρ ευρέος πεδίου εφαρμογής για το νέο νομικό πλαίσιο που εκτός από το εισόδημα από την ενοικίαση ακινήτων και την παροχή προσωπικών υπηρεσιών, θα περιλαμβάνει επίσης την πώληση αγαθών, τις ενοικιάσεις οποιουδήποτε μέσου μεταφοράς και υπηρεσίες συμμετοχικής χρηματοδότησης (crowdfunding). </w:t>
      </w:r>
    </w:p>
    <w:p>
      <w:pPr>
        <w:pStyle w:val="ManualHeading2"/>
        <w:rPr>
          <w:noProof/>
          <w:u w:color="000000"/>
          <w:bdr w:val="nil"/>
        </w:rPr>
      </w:pPr>
      <w:r>
        <w:rPr>
          <w:noProof/>
          <w:u w:color="000000"/>
          <w:bdr w:val="nil"/>
        </w:rPr>
        <w:t>•</w:t>
      </w:r>
      <w:r>
        <w:rPr>
          <w:noProof/>
        </w:rPr>
        <w:tab/>
      </w:r>
      <w:r>
        <w:rPr>
          <w:noProof/>
          <w:u w:color="000000"/>
          <w:bdr w:val="nil"/>
        </w:rPr>
        <w:t>Αποτέλεσμα των διαβουλεύσεων</w:t>
      </w:r>
    </w:p>
    <w:p>
      <w:pPr>
        <w:spacing w:before="0" w:line="259" w:lineRule="auto"/>
        <w:rPr>
          <w:rFonts w:eastAsia="Times New Roman"/>
          <w:b/>
          <w:bCs/>
          <w:noProof/>
          <w:szCs w:val="24"/>
        </w:rPr>
      </w:pPr>
      <w:r>
        <w:rPr>
          <w:noProof/>
        </w:rPr>
        <w:t>Τόσο οι δημόσιες όσο και οι στοχοθετημένες διαβουλεύσεις φαίνεται να συγκλίνουν όσον αφορά τις προκλήσεις που θα πρέπει να επιδιώκουν να αντιμετωπίσουν οι νέοι κανόνες που απευθύνονται στους φορείς εκμετάλλευσης ψηφιακών πλατφορμών: την ανεπαρκή υποβολή στοιχείων στην οικονομία της ψηφιακής πλατφόρμας και τις ελλείψεις· και την ανάγκη βελτίωσης του ισχύοντος πλαισίου διοικητικής συνεργασίας της ΕΕ, όπως στον τομέα των κοινών ελέγχων.</w:t>
      </w:r>
    </w:p>
    <w:p>
      <w:pPr>
        <w:pStyle w:val="ManualHeading2"/>
        <w:rPr>
          <w:rFonts w:eastAsia="Arial Unicode MS"/>
          <w:noProof/>
          <w:u w:color="000000"/>
          <w:bdr w:val="nil"/>
        </w:rPr>
      </w:pPr>
      <w:r>
        <w:rPr>
          <w:noProof/>
          <w:u w:color="000000"/>
          <w:bdr w:val="nil"/>
        </w:rPr>
        <w:t>•</w:t>
      </w:r>
      <w:r>
        <w:rPr>
          <w:noProof/>
        </w:rPr>
        <w:tab/>
      </w:r>
      <w:r>
        <w:rPr>
          <w:noProof/>
          <w:u w:color="000000"/>
          <w:bdr w:val="nil"/>
        </w:rPr>
        <w:t>Εκτίμηση επιπτώσεων</w:t>
      </w:r>
    </w:p>
    <w:p>
      <w:pPr>
        <w:spacing w:before="0" w:after="240"/>
        <w:rPr>
          <w:rFonts w:eastAsia="Times New Roman"/>
          <w:noProof/>
          <w:szCs w:val="20"/>
        </w:rPr>
      </w:pPr>
      <w:r>
        <w:rPr>
          <w:noProof/>
        </w:rPr>
        <w:t>Η Επιτροπή διεξήγαγε εκτίμηση των επιπτώσεων των συναφών εναλλακτικών επιλογών πολιτικής, που έλαβε τη θετική γνώμη της επιτροπής ρυθμιστικού ελέγχου στις 5 Μαΐου 2020 (SEC(2020) 271)</w:t>
      </w:r>
      <w:r>
        <w:rPr>
          <w:rStyle w:val="FootnoteReference"/>
          <w:noProof/>
        </w:rPr>
        <w:footnoteReference w:id="17"/>
      </w:r>
      <w:r>
        <w:rPr>
          <w:noProof/>
        </w:rPr>
        <w:t>. Η επιτροπή ρυθμιστικού ελέγχου διατύπωσε ορισμένες συστάσεις για βελτιώσεις, οι οποίες λήφθηκαν υπόψη στην τελική έκθεση εκτίμησης επιπτώσεων (SWD(2020) 131)</w:t>
      </w:r>
      <w:r>
        <w:rPr>
          <w:rStyle w:val="FootnoteReference"/>
          <w:noProof/>
        </w:rPr>
        <w:footnoteReference w:id="18"/>
      </w:r>
      <w:r>
        <w:rPr>
          <w:noProof/>
        </w:rPr>
        <w:t xml:space="preserve">. Διάφορες επιλογές πολιτικής αξιολογήθηκαν συγκριτικά προς το βασικό σενάριο με βάση τα κριτήρια της αποτελεσματικότητας, της αποδοτικότητας και της συνοχής. Στο υψηλότερο επίπεδο ανάλυσης, απαιτείται επιλογή μεταξύ του status quo ή του βασικού σεναρίου και ενός σεναρίου στο οποίο η Επιτροπή θα ενεργεί είτε με μη ρυθμιστικό είτε με ρυθμιστικό τρόπο. Η μη ρυθμιστική δράση συνίσταται στην έκδοση σύστασης. Η ρυθμιστική δράση συνίσταται σε νομοθετική πρωτοβουλία για την τροποποίηση ορισμένων ειδικών στοιχείων του υφιστάμενου πλαισίου διοικητικής συνεργασίας. </w:t>
      </w:r>
    </w:p>
    <w:p>
      <w:pPr>
        <w:spacing w:before="0" w:after="240"/>
        <w:rPr>
          <w:rFonts w:eastAsia="Times New Roman"/>
          <w:noProof/>
          <w:szCs w:val="20"/>
        </w:rPr>
      </w:pPr>
      <w:r>
        <w:rPr>
          <w:noProof/>
        </w:rPr>
        <w:t>Η νομοθετική τροποποίηση προσδιορίστηκε ως η προτιμώμενη επιλογή όσον αφορά την τροποποίηση των υφιστάμενων κανόνων, προκειμένου να διασφαλιστεί η συνέπεια και η αποτελεσματικότητα.</w:t>
      </w:r>
    </w:p>
    <w:p>
      <w:pPr>
        <w:spacing w:before="0" w:after="240"/>
        <w:rPr>
          <w:rFonts w:eastAsia="Times New Roman"/>
          <w:noProof/>
          <w:szCs w:val="20"/>
        </w:rPr>
      </w:pPr>
      <w:r>
        <w:rPr>
          <w:noProof/>
        </w:rPr>
        <w:t xml:space="preserve">Όσον αφορά τους φορείς εκμετάλλευσης ψηφιακών πλατφορμών, η εκτίμηση επιπτώσεων δείχνει ότι η ρυθμιστική δράση σε επίπεδο ΕΕ είναι η καταλληλότερη επιλογή για την </w:t>
      </w:r>
      <w:r>
        <w:rPr>
          <w:noProof/>
        </w:rPr>
        <w:lastRenderedPageBreak/>
        <w:t>υλοποίηση της προσδιορισθείσας πολιτικής. Το status quo ή το βασικό σενάριο αποδείχθηκε ότι είναι η λιγότερο αποτελεσματική, αποδοτική ή συνεκτική επιλογή. Σε αντίθεση με το βασικό σενάριο, ένα υποχρεωτικό κοινό πρότυπο της ΕΕ θα διασφαλίσει ότι όλες οι φορολογικές διοικήσεις της ΕΕ έχουν πρόσβαση στον ίδιο τύπο δεδομένων. Με άλλα λόγια, μια ρυθμιστική δράση της ΕΕ θα έδινε σε όλες τις φορολογικές αρχές πρόσβαση επί ίσοις όροις σε πληροφορίες που συλλέγονται για προσδιορισμένο φορολογικό σκοπό. Αυτό καθιστά επίσης δυνατή την αυτόματη ανταλλαγή πληροφοριών σε επίπεδο ΕΕ βάσει κοινών προτύπων και προδιαγραφών. Αφού εφαρμοστεί, είναι το μόνο σενάριο στο οποίο οι φορολογικές αρχές του κράτους μέλους όπου ο πωλητής έχει την κατοικία του μπορούν να επαληθεύσουν ότι ο πωλητής έχει δηλώσει με ακρίβεια το εισόδημα που απέκτησε μέσω ψηφιακών πλατφορμών, χωρίς να χρειάζονται ειδικά, χρονοβόρα αιτήματα και ερωτήσεις. Επιπλέον, ένα υποχρεωτικό κοινό πρότυπο υποβολής στοιχείων της ΕΕ θα διασφαλίσει ότι οι φορείς εκμετάλλευσης ψηφιακών πλατφορμών δεν θα έχουν να αντιμετωπίσουν κατακερματισμένες εθνικές λύσεις όσον αφορά τις υποχρεώσεις παροχής φορολογικών στοιχείων.</w:t>
      </w:r>
    </w:p>
    <w:p>
      <w:pPr>
        <w:tabs>
          <w:tab w:val="left" w:pos="2302"/>
        </w:tabs>
        <w:spacing w:before="0" w:after="240"/>
        <w:rPr>
          <w:rFonts w:eastAsia="Times New Roman"/>
          <w:bCs/>
          <w:i/>
          <w:noProof/>
          <w:szCs w:val="20"/>
        </w:rPr>
      </w:pPr>
      <w:r>
        <w:rPr>
          <w:bCs/>
          <w:i/>
          <w:noProof/>
          <w:szCs w:val="20"/>
        </w:rPr>
        <w:t>Οικονομικός αντίκτυπος</w:t>
      </w:r>
    </w:p>
    <w:p>
      <w:pPr>
        <w:tabs>
          <w:tab w:val="left" w:pos="2302"/>
        </w:tabs>
        <w:spacing w:before="0" w:after="240"/>
        <w:rPr>
          <w:rFonts w:eastAsia="Times New Roman"/>
          <w:bCs/>
          <w:i/>
          <w:noProof/>
          <w:szCs w:val="20"/>
        </w:rPr>
      </w:pPr>
      <w:r>
        <w:rPr>
          <w:bCs/>
          <w:i/>
          <w:noProof/>
          <w:szCs w:val="20"/>
        </w:rPr>
        <w:t>Οφέλη</w:t>
      </w:r>
    </w:p>
    <w:p>
      <w:pPr>
        <w:spacing w:before="0" w:after="160" w:line="259" w:lineRule="auto"/>
        <w:rPr>
          <w:rFonts w:eastAsia="Calibri"/>
          <w:noProof/>
          <w:szCs w:val="24"/>
        </w:rPr>
      </w:pPr>
      <w:r>
        <w:rPr>
          <w:noProof/>
        </w:rPr>
        <w:t>Η υποχρέωση δήλωσης του εισοδήματος που έχει αποκτηθεί μέσω ψηφιακών πλατφορμών και η ανταλλαγή αυτών των πληροφοριών θα βοηθήσει τα κράτη μέλη να λαμβάνουν πλήρες σύνολο πληροφοριών προκειμένου να εισπράττουν τα οφειλόμενα φορολογικά έσοδα. Οι κοινοί κανόνες υποβολής στοιχείων θα συμβάλουν επίσης στη δημιουργία ίσων όρων ανταγωνισμού μεταξύ των πωλητών που χρησιμοποιούν ψηφιακές πλατφόρμες και εκείνων που δεν τις χρησιμοποιούν, και μεταξύ φορέων εκμετάλλευσης ψηφιακών πλατφορμών που ενδέχεται επί του παρόντος να αντιμετωπίζουν πολύ διαφορετικές υποχρεώσεις υποβολής στοιχείων. Η διαφάνεια όσον αφορά το εισόδημα που κερδίζουν οι πωλητές με τη χρήση ψηφιακών πλατφορμών θα εξασφαλίσει ίσους όρους ανταγωνισμού με τις πιο παραδοσιακές επιχειρήσεις.</w:t>
      </w:r>
    </w:p>
    <w:p>
      <w:pPr>
        <w:spacing w:before="0" w:after="160" w:line="259" w:lineRule="auto"/>
        <w:rPr>
          <w:rFonts w:eastAsia="Calibri"/>
          <w:noProof/>
          <w:szCs w:val="24"/>
        </w:rPr>
      </w:pPr>
      <w:r>
        <w:rPr>
          <w:noProof/>
        </w:rPr>
        <w:t xml:space="preserve">Η ύπαρξη ενιαίου υποχρεωτικού μέσου της ΕΕ θα μπορούσε επίσης να έχει θετικό κοινωνικό αντίκτυπο και να συμβάλει στη διαμόρφωση θετικής εικόνας όσον αφορά τη φορολογική δικαιοσύνη και τη δίκαιη κατανομή των βαρών μεταξύ των φορολογουμένων. Θεωρείται ότι όσο ευρύτερο είναι το πεδίο εφαρμογής των κανόνων τόσο ισχυρότερη είναι η αντίληψη ότι υπάρχει φορολογική δικαιοσύνη, δεδομένου ότι υπάρχουν ζητήματα ανεπαρκούς υποβολής στοιχείων σε όλους τους τύπους δραστηριοτήτων. Το ίδιο σκεπτικό ισχύει και για τα οφέλη όσον αφορά τη δίκαιη κατανομή των βαρών: Όσο ευρύτερο είναι το πεδίο εφαρμογής της παρέμβασης, τόσο καλύτερα μπορούν τα κράτη μέλη να διασφαλίσουν την αποτελεσματική είσπραξη των οφειλόμενων φόρων. Τα φορολογικά οφέλη της δράσης της ΕΕ είναι πολύ μεγαλύτερα όταν η υποχρέωση υποβολής στοιχείων έχει ευρύ πεδίο εφαρμογής, δηλαδή ισχύει για όλες τις υπηρεσίες και την πώληση αγαθών. Ο περιορισμός του πεδίου εφαρμογής αποκλειστικά σε ψηφιακές πλατφόρμες με έδρα στην ΕΕ θα μπορούσε να μειώσει σημαντικά τα φορολογικά έσοδα κάθε δράσης. </w:t>
      </w:r>
    </w:p>
    <w:p>
      <w:pPr>
        <w:tabs>
          <w:tab w:val="left" w:pos="2302"/>
        </w:tabs>
        <w:spacing w:before="0" w:after="240"/>
        <w:rPr>
          <w:rFonts w:eastAsia="Times New Roman"/>
          <w:bCs/>
          <w:i/>
          <w:noProof/>
          <w:szCs w:val="20"/>
        </w:rPr>
      </w:pPr>
      <w:r>
        <w:rPr>
          <w:bCs/>
          <w:i/>
          <w:noProof/>
          <w:szCs w:val="20"/>
        </w:rPr>
        <w:t>Δαπάνες</w:t>
      </w:r>
    </w:p>
    <w:p>
      <w:pPr>
        <w:pBdr>
          <w:top w:val="nil"/>
          <w:left w:val="nil"/>
          <w:bottom w:val="nil"/>
          <w:right w:val="nil"/>
          <w:between w:val="nil"/>
          <w:bar w:val="nil"/>
        </w:pBdr>
        <w:spacing w:before="0" w:after="240"/>
        <w:rPr>
          <w:rFonts w:eastAsia="Arial Unicode MS"/>
          <w:noProof/>
        </w:rPr>
      </w:pPr>
      <w:r>
        <w:rPr>
          <w:noProof/>
        </w:rPr>
        <w:t xml:space="preserve">Ανεξάρτητα από το πεδίο εφαρμογής, το εφάπαξ κόστος που προκύπτει από την εφαρμογή της υποχρέωσης αυτόματης υποβολής στοιχείων στην ΕΕ υπολογίζεται ότι ανέρχεται σε εκατοντάδες εκατομμύρια ευρώ για το σύνολο των φορέων εκμετάλλευσης ψηφιακών </w:t>
      </w:r>
      <w:r>
        <w:rPr>
          <w:noProof/>
        </w:rPr>
        <w:lastRenderedPageBreak/>
        <w:t xml:space="preserve">πλατφορμών και των φορολογικών διοικήσεων, ενώ το επαναλαμβανόμενο κόστος σε δεκάδες εκατομμύρια ευρώ. Το εφάπαξ και το επαναλαμβανόμενο κόστος οφείλεται κυρίως στην ανάπτυξη και τη λειτουργία συστημάτων ΤΠ. Οι φορολογικές διοικήσεις θα επιβαρύνονται επίσης με τα έξοδα εκτέλεσης. Για λόγους αποδοτικότητας των δαπανών, τα κράτη μέλη ενθαρρύνονται να καταστήσουν δυνατή την ψηφιακή υποβολή στοιχείων και να διασφαλίζουν τη διαλειτουργικότητα των συστημάτων και, σε επίπεδο δεδομένων, μεταξύ των ψηφιακών πλατφορμών και των φορολογικών διοικήσεων, στο μέτρο του δυνατού. </w:t>
      </w:r>
    </w:p>
    <w:p>
      <w:pPr>
        <w:pStyle w:val="ManualHeading2"/>
        <w:rPr>
          <w:rFonts w:eastAsia="Arial Unicode MS"/>
          <w:noProof/>
          <w:u w:color="000000"/>
          <w:bdr w:val="nil"/>
        </w:rPr>
      </w:pPr>
      <w:r>
        <w:rPr>
          <w:noProof/>
          <w:u w:color="000000"/>
          <w:bdr w:val="nil"/>
        </w:rPr>
        <w:t>•</w:t>
      </w:r>
      <w:r>
        <w:rPr>
          <w:noProof/>
        </w:rPr>
        <w:tab/>
      </w:r>
      <w:r>
        <w:rPr>
          <w:noProof/>
          <w:u w:color="000000"/>
          <w:bdr w:val="nil"/>
        </w:rPr>
        <w:t>Καταλληλότητα και απλούστευση του κανονιστικού πλαισίου</w:t>
      </w:r>
    </w:p>
    <w:p>
      <w:pPr>
        <w:pBdr>
          <w:top w:val="nil"/>
          <w:left w:val="nil"/>
          <w:bottom w:val="nil"/>
          <w:right w:val="nil"/>
          <w:between w:val="nil"/>
          <w:bar w:val="nil"/>
        </w:pBdr>
        <w:spacing w:before="0" w:after="240"/>
        <w:rPr>
          <w:rFonts w:eastAsia="Arial Unicode MS"/>
          <w:noProof/>
        </w:rPr>
      </w:pPr>
      <w:r>
        <w:rPr>
          <w:noProof/>
        </w:rPr>
        <w:t>Η πρόταση αποσκοπεί στη μείωση της κανονιστικής επιβάρυνσης για τους φορείς εκμετάλλευσης ψηφιακών πλατφορμών, τους φορολογουμένους και τις φορολογικές διοικήσεις. Η προτιμώμενη πολιτική απόκριση αποτελεί αναλογική απάντηση στο πρόβλημα που έχει διαπιστωθεί, καθώς δεν υπερβαίνει τα αναγκαία για την επίτευξη του στόχου των Συνθηκών περί εύρυθμα λειτουργούσας εσωτερικής αγοράς χωρίς στρεβλώσεις. Πράγματι, οι κοινοί κανόνες θα περιοριστούν στη δημιουργία του ελάχιστου αναγκαίου κοινού πλαισίου για τη δήλωση του εισοδήματος που αποκτάται μέσω ψηφιακής πλατφόρμας. Για παράδειγμα: i) οι κανόνες διασφαλίζουν ότι δεν γίνεται διπλή υποβολή στοιχείων (δηλ. υπάρχει ένα ενιαίο σημείο καταχώρισης και υποβολής στοιχείων)· ii) η αυτόματη ανταλλαγή περιορίζεται στα σχετικά κράτη μέλη· και iii) η επιβολή κυρώσεων σε περίπτωση μη συμμόρφωσης θα παραμείνει υπό τον κυρίαρχο έλεγχο των κρατών μελών. Επιπλέον, η εναρμόνιση δεν υπερβαίνει τη διασφάλιση της ενημέρωσης των αρμόδιων αρχών όσον αφορά το αποκτηθέν εισόδημα. Στη συνέχεια, εναπόκειται στα κράτη μέλη να αποφασίσουν σχετικά με τον οφειλόμενο φόρο.</w:t>
      </w:r>
    </w:p>
    <w:p>
      <w:pPr>
        <w:pStyle w:val="ManualHeading2"/>
        <w:rPr>
          <w:rFonts w:eastAsia="Arial Unicode MS"/>
          <w:noProof/>
          <w:u w:color="000000"/>
          <w:bdr w:val="nil"/>
        </w:rPr>
      </w:pPr>
      <w:r>
        <w:rPr>
          <w:noProof/>
          <w:u w:color="000000"/>
          <w:bdr w:val="nil"/>
        </w:rPr>
        <w:t>•</w:t>
      </w:r>
      <w:r>
        <w:rPr>
          <w:noProof/>
        </w:rPr>
        <w:tab/>
      </w:r>
      <w:r>
        <w:rPr>
          <w:noProof/>
          <w:u w:color="000000"/>
          <w:bdr w:val="nil"/>
        </w:rPr>
        <w:t>Θεμελιώδη δικαιώματα</w:t>
      </w:r>
    </w:p>
    <w:p>
      <w:pPr>
        <w:pBdr>
          <w:top w:val="nil"/>
          <w:left w:val="nil"/>
          <w:bottom w:val="nil"/>
          <w:right w:val="nil"/>
          <w:between w:val="nil"/>
          <w:bar w:val="nil"/>
        </w:pBdr>
        <w:spacing w:before="0" w:after="240"/>
        <w:rPr>
          <w:rFonts w:eastAsia="Arial Unicode MS"/>
          <w:noProof/>
        </w:rPr>
      </w:pPr>
      <w:r>
        <w:rPr>
          <w:noProof/>
        </w:rPr>
        <w:t>Η παρούσα οδηγία σέβεται τα θεμελιώδη δικαιώματα και τηρεί τις αρχές που κατοχυρώνει, ιδίως, ο Χάρτης Θεμελιωδών Δικαιωμάτων της Ευρωπαϊκής Ένωσης. Συγκεκριμένα, το σύνολο των στοιχείων δεδομένων που διαβιβάζονται στις φορολογικές διοικήσεις καθορίζεται έτσι ώστε να περιλαμβάνει μόνο τα ελάχιστα δεδομένα που είναι απαραίτητα για την ανίχνευση περιπτώσεων μη συμμορφούμενης υποβολής στοιχείων ή μη υποβολής στοιχείων, σύμφωνα με τις υποχρεώσεις που απορρέουν από τον ΓΚΠΔ.</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pPr>
      <w:r>
        <w:rPr>
          <w:noProof/>
          <w:sz w:val="22"/>
        </w:rPr>
        <w:t>Βλ. νομοθετικό δημοσιονομικό δελτίο.</w:t>
      </w:r>
    </w:p>
    <w:p>
      <w:pPr>
        <w:pStyle w:val="ManualHeading1"/>
        <w:rPr>
          <w:noProof/>
        </w:rPr>
      </w:pPr>
      <w:r>
        <w:rPr>
          <w:noProof/>
        </w:rPr>
        <w:t>5.</w:t>
      </w:r>
      <w:r>
        <w:rPr>
          <w:noProof/>
        </w:rPr>
        <w:tab/>
        <w:t>ΑΝΑΛΥΤΙΚΗ ΕΠΕΞΗΓΗΣΗ ΤΩΝ ΕΠΙΜΕΡΟΥΣ ΔΙΑΤΑΞΕΩΝ ΤΗΣ ΠΡΟΤΑΣΗΣ</w:t>
      </w:r>
    </w:p>
    <w:p>
      <w:pPr>
        <w:rPr>
          <w:noProof/>
        </w:rPr>
      </w:pPr>
      <w:r>
        <w:rPr>
          <w:noProof/>
        </w:rPr>
        <w:t>Με την τροποποίηση προτείνονται αλλαγές στις υφιστάμενες διατάξεις σχετικά με την ανταλλαγή πληροφοριών και τη διοικητική συνεργασία, και επεκτείνεται το πεδίο εφαρμογής στην αυτόματη ανταλλαγή πληροφοριών σχετικά με τις πληροφορίες που υποβάλλουν οι φορείς εκμετάλλευσης ψηφιακών πλατφορμών. Οι κανόνες για την υποβολή στοιχείων για τους φορείς εκμετάλλευσης ψηφιακών πλατφορμών βασίζονται στο έργο που επιτελείται στον ΟΟΣΑ.</w:t>
      </w:r>
    </w:p>
    <w:p>
      <w:pPr>
        <w:rPr>
          <w:b/>
          <w:noProof/>
        </w:rPr>
      </w:pPr>
      <w:r>
        <w:rPr>
          <w:b/>
          <w:noProof/>
        </w:rPr>
        <w:t>i) Ανταλλαγή πληροφοριών κατόπιν αιτήματος</w:t>
      </w:r>
    </w:p>
    <w:p>
      <w:pPr>
        <w:pStyle w:val="ManualHeading2"/>
        <w:rPr>
          <w:rFonts w:eastAsia="Arial Unicode MS"/>
          <w:noProof/>
          <w:u w:color="000000"/>
          <w:bdr w:val="nil"/>
        </w:rPr>
      </w:pPr>
      <w:r>
        <w:rPr>
          <w:noProof/>
          <w:u w:color="000000"/>
          <w:bdr w:val="nil"/>
        </w:rPr>
        <w:t>•</w:t>
      </w:r>
      <w:r>
        <w:rPr>
          <w:noProof/>
        </w:rPr>
        <w:tab/>
      </w:r>
      <w:r>
        <w:rPr>
          <w:noProof/>
          <w:u w:color="000000"/>
          <w:bdr w:val="nil"/>
        </w:rPr>
        <w:t>Προβλέψιμη συνάφεια</w:t>
      </w:r>
    </w:p>
    <w:p>
      <w:pPr>
        <w:pBdr>
          <w:top w:val="nil"/>
          <w:left w:val="nil"/>
          <w:bottom w:val="nil"/>
          <w:right w:val="nil"/>
          <w:between w:val="nil"/>
          <w:bar w:val="nil"/>
        </w:pBdr>
        <w:spacing w:before="0" w:after="240"/>
        <w:rPr>
          <w:rFonts w:eastAsia="Arial Unicode MS"/>
          <w:noProof/>
        </w:rPr>
      </w:pPr>
      <w:r>
        <w:rPr>
          <w:noProof/>
        </w:rPr>
        <w:t xml:space="preserve">Το άρθρο 5α προβλέπει ορισμό του προτύπου της προβλέψιμης συνάφειας που ισχύει σε περίπτωση αιτήματος παροχής πληροφοριών. Ο ορισμός καθορίζει τα στοιχεία των τυπικών </w:t>
      </w:r>
      <w:r>
        <w:rPr>
          <w:noProof/>
        </w:rPr>
        <w:lastRenderedPageBreak/>
        <w:t xml:space="preserve">και των διαδικαστικών απαιτήσεων που πρέπει να τηρεί η αιτούσα αρχή. Το αίτημα παροχής πληροφοριών μπορεί να αφορά έναν ή περισσότερους φορολογουμένους, εφόσον αυτοί προσδιορίζονται ατομικά. </w:t>
      </w:r>
    </w:p>
    <w:p>
      <w:pPr>
        <w:pBdr>
          <w:top w:val="nil"/>
          <w:left w:val="nil"/>
          <w:bottom w:val="nil"/>
          <w:right w:val="nil"/>
          <w:between w:val="nil"/>
          <w:bar w:val="nil"/>
        </w:pBdr>
        <w:spacing w:before="0" w:after="240"/>
        <w:rPr>
          <w:rFonts w:eastAsia="Arial Unicode MS"/>
          <w:noProof/>
        </w:rPr>
      </w:pPr>
      <w:r>
        <w:rPr>
          <w:noProof/>
        </w:rPr>
        <w:t xml:space="preserve">Όπως ορίζεται στο άρθρο 8α παράγραφος 10, το πρότυπο της προβλέψιμης συνάφειας δεν θα πρέπει να εφαρμόζεται όταν η αίτηση παροχής πληροφοριών αποστέλλεται σε συνέχεια της ανταλλαγής διασυνοριακής απόφασης ή εκ των προτέρων συμφωνίας ενδοομιλικής τιμολόγησης σύμφωνα με την οδηγία (ΕΕ) 2015/2376 του Συμβουλίου της 8ης Δεκεμβρίου 2015. </w:t>
      </w:r>
    </w:p>
    <w:p>
      <w:pPr>
        <w:pBdr>
          <w:top w:val="nil"/>
          <w:left w:val="nil"/>
          <w:bottom w:val="nil"/>
          <w:right w:val="nil"/>
          <w:between w:val="nil"/>
          <w:bar w:val="nil"/>
        </w:pBdr>
        <w:spacing w:before="0" w:after="240"/>
        <w:rPr>
          <w:rFonts w:eastAsia="Arial Unicode MS"/>
          <w:noProof/>
        </w:rPr>
      </w:pPr>
      <w:r>
        <w:rPr>
          <w:noProof/>
        </w:rPr>
        <w:t>Το άρθρο 17 παράγραφος 1 τροποποιείται προκειμένου να αποσαφηνιστεί η έννοια της εξάντλησης των συνήθων πηγών πληροφόρησης. Πριν ζητήσει πληροφορίες, η αιτούσα αρχή είναι υποχρεωμένη να εξαντλήσει τις συνήθεις πηγές πληροφόρησης τις οποίες θα μπορούσε να χρησιμοποιήσει για τη συγκέντρωση των ζητούμενων πληροφοριών, καθώς και όλα τα διαθέσιμα μέσα. Ωστόσο, εάν με αυτόν τον τρόπο η αιτούσα αρχή αντιμετωπίζει δυσανάλογες δυσκολίες και υπάρχει κίνδυνος διακύβευσης της επίτευξης του στόχου της, η υποχρέωση δεν ισχύει. Σε περίπτωση που η αιτούσα αρχή δεν τήρησε αυτήν την υποχρέωση, η λαμβάνουσα αρχή μπορεί να αρνηθεί να παράσχει τις πληροφορίες.</w:t>
      </w:r>
    </w:p>
    <w:p>
      <w:pPr>
        <w:pBdr>
          <w:top w:val="nil"/>
          <w:left w:val="nil"/>
          <w:bottom w:val="nil"/>
          <w:right w:val="nil"/>
          <w:between w:val="nil"/>
          <w:bar w:val="nil"/>
        </w:pBdr>
        <w:spacing w:before="0" w:after="240"/>
        <w:rPr>
          <w:rFonts w:eastAsia="Arial Unicode MS"/>
          <w:noProof/>
        </w:rPr>
      </w:pPr>
      <w:r>
        <w:rPr>
          <w:noProof/>
        </w:rPr>
        <w:t>Η τροποποίηση του άρθρου 20 παράγραφος 2 θα διασφαλίσει ότι τα έντυπα για την ανταλλαγή πληροφοριών κατόπιν αιτήματος θα προσαρμοστούν αναλόγως.</w:t>
      </w:r>
    </w:p>
    <w:p>
      <w:pPr>
        <w:pStyle w:val="ManualHeading2"/>
        <w:rPr>
          <w:rFonts w:eastAsia="Arial Unicode MS"/>
          <w:noProof/>
          <w:u w:color="000000"/>
          <w:bdr w:val="nil"/>
        </w:rPr>
      </w:pPr>
      <w:r>
        <w:rPr>
          <w:noProof/>
          <w:u w:color="000000"/>
          <w:bdr w:val="nil"/>
        </w:rPr>
        <w:t>•</w:t>
      </w:r>
      <w:r>
        <w:rPr>
          <w:noProof/>
        </w:rPr>
        <w:tab/>
      </w:r>
      <w:r>
        <w:rPr>
          <w:noProof/>
          <w:u w:color="000000"/>
          <w:bdr w:val="nil"/>
        </w:rPr>
        <w:t>Ομαδοποίηση των αιτημάτων</w:t>
      </w:r>
    </w:p>
    <w:p>
      <w:pPr>
        <w:rPr>
          <w:noProof/>
        </w:rPr>
      </w:pPr>
      <w:r>
        <w:rPr>
          <w:noProof/>
        </w:rPr>
        <w:t>Το άρθρο 5β εξετάζει ομαδοποιημένα αιτήματα στο πλαίσιο αιτήματος παροχής πληροφοριών. Τα ομαδοποιημένα αιτήματα αφορούν ομάδα φορολογουμένων που δεν μπορούν να προσδιοριστούν μεμονωμένα, μπορούν ωστόσο να περιγραφούν βάσει ενός κοινού συνόλου χαρακτηριστικών. Λόγω της φύσης του αιτήματος, οι απαιτούμενες πληροφορίες ποικίλλουν εάν το αίτημα σχετίζεται με μεμονωμένο φορολογούμενο. Επομένως, το πρότυπο της προβλέψιμης συνάφειας όπως ορίζεται στο άρθρο 5α δεν έχει εφαρμογή. Αντίθετα, η αιτούσα αρχή πρέπει να παράσχει στη λαμβάνουσα αρχή ένα σύνολο πληροφοριών που περιλαμβάνει i) ολοκληρωμένη περιγραφή των χαρακτηριστικών της ομάδας και ii) επεξήγηση του εφαρμοστέου δικαίου και των γεγονότων και περιστάσεων που οδήγησαν στο αίτημα.</w:t>
      </w:r>
    </w:p>
    <w:p>
      <w:pPr>
        <w:rPr>
          <w:b/>
          <w:noProof/>
        </w:rPr>
      </w:pPr>
      <w:r>
        <w:rPr>
          <w:b/>
          <w:noProof/>
        </w:rPr>
        <w:t>ii) Αυτόματη ανταλλαγή πληροφοριών</w:t>
      </w:r>
    </w:p>
    <w:p>
      <w:pPr>
        <w:pStyle w:val="ManualHeading2"/>
        <w:rPr>
          <w:rFonts w:eastAsia="Arial Unicode MS"/>
          <w:noProof/>
          <w:u w:color="000000"/>
          <w:bdr w:val="nil"/>
        </w:rPr>
      </w:pPr>
      <w:r>
        <w:rPr>
          <w:noProof/>
          <w:u w:color="000000"/>
          <w:bdr w:val="nil"/>
        </w:rPr>
        <w:t>•</w:t>
      </w:r>
      <w:r>
        <w:rPr>
          <w:noProof/>
        </w:rPr>
        <w:tab/>
      </w:r>
      <w:r>
        <w:rPr>
          <w:noProof/>
          <w:u w:color="000000"/>
          <w:bdr w:val="nil"/>
        </w:rPr>
        <w:t>Κατηγορίες εισοδήματος</w:t>
      </w:r>
    </w:p>
    <w:p>
      <w:pPr>
        <w:rPr>
          <w:noProof/>
        </w:rPr>
      </w:pPr>
      <w:r>
        <w:rPr>
          <w:noProof/>
        </w:rPr>
        <w:t>Το άρθρο 8 παράγραφος 1 καθορίζει τις κατηγορίες εισοδήματος που υπόκεινται σε υποχρεωτική αυτόματη ανταλλαγή πληροφοριών μεταξύ των κρατών μελών. Στις κατηγορίες εισοδήματος που υπόκεινται στην ανταλλαγή πληροφοριών προστίθενται και τα δικαιώματα εκμετάλλευσης. Η τροποποίηση θα υποχρεώνει τα κράτη μέλη να ανταλλάσσουν όλες τις διαθέσιμες πληροφορίες με άλλα κράτη μέλη, για δύο τουλάχιστον κατηγορίες εισοδήματος για φορολογικές περιόδους έως το 2024 και για τέσσερις τουλάχιστον κατηγορίες εισοδήματος όσον αφορά φορολογικές περιόδους από το 2024, σύμφωνα με το άρθρο 8 παράγραφος 3.</w:t>
      </w:r>
    </w:p>
    <w:p>
      <w:pPr>
        <w:pStyle w:val="ManualHeading2"/>
        <w:spacing w:after="0"/>
        <w:rPr>
          <w:rFonts w:eastAsia="Arial Unicode MS"/>
          <w:noProof/>
          <w:u w:color="000000"/>
          <w:bdr w:val="nil"/>
        </w:rPr>
      </w:pPr>
      <w:r>
        <w:rPr>
          <w:noProof/>
          <w:u w:color="000000"/>
          <w:bdr w:val="nil"/>
        </w:rPr>
        <w:t>•</w:t>
      </w:r>
      <w:r>
        <w:rPr>
          <w:noProof/>
        </w:rPr>
        <w:tab/>
      </w:r>
      <w:r>
        <w:rPr>
          <w:noProof/>
          <w:u w:color="000000"/>
          <w:bdr w:val="nil"/>
        </w:rPr>
        <w:t>Οι κανόνες υποβολής στοιχείων για τους φορείς εκμετάλλευσης πλατφορμών θα υπόκεινται σε υποχρεωτική αυτόματη ανταλλαγή πληροφοριών</w:t>
      </w:r>
    </w:p>
    <w:p>
      <w:pPr>
        <w:spacing w:before="100" w:beforeAutospacing="1" w:after="100" w:afterAutospacing="1"/>
        <w:rPr>
          <w:rFonts w:eastAsia="Calibri"/>
          <w:noProof/>
        </w:rPr>
      </w:pPr>
      <w:r>
        <w:rPr>
          <w:noProof/>
        </w:rPr>
        <w:t xml:space="preserve">Το άρθρο 8αγ ορίζει το πεδίο και τους όρους για την υποχρεωτική αυτόματη ανταλλαγή πληροφοριών που θα υποβάλλονται από τους φορείς εκμετάλλευσης πλατφορμών στην αρμόδια αρχή. Λεπτομερείς κανόνες καθορίζονται στο παράρτημα V. Ως πρώτο βήμα, οι </w:t>
      </w:r>
      <w:r>
        <w:rPr>
          <w:noProof/>
        </w:rPr>
        <w:lastRenderedPageBreak/>
        <w:t xml:space="preserve">κανόνες προβλέπουν την υποχρέωση των δηλούντων φορέων εκμετάλλευσης πλατφορμών να συλλέγουν και να επαληθεύουν τις πληροφορίες σύμφωνα με τις διαδικασίες δέουσας επιμέλειας. Δεύτερον, οι δηλούντες φορείς εκμετάλλευσης πλατφορμών θα πρέπει να υποβάλλουν πληροφορίες σχετικά με τους δηλωτέους πωλητές, οι οποίοι χρησιμοποιούν την πλατφόρμα τους και στην οποία δραστηριοποιούνται για την πώληση των προϊόντων τους, την παροχή των υπηρεσιών τους ή για επενδύσεις και δανεισμό στο πλαίσιο συμμετοχικής χρηματοδότησης. Το τρίτο βήμα αφορά την κοινοποίηση των υποβληθεισών πληροφοριών στην αρμόδια αρχή του κράτους μέλους του οποίου ο δηλωτέος πωλητής είναι κάτοικος ή στην αρμόδια αρχή του κράτους μέλους στο οποίο βρίσκεται η ακίνητη περιουσία. </w:t>
      </w:r>
    </w:p>
    <w:p>
      <w:pPr>
        <w:spacing w:before="0"/>
        <w:rPr>
          <w:rFonts w:eastAsia="Calibri"/>
          <w:noProof/>
        </w:rPr>
      </w:pPr>
      <w:r>
        <w:rPr>
          <w:i/>
          <w:noProof/>
        </w:rPr>
        <w:t>Πεδίο εφαρμογής</w:t>
      </w:r>
      <w:r>
        <w:rPr>
          <w:noProof/>
        </w:rPr>
        <w:t xml:space="preserve"> </w:t>
      </w:r>
    </w:p>
    <w:p>
      <w:pPr>
        <w:spacing w:before="0" w:afterLines="50"/>
        <w:rPr>
          <w:rFonts w:eastAsia="Calibri"/>
          <w:i/>
          <w:noProof/>
        </w:rPr>
      </w:pPr>
      <w:r>
        <w:rPr>
          <w:noProof/>
        </w:rPr>
        <w:t>Το παράρτημα V τμήμα I προβλέπει ορισμούς που καθορίζουν το πεδίο εφαρμογής των κανόνων υποβολής στοιχείων.</w:t>
      </w:r>
    </w:p>
    <w:p>
      <w:pPr>
        <w:pStyle w:val="ListDash1"/>
        <w:rPr>
          <w:rFonts w:eastAsia="Calibri"/>
          <w:noProof/>
        </w:rPr>
      </w:pPr>
      <w:r>
        <w:rPr>
          <w:noProof/>
        </w:rPr>
        <w:t>Ποιος φέρει το βάρος της υποβολής στοιχείων</w:t>
      </w:r>
    </w:p>
    <w:p>
      <w:pPr>
        <w:pBdr>
          <w:top w:val="nil"/>
          <w:left w:val="nil"/>
          <w:bottom w:val="nil"/>
          <w:right w:val="nil"/>
          <w:between w:val="nil"/>
          <w:bar w:val="nil"/>
        </w:pBdr>
        <w:spacing w:before="0" w:after="240"/>
        <w:rPr>
          <w:rFonts w:eastAsia="Calibri"/>
          <w:noProof/>
        </w:rPr>
      </w:pPr>
      <w:r>
        <w:rPr>
          <w:noProof/>
        </w:rPr>
        <w:t xml:space="preserve">Οι κανόνες περιλαμβάνουν ορισμούς για το τι νοείται ως Πλατφόρμα, Φορέας Εκμετάλλευσης Πλατφόρμας και Δηλών Φορέας Εκμετάλλευσης Πλατφόρμας. </w:t>
      </w:r>
    </w:p>
    <w:p>
      <w:pPr>
        <w:pBdr>
          <w:top w:val="nil"/>
          <w:left w:val="nil"/>
          <w:bottom w:val="nil"/>
          <w:right w:val="nil"/>
          <w:between w:val="nil"/>
          <w:bar w:val="nil"/>
        </w:pBdr>
        <w:spacing w:before="0" w:after="240"/>
        <w:rPr>
          <w:rFonts w:eastAsia="Calibri"/>
          <w:noProof/>
        </w:rPr>
      </w:pPr>
      <w:r>
        <w:rPr>
          <w:noProof/>
        </w:rPr>
        <w:t>Η έννοια της Πλατφόρμας δεν περιλαμβάνει λογισμικό που καθιστά δυνατή αποκλειστικά i) τη διεκπεραίωση πληρωμών, ii) την καταχώριση ή διαφήμιση σχετικής δραστηριότητας από χρήστες ή iii) την ανακατεύθυνση ή μεταφορά χρηστών σε πλατφόρμα.</w:t>
      </w:r>
    </w:p>
    <w:p>
      <w:pPr>
        <w:pBdr>
          <w:top w:val="nil"/>
          <w:left w:val="nil"/>
          <w:bottom w:val="nil"/>
          <w:right w:val="nil"/>
          <w:between w:val="nil"/>
          <w:bar w:val="nil"/>
        </w:pBdr>
        <w:spacing w:before="0" w:after="240"/>
        <w:rPr>
          <w:rFonts w:eastAsia="Calibri"/>
          <w:noProof/>
        </w:rPr>
      </w:pPr>
      <w:r>
        <w:rPr>
          <w:noProof/>
        </w:rPr>
        <w:t xml:space="preserve">Δηλών Φορέας Εκμετάλλευσης Πλατφόρμας είναι κάθε φορέας εκμετάλλευσης πλατφόρμας που έχει φορολογική έδρα σε κράτος μέλος ή έχει συσταθεί σύμφωνα με τη νομοθεσία κράτους μέλους ή έχει έδρα ή μόνιμη εγκατάσταση σε κράτος μέλος (κοινώς αναφερόμενες ως «πλατφόρμες της ΕΕ»). </w:t>
      </w:r>
    </w:p>
    <w:p>
      <w:pPr>
        <w:pBdr>
          <w:top w:val="nil"/>
          <w:left w:val="nil"/>
          <w:bottom w:val="nil"/>
          <w:right w:val="nil"/>
          <w:between w:val="nil"/>
          <w:bar w:val="nil"/>
        </w:pBdr>
        <w:spacing w:before="0" w:after="240"/>
        <w:rPr>
          <w:rFonts w:eastAsia="Calibri"/>
          <w:b/>
          <w:noProof/>
        </w:rPr>
      </w:pPr>
      <w:r>
        <w:rPr>
          <w:noProof/>
        </w:rPr>
        <w:t>Επιπλέον, το πεδίο εφαρμογής των κανόνων περιλαμβάνει επίσης φορείς εκμετάλλευσης πλατφορμών που δεν πληρούν καμία από αυτές τις προϋποθέσεις, αλλά διευκολύνουν τη διεξαγωγή σχετικής δραστηριότητας από δηλωτέους πωλητές που είναι κάτοικοι κράτους μέλους για τους σκοπούς της παρούσας οδηγίας ή σε σχέση με τη μίσθωση ακίνητης περιουσίας που βρίσκεται σε κράτος μέλος (κοινώς αναφερόμενες ως «ξένες πλατφόρμες»). Για να είναι ενεργές εντός της Ένωσης, οι εν λόγω πλατφόρμες πρέπει να καταχωριστούν σε κράτος μέλος (δηλαδή μία ενιαία καταχώριση) σύμφωνα με το άρθρο 8αγ παράγραφος 4. Στο παράρτημα V τμήμα IV ενότητα ΣΤ καθορίζονται οι λεπτομέρειες της καταχώρισης. Προκειμένου να εξασφαλιστούν ομοιόμορφες προϋποθέσεις για την εφαρμογή των προτεινόμενων κανόνων και συγκεκριμένα για την καταχώριση και την ταυτοποίηση των Δηλούντων Φορέων Εκμετάλλευσης Πλατφορμών, το άρθρο 8αγ παράγραφος 4 εδάφιο 3 παρέχει στην Επιτροπή εκτελεστικές αρμοδιότητες για την έγκριση τυποποιημένου εντύπου. Οι εν λόγω αρμοδιότητες ασκούνται σύμφωνα με τον κανονισμό (ΕΕ) αριθ. 182/2011 του Ευρωπαϊκού Κοινοβουλίου και του Συμβουλίου.</w:t>
      </w:r>
      <w:r>
        <w:rPr>
          <w:b/>
          <w:noProof/>
        </w:rPr>
        <w:t xml:space="preserve"> </w:t>
      </w:r>
    </w:p>
    <w:p>
      <w:pPr>
        <w:pBdr>
          <w:top w:val="nil"/>
          <w:left w:val="nil"/>
          <w:bottom w:val="nil"/>
          <w:right w:val="nil"/>
          <w:between w:val="nil"/>
          <w:bar w:val="nil"/>
        </w:pBdr>
        <w:spacing w:before="0" w:after="240"/>
        <w:rPr>
          <w:rFonts w:eastAsia="Calibri"/>
          <w:noProof/>
        </w:rPr>
      </w:pPr>
      <w:r>
        <w:rPr>
          <w:noProof/>
        </w:rPr>
        <w:t xml:space="preserve">Οι φορείς εκμετάλλευσης πλατφορμών που διαθέτουν ήδη αριθμό μητρώου ΦΠΑ εντός της Ένωσης δεν καταχωρίζονται σε κανένα άλλο κράτος μέλος πέρα από εκείνο που τους έχει χορηγήσει αριθμό μητρώου ΦΠΑ. </w:t>
      </w:r>
    </w:p>
    <w:p>
      <w:pPr>
        <w:pStyle w:val="ListDash1"/>
        <w:rPr>
          <w:rFonts w:eastAsia="Calibri"/>
          <w:noProof/>
        </w:rPr>
      </w:pPr>
      <w:r>
        <w:rPr>
          <w:noProof/>
        </w:rPr>
        <w:t>Ποιες δραστηριότητες είναι δηλωτέες</w:t>
      </w:r>
    </w:p>
    <w:p>
      <w:pPr>
        <w:pBdr>
          <w:top w:val="nil"/>
          <w:left w:val="nil"/>
          <w:bottom w:val="nil"/>
          <w:right w:val="nil"/>
          <w:between w:val="nil"/>
          <w:bar w:val="nil"/>
        </w:pBdr>
        <w:spacing w:before="0" w:after="240"/>
        <w:rPr>
          <w:rFonts w:eastAsia="Calibri"/>
          <w:noProof/>
        </w:rPr>
      </w:pPr>
      <w:r>
        <w:rPr>
          <w:noProof/>
        </w:rPr>
        <w:t xml:space="preserve">Η σχετική δραστηριότητα περιλαμβάνει τη μίσθωση ακινήτων, την παροχή προσωπικών υπηρεσιών, την πώληση αγαθών, τη μίσθωση οποιουδήποτε μέσου μεταφοράς, καθώς και τις επενδύσεις και τον δανεισμό στο πλαίσιο συμμετοχικής χρηματοδότησης. </w:t>
      </w:r>
    </w:p>
    <w:p>
      <w:pPr>
        <w:pBdr>
          <w:top w:val="nil"/>
          <w:left w:val="nil"/>
          <w:bottom w:val="nil"/>
          <w:right w:val="nil"/>
          <w:between w:val="nil"/>
          <w:bar w:val="nil"/>
        </w:pBdr>
        <w:spacing w:before="0" w:after="240"/>
        <w:rPr>
          <w:rFonts w:eastAsia="Calibri"/>
          <w:noProof/>
        </w:rPr>
      </w:pPr>
      <w:r>
        <w:rPr>
          <w:noProof/>
        </w:rPr>
        <w:lastRenderedPageBreak/>
        <w:t xml:space="preserve">Η σχετική δραστηριότητα δεν περιλαμβάνει δραστηριότητες που πραγματοποιούνται από Πωλητή που ενεργεί ως υπάλληλος του Δηλούντα Φορέα Εκμετάλλευσης Πλατφόρμας. </w:t>
      </w:r>
    </w:p>
    <w:p>
      <w:pPr>
        <w:pBdr>
          <w:top w:val="nil"/>
          <w:left w:val="nil"/>
          <w:bottom w:val="nil"/>
          <w:right w:val="nil"/>
          <w:between w:val="nil"/>
          <w:bar w:val="nil"/>
        </w:pBdr>
        <w:spacing w:before="0" w:after="240"/>
        <w:rPr>
          <w:noProof/>
        </w:rPr>
      </w:pPr>
      <w:r>
        <w:rPr>
          <w:noProof/>
        </w:rPr>
        <w:t xml:space="preserve">Προσωπική υπηρεσία είναι η υπηρεσία που περιλαμβάνει εργασία βάσει χρόνου ή βάσει καθηκόντων που εκτελείται από ένα ή περισσότερα πρόσωπα που ενεργούν είτε ανεξάρτητα είτε για λογαριασμό οντότητας. Η υπηρεσία αυτή παρέχεται κατόπιν αιτήματος χρήστη, είτε διαδικτυακά είτε φυσικά (εκτός διαδικτύου) αφού έχει διευκολυνθεί η παροχή της μέσω πλατφόρμας. </w:t>
      </w:r>
    </w:p>
    <w:p>
      <w:pPr>
        <w:pStyle w:val="ListDash1"/>
        <w:rPr>
          <w:rFonts w:eastAsia="Calibri"/>
          <w:noProof/>
        </w:rPr>
      </w:pPr>
      <w:r>
        <w:rPr>
          <w:noProof/>
        </w:rPr>
        <w:t>Ποιων προσώπων οι δραστηριότητες είναι δηλωτέες</w:t>
      </w:r>
    </w:p>
    <w:p>
      <w:pPr>
        <w:pBdr>
          <w:top w:val="nil"/>
          <w:left w:val="nil"/>
          <w:bottom w:val="nil"/>
          <w:right w:val="nil"/>
          <w:between w:val="nil"/>
          <w:bar w:val="nil"/>
        </w:pBdr>
        <w:spacing w:before="0" w:after="240"/>
        <w:rPr>
          <w:noProof/>
        </w:rPr>
      </w:pPr>
      <w:r>
        <w:rPr>
          <w:noProof/>
        </w:rPr>
        <w:t xml:space="preserve">Ο Πωλητής είναι χρήστης πλατφόρμας που είναι καταχωρισμένος στην πλατφόρμα και πραγματοποιεί οποιαδήποτε από τις σχετικές δραστηριότητες. Οι κυβερνητικές οντότητες δεν θεωρούνται Πωλητές. </w:t>
      </w:r>
    </w:p>
    <w:p>
      <w:pPr>
        <w:pBdr>
          <w:top w:val="nil"/>
          <w:left w:val="nil"/>
          <w:bottom w:val="nil"/>
          <w:right w:val="nil"/>
          <w:between w:val="nil"/>
          <w:bar w:val="nil"/>
        </w:pBdr>
        <w:spacing w:before="0" w:after="240"/>
        <w:rPr>
          <w:noProof/>
        </w:rPr>
      </w:pPr>
      <w:r>
        <w:rPr>
          <w:noProof/>
        </w:rPr>
        <w:t xml:space="preserve">Ενεργός Πωλητής είναι κάθε πωλητής που παρείχε σχετική δραστηριότητα κατά την περίοδο αναφοράς. </w:t>
      </w:r>
    </w:p>
    <w:p>
      <w:pPr>
        <w:pBdr>
          <w:top w:val="nil"/>
          <w:left w:val="nil"/>
          <w:bottom w:val="nil"/>
          <w:right w:val="nil"/>
          <w:between w:val="nil"/>
          <w:bar w:val="nil"/>
        </w:pBdr>
        <w:spacing w:before="0" w:after="240"/>
        <w:rPr>
          <w:noProof/>
        </w:rPr>
      </w:pPr>
      <w:r>
        <w:rPr>
          <w:noProof/>
        </w:rPr>
        <w:t>Δηλωτέος Πωλητής είναι κάθε Ενεργός Πωλητής που κατά τη διάρκεια της περιόδου αναφοράς i) είχε την κύρια διεύθυνσή του σε κράτος μέλος ή ii) είχε ΑΦΜ ή αριθμό μητρώου ΦΠΑ που εκδόθηκε σε κράτος μέλος ή iii) όσον αφορά Πωλητή που είναι οντότητα, είχε μόνιμη εγκατάσταση σε κράτος μέλος. Ο Δηλωτέος Πωλητής που πληροί οποιαδήποτε από τις αναφερόμενες προϋποθέσεις θεωρείται κάτοικος κράτους μέλους για τους σκοπούς της παρούσας οδηγίας.</w:t>
      </w:r>
    </w:p>
    <w:p>
      <w:pPr>
        <w:pBdr>
          <w:top w:val="nil"/>
          <w:left w:val="nil"/>
          <w:bottom w:val="nil"/>
          <w:right w:val="nil"/>
          <w:between w:val="nil"/>
          <w:bar w:val="nil"/>
        </w:pBdr>
        <w:spacing w:before="0" w:after="240"/>
        <w:rPr>
          <w:noProof/>
        </w:rPr>
      </w:pPr>
      <w:r>
        <w:rPr>
          <w:noProof/>
        </w:rPr>
        <w:t>Επιπλέον, κάθε Ενεργός Πωλητής που εκμίσθωσε ακίνητη περιουσία η οποία βρίσκεται σε κράτος μέλος κατά τη διάρκεια της περιόδου αναφοράς, είναι επίσης Δηλωτέος Πωλητής.</w:t>
      </w:r>
    </w:p>
    <w:p>
      <w:pPr>
        <w:pBdr>
          <w:top w:val="nil"/>
          <w:left w:val="nil"/>
          <w:bottom w:val="nil"/>
          <w:right w:val="nil"/>
          <w:between w:val="nil"/>
          <w:bar w:val="nil"/>
        </w:pBdr>
        <w:spacing w:before="0" w:after="240"/>
        <w:rPr>
          <w:rFonts w:eastAsia="Calibri"/>
          <w:noProof/>
        </w:rPr>
      </w:pPr>
      <w:r>
        <w:rPr>
          <w:noProof/>
        </w:rPr>
        <w:t>Μόνο οι δραστηριότητες Δηλωτέου Πωλητή υπόκεινται σε υποχρέωση υποβολής στοιχείων.</w:t>
      </w:r>
    </w:p>
    <w:p>
      <w:pPr>
        <w:pBdr>
          <w:top w:val="nil"/>
          <w:left w:val="nil"/>
          <w:bottom w:val="nil"/>
          <w:right w:val="nil"/>
          <w:between w:val="nil"/>
          <w:bar w:val="nil"/>
        </w:pBdr>
        <w:rPr>
          <w:rFonts w:eastAsia="Calibri"/>
          <w:i/>
          <w:noProof/>
        </w:rPr>
      </w:pPr>
      <w:r>
        <w:rPr>
          <w:i/>
          <w:noProof/>
        </w:rPr>
        <w:t>Διαδικασίες δέουσας επιμέλειας</w:t>
      </w:r>
    </w:p>
    <w:p>
      <w:pPr>
        <w:pBdr>
          <w:top w:val="nil"/>
          <w:left w:val="nil"/>
          <w:bottom w:val="nil"/>
          <w:right w:val="nil"/>
          <w:between w:val="nil"/>
          <w:bar w:val="nil"/>
        </w:pBdr>
        <w:spacing w:before="0" w:after="240"/>
        <w:rPr>
          <w:rFonts w:eastAsia="Calibri"/>
          <w:noProof/>
        </w:rPr>
      </w:pPr>
      <w:r>
        <w:rPr>
          <w:noProof/>
        </w:rPr>
        <w:t>Οι Δηλούντες Φορείς Εκμετάλλευσης Πλατφορμών εφαρμόζουν διαδικασίες δέουσας επιμέλειας, όπως ορίζεται στο παράρτημα, τμήμα II, προκειμένου να προσδιορίσουν τους δηλωτέους πωλητές.</w:t>
      </w:r>
    </w:p>
    <w:p>
      <w:pPr>
        <w:pBdr>
          <w:top w:val="nil"/>
          <w:left w:val="nil"/>
          <w:bottom w:val="nil"/>
          <w:right w:val="nil"/>
          <w:between w:val="nil"/>
          <w:bar w:val="nil"/>
        </w:pBdr>
        <w:spacing w:before="0" w:after="240"/>
        <w:rPr>
          <w:rFonts w:eastAsia="Calibri"/>
          <w:noProof/>
        </w:rPr>
      </w:pPr>
      <w:r>
        <w:rPr>
          <w:noProof/>
        </w:rPr>
        <w:t>Στο τμήμα II ενότητα Β καθορίζονται οι συγκεκριμένες πληροφορίες που πρέπει να συλλέγει ο Δηλών Φορέας Εκμετάλλευσης Πλατφόρμας σχετικά με τους δηλωτέους πωλητές. Ο Δηλών Φορέας Εκμετάλλευσης Πλατφόρμας οφείλει να επαληθεύει όλες τις πληροφορίες και τα έγγραφα που διαθέτει στα αρχεία του ο Δηλών Φορέας Εκμετάλλευσης Πλατφόρμας, καθώς και κάθε ηλεκτρονική διεπαφή που καθίσταται διαθέσιμη δωρεάν από κράτος μέλος ή την Ένωση, για να εξακριβώνει την εγκυρότητα του ΑΦΜ ή του αριθμού μητρώου ΦΠΑ. Εναλλακτικά, ο Δηλών Φορέας Εκμετάλλευσης Πλατφόρμας μπορεί να επιβεβαιώσει άμεσα την ταυτότητα και την κατοικία του Πωλητή μέσω υπηρεσίας ηλεκτρονικής ταυτοποίησης που διατίθεται από κράτος μέλος ή την Ένωση.</w:t>
      </w:r>
    </w:p>
    <w:p>
      <w:pPr>
        <w:pBdr>
          <w:top w:val="nil"/>
          <w:left w:val="nil"/>
          <w:bottom w:val="nil"/>
          <w:right w:val="nil"/>
          <w:between w:val="nil"/>
          <w:bar w:val="nil"/>
        </w:pBdr>
        <w:spacing w:before="0" w:after="240"/>
        <w:rPr>
          <w:rFonts w:eastAsia="Calibri"/>
          <w:noProof/>
        </w:rPr>
      </w:pPr>
      <w:r>
        <w:rPr>
          <w:noProof/>
        </w:rPr>
        <w:t xml:space="preserve">Ο Δηλών Φορέας Εκμετάλλευσης Πλατφόρμας θεωρεί τον Πωλητής κάτοικο του κράτους μέλος της κύριας διεύθυνσης του Πωλητή. Εάν αυτό διαφέρει από το κράτος μέλος της κύριας διεύθυνσης του Πωλητή, ο Δηλών Φορέας Εκμετάλλευσης Πλατφόρμας θεωρεί τον Πωλητή επίσης κάτοικο του κράτους μέλους έκδοσης του ΑΦΜ ή του αριθμού φορολογικού μητρώου ΦΠΑ ή του κράτους μέλους στο οποίο ο Πωλητής διαθέτει μόνιμη εγκατάσταση. Σε περίπτωση που ο Δηλών Φορέας Εκμετάλλευσης Πλατφόρμας κάνει χρήση της υπηρεσίας ηλεκτρονικής ταυτοποίησης που διατίθεται από κράτος μέλος ή την Ένωση, τότε ο Πωλητής </w:t>
      </w:r>
      <w:r>
        <w:rPr>
          <w:noProof/>
        </w:rPr>
        <w:lastRenderedPageBreak/>
        <w:t xml:space="preserve">θεωρείται κάτοικος κάθε κράτους μέλους το οποίο έχει επιβεβαιωθεί από την εν λόγω υπηρεσία ηλεκτρονικής ταυτοποίησης. </w:t>
      </w:r>
    </w:p>
    <w:p>
      <w:pPr>
        <w:rPr>
          <w:noProof/>
        </w:rPr>
      </w:pPr>
      <w:r>
        <w:rPr>
          <w:noProof/>
        </w:rPr>
        <w:t>Ο Δηλών Φορέας Εκμετάλλευσης Πλατφόρμας συλλέγει τις απαιτούμενες πληροφορίες, να τις επαληθεύει και να τις καθιστά διαθέσιμες έως τις 31 Δεκεμβρίου της περιόδου αναφοράς.</w:t>
      </w:r>
    </w:p>
    <w:p>
      <w:pPr>
        <w:pBdr>
          <w:top w:val="nil"/>
          <w:left w:val="nil"/>
          <w:bottom w:val="nil"/>
          <w:right w:val="nil"/>
          <w:between w:val="nil"/>
          <w:bar w:val="nil"/>
        </w:pBdr>
        <w:spacing w:before="0" w:after="240"/>
        <w:rPr>
          <w:rFonts w:eastAsia="Calibri"/>
          <w:noProof/>
        </w:rPr>
      </w:pPr>
      <w:r>
        <w:rPr>
          <w:noProof/>
        </w:rPr>
        <w:t>Ο Δηλών Φορέας Εκμετάλλευσης Πλατφόρμας μπορεί να βασίζεται στις διαδικασίες δέουσας επιμέλειας που διεξήχθησαν σε προηγούμενες περιόδους αναφοράς, υπό την προϋπόθεση ότι i) οι απαιτούμενες πληροφορίες έχουν συλλεχθεί ή επαληθευτεί εντός των τελευταίων 36 μηνών και ii) δεν έχει λόγους να γνωρίζει ότι οι πληροφορίες που συλλέχθηκαν έχουν καταστεί αναξιόπιστες ή λανθασμένες.</w:t>
      </w:r>
    </w:p>
    <w:p>
      <w:pPr>
        <w:pBdr>
          <w:top w:val="nil"/>
          <w:left w:val="nil"/>
          <w:bottom w:val="nil"/>
          <w:right w:val="nil"/>
          <w:between w:val="nil"/>
          <w:bar w:val="nil"/>
        </w:pBdr>
        <w:spacing w:before="0" w:after="240"/>
        <w:rPr>
          <w:rFonts w:eastAsia="Calibri"/>
          <w:noProof/>
        </w:rPr>
      </w:pPr>
      <w:r>
        <w:rPr>
          <w:noProof/>
        </w:rPr>
        <w:t>Ο Δηλών Φορέας Εκμετάλλευσης Πλατφόρμας μπορεί να αναθέσει σε άλλο Φορέα Εκμετάλλευσης Πλατφόρμας ή τρίτο μέρος τις υποχρεώσεις σχετικά με τις διαδικασίες δέουσας επιμέλειας.</w:t>
      </w:r>
    </w:p>
    <w:p>
      <w:pPr>
        <w:pBdr>
          <w:top w:val="nil"/>
          <w:left w:val="nil"/>
          <w:bottom w:val="nil"/>
          <w:right w:val="nil"/>
          <w:between w:val="nil"/>
          <w:bar w:val="nil"/>
        </w:pBdr>
        <w:rPr>
          <w:rFonts w:eastAsia="Calibri"/>
          <w:i/>
          <w:noProof/>
        </w:rPr>
      </w:pPr>
      <w:r>
        <w:rPr>
          <w:i/>
          <w:noProof/>
        </w:rPr>
        <w:t>Υποβολή στοιχείων στην αρμόδια αρχή</w:t>
      </w:r>
    </w:p>
    <w:p>
      <w:pPr>
        <w:spacing w:after="0"/>
        <w:rPr>
          <w:rFonts w:eastAsia="Calibri"/>
          <w:noProof/>
        </w:rPr>
      </w:pPr>
      <w:r>
        <w:rPr>
          <w:noProof/>
        </w:rPr>
        <w:t>Οι πληροφορίες, όπως συλλέγονται και επαληθεύονται, υποβάλλονται εντός ενός μηνός από το τέλος της περιόδου αναφοράς κατά την οποία ο Πωλητής αναγνωρίζεται ως Δηλωτέος Πωλητής. Η υποβολή στοιχείων πραγματοποιείται μόνο σε ένα κράτος μέλος (δηλ. ένα σημείο υποβολής στοιχείων). Ο Δηλών Φορέας Εκμετάλλευσης Πλατφόρμας που είναι «πλατφόρμα της ΕΕ» υποβάλλει στοιχεία στο κράτος μέλος στο οποίο πληροί οποιαδήποτε από τις προϋποθέσεις που απαριθμούνται στο τμήμα Ι ενότητα Α παράγραφος 3 στοιχείο α). Σε περίπτωση που πληροί οποιαδήποτε από αυτές τις προϋποθέσεις σε περισσότερα από ένα κράτη μέλη, ο Δηλών Φορέας Εκμετάλλευσης Πλατφόρμας επιλέγει ένα κράτος μέλος στο οποίο θα υποβάλλει στοιχεία. Ο Δηλών Φορέας Εκμετάλλευσης Πλατφόρμας που είναι «ξένη πλατφόρμα» υποβάλλει στοιχεία στο κράτος μέλος όπου έχει καταχωριστεί σύμφωνα με το άρθρο 8αγ παράγραφος 4.</w:t>
      </w:r>
    </w:p>
    <w:p>
      <w:pPr>
        <w:spacing w:after="0"/>
        <w:rPr>
          <w:rFonts w:eastAsia="Calibri"/>
          <w:noProof/>
        </w:rPr>
      </w:pPr>
      <w:r>
        <w:rPr>
          <w:noProof/>
        </w:rPr>
        <w:t xml:space="preserve">Πληροφορίες σχετικά με το αντίτιμο και άλλα ποσά υποβάλλονται για το τρίμηνο της περιόδου αναφοράς κατά την οποία το αντίτιμο καταβλήθηκε ή πιστώθηκε. Ο ορισμός του αντίτιμου αποκλείει τυχόν αμοιβές, προμήθειες ή φόρους που παρακρατούνται ή χρεώνονται από τη δηλούσα πλατφόρμα. </w:t>
      </w:r>
    </w:p>
    <w:p>
      <w:pPr>
        <w:tabs>
          <w:tab w:val="left" w:pos="1418"/>
        </w:tabs>
        <w:spacing w:before="240" w:after="0"/>
        <w:rPr>
          <w:rFonts w:eastAsia="Calibri"/>
          <w:noProof/>
        </w:rPr>
      </w:pPr>
      <w:r>
        <w:rPr>
          <w:noProof/>
        </w:rPr>
        <w:t>Σύμφωνα με το τροποποιημένο άρθρο 25 παράγραφος 3, οι Δηλούντες Φορείς Εκμετάλλευσης Πλατφορμών οφείλουν να ενημερώνουν κάθε ενδιαφερόμενο ότι οι πληροφορίες που σχετίζονται με τον εν λόγω ενδιαφερόμενο θα συλλέγονται και θα υποβάλλονται στις αρχές σύμφωνα με την παρούσα οδηγία και να παρέχουν όλες τις πληροφορίες που οφείλουν να παρέχουν οι υπεύθυνοι επεξεργασίας των δεδομένων σύμφωνα με τον ΓΚΠΔ. Οι Φορείς Εκμετάλλευσης Πλατφορμών οφείλουν να παρέχουν σε κάθε πρόσωπο όλες τις πληροφορίες και, σε κάθε περίπτωση, πριν από την υποβολή των εν λόγω πληροφοριών. Αυτό τελεί υπό την επιφύλαξη του δικαιώματος του υποκειμένου των δεδομένων βάσει του ΓΚΠΔ.</w:t>
      </w:r>
    </w:p>
    <w:p>
      <w:pPr>
        <w:spacing w:before="240"/>
        <w:rPr>
          <w:rFonts w:eastAsia="Calibri"/>
          <w:i/>
          <w:noProof/>
        </w:rPr>
      </w:pPr>
      <w:r>
        <w:rPr>
          <w:i/>
          <w:noProof/>
        </w:rPr>
        <w:t>Αυτόματη ανταλλαγή πληροφοριών που υποβάλλονται από τους Φορείς Εκμετάλλευσης Πλατφορμών</w:t>
      </w:r>
    </w:p>
    <w:p>
      <w:pPr>
        <w:pBdr>
          <w:top w:val="nil"/>
          <w:left w:val="nil"/>
          <w:bottom w:val="nil"/>
          <w:right w:val="nil"/>
          <w:between w:val="nil"/>
          <w:bar w:val="nil"/>
        </w:pBdr>
        <w:spacing w:before="0" w:after="240"/>
        <w:rPr>
          <w:rFonts w:eastAsia="Calibri"/>
          <w:noProof/>
        </w:rPr>
      </w:pPr>
      <w:r>
        <w:rPr>
          <w:noProof/>
        </w:rPr>
        <w:t xml:space="preserve">Οι πληροφορίες που υποβάλλονται από τους Φορείς Εκμετάλλευσης Πλατφορμών πρέπει να κοινοποιούνται από τις αρμόδιες αρχές των κρατών μελών όπου πραγματοποιήθηκε η υποβολή προς τα κράτη μέλη των οποίων είναι κάτοικος ο Δηλωτέος Πωλητής κατά την έννοια του παραρτήματος V τμήμα I ενότητα B παράγραφος 3 και/ή όπου βρίσκεται η </w:t>
      </w:r>
      <w:r>
        <w:rPr>
          <w:noProof/>
        </w:rPr>
        <w:lastRenderedPageBreak/>
        <w:t xml:space="preserve">ακίνητη περιουσία. Το άρθρο 8αγ παράγραφος 2 ορίζει ποιες πληροφορίες πρέπει να υποβάλλονται στα εν λόγω κράτη μέλη. </w:t>
      </w:r>
    </w:p>
    <w:p>
      <w:pPr>
        <w:spacing w:after="0"/>
        <w:rPr>
          <w:rFonts w:eastAsia="Calibri"/>
          <w:noProof/>
        </w:rPr>
      </w:pPr>
      <w:r>
        <w:rPr>
          <w:noProof/>
        </w:rPr>
        <w:t xml:space="preserve">Η ανταλλαγή θα πραγματοποιείται εντός 2 μηνών μετά το τέλος της περιόδου αναφοράς. </w:t>
      </w:r>
    </w:p>
    <w:p>
      <w:pPr>
        <w:spacing w:after="160"/>
        <w:rPr>
          <w:rFonts w:eastAsia="Calibri"/>
          <w:noProof/>
        </w:rPr>
      </w:pPr>
      <w:r>
        <w:rPr>
          <w:noProof/>
        </w:rPr>
        <w:t>Τέτοιες έγκαιρες ανταλλαγές θα παρέχουν στις φορολογικές αρχές ένα πλήρες σύνολο πληροφοριών που θα καθιστά δυνατό τον εκ των προτέρων ετήσιο προσδιορισμό των φόρων.</w:t>
      </w:r>
    </w:p>
    <w:p>
      <w:pPr>
        <w:pBdr>
          <w:top w:val="nil"/>
          <w:left w:val="nil"/>
          <w:bottom w:val="nil"/>
          <w:right w:val="nil"/>
          <w:between w:val="nil"/>
          <w:bar w:val="nil"/>
        </w:pBdr>
        <w:spacing w:before="0" w:after="240"/>
        <w:rPr>
          <w:rFonts w:eastAsia="Calibri"/>
          <w:noProof/>
        </w:rPr>
      </w:pPr>
      <w:r>
        <w:rPr>
          <w:noProof/>
        </w:rPr>
        <w:t>Η αυτόματη ανταλλαγή πληροφοριών θα πραγματοποιείται ηλεκτρονικά μέσω του κοινού δικτύου επικοινωνιών της ΕΕ (δίκτυο CCN) με χρήση σχήματος XML που έχει αναπτύξει η Επιτροπή.</w:t>
      </w:r>
    </w:p>
    <w:p>
      <w:pPr>
        <w:pBdr>
          <w:top w:val="nil"/>
          <w:left w:val="nil"/>
          <w:bottom w:val="nil"/>
          <w:right w:val="nil"/>
          <w:between w:val="nil"/>
          <w:bar w:val="nil"/>
        </w:pBdr>
        <w:spacing w:before="240"/>
        <w:rPr>
          <w:rFonts w:eastAsia="Calibri"/>
          <w:i/>
          <w:noProof/>
        </w:rPr>
      </w:pPr>
      <w:r>
        <w:rPr>
          <w:i/>
          <w:noProof/>
        </w:rPr>
        <w:t>Αποτελεσματική εφαρμογή και κλείσιμο λογαριασμών των πωλητών</w:t>
      </w:r>
    </w:p>
    <w:p>
      <w:pPr>
        <w:pBdr>
          <w:top w:val="nil"/>
          <w:left w:val="nil"/>
          <w:bottom w:val="nil"/>
          <w:right w:val="nil"/>
          <w:between w:val="nil"/>
          <w:bar w:val="nil"/>
        </w:pBdr>
        <w:spacing w:before="0" w:after="240"/>
        <w:rPr>
          <w:rFonts w:eastAsia="Calibri"/>
          <w:noProof/>
        </w:rPr>
      </w:pPr>
      <w:r>
        <w:rPr>
          <w:noProof/>
        </w:rPr>
        <w:t>Εάν ένας Δηλωτέος Πωλητής δεν παράσχει τις απαιτούμενες πληροφορίες μετά από δύο υπενθυμίσεις, ο Δηλών Φορέας Εκμετάλλευσης Πλατφόρμας οφείλει είτε να κλείσει τον λογαριασμό του εν λόγω Πωλητή και να εμποδίσει τον Πωλητή να καταχωριστεί εκ νέου στην Πλατφόρμα για περίοδο έξι μηνών είτε να παρακρατήσει την πληρωμή του αντιτίμου προς τον Πωλητή (τμήμα IV ενότητα Α).</w:t>
      </w:r>
    </w:p>
    <w:p>
      <w:pPr>
        <w:pBdr>
          <w:top w:val="nil"/>
          <w:left w:val="nil"/>
          <w:bottom w:val="nil"/>
          <w:right w:val="nil"/>
          <w:between w:val="nil"/>
          <w:bar w:val="nil"/>
        </w:pBdr>
        <w:spacing w:before="240"/>
        <w:rPr>
          <w:rFonts w:eastAsia="Calibri"/>
          <w:i/>
          <w:noProof/>
        </w:rPr>
      </w:pPr>
      <w:r>
        <w:rPr>
          <w:i/>
          <w:noProof/>
        </w:rPr>
        <w:t>Αποτελεσματικές κυρώσεις για μη συμμόρφωση σε εθνικό επίπεδο</w:t>
      </w:r>
    </w:p>
    <w:p>
      <w:pPr>
        <w:rPr>
          <w:rFonts w:eastAsia="Calibri"/>
          <w:noProof/>
        </w:rPr>
      </w:pPr>
      <w:r>
        <w:rPr>
          <w:noProof/>
        </w:rPr>
        <w:t>Το άρθρο 25α σχετικά με τις κυρώσεις τροποποιείται ώστε να συμπεριλάβει τις πληροφορίες που υποβάλλονται από τους Φορείς Εκμετάλλευσης Πλατφορμών σύμφωνα με το άρθρο 8αγ. Αυτό διασφαλίζει ότι τα κράτη μέλη προβλέπουν κυρώσεις για τις περιπτώσεις στις οποίες δεν τηρούνται οι υποχρεώσεις που ορίζονται στην παρούσα οδηγία. Οι προβλεπόμενες κυρώσεις είναι αποτελεσματικές, αναλογικές και αποτρεπτικές.</w:t>
      </w:r>
    </w:p>
    <w:p>
      <w:pPr>
        <w:rPr>
          <w:b/>
          <w:noProof/>
        </w:rPr>
      </w:pPr>
      <w:r>
        <w:rPr>
          <w:b/>
          <w:noProof/>
        </w:rPr>
        <w:t>iii) Διοικητική συνεργασία.</w:t>
      </w:r>
    </w:p>
    <w:p>
      <w:pPr>
        <w:pStyle w:val="ManualHeading2"/>
        <w:rPr>
          <w:rFonts w:eastAsia="Arial Unicode MS"/>
          <w:noProof/>
          <w:u w:color="000000"/>
          <w:bdr w:val="nil"/>
        </w:rPr>
      </w:pPr>
      <w:r>
        <w:rPr>
          <w:noProof/>
          <w:u w:color="000000"/>
          <w:bdr w:val="nil"/>
        </w:rPr>
        <w:t>•</w:t>
      </w:r>
      <w:r>
        <w:rPr>
          <w:noProof/>
        </w:rPr>
        <w:tab/>
      </w:r>
      <w:r>
        <w:rPr>
          <w:noProof/>
          <w:u w:color="000000"/>
          <w:bdr w:val="nil"/>
        </w:rPr>
        <w:t>Παρουσία υπαλλήλων κράτους μέλους κατά τη διάρκεια έρευνας σε άλλο κράτος μέλος</w:t>
      </w:r>
    </w:p>
    <w:p>
      <w:pPr>
        <w:rPr>
          <w:noProof/>
        </w:rPr>
      </w:pPr>
      <w:r>
        <w:rPr>
          <w:noProof/>
        </w:rPr>
        <w:t>Η τροποποίηση του άρθρου 11 παράγραφος 1 εισάγει την υποχρέωση της αρμόδιας αρχής στην οποία υποβάλλεται η αίτηση να απαντήσει σε αίτημα για την παρουσία υπαλλήλου άλλου κράτους μέλους κατά τη διάρκεια έρευνας. Η προθεσμία απάντησης είναι 30 ημέρες για να επιβεβαιώσει τη συμφωνία της ή να ανακοινώσει την αιτιολογημένη άρνησή της στην αιτούσα αρχή.</w:t>
      </w:r>
    </w:p>
    <w:p>
      <w:pPr>
        <w:rPr>
          <w:noProof/>
        </w:rPr>
      </w:pPr>
      <w:r>
        <w:rPr>
          <w:noProof/>
        </w:rPr>
        <w:t>Το άρθρο 11 παράγραφος 2, όπως τροποποιήθηκε, καθιστά δυνατή τη διεξαγωγή συνεντεύξεων με άτομα και την εξέταση φακέλων χωρίς περιορισμούς από τη νομοθεσία του κράτους μέλους της λαμβάνουσας αρχής. Προστέθηκε επίσης η δυνατότητα συμμετοχής σε διοικητικές έρευνες με τη χρήση ηλεκτρονικών µέσων επικοινωνίας, λαμβανομένων υπόψη των νέων τρόπων επικοινωνίας.</w:t>
      </w:r>
    </w:p>
    <w:p>
      <w:pPr>
        <w:pStyle w:val="ManualHeading2"/>
        <w:rPr>
          <w:rFonts w:eastAsia="Arial Unicode MS"/>
          <w:noProof/>
          <w:u w:color="000000"/>
          <w:bdr w:val="nil"/>
        </w:rPr>
      </w:pPr>
      <w:r>
        <w:rPr>
          <w:noProof/>
          <w:u w:color="000000"/>
          <w:bdr w:val="nil"/>
        </w:rPr>
        <w:t>•</w:t>
      </w:r>
      <w:r>
        <w:rPr>
          <w:noProof/>
        </w:rPr>
        <w:tab/>
      </w:r>
      <w:r>
        <w:rPr>
          <w:noProof/>
          <w:u w:color="000000"/>
          <w:bdr w:val="nil"/>
        </w:rPr>
        <w:t>Ταυτόχρονοι έλεγχοι</w:t>
      </w:r>
    </w:p>
    <w:p>
      <w:pPr>
        <w:rPr>
          <w:noProof/>
        </w:rPr>
      </w:pPr>
      <w:r>
        <w:rPr>
          <w:noProof/>
        </w:rPr>
        <w:t>Το άρθρο 12 παράγραφος 3 τροποποιήθηκε προκειμένου να προβλεφθεί προθεσμία 30 ημερών εντός της οποίας οι λαμβάνουσες αρχές οφείλουν να απαντήσουν στην πρόταση για ταυτόχρονο έλεγχο.</w:t>
      </w:r>
    </w:p>
    <w:p>
      <w:pPr>
        <w:pStyle w:val="ManualHeading2"/>
        <w:rPr>
          <w:rFonts w:eastAsia="Arial Unicode MS"/>
          <w:noProof/>
          <w:u w:color="000000"/>
          <w:bdr w:val="nil"/>
        </w:rPr>
      </w:pPr>
      <w:r>
        <w:rPr>
          <w:noProof/>
          <w:u w:color="000000"/>
          <w:bdr w:val="nil"/>
        </w:rPr>
        <w:t>•</w:t>
      </w:r>
      <w:r>
        <w:rPr>
          <w:noProof/>
        </w:rPr>
        <w:tab/>
      </w:r>
      <w:r>
        <w:rPr>
          <w:noProof/>
          <w:u w:color="000000"/>
          <w:bdr w:val="nil"/>
        </w:rPr>
        <w:t>Κοινοί έλεγχοι</w:t>
      </w:r>
    </w:p>
    <w:p>
      <w:pPr>
        <w:pBdr>
          <w:top w:val="nil"/>
          <w:left w:val="nil"/>
          <w:bottom w:val="nil"/>
          <w:right w:val="nil"/>
          <w:between w:val="nil"/>
          <w:bar w:val="nil"/>
        </w:pBdr>
        <w:spacing w:after="240"/>
        <w:rPr>
          <w:rFonts w:eastAsia="Calibri"/>
          <w:noProof/>
        </w:rPr>
      </w:pPr>
      <w:r>
        <w:rPr>
          <w:noProof/>
        </w:rPr>
        <w:t>Το τμήμα ΙΙα προστίθεται στην οδηγία για τον καθορισμό ρητού και σαφούς νομικού πλαισίου για τη διενέργεια κοινών ελέγχων μεταξύ δύο ή περισσοτέρων κρατών μελών.</w:t>
      </w:r>
    </w:p>
    <w:p>
      <w:pPr>
        <w:pBdr>
          <w:top w:val="nil"/>
          <w:left w:val="nil"/>
          <w:bottom w:val="nil"/>
          <w:right w:val="nil"/>
          <w:between w:val="nil"/>
          <w:bar w:val="nil"/>
        </w:pBdr>
        <w:spacing w:after="240"/>
        <w:rPr>
          <w:rFonts w:eastAsia="Calibri"/>
          <w:noProof/>
        </w:rPr>
      </w:pPr>
      <w:r>
        <w:rPr>
          <w:noProof/>
        </w:rPr>
        <w:t xml:space="preserve">Το άρθρο 12α παράγραφος 1 περιλαμβάνει ορισμό του κοινού ελέγχου: διοικητική έρευνα που διενεργείται από κοινού από τις αρμόδιες αρχές δύο ή περισσοτέρων κρατών μελών. Οι </w:t>
      </w:r>
      <w:r>
        <w:rPr>
          <w:noProof/>
        </w:rPr>
        <w:lastRenderedPageBreak/>
        <w:t>αρμόδιες αρχές των εμπλεκομένων κρατών μελών προβαίνουν, με προκαθορισμένο και συντονισμένο τρόπο, στην εξέταση υπόθεσης που συνδέεται με ένα ή περισσότερα άτομα που παρουσιάζουν κοινό ή συμπληρωματικό ενδιαφέρον για αυτά.</w:t>
      </w:r>
    </w:p>
    <w:p>
      <w:pPr>
        <w:pBdr>
          <w:top w:val="nil"/>
          <w:left w:val="nil"/>
          <w:bottom w:val="nil"/>
          <w:right w:val="nil"/>
          <w:between w:val="nil"/>
          <w:bar w:val="nil"/>
        </w:pBdr>
        <w:spacing w:after="240"/>
        <w:contextualSpacing/>
        <w:rPr>
          <w:rFonts w:eastAsia="Calibri"/>
          <w:i/>
          <w:noProof/>
        </w:rPr>
      </w:pPr>
      <w:r>
        <w:rPr>
          <w:i/>
          <w:noProof/>
        </w:rPr>
        <w:t>Αίτημα για τη διενέργεια κοινού ελέγχου</w:t>
      </w:r>
    </w:p>
    <w:p>
      <w:pPr>
        <w:pStyle w:val="ListDash1"/>
        <w:rPr>
          <w:rFonts w:eastAsia="Calibri"/>
          <w:noProof/>
        </w:rPr>
      </w:pPr>
      <w:r>
        <w:rPr>
          <w:noProof/>
        </w:rPr>
        <w:t>Από αρμόδια αρχή κράτους μέλους</w:t>
      </w:r>
    </w:p>
    <w:p>
      <w:pPr>
        <w:pBdr>
          <w:top w:val="nil"/>
          <w:left w:val="nil"/>
          <w:bottom w:val="nil"/>
          <w:right w:val="nil"/>
          <w:between w:val="nil"/>
          <w:bar w:val="nil"/>
        </w:pBdr>
        <w:spacing w:after="240"/>
        <w:rPr>
          <w:rFonts w:eastAsia="Calibri"/>
          <w:noProof/>
        </w:rPr>
      </w:pPr>
      <w:r>
        <w:rPr>
          <w:noProof/>
        </w:rPr>
        <w:t>Το άρθρο 12α παράγραφος 2 αφορά την περίπτωση κατά την οποία αρμόδια αρχή ενός κράτους μέλους ζητά από αρμόδια αρχή άλλου κράτους μέλους να διενεργήσουν κοινό έλεγχο. Η λαμβάνουσα αρχή απαντά στο αίτημα εντός 30 ημερών από την παραλαβή του αιτήματος.</w:t>
      </w:r>
    </w:p>
    <w:p>
      <w:pPr>
        <w:pBdr>
          <w:top w:val="nil"/>
          <w:left w:val="nil"/>
          <w:bottom w:val="nil"/>
          <w:right w:val="nil"/>
          <w:between w:val="nil"/>
          <w:bar w:val="nil"/>
        </w:pBdr>
        <w:spacing w:after="240"/>
        <w:rPr>
          <w:rFonts w:eastAsia="Calibri"/>
          <w:noProof/>
        </w:rPr>
      </w:pPr>
      <w:r>
        <w:rPr>
          <w:noProof/>
        </w:rPr>
        <w:t xml:space="preserve">Ένα αίτημα μπορεί να απορριφθεί για δικαιολογημένους λόγους. Το άρθρο 12α παράγραφος 3 περιλαμβάνει μη εξαντλητικό κατάλογο λόγων απόρριψης. </w:t>
      </w:r>
    </w:p>
    <w:p>
      <w:pPr>
        <w:pStyle w:val="ListDash1"/>
        <w:rPr>
          <w:rFonts w:eastAsia="Calibri"/>
          <w:noProof/>
        </w:rPr>
      </w:pPr>
      <w:r>
        <w:rPr>
          <w:noProof/>
        </w:rPr>
        <w:t>Από πρόσωπο</w:t>
      </w:r>
    </w:p>
    <w:p>
      <w:pPr>
        <w:rPr>
          <w:rFonts w:eastAsia="Calibri"/>
          <w:noProof/>
        </w:rPr>
      </w:pPr>
      <w:r>
        <w:rPr>
          <w:noProof/>
        </w:rPr>
        <w:t>Το άρθρο 12α παράγραφος 4 αφορά την περίπτωση κατά την οποία ένα πρόσωπο ζητά από τις αρμόδιες αρχές δύο ή περισσότερων κρατών μελών τη διενέργεια κοινού έλεγχο. Οι λαμβάνουσες αρχές οφείλουν να απαντούν στο αίτημα εντός 30 ημερών από την παραλαβή του αιτήματος.</w:t>
      </w:r>
    </w:p>
    <w:p>
      <w:pPr>
        <w:rPr>
          <w:rFonts w:eastAsia="Calibri"/>
          <w:noProof/>
        </w:rPr>
      </w:pPr>
      <w:r>
        <w:rPr>
          <w:noProof/>
        </w:rPr>
        <w:t>Σε περίπτωση απόρριψης αιτήματος, οι λόγοι της απόρριψης πρέπει να κοινοποιούνται στον αιτούντα.</w:t>
      </w:r>
    </w:p>
    <w:p>
      <w:pPr>
        <w:rPr>
          <w:rFonts w:eastAsia="Calibri"/>
          <w:noProof/>
        </w:rPr>
      </w:pPr>
      <w:r>
        <w:rPr>
          <w:noProof/>
        </w:rPr>
        <w:t xml:space="preserve">Η έννοια του προσώπου ορίζεται στο άρθρο 3 της οδηγίας 2011/16/ΕΕ. </w:t>
      </w:r>
    </w:p>
    <w:p>
      <w:pPr>
        <w:pBdr>
          <w:top w:val="nil"/>
          <w:left w:val="nil"/>
          <w:bottom w:val="nil"/>
          <w:right w:val="nil"/>
          <w:between w:val="nil"/>
          <w:bar w:val="nil"/>
        </w:pBdr>
        <w:spacing w:before="0"/>
        <w:rPr>
          <w:rFonts w:eastAsia="Calibri"/>
          <w:i/>
          <w:noProof/>
        </w:rPr>
      </w:pPr>
      <w:r>
        <w:rPr>
          <w:i/>
          <w:noProof/>
        </w:rPr>
        <w:t>Η διαδικασία</w:t>
      </w:r>
    </w:p>
    <w:p>
      <w:pPr>
        <w:rPr>
          <w:rFonts w:eastAsia="Calibri"/>
          <w:noProof/>
        </w:rPr>
      </w:pPr>
      <w:r>
        <w:rPr>
          <w:noProof/>
        </w:rPr>
        <w:t>Το άρθρο 12α παράγραφος 5 διευκρινίζει ότι η ανταλλαγή πληροφοριών σχετικά με εμπορικό, βιομηχανικό ή επαγγελματικό απόρρητο, εμπορική διαδικασία ή πληροφορία της οποίας η κοινοποίηση αντιβαίνει στη δημόσια τάξη, δεν θα πρέπει να απορρίπτεται στο πλαίσιο κοινού ελέγχου. Αυτές οι ανταλλασσόμενες πληροφορίες θα πρέπει ωστόσο να παραμένουν εμπιστευτικές μεταξύ των εμπλεκόμενων αρμόδιων αρχών και να μην κοινοποιούνται σε τρίτους.</w:t>
      </w:r>
    </w:p>
    <w:p>
      <w:pPr>
        <w:rPr>
          <w:rFonts w:eastAsia="Calibri"/>
          <w:noProof/>
        </w:rPr>
      </w:pPr>
      <w:r>
        <w:rPr>
          <w:noProof/>
        </w:rPr>
        <w:t xml:space="preserve">Το άρθρο 12α παράγραφος 6 ορίζει ότι ο κοινός έλεγχος διενεργείται σύμφωνα με τις διαδικαστικές συμφωνίες που ισχύουν στο κράτος μέλος στο οποίο πραγματοποιούνται οι ενέργειες ελέγχου. Τα αποδεικτικά στοιχεία που συλλέχθηκαν κατά τον κοινό έλεγχο θα πρέπει να αναγνωρίζονται αμοιβαία από όλες τις αρμόδιες αρχές του(των) συμμετέχοντος(-ων) κράτους(-ών) μέλους(-ών). </w:t>
      </w:r>
    </w:p>
    <w:p>
      <w:pPr>
        <w:spacing w:after="0"/>
        <w:rPr>
          <w:rFonts w:eastAsia="Calibri"/>
          <w:noProof/>
        </w:rPr>
      </w:pPr>
      <w:r>
        <w:rPr>
          <w:noProof/>
        </w:rPr>
        <w:t>Το άρθρο 12α παράγραφος 10 αφορά τις γλωσσικές ρυθμίσεις για τους κοινούς ελέγχους και διευκρινίζει ότι αυτές θα συμφωνούνται από τα εμπλεκόμενα κράτη μέλη.</w:t>
      </w:r>
    </w:p>
    <w:p>
      <w:pPr>
        <w:spacing w:before="240"/>
        <w:ind w:left="709" w:hanging="709"/>
        <w:rPr>
          <w:rFonts w:eastAsia="Calibri"/>
          <w:i/>
          <w:noProof/>
        </w:rPr>
      </w:pPr>
      <w:r>
        <w:rPr>
          <w:i/>
          <w:noProof/>
        </w:rPr>
        <w:t>Τελική έκθεση</w:t>
      </w:r>
    </w:p>
    <w:p>
      <w:pPr>
        <w:rPr>
          <w:rFonts w:eastAsia="Calibri"/>
          <w:noProof/>
        </w:rPr>
      </w:pPr>
      <w:r>
        <w:rPr>
          <w:noProof/>
        </w:rPr>
        <w:t xml:space="preserve">Το άρθρο 12α παράγραφος 7 ορίζει την υποχρέωση των αρμόδιων αρχών των συμμετεχόντων κρατών μελών να συμφωνούν για τα πραγματικά περιστατικά και τις περιστάσεις της υπόθεσης και καλεί τις αρμόδιες αρχές των κρατών μελών να προσπαθούν να καταλήξουν σε συμφωνία σχετικά με τον τρόπο ερμηνείας της φορολογικής κατάστασης του(των) ελεγμένου(-ων) προσώπου(-ων). Τα συμπεράσματα του κοινού ελέγχου πρέπει να παρουσιάζονται σε τελική έκθεση. Η τελική έκθεση του κοινού ελέγχου θα πρέπει να έχει ισοδύναμη νομική αξία με τα σχετικά εθνικά μέσα που εκδίδονται ως αποτέλεσμα ελέγχου στα συμμετέχοντα κράτη μέλη. </w:t>
      </w:r>
    </w:p>
    <w:p>
      <w:pPr>
        <w:rPr>
          <w:rFonts w:eastAsia="Calibri"/>
          <w:noProof/>
        </w:rPr>
      </w:pPr>
      <w:r>
        <w:rPr>
          <w:noProof/>
        </w:rPr>
        <w:lastRenderedPageBreak/>
        <w:t>Σύμφωνα με το άρθρο 12α παράγραφος 9, το αποτέλεσμα του κοινού ελέγχου και η τελική έκθεση θα πρέπει να κοινοποιούνται στο(στα) ελεγχόμενο(-α) πρόσωπο(-α) εντός 30 ημερών από την έκδοση της τελικής έκθεσης.</w:t>
      </w:r>
    </w:p>
    <w:p>
      <w:pPr>
        <w:spacing w:before="240"/>
        <w:rPr>
          <w:rFonts w:eastAsia="Calibri"/>
          <w:i/>
          <w:noProof/>
        </w:rPr>
      </w:pPr>
      <w:r>
        <w:rPr>
          <w:i/>
          <w:noProof/>
        </w:rPr>
        <w:t>Αντίστοιχη προσαρμογή</w:t>
      </w:r>
    </w:p>
    <w:p>
      <w:pPr>
        <w:rPr>
          <w:rFonts w:eastAsia="Calibri"/>
          <w:noProof/>
        </w:rPr>
      </w:pPr>
      <w:r>
        <w:rPr>
          <w:noProof/>
        </w:rPr>
        <w:t>Το άρθρο 12α παράγραφος 8 θεσπίζει υποχρέωση για τα κράτη μέλη σύμφωνα με την οποία κατά τη μεταφορά της οδηγίας στο εσωτερικό τους δίκαιο, τα κράτη μέλη οφείλουν να προβλέψουν το νομικό πλαίσιο που θα τους δώσει τη δυνατότητα να πραγματοποιήσουν αντίστοιχες προσαρμογές.</w:t>
      </w:r>
    </w:p>
    <w:p>
      <w:pPr>
        <w:rPr>
          <w:b/>
          <w:noProof/>
        </w:rPr>
      </w:pPr>
      <w:r>
        <w:rPr>
          <w:b/>
          <w:noProof/>
        </w:rPr>
        <w:t>iv) Λοιπές διατάξεις</w:t>
      </w:r>
    </w:p>
    <w:p>
      <w:pPr>
        <w:pStyle w:val="ManualHeading2"/>
        <w:rPr>
          <w:rFonts w:eastAsia="Arial Unicode MS"/>
          <w:noProof/>
          <w:u w:color="000000"/>
          <w:bdr w:val="nil"/>
        </w:rPr>
      </w:pPr>
      <w:r>
        <w:rPr>
          <w:noProof/>
          <w:u w:color="000000"/>
          <w:bdr w:val="nil"/>
        </w:rPr>
        <w:t>•</w:t>
      </w:r>
      <w:r>
        <w:rPr>
          <w:noProof/>
        </w:rPr>
        <w:tab/>
      </w:r>
      <w:r>
        <w:rPr>
          <w:noProof/>
          <w:u w:color="000000"/>
          <w:bdr w:val="nil"/>
        </w:rPr>
        <w:t>Χρήση ανταλλασσόμενων πληροφοριών</w:t>
      </w:r>
    </w:p>
    <w:p>
      <w:pPr>
        <w:rPr>
          <w:noProof/>
        </w:rPr>
      </w:pPr>
      <w:r>
        <w:rPr>
          <w:noProof/>
        </w:rPr>
        <w:t>Το άρθρο 16 παράγραφος 1 τροποποιείται προκειμένου να διευκρινιστεί ότι οι πληροφορίες που ανταλλάσσονται βάσει της παρούσας οδηγίας μπορούν να χρησιμοποιούνται για τη διαχείριση, την εκτίμηση και την επιβολή του ΦΠΑ και άλλων έμμεσων φόρων.</w:t>
      </w:r>
    </w:p>
    <w:p>
      <w:pPr>
        <w:pStyle w:val="ManualHeading2"/>
        <w:rPr>
          <w:rFonts w:eastAsia="Arial Unicode MS"/>
          <w:noProof/>
          <w:u w:color="000000"/>
          <w:bdr w:val="nil"/>
        </w:rPr>
      </w:pPr>
      <w:r>
        <w:rPr>
          <w:noProof/>
          <w:u w:color="000000"/>
          <w:bdr w:val="nil"/>
        </w:rPr>
        <w:t>•</w:t>
      </w:r>
      <w:r>
        <w:rPr>
          <w:noProof/>
        </w:rPr>
        <w:tab/>
      </w:r>
      <w:r>
        <w:rPr>
          <w:noProof/>
          <w:u w:color="000000"/>
          <w:bdr w:val="nil"/>
        </w:rPr>
        <w:t>Υποχρεωτική κοινοποίηση των αποτελεσμάτων της αξιολόγησης</w:t>
      </w:r>
    </w:p>
    <w:p>
      <w:pPr>
        <w:rPr>
          <w:noProof/>
        </w:rPr>
      </w:pPr>
      <w:r>
        <w:rPr>
          <w:noProof/>
        </w:rPr>
        <w:t>Το άρθρο 23 παράγραφος 2 τροποποιείται προκειμένου να δημιουργηθεί υποχρέωση για τα κράτη μέλη να εξετάζουν και να αξιολογούν, στην περιοχή δικαιοδοσίας τους, την αποτελεσματικότητα της διοικητικής συνεργασίας βάσει της οδηγίας και να κοινοποιούν τα αποτελέσματα της αξιολόγησής τους στην Επιτροπή σε ετήσια βάση.</w:t>
      </w:r>
    </w:p>
    <w:p>
      <w:pPr>
        <w:pStyle w:val="ManualHeading2"/>
        <w:rPr>
          <w:rFonts w:eastAsia="Arial Unicode MS"/>
          <w:noProof/>
          <w:u w:color="000000"/>
          <w:bdr w:val="nil"/>
        </w:rPr>
      </w:pPr>
      <w:r>
        <w:rPr>
          <w:noProof/>
          <w:u w:color="000000"/>
          <w:bdr w:val="nil"/>
        </w:rPr>
        <w:t>•</w:t>
      </w:r>
      <w:r>
        <w:rPr>
          <w:noProof/>
        </w:rPr>
        <w:tab/>
      </w:r>
      <w:r>
        <w:rPr>
          <w:noProof/>
          <w:u w:color="000000"/>
          <w:bdr w:val="nil"/>
        </w:rPr>
        <w:t>Αναστολή ανταλλαγών</w:t>
      </w:r>
    </w:p>
    <w:p>
      <w:pPr>
        <w:tabs>
          <w:tab w:val="left" w:pos="1418"/>
        </w:tabs>
        <w:spacing w:after="0"/>
        <w:contextualSpacing/>
        <w:rPr>
          <w:rFonts w:eastAsia="Calibri"/>
          <w:noProof/>
        </w:rPr>
      </w:pPr>
      <w:r>
        <w:rPr>
          <w:noProof/>
        </w:rPr>
        <w:t>Το άρθρο 25 παράγραφος 5 δίνει στα κράτη μέλη τη δυνατότητα να μετριάσουν τους κινδύνους παραβίασης δεδομένων στο πλαίσιο της ανταλλαγής πληροφοριών. Σε περίπτωση παραβίασης δεδομένων προσωπικού χαρακτήρα, οι αρμόδιες αρχές των κρατών μελών, ως από κοινού υπεύθυνοι επεξεργασίας των δεδομένων, μπορούν να αποφασίσουν να ζητήσουν από την Επιτροπή την αναστολή της ανταλλαγής πληροφοριών με το(τα) κράτος(-η) μέλος(-η) όπου σημειώθηκε η παραβίαση.</w:t>
      </w:r>
    </w:p>
    <w:p>
      <w:pPr>
        <w:rPr>
          <w:rFonts w:eastAsia="Calibri"/>
          <w:noProof/>
        </w:rPr>
      </w:pPr>
      <w:r>
        <w:rPr>
          <w:noProof/>
        </w:rPr>
        <w:t xml:space="preserve">Η Επιτροπή αποκαθιστά τη διαδικασία ανταλλαγής πληροφοριών αφού οι αρμόδιες αρχές ζητήσουν από την Επιτροπή να επιτρέψει και πάλι την ανταλλαγή πληροφοριών με το κράτος μέλος στο οποίο σημειώθηκε η παραβίαση βάσει της παρούσας οδηγίας. </w:t>
      </w:r>
    </w:p>
    <w:p>
      <w:pPr>
        <w:rPr>
          <w:noProof/>
        </w:rPr>
      </w:pPr>
      <w:r>
        <w:rPr>
          <w:noProof/>
        </w:rPr>
        <w:t>Η αναστολή συμπληρώνει τα μέτρα που απαιτούνται βάσει του ΓΚΠΔ για την αντιμετώπιση της παραβίασης δεδομένων.</w:t>
      </w:r>
    </w:p>
    <w:p>
      <w:pPr>
        <w:pBdr>
          <w:top w:val="nil"/>
          <w:left w:val="nil"/>
          <w:bottom w:val="nil"/>
          <w:right w:val="nil"/>
          <w:between w:val="nil"/>
          <w:bar w:val="nil"/>
        </w:pBdr>
        <w:spacing w:before="0" w:after="240"/>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2020/0148 (CNS)</w:t>
      </w:r>
    </w:p>
    <w:p>
      <w:pPr>
        <w:pStyle w:val="Statut"/>
        <w:rPr>
          <w:noProof/>
        </w:rPr>
      </w:pPr>
      <w:r>
        <w:rPr>
          <w:noProof/>
        </w:rPr>
        <w:t>Πρόταση</w:t>
      </w:r>
    </w:p>
    <w:p>
      <w:pPr>
        <w:pStyle w:val="Typedudocument"/>
        <w:rPr>
          <w:noProof/>
        </w:rPr>
      </w:pPr>
      <w:r>
        <w:rPr>
          <w:noProof/>
        </w:rPr>
        <w:t>ΟΔΗΓΙΑ ΤΟΥ ΣΥΜΒΟΥΛΙΟΥ</w:t>
      </w:r>
    </w:p>
    <w:p>
      <w:pPr>
        <w:pStyle w:val="Titreobjet"/>
        <w:rPr>
          <w:noProof/>
        </w:rPr>
      </w:pPr>
      <w:r>
        <w:rPr>
          <w:noProof/>
        </w:rPr>
        <w:t>για την τροποποίηση της οδηγίας 2011/16/ΕΕ σχετικά με τη διοικητική συνεργασία στον τομέα της φορολογίας</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τα άρθρα 113 και 115,</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του Ευρωπαϊκού Κοινοβουλίου</w:t>
      </w:r>
      <w:r>
        <w:rPr>
          <w:rStyle w:val="FootnoteReference"/>
          <w:noProof/>
        </w:rPr>
        <w:footnoteReference w:id="19"/>
      </w:r>
      <w:r>
        <w:rPr>
          <w:noProof/>
        </w:rPr>
        <w:t xml:space="preserve">, </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20"/>
      </w:r>
      <w:r>
        <w:rPr>
          <w:noProof/>
        </w:rPr>
        <w:t>,</w:t>
      </w:r>
    </w:p>
    <w:p>
      <w:pPr>
        <w:rPr>
          <w:noProof/>
        </w:rPr>
      </w:pPr>
      <w:r>
        <w:rPr>
          <w:noProof/>
        </w:rPr>
        <w:t>Αποφασίζοντας σύμφωνα με ειδική νομοθετική διαδικασία,</w:t>
      </w:r>
    </w:p>
    <w:p>
      <w:pPr>
        <w:rPr>
          <w:noProof/>
        </w:rPr>
      </w:pPr>
      <w:r>
        <w:rPr>
          <w:noProof/>
        </w:rPr>
        <w:t>Εκτιμώντας τα ακόλουθα:</w:t>
      </w:r>
    </w:p>
    <w:p>
      <w:pPr>
        <w:pStyle w:val="ManualConsidrant"/>
        <w:rPr>
          <w:noProof/>
        </w:rPr>
      </w:pPr>
      <w:r>
        <w:rPr>
          <w:noProof/>
        </w:rPr>
        <w:t>1)</w:t>
      </w:r>
      <w:r>
        <w:rPr>
          <w:noProof/>
        </w:rPr>
        <w:tab/>
        <w:t>Η οδηγία 2011/16/ΕΕ του Συμβουλίου</w:t>
      </w:r>
      <w:r>
        <w:rPr>
          <w:rStyle w:val="FootnoteReference"/>
          <w:noProof/>
        </w:rPr>
        <w:footnoteReference w:id="21"/>
      </w:r>
      <w:r>
        <w:rPr>
          <w:noProof/>
        </w:rPr>
        <w:t xml:space="preserve"> τροποποιήθηκε επανειλημμένως τα τελευταία χρόνια προκειμένου να συμπεριλάβει νέες πρωτοβουλίες της Ένωσης στον τομέα της φορολογικής διαφάνειας. Οι αλλαγές αυτές εισήγαγαν κυρίως την υποχρέωση υποβολής στοιχείων, ακολουθούμενη από την κοινοποίηση σε άλλα κράτη μέλη, σχετικών με χρηματοοικονομικούς λογαριασμούς, εκ των προτέρων διασυνοριακές αποφάσεις και εκ των προτέρων συμφωνίες ενδοομιλικής τιμολόγησης, εκθέσεις ανά χώρα και δηλωτέες διασυνοριακές συμφωνίες. Με τον τρόπο αυτό, οι εν λόγω τροποποιήσεις επέκτειναν το πεδίο της αυτόματης ανταλλαγής πληροφοριών. Οι φορολογικές αρχές έχουν τώρα στη διάθεσή τους μια ευρύτερη σειρά εργαλείων συνεργασίας, για τον εντοπισμό και την αντιμετώπιση μορφών φορολογικής απάτης, φοροδιαφυγής και φοροαποφυγής.</w:t>
      </w:r>
    </w:p>
    <w:p>
      <w:pPr>
        <w:pStyle w:val="ManualConsidrant"/>
        <w:rPr>
          <w:noProof/>
        </w:rPr>
      </w:pPr>
      <w:r>
        <w:rPr>
          <w:noProof/>
        </w:rPr>
        <w:t>2)</w:t>
      </w:r>
      <w:r>
        <w:rPr>
          <w:noProof/>
        </w:rPr>
        <w:tab/>
        <w:t>Τα τελευταία χρόνια, η Επιτροπή παρακολουθεί την εφαρμογή της οδηγίας 2011/16/EE και το 2019 ολοκλήρωσε την αξιολόγηση της εν λόγω οδηγίας</w:t>
      </w:r>
      <w:r>
        <w:rPr>
          <w:rStyle w:val="FootnoteReference"/>
          <w:noProof/>
        </w:rPr>
        <w:footnoteReference w:id="22"/>
      </w:r>
      <w:r>
        <w:rPr>
          <w:rStyle w:val="Marker10"/>
          <w:noProof/>
        </w:rPr>
        <w:t xml:space="preserve">. </w:t>
      </w:r>
      <w:r>
        <w:rPr>
          <w:noProof/>
        </w:rPr>
        <w:t>Αν και έχουν γίνει σημαντικές βελτιώσεις στον τομέα της αυτόματης ανταλλαγής πληροφοριών, υπάρχει ακόμη ανάγκη να βελτιωθούν οι υφιστάμενες διατάξεις που σχετίζονται με όλες τις μορφές ανταλλαγής πληροφοριών και διοικητικής συνεργασίας.</w:t>
      </w:r>
    </w:p>
    <w:p>
      <w:pPr>
        <w:pStyle w:val="ManualConsidrant"/>
        <w:rPr>
          <w:noProof/>
        </w:rPr>
      </w:pPr>
      <w:r>
        <w:rPr>
          <w:noProof/>
        </w:rPr>
        <w:lastRenderedPageBreak/>
        <w:t>3)</w:t>
      </w:r>
      <w:r>
        <w:rPr>
          <w:noProof/>
        </w:rPr>
        <w:tab/>
        <w:t xml:space="preserve">Σύμφωνα με το άρθρο 5 της οδηγίας 2011/16/ΕΕ, κατόπιν αιτήματος της αιτούσας αρχής, η λαμβάνουσα αρχή κοινοποιεί στην αιτούσα αρχή οιαδήποτε πληροφορία διαθέτει ή που περιέρχεται σε αυτήν ως αποτέλεσμα διοικητικών ερευνών, που, κατά πάσα πιθανότητα, έχει σημασία για την εφαρμογή και την επιβολή της εγχώριας νομοθεσίας των κρατών μελών όσον αφορά στους φόρους που εμπίπτουν στο πεδίο εφαρμογής της εν λόγω οδηγίας. Προκειμένου να διασφαλιστεί η αποτελεσματικότητα των ανταλλαγών πληροφοριών και να αποφευχθεί η αδικαιολόγητη απόρριψη αιτημάτων, αλλά και για να εξασφαλιστεί η ασφάλεια δικαίου και η σαφήνεια τόσο για τις φορολογικές διοικήσεις όσο και για τους φορολογουμένους, το πρότυπο της προβλέψιμης συνάφειας θα πρέπει να καθοριστεί σαφώς. Στο πλαίσιο αυτό, θα πρέπει επίσης να διευκρινιστεί ότι το πρότυπο της προβλέψιμης συνάφειας δεν θα πρέπει να εφαρμόζεται για αιτήματα για συμπληρωματικές πληροφορίες μετά την ανταλλαγή πληροφοριών σύμφωνα με το άρθρο 8α της οδηγίας 2011/16/ΕΕ σχετικά με εκ των προτέρων διασυνοριακή απόφαση ή εκ των προτέρων συμφωνία ενδοομιλικής τιμολόγησης. </w:t>
      </w:r>
    </w:p>
    <w:p>
      <w:pPr>
        <w:pStyle w:val="ManualConsidrant"/>
        <w:rPr>
          <w:noProof/>
        </w:rPr>
      </w:pPr>
      <w:r>
        <w:rPr>
          <w:noProof/>
        </w:rPr>
        <w:t>4)</w:t>
      </w:r>
      <w:r>
        <w:rPr>
          <w:noProof/>
        </w:rPr>
        <w:tab/>
        <w:t xml:space="preserve">Βάσει της πρακτικής εμπειρίας των φορολογικών διοικήσεων, σε ορισμένες περιπτώσεις υπάρχει ανάγκη αντιμετώπισης αιτημάτων παροχής πληροφορίες που αφορούν ομάδες φορολογουμένων που δεν μπορούν να προσδιοριστούν μεμονωμένα, αλλά μπορούν να περιγραφούν μόνο βάσει ενός κοινού συνόλου χαρακτηριστικών. Λαμβανομένου υπόψη αυτού, είναι απαραίτητο να δοθεί η δυνατότητα στις φορολογικές διοικήσεις να υποβάλλουν ομαδοποιημένα αιτήματα παροχής πληροφοριών. </w:t>
      </w:r>
    </w:p>
    <w:p>
      <w:pPr>
        <w:pStyle w:val="ManualConsidrant"/>
        <w:rPr>
          <w:noProof/>
        </w:rPr>
      </w:pPr>
      <w:r>
        <w:rPr>
          <w:noProof/>
        </w:rPr>
        <w:t>5)</w:t>
      </w:r>
      <w:r>
        <w:rPr>
          <w:noProof/>
        </w:rPr>
        <w:tab/>
        <w:t>Είναι σημαντικό να ανταλλάσσονται μεταξύ των κρατών μελών πληροφορίες που σχετίζονται με εισόδημα που προέρχεται από διανοητική ιδιοκτησία, καθώς αυτό είναι επιρρεπές σε συμφωνίες μετατόπισης κερδών λόγω της μεγάλης κινητικότητας των υποκείμενων στοιχείων του ενεργητικού. Ως εκ τούτου, τα δικαιώματα εκμετάλλευσης θα πρέπει να περιλαμβάνονται στις κατηγορίες εισοδήματος που υπόκεινται σε υποχρεωτική αυτόματη ανταλλαγή πληροφοριών με σκοπό τη βελτίωση της καταπολέμηση της φορολογικής απάτης, της φοροδιαφυγής και της φοροαποφυγής.</w:t>
      </w:r>
    </w:p>
    <w:p>
      <w:pPr>
        <w:pStyle w:val="ManualConsidrant"/>
        <w:rPr>
          <w:noProof/>
        </w:rPr>
      </w:pPr>
      <w:r>
        <w:rPr>
          <w:noProof/>
        </w:rPr>
        <w:t>6)</w:t>
      </w:r>
      <w:r>
        <w:rPr>
          <w:noProof/>
        </w:rPr>
        <w:tab/>
        <w:t>Η ψηφιοποίηση της οικονομίας αναπτύσσεται ραγδαία τα τελευταία χρόνια. Αυτό οδήγησε σε αυξανόμενο αριθμό σύνθετων καταστάσεων που συνδέονται με τη φοροδιαφυγή. Η διασυνοριακή διάσταση των υπηρεσιών που προσφέρονται μέσω της χρήσης φορέων εκμετάλλευσης ψηφιακών πλατφορμών έχει δημιουργήσει ένα σύνθετο περιβάλλον όπου μπορεί να είναι δύσκολο να επιβληθούν φορολογικοί κανόνες και να διασφαλιστεί η φορολογική συμμόρφωση. Η φορολογική συμμόρφωση είναι ανεπαρκής και η αξία του αδήλωτου εισοδήματος είναι σημαντική. Οι φορολογικές διοικήσεις των κρατών μελών δεν διαθέτουν επαρκείς πληροφορίες για την ορθή αξιολόγηση και τον έλεγχο του ακαθάριστου εισοδήματος που αποκτάται στη χώρα τους από εμπορικές δραστηριότητες που πραγματοποιούνται με τη διαμεσολάβηση ψηφιακών πλατφορμών. Αυτό είναι ιδιαίτερα προβληματικό όταν το εισόδημα ή το φορολογητέο ποσό διακινείται μέσω πλατφορμών εγκατεστημένων σε άλλη δικαιοδοσία.</w:t>
      </w:r>
    </w:p>
    <w:p>
      <w:pPr>
        <w:pStyle w:val="ManualConsidrant"/>
        <w:rPr>
          <w:noProof/>
        </w:rPr>
      </w:pPr>
      <w:r>
        <w:rPr>
          <w:noProof/>
        </w:rPr>
        <w:t>7)</w:t>
      </w:r>
      <w:r>
        <w:rPr>
          <w:noProof/>
        </w:rPr>
        <w:tab/>
        <w:t xml:space="preserve">Οι φορολογικές διοικήσεις συχνά ζητούν πληροφορίες από φορείς εκμετάλλευσης ψηφιακών πλατφορμών. Αυτό συνεπάγεται σημαντικό κόστος διαχείρισης και συμμόρφωσης για τους φορείς εκμετάλλευσης πλατφορμών. Παράλληλα, ορισμένα κράτη μέλη έχουν επιβάλει μονομερή υποχρέωση υποβολής στοιχείων, η οποία δημιουργεί πρόσθετη διοικητική επιβάρυνση για τους φορείς εκμετάλλευσης πλατφορμών, καθώς οφείλουν να συμμορφώνονται με πολλά εθνικά πρότυπα </w:t>
      </w:r>
      <w:r>
        <w:rPr>
          <w:noProof/>
        </w:rPr>
        <w:lastRenderedPageBreak/>
        <w:t>υποβολής στοιχείων. Θα ήταν επομένως απαραίτητο να εφαρμόζεται τυποποιημένη υποχρέωση υποβολής στοιχείων σε ολόκληρη την εσωτερική αγορά.</w:t>
      </w:r>
    </w:p>
    <w:p>
      <w:pPr>
        <w:pStyle w:val="ManualConsidrant"/>
        <w:rPr>
          <w:noProof/>
        </w:rPr>
      </w:pPr>
      <w:r>
        <w:rPr>
          <w:noProof/>
        </w:rPr>
        <w:t>8)</w:t>
      </w:r>
      <w:r>
        <w:rPr>
          <w:noProof/>
        </w:rPr>
        <w:tab/>
        <w:t xml:space="preserve">Λαμβανομένου υπόψη ότι το μεγαλύτερο μέρος του εισοδήματος ή των φορολογητέων ποσών των πωλητών σε ψηφιακές πλατφόρμες διακινείται διασυνοριακά, η υποβολή πληροφοριών που σχετίζονται με τη σχετική δραστηριότητα θα είχε πρόσθετα θετικά αποτελέσματα, εάν αυτές κοινοποιούνταν και στα κράτη μέλη που είναι επιλέξιμα για τη φορολόγηση του αποκτηθέντος εισοδήματος. Συγκεκριμένα, η αυτόματη ανταλλαγή πληροφοριών μεταξύ των φορολογικών αρχών είναι ζωτικής σημασίας προκειμένου οι τελευταίες να έχουν στη διάθεσή τους τις πληροφορίες που τους χρειάζονται για την κατάλληλη εκτίμηση του οφειλόμενο φόρου εισοδήματος και του ΦΠΑ. </w:t>
      </w:r>
    </w:p>
    <w:p>
      <w:pPr>
        <w:pStyle w:val="ManualConsidrant"/>
        <w:rPr>
          <w:noProof/>
        </w:rPr>
      </w:pPr>
      <w:r>
        <w:rPr>
          <w:noProof/>
        </w:rPr>
        <w:t>9)</w:t>
      </w:r>
      <w:r>
        <w:rPr>
          <w:noProof/>
        </w:rPr>
        <w:tab/>
        <w:t xml:space="preserve">Για να διασφαλιστεί η ορθή λειτουργία της εσωτερικής αγοράς, θα πρέπει ο σχεδιασμός των κανόνων υποβολής στοιχείων να είναι αποτελεσματικός αλλά απλός. Αναγνωρίζοντας τις δυσκολίες στην ανίχνευση φορολογητέων πράξεων που προκύπτουν κατά τη διενέργεια εμπορικής δραστηριότητας που διευκολύνεται μέσω ψηφιακών πλατφορμών και λαμβανομένης επίσης υπόψη της πρόσθετης διοικητικής επιβάρυνσης που θα πρέπει να αντιμετωπίσουν οι φορολογικές διοικήσεις σε μια τέτοια περίπτωση, είναι απαραίτητο να επιβληθεί υποχρέωση υποβολής στοιχείων στους φορείς εκμετάλλευσης πλατφορμών. Οι φορείς εκμετάλλευσης πλατφορμών έχουν περισσότερες δυνατότητες να συλλέγουν και να επαληθεύουν τις απαραίτητες πληροφορίες για όλους τους πωλητές που δραστηριοποιούνται και χρησιμοποιούν συγκεκριμένη πλατφόρμα. </w:t>
      </w:r>
    </w:p>
    <w:p>
      <w:pPr>
        <w:pStyle w:val="ManualConsidrant"/>
        <w:rPr>
          <w:noProof/>
        </w:rPr>
      </w:pPr>
      <w:r>
        <w:rPr>
          <w:noProof/>
        </w:rPr>
        <w:t>10)</w:t>
      </w:r>
      <w:r>
        <w:rPr>
          <w:noProof/>
        </w:rPr>
        <w:tab/>
        <w:t>Δεδομένης της ευρείας χρήσης ψηφιακών πλατφορμών στην διενέργεια εμπορικών δραστηριοτήτων, τόσο από ιδιώτες όσο και από οντότητες, είναι σημαντικό να διασφαλιστεί ότι οι πληροφορίες μπορούν να υποβληθούν ανεξάρτητα από τη νομική φύση του πωλητή. Ωστόσο, θα πρέπει να προβλεφθεί εξαίρεση για κρατικές οντότητες που δεν θα πρέπει να περιλαμβάνονται στην υποχρέωση υποβολής στοιχείων.</w:t>
      </w:r>
    </w:p>
    <w:p>
      <w:pPr>
        <w:pStyle w:val="ManualConsidrant"/>
        <w:rPr>
          <w:noProof/>
        </w:rPr>
      </w:pPr>
      <w:r>
        <w:rPr>
          <w:noProof/>
        </w:rPr>
        <w:t>11)</w:t>
      </w:r>
      <w:r>
        <w:rPr>
          <w:noProof/>
        </w:rPr>
        <w:tab/>
        <w:t>Η δήλωση του εισοδήματος που αποκτάται μέσω τέτοιων δραστηριοτήτων θα πρέπει να παρέχει στις φορολογικές διοικήσεις ένα πλήρες σύνολο πληροφοριών που είναι απαραίτητες για την ορθή εκτίμηση του οφειλόμενου φόρου εισοδήματος.</w:t>
      </w:r>
    </w:p>
    <w:p>
      <w:pPr>
        <w:pStyle w:val="ManualConsidrant"/>
        <w:rPr>
          <w:noProof/>
        </w:rPr>
      </w:pPr>
      <w:r>
        <w:rPr>
          <w:noProof/>
        </w:rPr>
        <w:t>12)</w:t>
      </w:r>
      <w:r>
        <w:rPr>
          <w:noProof/>
        </w:rPr>
        <w:tab/>
        <w:t>Για λόγους απλούστευσης και περιορισμού του κόστους συμμόρφωσης, θα ήταν εύλογο να απαιτείται από τους φορείς εκμετάλλευσης πλατφόρμας να δηλώνουν το εισόδημα που έχουν αποκτήσει οι πωλητές μέσω της χρήσης της πλατφόρμας σε ένα μόνο κράτος μέλος.</w:t>
      </w:r>
    </w:p>
    <w:p>
      <w:pPr>
        <w:pStyle w:val="ManualConsidrant"/>
        <w:rPr>
          <w:noProof/>
        </w:rPr>
      </w:pPr>
      <w:r>
        <w:rPr>
          <w:noProof/>
        </w:rPr>
        <w:t>13)</w:t>
      </w:r>
      <w:r>
        <w:rPr>
          <w:noProof/>
        </w:rPr>
        <w:tab/>
        <w:t>Δεδομένου του ψηφιακού χαρακτήρα και της ευελιξίας των ψηφιακών πλατφορμών, η υποχρέωση υποβολής στοιχείων θα πρέπει να επεκτείνεται σε εκείνους τους φορείς εκμετάλλευσης πλατφορμών που ασκούν εμπορική δραστηριότητα στην Ένωση, αλλά δεν έχουν τη φορολογική κατοικία τους, ούτε έχουν συσταθεί ή έχουν διοικητική έδρα ή μόνιμη εγκατάσταση σε κράτος μέλος. Αυτό θα εξασφαλίσει ίσους όρους ανταγωνισμού μεταξύ των πλατφορμών και θα αποτρέψει τον αθέμιτο ανταγωνισμό. Για να διευκολυνθεί η διαδικασία αυτή, θα πρέπει να απαιτείται από τις ξένες πλατφόρμες να καταχωρίζονται και να υποβάλλουν στοιχεία σε ένα μόνο κράτος μέλος για την άσκηση δραστηριότητας στην εσωτερική αγορά.</w:t>
      </w:r>
    </w:p>
    <w:p>
      <w:pPr>
        <w:pStyle w:val="ManualConsidrant"/>
        <w:rPr>
          <w:noProof/>
        </w:rPr>
      </w:pPr>
      <w:r>
        <w:rPr>
          <w:noProof/>
        </w:rPr>
        <w:t>14)</w:t>
      </w:r>
      <w:r>
        <w:rPr>
          <w:noProof/>
        </w:rPr>
        <w:tab/>
        <w:t xml:space="preserve">Λαμβανομένων υπόψη των εξελίξεων στην ψηφιοποιημένη οικονομία, η υποβολή στοιχείων σχετικά με εμπορική δραστηριότητα θα πρέπει να περιλαμβάνει την μίσθωση ακινήτων, τις προσωπικές υπηρεσίες, τις πωλήσεις αγαθών, τη μίσθωση οποιουδήποτε μέσου μεταφοράς, καθώς και τις επενδύσεις και τον δανεισμό στο </w:t>
      </w:r>
      <w:r>
        <w:rPr>
          <w:noProof/>
        </w:rPr>
        <w:lastRenderedPageBreak/>
        <w:t>πλαίσιο συμμετοχικής χρηματοδότησης. Οι δραστηριότητες που πραγματοποιούνται από πωλητή που ενεργεί ως υπάλληλος του φορέα εκμετάλλευσης πλατφόρμας δεν θα πρέπει να εμπίπτουν στο πεδίο της υποβολής στοιχείων.</w:t>
      </w:r>
    </w:p>
    <w:p>
      <w:pPr>
        <w:pStyle w:val="ManualConsidrant"/>
        <w:rPr>
          <w:noProof/>
        </w:rPr>
      </w:pPr>
      <w:r>
        <w:rPr>
          <w:noProof/>
        </w:rPr>
        <w:t>15)</w:t>
      </w:r>
      <w:r>
        <w:rPr>
          <w:noProof/>
        </w:rPr>
        <w:tab/>
        <w:t>Ο στόχος της πρόληψης της φοροδιαφυγής και της φοροαποφυγής θα μπορούσε να διασφαλιστεί με τη θέσπιση απαίτησης για τους φορείς εκμετάλλευσης ψηφιακών πλατφορμών να δηλώνουν το εισόδημα που έχει αποκτηθεί μέσω πλατφορμών σε πρώιμο στάδιο, πριν οι εθνικές φορολογικές αρχές πραγματοποιήσουν τις ετήσιες φορολογικές εκτιμήσεις τους. Για να διευκολυνθεί το έργο των φορολογικών αρχών των κρατών μελών, οι υποβληθείσες πληροφορίες θα πρέπει να ανταλλάσσονται εντός ενός μηνός από την υποβολή των στοιχείων. Προκειμένου να διευκολυνθεί η αυτόματη ανταλλαγή πληροφοριών και να ενισχυθεί η αποδοτική χρήση των πόρων, οι ανταλλαγές θα πρέπει να γίνονται ηλεκτρονικά μέσω του υφιστάμενου κοινού δικτύου επικοινωνιών (CCN) που έχει αναπτύξει η Ένωση.</w:t>
      </w:r>
    </w:p>
    <w:p>
      <w:pPr>
        <w:pStyle w:val="ManualConsidrant"/>
        <w:rPr>
          <w:noProof/>
        </w:rPr>
      </w:pPr>
      <w:r>
        <w:rPr>
          <w:noProof/>
        </w:rPr>
        <w:t>16)</w:t>
      </w:r>
      <w:r>
        <w:rPr>
          <w:noProof/>
        </w:rPr>
        <w:tab/>
        <w:t>Η αξιολόγηση της οδηγίας 2011/16/ΕΕ που διενήργησε η Επιτροπή κατέδειξε την ανάγκη συνεπούς παρακολούθησης της αποτελεσματικότητας στην εφαρμογή της εν λόγω οδηγίας και των εθνικών διατάξεων περί μεταφοράς στο εσωτερικό δίκαιο που καθιστούν δυνατή την εν λόγω εφαρμογή. Προκειμένου η Επιτροπή να συνεχίσει να παρακολουθεί και να αξιολογεί σωστά την αποτελεσματικότητα των αυτόματων ανταλλαγών πληροφοριών βάσει της οδηγίας 2011/16/ΕΕ, τα κράτη μέλη θα πρέπει να υποχρεούνται να κοινοποιούν τα στατιστικά στοιχεία σχετικά με τις εν λόγω ανταλλαγές στην Επιτροπή σε ετήσια βάση.</w:t>
      </w:r>
    </w:p>
    <w:p>
      <w:pPr>
        <w:pStyle w:val="ManualConsidrant"/>
        <w:rPr>
          <w:noProof/>
        </w:rPr>
      </w:pPr>
      <w:r>
        <w:rPr>
          <w:noProof/>
        </w:rPr>
        <w:t>17)</w:t>
      </w:r>
      <w:r>
        <w:rPr>
          <w:noProof/>
        </w:rPr>
        <w:tab/>
        <w:t xml:space="preserve">Είναι απαραίτητο να ενισχυθούν οι μηχανισμοί της οδηγίας 2011/16/ΕΕ σχετικά με την παρουσία εφοριακών υπαλλήλων ενός κράτους μέλους στο έδαφος ενός άλλου κράτους μέλους και τη διενέργεια ταυτόχρονων ελέγχων από δύο ή περισσότερα κράτη μέλη προκειμένου να εξασφαλιστεί η αποτελεσματική εφαρμογή τους. Συνεπώς, οι απαντήσεις σε αιτήματα για την παρουσία υπαλλήλων άλλου κράτους μέλους και τη διενέργεια ταυτόχρονων ελέγχων θα πρέπει να παρέχονται εντός καθορισμένης προθεσμίας. Όταν ξένοι υπάλληλοι είναι παρόντες στο έδαφος άλλου κράτους μέλους κατά τη διάρκεια διοικητικής έρευνας ή συμμετέχουν μέσω της χρήσης ηλεκτρονικών μέσων επικοινωνίας, θα πρέπει να τους δίνεται η δυνατότητα να διεξάγουν συνέντευξη με άτομα και να εξετάζουν φακέλους. </w:t>
      </w:r>
    </w:p>
    <w:p>
      <w:pPr>
        <w:pStyle w:val="ManualConsidrant"/>
        <w:rPr>
          <w:noProof/>
        </w:rPr>
      </w:pPr>
      <w:r>
        <w:rPr>
          <w:noProof/>
        </w:rPr>
        <w:t>18)</w:t>
      </w:r>
      <w:r>
        <w:rPr>
          <w:noProof/>
        </w:rPr>
        <w:tab/>
        <w:t>Ένα κράτος μέλος που προτίθεται να διενεργήσει ταυτόχρονο έλεγχο οφείλει να κοινοποιεί την πρόθεσή του αυτή στα άλλα ενδιαφερόμενα κράτη μέλη. Η αρμόδια αρχή κάθε ενδιαφερόμενου κράτους μέλους είναι υποχρεωμένη να απαντά στη σχετική πρόταση, ωστόσο είναι σημαντικό να διασφαλιστεί ότι η απάντηση θα δίνεται εντός εύλογης προθεσμίας. Επομένως, η αρμόδια αρχή κάθε ενδιαφερόμενου κράτους μέλους θα πρέπει να απαντά στην πρόταση εντός 30 ημερών από την παραλαβή της.</w:t>
      </w:r>
    </w:p>
    <w:p>
      <w:pPr>
        <w:pStyle w:val="ManualConsidrant"/>
        <w:rPr>
          <w:noProof/>
        </w:rPr>
      </w:pPr>
      <w:r>
        <w:rPr>
          <w:noProof/>
        </w:rPr>
        <w:t>19)</w:t>
      </w:r>
      <w:r>
        <w:rPr>
          <w:noProof/>
        </w:rPr>
        <w:tab/>
        <w:t>Οι πολυμερείς έλεγχοι που διενεργήθηκαν με την υποστήριξη του προγράμματος Fiscalis 2020 που θεσπίστηκε με τον κανονισμό (ΕΕ) αριθ. 1286/2013 του Ευρωπαϊκού Κοινοβουλίου και του Συμβουλίου</w:t>
      </w:r>
      <w:r>
        <w:rPr>
          <w:rStyle w:val="FootnoteReference"/>
          <w:noProof/>
        </w:rPr>
        <w:footnoteReference w:id="23"/>
      </w:r>
      <w:r>
        <w:rPr>
          <w:noProof/>
        </w:rPr>
        <w:t xml:space="preserve"> κατέδειξαν το όφελος των συντονισμένων ελέγχων ενός ή περισσοτέρων φορολογουμένων που παρουσιάζουν κοινό ή συμπληρωματικό ενδιαφέρον για δύο ή περισσότερες φορολογικές διοικήσεις στην Ένωση. Καθώς δεν υπάρχει σαφής νομική βάση για τη διενέργεια κοινών ελέγχων, οι εν λόγω κοινές δράσεις πραγματοποιούνται επί του παρόντος βάσει των </w:t>
      </w:r>
      <w:r>
        <w:rPr>
          <w:noProof/>
        </w:rPr>
        <w:lastRenderedPageBreak/>
        <w:t>συνδυασμένων διατάξεων της οδηγίας 2011/16/ΕΕ σχετικά με την παρουσία εφοριακών υπαλλήλων ενός κράτους μέλους στο έδαφος ενός άλλου κράτους μέλους και τη διενέργεια ταυτόχρονων ελέγχων Ωστόσο, σε πολλές περιπτώσεις η πρακτική αυτή έχει αποδειχθεί ανεπαρκής και στερείται νομικής σαφήνειας και ασφάλειας δικαίου.</w:t>
      </w:r>
    </w:p>
    <w:p>
      <w:pPr>
        <w:pStyle w:val="ManualConsidrant"/>
        <w:rPr>
          <w:noProof/>
        </w:rPr>
      </w:pPr>
      <w:r>
        <w:rPr>
          <w:noProof/>
        </w:rPr>
        <w:t>20)</w:t>
      </w:r>
      <w:r>
        <w:rPr>
          <w:noProof/>
        </w:rPr>
        <w:tab/>
        <w:t>Τα κράτη μέλη πρέπει να θεσπίσουν σαφές και αποτελεσματικό νομικό πλαίσιο που θα δίνει στις φορολογικές αρχές τους τη δυνατότητα να διενεργούν κοινούς ελέγχους προσώπων με διασυνοριακή δραστηριότητα. Οι κοινοί έλεγχοι είναι διοικητικές έρευνες που διενεργούνται από κοινού από τις αρμόδιες αρχές δύο ή περισσοτέρων κρατών μελών, για την εξέταση υπόθεσης που συνδέεται με ένα ή περισσότερα πρόσωπα που παρουσιάζουν κοινό ή συμπληρωματικό ενδιαφέρον για τα εν λόγω κράτη μέλη. Οι κοινοί έλεγχοι μπορούν να διαδραματίσουν σημαντικό ρόλο, συνεισφέροντας στην καλύτερη λειτουργία της εσωτερικής αγοράς. Οι κοινοί έλεγχοι θα πρέπει να είναι δομημένοι έτσι ώστε να παρέχουν ασφάλεια δικαίου στους φορολογούμενους μέσω σαφών διαδικαστικών κανόνων, μεταξύ άλλων για τον μετριασμό του κινδύνου διπλής φορολογίας.</w:t>
      </w:r>
    </w:p>
    <w:p>
      <w:pPr>
        <w:pStyle w:val="ManualConsidrant"/>
        <w:rPr>
          <w:noProof/>
        </w:rPr>
      </w:pPr>
      <w:r>
        <w:rPr>
          <w:noProof/>
        </w:rPr>
        <w:t>21)</w:t>
      </w:r>
      <w:r>
        <w:rPr>
          <w:noProof/>
        </w:rPr>
        <w:tab/>
        <w:t>Προκειμένου να διασφαλιστεί η αποτελεσματικότητα της διαδικασίας, οι απαντήσεις σε αιτήματα για κοινούς ελέγχους θα πρέπει να παρέχονται εντός ορισμένης προθεσμίας. Οι απορρίψεις αιτημάτων πρέπει να είναι δεόντως αιτιολογημένες. Οι διαδικαστικές ρυθμίσεις που εφαρμόζονται σε κοινό έλεγχο θα πρέπει να είναι εκείνες του κράτους μέλους στο οποίο πραγματοποιείται η σχετική διαδικασία ελέγχου. Αντίστοιχα, τα αποδεικτικά στοιχεία που συλλέγονται κατά τη διάρκεια κοινού ελέγχου θα πρέπει να αναγνωρίζονται αμοιβαία από το(τα) συμμετέχον(-τα) κράτος(-η) μέλος(-η). Είναι εξίσου σημαντικό οι αρμόδιες αρχές να συμφωνούν για τα πραγματικά περιστατικά και τις περιστάσεις της υπόθεσης και να προσπαθούν να καταλήξουν σε συμφωνία σχετικά με τον τρόπο ερμηνείας της φορολογικής κατάστασης του(των) ελεγμένου(-ων) προσώπου(-ων). Προκειμένου να διασφαλιστεί ότι το αποτέλεσμα ενός κοινού ελέγχου μπορεί να εφαρμοστεί στα συμμετέχοντα κράτη μέλη, η τελική έκθεση θα πρέπει να έχει ισοδύναμη νομική ισχύ με τα σχετικά εθνικά μέσα που εκδίδονται ως αποτέλεσμα ελέγχου στα συμμετέχοντα κράτη μέλη. Όπου είναι απαραίτητο, τα κράτη μέλη θα πρέπει να διαθέτουν νομικό πλαίσιο για την πραγματοποίηση αντίστοιχης προσαρμογής.</w:t>
      </w:r>
    </w:p>
    <w:p>
      <w:pPr>
        <w:pStyle w:val="ManualConsidrant"/>
        <w:rPr>
          <w:noProof/>
        </w:rPr>
      </w:pPr>
      <w:r>
        <w:rPr>
          <w:noProof/>
        </w:rPr>
        <w:t>22)</w:t>
      </w:r>
      <w:r>
        <w:rPr>
          <w:noProof/>
        </w:rPr>
        <w:tab/>
        <w:t>Αναγνωρίζοντας ότι οι κοινοί έλεγχοι βασίζονται στην αμοιβαία εμπιστοσύνη μεταξύ των αρμόδιων αρχών των συμμετεχόντων κρατών μελών, η ανταλλαγή πληροφοριών σχετικά με εμπορικό, βιομηχανικό ή επαγγελματικό απόρρητο, εμπορική διαδικασία ή πληροφορία της οποίας η κοινοποίηση αντιβαίνει στη δημόσια τάξη, δεν θα πρέπει να απορρίπτεται στο πλαίσιο κοινού ελέγχου. Αυτές οι ανταλλασσόμενες πληροφορίες θα πρέπει ωστόσο να παραμένουν εμπιστευτικές και να μην κοινοποιούνται σε τρίτους.</w:t>
      </w:r>
    </w:p>
    <w:p>
      <w:pPr>
        <w:pStyle w:val="ManualConsidrant"/>
        <w:rPr>
          <w:noProof/>
        </w:rPr>
      </w:pPr>
      <w:r>
        <w:rPr>
          <w:noProof/>
        </w:rPr>
        <w:t>23)</w:t>
      </w:r>
      <w:r>
        <w:rPr>
          <w:noProof/>
        </w:rPr>
        <w:tab/>
        <w:t xml:space="preserve">Είναι επίσης σημαντικό να διασφαλιστεί η αποτελεσματική ανταλλαγή πληροφοριών κατόπιν αιτήματος και συνεργασία μεταξύ των αρμόδιων αρχών. Επομένως, οι αρμόδιες αρχές που λαμβάνουν πληροφορίες σύμφωνα με τα άρθρα 5 ή 9 της οδηγίας 2011/16/ΕΕ θα πρέπει να υποχρεούνται να παρέχουν ανατροφοδότηση στην αρμόδια αρχή που παρέσχε τις εν λόγω πληροφορίες σχετικά με όλες τις ανταλλαγές κατόπιν αιτήματος εντός 30 ημερών από τη γνωστοποίηση της έκβασης της χρησιμοποίησης των ζητούμενων πληροφοριών. </w:t>
      </w:r>
    </w:p>
    <w:p>
      <w:pPr>
        <w:pStyle w:val="ManualConsidrant"/>
        <w:rPr>
          <w:noProof/>
        </w:rPr>
      </w:pPr>
      <w:r>
        <w:rPr>
          <w:noProof/>
        </w:rPr>
        <w:t>24)</w:t>
      </w:r>
      <w:r>
        <w:rPr>
          <w:noProof/>
        </w:rPr>
        <w:tab/>
        <w:t xml:space="preserve">Είναι σημαντικό, κατ’ αρχήν, οι πληροφορίες που κοινοποιούνται βάσει της οδηγίας 2011/16/ΕΕ να χρησιμοποιούνται για την εκτίμηση, τη διαχείριση και την </w:t>
      </w:r>
      <w:r>
        <w:rPr>
          <w:noProof/>
        </w:rPr>
        <w:lastRenderedPageBreak/>
        <w:t>επιβολή φόρων που καλύπτονται από το ουσιαστικό πεδίο εφαρμογής της εν λόγω οδηγίας. Με αυτό το δεδομένο και λαμβανομένης υπόψη της σημασίας που έχει ο ΦΠΑ για τη λειτουργία της εσωτερικής αγοράς, είναι σκόπιμο να διευκρινιστεί ότι οι πληροφορίες που κοινοποιούνται μεταξύ των κρατών μελών μπορούν επίσης να χρησιμοποιηθούν για την εκτίμηση, τη διαχείριση και την επιβολή του ΦΠΑ και άλλων έμμεσων φόρων.</w:t>
      </w:r>
    </w:p>
    <w:p>
      <w:pPr>
        <w:pStyle w:val="ManualConsidrant"/>
        <w:rPr>
          <w:noProof/>
        </w:rPr>
      </w:pPr>
      <w:r>
        <w:rPr>
          <w:noProof/>
        </w:rPr>
        <w:t>25)</w:t>
      </w:r>
      <w:r>
        <w:rPr>
          <w:noProof/>
        </w:rPr>
        <w:tab/>
        <w:t>Είναι σημαντική η αποτελεσματική προστασία των δεδομένων προσωπικού χαρακτήρα που ανταλλάσσονται μεταξύ των κρατών μελών βάσει της οδηγίας 2011/16/ΕΕ. Εάν υπάρχει παραβίαση δεδομένων προσωπικού χαρακτήρα κατά την έννοια του άρθρου 4 σημείο 12 του κανονισμού (ΕΕ) 2016/679 του Ευρωπαϊκού Κοινοβουλίου και του Συμβουλίου</w:t>
      </w:r>
      <w:r>
        <w:rPr>
          <w:rStyle w:val="FootnoteReference"/>
          <w:noProof/>
        </w:rPr>
        <w:footnoteReference w:id="24"/>
      </w:r>
      <w:r>
        <w:rPr>
          <w:noProof/>
        </w:rPr>
        <w:t xml:space="preserve"> σε ένα ή περισσότερα κράτη μέλη, τα κράτη μέλη, ως από κοινού υπεύθυνοι επεξεργασίας των δεδομένων, θα πρέπει να αποφασίζουν εάν η παραβίαση απαιτεί την αναστολή της ανταλλαγής πληροφοριών με το(τα) κράτος(-η) μέλος(-η) όπου διαπράχθηκε η παραβίαση και κατά πόσο η Επιτροπή, ως εκτελών την επεξεργασία, θα πρέπει να κληθεί να αναστείλει τέτοιες ανταλλαγές. Η αναστολή θα πρέπει να διαρκέσει μέχρι τα κράτη μέλη να ζητήσουν από την Επιτροπή να επιτρέψει και πάλι την ανταλλαγή πληροφοριών βάσει της οδηγίας 2011/16/ΕΕ με το κράτος μέλος στο οποίο διαπράχθηκε η παραβίαση.</w:t>
      </w:r>
    </w:p>
    <w:p>
      <w:pPr>
        <w:pStyle w:val="ManualConsidrant"/>
        <w:rPr>
          <w:noProof/>
        </w:rPr>
      </w:pPr>
      <w:r>
        <w:rPr>
          <w:noProof/>
        </w:rPr>
        <w:t>26)</w:t>
      </w:r>
      <w:r>
        <w:rPr>
          <w:noProof/>
        </w:rPr>
        <w:tab/>
        <w:t>Προκειμένου να εξασφαλιστούν ενιαίοι όροι για την εφαρμογή της οδηγίας 2011/16/ΕΕ και, ιδίως, για την αυτόματη ανταλλαγή πληροφοριών μεταξύ των φορολογικών αρχών, θα πρέπει να ανατεθούν εκτελεστικές αρμοδιότητες στην Επιτροπή να εγκρίνει τυποποιημένο έντυπο με περιορισμένο αριθμό στοιχείων, περιλαμβανομένων των γλωσσικών ρυθμίσεων. Οι εν λόγω αρμοδιότητες θα πρέπει να ασκούνται σύμφωνα με τον κανονισμό (ΕΕ) αριθ. 182/2011 του Ευρωπαϊκού Κοινοβουλίου και του Συμβουλίου</w:t>
      </w:r>
      <w:r>
        <w:rPr>
          <w:rStyle w:val="FootnoteReference"/>
          <w:noProof/>
        </w:rPr>
        <w:footnoteReference w:id="25"/>
      </w:r>
      <w:r>
        <w:rPr>
          <w:noProof/>
        </w:rPr>
        <w:t>.</w:t>
      </w:r>
    </w:p>
    <w:p>
      <w:pPr>
        <w:pStyle w:val="ManualConsidrant"/>
        <w:rPr>
          <w:noProof/>
        </w:rPr>
      </w:pPr>
      <w:r>
        <w:rPr>
          <w:noProof/>
        </w:rPr>
        <w:t>27)</w:t>
      </w:r>
      <w:r>
        <w:rPr>
          <w:noProof/>
        </w:rPr>
        <w:tab/>
        <w:t>Ο Ευρωπαίος Επόπτης Προστασίας Δεδομένων κλήθηκε να γνωμοδοτήσει σύμφωνα με το άρθρο 42 του κανονισμού (ΕΚ) αριθ. 2018/1725 του Ευρωπαϊκού Κοινοβουλίου και του Συμβουλίου</w:t>
      </w:r>
      <w:r>
        <w:rPr>
          <w:rStyle w:val="FootnoteReference"/>
          <w:noProof/>
        </w:rPr>
        <w:footnoteReference w:id="26"/>
      </w:r>
      <w:r>
        <w:rPr>
          <w:noProof/>
        </w:rPr>
        <w:t>.</w:t>
      </w:r>
    </w:p>
    <w:p>
      <w:pPr>
        <w:pStyle w:val="ManualConsidrant"/>
        <w:rPr>
          <w:noProof/>
        </w:rPr>
      </w:pPr>
      <w:r>
        <w:rPr>
          <w:noProof/>
        </w:rPr>
        <w:t>28)</w:t>
      </w:r>
      <w:r>
        <w:rPr>
          <w:noProof/>
        </w:rPr>
        <w:tab/>
        <w:t xml:space="preserve">Οποιαδήποτε επεξεργασία δεδομένων προσωπικού χαρακτήρα που πραγματοποιείται στο πλαίσιο της παρούσας οδηγίας θα πρέπει να συμμορφώνεται με τον κανονισμό (ΕΕ) 2016/679 και τον κανονισμό (ΕΕ) 2018/1725. </w:t>
      </w:r>
    </w:p>
    <w:p>
      <w:pPr>
        <w:pStyle w:val="ManualConsidrant"/>
        <w:rPr>
          <w:noProof/>
        </w:rPr>
      </w:pPr>
      <w:r>
        <w:rPr>
          <w:noProof/>
        </w:rPr>
        <w:t>29)</w:t>
      </w:r>
      <w:r>
        <w:rPr>
          <w:noProof/>
        </w:rPr>
        <w:tab/>
        <w:t xml:space="preserve">Η παρούσα οδηγία σέβεται τα θεμελιώδη δικαιώματα και τηρεί τις αρχές που κατοχυρώνει, ιδίως, ο Χάρτης Θεμελιωδών Δικαιωμάτων της Ευρωπαϊκής Ένωσης. </w:t>
      </w:r>
    </w:p>
    <w:p>
      <w:pPr>
        <w:pStyle w:val="ManualConsidrant"/>
        <w:rPr>
          <w:noProof/>
        </w:rPr>
      </w:pPr>
      <w:r>
        <w:rPr>
          <w:noProof/>
        </w:rPr>
        <w:t>30)</w:t>
      </w:r>
      <w:r>
        <w:rPr>
          <w:noProof/>
        </w:rPr>
        <w:tab/>
        <w:t xml:space="preserve">Ο στόχος της παρούσας οδηγίας, δηλαδή η αποτελεσματική διοικητική συνεργασία μεταξύ κρατών μελών κατά τρόπο συμβατό με την εύρυθμη λειτουργία της εσωτερικής αγοράς, δεν είναι δυνατόν να επιτευχθεί επαρκώς από τα κράτη μέλη.  Ο </w:t>
      </w:r>
      <w:r>
        <w:rPr>
          <w:noProof/>
        </w:rPr>
        <w:lastRenderedPageBreak/>
        <w:t>στόχος της για τη βελτίωση της συνεργασίας μεταξύ των φορολογικών διοικήσεων απαιτεί ενιαίους κανόνες που μπορούν να είναι αποτελεσματικοί σε διασυνοριακές καταστάσεις και συνεπώς μπορεί να επιτευχθεί καλύτερα σε επίπεδο Ένωσης. Η Ένωση μπορεί να λάβει μέτρα, σύμφωνα με την αρχή της επικουρικότητας, όπως ορίζεται στο άρθρο 5 της Συνθήκης για την Ευρωπαϊκή Ένωση. Σύμφωνα με την αρχή της αναλογικότητας, η οποία προβλέπεται στο εν λόγω άρθρο, η παρούσα οδηγία δεν υπερβαίνει τα αναγκαία για την επίτευξη των προαναφερθέντων στόχων,</w:t>
      </w:r>
    </w:p>
    <w:p>
      <w:pPr>
        <w:pStyle w:val="ManualConsidrant"/>
        <w:rPr>
          <w:noProof/>
        </w:rPr>
      </w:pPr>
      <w:r>
        <w:rPr>
          <w:noProof/>
        </w:rPr>
        <w:t>31)</w:t>
      </w:r>
      <w:r>
        <w:rPr>
          <w:noProof/>
        </w:rPr>
        <w:tab/>
        <w:t>Η οδηγία 2011/16/ΕΚ θα πρέπει, συνεπώς, να τροποποιηθεί αναλόγως,</w:t>
      </w:r>
    </w:p>
    <w:p>
      <w:pPr>
        <w:pStyle w:val="Formuledadoption"/>
        <w:rPr>
          <w:noProof/>
        </w:rPr>
      </w:pPr>
      <w:r>
        <w:rPr>
          <w:noProof/>
        </w:rPr>
        <w:t>ΕΞΕΔΩΣΕ ΤΗΝ ΠΑΡΟΥΣΑ ΟΔΗΓΙΑ:</w:t>
      </w:r>
    </w:p>
    <w:p>
      <w:pPr>
        <w:pStyle w:val="Titrearticle"/>
        <w:rPr>
          <w:noProof/>
        </w:rPr>
      </w:pPr>
      <w:r>
        <w:rPr>
          <w:noProof/>
        </w:rPr>
        <w:t>Άρθρο 1</w:t>
      </w:r>
    </w:p>
    <w:p>
      <w:pPr>
        <w:rPr>
          <w:noProof/>
        </w:rPr>
      </w:pPr>
      <w:r>
        <w:rPr>
          <w:noProof/>
        </w:rPr>
        <w:t>Η οδηγία 2011/16/ΕΕ τροποποιείται ως εξής:</w:t>
      </w:r>
    </w:p>
    <w:p>
      <w:pPr>
        <w:pStyle w:val="Point0"/>
        <w:rPr>
          <w:noProof/>
        </w:rPr>
      </w:pPr>
      <w:r>
        <w:rPr>
          <w:noProof/>
        </w:rPr>
        <w:t>1)</w:t>
      </w:r>
      <w:r>
        <w:rPr>
          <w:noProof/>
        </w:rPr>
        <w:tab/>
        <w:t xml:space="preserve">Στο άρθρο 3, το σημείο 9 τροποποιείται ως εξής: </w:t>
      </w:r>
    </w:p>
    <w:p>
      <w:pPr>
        <w:pStyle w:val="Point1"/>
        <w:rPr>
          <w:noProof/>
        </w:rPr>
      </w:pPr>
      <w:r>
        <w:rPr>
          <w:noProof/>
        </w:rPr>
        <w:t>α)</w:t>
      </w:r>
      <w:r>
        <w:rPr>
          <w:noProof/>
        </w:rPr>
        <w:tab/>
        <w:t>Το στοιχείο α) του πρώτου εδαφίου αντικαθίσταται από το ακόλουθο κείμενο:</w:t>
      </w:r>
    </w:p>
    <w:p>
      <w:pPr>
        <w:pStyle w:val="Point2"/>
        <w:rPr>
          <w:noProof/>
        </w:rPr>
      </w:pPr>
      <w:r>
        <w:rPr>
          <w:noProof/>
        </w:rPr>
        <w:t>«α)</w:t>
      </w:r>
      <w:r>
        <w:rPr>
          <w:noProof/>
        </w:rPr>
        <w:tab/>
        <w:t>για τους σκοπούς του άρθρου 8 παράγραφος 1 και των άρθρων 8α, 8αα, 8αβ και 8αγ, η συστηματική κοινοποίηση σε άλλο κράτος μέλος, χωρίς προηγούμενο αίτημα, προκαθορισμένων πληροφοριών ανά καθορισμένα εκ των προτέρων τακτά διαστήματα.»</w:t>
      </w:r>
    </w:p>
    <w:p>
      <w:pPr>
        <w:pStyle w:val="Point1"/>
        <w:rPr>
          <w:noProof/>
        </w:rPr>
      </w:pPr>
      <w:r>
        <w:rPr>
          <w:noProof/>
        </w:rPr>
        <w:t>β)</w:t>
      </w:r>
      <w:r>
        <w:rPr>
          <w:noProof/>
        </w:rPr>
        <w:tab/>
        <w:t>Το στοιχείο γ) του πρώτου εδαφίου αντικαθίσταται από το ακόλουθο κείμενο:</w:t>
      </w:r>
    </w:p>
    <w:p>
      <w:pPr>
        <w:pStyle w:val="Point2"/>
        <w:rPr>
          <w:noProof/>
        </w:rPr>
      </w:pPr>
      <w:r>
        <w:rPr>
          <w:noProof/>
        </w:rPr>
        <w:t>«γ)</w:t>
      </w:r>
      <w:r>
        <w:rPr>
          <w:noProof/>
        </w:rPr>
        <w:tab/>
        <w:t>για τους σκοπούς των διατάξεων της παρούσας οδηγίας πλην του άρθρου 8 παράγραφος 1, του άρθρου 8 παράγραφος 3α και των άρθρων 8α, 8αα και 8αγ, η συστηματική κοινοποίηση προκαθορισμένων πληροφοριών που προβλέπεται στα στοιχεία α) και β) του παρόντος σημείου.»</w:t>
      </w:r>
    </w:p>
    <w:p>
      <w:pPr>
        <w:pStyle w:val="Point1"/>
        <w:rPr>
          <w:noProof/>
        </w:rPr>
      </w:pPr>
      <w:r>
        <w:rPr>
          <w:noProof/>
        </w:rPr>
        <w:t>γ)</w:t>
      </w:r>
      <w:r>
        <w:rPr>
          <w:noProof/>
        </w:rPr>
        <w:tab/>
        <w:t>το δεύτερο εδάφιο αντικαθίσταται από το ακόλουθο κείμενο:</w:t>
      </w:r>
    </w:p>
    <w:p>
      <w:pPr>
        <w:pStyle w:val="Text2"/>
        <w:rPr>
          <w:noProof/>
        </w:rPr>
      </w:pPr>
      <w:r>
        <w:rPr>
          <w:noProof/>
        </w:rPr>
        <w:t>«Στο πλαίσιο του άρθρου 8 παράγραφος 3α, του άρθρου 8 παράγραφος 7α, του άρθρου 21 παράγραφος 2 και του άρθρου 25 παράγραφοι 2 και 3, κάθε όρος γραμμένος με κεφαλαία αρχικά έχει την έννοια που του αποδίδεται στους αντίστοιχους ορισμούς που καθορίζονται στο παράρτημα I. Στο πλαίσιο του άρθρου 8αα και του παραρτήματος III, κάθε όρος γραμμένος με κεφαλαία αρχικά έχει την έννοια που του αποδίδεται στους αντίστοιχους ορισμούς που καθορίζονται στο παράρτημα III. Στο πλαίσιο του άρθρου 8αγ και του παραρτήματος V, κάθε όρος γραμμένος με κεφαλαία αρχικά έχει την έννοια που του αποδίδεται στους αντίστοιχους ορισμούς που καθορίζονται στο παράρτημα V.».</w:t>
      </w:r>
    </w:p>
    <w:p>
      <w:pPr>
        <w:pStyle w:val="Point0"/>
        <w:rPr>
          <w:noProof/>
        </w:rPr>
      </w:pPr>
      <w:r>
        <w:rPr>
          <w:noProof/>
        </w:rPr>
        <w:t>2)</w:t>
      </w:r>
      <w:r>
        <w:rPr>
          <w:noProof/>
        </w:rPr>
        <w:tab/>
        <w:t>Παρεμβάλλονται τα ακόλουθα άρθρα:</w:t>
      </w:r>
    </w:p>
    <w:p>
      <w:pPr>
        <w:pStyle w:val="Titrearticle"/>
        <w:rPr>
          <w:noProof/>
        </w:rPr>
      </w:pPr>
      <w:r>
        <w:rPr>
          <w:noProof/>
        </w:rPr>
        <w:t>«Άρθρο 5a</w:t>
      </w:r>
    </w:p>
    <w:p>
      <w:pPr>
        <w:pStyle w:val="NormalCentered"/>
        <w:rPr>
          <w:noProof/>
        </w:rPr>
      </w:pPr>
      <w:r>
        <w:rPr>
          <w:b/>
          <w:noProof/>
        </w:rPr>
        <w:t>Προβλέψιμη συνάφεια</w:t>
      </w:r>
    </w:p>
    <w:p>
      <w:pPr>
        <w:pStyle w:val="ManualNumPar1"/>
        <w:rPr>
          <w:noProof/>
        </w:rPr>
      </w:pPr>
      <w:r>
        <w:rPr>
          <w:noProof/>
        </w:rPr>
        <w:t>1.</w:t>
      </w:r>
      <w:r>
        <w:rPr>
          <w:noProof/>
        </w:rPr>
        <w:tab/>
        <w:t xml:space="preserve">Για τους σκοπούς αιτήματος όπως αναφέρεται στο άρθρο 5, οι ζητούμενες πληροφορίες θεωρούνται προβλέψιμα συναφείς όταν κατά τον χρόνο υποβολής του αιτήματος, η αιτούσα αρχή θεωρεί ότι, σύμφωνα με την εθνική της νομοθεσία, υπάρχει εύλογη πιθανότητα οι ζητούμενες πληροφορίες να είναι συναφείς με τις </w:t>
      </w:r>
      <w:r>
        <w:rPr>
          <w:noProof/>
        </w:rPr>
        <w:lastRenderedPageBreak/>
        <w:t xml:space="preserve">φορολογικές υποθέσεις ενός ή περισσοτέρων φορολογουμένων, είτε προσδιορίζονται ονομαστικά είτε όχι, και να δικαιολογούνται για τους σκοπούς της έρευνας. </w:t>
      </w:r>
    </w:p>
    <w:p>
      <w:pPr>
        <w:pStyle w:val="ManualNumPar1"/>
        <w:rPr>
          <w:noProof/>
        </w:rPr>
      </w:pPr>
      <w:r>
        <w:rPr>
          <w:noProof/>
        </w:rPr>
        <w:t>2.</w:t>
      </w:r>
      <w:r>
        <w:rPr>
          <w:noProof/>
        </w:rPr>
        <w:tab/>
        <w:t>Προκειμένου να αποδειχθεί η προβλέψιμη συνάφεια των ζητούμενων πληροφοριών, η αιτούσα αρμόδια αρχή παρέχει στη λαμβάνουσα αρχή υποστηρικτικές πληροφορίες, ιδίως σχετικά με τον φορολογικό σκοπό για τον οποίο ζητούνται οι πληροφορίες και τους λόγους για τους οποίους θεωρείται ότι οι ζητούμενες πληροφορίες βρίσκονται στην κατοχή της λαμβάνουσας αρχής ή ότι βρίσκονται στην κατοχή ή τον έλεγχο προσώπου που υπάγεται στη δικαιοδοσία της λαμβάνουσας αρχής.</w:t>
      </w:r>
    </w:p>
    <w:p>
      <w:pPr>
        <w:pStyle w:val="Titrearticle"/>
        <w:rPr>
          <w:i w:val="0"/>
          <w:noProof/>
        </w:rPr>
      </w:pPr>
      <w:r>
        <w:rPr>
          <w:noProof/>
        </w:rPr>
        <w:t>Άρθρο 5β</w:t>
      </w:r>
    </w:p>
    <w:p>
      <w:pPr>
        <w:pStyle w:val="NormalCentered"/>
        <w:rPr>
          <w:b/>
          <w:noProof/>
        </w:rPr>
      </w:pPr>
      <w:r>
        <w:rPr>
          <w:b/>
          <w:noProof/>
        </w:rPr>
        <w:t>Ομαδοποίηση των αιτημάτων</w:t>
      </w:r>
    </w:p>
    <w:p>
      <w:pPr>
        <w:pStyle w:val="Text1"/>
        <w:rPr>
          <w:noProof/>
        </w:rPr>
      </w:pPr>
      <w:r>
        <w:rPr>
          <w:noProof/>
        </w:rPr>
        <w:t>Ένα αίτημα, όπως αναφέρεται στο άρθρο 5, μπορεί να αφορά ομάδα φορολογουμένων που δεν μπορούν να προσδιοριστούν μεμονωμένα ονομαστικά ή με άλλον τρόπο, αλλά μπορούν να περιγραφούν μόνο βάσει ενός κοινού συνόλου χαρακτηριστικών.</w:t>
      </w:r>
    </w:p>
    <w:p>
      <w:pPr>
        <w:pStyle w:val="Text1"/>
        <w:rPr>
          <w:noProof/>
        </w:rPr>
      </w:pPr>
      <w:r>
        <w:rPr>
          <w:noProof/>
        </w:rPr>
        <w:t>Σε τέτοιες περιπτώσεις, η αιτούσα αρμόδια αρχή παρέχει τις ακόλουθες πληροφορίες στη λαμβάνουσα αρχή:</w:t>
      </w:r>
    </w:p>
    <w:p>
      <w:pPr>
        <w:pStyle w:val="Point1"/>
        <w:rPr>
          <w:noProof/>
        </w:rPr>
      </w:pPr>
      <w:r>
        <w:rPr>
          <w:noProof/>
        </w:rPr>
        <w:t>α)</w:t>
      </w:r>
      <w:r>
        <w:rPr>
          <w:noProof/>
        </w:rPr>
        <w:tab/>
        <w:t>ολοκληρωμένη περιγραφή των κοινών χαρακτηριστικών της ομάδας· και</w:t>
      </w:r>
    </w:p>
    <w:p>
      <w:pPr>
        <w:pStyle w:val="Point1"/>
        <w:rPr>
          <w:noProof/>
        </w:rPr>
      </w:pPr>
      <w:r>
        <w:rPr>
          <w:noProof/>
        </w:rPr>
        <w:t>β)</w:t>
      </w:r>
      <w:r>
        <w:rPr>
          <w:noProof/>
        </w:rPr>
        <w:tab/>
        <w:t>επεξήγηση της ισχύουσας νομοθεσίας και των πραγματικών περιστατικών βάσει των οποίων υπάρχει λόγος να θεωρείται ότι οι φορολογούμενοι της ομάδας δεν συμμορφώθηκαν με την ισχύουσα νομοθεσία, συμπεριλαμβανομένων των πραγματικών περιστατικών και περιστάσεων που σχετίζονται με τη συμμετοχή τρίτου που συνέβαλε ενεργά στην ενδεχόμενη μη συμμόρφωση των φορολογουμένων της ομάδας με τον νόμο.».</w:t>
      </w:r>
    </w:p>
    <w:p>
      <w:pPr>
        <w:pStyle w:val="Point0"/>
        <w:rPr>
          <w:noProof/>
        </w:rPr>
      </w:pPr>
      <w:r>
        <w:rPr>
          <w:noProof/>
        </w:rPr>
        <w:t>3)</w:t>
      </w:r>
      <w:r>
        <w:rPr>
          <w:noProof/>
        </w:rPr>
        <w:tab/>
        <w:t xml:space="preserve">Το άρθρο 6 παράγραφος 2 αντικαθίσταται από το ακόλουθο κείμενο: </w:t>
      </w:r>
    </w:p>
    <w:p>
      <w:pPr>
        <w:pStyle w:val="Point1"/>
        <w:rPr>
          <w:noProof/>
        </w:rPr>
      </w:pPr>
      <w:r>
        <w:rPr>
          <w:noProof/>
        </w:rPr>
        <w:t>«2.</w:t>
      </w:r>
      <w:r>
        <w:rPr>
          <w:noProof/>
        </w:rPr>
        <w:tab/>
        <w:t>Το αίτημα το οποίο αναφέρεται στο άρθρο 5 μπορεί να περιλαμβάνει αιτιολογημένο αίτημα για τη διενέργεια διοικητικής έρευνας. Εάν η λαμβάνουσα αρχή θεωρεί ότι δεν είναι αναγκαία η διενέργεια διοικητικής έρευνας, αιτιολογεί αμέσως την άποψη αυτή στην αιτούσα αρχή.».</w:t>
      </w:r>
    </w:p>
    <w:p>
      <w:pPr>
        <w:pStyle w:val="Point0"/>
        <w:rPr>
          <w:noProof/>
        </w:rPr>
      </w:pPr>
      <w:r>
        <w:rPr>
          <w:noProof/>
        </w:rPr>
        <w:t>4)</w:t>
      </w:r>
      <w:r>
        <w:rPr>
          <w:noProof/>
        </w:rPr>
        <w:tab/>
        <w:t>Το άρθρο 8 τροποποιείται ως εξής:</w:t>
      </w:r>
    </w:p>
    <w:p>
      <w:pPr>
        <w:pStyle w:val="Point1"/>
        <w:rPr>
          <w:noProof/>
        </w:rPr>
      </w:pPr>
      <w:r>
        <w:rPr>
          <w:noProof/>
        </w:rPr>
        <w:t>α)</w:t>
      </w:r>
      <w:r>
        <w:rPr>
          <w:noProof/>
        </w:rPr>
        <w:tab/>
        <w:t>Οι παράγραφοι 1 και 2 αντικαθίστανται από το ακόλουθο κείμενο:</w:t>
      </w:r>
    </w:p>
    <w:p>
      <w:pPr>
        <w:pStyle w:val="Point2"/>
        <w:rPr>
          <w:noProof/>
        </w:rPr>
      </w:pPr>
      <w:r>
        <w:rPr>
          <w:noProof/>
        </w:rPr>
        <w:t>«1.</w:t>
      </w:r>
      <w:r>
        <w:rPr>
          <w:noProof/>
        </w:rPr>
        <w:tab/>
        <w:t>Η αρμόδια αρχή κάθε κράτους μέλους κοινοποιεί στην αρμόδια αρχή κάθε τυχόν άλλου κράτους μέλους, με αυτόματη ανταλλαγή, όλες τις διαθέσιμες πληροφορίες σχετικά με άτομα που κατοικούν σε αυτό το άλλο κράτος-μέλος, όσον αφορά τις ακόλουθες συγκεκριμένες κατηγορίες εισοδήματος και κεφαλαίου όπως αυτές ορίζονται στην εθνική νομοθεσία του κράτους μέλους που κοινοποιεί τις πληροφορίες:</w:t>
      </w:r>
    </w:p>
    <w:p>
      <w:pPr>
        <w:pStyle w:val="Point3"/>
        <w:rPr>
          <w:noProof/>
        </w:rPr>
      </w:pPr>
      <w:r>
        <w:rPr>
          <w:noProof/>
        </w:rPr>
        <w:t>α)</w:t>
      </w:r>
      <w:r>
        <w:rPr>
          <w:noProof/>
        </w:rPr>
        <w:tab/>
        <w:t>εισόδημα από απασχόληση·</w:t>
      </w:r>
    </w:p>
    <w:p>
      <w:pPr>
        <w:pStyle w:val="Point3"/>
        <w:rPr>
          <w:noProof/>
        </w:rPr>
      </w:pPr>
      <w:r>
        <w:rPr>
          <w:noProof/>
        </w:rPr>
        <w:t>β)</w:t>
      </w:r>
      <w:r>
        <w:rPr>
          <w:noProof/>
        </w:rPr>
        <w:tab/>
        <w:t xml:space="preserve">αμοιβές διοικητικών στελεχών· </w:t>
      </w:r>
    </w:p>
    <w:p>
      <w:pPr>
        <w:pStyle w:val="Point3"/>
        <w:rPr>
          <w:noProof/>
        </w:rPr>
      </w:pPr>
      <w:r>
        <w:rPr>
          <w:noProof/>
        </w:rPr>
        <w:t>γ)</w:t>
      </w:r>
      <w:r>
        <w:rPr>
          <w:noProof/>
        </w:rPr>
        <w:tab/>
        <w:t xml:space="preserve">προϊόντα ασφάλειας ζωής που δεν καλύπτονται από άλλες ενωσιακές νομικές πράξεις για την ανταλλαγή πληροφοριών και άλλα παρόμοια μέτρα· </w:t>
      </w:r>
    </w:p>
    <w:p>
      <w:pPr>
        <w:pStyle w:val="Point3"/>
        <w:rPr>
          <w:noProof/>
        </w:rPr>
      </w:pPr>
      <w:r>
        <w:rPr>
          <w:noProof/>
        </w:rPr>
        <w:t>δ)</w:t>
      </w:r>
      <w:r>
        <w:rPr>
          <w:noProof/>
        </w:rPr>
        <w:tab/>
        <w:t xml:space="preserve">συντάξεις· </w:t>
      </w:r>
    </w:p>
    <w:p>
      <w:pPr>
        <w:pStyle w:val="Point3"/>
        <w:rPr>
          <w:noProof/>
        </w:rPr>
      </w:pPr>
      <w:r>
        <w:rPr>
          <w:noProof/>
        </w:rPr>
        <w:lastRenderedPageBreak/>
        <w:t>ε)</w:t>
      </w:r>
      <w:r>
        <w:rPr>
          <w:noProof/>
        </w:rPr>
        <w:tab/>
        <w:t>κυριότητα ακίνητης περιουσίας και εισόδημα από αυτήν·</w:t>
      </w:r>
    </w:p>
    <w:p>
      <w:pPr>
        <w:pStyle w:val="Point3"/>
        <w:rPr>
          <w:noProof/>
        </w:rPr>
      </w:pPr>
      <w:r>
        <w:rPr>
          <w:noProof/>
        </w:rPr>
        <w:t>στ)</w:t>
      </w:r>
      <w:r>
        <w:rPr>
          <w:noProof/>
        </w:rPr>
        <w:tab/>
        <w:t xml:space="preserve">δικαιώματα εκμετάλλευσης. </w:t>
      </w:r>
    </w:p>
    <w:p>
      <w:pPr>
        <w:pStyle w:val="Text2"/>
        <w:rPr>
          <w:noProof/>
        </w:rPr>
      </w:pPr>
      <w:r>
        <w:rPr>
          <w:noProof/>
        </w:rPr>
        <w:t>Για φορολογικές περιόδους που αρχίζουν την 1η Ιανουαρίου 2023 ή μεταγενέστερα, η κοινοποίηση των πληροφοριών που αναφέρονται στο πρώτο εδάφιο περιλαμβάνει τον αριθμό φορολογικού μητρώου (ΑΦΜ) του κράτους μέλους κατοικίας.</w:t>
      </w:r>
    </w:p>
    <w:p>
      <w:pPr>
        <w:pStyle w:val="Text2"/>
        <w:rPr>
          <w:noProof/>
        </w:rPr>
      </w:pPr>
      <w:r>
        <w:rPr>
          <w:noProof/>
        </w:rPr>
        <w:t>Τα κράτη μέλη ενημερώνουν ετησίως την Επιτροπή για τουλάχιστον δύο κατηγορίες εισοδήματος και κεφαλαίου που αναφέρονται στο πρώτο εδάφιο αναφορικά με τις οποίες κοινοποιούν πληροφορίες που αφορούν κατοίκους άλλου κράτους μέλους.</w:t>
      </w:r>
    </w:p>
    <w:p>
      <w:pPr>
        <w:pStyle w:val="Point2"/>
        <w:rPr>
          <w:noProof/>
        </w:rPr>
      </w:pPr>
      <w:r>
        <w:rPr>
          <w:noProof/>
        </w:rPr>
        <w:t>2.</w:t>
      </w:r>
      <w:r>
        <w:rPr>
          <w:noProof/>
        </w:rPr>
        <w:tab/>
        <w:t>Πριν από την 1η Ιανουαρίου 2023, τα κράτη μέλη ενημερώνουν την Επιτροπή σχετικά με τουλάχιστον τέσσερις κατηγορίες που απαριθμούνται στην παράγραφο 1 αναφορικά με τις οποίες η αρμόδια αρχή κάθε κράτους μέλους κοινοποιεί, με αυτόματη ανταλλαγή, στην αρμόδια αρχή οποιουδήποτε άλλου κράτους μέλους, πληροφορίες που αφορούν κατοίκους του άλλου αυτού κράτους μέλους. Οι πληροφορίες αφορούν φορολογικές περιόδους που αρχίζουν την 1η Ιανουαρίου 2024 ή μεταγενέστερα.».</w:t>
      </w:r>
    </w:p>
    <w:p>
      <w:pPr>
        <w:pStyle w:val="Point1"/>
        <w:rPr>
          <w:noProof/>
        </w:rPr>
      </w:pPr>
      <w:r>
        <w:rPr>
          <w:noProof/>
        </w:rPr>
        <w:t>β)</w:t>
      </w:r>
      <w:r>
        <w:rPr>
          <w:noProof/>
        </w:rPr>
        <w:tab/>
        <w:t>Στην παράγραφο 3 διαγράφεται το δεύτερο εδάφιο.</w:t>
      </w:r>
    </w:p>
    <w:p>
      <w:pPr>
        <w:pStyle w:val="Point1"/>
        <w:rPr>
          <w:noProof/>
        </w:rPr>
      </w:pPr>
      <w:r>
        <w:rPr>
          <w:noProof/>
        </w:rPr>
        <w:t>γ)</w:t>
      </w:r>
      <w:r>
        <w:rPr>
          <w:noProof/>
        </w:rPr>
        <w:tab/>
        <w:t>Η παράγραφος 6 αντικαθίσταται από το ακόλουθο κείμενο:</w:t>
      </w:r>
    </w:p>
    <w:p>
      <w:pPr>
        <w:pStyle w:val="Point2"/>
        <w:rPr>
          <w:noProof/>
        </w:rPr>
      </w:pPr>
      <w:r>
        <w:rPr>
          <w:noProof/>
        </w:rPr>
        <w:t>«6.</w:t>
      </w:r>
      <w:r>
        <w:rPr>
          <w:noProof/>
        </w:rPr>
        <w:tab/>
        <w:t>Η κοινοποίηση πληροφοριών σύμφωνα με τις παραγράφους 1 και 3α γίνεται ετησίως, εντός εννέα μηνών από το τέλος του ημερολογιακού έτους ή άλλης αντίστοιχης περιόδου υποβολής στοιχείων που αφορούν οι πληροφορίες.».</w:t>
      </w:r>
    </w:p>
    <w:p>
      <w:pPr>
        <w:pStyle w:val="Point0"/>
        <w:rPr>
          <w:noProof/>
        </w:rPr>
      </w:pPr>
      <w:r>
        <w:rPr>
          <w:noProof/>
        </w:rPr>
        <w:t>5)</w:t>
      </w:r>
      <w:r>
        <w:rPr>
          <w:noProof/>
        </w:rPr>
        <w:tab/>
        <w:t>Το άρθρο 8α τροποποιείται ως εξής:</w:t>
      </w:r>
    </w:p>
    <w:p>
      <w:pPr>
        <w:pStyle w:val="Point1"/>
        <w:rPr>
          <w:noProof/>
        </w:rPr>
      </w:pPr>
      <w:r>
        <w:rPr>
          <w:noProof/>
        </w:rPr>
        <w:t>α)</w:t>
      </w:r>
      <w:r>
        <w:rPr>
          <w:noProof/>
        </w:rPr>
        <w:tab/>
        <w:t>Στην παράγραφο 5, το στοιχείο α) αντικαθίσταται από το ακόλουθο κείμενο:</w:t>
      </w:r>
    </w:p>
    <w:p>
      <w:pPr>
        <w:pStyle w:val="Point2"/>
        <w:rPr>
          <w:noProof/>
        </w:rPr>
      </w:pPr>
      <w:r>
        <w:rPr>
          <w:noProof/>
        </w:rPr>
        <w:t>«α)</w:t>
      </w:r>
      <w:r>
        <w:rPr>
          <w:noProof/>
        </w:rPr>
        <w:tab/>
        <w:t>όσον αφορά τις πληροφορίες που ανταλλάσσονται σύμφωνα με την παράγραφο 1 – χωρίς καθυστέρηση μετά την έκδοση, την τροποποίηση ή την ανανέωση των εκ των προτέρων διασυνοριακών αποφάσεων ή των εκ των προτέρων συμφωνιών ενδοομιλικής τιμολόγησης και το αργότερο τρεις μήνες μετά το τέλος του εξαμήνου του ημερολογιακού έτους κατά τη διάρκεια του οποίου εκδόθηκαν, τροποποιήθηκαν ή ανανεώθηκαν οι εκ των προτέρων διασυνοριακές αποφάσεις ή οι εκ των προτέρων συμφωνίες ενδοομιλικής τιμολόγησης·».</w:t>
      </w:r>
    </w:p>
    <w:p>
      <w:pPr>
        <w:pStyle w:val="Point1"/>
        <w:rPr>
          <w:noProof/>
        </w:rPr>
      </w:pPr>
      <w:r>
        <w:rPr>
          <w:noProof/>
        </w:rPr>
        <w:t>β)</w:t>
      </w:r>
      <w:r>
        <w:rPr>
          <w:noProof/>
        </w:rPr>
        <w:tab/>
        <w:t xml:space="preserve">Στην παράγραφο 6, το στοιχείο β) αντικαθίσταται από το ακόλουθο κείμενο: </w:t>
      </w:r>
    </w:p>
    <w:p>
      <w:pPr>
        <w:pStyle w:val="Point2"/>
        <w:rPr>
          <w:noProof/>
        </w:rPr>
      </w:pPr>
      <w:r>
        <w:rPr>
          <w:noProof/>
        </w:rPr>
        <w:t>«β)</w:t>
      </w:r>
      <w:r>
        <w:rPr>
          <w:noProof/>
        </w:rPr>
        <w:tab/>
        <w:t>σύνοψη της εκ των προτέρων διασυνοριακής απόφασης ή της εκ των προτέρων συμφωνίας ενδοομιλικής τιμολόγησης, περιλαμβανομένης περιγραφής των σχετικών επιχειρηματικών δραστηριοτήτων ή συναλλαγών ή σειράς συναλλαγών και οποιωνδήποτε άλλων πληροφοριών που θα μπορούσαν να βοηθήσουν την αρμόδια αρχή στην εκτίμηση δυνητικού φορολογικού κινδύνου, χωρίς να αποκαλύπτεται εμπορικό, βιομηχανικό ή επαγγελματικό απόρρητο, εμπορική διαδικασία ή πληροφορία της οποίας η κοινοποίηση αντιβαίνει στη δημόσια τάξη.».</w:t>
      </w:r>
    </w:p>
    <w:p>
      <w:pPr>
        <w:pStyle w:val="Point1"/>
        <w:rPr>
          <w:noProof/>
        </w:rPr>
      </w:pPr>
      <w:r>
        <w:rPr>
          <w:noProof/>
        </w:rPr>
        <w:t>γ)</w:t>
      </w:r>
      <w:r>
        <w:rPr>
          <w:noProof/>
        </w:rPr>
        <w:tab/>
        <w:t>Η παράγραφος 10 αντικαθίσταται από το ακόλουθο κείμενο:</w:t>
      </w:r>
    </w:p>
    <w:p>
      <w:pPr>
        <w:pStyle w:val="Point2"/>
        <w:rPr>
          <w:noProof/>
        </w:rPr>
      </w:pPr>
      <w:r>
        <w:rPr>
          <w:noProof/>
        </w:rPr>
        <w:lastRenderedPageBreak/>
        <w:t>«10.</w:t>
      </w:r>
      <w:r>
        <w:rPr>
          <w:noProof/>
        </w:rPr>
        <w:tab/>
        <w:t>Κατά παρέκκλιση από την αναφορά στην προβλέψιμη συνάφεια στο άρθρο 1 παράγραφος 1 και τις προϋποθέσεις της προβλέψιμης συνάφειας που ορίζονται στο άρθρο 5α, τα κράτη μέλη μπορούν, σύμφωνα με το άρθρο 5, και λαμβανομένου υπόψη του άρθρου 21 παράγραφος 4, να ζητήσουν πρόσθετες πληροφορίες, μεταξύ των οποίων και το πλήρες κείμενο της εκ των προτέρων διασυνοριακής απόφασης ή της εκ των προτέρων συμφωνίας ενδοομιλικής τιμολόγησης.».</w:t>
      </w:r>
    </w:p>
    <w:p>
      <w:pPr>
        <w:pStyle w:val="Point0"/>
        <w:rPr>
          <w:noProof/>
        </w:rPr>
      </w:pPr>
      <w:r>
        <w:rPr>
          <w:noProof/>
        </w:rPr>
        <w:t>6)</w:t>
      </w:r>
      <w:r>
        <w:rPr>
          <w:noProof/>
        </w:rPr>
        <w:tab/>
        <w:t>Παρεμβάλλεται το ακόλουθο άρθρο:</w:t>
      </w:r>
    </w:p>
    <w:p>
      <w:pPr>
        <w:pStyle w:val="Titrearticle"/>
        <w:rPr>
          <w:noProof/>
        </w:rPr>
      </w:pPr>
      <w:r>
        <w:rPr>
          <w:noProof/>
        </w:rPr>
        <w:t>«Άρθρο 8αγ</w:t>
      </w:r>
    </w:p>
    <w:p>
      <w:pPr>
        <w:pStyle w:val="NormalCentered"/>
        <w:rPr>
          <w:b/>
          <w:noProof/>
        </w:rPr>
      </w:pPr>
      <w:r>
        <w:rPr>
          <w:b/>
          <w:noProof/>
        </w:rPr>
        <w:t>Πεδίο εφαρμογής και προϋποθέσεις της υποχρεωτικής αυτόματης ανταλλαγής πληροφοριών που υποβάλλονται από Φορείς Εκμετάλλευσης Πλατφορμών</w:t>
      </w:r>
    </w:p>
    <w:p>
      <w:pPr>
        <w:pStyle w:val="Point1"/>
        <w:rPr>
          <w:noProof/>
        </w:rPr>
      </w:pPr>
      <w:r>
        <w:rPr>
          <w:noProof/>
        </w:rPr>
        <w:t>1.</w:t>
      </w:r>
      <w:r>
        <w:rPr>
          <w:noProof/>
        </w:rPr>
        <w:tab/>
        <w:t>Κάθε κράτος μέλος λαμβάνει τα απαραίτητα μέτρα ώστε να απαιτεί από τους Δηλούντες Φορείς Εκμετάλλευσης Πλατφορμών να εφαρμόζουν τις απαιτήσεις δέουσας επιμέλειας και υποβολής στοιχείων που ορίζονται στα τμήματα II και III του παραρτήματος V. Κάθε κράτος μέλος διασφαλίζει επίσης την αποτελεσματική και σύμφωνη εφαρμογή αυτών των κανόνων βάσει του τμήματος IV του παραρτήματος V.</w:t>
      </w:r>
    </w:p>
    <w:p>
      <w:pPr>
        <w:pStyle w:val="Point1"/>
        <w:rPr>
          <w:noProof/>
        </w:rPr>
      </w:pPr>
      <w:r>
        <w:rPr>
          <w:noProof/>
        </w:rPr>
        <w:t>2.</w:t>
      </w:r>
      <w:r>
        <w:rPr>
          <w:noProof/>
        </w:rPr>
        <w:tab/>
        <w:t>Σύμφωνα με τις ισχύουσες απαιτήσεις δέουσας επιμέλειας και υποβολής στοιχείων που περιλαμβάνονται στα τμήματα II και III του παραρτήματος V, η αρμόδια αρχή κάθε κράτους μέλους κοινοποιεί, με αυτόματη ανταλλαγή και εντός της προθεσμίας που ορίζεται στην παράγραφο 3, στην αρμόδια αρχή του κράτους μέλους του οποίου ο Δηλωτέος Πωλητής είναι κάτοικος κατά την έννοια του παραρτήματος V τμήμα Ι ενότητα Β παράγραφος 3 δεύτερο εδάφιο και/ή όπου βρίσκεται η ακίνητη περιουσία, τις ακόλουθες πληροφορίες σχετικά με κάθε Δηλωτέο Πωλητή για περιόδους αναφοράς από την 1η Ιανουαρίου 2022:</w:t>
      </w:r>
    </w:p>
    <w:p>
      <w:pPr>
        <w:pStyle w:val="Point2"/>
        <w:rPr>
          <w:noProof/>
        </w:rPr>
      </w:pPr>
      <w:r>
        <w:rPr>
          <w:noProof/>
        </w:rPr>
        <w:t>α)</w:t>
      </w:r>
      <w:r>
        <w:rPr>
          <w:noProof/>
        </w:rPr>
        <w:tab/>
        <w:t>το όνομα, την έδρα και τον ΑΦΜ του  Δηλούντος Φορέα Εκμετάλλευσης Πλατφόρμας, καθώς και την(τις) επωνυμία(-ες) της(των) πλατφόρμας(-ών) αναφορικά με την(τις) οποία(-ες) υποβάλλει στοιχεία ο Φορέας Εκμετάλλευσης Πλατφόρμας·</w:t>
      </w:r>
    </w:p>
    <w:p>
      <w:pPr>
        <w:pStyle w:val="Point2"/>
        <w:rPr>
          <w:noProof/>
        </w:rPr>
      </w:pPr>
      <w:r>
        <w:rPr>
          <w:noProof/>
        </w:rPr>
        <w:t>β)</w:t>
      </w:r>
      <w:r>
        <w:rPr>
          <w:noProof/>
        </w:rPr>
        <w:tab/>
        <w:t xml:space="preserve">το όνομα και το επώνυμο του Πωλητή που είναι φυσικό πρόσωπο και την επωνυμία του Πωλητή που είναι οντότητα· </w:t>
      </w:r>
    </w:p>
    <w:p>
      <w:pPr>
        <w:pStyle w:val="Point2"/>
        <w:rPr>
          <w:noProof/>
        </w:rPr>
      </w:pPr>
      <w:r>
        <w:rPr>
          <w:noProof/>
        </w:rPr>
        <w:t>γ)</w:t>
      </w:r>
      <w:r>
        <w:rPr>
          <w:noProof/>
        </w:rPr>
        <w:tab/>
        <w:t xml:space="preserve">την κύρια διεύθυνση· </w:t>
      </w:r>
    </w:p>
    <w:p>
      <w:pPr>
        <w:pStyle w:val="Point2"/>
        <w:rPr>
          <w:noProof/>
        </w:rPr>
      </w:pPr>
      <w:r>
        <w:rPr>
          <w:noProof/>
        </w:rPr>
        <w:t>δ)</w:t>
      </w:r>
      <w:r>
        <w:rPr>
          <w:noProof/>
        </w:rPr>
        <w:tab/>
        <w:t xml:space="preserve">κάθε ΑΦΜ ή, αν δεν υπάρχει ΑΦΜ, κάθε λειτουργικό ισοδύναμο που χορηγείται στον Πωλητή, συμπεριλαμβανομένου κάθε κράτους μέλους χορήγησης· </w:t>
      </w:r>
    </w:p>
    <w:p>
      <w:pPr>
        <w:pStyle w:val="Point2"/>
        <w:rPr>
          <w:noProof/>
        </w:rPr>
      </w:pPr>
      <w:r>
        <w:rPr>
          <w:noProof/>
        </w:rPr>
        <w:t>ε)</w:t>
      </w:r>
      <w:r>
        <w:rPr>
          <w:noProof/>
        </w:rPr>
        <w:tab/>
        <w:t>τον αριθμό καταχώρισης επιχείρησης του Πωλητή ο οποίος είναι οντότητα·</w:t>
      </w:r>
    </w:p>
    <w:p>
      <w:pPr>
        <w:pStyle w:val="Point2"/>
        <w:rPr>
          <w:noProof/>
        </w:rPr>
      </w:pPr>
      <w:r>
        <w:rPr>
          <w:noProof/>
        </w:rPr>
        <w:t>στ)</w:t>
      </w:r>
      <w:r>
        <w:rPr>
          <w:noProof/>
        </w:rPr>
        <w:tab/>
        <w:t>τον αριθμού μητρώου φόρου προστιθέμενης αξίας (ΦΠΑ) του Πωλητή, εφόσον υπάρχει·</w:t>
      </w:r>
    </w:p>
    <w:p>
      <w:pPr>
        <w:pStyle w:val="Point2"/>
        <w:rPr>
          <w:noProof/>
        </w:rPr>
      </w:pPr>
      <w:r>
        <w:rPr>
          <w:noProof/>
        </w:rPr>
        <w:t>ζ)</w:t>
      </w:r>
      <w:r>
        <w:rPr>
          <w:noProof/>
        </w:rPr>
        <w:tab/>
        <w:t>την ημερομηνία γέννησης του Πωλητή που είναι φυσικό πρόσωπο·</w:t>
      </w:r>
    </w:p>
    <w:p>
      <w:pPr>
        <w:pStyle w:val="Point2"/>
        <w:rPr>
          <w:noProof/>
        </w:rPr>
      </w:pPr>
      <w:r>
        <w:rPr>
          <w:noProof/>
        </w:rPr>
        <w:t>η)</w:t>
      </w:r>
      <w:r>
        <w:rPr>
          <w:noProof/>
        </w:rPr>
        <w:tab/>
        <w:t xml:space="preserve">το αναγνωριστικό χρηματοοικονομικού λογαριασμού προς τον οποίο καταβάλλεται ή πιστώνεται το αντίτιμο, εφόσον είναι διαθέσιμο στον Δηλούντα Φορέα Εκμετάλλευσης Πλατφόρμας και η αρμόδια αρχή του </w:t>
      </w:r>
      <w:r>
        <w:rPr>
          <w:noProof/>
        </w:rPr>
        <w:lastRenderedPageBreak/>
        <w:t>κράτους μέλους στο οποίο κατοικεί ο Πωλητής δεν έχει ενημερώσει τις αρμόδιες αρχές όλων των άλλων κρατών μελών ότι δεν σκοπεύει να χρησιμοποιήσει το αναγνωριστικό χρηματοοικονομικού λογαριασμού για τον σκοπό αυτό·</w:t>
      </w:r>
    </w:p>
    <w:p>
      <w:pPr>
        <w:pStyle w:val="Point2"/>
        <w:rPr>
          <w:noProof/>
        </w:rPr>
      </w:pPr>
      <w:r>
        <w:rPr>
          <w:noProof/>
        </w:rPr>
        <w:t>θ)</w:t>
      </w:r>
      <w:r>
        <w:rPr>
          <w:noProof/>
        </w:rPr>
        <w:tab/>
        <w:t>όπου διαφέρει από το όνομα του Δηλωτέου Πωλητή, το όνομα του κατόχου και τον αριθμό του χρηματοοικονομικού λογαριασμού στον οποίο καταβάλλεται ή πιστώνεται το αντίτιμο, εφόσον είναι διαθέσιμα στον Δηλούντα Φορέα Εκμετάλλευσης Πλατφόρμας, καθώς και κάθε άλλη πληροφορία χρηματοοικονομικής ταυτοποίησης που έχει στη διάθεσή του ο Δηλών Φορέας Εκμετάλλευσης Πλατφόρμας σε σχέση με τον εν λόγω δικαιούχο λογαριασμού·</w:t>
      </w:r>
    </w:p>
    <w:p>
      <w:pPr>
        <w:pStyle w:val="Point2"/>
        <w:rPr>
          <w:noProof/>
        </w:rPr>
      </w:pPr>
      <w:r>
        <w:rPr>
          <w:noProof/>
        </w:rPr>
        <w:t>ι)</w:t>
      </w:r>
      <w:r>
        <w:rPr>
          <w:noProof/>
        </w:rPr>
        <w:tab/>
        <w:t>κάθε κράτος μέλος του οποίου ο Δηλωτέος Πωλητής είναι κάτοικος κατά την έννοια του παραρτήματος V τμήμα Ι ενότητα Β παράγραφος 3 δεύτερο εδάφιο·</w:t>
      </w:r>
    </w:p>
    <w:p>
      <w:pPr>
        <w:pStyle w:val="Point2"/>
        <w:rPr>
          <w:noProof/>
        </w:rPr>
      </w:pPr>
      <w:r>
        <w:rPr>
          <w:noProof/>
        </w:rPr>
        <w:t>ια)</w:t>
      </w:r>
      <w:r>
        <w:rPr>
          <w:noProof/>
        </w:rPr>
        <w:tab/>
        <w:t xml:space="preserve">το συνολικό αντίτιμο που καταβλήθηκε ή πιστώθηκε κατά τη διάρκεια κάθε τριμήνου της περιόδου αναφοράς· </w:t>
      </w:r>
    </w:p>
    <w:p>
      <w:pPr>
        <w:pStyle w:val="Point2"/>
        <w:rPr>
          <w:noProof/>
        </w:rPr>
      </w:pPr>
      <w:r>
        <w:rPr>
          <w:noProof/>
        </w:rPr>
        <w:t>ιβ)</w:t>
      </w:r>
      <w:r>
        <w:rPr>
          <w:noProof/>
        </w:rPr>
        <w:tab/>
        <w:t>τυχόν χρεώσεις, προμήθειες ή φόρους που παρακρατούνται ή χρεώνονται από τη δηλούσα πλατφόρμα για κάθε τρίμηνο της περιόδου αναφοράς.</w:t>
      </w:r>
    </w:p>
    <w:p>
      <w:pPr>
        <w:pStyle w:val="Text2"/>
        <w:rPr>
          <w:noProof/>
        </w:rPr>
      </w:pPr>
      <w:r>
        <w:rPr>
          <w:noProof/>
        </w:rPr>
        <w:t>Όταν ο Δηλωτέος Πωλητής παρέχει υπηρεσίες μίσθωσης ακινήτων, κοινοποιούνται στην αρμόδια αρχή του κράτους μέλους στο οποίο ο Δηλωτέος Πωλητής έχει τη φορολογική του κατοικία οι ακόλουθες πρόσθετες πληροφορίες:</w:t>
      </w:r>
    </w:p>
    <w:p>
      <w:pPr>
        <w:pStyle w:val="Point2"/>
        <w:rPr>
          <w:noProof/>
        </w:rPr>
      </w:pPr>
      <w:r>
        <w:rPr>
          <w:noProof/>
        </w:rPr>
        <w:t>α)</w:t>
      </w:r>
      <w:r>
        <w:rPr>
          <w:noProof/>
        </w:rPr>
        <w:tab/>
        <w:t>τη διεύθυνση κάθε καταχωρισμένου ακινήτου, όπως καθορίζεται βάσει των διαδικασιών που προβλέπονται στο παράρτημα V τμήμα ΙΙ ενότητα Ε, καθώς και τον αριθμό κτηματολογίου, εάν είναι διαθέσιμος·</w:t>
      </w:r>
    </w:p>
    <w:p>
      <w:pPr>
        <w:pStyle w:val="Point2"/>
        <w:rPr>
          <w:noProof/>
        </w:rPr>
      </w:pPr>
      <w:r>
        <w:rPr>
          <w:noProof/>
        </w:rPr>
        <w:t>β)</w:t>
      </w:r>
      <w:r>
        <w:rPr>
          <w:noProof/>
        </w:rPr>
        <w:tab/>
        <w:t>εφόσον υπάρχει, ο αριθμός των ημερών για τις οποίες μισθώθηκε κάθε καταχωρισμένο ακίνητο κατά την περίοδο αναφοράς και ο τύπος κάθε καταχώρισης ακινήτου.</w:t>
      </w:r>
    </w:p>
    <w:p>
      <w:pPr>
        <w:pStyle w:val="Point1"/>
        <w:ind w:hanging="566"/>
        <w:rPr>
          <w:noProof/>
        </w:rPr>
      </w:pPr>
      <w:r>
        <w:rPr>
          <w:noProof/>
        </w:rPr>
        <w:t>3.</w:t>
      </w:r>
      <w:r>
        <w:rPr>
          <w:noProof/>
        </w:rPr>
        <w:tab/>
        <w:t>Η κοινοποίηση σύμφωνα με την παράγραφο 2 πραγματοποιείται μέσω του τυποποιημένου εντύπου που αναφέρεται στο άρθρο 20 παράγραφος 7 εντός 2 μηνών από το τέλος της περιόδου αναφοράς που αφορούν οι υποχρεώσεις υποβολής στοιχείων του Δηλούντα Φορέα Εκμετάλλευσης Πλατφόρμας.</w:t>
      </w:r>
    </w:p>
    <w:p>
      <w:pPr>
        <w:pStyle w:val="Point1"/>
        <w:rPr>
          <w:noProof/>
        </w:rPr>
      </w:pPr>
      <w:r>
        <w:rPr>
          <w:noProof/>
        </w:rPr>
        <w:t>4.</w:t>
      </w:r>
      <w:r>
        <w:rPr>
          <w:noProof/>
        </w:rPr>
        <w:tab/>
        <w:t>Προκειμένου να συμμορφωθεί με τις υποχρεώσεις υποβολής στοιχείων σύμφωνα με την παράγραφο 1, κάθε κράτος μέλος θεσπίζει τους αναγκαίους κανόνες που θα υποχρεώνουν τους Δηλούντες Φορείς Εκμετάλλευσης Πλατφορμών κατά την έννοια της ενότητας Α παράγραφος 3 στοιχείο β) του τμήματος Ι του παραρτήματος V να καταχωρίζονται στην Ένωση. Η αρμόδια αρχή του κράτους μέλους καταχώρισης χορηγεί ατομικό αριθμό αναγνώρισης στους εν λόγω Δηλούντες Φορείς Εκμετάλλευσης Πλατφορμών.</w:t>
      </w:r>
    </w:p>
    <w:p>
      <w:pPr>
        <w:pStyle w:val="Text1"/>
        <w:ind w:left="1418"/>
        <w:rPr>
          <w:noProof/>
        </w:rPr>
      </w:pPr>
      <w:r>
        <w:rPr>
          <w:noProof/>
        </w:rPr>
        <w:t>Τα κράτη μέλη θεσπίζουν κανόνες σύμφωνα με τους οποίους οι Δηλούντες Φορείς Εκμετάλλευσης Πλατφορμών μπορούν να επιλέξουν να καταχωριστούν από τις αρμόδιες αρχές ενός μόνο κράτους μέλους σύμφωνα με τους κανόνες που ορίζονται στο παράρτημα V τμήμα IV ενότητα ΣΤ.</w:t>
      </w:r>
    </w:p>
    <w:p>
      <w:pPr>
        <w:pStyle w:val="Text1"/>
        <w:ind w:left="1418"/>
        <w:rPr>
          <w:noProof/>
        </w:rPr>
      </w:pPr>
      <w:r>
        <w:rPr>
          <w:noProof/>
        </w:rPr>
        <w:t xml:space="preserve">Μέσω εκτελεστικών πράξεων, η Επιτροπή καθορίζει τις πρακτικές ρυθμίσεις που απαιτούνται για την καταχώριση και την ταυτοποίηση των Δηλούντων Φορέων Εκμετάλλευσης Πλατφορμών. Οι εν λόγω εκτελεστικές πράξεις </w:t>
      </w:r>
      <w:r>
        <w:rPr>
          <w:noProof/>
        </w:rPr>
        <w:lastRenderedPageBreak/>
        <w:t>εκδίδονται σύμφωνα με τη διαδικασία που αναφέρεται στο άρθρο 26 παράγραφος 2.».</w:t>
      </w:r>
    </w:p>
    <w:p>
      <w:pPr>
        <w:pStyle w:val="Point0"/>
        <w:rPr>
          <w:noProof/>
        </w:rPr>
      </w:pPr>
      <w:r>
        <w:rPr>
          <w:noProof/>
        </w:rPr>
        <w:t>7)</w:t>
      </w:r>
      <w:r>
        <w:rPr>
          <w:noProof/>
        </w:rPr>
        <w:tab/>
        <w:t>Το άρθρο 8β τροποποιείται ως εξής:</w:t>
      </w:r>
    </w:p>
    <w:p>
      <w:pPr>
        <w:pStyle w:val="Point1"/>
        <w:rPr>
          <w:noProof/>
        </w:rPr>
      </w:pPr>
      <w:r>
        <w:rPr>
          <w:noProof/>
        </w:rPr>
        <w:t>α)</w:t>
      </w:r>
      <w:r>
        <w:rPr>
          <w:noProof/>
        </w:rPr>
        <w:tab/>
        <w:t>Η παράγραφος 1 αντικαθίσταται από το ακόλουθο κείμενο:</w:t>
      </w:r>
    </w:p>
    <w:p>
      <w:pPr>
        <w:pStyle w:val="Point2"/>
        <w:rPr>
          <w:noProof/>
        </w:rPr>
      </w:pPr>
      <w:r>
        <w:rPr>
          <w:noProof/>
        </w:rPr>
        <w:t>«1.</w:t>
      </w:r>
      <w:r>
        <w:rPr>
          <w:noProof/>
        </w:rPr>
        <w:tab/>
        <w:t>Τα κράτη μέλη παρέχουν στην Επιτροπή σε ετήσια βάση στατιστικά στοιχεία σχετικά με τον όγκο των αυτόματων ανταλλαγών σύμφωνα με το άρθρο 8 παράγραφος 1 και παράγραφος 3α, το άρθρο 8αα και το άρθρο 8αγ και πληροφορίες σχετικά με τις διοικητικές και άλλες συναφείς δαπάνες και οφέλη που συνδέονται με τις πραγματοποιηθείσες ανταλλαγές καθώς και οποιεσδήποτε ενδεχόμενες μεταβολές, τόσο για τις φορολογικές διοικήσεις όσο και για τρίτους.</w:t>
      </w:r>
    </w:p>
    <w:p>
      <w:pPr>
        <w:pStyle w:val="Point1"/>
        <w:rPr>
          <w:rStyle w:val="Marker0"/>
          <w:noProof/>
          <w:color w:val="auto"/>
        </w:rPr>
      </w:pPr>
      <w:r>
        <w:rPr>
          <w:noProof/>
        </w:rPr>
        <w:t>β)</w:t>
      </w:r>
      <w:r>
        <w:rPr>
          <w:noProof/>
        </w:rPr>
        <w:tab/>
        <w:t>Η παράγραφος</w:t>
      </w:r>
      <w:r>
        <w:rPr>
          <w:rStyle w:val="Marker0"/>
          <w:noProof/>
          <w:color w:val="auto"/>
        </w:rPr>
        <w:t> 2 απαλείφεται.</w:t>
      </w:r>
    </w:p>
    <w:p>
      <w:pPr>
        <w:pStyle w:val="Point0"/>
        <w:rPr>
          <w:rStyle w:val="Marker0"/>
          <w:noProof/>
          <w:color w:val="auto"/>
        </w:rPr>
      </w:pPr>
      <w:r>
        <w:rPr>
          <w:noProof/>
        </w:rPr>
        <w:t>8)</w:t>
      </w:r>
      <w:r>
        <w:rPr>
          <w:noProof/>
        </w:rPr>
        <w:tab/>
      </w:r>
      <w:r>
        <w:rPr>
          <w:rStyle w:val="Marker0"/>
          <w:noProof/>
          <w:color w:val="auto"/>
        </w:rPr>
        <w:t>Το άρθρο 11 τροποποιείται ως εξής:</w:t>
      </w:r>
    </w:p>
    <w:p>
      <w:pPr>
        <w:pStyle w:val="Point1"/>
        <w:rPr>
          <w:rStyle w:val="Marker0"/>
          <w:noProof/>
          <w:color w:val="auto"/>
        </w:rPr>
      </w:pPr>
      <w:r>
        <w:rPr>
          <w:noProof/>
        </w:rPr>
        <w:t>α)</w:t>
      </w:r>
      <w:r>
        <w:rPr>
          <w:noProof/>
        </w:rPr>
        <w:tab/>
        <w:t>Η παράγραφος</w:t>
      </w:r>
      <w:r>
        <w:rPr>
          <w:rStyle w:val="Marker0"/>
          <w:noProof/>
          <w:color w:val="auto"/>
        </w:rPr>
        <w:t> 1 αντικαθίσταται από το ακόλουθο κείμενο:</w:t>
      </w:r>
    </w:p>
    <w:p>
      <w:pPr>
        <w:pStyle w:val="Point2"/>
        <w:rPr>
          <w:noProof/>
        </w:rPr>
      </w:pPr>
      <w:r>
        <w:rPr>
          <w:rStyle w:val="Marker0"/>
          <w:noProof/>
          <w:color w:val="auto"/>
        </w:rPr>
        <w:t>«1.</w:t>
      </w:r>
      <w:r>
        <w:rPr>
          <w:noProof/>
        </w:rPr>
        <w:tab/>
        <w:t>Για την ανταλλαγή των πληροφοριών που αναφέρονται στο άρθρο 1 παράγραφος 1, η αρμόδια αρχή ενός κράτους μέλους μπορεί να ζητήσει από την αρμόδια αρχή άλλου κράτους μέλους υπάλληλοι εξουσιοδοτημένοι από το πρώτο και σύμφωνα με τις διαδικαστικές ρυθμίσεις που ορίζει το τελευταίο:</w:t>
      </w:r>
    </w:p>
    <w:p>
      <w:pPr>
        <w:pStyle w:val="Point3"/>
        <w:rPr>
          <w:rStyle w:val="Marker0"/>
          <w:noProof/>
          <w:color w:val="auto"/>
        </w:rPr>
      </w:pPr>
      <w:r>
        <w:rPr>
          <w:noProof/>
        </w:rPr>
        <w:t>α)</w:t>
      </w:r>
      <w:r>
        <w:rPr>
          <w:noProof/>
        </w:rPr>
        <w:tab/>
      </w:r>
      <w:r>
        <w:rPr>
          <w:rStyle w:val="Marker0"/>
          <w:noProof/>
          <w:color w:val="auto"/>
        </w:rPr>
        <w:t>να είναι παρόντες στα γραφεία στα οποία εκτελούν τα καθήκοντά τους οι διοικητικές αρχές του κράτους μέλους προς το οποίο απευθύνεται το αίτημα·</w:t>
      </w:r>
    </w:p>
    <w:p>
      <w:pPr>
        <w:pStyle w:val="Point3"/>
        <w:rPr>
          <w:rStyle w:val="Marker0"/>
          <w:noProof/>
          <w:color w:val="auto"/>
        </w:rPr>
      </w:pPr>
      <w:r>
        <w:rPr>
          <w:noProof/>
        </w:rPr>
        <w:t>β)</w:t>
      </w:r>
      <w:r>
        <w:rPr>
          <w:noProof/>
        </w:rPr>
        <w:tab/>
      </w:r>
      <w:r>
        <w:rPr>
          <w:rStyle w:val="Marker0"/>
          <w:noProof/>
          <w:color w:val="auto"/>
        </w:rPr>
        <w:t>να είναι παρόντες κατά τις διοικητικές έρευνες οι οποίες διεξάγονται στο έδαφος του κράτους μέλους προς το οποίο απευθύνεται το αίτημα·</w:t>
      </w:r>
    </w:p>
    <w:p>
      <w:pPr>
        <w:pStyle w:val="Point3"/>
        <w:rPr>
          <w:rStyle w:val="Marker0"/>
          <w:noProof/>
          <w:color w:val="auto"/>
        </w:rPr>
      </w:pPr>
      <w:r>
        <w:rPr>
          <w:noProof/>
        </w:rPr>
        <w:t>γ)</w:t>
      </w:r>
      <w:r>
        <w:rPr>
          <w:noProof/>
        </w:rPr>
        <w:tab/>
      </w:r>
      <w:r>
        <w:rPr>
          <w:rStyle w:val="Marker0"/>
          <w:noProof/>
          <w:color w:val="auto"/>
        </w:rPr>
        <w:t xml:space="preserve">να συμμετέχουν στις διοικητικές έρευνες που διενεργεί το κράτος μέλος προς το οποίο απευθύνεται το αίτημα μέσω ηλεκτρονικών μέσων επικοινωνίας, όπου συντρέχει περίπτωση. </w:t>
      </w:r>
    </w:p>
    <w:p>
      <w:pPr>
        <w:pStyle w:val="Text2"/>
        <w:rPr>
          <w:rStyle w:val="Marker0"/>
          <w:noProof/>
          <w:color w:val="auto"/>
        </w:rPr>
      </w:pPr>
      <w:r>
        <w:rPr>
          <w:rStyle w:val="Marker0"/>
          <w:noProof/>
          <w:color w:val="auto"/>
        </w:rPr>
        <w:t>Η αρμόδια αρχή απαντά στα αιτήματα σύμφωνα με το πρώτο εδάφιο εντός 30 ημερών, ώστε να επιβεβαιώσει τη συμφωνία της ή να ανακοινώσει την αιτιολογημένη άρνησή της στην αιτούσα αρχή.</w:t>
      </w:r>
    </w:p>
    <w:p>
      <w:pPr>
        <w:pStyle w:val="Text2"/>
        <w:rPr>
          <w:rStyle w:val="Marker0"/>
          <w:noProof/>
          <w:color w:val="auto"/>
        </w:rPr>
      </w:pPr>
      <w:r>
        <w:rPr>
          <w:rStyle w:val="Marker0"/>
          <w:noProof/>
          <w:color w:val="auto"/>
        </w:rPr>
        <w:t>Αν οι ζητούμενες πληροφορίες περιέχονται σε έγγραφα στα οποία έχουν πρόσβαση οι υπάλληλοι της λαμβάνουσας αρχής, αντίγραφα των εν λόγω εγγράφων παρέχονται στους υπαλλήλους της αιτούσας αρχής.».</w:t>
      </w:r>
    </w:p>
    <w:p>
      <w:pPr>
        <w:pStyle w:val="Point1"/>
        <w:rPr>
          <w:rStyle w:val="Marker0"/>
          <w:noProof/>
          <w:color w:val="auto"/>
        </w:rPr>
      </w:pPr>
      <w:r>
        <w:rPr>
          <w:noProof/>
        </w:rPr>
        <w:t>β)</w:t>
      </w:r>
      <w:r>
        <w:rPr>
          <w:noProof/>
        </w:rPr>
        <w:tab/>
      </w:r>
      <w:r>
        <w:rPr>
          <w:rStyle w:val="Marker0"/>
          <w:noProof/>
          <w:color w:val="auto"/>
        </w:rPr>
        <w:t xml:space="preserve">Στην </w:t>
      </w:r>
      <w:r>
        <w:rPr>
          <w:noProof/>
        </w:rPr>
        <w:t>παράγραφο </w:t>
      </w:r>
      <w:r>
        <w:rPr>
          <w:rStyle w:val="Marker0"/>
          <w:noProof/>
          <w:color w:val="auto"/>
        </w:rPr>
        <w:t>2 το πρώτο εδάφιο αντικαθίσταται από το ακόλουθο κείμενο:</w:t>
      </w:r>
    </w:p>
    <w:p>
      <w:pPr>
        <w:pStyle w:val="Text2"/>
        <w:rPr>
          <w:rStyle w:val="Marker0"/>
          <w:noProof/>
          <w:color w:val="auto"/>
        </w:rPr>
      </w:pPr>
      <w:r>
        <w:rPr>
          <w:rStyle w:val="Marker0"/>
          <w:noProof/>
          <w:color w:val="auto"/>
        </w:rPr>
        <w:t>Όταν υπάλληλοι της αιτούσας αρχής είναι παρόντες κατά τη διάρκεια διοικητικής έρευνας ή συμμετέχουν μέσω της χρήσης ηλεκτρονικών μέσων επικοινωνίας, μπορούν να διεξάγουν συνέντευξη με άτομα και να εξετάζουν φακέλους.».</w:t>
      </w:r>
    </w:p>
    <w:p>
      <w:pPr>
        <w:pStyle w:val="Point0"/>
        <w:rPr>
          <w:rStyle w:val="Marker0"/>
          <w:noProof/>
          <w:color w:val="auto"/>
        </w:rPr>
      </w:pPr>
      <w:r>
        <w:rPr>
          <w:noProof/>
        </w:rPr>
        <w:t>9)</w:t>
      </w:r>
      <w:r>
        <w:rPr>
          <w:noProof/>
        </w:rPr>
        <w:tab/>
      </w:r>
      <w:r>
        <w:rPr>
          <w:rStyle w:val="Marker0"/>
          <w:noProof/>
          <w:color w:val="auto"/>
        </w:rPr>
        <w:t>Το άρθρο 12 παράγραφος 3 αντικαθίσταται από το ακόλουθο κείμενο:</w:t>
      </w:r>
    </w:p>
    <w:p>
      <w:pPr>
        <w:pStyle w:val="Point1"/>
        <w:rPr>
          <w:rStyle w:val="Marker0"/>
          <w:noProof/>
          <w:color w:val="auto"/>
        </w:rPr>
      </w:pPr>
      <w:r>
        <w:rPr>
          <w:rStyle w:val="Marker0"/>
          <w:noProof/>
          <w:color w:val="auto"/>
        </w:rPr>
        <w:t>«3.</w:t>
      </w:r>
      <w:r>
        <w:rPr>
          <w:noProof/>
        </w:rPr>
        <w:tab/>
      </w:r>
      <w:r>
        <w:rPr>
          <w:rStyle w:val="Marker0"/>
          <w:noProof/>
          <w:color w:val="auto"/>
        </w:rPr>
        <w:t xml:space="preserve">Η αρμόδια αρχή κάθε ενδιαφερόμενου κράτους μέλους αποφασίζει αν επιθυμεί να λάβει μέρος σε ταυτόχρονους ελέγχους. Η αρμόδια αρχή του κράτους μέλους επιβεβαιώνει στην αρχή η οποία πρότεινε τη διεξαγωγή ταυτόχρονου </w:t>
      </w:r>
      <w:r>
        <w:rPr>
          <w:rStyle w:val="Marker0"/>
          <w:noProof/>
          <w:color w:val="auto"/>
        </w:rPr>
        <w:lastRenderedPageBreak/>
        <w:t>ελέγχου τη συμφωνία της ή της ανακοινώνει την αιτιολογημένη άρνησή της εντός 30 ημερών από τη λήψη της πρότασης.»</w:t>
      </w:r>
    </w:p>
    <w:p>
      <w:pPr>
        <w:pStyle w:val="Point0"/>
        <w:rPr>
          <w:rStyle w:val="Marker0"/>
          <w:noProof/>
          <w:color w:val="auto"/>
        </w:rPr>
      </w:pPr>
      <w:r>
        <w:rPr>
          <w:noProof/>
        </w:rPr>
        <w:t>10)</w:t>
      </w:r>
      <w:r>
        <w:rPr>
          <w:noProof/>
        </w:rPr>
        <w:tab/>
      </w:r>
      <w:r>
        <w:rPr>
          <w:rStyle w:val="Marker0"/>
          <w:noProof/>
          <w:color w:val="auto"/>
        </w:rPr>
        <w:t>Παρεμβάλλεται το ακόλουθο τμήμα:</w:t>
      </w:r>
    </w:p>
    <w:p>
      <w:pPr>
        <w:pStyle w:val="Titrearticle"/>
        <w:rPr>
          <w:i w:val="0"/>
          <w:noProof/>
        </w:rPr>
      </w:pPr>
      <w:r>
        <w:rPr>
          <w:noProof/>
        </w:rPr>
        <w:t>«ΤΜΗΜΑ</w:t>
      </w:r>
      <w:r>
        <w:rPr>
          <w:i w:val="0"/>
          <w:noProof/>
        </w:rPr>
        <w:t xml:space="preserve"> IIα</w:t>
      </w:r>
    </w:p>
    <w:p>
      <w:pPr>
        <w:pStyle w:val="NormalCentered"/>
        <w:rPr>
          <w:b/>
          <w:i/>
          <w:noProof/>
        </w:rPr>
      </w:pPr>
      <w:r>
        <w:rPr>
          <w:b/>
          <w:i/>
          <w:noProof/>
        </w:rPr>
        <w:t>Κοινοί έλεγχοι</w:t>
      </w:r>
    </w:p>
    <w:p>
      <w:pPr>
        <w:pStyle w:val="Titrearticle"/>
        <w:rPr>
          <w:noProof/>
        </w:rPr>
      </w:pPr>
      <w:r>
        <w:rPr>
          <w:noProof/>
        </w:rPr>
        <w:t>Άρθρο 12a</w:t>
      </w:r>
    </w:p>
    <w:p>
      <w:pPr>
        <w:pStyle w:val="NormalCentered"/>
        <w:rPr>
          <w:b/>
          <w:noProof/>
        </w:rPr>
      </w:pPr>
      <w:r>
        <w:rPr>
          <w:b/>
          <w:noProof/>
        </w:rPr>
        <w:t>Κοινοί έλεγχοι</w:t>
      </w:r>
    </w:p>
    <w:p>
      <w:pPr>
        <w:pStyle w:val="ManualNumPar1"/>
        <w:rPr>
          <w:rStyle w:val="Marker0"/>
          <w:noProof/>
          <w:color w:val="auto"/>
        </w:rPr>
      </w:pPr>
      <w:r>
        <w:rPr>
          <w:noProof/>
        </w:rPr>
        <w:t>1.</w:t>
      </w:r>
      <w:r>
        <w:rPr>
          <w:noProof/>
        </w:rPr>
        <w:tab/>
      </w:r>
      <w:r>
        <w:rPr>
          <w:rStyle w:val="Marker0"/>
          <w:noProof/>
          <w:color w:val="auto"/>
        </w:rPr>
        <w:t>Για τους σκοπούς της παρούσας οδηγίας, ως «κοινός έλεγχος» νοείται η διοικητική έρευνα που διεξάγεται από κοινού από τις αρμόδιες αρχές δύο ή περισσοτέρων κρατών μελών, τα οποία προβαίνουν, με προκαθορισμένο και συντονισμένο τρόπο, στην εξέταση υπόθεσης που συνδέεται με ένα ή περισσότερα άτομα που παρουσιάζουν κοινό ή συμπληρωματικό ενδιαφέρον για τα αντίστοιχα κράτη μέλη τους.</w:t>
      </w:r>
    </w:p>
    <w:p>
      <w:pPr>
        <w:pStyle w:val="ManualNumPar1"/>
        <w:rPr>
          <w:rStyle w:val="Marker0"/>
          <w:noProof/>
          <w:color w:val="auto"/>
        </w:rPr>
      </w:pPr>
      <w:r>
        <w:rPr>
          <w:noProof/>
        </w:rPr>
        <w:t>2.</w:t>
      </w:r>
      <w:r>
        <w:rPr>
          <w:noProof/>
        </w:rPr>
        <w:tab/>
      </w:r>
      <w:r>
        <w:rPr>
          <w:rStyle w:val="Marker0"/>
          <w:noProof/>
          <w:color w:val="auto"/>
        </w:rPr>
        <w:t>Όταν η αρμόδια αρχή ενός κράτους μέλους ζητά από την αρμόδια αρχή άλλου κράτους μέλους (ή άλλων κρατών μελών) τη διενέργεια κοινού ελέγχου ενός ή περισσοτέρων ατόμων που παρουσιάζουν κοινό ή συμπληρωματικό ενδιαφέρον για τα αντίστοιχα κράτη μέλη τους, οι λαμβάνουσες αρχές απαντούν στο αίτημα εντός 30 ημερών από την παραλαβή του αιτήματος.</w:t>
      </w:r>
    </w:p>
    <w:p>
      <w:pPr>
        <w:pStyle w:val="ManualNumPar1"/>
        <w:rPr>
          <w:rStyle w:val="Marker0"/>
          <w:noProof/>
          <w:color w:val="auto"/>
        </w:rPr>
      </w:pPr>
      <w:r>
        <w:rPr>
          <w:noProof/>
        </w:rPr>
        <w:t>3.</w:t>
      </w:r>
      <w:r>
        <w:rPr>
          <w:noProof/>
        </w:rPr>
        <w:tab/>
      </w:r>
      <w:r>
        <w:rPr>
          <w:rStyle w:val="Marker0"/>
          <w:noProof/>
          <w:color w:val="auto"/>
        </w:rPr>
        <w:t xml:space="preserve">Το αίτημα για τη διενέργεια κοινού έλεγχο από αρμόδια αρχή ενός κράτους μέλους μπορεί να απορριφθεί για δικαιολογημένους λόγους και, ιδίως, για οποιονδήποτε από τους παρακάτω λόγους: </w:t>
      </w:r>
    </w:p>
    <w:p>
      <w:pPr>
        <w:pStyle w:val="Point1"/>
        <w:rPr>
          <w:rStyle w:val="Marker0"/>
          <w:noProof/>
          <w:color w:val="auto"/>
        </w:rPr>
      </w:pPr>
      <w:r>
        <w:rPr>
          <w:noProof/>
        </w:rPr>
        <w:t>α)</w:t>
      </w:r>
      <w:r>
        <w:rPr>
          <w:noProof/>
        </w:rPr>
        <w:tab/>
      </w:r>
      <w:r>
        <w:rPr>
          <w:rStyle w:val="Marker0"/>
          <w:noProof/>
          <w:color w:val="auto"/>
        </w:rPr>
        <w:t>ο ζητούμενος κοινός έλεγχος συνεπάγεται τη διεξαγωγή ερευνών ή την κοινοποίηση πληροφοριών κατά παράβαση της νομοθεσίας του κράτους μέλους προς το οποίο απευθύνεται το αίτημα·</w:t>
      </w:r>
    </w:p>
    <w:p>
      <w:pPr>
        <w:pStyle w:val="Point1"/>
        <w:rPr>
          <w:rStyle w:val="Marker0"/>
          <w:noProof/>
          <w:color w:val="auto"/>
        </w:rPr>
      </w:pPr>
      <w:r>
        <w:rPr>
          <w:noProof/>
        </w:rPr>
        <w:t>β)</w:t>
      </w:r>
      <w:r>
        <w:rPr>
          <w:noProof/>
        </w:rPr>
        <w:tab/>
      </w:r>
      <w:r>
        <w:rPr>
          <w:rStyle w:val="Marker0"/>
          <w:noProof/>
          <w:color w:val="auto"/>
        </w:rPr>
        <w:t>η αιτούσα αρχή δεν είναι σε θέση, για νομικούς λόγους, να κοινοποιήσει πληροφορίες παρόμοιες με αυτές που θα αναμενόταν να παράσχει το κράτος μέλος προς το οποίο απευθύνεται το αίτημα κατά τον κοινό έλεγχο.</w:t>
      </w:r>
    </w:p>
    <w:p>
      <w:pPr>
        <w:pStyle w:val="ManualNumPar1"/>
        <w:rPr>
          <w:rStyle w:val="Marker0"/>
          <w:noProof/>
          <w:color w:val="auto"/>
        </w:rPr>
      </w:pPr>
      <w:r>
        <w:rPr>
          <w:noProof/>
        </w:rPr>
        <w:t>4.</w:t>
      </w:r>
      <w:r>
        <w:rPr>
          <w:noProof/>
        </w:rPr>
        <w:tab/>
      </w:r>
      <w:r>
        <w:rPr>
          <w:rStyle w:val="Marker0"/>
          <w:noProof/>
          <w:color w:val="auto"/>
        </w:rPr>
        <w:t>Όταν ένα ή περισσότερα άτομα ζητούν από αρμόδια αρχή δύο ή περισσότερων κρατών μελών τον κοινό έλεγχο προσώπου(-ων), οι λαμβάνουσες αρχές απαντούν στο αίτημα εντός 30 ημερών.</w:t>
      </w:r>
    </w:p>
    <w:p>
      <w:pPr>
        <w:pStyle w:val="Text1"/>
        <w:rPr>
          <w:rStyle w:val="Marker0"/>
          <w:noProof/>
          <w:color w:val="auto"/>
        </w:rPr>
      </w:pPr>
      <w:r>
        <w:rPr>
          <w:noProof/>
        </w:rPr>
        <w:t>Όταν η λαμβάνουσα αρχή απορρίπτει το αίτημα, ενημερώνει το(τα) πρόσωπο</w:t>
      </w:r>
      <w:r>
        <w:rPr>
          <w:rStyle w:val="Marker0"/>
          <w:noProof/>
          <w:color w:val="auto"/>
        </w:rPr>
        <w:t xml:space="preserve">(-α) που υπέβαλε το αίτημα για τους λόγους απόρριψης. </w:t>
      </w:r>
    </w:p>
    <w:p>
      <w:pPr>
        <w:pStyle w:val="ManualNumPar1"/>
        <w:rPr>
          <w:rStyle w:val="Marker0"/>
          <w:noProof/>
          <w:color w:val="auto"/>
        </w:rPr>
      </w:pPr>
      <w:r>
        <w:rPr>
          <w:noProof/>
        </w:rPr>
        <w:t>5.</w:t>
      </w:r>
      <w:r>
        <w:rPr>
          <w:noProof/>
        </w:rPr>
        <w:tab/>
      </w:r>
      <w:r>
        <w:rPr>
          <w:rStyle w:val="Marker0"/>
          <w:noProof/>
          <w:color w:val="auto"/>
        </w:rPr>
        <w:t>Με την επιφύλαξη των ορίων που καθορίζονται στο άρθρο 17 παράγραφος 4, ένα αίτημα για την παροχή πληροφοριών στην αρμόδια αρχή κράτους μέλους στο πλαίσιο κοινού ελέγχου σύμφωνα με το παρόν άρθρο δεν μπορεί να απορριφθεί επειδή θα οδηγούσε στην αποκάλυψη εμπορικού, βιομηχανικού ή επαγγελματικού απορρήτου, εμπορικής διαδικασίας ή πληροφορίας της οποίας η κοινοποίηση αντιβαίνει στη δημόσια τάξη. Αυτό ισχύει με την επιφύλαξη της υποχρέωσης της λαμβάνουσας αρμόδιας αρχής να μην διαβιβάσει ή, με οποιονδήποτε τρόπο, κοινοποιήσει τις εν λόγω πληροφορίες σε τρίτους.</w:t>
      </w:r>
    </w:p>
    <w:p>
      <w:pPr>
        <w:pStyle w:val="ManualNumPar1"/>
        <w:rPr>
          <w:rStyle w:val="Marker0"/>
          <w:noProof/>
          <w:color w:val="auto"/>
        </w:rPr>
      </w:pPr>
      <w:r>
        <w:rPr>
          <w:noProof/>
        </w:rPr>
        <w:t>6.</w:t>
      </w:r>
      <w:r>
        <w:rPr>
          <w:noProof/>
        </w:rPr>
        <w:tab/>
      </w:r>
      <w:r>
        <w:rPr>
          <w:rStyle w:val="Marker0"/>
          <w:noProof/>
          <w:color w:val="auto"/>
        </w:rPr>
        <w:t xml:space="preserve">Οι κοινοί έλεγχοι διενεργούνται σύμφωνα με τις διαδικαστικές ρυθμίσεις που ισχύουν στο κράτος μέλος όπου πραγματοποιήθηκαν οι ενέργειες που σχετίζονται με τον έλεγχο. Τα αποδεικτικά στοιχεία που συλλέγονται στο πλαίσιο κοινού ελέγχου </w:t>
      </w:r>
      <w:r>
        <w:rPr>
          <w:rStyle w:val="Marker0"/>
          <w:noProof/>
          <w:color w:val="auto"/>
        </w:rPr>
        <w:lastRenderedPageBreak/>
        <w:t xml:space="preserve">σε ένα κράτος μέλος σύμφωνα με τη νομοθεσία του αναγνωρίζονται αμοιβαία από όλες τις άλλες αρμόδιες αρχές των κρατών μελών που συμμετέχουν στον κοινό έλεγχο. </w:t>
      </w:r>
    </w:p>
    <w:p>
      <w:pPr>
        <w:pStyle w:val="ManualNumPar1"/>
        <w:rPr>
          <w:rStyle w:val="Marker0"/>
          <w:noProof/>
          <w:color w:val="auto"/>
        </w:rPr>
      </w:pPr>
      <w:r>
        <w:rPr>
          <w:noProof/>
        </w:rPr>
        <w:t>7.</w:t>
      </w:r>
      <w:r>
        <w:rPr>
          <w:noProof/>
        </w:rPr>
        <w:tab/>
      </w:r>
      <w:r>
        <w:rPr>
          <w:rStyle w:val="Marker0"/>
          <w:noProof/>
          <w:color w:val="auto"/>
        </w:rPr>
        <w:t>Όταν οι αρμόδιες αρχές δύο ή περισσοτέρων κρατών μελών διενεργούν κοινό έλεγχο, συμφωνούν για τα πραγματικά περιστατικά και τις περιστάσεις της υπόθεσης και προσπαθούν να καταλήξουν σε συμφωνία σχετικά με τη φορολογική κατάσταση του(των) ελεγμένου(-ων) προσώπου(-ων) βάσει των αποτελεσμάτων του κοινού ελέγχου. Τα συμπεράσματα του ελέγχου ενσωματώνονται σε τελική έκθεση η οποία έχει ισοδύναμη νομική αξία με τα σχετικά εθνικά μέσα που εκδίδονται μετά από έλεγχο.</w:t>
      </w:r>
    </w:p>
    <w:p>
      <w:pPr>
        <w:pStyle w:val="ManualNumPar1"/>
        <w:rPr>
          <w:rStyle w:val="Marker0"/>
          <w:noProof/>
          <w:color w:val="auto"/>
        </w:rPr>
      </w:pPr>
      <w:r>
        <w:rPr>
          <w:noProof/>
        </w:rPr>
        <w:t>8.</w:t>
      </w:r>
      <w:r>
        <w:rPr>
          <w:noProof/>
        </w:rPr>
        <w:tab/>
      </w:r>
      <w:r>
        <w:rPr>
          <w:rStyle w:val="Marker0"/>
          <w:noProof/>
          <w:color w:val="auto"/>
        </w:rPr>
        <w:t>Για την εφαρμογή της τελικής έκθεσης, τα κράτη μέλη προβλέπουν διά νόμου τη δυνατότητα πραγματοποίησης αντίστοιχης προσαρμογής.</w:t>
      </w:r>
    </w:p>
    <w:p>
      <w:pPr>
        <w:pStyle w:val="ManualNumPar1"/>
        <w:rPr>
          <w:rStyle w:val="Marker0"/>
          <w:noProof/>
          <w:color w:val="auto"/>
        </w:rPr>
      </w:pPr>
      <w:r>
        <w:rPr>
          <w:noProof/>
        </w:rPr>
        <w:t>9.</w:t>
      </w:r>
      <w:r>
        <w:rPr>
          <w:noProof/>
        </w:rPr>
        <w:tab/>
      </w:r>
      <w:r>
        <w:rPr>
          <w:rStyle w:val="Marker0"/>
          <w:noProof/>
          <w:color w:val="auto"/>
        </w:rPr>
        <w:t xml:space="preserve">Οι αρμόδιες αρχές των κρατών μελών που διενήργησαν κοινό έλεγχο κοινοποιούν τα αποτελέσματα του ελέγχου, συμπεριλαμβανομένης της τελικής έκθεσης, στο(στα) ελεγχόμενο(-α) πρόσωπο(-α) εντός 30 ημερών από την έκδοση της τελικής έκθεσης. </w:t>
      </w:r>
    </w:p>
    <w:p>
      <w:pPr>
        <w:pStyle w:val="ManualNumPar1"/>
        <w:rPr>
          <w:rStyle w:val="Marker0"/>
          <w:noProof/>
          <w:color w:val="auto"/>
        </w:rPr>
      </w:pPr>
      <w:r>
        <w:rPr>
          <w:noProof/>
        </w:rPr>
        <w:t>10.</w:t>
      </w:r>
      <w:r>
        <w:rPr>
          <w:noProof/>
        </w:rPr>
        <w:tab/>
      </w:r>
      <w:r>
        <w:rPr>
          <w:rStyle w:val="Marker0"/>
          <w:noProof/>
          <w:color w:val="auto"/>
        </w:rPr>
        <w:t>Οι γλωσσικές ρυθμίσεις κοινού ελέγχου συμφωνούνται από τις αρμόδιες αρχές που συμμετέχουν σε αυτόν.».</w:t>
      </w:r>
    </w:p>
    <w:p>
      <w:pPr>
        <w:pStyle w:val="Point0"/>
        <w:rPr>
          <w:noProof/>
        </w:rPr>
      </w:pPr>
      <w:r>
        <w:rPr>
          <w:noProof/>
        </w:rPr>
        <w:t>11)</w:t>
      </w:r>
      <w:r>
        <w:rPr>
          <w:noProof/>
        </w:rPr>
        <w:tab/>
      </w:r>
      <w:r>
        <w:rPr>
          <w:rStyle w:val="Marker0"/>
          <w:noProof/>
          <w:color w:val="auto"/>
        </w:rPr>
        <w:t>Το άρθρο 14 παράγραφος 1 αντικαθίσταται από το ακόλουθο κείμενο:</w:t>
      </w:r>
    </w:p>
    <w:p>
      <w:pPr>
        <w:pStyle w:val="Point1"/>
        <w:rPr>
          <w:noProof/>
        </w:rPr>
      </w:pPr>
      <w:r>
        <w:rPr>
          <w:noProof/>
        </w:rPr>
        <w:t xml:space="preserve">«1. </w:t>
      </w:r>
      <w:r>
        <w:rPr>
          <w:noProof/>
        </w:rPr>
        <w:tab/>
        <w:t>Όταν αρμόδια αρχή παρέχει πληροφορίες σύμφωνα με τα άρθρα 5 ή 9, η αρμόδια αρχή που παραλαμβάνει τις σχετικές πληροφορίες αποστέλλει, με την επιφύλαξη των κανόνων φορολογικού απορρήτου και προστασίας δεδομένων που εφαρμόζονται στα κράτη μέλη, την ανατροφοδότηση προς την αρμόδια αρχή που παρέσχε τις πληροφορίες, το συντομότερο δυνατόν και το αργότερο εντός τριάντα ημερών από τη γνωστοποίηση της έκβασης της χρησιμοποίησης των ζητούμενων πληροφοριών.</w:t>
      </w:r>
    </w:p>
    <w:p>
      <w:pPr>
        <w:pStyle w:val="Text2"/>
        <w:rPr>
          <w:noProof/>
        </w:rPr>
      </w:pPr>
      <w:r>
        <w:rPr>
          <w:noProof/>
        </w:rPr>
        <w:t xml:space="preserve">Η Επιτροπή εγκρίνει, </w:t>
      </w:r>
      <w:r>
        <w:rPr>
          <w:rStyle w:val="Marker0"/>
          <w:noProof/>
          <w:color w:val="auto"/>
        </w:rPr>
        <w:t>με εκτελεστικές πράξεις, τις πρακτικές ρυθμίσεις για την παροχή ανατροφοδότησης σε τέτοιες περιπτώσεις.</w:t>
      </w:r>
      <w:r>
        <w:rPr>
          <w:noProof/>
        </w:rPr>
        <w:t xml:space="preserve"> </w:t>
      </w:r>
      <w:r>
        <w:rPr>
          <w:rStyle w:val="Marker0"/>
          <w:noProof/>
          <w:color w:val="auto"/>
        </w:rPr>
        <w:t>Οι εν λόγω εκτελεστικές πράξεις εκδίδονται σύμφωνα με τη διαδικασία που αναφέρεται στο άρθρο 26 παράγραφος 2.»</w:t>
      </w:r>
      <w:r>
        <w:rPr>
          <w:noProof/>
          <w:color w:val="444444"/>
          <w:sz w:val="21"/>
          <w:szCs w:val="21"/>
        </w:rPr>
        <w:t>.</w:t>
      </w:r>
    </w:p>
    <w:p>
      <w:pPr>
        <w:pStyle w:val="Point0"/>
        <w:rPr>
          <w:noProof/>
        </w:rPr>
      </w:pPr>
      <w:r>
        <w:rPr>
          <w:noProof/>
        </w:rPr>
        <w:t>12)</w:t>
      </w:r>
      <w:r>
        <w:rPr>
          <w:noProof/>
        </w:rPr>
        <w:tab/>
      </w:r>
      <w:r>
        <w:rPr>
          <w:rStyle w:val="Marker0"/>
          <w:noProof/>
          <w:color w:val="auto"/>
        </w:rPr>
        <w:t>Το άρθρο</w:t>
      </w:r>
      <w:r>
        <w:rPr>
          <w:noProof/>
        </w:rPr>
        <w:t xml:space="preserve"> 16 τροποποιείται ως εξής: </w:t>
      </w:r>
    </w:p>
    <w:p>
      <w:pPr>
        <w:pStyle w:val="Point1"/>
        <w:rPr>
          <w:noProof/>
        </w:rPr>
      </w:pPr>
      <w:r>
        <w:rPr>
          <w:noProof/>
        </w:rPr>
        <w:t>α)</w:t>
      </w:r>
      <w:r>
        <w:rPr>
          <w:noProof/>
        </w:rPr>
        <w:tab/>
        <w:t>Στην παράγραφο 1 το πρώτο εδάφιο αντικαθίσταται από το ακόλουθο κείμενο:</w:t>
      </w:r>
    </w:p>
    <w:p>
      <w:pPr>
        <w:pStyle w:val="Text2"/>
        <w:rPr>
          <w:noProof/>
        </w:rPr>
      </w:pPr>
      <w:r>
        <w:rPr>
          <w:noProof/>
        </w:rPr>
        <w:t>«Οι πληροφορίες που κοινοποιούνται μεταξύ κρατών μελών υπό οιαδήποτε μορφή δυνάμει της παρούσας οδηγίας καλύπτονται από την υποχρέωση τήρησης του υπηρεσιακού απορρήτου και χαίρουν της προστασίας που παρέχεται σε παρόμοιες πληροφορίες δυνάμει της εθνικής νομοθεσίας του κράτους μέλους που τις έλαβε. Οι πληροφορίες αυτές μπορούν να χρησιμοποιούνται για την αξιολόγηση, την εφαρμογή και την επιβολή της εγχώριας νομοθεσίας των κρατών μελών σχετικά με τους φόρους που αναφέρονται στο άρθρο 2, καθώς και τον ΦΠΑ και άλλους έμμεσους φόρους.».</w:t>
      </w:r>
    </w:p>
    <w:p>
      <w:pPr>
        <w:pStyle w:val="Point1"/>
        <w:rPr>
          <w:noProof/>
        </w:rPr>
      </w:pPr>
      <w:r>
        <w:rPr>
          <w:noProof/>
        </w:rPr>
        <w:t>β)</w:t>
      </w:r>
      <w:r>
        <w:rPr>
          <w:noProof/>
        </w:rPr>
        <w:tab/>
        <w:t>Η παράγραφος 2 αντικαθίσταται από το ακόλουθο κείμενο:</w:t>
      </w:r>
    </w:p>
    <w:p>
      <w:pPr>
        <w:pStyle w:val="Point2"/>
        <w:rPr>
          <w:noProof/>
        </w:rPr>
      </w:pPr>
      <w:r>
        <w:rPr>
          <w:noProof/>
        </w:rPr>
        <w:t>«2.</w:t>
      </w:r>
      <w:r>
        <w:rPr>
          <w:noProof/>
        </w:rPr>
        <w:tab/>
        <w:t xml:space="preserve">Με την άδεια της αρμόδιας αρχής του κράτους μέλους που κοινοποιεί πληροφορίες σύμφωνα με την παρούσα οδηγία και μόνον στο μέτρο που αυτό επιτρέπεται δυνάμει της νομοθεσίας του κράτους μέλους της αρμόδιας αρχής που παραλαμβάνει τις πληροφορίες, οι πληροφορίες και </w:t>
      </w:r>
      <w:r>
        <w:rPr>
          <w:noProof/>
        </w:rPr>
        <w:lastRenderedPageBreak/>
        <w:t xml:space="preserve">τα έγγραφα που λαμβάνονται σύμφωνα με την παρούσα οδηγία μπορούν να χρησιμοποιούνται για σκοπούς διαφορετικούς από εκείνους που αναφέρονται στην παράγραφο 1. </w:t>
      </w:r>
    </w:p>
    <w:p>
      <w:pPr>
        <w:pStyle w:val="Text3"/>
        <w:rPr>
          <w:noProof/>
        </w:rPr>
      </w:pPr>
      <w:r>
        <w:rPr>
          <w:noProof/>
        </w:rPr>
        <w:t>Η αρμόδια αρχή κάθε κράτους μέλους κοινοποιεί στις αρμόδιες αρχές όλων των άλλων κρατών μελών κατάλογο σκοπών για τους οποίους, σύμφωνα με την εθνική νομοθεσία του, μπορούν να χρησιμοποιούνται πληροφορίες και έγγραφα, εκτός από εκείνα που αναφέρονται στην παράγραφο 1. Η αρμόδια αρχή που λαμβάνει πληροφορίες μπορεί να χρησιμοποιεί τις ληφθείσες πληροφορίες και έγγραφα χωρίς την άδεια που αναφέρεται στο πρώτο εδάφιο για οποιονδήποτε από τους σκοπούς που αναφέρονται στον κατάλογο του κοινοποιούντος κράτους μέλους.».</w:t>
      </w:r>
    </w:p>
    <w:p>
      <w:pPr>
        <w:pStyle w:val="Point0"/>
        <w:rPr>
          <w:noProof/>
        </w:rPr>
      </w:pPr>
      <w:r>
        <w:rPr>
          <w:noProof/>
        </w:rPr>
        <w:t>13)</w:t>
      </w:r>
      <w:r>
        <w:rPr>
          <w:noProof/>
        </w:rPr>
        <w:tab/>
        <w:t xml:space="preserve">Το </w:t>
      </w:r>
      <w:r>
        <w:rPr>
          <w:rStyle w:val="Marker0"/>
          <w:noProof/>
          <w:color w:val="auto"/>
        </w:rPr>
        <w:t>άρθρο 17</w:t>
      </w:r>
      <w:r>
        <w:rPr>
          <w:noProof/>
        </w:rPr>
        <w:t xml:space="preserve"> παράγραφος 1 αντικαθίσταται από το ακόλουθο κείμενο:</w:t>
      </w:r>
    </w:p>
    <w:p>
      <w:pPr>
        <w:pStyle w:val="Point1"/>
        <w:rPr>
          <w:noProof/>
        </w:rPr>
      </w:pPr>
      <w:r>
        <w:rPr>
          <w:noProof/>
        </w:rPr>
        <w:t>«1.</w:t>
      </w:r>
      <w:r>
        <w:rPr>
          <w:noProof/>
        </w:rPr>
        <w:tab/>
        <w:t>Η λαμβάνουσα αρχή σε ένα κράτος-μέλος παρέχει στην αιτούσα αρχή άλλου κράτους μέλους τις πληροφορίες που αναφέρονται στο άρθρο 5 με την προϋπόθεση ότι η αιτούσα αρχή έχει εξαντλήσει τις συνήθεις πηγές πληροφόρησης τις οποίες θα μπορούσε να χρησιμοποιήσει για τη συγκέντρωση των ζητούμενων πληροφοριών και έχει εξαντλήσει όλα τα διαθέσιμα μέσα, εκτός από εκείνα που θα δημιουργούσαν δυσανάλογες δυσκολίες, χωρίς να υπάρχει κίνδυνος διακύβευσης της επίτευξης του στόχου της.</w:t>
      </w:r>
    </w:p>
    <w:p>
      <w:pPr>
        <w:pStyle w:val="Point0"/>
        <w:rPr>
          <w:noProof/>
        </w:rPr>
      </w:pPr>
      <w:r>
        <w:rPr>
          <w:noProof/>
        </w:rPr>
        <w:t>14)</w:t>
      </w:r>
      <w:r>
        <w:rPr>
          <w:noProof/>
        </w:rPr>
        <w:tab/>
      </w:r>
      <w:r>
        <w:rPr>
          <w:rStyle w:val="Marker0"/>
          <w:noProof/>
          <w:color w:val="auto"/>
        </w:rPr>
        <w:t>Το άρθρο</w:t>
      </w:r>
      <w:r>
        <w:rPr>
          <w:noProof/>
        </w:rPr>
        <w:t> 20 τροποποιείται ως εξής:</w:t>
      </w:r>
    </w:p>
    <w:p>
      <w:pPr>
        <w:pStyle w:val="Point1"/>
        <w:rPr>
          <w:noProof/>
        </w:rPr>
      </w:pPr>
      <w:r>
        <w:rPr>
          <w:noProof/>
        </w:rPr>
        <w:t>α)</w:t>
      </w:r>
      <w:r>
        <w:rPr>
          <w:noProof/>
        </w:rPr>
        <w:tab/>
        <w:t>Στην παράγραφο 2 το πρώτο εδάφιο αντικαθίσταται από το ακόλουθο κείμενο:</w:t>
      </w:r>
    </w:p>
    <w:p>
      <w:pPr>
        <w:pStyle w:val="Point2"/>
        <w:rPr>
          <w:noProof/>
        </w:rPr>
      </w:pPr>
      <w:r>
        <w:rPr>
          <w:noProof/>
        </w:rPr>
        <w:t>«2.</w:t>
      </w:r>
      <w:r>
        <w:rPr>
          <w:noProof/>
        </w:rPr>
        <w:tab/>
        <w:t xml:space="preserve">Το τυποποιημένο έντυπο που αναφέρεται στην παράγραφο 1 περιλαμβάνει τουλάχιστον τις ακόλουθες πληροφορίες, τις οποίες πρέπει να παρέχει η αιτούσα αρχή: </w:t>
      </w:r>
    </w:p>
    <w:p>
      <w:pPr>
        <w:pStyle w:val="Point3"/>
        <w:rPr>
          <w:noProof/>
        </w:rPr>
      </w:pPr>
      <w:r>
        <w:rPr>
          <w:noProof/>
        </w:rPr>
        <w:t>α)</w:t>
      </w:r>
      <w:r>
        <w:rPr>
          <w:noProof/>
        </w:rPr>
        <w:tab/>
        <w:t xml:space="preserve">τα στοιχεία ταυτότητος του προσώπου που αποτελεί αντικείμενο εξέτασης ή έρευνας και, σε περίπτωση ομαδοποιημένων αιτημάτων, όπως αναφέρεται στο άρθρο 5β, ολοκληρωμένη περιγραφή των κοινών χαρακτηριστικών της ομάδας· </w:t>
      </w:r>
    </w:p>
    <w:p>
      <w:pPr>
        <w:pStyle w:val="Point3"/>
        <w:rPr>
          <w:noProof/>
        </w:rPr>
      </w:pPr>
      <w:r>
        <w:rPr>
          <w:noProof/>
        </w:rPr>
        <w:t>β)</w:t>
      </w:r>
      <w:r>
        <w:rPr>
          <w:noProof/>
        </w:rPr>
        <w:tab/>
        <w:t xml:space="preserve">τους φορολογικούς λόγους για τους οποίους ζητούνται οι πληροφορίες.». </w:t>
      </w:r>
    </w:p>
    <w:p>
      <w:pPr>
        <w:pStyle w:val="Point1"/>
        <w:rPr>
          <w:noProof/>
        </w:rPr>
      </w:pPr>
      <w:r>
        <w:rPr>
          <w:noProof/>
        </w:rPr>
        <w:t>β)</w:t>
      </w:r>
      <w:r>
        <w:rPr>
          <w:noProof/>
        </w:rPr>
        <w:tab/>
        <w:t>Οι παράγραφοι 3 και 4 αντικαθίστανται από το ακόλουθο κείμενο:</w:t>
      </w:r>
    </w:p>
    <w:p>
      <w:pPr>
        <w:pStyle w:val="Point2"/>
        <w:rPr>
          <w:noProof/>
        </w:rPr>
      </w:pPr>
      <w:r>
        <w:rPr>
          <w:noProof/>
        </w:rPr>
        <w:t>«3.</w:t>
      </w:r>
      <w:r>
        <w:rPr>
          <w:noProof/>
        </w:rPr>
        <w:tab/>
        <w:t>Οι αυθόρμητα παρεχόμενες πληροφορίες και η αποδοχή τους σύμφωνα με τα άρθρα 9 και 10, αντίστοιχα, τα αιτήματα διοικητικών κοινοποιήσεων σύμφωνα με το άρθρο 13, οι πληροφορίες ανατροφοδότησης σύμφωνα με το άρθρο 14 και οι κοινοποιήσεις σύμφωνα με το άρθρο 16 παράγραφοι 2 και 3 και το άρθρο 24 παράγραφος 2 αποστέλλονται μέσω των τυποποιημένων εντύπων που εγκρίνει η Επιτροπή σύμφωνα με τη διαδικασία του άρθρου 26 παράγραφος 2.</w:t>
      </w:r>
    </w:p>
    <w:p>
      <w:pPr>
        <w:pStyle w:val="Point2"/>
        <w:rPr>
          <w:noProof/>
        </w:rPr>
      </w:pPr>
    </w:p>
    <w:p>
      <w:pPr>
        <w:pStyle w:val="Point2"/>
        <w:rPr>
          <w:noProof/>
        </w:rPr>
      </w:pPr>
      <w:r>
        <w:rPr>
          <w:noProof/>
        </w:rPr>
        <w:t xml:space="preserve"> 4. </w:t>
      </w:r>
      <w:r>
        <w:rPr>
          <w:noProof/>
        </w:rPr>
        <w:tab/>
        <w:t xml:space="preserve">Η αυτόματη ανταλλαγή πληροφοριών σύμφωνα με τα άρθρα 8 και 8αγ πραγματοποιείται χρησιμοποιώντας τυποποιημένο ηλεκτρονικό μορφότυπο με στόχο τη διευκόλυνση αυτής της αυτόματης ανταλλαγής, </w:t>
      </w:r>
      <w:r>
        <w:rPr>
          <w:noProof/>
        </w:rPr>
        <w:lastRenderedPageBreak/>
        <w:t>ο οποίος εγκρίνεται από την Επιτροπή με τη διαδικασία του άρθρου 26 παράγραφος 2.».</w:t>
      </w:r>
    </w:p>
    <w:p>
      <w:pPr>
        <w:pStyle w:val="Point0"/>
        <w:rPr>
          <w:noProof/>
        </w:rPr>
      </w:pPr>
      <w:r>
        <w:rPr>
          <w:noProof/>
        </w:rPr>
        <w:t>15)</w:t>
      </w:r>
      <w:r>
        <w:rPr>
          <w:noProof/>
        </w:rPr>
        <w:tab/>
        <w:t>Στο</w:t>
      </w:r>
      <w:r>
        <w:rPr>
          <w:rStyle w:val="Marker0"/>
          <w:noProof/>
          <w:color w:val="auto"/>
        </w:rPr>
        <w:t xml:space="preserve"> άρθρο</w:t>
      </w:r>
      <w:r>
        <w:rPr>
          <w:noProof/>
        </w:rPr>
        <w:t> 21, προστίθεται η ακόλουθη παράγραφος:</w:t>
      </w:r>
    </w:p>
    <w:p>
      <w:pPr>
        <w:pStyle w:val="Point1"/>
        <w:rPr>
          <w:noProof/>
        </w:rPr>
      </w:pPr>
      <w:r>
        <w:rPr>
          <w:noProof/>
        </w:rPr>
        <w:t>«7.</w:t>
      </w:r>
      <w:r>
        <w:rPr>
          <w:noProof/>
        </w:rPr>
        <w:tab/>
        <w:t>Η Επιτροπή αναπτύσσει και παρέχει υλικοτεχνική υποστήριξη για μια ασφαλή κεντρική διεπαφή για τη διοικητική συνεργασία στον τομέα της φορολογίας στις περιπτώσεις που τα κράτη μέλη επικοινωνούν με τη χρήση τυποποιημένων εντύπων σύμφωνα με το άρθρο 20 παράγραφοι 1 και 3. Οι αρμόδιες αρχές όλων των κρατών μελών έχουν πρόσβαση στην εν λόγω διεπαφή. Για τους σκοπούς της συλλογής στατιστικών στοιχείων, η Επιτροπή έχει πρόσβαση σε πληροφορίες σχετικά με τις ανταλλαγές που καταχωρίζονται στη διεπαφή και οι οποίες μπορούν να εξαχθούν αυτόματα. Η πρόσβαση από την Επιτροπή δεν θίγει την υποχρέωση των κρατών μελών να παρέχουν στατιστικά στοιχεία σχετικά με την ανταλλαγή πληροφοριών σύμφωνα με το άρθρο 23 παράγραφος 4.</w:t>
      </w:r>
    </w:p>
    <w:p>
      <w:pPr>
        <w:pStyle w:val="Text2"/>
        <w:rPr>
          <w:noProof/>
        </w:rPr>
      </w:pPr>
      <w:r>
        <w:rPr>
          <w:rStyle w:val="Marker0"/>
          <w:noProof/>
          <w:color w:val="auto"/>
        </w:rPr>
        <w:t>Η Επιτροπή καθορίζει τις αναγκαίες πρακτικές ρυθμίσεις</w:t>
      </w:r>
      <w:r>
        <w:rPr>
          <w:noProof/>
        </w:rPr>
        <w:t xml:space="preserve"> μέσω εκτελεστικών πράξεων. </w:t>
      </w:r>
      <w:r>
        <w:rPr>
          <w:rStyle w:val="Marker0"/>
          <w:noProof/>
          <w:color w:val="auto"/>
        </w:rPr>
        <w:t>Οι εν λόγω εκτελεστικές πράξεις</w:t>
      </w:r>
      <w:r>
        <w:rPr>
          <w:noProof/>
        </w:rPr>
        <w:t xml:space="preserve"> εκδίδονται σύμφωνα με τη διαδικασία που αναφέρεται στο άρθρο 26 παράγραφος 2.».</w:t>
      </w:r>
    </w:p>
    <w:p>
      <w:pPr>
        <w:pStyle w:val="Point0"/>
        <w:rPr>
          <w:noProof/>
        </w:rPr>
      </w:pPr>
      <w:r>
        <w:rPr>
          <w:noProof/>
        </w:rPr>
        <w:t>16)</w:t>
      </w:r>
      <w:r>
        <w:rPr>
          <w:noProof/>
        </w:rPr>
        <w:tab/>
        <w:t xml:space="preserve">Το </w:t>
      </w:r>
      <w:r>
        <w:rPr>
          <w:rStyle w:val="Marker0"/>
          <w:noProof/>
          <w:color w:val="auto"/>
        </w:rPr>
        <w:t>άρθρο</w:t>
      </w:r>
      <w:r>
        <w:rPr>
          <w:noProof/>
        </w:rPr>
        <w:t> 22 παράγραφος 1α αντικαθίσταται από το ακόλουθο κείμενο:</w:t>
      </w:r>
    </w:p>
    <w:p>
      <w:pPr>
        <w:pStyle w:val="Point1"/>
        <w:rPr>
          <w:noProof/>
        </w:rPr>
      </w:pPr>
      <w:r>
        <w:rPr>
          <w:noProof/>
        </w:rPr>
        <w:t>«1α.</w:t>
      </w:r>
      <w:r>
        <w:rPr>
          <w:noProof/>
        </w:rPr>
        <w:tab/>
        <w:t>Για τους σκοπούς της εφαρμογής και επιβολής των νομοθεσιών των κρατών μελών που θέτουν σε ισχύ την παρούσα οδηγία και για να διασφαλιστεί η λειτουργία της διοικητικής συνεργασίας που θεσπίζει, τα κράτη μέλη προβλέπουν στη νομοθεσία τους την πρόσβαση των φορολογικών αρχών στους μηχανισμούς, τις διαδικασίες, τα έγγραφα και τις πληροφορίες που αναφέρονται στα άρθρα 13, 30, 31. 32α και 40 της οδηγίας (ΕΕ) 2015/849 του Ευρωπαϊκού Κοινοβουλίου και του Συμβουλίου</w:t>
      </w:r>
      <w:r>
        <w:rPr>
          <w:rStyle w:val="FootnoteReference"/>
          <w:noProof/>
        </w:rPr>
        <w:t>*</w:t>
      </w:r>
      <w:r>
        <w:rPr>
          <w:noProof/>
        </w:rPr>
        <w:t>.</w:t>
      </w:r>
    </w:p>
    <w:p>
      <w:pPr>
        <w:pStyle w:val="Text2"/>
        <w:rPr>
          <w:noProof/>
        </w:rPr>
      </w:pPr>
      <w:r>
        <w:rPr>
          <w:noProof/>
        </w:rPr>
        <w:t>* Οδηγία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 της 5.6.2015, σ. 73).</w:t>
      </w:r>
    </w:p>
    <w:p>
      <w:pPr>
        <w:pStyle w:val="Point0"/>
        <w:rPr>
          <w:noProof/>
        </w:rPr>
      </w:pPr>
      <w:r>
        <w:rPr>
          <w:noProof/>
        </w:rPr>
        <w:t>17)</w:t>
      </w:r>
      <w:r>
        <w:rPr>
          <w:noProof/>
        </w:rPr>
        <w:tab/>
        <w:t xml:space="preserve">Το </w:t>
      </w:r>
      <w:r>
        <w:rPr>
          <w:rStyle w:val="Marker0"/>
          <w:noProof/>
          <w:color w:val="auto"/>
        </w:rPr>
        <w:t>άρθρο</w:t>
      </w:r>
      <w:r>
        <w:rPr>
          <w:noProof/>
        </w:rPr>
        <w:t> 23 παράγραφος 2 αντικαθίσταται από το ακόλουθο κείμενο:</w:t>
      </w:r>
    </w:p>
    <w:p>
      <w:pPr>
        <w:pStyle w:val="Point1"/>
        <w:rPr>
          <w:noProof/>
        </w:rPr>
      </w:pPr>
      <w:r>
        <w:rPr>
          <w:noProof/>
        </w:rPr>
        <w:t>«2.</w:t>
      </w:r>
      <w:r>
        <w:rPr>
          <w:noProof/>
        </w:rPr>
        <w:tab/>
        <w:t>Τα κράτη μέλη εξετάζουν και αξιολογούν, εντός της δικαιοδοσίας τους, την αποτελεσματικότητα της διοικητικής συνεργασίας σύμφωνα με την παρούσα οδηγία για την καταπολέμηση της φοροδιαφυγής και της φοροαποφυγής και κοινοποιούν ετησίως τα αποτελέσματα της αξιολόγησής τους στην Επιτροπή.»</w:t>
      </w:r>
      <w:r>
        <w:rPr>
          <w:noProof/>
          <w:color w:val="444444"/>
          <w:sz w:val="21"/>
          <w:szCs w:val="21"/>
        </w:rPr>
        <w:t>.</w:t>
      </w:r>
    </w:p>
    <w:p>
      <w:pPr>
        <w:pStyle w:val="Point0"/>
        <w:rPr>
          <w:noProof/>
        </w:rPr>
      </w:pPr>
      <w:r>
        <w:rPr>
          <w:noProof/>
        </w:rPr>
        <w:t>18)</w:t>
      </w:r>
      <w:r>
        <w:rPr>
          <w:noProof/>
        </w:rPr>
        <w:tab/>
        <w:t xml:space="preserve">Το </w:t>
      </w:r>
      <w:r>
        <w:rPr>
          <w:rStyle w:val="Marker0"/>
          <w:noProof/>
          <w:color w:val="auto"/>
        </w:rPr>
        <w:t>άρθρο</w:t>
      </w:r>
      <w:r>
        <w:rPr>
          <w:noProof/>
        </w:rPr>
        <w:t> 23α παράγραφος 2 αντικαθίσταται από το ακόλουθο κείμενο:</w:t>
      </w:r>
    </w:p>
    <w:p>
      <w:pPr>
        <w:pStyle w:val="Point1"/>
        <w:rPr>
          <w:noProof/>
        </w:rPr>
      </w:pPr>
      <w:r>
        <w:rPr>
          <w:noProof/>
        </w:rPr>
        <w:t>«2.</w:t>
      </w:r>
      <w:r>
        <w:rPr>
          <w:noProof/>
        </w:rPr>
        <w:tab/>
        <w:t>Οι πληροφορίες που κοινοποιούνται στην Επιτροπή από κράτος μέλος δυνάμει του άρθρου 23, καθώς και οιαδήποτε έκθεση ή έγγραφο που συντάσσεται από την Επιτροπή με βάση τις πληροφορίες αυτές, μπορούν να διαβιβάζονται σε άλλα κράτη μέλη. Αυτές οι διαβιβαζόμενες πληροφορίες καλύπτονται από την υποχρέωση υπηρεσιακού απορρήτου και χαίρουν της προστασίας που παρέχεται σε παρόμοιες πληροφορίες δυνάμει της εθνικής νομοθεσίας του κράτους μέλους που τις έλαβε.</w:t>
      </w:r>
    </w:p>
    <w:p>
      <w:pPr>
        <w:pStyle w:val="Text2"/>
        <w:rPr>
          <w:noProof/>
        </w:rPr>
      </w:pPr>
      <w:r>
        <w:rPr>
          <w:noProof/>
        </w:rPr>
        <w:lastRenderedPageBreak/>
        <w:t>Οι εκθέσεις και τα έγγραφα που συντάσσονται από την Επιτροπή και αναφέρονται στο πρώτο εδάφιο επιτρέπεται να χρησιμοποιούνται από τα κράτη μέλη μόνον για λόγους ανάλυσης, αλλά δεν δημοσιοποιούνται ούτε καθίστανται διαθέσιμα σε οιοδήποτε άλλο πρόσωπο ή φορέα χωρίς τη ρητή συμφωνία της Επιτροπής.</w:t>
      </w:r>
    </w:p>
    <w:p>
      <w:pPr>
        <w:pStyle w:val="Text2"/>
        <w:rPr>
          <w:noProof/>
        </w:rPr>
      </w:pPr>
      <w:r>
        <w:rPr>
          <w:noProof/>
        </w:rPr>
        <w:t>Με την επιφύλαξη του πρώτου και του δεύτερου εδαφίου, η Επιτροπή μπορεί να δημοσιεύει ετησίως ανώνυμες περιλήψεις των στατιστικών στοιχείων που της κοινοποιούνται από τα κράτη μέλη σύμφωνα με το άρθρο 23 παράγραφος 4.»,</w:t>
      </w:r>
    </w:p>
    <w:p>
      <w:pPr>
        <w:pStyle w:val="Point0"/>
        <w:rPr>
          <w:noProof/>
        </w:rPr>
      </w:pPr>
      <w:r>
        <w:rPr>
          <w:noProof/>
        </w:rPr>
        <w:t>19)</w:t>
      </w:r>
      <w:r>
        <w:rPr>
          <w:noProof/>
        </w:rPr>
        <w:tab/>
      </w:r>
      <w:r>
        <w:rPr>
          <w:rStyle w:val="Marker0"/>
          <w:noProof/>
          <w:color w:val="auto"/>
        </w:rPr>
        <w:t>Το άρθρο</w:t>
      </w:r>
      <w:r>
        <w:rPr>
          <w:noProof/>
        </w:rPr>
        <w:t xml:space="preserve"> 25 τροποποιείται ως εξής: </w:t>
      </w:r>
    </w:p>
    <w:p>
      <w:pPr>
        <w:pStyle w:val="Point1"/>
        <w:rPr>
          <w:noProof/>
        </w:rPr>
      </w:pPr>
      <w:r>
        <w:rPr>
          <w:noProof/>
        </w:rPr>
        <w:t>α)</w:t>
      </w:r>
      <w:r>
        <w:rPr>
          <w:noProof/>
        </w:rPr>
        <w:tab/>
        <w:t xml:space="preserve">Οι παράγραφοι 2 και 3 αντικαθίστανται από το ακόλουθο κείμενο: </w:t>
      </w:r>
    </w:p>
    <w:p>
      <w:pPr>
        <w:pStyle w:val="Point2"/>
        <w:rPr>
          <w:noProof/>
        </w:rPr>
      </w:pPr>
      <w:r>
        <w:rPr>
          <w:noProof/>
        </w:rPr>
        <w:t>«2.</w:t>
      </w:r>
      <w:r>
        <w:rPr>
          <w:noProof/>
        </w:rPr>
        <w:tab/>
        <w:t>Τα Δηλούντα Χρηματοπιστωτικά Ιδρύματα, οι ενδιάμεσοι, οι Δηλούντες Φορείς Εκμετάλλευσης Πλατφορμών και οι αρμόδιες αρχές κάθε κράτους μέλους θεωρούνται από κοινού υπεύθυνοι επεξεργασίας των δεδομένων και η Επιτροπή θεωρείται εκτελών την επεξεργασία κατά την έννοια του κανονισμού (ΕΕ) 2016/679 του Ευρωπαϊκού Κοινοβουλίου και του Συμβουλίου*.</w:t>
      </w:r>
    </w:p>
    <w:p>
      <w:pPr>
        <w:pStyle w:val="Point2"/>
        <w:rPr>
          <w:noProof/>
        </w:rPr>
      </w:pPr>
      <w:r>
        <w:rPr>
          <w:noProof/>
        </w:rPr>
        <w:t>3.</w:t>
      </w:r>
      <w:r>
        <w:rPr>
          <w:noProof/>
        </w:rPr>
        <w:tab/>
        <w:t>Με την επιφύλαξη της παραγράφου 1, κάθε κράτος μέλος διασφαλίζει ότι η αρμόδια αρχή του ή κάθε δηλούν χρηματοπιστωτικό ίδρυμα ή ενδιάμεσος ή Δηλών Φορέας Εκμετάλλευσης Πλατφόρμας, ανάλογα με την περίπτωση, που υπάγεται στη δικαιοδοσία του:</w:t>
      </w:r>
    </w:p>
    <w:p>
      <w:pPr>
        <w:pStyle w:val="Point3"/>
        <w:rPr>
          <w:noProof/>
        </w:rPr>
      </w:pPr>
      <w:r>
        <w:rPr>
          <w:noProof/>
        </w:rPr>
        <w:t>α)</w:t>
      </w:r>
      <w:r>
        <w:rPr>
          <w:noProof/>
        </w:rPr>
        <w:tab/>
        <w:t xml:space="preserve">ενημερώνει κάθε ενδιαφερόμενο ότι οι πληροφορίες που τον αφορούν θα συλλέγονται και θα διαβιβάζονται σύμφωνα με την παρούσα οδηγία· </w:t>
      </w:r>
    </w:p>
    <w:p>
      <w:pPr>
        <w:pStyle w:val="Point3"/>
        <w:rPr>
          <w:noProof/>
        </w:rPr>
      </w:pPr>
      <w:r>
        <w:rPr>
          <w:noProof/>
        </w:rPr>
        <w:t>β)</w:t>
      </w:r>
      <w:r>
        <w:rPr>
          <w:noProof/>
        </w:rPr>
        <w:tab/>
        <w:t>παρέχει σε κάθε πρόσωπο όλες τις πληροφορίες που το εν λόγω πρόσωπο δικαιούται να λάβει από τον υπεύθυνο επεξεργασίας, των δεδομένων σε επαρκή, χρόνο ώστε το πρόσωπο αυτό να ασκήσει τα δικαιώματά προστασίας των δεδομένων του και, σε κάθε περίπτωση, πριν από την υποβολή των πληροφοριών.</w:t>
      </w:r>
    </w:p>
    <w:p>
      <w:pPr>
        <w:pStyle w:val="Text3"/>
        <w:rPr>
          <w:noProof/>
        </w:rPr>
      </w:pPr>
      <w:r>
        <w:rPr>
          <w:noProof/>
        </w:rPr>
        <w:t>Με την επιφύλαξη του στοιχείου β) του πρώτου εδαφίου, κάθε κράτος μέλος θεσπίζει κανόνες που υποχρεώνουν τους Δηλούντες Φορείς Εκμετάλλευσης Πλατφορμών να ενημερώνουν τους δηλωτέους πωλητές για το δηλούμενο αντίτιμο.</w:t>
      </w:r>
    </w:p>
    <w:p>
      <w:pPr>
        <w:pStyle w:val="Text3"/>
        <w:rPr>
          <w:noProof/>
        </w:rPr>
      </w:pPr>
      <w:r>
        <w:rPr>
          <w:noProof/>
        </w:rPr>
        <w:t>*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p>
      <w:pPr>
        <w:pStyle w:val="Point1"/>
        <w:rPr>
          <w:noProof/>
        </w:rPr>
      </w:pPr>
      <w:r>
        <w:rPr>
          <w:noProof/>
        </w:rPr>
        <w:t>β)</w:t>
      </w:r>
      <w:r>
        <w:rPr>
          <w:noProof/>
        </w:rPr>
        <w:tab/>
        <w:t>Προστίθεται η ακόλουθη παράγραφος:</w:t>
      </w:r>
    </w:p>
    <w:p>
      <w:pPr>
        <w:pStyle w:val="Point2"/>
        <w:rPr>
          <w:noProof/>
        </w:rPr>
      </w:pPr>
      <w:r>
        <w:rPr>
          <w:noProof/>
        </w:rPr>
        <w:t>«5.</w:t>
      </w:r>
      <w:r>
        <w:rPr>
          <w:noProof/>
        </w:rPr>
        <w:tab/>
        <w:t>Τα κράτη μέλη διασφαλίζουν ότι, σε περίπτωση παραβίασης δεδομένων προσωπικού χαρακτήρα κατά την έννοια του άρθρου 4 σημείο 12 του κανονισμού (ΕΕ) 2016/679, οι αρμόδιες αρχές μπορούν να ζητήσουν από την Επιτροπή, ως εκτελούντα την επεξεργασία, να αναστείλει, ως μέτρο μετριασμού , την ανταλλαγή πληροφοριών βάσει της παρούσας οδηγίας με το κράτος μέλος στο οποίο σημειώθηκε η παραβίαση.</w:t>
      </w:r>
    </w:p>
    <w:p>
      <w:pPr>
        <w:pStyle w:val="Text3"/>
        <w:rPr>
          <w:noProof/>
        </w:rPr>
      </w:pPr>
      <w:r>
        <w:rPr>
          <w:noProof/>
        </w:rPr>
        <w:lastRenderedPageBreak/>
        <w:t>Η αναστολή διαρκεί μέχρι οι αρμόδιες αρχές να ζητήσουν από την Επιτροπή να επιτρέψει και πάλι την ανταλλαγή πληροφοριών βάσει της παρούσας οδηγίας με το κράτος μέλος στο οποίο διαπράχθηκε η παραβίαση.</w:t>
      </w:r>
    </w:p>
    <w:p>
      <w:pPr>
        <w:pStyle w:val="Point0"/>
        <w:rPr>
          <w:noProof/>
        </w:rPr>
      </w:pPr>
      <w:r>
        <w:rPr>
          <w:noProof/>
        </w:rPr>
        <w:t>20)</w:t>
      </w:r>
      <w:r>
        <w:rPr>
          <w:noProof/>
        </w:rPr>
        <w:tab/>
        <w:t xml:space="preserve">Το </w:t>
      </w:r>
      <w:r>
        <w:rPr>
          <w:rStyle w:val="Marker0"/>
          <w:noProof/>
          <w:color w:val="auto"/>
        </w:rPr>
        <w:t>άρθρο</w:t>
      </w:r>
      <w:r>
        <w:rPr>
          <w:noProof/>
        </w:rPr>
        <w:t xml:space="preserve"> 25α αντικαθίσταται από το ακόλουθο κείμενο: </w:t>
      </w:r>
    </w:p>
    <w:p>
      <w:pPr>
        <w:pStyle w:val="Titrearticle"/>
        <w:rPr>
          <w:noProof/>
        </w:rPr>
      </w:pPr>
      <w:r>
        <w:rPr>
          <w:noProof/>
        </w:rPr>
        <w:t>«Άρθρο 25a</w:t>
      </w:r>
    </w:p>
    <w:p>
      <w:pPr>
        <w:pStyle w:val="NormalCentered"/>
        <w:rPr>
          <w:b/>
          <w:noProof/>
        </w:rPr>
      </w:pPr>
      <w:r>
        <w:rPr>
          <w:b/>
          <w:i/>
          <w:noProof/>
        </w:rPr>
        <w:t>Κυρώσεις</w:t>
      </w:r>
    </w:p>
    <w:p>
      <w:pPr>
        <w:pStyle w:val="Text1"/>
        <w:rPr>
          <w:noProof/>
        </w:rPr>
      </w:pPr>
      <w:r>
        <w:rPr>
          <w:noProof/>
        </w:rPr>
        <w:t>Τα κράτη μέλη θεσπίζουν τους κανόνες για τις κυρώσεις που επισύρουν οι παραβάσεις των εθνικών διατάξεων που εκδίδονται δυνάμει της παρούσας οδηγίας και όσον αφορά το άρθρο 8αα, το άρθρο 8αβ και το άρθρο 8αγ, και λαμβάνουν κάθε αναγκαίο μέτρο για να εξασφαλίσουν την εφαρμογή τους. Οι προβλεπόμενες κυρώσεις είναι αποτελεσματικές, αναλογικές και αποτρεπτικές.</w:t>
      </w:r>
    </w:p>
    <w:p>
      <w:pPr>
        <w:pStyle w:val="Point0"/>
        <w:rPr>
          <w:noProof/>
        </w:rPr>
      </w:pPr>
      <w:r>
        <w:rPr>
          <w:noProof/>
        </w:rPr>
        <w:t>21)</w:t>
      </w:r>
      <w:r>
        <w:rPr>
          <w:noProof/>
        </w:rPr>
        <w:tab/>
        <w:t xml:space="preserve">Προστίθεται νέο </w:t>
      </w:r>
      <w:r>
        <w:rPr>
          <w:rStyle w:val="Marker0"/>
          <w:noProof/>
          <w:color w:val="auto"/>
        </w:rPr>
        <w:t>παράρτημα</w:t>
      </w:r>
      <w:r>
        <w:rPr>
          <w:noProof/>
        </w:rPr>
        <w:t xml:space="preserve"> V, το κείμενο του οποίου παρατίθεται στο παράρτημα της παρούσας οδηγίας.</w:t>
      </w:r>
    </w:p>
    <w:p>
      <w:pPr>
        <w:pStyle w:val="Titrearticle"/>
        <w:rPr>
          <w:noProof/>
        </w:rPr>
      </w:pPr>
      <w:r>
        <w:rPr>
          <w:noProof/>
        </w:rPr>
        <w:t>Άρθρο 2</w:t>
      </w:r>
    </w:p>
    <w:p>
      <w:pPr>
        <w:pStyle w:val="ManualNumPar1"/>
        <w:rPr>
          <w:noProof/>
        </w:rPr>
      </w:pPr>
      <w:r>
        <w:rPr>
          <w:noProof/>
        </w:rPr>
        <w:t>1.</w:t>
      </w:r>
      <w:r>
        <w:rPr>
          <w:noProof/>
        </w:rPr>
        <w:tab/>
        <w:t>Τα κράτη μέλη θεσπίζουν και δημοσιεύουν, έως τις 31 Δεκεμβρίου 2021 το αργότερο, τις αναγκαίες νομοθετικές, κανονιστικές και διοικητικές διατάξεις για να συμμορφωθούν με την παρούσα οδηγία. Κοινοποιούν αμέσως στην Επιτροπή το κείμενο των εν λόγω διατάξεων.</w:t>
      </w:r>
    </w:p>
    <w:p>
      <w:pPr>
        <w:pStyle w:val="Text1"/>
        <w:rPr>
          <w:noProof/>
        </w:rPr>
      </w:pPr>
      <w:r>
        <w:rPr>
          <w:noProof/>
        </w:rPr>
        <w:t>Εφαρμόζουν τις διατάξεις αυτές από την 1η Ιανουαρίου 2022.</w:t>
      </w:r>
    </w:p>
    <w:p>
      <w:pPr>
        <w:pStyle w:val="Text1"/>
        <w:rPr>
          <w:noProof/>
        </w:rPr>
      </w:pPr>
      <w:r>
        <w:rPr>
          <w:noProof/>
        </w:rPr>
        <w:t>Όταν τα κράτη μέλη θεσπίζουν τις ανωτέρω διατάξεις, πρέπει να γίνεται παραπομπή στην παρούσα οδηγία ή πρέπει οι διατάξεις αυτές να συνοδεύονται από την παραπομπή αυτή κατά την επίσημη έκδοσή τους. Ο τρόπος της αναφοράς αποφασίζεται από τα κράτη μέλη.</w:t>
      </w:r>
    </w:p>
    <w:p>
      <w:pPr>
        <w:pStyle w:val="ManualNumPar1"/>
        <w:rPr>
          <w:noProof/>
        </w:rPr>
      </w:pPr>
      <w:r>
        <w:rPr>
          <w:noProof/>
        </w:rPr>
        <w:t>2.</w:t>
      </w:r>
      <w:r>
        <w:rPr>
          <w:noProof/>
        </w:rPr>
        <w:tab/>
        <w:t>Τα κράτη μέλη ανακοινώνουν στην Επιτροπή το κείμενο των ουσιωδών διατάξεων εσωτερικού δικαίου τις οποίες θεσπίζουν στον τομέα που διέπεται από την παρούσα οδηγία.</w:t>
      </w:r>
    </w:p>
    <w:p>
      <w:pPr>
        <w:pStyle w:val="Titrearticle"/>
        <w:rPr>
          <w:noProof/>
        </w:rPr>
      </w:pPr>
      <w:r>
        <w:rPr>
          <w:noProof/>
        </w:rPr>
        <w:t>Άρθρο 3</w:t>
      </w:r>
    </w:p>
    <w:p>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pStyle w:val="Titrearticle"/>
        <w:rPr>
          <w:noProof/>
        </w:rPr>
      </w:pPr>
      <w:r>
        <w:rPr>
          <w:noProof/>
        </w:rPr>
        <w:t>Άρθρο 4</w:t>
      </w:r>
    </w:p>
    <w:p>
      <w:pPr>
        <w:rPr>
          <w:noProof/>
        </w:rPr>
      </w:pPr>
      <w:r>
        <w:rPr>
          <w:noProof/>
        </w:rPr>
        <w:t>Η παρούσα οδηγία απευθύνεται στα κράτη μέλη.</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pPr>
        <w:pStyle w:val="ManualHeading2"/>
        <w:rPr>
          <w:b w:val="0"/>
          <w:noProof/>
        </w:rPr>
      </w:pPr>
      <w:r>
        <w:rPr>
          <w:noProof/>
        </w:rPr>
        <w:tab/>
      </w:r>
      <w:r>
        <w:rPr>
          <w:b w:val="0"/>
          <w:noProof/>
        </w:rPr>
        <w:t>1.2.</w:t>
      </w:r>
      <w:r>
        <w:rPr>
          <w:noProof/>
        </w:rPr>
        <w:tab/>
      </w:r>
      <w:r>
        <w:rPr>
          <w:b w:val="0"/>
          <w:noProof/>
        </w:rPr>
        <w:t>Σχετικοί τομείς πολιτικής στη δομή ΔΒΔ/ΠΒΔ</w:t>
      </w:r>
    </w:p>
    <w:p>
      <w:pPr>
        <w:pStyle w:val="ManualHeading2"/>
        <w:rPr>
          <w:b w:val="0"/>
          <w:noProof/>
        </w:rPr>
      </w:pPr>
      <w:r>
        <w:rPr>
          <w:noProof/>
        </w:rPr>
        <w:tab/>
      </w:r>
      <w:r>
        <w:rPr>
          <w:b w:val="0"/>
          <w:noProof/>
        </w:rPr>
        <w:t>1.3.</w:t>
      </w:r>
      <w:r>
        <w:rPr>
          <w:noProof/>
        </w:rPr>
        <w:tab/>
      </w:r>
      <w:r>
        <w:rPr>
          <w:b w:val="0"/>
          <w:noProof/>
        </w:rPr>
        <w:t xml:space="preserve">Χαρακτήρας της πρότασης/πρωτοβουλίας </w:t>
      </w:r>
    </w:p>
    <w:p>
      <w:pPr>
        <w:pStyle w:val="ManualHeading2"/>
        <w:rPr>
          <w:b w:val="0"/>
          <w:noProof/>
        </w:rPr>
      </w:pPr>
      <w:r>
        <w:rPr>
          <w:noProof/>
        </w:rPr>
        <w:tab/>
      </w:r>
      <w:r>
        <w:rPr>
          <w:b w:val="0"/>
          <w:noProof/>
        </w:rPr>
        <w:t>1.4.</w:t>
      </w:r>
      <w:r>
        <w:rPr>
          <w:noProof/>
        </w:rPr>
        <w:tab/>
      </w:r>
      <w:r>
        <w:rPr>
          <w:b w:val="0"/>
          <w:noProof/>
        </w:rPr>
        <w:t xml:space="preserve">Στόχοι </w:t>
      </w:r>
    </w:p>
    <w:p>
      <w:pPr>
        <w:pStyle w:val="ManualHeading2"/>
        <w:rPr>
          <w:b w:val="0"/>
          <w:noProof/>
        </w:rPr>
      </w:pPr>
      <w:r>
        <w:rPr>
          <w:noProof/>
        </w:rPr>
        <w:tab/>
      </w:r>
      <w:r>
        <w:rPr>
          <w:b w:val="0"/>
          <w:noProof/>
        </w:rPr>
        <w:t>1.5.</w:t>
      </w:r>
      <w:r>
        <w:rPr>
          <w:noProof/>
        </w:rPr>
        <w:tab/>
      </w:r>
      <w:r>
        <w:rPr>
          <w:b w:val="0"/>
          <w:noProof/>
        </w:rPr>
        <w:t xml:space="preserve">Αιτιολόγηση της πρότασης/πρωτοβουλίας </w:t>
      </w:r>
    </w:p>
    <w:p>
      <w:pPr>
        <w:pStyle w:val="ManualHeading2"/>
        <w:rPr>
          <w:b w:val="0"/>
          <w:noProof/>
        </w:rPr>
      </w:pPr>
      <w:r>
        <w:rPr>
          <w:noProof/>
        </w:rPr>
        <w:tab/>
      </w:r>
      <w:r>
        <w:rPr>
          <w:b w:val="0"/>
          <w:noProof/>
        </w:rPr>
        <w:t>1.6.</w:t>
      </w:r>
      <w:r>
        <w:rPr>
          <w:noProof/>
        </w:rPr>
        <w:tab/>
      </w:r>
      <w:r>
        <w:rPr>
          <w:b w:val="0"/>
          <w:noProof/>
        </w:rPr>
        <w:t xml:space="preserve">Διάρκεια και δημοσιονομικές επιπτώσεις </w:t>
      </w:r>
    </w:p>
    <w:p>
      <w:pPr>
        <w:pStyle w:val="ManualHeading2"/>
        <w:rPr>
          <w:b w:val="0"/>
          <w:noProof/>
        </w:rPr>
      </w:pPr>
      <w:r>
        <w:rPr>
          <w:noProof/>
        </w:rPr>
        <w:tab/>
      </w:r>
      <w:r>
        <w:rPr>
          <w:b w:val="0"/>
          <w:noProof/>
        </w:rPr>
        <w:t>1.7.</w:t>
      </w:r>
      <w:r>
        <w:rPr>
          <w:noProof/>
        </w:rPr>
        <w:tab/>
      </w:r>
      <w:r>
        <w:rPr>
          <w:b w:val="0"/>
          <w:noProof/>
        </w:rPr>
        <w:t xml:space="preserve">Προβλεπόμενοι τρόποι διαχείρισης </w:t>
      </w:r>
    </w:p>
    <w:p>
      <w:pPr>
        <w:pStyle w:val="ManualHeading1"/>
        <w:rPr>
          <w:noProof/>
        </w:rPr>
      </w:pPr>
      <w:r>
        <w:rPr>
          <w:noProof/>
        </w:rPr>
        <w:t>2.</w:t>
      </w:r>
      <w:r>
        <w:rPr>
          <w:noProof/>
        </w:rPr>
        <w:tab/>
        <w:t xml:space="preserve">ΜΕΤΡΑ ΔΙΑΧΕΙΡΙΣΗΣ </w:t>
      </w:r>
    </w:p>
    <w:p>
      <w:pPr>
        <w:pStyle w:val="ManualHeading2"/>
        <w:rPr>
          <w:b w:val="0"/>
          <w:noProof/>
        </w:rPr>
      </w:pPr>
      <w:r>
        <w:rPr>
          <w:noProof/>
        </w:rPr>
        <w:tab/>
      </w:r>
      <w:r>
        <w:rPr>
          <w:b w:val="0"/>
          <w:noProof/>
        </w:rPr>
        <w:t>2.1.</w:t>
      </w:r>
      <w:r>
        <w:rPr>
          <w:noProof/>
        </w:rPr>
        <w:tab/>
      </w:r>
      <w:r>
        <w:rPr>
          <w:b w:val="0"/>
          <w:noProof/>
        </w:rPr>
        <w:t xml:space="preserve">Κανόνες παρακολούθησης και υποβολής εκθέσεων </w:t>
      </w:r>
    </w:p>
    <w:p>
      <w:pPr>
        <w:pStyle w:val="ManualHeading2"/>
        <w:rPr>
          <w:b w:val="0"/>
          <w:noProof/>
        </w:rPr>
      </w:pPr>
      <w:r>
        <w:rPr>
          <w:noProof/>
        </w:rPr>
        <w:tab/>
      </w:r>
      <w:r>
        <w:rPr>
          <w:b w:val="0"/>
          <w:noProof/>
        </w:rPr>
        <w:t>2.2.</w:t>
      </w:r>
      <w:r>
        <w:rPr>
          <w:noProof/>
        </w:rPr>
        <w:tab/>
      </w:r>
      <w:r>
        <w:rPr>
          <w:b w:val="0"/>
          <w:noProof/>
        </w:rPr>
        <w:t xml:space="preserve">Σύστημα διαχείρισης και ελέγχου </w:t>
      </w:r>
    </w:p>
    <w:p>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παρατυπίας </w:t>
      </w:r>
    </w:p>
    <w:p>
      <w:pPr>
        <w:pStyle w:val="ManualHeading1"/>
        <w:rPr>
          <w:noProof/>
        </w:rPr>
      </w:pPr>
      <w:r>
        <w:rPr>
          <w:noProof/>
        </w:rPr>
        <w:t>3.</w:t>
      </w:r>
      <w:r>
        <w:rPr>
          <w:noProof/>
        </w:rPr>
        <w:tab/>
        <w:t xml:space="preserve">ΕΚΤΙΜΩΜΕΝΕΣ ΔΗΜΟΣΙΟΝΟΜΙΚΕΣ ΕΠΙΠΤΩΣΕΙΣ ΤΗΣ ΠΡΟΤΑΣΗΣ/ΠΡΩΤΟΒΟΥΛΙΑΣ </w:t>
      </w:r>
    </w:p>
    <w:p>
      <w:pPr>
        <w:pStyle w:val="ManualHeading2"/>
        <w:rPr>
          <w:b w:val="0"/>
          <w:noProof/>
        </w:rPr>
      </w:pPr>
      <w:r>
        <w:rPr>
          <w:noProof/>
        </w:rPr>
        <w:tab/>
      </w:r>
      <w:r>
        <w:rPr>
          <w:b w:val="0"/>
          <w:noProof/>
        </w:rPr>
        <w:t>3.1.</w:t>
      </w:r>
      <w:r>
        <w:rPr>
          <w:noProof/>
        </w:rPr>
        <w:tab/>
      </w:r>
      <w:r>
        <w:rPr>
          <w:b w:val="0"/>
          <w:noProof/>
        </w:rPr>
        <w:t xml:space="preserve">Τομείς του πολυετούς δημοσιονομικού πλαισίου και γραμμές δαπανών του προϋπολογισμού που επηρεάζονται </w:t>
      </w:r>
    </w:p>
    <w:p>
      <w:pPr>
        <w:pStyle w:val="ManualHeading2"/>
        <w:rPr>
          <w:noProof/>
        </w:rPr>
      </w:pPr>
      <w:r>
        <w:rPr>
          <w:noProof/>
        </w:rPr>
        <w:tab/>
      </w:r>
      <w:r>
        <w:rPr>
          <w:b w:val="0"/>
          <w:noProof/>
        </w:rPr>
        <w:t>3.2.</w:t>
      </w:r>
      <w:r>
        <w:rPr>
          <w:noProof/>
        </w:rPr>
        <w:tab/>
      </w:r>
      <w:r>
        <w:rPr>
          <w:b w:val="0"/>
          <w:noProof/>
        </w:rPr>
        <w:t>Εκτιμώμενες επιπτώσεις στις δαπάνες</w:t>
      </w:r>
      <w:r>
        <w:rPr>
          <w:noProof/>
        </w:rPr>
        <w:t xml:space="preserve"> </w:t>
      </w:r>
    </w:p>
    <w:p>
      <w:pPr>
        <w:pStyle w:val="ManualHeading3"/>
        <w:rPr>
          <w:noProof/>
        </w:rPr>
      </w:pPr>
      <w:r>
        <w:rPr>
          <w:noProof/>
        </w:rPr>
        <w:tab/>
        <w:t>3.2.1.</w:t>
      </w:r>
      <w:r>
        <w:rPr>
          <w:noProof/>
        </w:rPr>
        <w:tab/>
        <w:t xml:space="preserve">Συνοπτική παρουσίαση των εκτιμώμενων επιπτώσεων στις δαπάνες </w:t>
      </w:r>
    </w:p>
    <w:p>
      <w:pPr>
        <w:pStyle w:val="ManualHeading3"/>
        <w:rPr>
          <w:noProof/>
        </w:rPr>
      </w:pPr>
      <w:r>
        <w:rPr>
          <w:noProof/>
        </w:rPr>
        <w:tab/>
        <w:t>3.2.2.</w:t>
      </w:r>
      <w:r>
        <w:rPr>
          <w:noProof/>
        </w:rPr>
        <w:tab/>
        <w:t xml:space="preserve">Εκτιμώμενες επιπτώσεις στις επιχειρησιακές πιστώσεις </w:t>
      </w:r>
    </w:p>
    <w:p>
      <w:pPr>
        <w:pStyle w:val="ManualHeading3"/>
        <w:rPr>
          <w:noProof/>
        </w:rPr>
      </w:pPr>
      <w:r>
        <w:rPr>
          <w:noProof/>
        </w:rPr>
        <w:tab/>
        <w:t>3.2.3.</w:t>
      </w:r>
      <w:r>
        <w:rPr>
          <w:noProof/>
        </w:rPr>
        <w:tab/>
        <w:t>Εκτιμώμενες επιπτώσεις στις πιστώσεις διοικητικού χαρακτήρα</w:t>
      </w:r>
    </w:p>
    <w:p>
      <w:pPr>
        <w:pStyle w:val="ManualHeading3"/>
        <w:rPr>
          <w:noProof/>
        </w:rPr>
      </w:pPr>
      <w:r>
        <w:rPr>
          <w:noProof/>
        </w:rPr>
        <w:tab/>
        <w:t>3.2.4.</w:t>
      </w:r>
      <w:r>
        <w:rPr>
          <w:noProof/>
        </w:rPr>
        <w:tab/>
        <w:t>Συμβατότητα με το ισχύον πολυετές δημοσιονομικό πλαίσιο</w:t>
      </w:r>
    </w:p>
    <w:p>
      <w:pPr>
        <w:pStyle w:val="ManualHeading3"/>
        <w:rPr>
          <w:noProof/>
        </w:rPr>
      </w:pPr>
      <w:r>
        <w:rPr>
          <w:noProof/>
        </w:rPr>
        <w:tab/>
        <w:t>3.2.5.</w:t>
      </w:r>
      <w:r>
        <w:rPr>
          <w:noProof/>
        </w:rPr>
        <w:tab/>
        <w:t xml:space="preserve">Συμμετοχή τρίτων στη χρηματοδότηση </w:t>
      </w:r>
    </w:p>
    <w:p>
      <w:pPr>
        <w:pStyle w:val="ManualHeading2"/>
        <w:jc w:val="left"/>
        <w:rPr>
          <w:b w:val="0"/>
          <w:noProof/>
        </w:rPr>
        <w:sectPr>
          <w:footnotePr>
            <w:numRestart w:val="eachSect"/>
          </w:footnote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Εκτιμώμενες επιπτώσεις στα έσοδα</w:t>
      </w:r>
    </w:p>
    <w:p>
      <w:pPr>
        <w:jc w:val="center"/>
        <w:rPr>
          <w:b/>
          <w:noProof/>
          <w:u w:val="single"/>
        </w:rPr>
      </w:pPr>
      <w:r>
        <w:rPr>
          <w:b/>
          <w:noProof/>
          <w:u w:val="single"/>
        </w:rPr>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noProof/>
        </w:rPr>
      </w:pPr>
      <w:r>
        <w:rPr>
          <w:noProof/>
        </w:rPr>
        <w:t>1,1.</w:t>
      </w:r>
      <w:r>
        <w:rPr>
          <w:noProof/>
        </w:rPr>
        <w:tab/>
        <w:t xml:space="preserve">Τίτλος της πρότασης/πρωτοβουλίας </w:t>
      </w:r>
    </w:p>
    <w:p>
      <w:pPr>
        <w:pStyle w:val="Text1"/>
        <w:pBdr>
          <w:top w:val="single" w:sz="4" w:space="1" w:color="auto"/>
          <w:left w:val="single" w:sz="4" w:space="4" w:color="auto"/>
          <w:bottom w:val="single" w:sz="4" w:space="1" w:color="auto"/>
          <w:right w:val="single" w:sz="4" w:space="4" w:color="auto"/>
        </w:pBdr>
        <w:rPr>
          <w:noProof/>
        </w:rPr>
      </w:pPr>
      <w:r>
        <w:rPr>
          <w:noProof/>
        </w:rPr>
        <w:t>Πρόταση οδηγίας του Συμβουλίου για την τροποποίηση της οδηγίας 2011/16/ΕΕ σχετικά με τη διοικητική συνεργασία στον τομέα της φορολογίας</w:t>
      </w:r>
    </w:p>
    <w:p>
      <w:pPr>
        <w:pStyle w:val="ManualHeading2"/>
        <w:rPr>
          <w:noProof/>
          <w:szCs w:val="24"/>
        </w:rPr>
      </w:pPr>
      <w:r>
        <w:rPr>
          <w:noProof/>
        </w:rPr>
        <w:t>1,2.</w:t>
      </w:r>
      <w:r>
        <w:rPr>
          <w:noProof/>
        </w:rPr>
        <w:tab/>
        <w:t>Σχετικοί τομείς πολιτικής στη δομή ΔΒΔ/ΠΒΔ</w:t>
      </w:r>
      <w:r>
        <w:rPr>
          <w:rStyle w:val="FootnoteReference"/>
          <w:noProof/>
        </w:rPr>
        <w:footnoteReference w:id="2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14</w:t>
      </w:r>
    </w:p>
    <w:p>
      <w:pPr>
        <w:pStyle w:val="Text1"/>
        <w:pBdr>
          <w:top w:val="single" w:sz="4" w:space="1" w:color="auto"/>
          <w:left w:val="single" w:sz="4" w:space="4" w:color="auto"/>
          <w:bottom w:val="single" w:sz="4" w:space="1" w:color="auto"/>
          <w:right w:val="single" w:sz="4" w:space="4" w:color="auto"/>
        </w:pBdr>
        <w:rPr>
          <w:noProof/>
        </w:rPr>
      </w:pPr>
      <w:r>
        <w:rPr>
          <w:noProof/>
        </w:rPr>
        <w:t>14.03</w:t>
      </w:r>
    </w:p>
    <w:p>
      <w:pPr>
        <w:pStyle w:val="ManualHeading2"/>
        <w:rPr>
          <w:bCs/>
          <w:noProof/>
          <w:szCs w:val="24"/>
        </w:rPr>
      </w:pPr>
      <w:r>
        <w:rPr>
          <w:noProof/>
        </w:rPr>
        <w:t>1,3.</w:t>
      </w:r>
      <w:r>
        <w:rPr>
          <w:noProof/>
        </w:rPr>
        <w:tab/>
        <w:t xml:space="preserve">Χαρακτήρας της πρότασης/πρωτοβουλίας </w:t>
      </w:r>
    </w:p>
    <w:p>
      <w:pPr>
        <w:pStyle w:val="Text1"/>
        <w:rPr>
          <w:b/>
          <w:noProof/>
          <w:sz w:val="22"/>
        </w:rPr>
      </w:pPr>
      <w:r>
        <w:rPr>
          <w:noProof/>
          <w:sz w:val="22"/>
        </w:rPr>
        <w:sym w:font="Wingdings" w:char="F0FD"/>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pPr>
        <w:pStyle w:val="Text1"/>
        <w:ind w:left="851"/>
        <w:rPr>
          <w:noProof/>
          <w:szCs w:val="24"/>
        </w:rPr>
      </w:pPr>
      <w:r>
        <w:rPr>
          <w:noProof/>
          <w:sz w:val="22"/>
        </w:rPr>
        <w:sym w:font="Wingdings" w:char="F0A8"/>
      </w:r>
      <w:r>
        <w:rPr>
          <w:noProof/>
          <w:sz w:val="22"/>
        </w:rPr>
        <w:t xml:space="preserve"> </w:t>
      </w:r>
      <w:r>
        <w:rPr>
          <w:noProof/>
        </w:rPr>
        <w:t xml:space="preserve">Η πρόταση/πρωτοβουλία αφορά </w:t>
      </w:r>
      <w:r>
        <w:rPr>
          <w:b/>
          <w:noProof/>
          <w:szCs w:val="24"/>
        </w:rPr>
        <w:t>νέα δράση μετά από πιλοτικό έργο / προπαρασκευαστική ενέργεια</w:t>
      </w:r>
      <w:r>
        <w:rPr>
          <w:rStyle w:val="FootnoteReference"/>
          <w:b/>
          <w:noProof/>
          <w:szCs w:val="24"/>
        </w:rPr>
        <w:footnoteReference w:id="28"/>
      </w:r>
      <w:r>
        <w:rPr>
          <w:noProof/>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την </w:t>
      </w:r>
      <w:r>
        <w:rPr>
          <w:b/>
          <w:noProof/>
        </w:rPr>
        <w:t>παράταση υφιστάμενης δράσης</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Η πρόταση/πρωτοβουλία αφορά </w:t>
      </w:r>
      <w:r>
        <w:rPr>
          <w:b/>
          <w:noProof/>
        </w:rPr>
        <w:t>δράση προσανατολισμένη προς νέα δράση</w:t>
      </w:r>
      <w:r>
        <w:rPr>
          <w:noProof/>
        </w:rPr>
        <w:t xml:space="preserve"> </w:t>
      </w:r>
    </w:p>
    <w:p>
      <w:pPr>
        <w:pStyle w:val="ManualHeading2"/>
        <w:rPr>
          <w:bCs/>
          <w:noProof/>
          <w:szCs w:val="24"/>
        </w:rPr>
      </w:pPr>
      <w:r>
        <w:rPr>
          <w:noProof/>
        </w:rPr>
        <w:t>1,4.</w:t>
      </w:r>
      <w:r>
        <w:rPr>
          <w:noProof/>
        </w:rPr>
        <w:tab/>
        <w:t>Στόχοι</w:t>
      </w:r>
    </w:p>
    <w:p>
      <w:pPr>
        <w:pStyle w:val="ManualHeading3"/>
        <w:rPr>
          <w:noProof/>
        </w:rPr>
      </w:pPr>
      <w:r>
        <w:rPr>
          <w:noProof/>
        </w:rPr>
        <w:t>1.4.1.</w:t>
      </w:r>
      <w:r>
        <w:rPr>
          <w:noProof/>
        </w:rPr>
        <w:tab/>
        <w:t xml:space="preserve">Οι πολυετείς στρατηγικοί στόχοι της Επιτροπής τους οποίους αφορά η πρόταση/πρωτοβουλία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Το πρόγραμμα εργασίας της Επιτροπής για το 2020 περιλαμβάνει μεταξύ των προτεραιοτήτων του την καταπολέμηση της φοροδιαφυγής. Σε συνέχεια αυτού, ο βασικός τομέας δράσης είναι η περαιτέρω ενίσχυση της καταπολέμησης της φοροδιαφυγής και η αύξηση της διαφάνειας και της ανταλλαγής πληροφοριών. </w:t>
      </w:r>
    </w:p>
    <w:p>
      <w:pPr>
        <w:pStyle w:val="ManualHeading3"/>
        <w:rPr>
          <w:bCs/>
          <w:noProof/>
          <w:szCs w:val="24"/>
        </w:rPr>
      </w:pPr>
      <w:r>
        <w:rPr>
          <w:noProof/>
        </w:rPr>
        <w:t>1.4.2.</w:t>
      </w:r>
      <w:r>
        <w:rPr>
          <w:noProof/>
        </w:rPr>
        <w:tab/>
        <w:t xml:space="preserve">Ειδικοί στόχοι και σχετικές δραστηριότητες ΔΒΔ/ΠΒΔ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Ειδικός στόχος </w:t>
      </w:r>
    </w:p>
    <w:p>
      <w:pPr>
        <w:pStyle w:val="Text1"/>
        <w:pBdr>
          <w:top w:val="single" w:sz="4" w:space="1" w:color="auto"/>
          <w:left w:val="single" w:sz="4" w:space="4" w:color="auto"/>
          <w:bottom w:val="single" w:sz="4" w:space="1" w:color="auto"/>
          <w:right w:val="single" w:sz="4" w:space="4" w:color="auto"/>
        </w:pBdr>
        <w:rPr>
          <w:noProof/>
        </w:rPr>
      </w:pPr>
      <w:r>
        <w:rPr>
          <w:noProof/>
        </w:rPr>
        <w:t>Στόχος της προτεινόμενης νομικής πράξης είναι η βελτίωση της λειτουργίας των υφιστάμενων διατάξεων πολιτικής της οδηγίας 2011/16/ΕΕ σχετικά με τη διοικητική συνεργασία. Οι προτεινόμενες βελτιώσεις αφορούν όλες τις μορφές ανταλλαγής πληροφοριών και διοικητικής συνεργασίας. Στοχεύουν επίσης στη διεύρυνση του πεδίου των αυτόματων ανταλλαγών πληροφοριών όσον αφορά τις πληροφορίες που υποβάλλουν οι φορείς εκμετάλλευσης πλατφορμών</w:t>
      </w:r>
      <w:r>
        <w:rPr>
          <w:rStyle w:val="Marker0"/>
          <w:noProof/>
        </w:rPr>
        <w: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Σχετικές δραστηριότητες ΔΒΔ/ΠΒΔ</w:t>
      </w:r>
    </w:p>
    <w:p>
      <w:pPr>
        <w:pStyle w:val="Text1"/>
        <w:pBdr>
          <w:top w:val="single" w:sz="4" w:space="1" w:color="auto"/>
          <w:left w:val="single" w:sz="4" w:space="4" w:color="auto"/>
          <w:bottom w:val="single" w:sz="4" w:space="1" w:color="auto"/>
          <w:right w:val="single" w:sz="4" w:space="4" w:color="auto"/>
        </w:pBdr>
        <w:rPr>
          <w:noProof/>
        </w:rPr>
      </w:pPr>
      <w:r>
        <w:rPr>
          <w:noProof/>
        </w:rPr>
        <w:t>ΠΒΔ 3</w:t>
      </w:r>
    </w:p>
    <w:p>
      <w:pPr>
        <w:pStyle w:val="ManualHeading3"/>
        <w:rPr>
          <w:bCs/>
          <w:noProof/>
          <w:szCs w:val="24"/>
        </w:rPr>
      </w:pPr>
      <w:r>
        <w:rPr>
          <w:noProof/>
        </w:rPr>
        <w:br w:type="page"/>
        <w:t>1.4.3.</w:t>
      </w:r>
      <w:r>
        <w:rPr>
          <w:noProof/>
        </w:rPr>
        <w:tab/>
        <w:t>Αναμενόμενα αποτελέσματα και επιπτώσεις</w:t>
      </w:r>
    </w:p>
    <w:p>
      <w:pPr>
        <w:pStyle w:val="Text1"/>
        <w:rPr>
          <w:i/>
          <w:noProof/>
          <w:sz w:val="20"/>
        </w:rPr>
      </w:pPr>
      <w:r>
        <w:rPr>
          <w:i/>
          <w:noProof/>
          <w:sz w:val="20"/>
        </w:rPr>
        <w:t>Να προσδιοριστούν τα αποτελέσματα που αναμένεται να έχει η πρόταση/πρωτοβουλία όσον αφορά τους στοχοθετημένους δικαιούχους / τις στοχοθετημένες ομάδες.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βελτίωση της υφιστάμενης διάταξης θα πρέπει να έχει θετικό αντίκτυπο στην αποτελεσματική εφαρμογή της οδηγίας 2011/16/ΕΕ σχετικά με τη διοικητική συνεργασία. Η αντιμετώπιση των υφιστάμενων ανεπαρκειών με ομοιόμορφο τρόπο θα εξασφαλίσει ασφάλεια δικαίου και σαφήνεια. </w:t>
      </w:r>
    </w:p>
    <w:p>
      <w:pPr>
        <w:pStyle w:val="Text1"/>
        <w:pBdr>
          <w:top w:val="single" w:sz="4" w:space="1" w:color="auto"/>
          <w:left w:val="single" w:sz="4" w:space="4" w:color="auto"/>
          <w:bottom w:val="single" w:sz="4" w:space="1" w:color="auto"/>
          <w:right w:val="single" w:sz="4" w:space="4" w:color="auto"/>
        </w:pBdr>
        <w:rPr>
          <w:noProof/>
        </w:rPr>
      </w:pPr>
      <w:r>
        <w:rPr>
          <w:noProof/>
        </w:rPr>
        <w:t>Η υποχρέωση υποβολής στοιχείων όσον αφορά το εισόδημα που αποκτάται μέσω της χρήσης ψηφιακών πλατφορμών αποσκοπεί κυρίως στην ενημέρωση των φορολογικών αρχών για δραστηριότητες με διάσταση που υπερβαίνει τα όρια μίας μόνο δικαιοδοσίας. Οι πληροφορίες που υποβάλλονται και ανταλλάσσονται με τις οικείες δικαιοδοσίες θα δίνουν στις αρμόδιες αρχές τη δυνατότητα να εκτιμούν τον οφειλόμενο φόρο βάσει ορθών και πλήρων πληροφοριών. Επιπλέον, με την επιβολή απαίτησης υποβολής στοιχείων στις ψηφιακές πλατφόρμες, το εισόδημα των πωλητών θα δηλώνεται και με τέτοιο τρόπο ώστε να δημιουργούνται ίσοι όροι ανταγωνισμού μεταξύ των πωλητών, ανεξάρτητα από το εάν λειτουργούν μέσω ψηφιακών πλατφορμών. Επιπλέον, όλοι οι φορείς εκμετάλλευσης πλατφορμών θα υπόκεινται στις ίδιες απαιτήσεις.</w:t>
      </w:r>
    </w:p>
    <w:p>
      <w:pPr>
        <w:pStyle w:val="ManualHeading3"/>
        <w:rPr>
          <w:bCs/>
          <w:noProof/>
          <w:szCs w:val="24"/>
        </w:rPr>
      </w:pPr>
      <w:r>
        <w:rPr>
          <w:noProof/>
        </w:rPr>
        <w:t>1.4.4.</w:t>
      </w:r>
      <w:r>
        <w:rPr>
          <w:noProof/>
        </w:rPr>
        <w:tab/>
        <w:t xml:space="preserve">Δείκτες αποτελεσμάτων και επιπτώσεων </w:t>
      </w:r>
    </w:p>
    <w:p>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Η πρόταση θα διέπεται από τις απαιτήσεις της οδηγίας 2011/16/ΕΕ σχετικά με τη διοικητική συνεργασία (την οποία τροποποιεί) ως προς τα ακόλουθα: i) την ετήσια υποβολή από τα κράτη μέλη στατιστικών στοιχείων για την ανταλλαγή πληροφοριών, και ii) την υποβολή έκθεσης από την Επιτροπή με βάση τα εν λόγω στατιστικά στοιχεία, μεταξύ άλλων, για την αποτελεσματικότητα της αυτόματης ανταλλαγής πληροφοριών.</w:t>
      </w:r>
    </w:p>
    <w:p>
      <w:pPr>
        <w:pStyle w:val="ManualHeading2"/>
        <w:rPr>
          <w:bCs/>
          <w:noProof/>
          <w:szCs w:val="24"/>
        </w:rPr>
      </w:pPr>
      <w:r>
        <w:rPr>
          <w:noProof/>
        </w:rPr>
        <w:t>1,5.</w:t>
      </w:r>
      <w:r>
        <w:rPr>
          <w:noProof/>
        </w:rPr>
        <w:tab/>
        <w:t xml:space="preserve">Αιτιολόγηση της πρότασης/πρωτοβουλίας </w:t>
      </w:r>
    </w:p>
    <w:p>
      <w:pPr>
        <w:pStyle w:val="ManualHeading3"/>
        <w:rPr>
          <w:noProof/>
        </w:rPr>
      </w:pPr>
      <w:r>
        <w:rPr>
          <w:noProof/>
        </w:rPr>
        <w:t>1.5.1.</w:t>
      </w:r>
      <w:r>
        <w:rPr>
          <w:noProof/>
        </w:rPr>
        <w:tab/>
        <w:t xml:space="preserve">Βραχυπρόθεσμη ή μακροπρόθεσμη κάλυψη αναγκών </w:t>
      </w:r>
    </w:p>
    <w:p>
      <w:pPr>
        <w:pStyle w:val="Text1"/>
        <w:pBdr>
          <w:top w:val="single" w:sz="4" w:space="1" w:color="auto"/>
          <w:left w:val="single" w:sz="4" w:space="4" w:color="auto"/>
          <w:bottom w:val="single" w:sz="4" w:space="1" w:color="auto"/>
          <w:right w:val="single" w:sz="4" w:space="4" w:color="auto"/>
        </w:pBdr>
        <w:rPr>
          <w:noProof/>
        </w:rPr>
      </w:pPr>
      <w:r>
        <w:rPr>
          <w:noProof/>
        </w:rPr>
        <w:t>Η οδηγία 2011/16/ΕΕ σχετικά με τη διοικητική συνεργασία θα τροποποιηθεί ώστε να βελτιωθεί η λειτουργία των υφιστάμενων διατάξεων αμέσως μετά την έναρξη ισχύος της και να εισαχθούν υποχρεώσεις για τους φορείς εκμετάλλευσης ψηφιακών πλατφορμών, προκειμένου να συλλέγονται και να υποβάλλονται πληροφορίες για το εισόδημα που προέρχεται από τους φορολογούμενους μέσω ψηφιακών πλατφορμών.</w:t>
      </w:r>
    </w:p>
    <w:p>
      <w:pPr>
        <w:pStyle w:val="ManualHeading3"/>
        <w:rPr>
          <w:bCs/>
          <w:noProof/>
          <w:szCs w:val="24"/>
        </w:rPr>
      </w:pPr>
      <w:r>
        <w:rPr>
          <w:noProof/>
        </w:rPr>
        <w:t>1.5.2.</w:t>
      </w:r>
      <w:r>
        <w:rPr>
          <w:noProof/>
        </w:rPr>
        <w:tab/>
        <w:t>Προστιθέμενη αξία της ενωσιακής παρέμβασης</w:t>
      </w:r>
    </w:p>
    <w:p>
      <w:pPr>
        <w:pStyle w:val="Text1"/>
        <w:pBdr>
          <w:top w:val="single" w:sz="4" w:space="1" w:color="auto"/>
          <w:left w:val="single" w:sz="4" w:space="4" w:color="auto"/>
          <w:bottom w:val="single" w:sz="4" w:space="1" w:color="auto"/>
          <w:right w:val="single" w:sz="4" w:space="4" w:color="auto"/>
        </w:pBdr>
        <w:rPr>
          <w:noProof/>
        </w:rPr>
      </w:pPr>
      <w:r>
        <w:rPr>
          <w:noProof/>
        </w:rPr>
        <w:t>Η ανάληψη δράσης σε επίπεδο ΕΕ θα προσδώσει προστιθέμενη αξία, σε σύγκριση με την ανάληψη μεμονωμένων συναφών πρωτοβουλιών από τα κράτη μέλη, Πρώτον, θα διασφαλίσει τη συνεπή εφαρμογή των κανόνων σε ολόκληρη την ΕΕ. Δεύτερον, όλες οι πλατφόρμες που καλύπτονται θα υπόκεινται στις ίδιες απαιτήσεις υποβολής στοιχείων. Τρίτον, η υποβολή στοιχείων θα συνοδεύεται από την ανταλλαγή πληροφοριών και, ως εκ τούτου, θα δώσει στις φορολογικές διοικήσεις τη δυνατότητα να λαμβάνουν ολοκληρωμένο σύνολο πληροφοριών σχετικά με το εισόδημα που αποκτάται μέσω ψηφιακής πλατφόρμας. Επομένως, η συντονισμένη δράση σε επίπεδο ΕΕ μπορεί να διασφαλίσει την αποτελεσματικότητα και πληρότητα του συστήματος ανταλλαγής πληροφοριών και διοικητικής συνεργασίας καλύτερα από τις μεμονωμένες πρωτοβουλίες των κρατών μελών.</w:t>
      </w:r>
    </w:p>
    <w:p>
      <w:pPr>
        <w:pStyle w:val="ManualHeading3"/>
        <w:rPr>
          <w:bCs/>
          <w:noProof/>
          <w:szCs w:val="24"/>
        </w:rPr>
      </w:pPr>
      <w:r>
        <w:rPr>
          <w:noProof/>
        </w:rPr>
        <w:t>1.5.3.</w:t>
      </w:r>
      <w:r>
        <w:rPr>
          <w:noProof/>
        </w:rPr>
        <w:tab/>
        <w:t>Διδάγματα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rPr>
      </w:pPr>
      <w:r>
        <w:rPr>
          <w:noProof/>
        </w:rPr>
        <w:t>Όσον αφορά τους φορείς εκμετάλλευσης ψηφιακών πλατφορμών, 12 κράτη μέλη έχουν θεσπίσει νομοθεσία και/ή διοικητικές κατευθυντήριες γραμμές βάσει των οποίων οι φορείς εκμετάλλευσης πλατφορμών θα πρέπει να υποβάλλουν πληροφορίες στις φορολογικές αρχές σχετικά με πωλητές που δραστηριοποιούνται στην πλατφόρμα τους. Άλλα τέσσερα κράτη μέλη σχεδιάζουν να θεσπίσουν τέτοια νομοθεσία ή διοικητικές κατευθυντήριες γραμμές. Επιπλέον, τα περισσότερα κράτη μέλη διενήργησαν ελέγχους συμμόρφωσης όσον αφορά συναλλαγές που διευκολύνονται από πλατφόρμες, όπως ελέγχους, επιστολές ή ενημερωτικές εκστρατείες.</w:t>
      </w:r>
    </w:p>
    <w:p>
      <w:pPr>
        <w:pStyle w:val="ManualHeading3"/>
        <w:rPr>
          <w:bCs/>
          <w:noProof/>
          <w:szCs w:val="24"/>
        </w:rPr>
      </w:pPr>
      <w:r>
        <w:rPr>
          <w:noProof/>
        </w:rPr>
        <w:t>1.5.4.</w:t>
      </w:r>
      <w:r>
        <w:rPr>
          <w:noProof/>
        </w:rPr>
        <w:tab/>
        <w:t>Συμβατότητα και ενδεχόμενη συνέργεια με άλλα κατάλληλα μέσα</w:t>
      </w:r>
    </w:p>
    <w:p>
      <w:pPr>
        <w:pStyle w:val="Text1"/>
        <w:pBdr>
          <w:top w:val="single" w:sz="4" w:space="1" w:color="auto"/>
          <w:left w:val="single" w:sz="4" w:space="4" w:color="auto"/>
          <w:bottom w:val="single" w:sz="4" w:space="1" w:color="auto"/>
          <w:right w:val="single" w:sz="4" w:space="4" w:color="auto"/>
        </w:pBdr>
        <w:rPr>
          <w:noProof/>
        </w:rPr>
      </w:pPr>
      <w:r>
        <w:rPr>
          <w:noProof/>
        </w:rPr>
        <w:t>Δεδομένου ότι η πρόταση αποσκοπεί στην τροποποίηση της οδηγίας 2011/16/ΕΕ σχετικά με τη διοικητική συνεργασία, οι διαδικασίες, οι ρυθμίσεις και τα εργαλεία ΤΠ που έχουν ήδη καθιερωθεί ή βρίσκονται υπό εξέλιξη στο πλαίσιο της εν λόγω οδηγίας θα είναι διαθέσιμα για χρήση για τους σκοπούς της παρούσας πρότασης.</w:t>
      </w:r>
    </w:p>
    <w:p>
      <w:pPr>
        <w:pStyle w:val="ManualHeading2"/>
        <w:rPr>
          <w:bCs/>
          <w:noProof/>
          <w:szCs w:val="24"/>
        </w:rPr>
      </w:pPr>
      <w:r>
        <w:rPr>
          <w:noProof/>
        </w:rPr>
        <w:br w:type="page"/>
        <w:t>1,6.</w:t>
      </w:r>
      <w:r>
        <w:rPr>
          <w:noProof/>
        </w:rPr>
        <w:tab/>
        <w:t xml:space="preserve">Διάρκεια και δημοσιονομικές επιπτώσεις </w:t>
      </w:r>
    </w:p>
    <w:p>
      <w:pPr>
        <w:pStyle w:val="Text1"/>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pPr>
        <w:pStyle w:val="ListDash2"/>
        <w:rPr>
          <w:noProof/>
        </w:rPr>
      </w:pPr>
      <w:r>
        <w:rPr>
          <w:noProof/>
        </w:rPr>
        <w:sym w:font="Wingdings" w:char="F0A8"/>
      </w:r>
      <w:r>
        <w:rPr>
          <w:noProof/>
        </w:rPr>
        <w:tab/>
        <w:t xml:space="preserve">Πρόταση/πρωτοβουλία με ισχύ από [ΗΗ/MM]ΕΕΕΕ έως [ΗΗ/MM]ΕΕΕΕ </w:t>
      </w:r>
    </w:p>
    <w:p>
      <w:pPr>
        <w:pStyle w:val="ListDash2"/>
        <w:rPr>
          <w:noProof/>
        </w:rPr>
      </w:pPr>
      <w:r>
        <w:rPr>
          <w:noProof/>
        </w:rPr>
        <w:sym w:font="Wingdings" w:char="F0A8"/>
      </w:r>
      <w:r>
        <w:rPr>
          <w:noProof/>
        </w:rPr>
        <w:tab/>
        <w:t xml:space="preserve">Δημοσιονομικές επιπτώσεις από το ΕΕΕΕ έως το ΕΕΕΕ </w:t>
      </w:r>
    </w:p>
    <w:p>
      <w:pPr>
        <w:pStyle w:val="Text1"/>
        <w:rPr>
          <w:noProof/>
        </w:rPr>
      </w:pPr>
      <w:r>
        <w:rPr>
          <w:noProof/>
        </w:rPr>
        <w:sym w:font="Wingdings" w:char="F0FD"/>
      </w:r>
      <w:r>
        <w:rPr>
          <w:b/>
          <w:i/>
          <w:noProof/>
        </w:rPr>
        <w:t xml:space="preserve"> </w:t>
      </w:r>
      <w:r>
        <w:rPr>
          <w:noProof/>
        </w:rPr>
        <w:t xml:space="preserve">Πρόταση/πρωτοβουλία </w:t>
      </w:r>
      <w:r>
        <w:rPr>
          <w:b/>
          <w:noProof/>
        </w:rPr>
        <w:t>απεριόριστης διάρκειας</w:t>
      </w:r>
    </w:p>
    <w:p>
      <w:pPr>
        <w:pStyle w:val="ListDash1"/>
        <w:rPr>
          <w:noProof/>
        </w:rPr>
      </w:pPr>
      <w:r>
        <w:rPr>
          <w:noProof/>
        </w:rPr>
        <w:t>Περίοδος σταδιακής εφαρμογής από το ΕΕΕΕ έως το ΕΕΕΕ,</w:t>
      </w:r>
    </w:p>
    <w:p>
      <w:pPr>
        <w:pStyle w:val="ListDash1"/>
        <w:rPr>
          <w:noProof/>
        </w:rPr>
      </w:pPr>
      <w:r>
        <w:rPr>
          <w:noProof/>
        </w:rPr>
        <w:t>και στη συνέχεια πλήρης εφαρμογή.</w:t>
      </w:r>
    </w:p>
    <w:p>
      <w:pPr>
        <w:pStyle w:val="ManualHeading2"/>
        <w:rPr>
          <w:bCs/>
          <w:noProof/>
          <w:szCs w:val="24"/>
        </w:rPr>
      </w:pPr>
      <w:r>
        <w:rPr>
          <w:noProof/>
        </w:rPr>
        <w:t>1,7.</w:t>
      </w:r>
      <w:r>
        <w:rPr>
          <w:noProof/>
        </w:rPr>
        <w:tab/>
        <w:t>Προβλεπόμενοι τρόποι διαχείρισης</w:t>
      </w:r>
      <w:r>
        <w:rPr>
          <w:rStyle w:val="FootnoteReference"/>
          <w:noProof/>
        </w:rPr>
        <w:footnoteReference w:id="29"/>
      </w:r>
      <w:r>
        <w:rPr>
          <w:rStyle w:val="FootnoteReference"/>
          <w:noProof/>
        </w:rPr>
        <w:t xml:space="preserve">  </w:t>
      </w:r>
    </w:p>
    <w:p>
      <w:pPr>
        <w:pStyle w:val="Text1"/>
        <w:rPr>
          <w:noProof/>
        </w:rPr>
      </w:pPr>
      <w:r>
        <w:rPr>
          <w:noProof/>
          <w:sz w:val="22"/>
        </w:rPr>
        <w:sym w:font="Wingdings" w:char="F0FD"/>
      </w:r>
      <w:r>
        <w:rPr>
          <w:i/>
          <w:noProof/>
        </w:rPr>
        <w:t xml:space="preserve"> </w:t>
      </w:r>
      <w:r>
        <w:rPr>
          <w:b/>
          <w:noProof/>
        </w:rPr>
        <w:t>Άμεση διαχείριση</w:t>
      </w:r>
      <w:r>
        <w:rPr>
          <w:noProof/>
        </w:rPr>
        <w:t xml:space="preserve"> από την Επιτροπή</w:t>
      </w:r>
    </w:p>
    <w:p>
      <w:pPr>
        <w:pStyle w:val="ListDash2"/>
        <w:rPr>
          <w:rFonts w:cs="EUAlbertina"/>
          <w:noProof/>
        </w:rPr>
      </w:pPr>
      <w:r>
        <w:rPr>
          <w:noProof/>
        </w:rPr>
        <w:sym w:font="Wingdings" w:char="F0A8"/>
      </w:r>
      <w:r>
        <w:rPr>
          <w:noProof/>
        </w:rPr>
        <w:t xml:space="preserve"> 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καθηκόντων εκτέλεσης του προϋπολογισμού:</w:t>
      </w:r>
    </w:p>
    <w:p>
      <w:pPr>
        <w:pStyle w:val="ListDash2"/>
        <w:rPr>
          <w:noProof/>
        </w:rPr>
      </w:pPr>
      <w:r>
        <w:rPr>
          <w:noProof/>
        </w:rPr>
        <w:sym w:font="Wingdings" w:char="F0A8"/>
      </w:r>
      <w:r>
        <w:rPr>
          <w:noProof/>
        </w:rPr>
        <w:t xml:space="preserve"> σε τρίτες χώρες ή οργανισμούς που αυτές έχουν ορίσει</w:t>
      </w:r>
    </w:p>
    <w:p>
      <w:pPr>
        <w:pStyle w:val="ListDash2"/>
        <w:rPr>
          <w:noProof/>
        </w:rPr>
      </w:pPr>
      <w:r>
        <w:rPr>
          <w:noProof/>
        </w:rPr>
        <w:sym w:font="Wingdings" w:char="F0A8"/>
      </w:r>
      <w:r>
        <w:rPr>
          <w:noProof/>
        </w:rPr>
        <w:t xml:space="preserve"> σε διεθνείς οργανισμούς και στις οργανώσεις τους (να προσδιοριστούν)</w:t>
      </w:r>
    </w:p>
    <w:p>
      <w:pPr>
        <w:pStyle w:val="ListDash2"/>
        <w:rPr>
          <w:noProof/>
        </w:rPr>
      </w:pPr>
      <w:r>
        <w:rPr>
          <w:noProof/>
        </w:rPr>
        <w:sym w:font="Wingdings" w:char="F0A8"/>
      </w:r>
      <w:r>
        <w:rPr>
          <w:noProof/>
        </w:rPr>
        <w:t xml:space="preserve"> στην ΕΤΕπ και στο Ευρωπαϊκό Ταμείο Επενδύσεων</w:t>
      </w:r>
    </w:p>
    <w:p>
      <w:pPr>
        <w:pStyle w:val="ListDash2"/>
        <w:rPr>
          <w:noProof/>
        </w:rPr>
      </w:pPr>
      <w:r>
        <w:rPr>
          <w:noProof/>
        </w:rPr>
        <w:sym w:font="Wingdings" w:char="F0A8"/>
      </w:r>
      <w:r>
        <w:rPr>
          <w:noProof/>
        </w:rPr>
        <w:t xml:space="preserve"> στους οργανισμούς που αναφέρονται στα άρθρα 208 και 209 του δημοσιονομικού κανονισμού</w:t>
      </w:r>
    </w:p>
    <w:p>
      <w:pPr>
        <w:pStyle w:val="ListDash2"/>
        <w:rPr>
          <w:noProof/>
        </w:rPr>
      </w:pPr>
      <w:r>
        <w:rPr>
          <w:noProof/>
        </w:rPr>
        <w:sym w:font="Wingdings" w:char="F0A8"/>
      </w:r>
      <w:r>
        <w:rPr>
          <w:noProof/>
        </w:rPr>
        <w:t xml:space="preserve"> σε οργανισμούς δημοσίου δικαίου</w:t>
      </w:r>
    </w:p>
    <w:p>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noProof/>
        </w:rPr>
      </w:pPr>
      <w:r>
        <w:rPr>
          <w:noProof/>
        </w:rPr>
        <w:t>Η παρούσα πρόταση βασίζεται στο υφιστάμενο πλαίσιο και τα υφιστάμενα συστήματα αυτόματης ανταλλαγής πληροφοριών που αναπτύχθηκαν σύμφωνα με το άρθρο 21 της οδηγίας 2011/16/ΕΕ στο πλαίσιο παλαιότερης τροποποίησης. Η Επιτροπή, σε συνεργασία με τα κράτη μέλη, επεξεργάζεται τυποποιημένα έντυπα και μορφότυπους για την ανταλλαγή πληροφοριών μέσω μέτρων εφαρμογής. Όσον αφορά το δίκτυο CCN το οποίο θα επιτρέπει την ανταλλαγή πληροφοριών μεταξύ των κρατών μελών, η Επιτροπή είναι υπεύθυνη για την ανάπτυξη του εν λόγω δικτύου και τα κράτη μέλη αναλαμβάνουν να αναπτύξουν την κατάλληλη εγχώρια υποδομή που θα επιτρέπει την ανταλλαγή πληροφοριών μέσω του δικτύου CCN.</w:t>
      </w:r>
    </w:p>
    <w:p>
      <w:pPr>
        <w:pBdr>
          <w:top w:val="single" w:sz="4" w:space="1" w:color="auto"/>
          <w:left w:val="single" w:sz="4" w:space="4" w:color="auto"/>
          <w:bottom w:val="single" w:sz="4" w:space="1" w:color="auto"/>
          <w:right w:val="single" w:sz="4" w:space="4" w:color="auto"/>
        </w:pBd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ΜΕΤΡΑ ΔΙΑΧΕΙΡΙΣΗΣ </w:t>
      </w:r>
    </w:p>
    <w:p>
      <w:pPr>
        <w:pStyle w:val="ManualHeading2"/>
        <w:rPr>
          <w:noProof/>
        </w:rPr>
      </w:pPr>
      <w:r>
        <w:rPr>
          <w:noProof/>
        </w:rPr>
        <w:t>2,1.</w:t>
      </w:r>
      <w:r>
        <w:rPr>
          <w:noProof/>
        </w:rPr>
        <w:tab/>
        <w:t xml:space="preserve">Κανόνες παρακολούθησης και υποβολής εκθέσεων </w:t>
      </w:r>
    </w:p>
    <w:p>
      <w:pPr>
        <w:pStyle w:val="Text1"/>
        <w:rPr>
          <w:i/>
          <w:noProof/>
          <w:sz w:val="20"/>
          <w:u w:val="single"/>
        </w:rPr>
      </w:pPr>
      <w:r>
        <w:rPr>
          <w:i/>
          <w:noProof/>
          <w:sz w:val="20"/>
        </w:rPr>
        <w:t>Να προσδιοριστούν η συχνότητα και οι όροι</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Τα κράτη μέλη αναλαμβάνουν: </w:t>
      </w:r>
    </w:p>
    <w:p>
      <w:pPr>
        <w:pStyle w:val="Text1"/>
        <w:pBdr>
          <w:top w:val="single" w:sz="4" w:space="1" w:color="auto"/>
          <w:left w:val="single" w:sz="4" w:space="4" w:color="auto"/>
          <w:bottom w:val="single" w:sz="4" w:space="1" w:color="auto"/>
          <w:right w:val="single" w:sz="4" w:space="4" w:color="auto"/>
        </w:pBdr>
        <w:rPr>
          <w:noProof/>
        </w:rPr>
      </w:pPr>
      <w:r>
        <w:rPr>
          <w:noProof/>
        </w:rPr>
        <w:t>- να κοινοποιούν στην Επιτροπή ετήσια αξιολόγηση της αποτελεσματικότητας της αυτόματης ανταλλαγής πληροφοριών που αναφέρεται στο άρθρο 8, το άρθρο 8α, το άρθρο 8αα, το άρθρο 8αβ και το προτεινόμενο άρθρο 8αγ της οδηγίας, καθώς και των πρακτικών αποτελεσμάτων τα οποία επιτεύχθηκαν,</w:t>
      </w:r>
    </w:p>
    <w:p>
      <w:pPr>
        <w:pStyle w:val="Text1"/>
        <w:pBdr>
          <w:top w:val="single" w:sz="4" w:space="1" w:color="auto"/>
          <w:left w:val="single" w:sz="4" w:space="4" w:color="auto"/>
          <w:bottom w:val="single" w:sz="4" w:space="1" w:color="auto"/>
          <w:right w:val="single" w:sz="4" w:space="4" w:color="auto"/>
        </w:pBdr>
        <w:rPr>
          <w:noProof/>
        </w:rPr>
      </w:pPr>
      <w:r>
        <w:rPr>
          <w:noProof/>
        </w:rPr>
        <w:t xml:space="preserve">- να υποβάλλουν κατάλογο στατιστικών στοιχείων, ο οποίος συντάσσεται από την Επιτροπή σύμφωνα με τη διαδικασία του άρθρου 26 παράγραφος 2 (μέτρα εφαρμογής), για την αξιολόγηση της παρούσας οδηγίας. </w:t>
      </w:r>
    </w:p>
    <w:p>
      <w:pPr>
        <w:pStyle w:val="Text1"/>
        <w:pBdr>
          <w:top w:val="single" w:sz="4" w:space="1" w:color="auto"/>
          <w:left w:val="single" w:sz="4" w:space="4" w:color="auto"/>
          <w:bottom w:val="single" w:sz="4" w:space="1" w:color="auto"/>
          <w:right w:val="single" w:sz="4" w:space="4" w:color="auto"/>
        </w:pBdr>
        <w:rPr>
          <w:noProof/>
        </w:rPr>
      </w:pPr>
      <w:r>
        <w:rPr>
          <w:noProof/>
        </w:rPr>
        <w:t>Στο άρθρο 27 η Επιτροπή αναλαμβάνει να υποβάλλει έκθεση για την εφαρμογή της οδηγίας ανά πενταετία, με έναρξη από την 1η Ιανουαρίου 2013. Τα αποτελέσματα της παρούσας πρότασης (η οποία τροποποιεί την ΟΔΣ) θα συμπεριληφθούν στην έκθεση προς το Ευρωπαϊκό Κοινοβούλιο και το Συμβούλιο που θα εκδοθεί έως την 1η Ιανουαρίου 2028.</w:t>
      </w:r>
    </w:p>
    <w:p>
      <w:pPr>
        <w:pStyle w:val="ManualHeading2"/>
        <w:rPr>
          <w:bCs/>
          <w:noProof/>
          <w:szCs w:val="24"/>
        </w:rPr>
      </w:pPr>
      <w:r>
        <w:rPr>
          <w:noProof/>
        </w:rPr>
        <w:t>2,2.</w:t>
      </w:r>
      <w:r>
        <w:rPr>
          <w:noProof/>
        </w:rPr>
        <w:tab/>
        <w:t xml:space="preserve">Σύστημα διαχείρισης και ελέγχου </w:t>
      </w:r>
    </w:p>
    <w:p>
      <w:pPr>
        <w:pStyle w:val="ManualHeading3"/>
        <w:rPr>
          <w:noProof/>
        </w:rPr>
      </w:pPr>
      <w:r>
        <w:rPr>
          <w:noProof/>
        </w:rPr>
        <w:t>2.2.1.</w:t>
      </w:r>
      <w:r>
        <w:rPr>
          <w:noProof/>
        </w:rPr>
        <w:tab/>
        <w:t xml:space="preserve">Κίνδυνοι που έχουν εντοπιστεί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Έχουν εντοπιστεί οι ακόλουθοι πιθανοί κίνδυνοι: </w:t>
      </w:r>
    </w:p>
    <w:p>
      <w:pPr>
        <w:pStyle w:val="Text1"/>
        <w:pBdr>
          <w:top w:val="single" w:sz="4" w:space="1" w:color="auto"/>
          <w:left w:val="single" w:sz="4" w:space="4" w:color="auto"/>
          <w:bottom w:val="single" w:sz="4" w:space="1" w:color="auto"/>
          <w:right w:val="single" w:sz="4" w:space="4" w:color="auto"/>
        </w:pBdr>
        <w:rPr>
          <w:noProof/>
        </w:rPr>
      </w:pPr>
      <w:r>
        <w:rPr>
          <w:noProof/>
        </w:rPr>
        <w:t>- Τα κράτη μέλη αναλαμβάνουν να υποβάλλουν στην Επιτροπή στατιστικά στοιχεία τα οποία χρησιμοποιούνται στη συνέχεια για την αξιολόγηση της οδηγίας. Η Επιτροπή αναλαμβάνει να υποβάλλει έκθεση με βάση αυτά τα στοιχεία ανά πενταετία. Όσον αφορά ειδικά την αυτόματη ανταλλαγή πληροφοριών, τα κράτη μέλη αναλαμβάνουν να κοινοποιούν στην Επιτροπή ετήσια αξιολόγηση της αποτελεσματικότητάς της. Ο πιθανός κίνδυνος που ενέχει αυτό είναι ότι τα δεδομένα που λαμβάνει η Επιτροπή δεν είναι της αναμενόμενης ποιότητας.</w:t>
      </w:r>
    </w:p>
    <w:p>
      <w:pPr>
        <w:pStyle w:val="ManualHeading3"/>
        <w:rPr>
          <w:bCs/>
          <w:noProof/>
          <w:szCs w:val="24"/>
        </w:rPr>
      </w:pPr>
      <w:r>
        <w:rPr>
          <w:noProof/>
        </w:rPr>
        <w:t>2.2.2.</w:t>
      </w:r>
      <w:r>
        <w:rPr>
          <w:noProof/>
        </w:rPr>
        <w:tab/>
        <w:t>Πληροφορίες σχετικά με το σύστημα εσωτερικού ελέγχου που έχει δημιουργηθεί</w:t>
      </w:r>
    </w:p>
    <w:p>
      <w:pPr>
        <w:pStyle w:val="Text1"/>
        <w:pBdr>
          <w:top w:val="single" w:sz="4" w:space="1" w:color="auto"/>
          <w:left w:val="single" w:sz="4" w:space="4" w:color="auto"/>
          <w:bottom w:val="single" w:sz="4" w:space="1" w:color="auto"/>
          <w:right w:val="single" w:sz="4" w:space="4" w:color="auto"/>
        </w:pBdr>
        <w:rPr>
          <w:noProof/>
        </w:rPr>
      </w:pPr>
      <w:r>
        <w:rPr>
          <w:noProof/>
        </w:rPr>
        <w:t>Το πρόγραμμα Fiscalis θα στηρίζει το σύστημα εσωτερικού ελέγχου, σύμφωνα με τον κανονισμό (ΕΕ) αριθ. 1286/2013, της 11ης Δεκεμβρίου 2013</w:t>
      </w:r>
      <w:r>
        <w:rPr>
          <w:rStyle w:val="FootnoteReference"/>
          <w:noProof/>
        </w:rPr>
        <w:footnoteReference w:id="30"/>
      </w:r>
      <w:r>
        <w:rPr>
          <w:noProof/>
        </w:rPr>
        <w:t xml:space="preserve">, μέσω της χορήγησης κονδυλίων για τα ακόλουθα: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κοινές δράσεις (π.χ. με τη μορφή ομάδων έργου), </w:t>
      </w:r>
    </w:p>
    <w:p>
      <w:pPr>
        <w:pStyle w:val="Text1"/>
        <w:pBdr>
          <w:top w:val="single" w:sz="4" w:space="1" w:color="auto"/>
          <w:left w:val="single" w:sz="4" w:space="4" w:color="auto"/>
          <w:bottom w:val="single" w:sz="4" w:space="1" w:color="auto"/>
          <w:right w:val="single" w:sz="4" w:space="4" w:color="auto"/>
        </w:pBdr>
        <w:rPr>
          <w:noProof/>
        </w:rPr>
      </w:pPr>
      <w:r>
        <w:rPr>
          <w:noProof/>
        </w:rPr>
        <w:t>- Η ανάπτυξη των τεχνικών προδιαγραφών, συμπεριλαμβανομένου του σχήματος XML.</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Τα κύρια στοιχεία της στρατηγικής ελέγχου είναι τα ακόλουθα: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Δημόσιες συμβάσεις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διαδικασίες ελέγχου για την ανάθεση συμβάσεων που προσδιορίζονται στον δημοσιονομικό κανονισμό: κάθε σύμβαση συνάπτεται εφαρμόζοντας την καθιερωμένη διαδικασία επαλήθευσης από τις υπηρεσίες της Επιτροπής για την πληρωμή, λαμβανομένων υπόψη των συμβατικών υποχρεώσεων και της χρηστής δημοσιονομικής και γενικής διαχείρισης. Προβλέπονται μέτρα για την καταπολέμηση της απάτης (έλεγχοι, εκθέσεις κ.λπ.) σε όλες τις συμβάσεις οι οποίες συνάπτονται μεταξύ της Επιτροπής και των δικαιούχων. Συντάσσεται λεπτομερής συγγραφή των υποχρεώσεων, οι οποίες αποτελούν τη βάση της ειδικής σύμβασης. Η διαδικασία αποδοχής εφαρμόζει αυστηρά τη μέθοδο TEMPO της ΓΔ TAXUD: τα παραδοτέα εξετάζονται, τροποποιούνται, εφόσον απαιτείται, και τελικά γίνονται ρητώς αποδεκτά (ή απορρίπτονται). Κανένα τιμολόγιο δεν πληρώνεται χωρίς «επιστολή αποδοχής».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Τεχνική επαλήθευση της ανάθεσης συμβάσεων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ΓΔ TAXUD διενεργεί ελέγχους των παραδοτέων και επιβλέπει τις εργασίες και τις υπηρεσίες που εκτελούνται από αναδόχους. Διενεργεί επίσης ελέγχους ποιότητας και ασφάλειας στους αναδόχους σε τακτική βάση. Οι έλεγχοι ποιότητας επαληθεύουν τη συμμόρφωση των πραγματικών διεργασιών των αναδόχων προς τους κανόνες και τις διαδικασίες που καθορίζονται στα σχέδια ποιότητας που υπέβαλαν. Οι έλεγχοι ασφάλειας επικεντρώνονται στις συγκεκριμένες διεργασίες, διαδικασίες και οργάνωση.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Επιπλέον των ως άνω ελέγχων, η ΓΔ TAXUD διενεργεί τους παραδοσιακούς οικονομικούς ελέγχους: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Εκ των προτέρων επαλήθευση δεσμεύσεων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Όλες οι δεσμεύσεις στην ΓΔ TAXUD επαληθεύονται από τον προϊστάμενο της διοικητικής μονάδας Οικονομικών και Ανθρωπίνων Πόρων. Επομένως, το 100 % των δεσμευμένων ποσών καλύπτεται από την εκ των προτέρων επαλήθευση. Αυτή η διαδικασία διασφαλίζει σε υψηλό επίπεδο την νομιμότητα και κανονικότητα των συναλλαγών.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Εκ των προτέρων επαλήθευση πληρωμών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Το 100 % των πληρωμών επαληθεύεται εκ των προτέρων. Επιπλέον, τουλάχιστον μία πληρωμή (από όλες τις κατηγορίες δαπανών) εβδομαδιαίως επιλέγεται τυχαία για πρόσθετη εκ των προτέρων επαλήθευση, η οποία διενεργείται από τον προϊστάμενο της διοικητικής μονάδας Οικονομικών και Ανθρωπίνων Πόρων. Δεν υφίσταται στόχος σχετικά με την κάλυψη, καθώς ο σκοπός αυτής της επαλήθευσης είναι ο «τυχαίος» έλεγχος πληρωμών προκειμένου να επαληθευτεί ότι όλες οι πληρωμές έγιναν σύμφωνα με τις απαιτήσεις. Οι λοιπές πληρωμές ελέγχονται σύμφωνα με τους ισχύοντες κανόνες σε ημερήσια βάση.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Δηλώσεις των δευτερευόντων διατακτών </w:t>
      </w:r>
    </w:p>
    <w:p>
      <w:pPr>
        <w:pStyle w:val="Text1"/>
        <w:pBdr>
          <w:top w:val="single" w:sz="4" w:space="1" w:color="auto"/>
          <w:left w:val="single" w:sz="4" w:space="4" w:color="auto"/>
          <w:bottom w:val="single" w:sz="4" w:space="1" w:color="auto"/>
          <w:right w:val="single" w:sz="4" w:space="4" w:color="auto"/>
        </w:pBdr>
        <w:rPr>
          <w:noProof/>
        </w:rPr>
      </w:pPr>
      <w:r>
        <w:rPr>
          <w:noProof/>
        </w:rPr>
        <w:t>Όλοι οι δευτερεύοντες διατάκτες υπογράφουν δηλώσεις για τη στήριξη της Ετήσιας Έκθεσης Δραστηριοτήτων για το εκάστοτε έτος. Αυτές οι δηλώσεις καλύπτουν τις εργασίες στο πλαίσιο του προγράμματος. Οι δευτερεύοντες διατάκτες δηλώνουν ότι οι εργασίες σχετικά με την εκτέλεση του προϋπολογισμού πραγματοποιήθηκαν σύμφωνα με τις αρχές της χρηστής οικονομικής διαχείρισης, ότι τα συστήματα που εφαρμόζονται για τη διαχείριση και τον έλεγχο παρείχαν επαρκή διασφάλιση σχετικά με τη νομιμότητα και κανονικότητα των συναλλαγών, ότι οι κίνδυνοι που συνδέονται με αυτές τις εργασίες έχουν προσδιοριστεί δεόντως και ότι εφαρμόσθηκαν ενέργειες μετριασμού.</w:t>
      </w:r>
    </w:p>
    <w:p>
      <w:pPr>
        <w:pStyle w:val="ManualHeading3"/>
        <w:rPr>
          <w:noProof/>
        </w:rPr>
      </w:pPr>
      <w:r>
        <w:rPr>
          <w:noProof/>
        </w:rPr>
        <w:t>2.2.3.</w:t>
      </w:r>
      <w:r>
        <w:rPr>
          <w:noProof/>
        </w:rPr>
        <w:tab/>
        <w:t xml:space="preserve">Εκτιμώμενο κόστος και όφελος των ελέγχων και αξιολόγηση του εκτιμώμενου επιπέδου κινδύνου σφάλματος </w:t>
      </w:r>
    </w:p>
    <w:p>
      <w:pPr>
        <w:pStyle w:val="Text1"/>
        <w:pBdr>
          <w:top w:val="single" w:sz="4" w:space="1" w:color="auto"/>
          <w:left w:val="single" w:sz="4" w:space="4" w:color="auto"/>
          <w:bottom w:val="single" w:sz="4" w:space="1" w:color="auto"/>
          <w:right w:val="single" w:sz="4" w:space="4" w:color="auto"/>
        </w:pBdr>
        <w:rPr>
          <w:noProof/>
        </w:rPr>
      </w:pPr>
      <w:r>
        <w:rPr>
          <w:noProof/>
        </w:rPr>
        <w:t>Οι έλεγχοι που έχουν θεσπισθεί επιτρέπουν στη ΓΔ TAXUD να εξασφαλίζει επαρκή βεβαιότητα σχετικά με την ποιότητα και την κανονικότητα των δαπανών και να μειώνει τον κίνδυνο μη συμμόρφωσης. Τα ανωτέρω μέτρα της στρατηγικής ελέγχου μειώνουν τους δυνητικούς κινδύνους κάτω από τον στόχο του 2 % και εκτείνονται σε όλους τους δικαιούχους. Τυχόν πρόσθετα μέτρα για περαιτέρω μείωση των κινδύνων θα έχουν ως αποτέλεσμα δυσανάλογα υψηλό κόστος και, ως εκ τούτου, δεν προβλέπονται. Το συνολικό κόστος υλοποίησης της ως άνω στρατηγικής ελέγχου — για όλες τις δαπάνες στο πλαίσιο του προγράμματος Fiscalis 2020, περιορίζεται στο 1,6 % του συνόλου των πληρωμών. Αναμένεται να παραμείνει στο ίδιο ποσοστό για την πρωτοβουλία αυτή. Η στρατηγική ελέγχου του προγράμματος περιορίζει τον κίνδυνο της μη συμμόρφωσης σε ουσιαστικά μηδενικό επίπεδο και εξακολουθεί να είναι ανάλογη με τους ενεχόμενους κινδύνους.</w:t>
      </w:r>
    </w:p>
    <w:p>
      <w:pPr>
        <w:pStyle w:val="ManualHeading2"/>
        <w:rPr>
          <w:bCs/>
          <w:noProof/>
          <w:szCs w:val="24"/>
        </w:rPr>
      </w:pPr>
      <w:r>
        <w:rPr>
          <w:noProof/>
        </w:rPr>
        <w:t>2,3.</w:t>
      </w:r>
      <w:r>
        <w:rPr>
          <w:noProof/>
        </w:rPr>
        <w:tab/>
        <w:t xml:space="preserve">Μέτρα για την πρόληψη περιπτώσεων απάτης και παρατυπίας </w:t>
      </w:r>
    </w:p>
    <w:p>
      <w:pPr>
        <w:pStyle w:val="Text1"/>
        <w:rPr>
          <w:i/>
          <w:noProof/>
          <w:sz w:val="20"/>
        </w:rPr>
      </w:pPr>
      <w:r>
        <w:rPr>
          <w:i/>
          <w:noProof/>
          <w:sz w:val="20"/>
        </w:rPr>
        <w:t>Να προσδιοριστούν τα ισχύοντα ή τα προβλεπόμενα μέτρα πρόληψης και προστασίας.</w:t>
      </w:r>
    </w:p>
    <w:p>
      <w:pPr>
        <w:pStyle w:val="Text1"/>
        <w:pBdr>
          <w:top w:val="single" w:sz="4" w:space="1" w:color="auto"/>
          <w:left w:val="single" w:sz="4" w:space="4" w:color="auto"/>
          <w:bottom w:val="single" w:sz="4" w:space="1" w:color="auto"/>
          <w:right w:val="single" w:sz="4" w:space="4" w:color="auto"/>
        </w:pBdr>
        <w:rPr>
          <w:noProof/>
        </w:rPr>
      </w:pPr>
      <w:r>
        <w:rPr>
          <w:noProof/>
        </w:rPr>
        <w:t>Η Ευρωπαϊκή Υπηρεσία Καταπολέμησης της Απάτης (OLAF) δύναται να διενεργεί έρευνες που περιλαμβάνουν επιτόπιους ελέγχους και επιθεωρήσεις, σύμφωνα με τις διατάξεις και τις διαδικασίες που ορίζονται στον κανονισμό (ΕΚ) αριθ. 1073/1999 του Ευρωπαϊκού Κοινοβουλίου και του Συμβουλίου</w:t>
      </w:r>
      <w:r>
        <w:rPr>
          <w:rStyle w:val="FootnoteReference"/>
          <w:noProof/>
        </w:rPr>
        <w:footnoteReference w:id="31"/>
      </w:r>
      <w:r>
        <w:rPr>
          <w:noProof/>
        </w:rPr>
        <w:t xml:space="preserve"> και στον κανονισμό (Ευρατόμ, ΕΚ) αριθ. 2185/96 του Συμβουλίου</w:t>
      </w:r>
      <w:r>
        <w:rPr>
          <w:rStyle w:val="FootnoteReference"/>
          <w:noProof/>
        </w:rPr>
        <w:footnoteReference w:id="32"/>
      </w:r>
      <w:r>
        <w:rPr>
          <w:noProof/>
        </w:rPr>
        <w:t>, με στόχο τη διαπίστωση τυχόν απάτης, διαφθοράς ή άλλης παράνομης δραστηριότητας, συνδεόμενης με συμφωνία επιχορήγησης ή απόφαση επιχορήγησης ή με σύμβαση χρηματοδότησης σύμφωνα με τον παρόντα κανονισμό, η οποία θίγει τα οικονομικά συμφέροντα της Ένωσης.</w:t>
      </w:r>
    </w:p>
    <w:p>
      <w:pPr>
        <w:pStyle w:val="ManualHeading1"/>
        <w:rPr>
          <w:noProof/>
        </w:rPr>
      </w:pPr>
      <w:r>
        <w:rPr>
          <w:noProof/>
        </w:rPr>
        <w:t>3.</w:t>
      </w:r>
      <w:r>
        <w:rPr>
          <w:noProof/>
        </w:rPr>
        <w:tab/>
        <w:t xml:space="preserve">ΕΚΤΙΜΩΜΕΝΕΣ ΔΗΜΟΣΙΟΝΟΜΙΚΕΣ ΕΠΙΠΤΩΣΕΙΣ ΤΗΣ ΠΡΟΤΑΣΗΣ/ΠΡΩΤΟΒΟΥΛΙΑΣ </w:t>
      </w:r>
    </w:p>
    <w:p>
      <w:pPr>
        <w:pStyle w:val="ManualHeading2"/>
        <w:rPr>
          <w:noProof/>
        </w:rPr>
      </w:pPr>
      <w:r>
        <w:rPr>
          <w:noProof/>
        </w:rPr>
        <w:t>3,1.</w:t>
      </w:r>
      <w:r>
        <w:rPr>
          <w:noProof/>
        </w:rPr>
        <w:tab/>
        <w:t xml:space="preserve">Τομείς του πολυετούς δημοσιονομικού πλαισίου και γραμμές δαπανών του προϋπολογισμού που επηρεάζονται </w:t>
      </w:r>
    </w:p>
    <w:p>
      <w:pPr>
        <w:tabs>
          <w:tab w:val="num" w:pos="1134"/>
        </w:tabs>
        <w:ind w:left="1134" w:hanging="283"/>
        <w:rPr>
          <w:rFonts w:eastAsia="Times New Roman"/>
          <w:noProof/>
        </w:rPr>
      </w:pPr>
      <w:r>
        <w:rPr>
          <w:noProof/>
        </w:rPr>
        <w:t xml:space="preserve">Υφιστάμενες γραμμές του προϋπολογισμού </w:t>
      </w:r>
    </w:p>
    <w:p>
      <w:pPr>
        <w:ind w:left="850"/>
        <w:rPr>
          <w:noProof/>
        </w:rPr>
      </w:pPr>
      <w:r>
        <w:rPr>
          <w:noProof/>
          <w:u w:val="single"/>
        </w:rPr>
        <w:t>Κατά σειρά</w:t>
      </w:r>
      <w:r>
        <w:rPr>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tc>
          <w:tcPr>
            <w:tcW w:w="1800" w:type="dxa"/>
            <w:vMerge w:val="restart"/>
            <w:vAlign w:val="center"/>
          </w:tcPr>
          <w:p>
            <w:pPr>
              <w:spacing w:before="60" w:after="60"/>
              <w:jc w:val="center"/>
              <w:rPr>
                <w:noProof/>
                <w:sz w:val="22"/>
              </w:rPr>
            </w:pPr>
            <w:r>
              <w:rPr>
                <w:noProof/>
                <w:sz w:val="18"/>
              </w:rPr>
              <w:t>Τομέας του πολυετούς δημοσιονομικού πλαισίου</w:t>
            </w:r>
          </w:p>
        </w:tc>
        <w:tc>
          <w:tcPr>
            <w:tcW w:w="3240" w:type="dxa"/>
            <w:vAlign w:val="center"/>
          </w:tcPr>
          <w:p>
            <w:pPr>
              <w:spacing w:before="60" w:after="60"/>
              <w:jc w:val="center"/>
              <w:rPr>
                <w:noProof/>
                <w:sz w:val="22"/>
              </w:rPr>
            </w:pPr>
            <w:r>
              <w:rPr>
                <w:noProof/>
                <w:sz w:val="20"/>
              </w:rPr>
              <w:t>Γραμμή του προϋπολογισμού</w:t>
            </w:r>
          </w:p>
        </w:tc>
        <w:tc>
          <w:tcPr>
            <w:tcW w:w="1200" w:type="dxa"/>
            <w:vAlign w:val="center"/>
          </w:tcPr>
          <w:p>
            <w:pPr>
              <w:spacing w:before="60" w:after="60"/>
              <w:jc w:val="center"/>
              <w:rPr>
                <w:noProof/>
                <w:sz w:val="22"/>
              </w:rPr>
            </w:pPr>
            <w:r>
              <w:rPr>
                <w:noProof/>
                <w:sz w:val="18"/>
              </w:rPr>
              <w:t>Είδος της</w:t>
            </w:r>
            <w:r>
              <w:rPr>
                <w:noProof/>
              </w:rPr>
              <w:t xml:space="preserve"> </w:t>
            </w:r>
            <w:r>
              <w:rPr>
                <w:noProof/>
              </w:rPr>
              <w:br/>
            </w:r>
            <w:r>
              <w:rPr>
                <w:noProof/>
                <w:sz w:val="18"/>
              </w:rPr>
              <w:t>δαπάνης</w:t>
            </w:r>
          </w:p>
        </w:tc>
        <w:tc>
          <w:tcPr>
            <w:tcW w:w="4320" w:type="dxa"/>
            <w:gridSpan w:val="4"/>
            <w:vAlign w:val="center"/>
          </w:tcPr>
          <w:p>
            <w:pPr>
              <w:spacing w:before="60" w:after="60"/>
              <w:jc w:val="center"/>
              <w:rPr>
                <w:noProof/>
                <w:sz w:val="22"/>
              </w:rPr>
            </w:pPr>
            <w:r>
              <w:rPr>
                <w:noProof/>
                <w:sz w:val="20"/>
              </w:rPr>
              <w:t xml:space="preserve">Συμμετοχή </w:t>
            </w:r>
          </w:p>
        </w:tc>
      </w:tr>
      <w:tr>
        <w:tc>
          <w:tcPr>
            <w:tcW w:w="1800" w:type="dxa"/>
            <w:vMerge/>
            <w:vAlign w:val="center"/>
          </w:tcPr>
          <w:p>
            <w:pPr>
              <w:jc w:val="center"/>
              <w:rPr>
                <w:noProof/>
                <w:sz w:val="22"/>
              </w:rPr>
            </w:pPr>
          </w:p>
        </w:tc>
        <w:tc>
          <w:tcPr>
            <w:tcW w:w="3240" w:type="dxa"/>
            <w:vAlign w:val="center"/>
          </w:tcPr>
          <w:p>
            <w:pPr>
              <w:rPr>
                <w:noProof/>
                <w:sz w:val="22"/>
              </w:rPr>
            </w:pPr>
            <w:r>
              <w:rPr>
                <w:noProof/>
                <w:sz w:val="20"/>
              </w:rPr>
              <w:t>14.03.01</w:t>
            </w:r>
          </w:p>
        </w:tc>
        <w:tc>
          <w:tcPr>
            <w:tcW w:w="1200" w:type="dxa"/>
            <w:vAlign w:val="center"/>
          </w:tcPr>
          <w:p>
            <w:pPr>
              <w:jc w:val="center"/>
              <w:rPr>
                <w:noProof/>
                <w:sz w:val="22"/>
              </w:rPr>
            </w:pPr>
            <w:r>
              <w:rPr>
                <w:noProof/>
                <w:sz w:val="18"/>
              </w:rPr>
              <w:t>ΔΠ/ΜΔΜ</w:t>
            </w:r>
            <w:r>
              <w:rPr>
                <w:rStyle w:val="FootnoteReference"/>
                <w:noProof/>
              </w:rPr>
              <w:footnoteReference w:id="33"/>
            </w:r>
          </w:p>
        </w:tc>
        <w:tc>
          <w:tcPr>
            <w:tcW w:w="960" w:type="dxa"/>
            <w:vAlign w:val="center"/>
          </w:tcPr>
          <w:p>
            <w:pPr>
              <w:jc w:val="center"/>
              <w:rPr>
                <w:noProof/>
                <w:sz w:val="22"/>
              </w:rPr>
            </w:pPr>
            <w:r>
              <w:rPr>
                <w:noProof/>
                <w:sz w:val="18"/>
              </w:rPr>
              <w:t>χωρών ΕΖΕΣ</w:t>
            </w:r>
            <w:r>
              <w:rPr>
                <w:rStyle w:val="FootnoteReference"/>
                <w:noProof/>
              </w:rPr>
              <w:footnoteReference w:id="34"/>
            </w:r>
          </w:p>
          <w:p>
            <w:pPr>
              <w:spacing w:before="0" w:after="0"/>
              <w:jc w:val="center"/>
              <w:rPr>
                <w:b/>
                <w:noProof/>
                <w:sz w:val="18"/>
              </w:rPr>
            </w:pPr>
          </w:p>
        </w:tc>
        <w:tc>
          <w:tcPr>
            <w:tcW w:w="956" w:type="dxa"/>
            <w:vAlign w:val="center"/>
          </w:tcPr>
          <w:p>
            <w:pPr>
              <w:jc w:val="center"/>
              <w:rPr>
                <w:noProof/>
                <w:sz w:val="22"/>
              </w:rPr>
            </w:pPr>
            <w:r>
              <w:rPr>
                <w:noProof/>
                <w:sz w:val="18"/>
              </w:rPr>
              <w:t>υποψηφίων για ένταξη χωρών</w:t>
            </w:r>
            <w:r>
              <w:rPr>
                <w:rStyle w:val="FootnoteReference"/>
                <w:noProof/>
              </w:rPr>
              <w:footnoteReference w:id="35"/>
            </w:r>
          </w:p>
          <w:p>
            <w:pPr>
              <w:spacing w:before="0" w:after="0"/>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tc>
          <w:tcPr>
            <w:tcW w:w="1800" w:type="dxa"/>
            <w:vAlign w:val="center"/>
          </w:tcPr>
          <w:p>
            <w:pPr>
              <w:jc w:val="center"/>
              <w:rPr>
                <w:noProof/>
                <w:sz w:val="22"/>
              </w:rPr>
            </w:pPr>
            <w:r>
              <w:rPr>
                <w:noProof/>
                <w:sz w:val="22"/>
              </w:rPr>
              <w:t>1A – Ανταγωνιστικότητα για την ανάπτυξη και την απασχόληση</w:t>
            </w:r>
          </w:p>
        </w:tc>
        <w:tc>
          <w:tcPr>
            <w:tcW w:w="3240" w:type="dxa"/>
            <w:vAlign w:val="center"/>
          </w:tcPr>
          <w:p>
            <w:pPr>
              <w:rPr>
                <w:noProof/>
                <w:sz w:val="22"/>
              </w:rPr>
            </w:pPr>
            <w:r>
              <w:rPr>
                <w:noProof/>
                <w:sz w:val="22"/>
              </w:rPr>
              <w:t>Βελτίωση της λειτουργίας των φορολογικών συστημάτων</w:t>
            </w:r>
          </w:p>
          <w:p>
            <w:pPr>
              <w:spacing w:after="60"/>
              <w:rPr>
                <w:noProof/>
                <w:sz w:val="22"/>
              </w:rPr>
            </w:pPr>
          </w:p>
        </w:tc>
        <w:tc>
          <w:tcPr>
            <w:tcW w:w="1200" w:type="dxa"/>
            <w:vAlign w:val="center"/>
          </w:tcPr>
          <w:p>
            <w:pPr>
              <w:jc w:val="center"/>
              <w:rPr>
                <w:noProof/>
                <w:color w:val="0000FF"/>
                <w:sz w:val="22"/>
              </w:rPr>
            </w:pPr>
            <w:r>
              <w:rPr>
                <w:noProof/>
                <w:sz w:val="22"/>
              </w:rPr>
              <w:t>ΔΠ</w:t>
            </w:r>
          </w:p>
        </w:tc>
        <w:tc>
          <w:tcPr>
            <w:tcW w:w="960" w:type="dxa"/>
            <w:vAlign w:val="center"/>
          </w:tcPr>
          <w:p>
            <w:pPr>
              <w:jc w:val="center"/>
              <w:rPr>
                <w:noProof/>
                <w:sz w:val="22"/>
              </w:rPr>
            </w:pPr>
            <w:r>
              <w:rPr>
                <w:noProof/>
                <w:sz w:val="22"/>
              </w:rPr>
              <w:t>ΟΧΙ</w:t>
            </w:r>
          </w:p>
        </w:tc>
        <w:tc>
          <w:tcPr>
            <w:tcW w:w="956" w:type="dxa"/>
            <w:vAlign w:val="center"/>
          </w:tcPr>
          <w:p>
            <w:pPr>
              <w:jc w:val="center"/>
              <w:rPr>
                <w:noProof/>
                <w:sz w:val="22"/>
              </w:rPr>
            </w:pPr>
            <w:r>
              <w:rPr>
                <w:noProof/>
                <w:sz w:val="22"/>
              </w:rPr>
              <w:t>ΟΧΙ</w:t>
            </w:r>
          </w:p>
        </w:tc>
        <w:tc>
          <w:tcPr>
            <w:tcW w:w="956" w:type="dxa"/>
            <w:vAlign w:val="center"/>
          </w:tcPr>
          <w:p>
            <w:pPr>
              <w:jc w:val="center"/>
              <w:rPr>
                <w:noProof/>
                <w:sz w:val="22"/>
              </w:rPr>
            </w:pPr>
            <w:r>
              <w:rPr>
                <w:noProof/>
                <w:sz w:val="22"/>
              </w:rPr>
              <w:t>ΟΧΙ</w:t>
            </w:r>
          </w:p>
        </w:tc>
        <w:tc>
          <w:tcPr>
            <w:tcW w:w="1448" w:type="dxa"/>
            <w:vAlign w:val="center"/>
          </w:tcPr>
          <w:p>
            <w:pPr>
              <w:jc w:val="center"/>
              <w:rPr>
                <w:noProof/>
                <w:sz w:val="22"/>
              </w:rPr>
            </w:pPr>
            <w:r>
              <w:rPr>
                <w:noProof/>
                <w:sz w:val="22"/>
              </w:rPr>
              <w:t>ΟΧΙ</w:t>
            </w:r>
          </w:p>
        </w:tc>
      </w:tr>
    </w:tbl>
    <w:p>
      <w:pPr>
        <w:tabs>
          <w:tab w:val="num" w:pos="1134"/>
        </w:tabs>
        <w:ind w:left="1134" w:hanging="283"/>
        <w:rPr>
          <w:rFonts w:eastAsia="Times New Roman"/>
          <w:noProof/>
        </w:rPr>
      </w:pPr>
      <w:r>
        <w:rPr>
          <w:noProof/>
        </w:rPr>
        <w:t xml:space="preserve">Νέες γραμμές του προϋπολογισμού, των οποίων έχει ζητηθεί η δημιουργία </w:t>
      </w:r>
    </w:p>
    <w:p>
      <w:pPr>
        <w:ind w:left="850"/>
        <w:rPr>
          <w:i/>
          <w:noProof/>
          <w:sz w:val="20"/>
        </w:rPr>
      </w:pPr>
      <w:r>
        <w:rPr>
          <w:i/>
          <w:noProof/>
          <w:u w:val="single"/>
        </w:rPr>
        <w:t>Κατά σειρά</w:t>
      </w:r>
      <w:r>
        <w:rPr>
          <w:i/>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Τομέας του πολυετούς δημοσιονομικού πλαισίου</w:t>
            </w:r>
          </w:p>
        </w:tc>
        <w:tc>
          <w:tcPr>
            <w:tcW w:w="3960" w:type="dxa"/>
            <w:vAlign w:val="center"/>
          </w:tcPr>
          <w:p>
            <w:pPr>
              <w:spacing w:before="60" w:after="60"/>
              <w:jc w:val="center"/>
              <w:rPr>
                <w:noProof/>
                <w:sz w:val="22"/>
              </w:rPr>
            </w:pPr>
            <w:r>
              <w:rPr>
                <w:noProof/>
                <w:sz w:val="20"/>
              </w:rPr>
              <w:t>Γραμμή του προϋπολογισμού</w:t>
            </w:r>
          </w:p>
        </w:tc>
        <w:tc>
          <w:tcPr>
            <w:tcW w:w="1080" w:type="dxa"/>
            <w:vAlign w:val="center"/>
          </w:tcPr>
          <w:p>
            <w:pPr>
              <w:spacing w:before="60" w:after="60"/>
              <w:jc w:val="center"/>
              <w:rPr>
                <w:noProof/>
                <w:sz w:val="22"/>
              </w:rPr>
            </w:pPr>
            <w:r>
              <w:rPr>
                <w:noProof/>
                <w:sz w:val="18"/>
              </w:rPr>
              <w:t>Είδος της</w:t>
            </w:r>
            <w:r>
              <w:rPr>
                <w:noProof/>
              </w:rPr>
              <w:t xml:space="preserve"> </w:t>
            </w:r>
            <w:r>
              <w:rPr>
                <w:noProof/>
              </w:rPr>
              <w:br/>
            </w:r>
            <w:r>
              <w:rPr>
                <w:noProof/>
                <w:sz w:val="18"/>
              </w:rPr>
              <w:t>δαπάνης</w:t>
            </w:r>
          </w:p>
        </w:tc>
        <w:tc>
          <w:tcPr>
            <w:tcW w:w="4440" w:type="dxa"/>
            <w:gridSpan w:val="4"/>
            <w:vAlign w:val="center"/>
          </w:tcPr>
          <w:p>
            <w:pPr>
              <w:spacing w:before="60" w:after="60"/>
              <w:jc w:val="center"/>
              <w:rPr>
                <w:noProof/>
                <w:sz w:val="22"/>
              </w:rPr>
            </w:pPr>
            <w:r>
              <w:rPr>
                <w:noProof/>
                <w:sz w:val="20"/>
              </w:rPr>
              <w:t xml:space="preserve">Συμμετοχή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Αριθμός </w:t>
            </w:r>
            <w:r>
              <w:rPr>
                <w:noProof/>
              </w:rPr>
              <w:t xml:space="preserve"> </w:t>
            </w:r>
            <w:r>
              <w:rPr>
                <w:noProof/>
              </w:rPr>
              <w:br/>
            </w:r>
            <w:r>
              <w:rPr>
                <w:noProof/>
                <w:color w:val="0000FF"/>
                <w:sz w:val="22"/>
              </w:rPr>
              <w:t>[…]</w:t>
            </w:r>
            <w:r>
              <w:rPr>
                <w:noProof/>
                <w:sz w:val="20"/>
              </w:rPr>
              <w:t>[Τομέας………………………………………]</w:t>
            </w:r>
          </w:p>
        </w:tc>
        <w:tc>
          <w:tcPr>
            <w:tcW w:w="1080" w:type="dxa"/>
            <w:vAlign w:val="center"/>
          </w:tcPr>
          <w:p>
            <w:pPr>
              <w:jc w:val="center"/>
              <w:rPr>
                <w:noProof/>
                <w:sz w:val="22"/>
              </w:rPr>
            </w:pPr>
            <w:r>
              <w:rPr>
                <w:noProof/>
                <w:sz w:val="18"/>
              </w:rPr>
              <w:t>ΔΠ/ΜΔΠ</w:t>
            </w:r>
          </w:p>
        </w:tc>
        <w:tc>
          <w:tcPr>
            <w:tcW w:w="956" w:type="dxa"/>
            <w:vAlign w:val="center"/>
          </w:tcPr>
          <w:p>
            <w:pPr>
              <w:jc w:val="center"/>
              <w:rPr>
                <w:noProof/>
                <w:sz w:val="18"/>
              </w:rPr>
            </w:pPr>
            <w:r>
              <w:rPr>
                <w:noProof/>
                <w:sz w:val="18"/>
              </w:rPr>
              <w:t>χωρών ΕΖΕΣ</w:t>
            </w:r>
          </w:p>
        </w:tc>
        <w:tc>
          <w:tcPr>
            <w:tcW w:w="1080" w:type="dxa"/>
            <w:vAlign w:val="center"/>
          </w:tcPr>
          <w:p>
            <w:pPr>
              <w:jc w:val="center"/>
              <w:rPr>
                <w:noProof/>
                <w:sz w:val="18"/>
              </w:rPr>
            </w:pPr>
            <w:r>
              <w:rPr>
                <w:noProof/>
                <w:sz w:val="18"/>
              </w:rPr>
              <w:t>υποψηφίων για ένταξη χωρών</w:t>
            </w: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color w:val="0000FF"/>
                <w:sz w:val="22"/>
              </w:rPr>
              <w:t>[…]</w:t>
            </w: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ΝΑΙ/ΟΧΙ</w:t>
            </w:r>
          </w:p>
        </w:tc>
        <w:tc>
          <w:tcPr>
            <w:tcW w:w="1080" w:type="dxa"/>
            <w:vAlign w:val="center"/>
          </w:tcPr>
          <w:p>
            <w:pPr>
              <w:jc w:val="center"/>
              <w:rPr>
                <w:noProof/>
                <w:color w:val="0000FF"/>
                <w:sz w:val="18"/>
              </w:rPr>
            </w:pPr>
            <w:r>
              <w:rPr>
                <w:noProof/>
                <w:sz w:val="22"/>
              </w:rPr>
              <w:t>ΝΑΙ/ΟΧΙ</w:t>
            </w:r>
          </w:p>
        </w:tc>
        <w:tc>
          <w:tcPr>
            <w:tcW w:w="956" w:type="dxa"/>
            <w:vAlign w:val="center"/>
          </w:tcPr>
          <w:p>
            <w:pPr>
              <w:jc w:val="center"/>
              <w:rPr>
                <w:noProof/>
                <w:color w:val="0000FF"/>
                <w:sz w:val="18"/>
              </w:rPr>
            </w:pPr>
            <w:r>
              <w:rPr>
                <w:noProof/>
                <w:sz w:val="22"/>
              </w:rPr>
              <w:t>ΝΑΙ/ΟΧΙ</w:t>
            </w:r>
          </w:p>
        </w:tc>
        <w:tc>
          <w:tcPr>
            <w:tcW w:w="1448" w:type="dxa"/>
            <w:vAlign w:val="center"/>
          </w:tcPr>
          <w:p>
            <w:pPr>
              <w:jc w:val="center"/>
              <w:rPr>
                <w:noProof/>
                <w:sz w:val="22"/>
              </w:rPr>
            </w:pPr>
            <w:r>
              <w:rPr>
                <w:noProof/>
                <w:sz w:val="22"/>
              </w:rPr>
              <w:t>ΝΑΙ/ΟΧΙ</w:t>
            </w:r>
          </w:p>
        </w:tc>
      </w:tr>
    </w:tbl>
    <w:p>
      <w:pPr>
        <w:rPr>
          <w:noProof/>
        </w:rPr>
        <w:sectPr>
          <w:footnotePr>
            <w:numRestart w:val="eachSect"/>
          </w:footnotePr>
          <w:pgSz w:w="11907" w:h="16840" w:code="1"/>
          <w:pgMar w:top="1134" w:right="1418" w:bottom="1134" w:left="1418" w:header="709" w:footer="709" w:gutter="0"/>
          <w:cols w:space="708"/>
          <w:docGrid w:linePitch="360"/>
        </w:sectPr>
      </w:pPr>
    </w:p>
    <w:p>
      <w:pPr>
        <w:pStyle w:val="ManualHeading2"/>
        <w:rPr>
          <w:noProof/>
          <w:szCs w:val="24"/>
        </w:rPr>
      </w:pPr>
      <w:r>
        <w:rPr>
          <w:noProof/>
        </w:rPr>
        <w:t>3,2.</w:t>
      </w:r>
      <w:r>
        <w:rPr>
          <w:noProof/>
        </w:rPr>
        <w:tab/>
        <w:t xml:space="preserve">Εκτιμώμενες επιπτώσεις στις δαπάνες </w:t>
      </w:r>
    </w:p>
    <w:p>
      <w:pPr>
        <w:pStyle w:val="ManualHeading3"/>
        <w:rPr>
          <w:noProof/>
          <w:u w:val="single"/>
        </w:rPr>
      </w:pPr>
      <w:r>
        <w:rPr>
          <w:noProof/>
        </w:rPr>
        <w:t>3.2.1.</w:t>
      </w:r>
      <w:r>
        <w:rPr>
          <w:noProof/>
        </w:rPr>
        <w:tab/>
        <w:t xml:space="preserve">Συνοπτική παρουσίαση των εκτιμώμενων επιπτώσεων στις δαπάνες </w:t>
      </w:r>
    </w:p>
    <w:p>
      <w:pPr>
        <w:jc w:val="right"/>
        <w:rPr>
          <w:noProof/>
          <w:sz w:val="20"/>
        </w:rPr>
      </w:pPr>
      <w:r>
        <w:rPr>
          <w:noProof/>
          <w:sz w:val="20"/>
        </w:rPr>
        <w:t>σε εκατ. EUR (με τρία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Τομέας του πολυετούς δημοσιονομικού </w:t>
            </w:r>
            <w:r>
              <w:rPr>
                <w:noProof/>
              </w:rPr>
              <w:t xml:space="preserve"> </w:t>
            </w:r>
            <w:r>
              <w:rPr>
                <w:noProof/>
              </w:rPr>
              <w:br/>
            </w:r>
            <w:r>
              <w:rPr>
                <w:b/>
                <w:noProof/>
                <w:sz w:val="22"/>
              </w:rPr>
              <w:t xml:space="preserve">πλαισίου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Ανταγωνιστικότητα για την ανάπτυξη και την απασχόληση</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ΓΔ: TAXUD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w:t>
            </w:r>
            <w:r>
              <w:rPr>
                <w:rStyle w:val="FootnoteReference"/>
                <w:noProof/>
              </w:rPr>
              <w:footnoteReference w:id="36"/>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N+3</w:t>
            </w:r>
          </w:p>
        </w:tc>
        <w:tc>
          <w:tcPr>
            <w:tcW w:w="868" w:type="dxa"/>
            <w:vAlign w:val="center"/>
          </w:tcPr>
          <w:p>
            <w:pPr>
              <w:jc w:val="center"/>
              <w:rPr>
                <w:b/>
                <w:noProof/>
                <w:sz w:val="18"/>
              </w:rPr>
            </w:pPr>
            <w:r>
              <w:rPr>
                <w:noProof/>
                <w:sz w:val="20"/>
              </w:rPr>
              <w:t>Έτος</w:t>
            </w:r>
            <w:r>
              <w:rPr>
                <w:noProof/>
              </w:rPr>
              <w:t xml:space="preserve"> </w:t>
            </w:r>
            <w:r>
              <w:rPr>
                <w:noProof/>
              </w:rPr>
              <w:br/>
            </w:r>
            <w:r>
              <w:rPr>
                <w:b/>
                <w:noProof/>
                <w:sz w:val="20"/>
              </w:rPr>
              <w:t>N+4</w:t>
            </w:r>
          </w:p>
        </w:tc>
        <w:tc>
          <w:tcPr>
            <w:tcW w:w="868" w:type="dxa"/>
            <w:vAlign w:val="center"/>
          </w:tcPr>
          <w:p>
            <w:pPr>
              <w:jc w:val="center"/>
              <w:rPr>
                <w:b/>
                <w:noProof/>
                <w:sz w:val="18"/>
              </w:rPr>
            </w:pPr>
            <w:r>
              <w:rPr>
                <w:noProof/>
                <w:sz w:val="20"/>
              </w:rPr>
              <w:t>Έτος</w:t>
            </w:r>
            <w:r>
              <w:rPr>
                <w:noProof/>
              </w:rPr>
              <w:t xml:space="preserve"> </w:t>
            </w:r>
            <w:r>
              <w:rPr>
                <w:noProof/>
              </w:rPr>
              <w:br/>
            </w:r>
            <w:r>
              <w:rPr>
                <w:b/>
                <w:noProof/>
                <w:sz w:val="20"/>
              </w:rPr>
              <w:t>N+5</w:t>
            </w: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ΣΥΝΟΛΟ</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Αριθμός γραμμής του προϋπολογισμού 14.03.01</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val="restart"/>
            <w:vAlign w:val="center"/>
          </w:tcPr>
          <w:p>
            <w:pPr>
              <w:rPr>
                <w:noProof/>
                <w:sz w:val="22"/>
              </w:rPr>
            </w:pPr>
            <w:r>
              <w:rPr>
                <w:noProof/>
                <w:sz w:val="20"/>
              </w:rPr>
              <w:t>Αριθμός γραμμής του προϋπολογισμού</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(1α)</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(2α)</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Πιστώσεις διοικητικού χαρακτήρα χρηματοδοτούμενες από το κονδύλιο ειδικών προγραμμάτων</w:t>
            </w:r>
            <w:r>
              <w:rPr>
                <w:rStyle w:val="FootnoteReference"/>
                <w:noProof/>
              </w:rPr>
              <w:footnoteReference w:id="37"/>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Αριθμός γραμμής του προϋπολογισμού</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ΣΥΝΟΛΟ πιστώσεων</w:t>
            </w:r>
            <w:r>
              <w:rPr>
                <w:noProof/>
              </w:rPr>
              <w:t xml:space="preserve"> </w:t>
            </w:r>
            <w:r>
              <w:rPr>
                <w:noProof/>
              </w:rPr>
              <w:br/>
            </w:r>
            <w:r>
              <w:rPr>
                <w:b/>
                <w:noProof/>
                <w:sz w:val="22"/>
              </w:rPr>
              <w:t>για τη ΓΔ TAXUD</w:t>
            </w:r>
          </w:p>
        </w:tc>
        <w:tc>
          <w:tcPr>
            <w:tcW w:w="1440" w:type="dxa"/>
            <w:vAlign w:val="center"/>
          </w:tcPr>
          <w:p>
            <w:pPr>
              <w:rPr>
                <w:noProof/>
                <w:sz w:val="18"/>
              </w:rPr>
            </w:pPr>
            <w:r>
              <w:rPr>
                <w:noProof/>
                <w:sz w:val="18"/>
              </w:rPr>
              <w:t>Αναλήψεις υποχρεώσεων</w:t>
            </w:r>
          </w:p>
        </w:tc>
        <w:tc>
          <w:tcPr>
            <w:tcW w:w="654" w:type="dxa"/>
            <w:gridSpan w:val="2"/>
            <w:vAlign w:val="center"/>
          </w:tcPr>
          <w:p>
            <w:pPr>
              <w:jc w:val="center"/>
              <w:rPr>
                <w:noProof/>
                <w:sz w:val="14"/>
              </w:rPr>
            </w:pPr>
            <w:r>
              <w:rPr>
                <w:noProof/>
                <w:sz w:val="14"/>
              </w:rPr>
              <w:t>=1+1α +3</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rPr>
                <w:noProof/>
                <w:sz w:val="20"/>
              </w:rPr>
            </w:pPr>
          </w:p>
        </w:tc>
        <w:tc>
          <w:tcPr>
            <w:tcW w:w="1440" w:type="dxa"/>
            <w:vAlign w:val="center"/>
          </w:tcPr>
          <w:p>
            <w:pPr>
              <w:rPr>
                <w:noProof/>
                <w:sz w:val="18"/>
              </w:rPr>
            </w:pPr>
            <w:r>
              <w:rPr>
                <w:noProof/>
                <w:sz w:val="18"/>
              </w:rPr>
              <w:t>Πληρωμές</w:t>
            </w:r>
          </w:p>
        </w:tc>
        <w:tc>
          <w:tcPr>
            <w:tcW w:w="654" w:type="dxa"/>
            <w:gridSpan w:val="2"/>
            <w:vAlign w:val="center"/>
          </w:tcPr>
          <w:p>
            <w:pPr>
              <w:jc w:val="center"/>
              <w:rPr>
                <w:noProof/>
                <w:sz w:val="14"/>
              </w:rPr>
            </w:pPr>
            <w:r>
              <w:rPr>
                <w:noProof/>
                <w:sz w:val="14"/>
              </w:rPr>
              <w:t>=2+2α</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bl>
    <w:p>
      <w:pPr>
        <w:rPr>
          <w:noProof/>
        </w:rPr>
      </w:pPr>
      <w:r>
        <w:rPr>
          <w:noProof/>
        </w:rPr>
        <w:t xml:space="preserve"> </w:t>
      </w:r>
      <w:r>
        <w:rPr>
          <w:noProof/>
        </w:rPr>
        <w:br/>
        <w:t xml:space="preserve"> </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ΣΥΝΟΛΟ επιχειρησιακών πιστώσεων  </w:t>
            </w:r>
          </w:p>
        </w:tc>
        <w:tc>
          <w:tcPr>
            <w:tcW w:w="1440" w:type="dxa"/>
            <w:vAlign w:val="center"/>
          </w:tcPr>
          <w:p>
            <w:pPr>
              <w:spacing w:beforeLines="20" w:before="48" w:afterLines="20" w:after="48"/>
              <w:rPr>
                <w:noProof/>
                <w:sz w:val="18"/>
              </w:rPr>
            </w:pPr>
            <w:r>
              <w:rPr>
                <w:noProof/>
                <w:sz w:val="18"/>
              </w:rPr>
              <w:t>Αναλήψεις υποχρεώσεων</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 xml:space="preserve">ΣΥΝΟΛΟ πιστώσεων </w:t>
            </w:r>
            <w:r>
              <w:rPr>
                <w:noProof/>
              </w:rPr>
              <w:t xml:space="preserve"> </w:t>
            </w:r>
            <w:r>
              <w:rPr>
                <w:noProof/>
              </w:rPr>
              <w:br/>
            </w:r>
            <w:r>
              <w:rPr>
                <w:b/>
                <w:noProof/>
                <w:sz w:val="22"/>
              </w:rPr>
              <w:t xml:space="preserve"> του ΤΟΜΕΑ 1A</w:t>
            </w:r>
            <w:r>
              <w:rPr>
                <w:noProof/>
              </w:rPr>
              <w:t xml:space="preserve"> </w:t>
            </w:r>
            <w:r>
              <w:rPr>
                <w:noProof/>
              </w:rPr>
              <w:br/>
            </w:r>
            <w:r>
              <w:rPr>
                <w:noProof/>
                <w:sz w:val="22"/>
              </w:rPr>
              <w:t>του πολυετούς δημοσιονομικού πλαισίου</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Πληρωμές</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bl>
    <w:p>
      <w:pPr>
        <w:rPr>
          <w:b/>
          <w:noProof/>
          <w:sz w:val="22"/>
          <w:u w:val="single"/>
        </w:rPr>
      </w:pPr>
      <w:r>
        <w:rPr>
          <w:b/>
          <w:noProof/>
          <w:sz w:val="22"/>
          <w:u w:val="single"/>
        </w:rPr>
        <w:t>Αν η πρόταση/πρωτοβουλία επηρεάζει περισσότερους από έναν τομείς:</w:t>
      </w:r>
    </w:p>
    <w:tbl>
      <w:tblPr>
        <w:tblW w:w="0" w:type="auto"/>
        <w:tblInd w:w="-252" w:type="dxa"/>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sz w:val="21"/>
              </w:rPr>
              <w:sym w:font="Wingdings" w:char="F09F"/>
            </w:r>
            <w:r>
              <w:rPr>
                <w:noProof/>
                <w:sz w:val="21"/>
              </w:rPr>
              <w:t xml:space="preserve"> ΣΥΝΟΛΟ επιχειρησιακών πιστώσεων  </w:t>
            </w:r>
          </w:p>
        </w:tc>
        <w:tc>
          <w:tcPr>
            <w:tcW w:w="1440" w:type="dxa"/>
            <w:vAlign w:val="center"/>
          </w:tcPr>
          <w:p>
            <w:pPr>
              <w:spacing w:beforeLines="20" w:before="48" w:afterLines="20" w:after="48"/>
              <w:rPr>
                <w:noProof/>
                <w:sz w:val="18"/>
              </w:rPr>
            </w:pPr>
            <w:r>
              <w:rPr>
                <w:noProof/>
                <w:sz w:val="18"/>
              </w:rPr>
              <w:t>Αναλήψεις υποχρεώσεων</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 xml:space="preserve">ΣΥΝΟΛΟ πιστώσεων </w:t>
            </w:r>
            <w:r>
              <w:rPr>
                <w:noProof/>
              </w:rPr>
              <w:t xml:space="preserve"> </w:t>
            </w:r>
            <w:r>
              <w:rPr>
                <w:noProof/>
              </w:rPr>
              <w:br/>
            </w:r>
            <w:r>
              <w:rPr>
                <w:b/>
                <w:noProof/>
                <w:sz w:val="22"/>
              </w:rPr>
              <w:t>των ΤΟΜΕΩΝ 1 έως 4</w:t>
            </w:r>
            <w:r>
              <w:rPr>
                <w:noProof/>
              </w:rPr>
              <w:t xml:space="preserve"> </w:t>
            </w:r>
            <w:r>
              <w:rPr>
                <w:noProof/>
              </w:rPr>
              <w:br/>
            </w:r>
            <w:r>
              <w:rPr>
                <w:noProof/>
                <w:sz w:val="22"/>
              </w:rPr>
              <w:t>του πολυετούς δημοσιονομικού πλαισίου</w:t>
            </w:r>
            <w:r>
              <w:rPr>
                <w:noProof/>
              </w:rPr>
              <w:t xml:space="preserve"> </w:t>
            </w:r>
            <w:r>
              <w:rPr>
                <w:noProof/>
              </w:rPr>
              <w:br/>
            </w:r>
            <w:r>
              <w:rPr>
                <w:noProof/>
                <w:sz w:val="20"/>
              </w:rPr>
              <w:t>(Ποσό αναφοράς)</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Πληρωμές</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bl>
    <w:p>
      <w:pPr>
        <w:rPr>
          <w:noProof/>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Τομέας του πολυετούς δημοσιονομικού </w:t>
            </w:r>
            <w:r>
              <w:rPr>
                <w:noProof/>
              </w:rPr>
              <w:t xml:space="preserve"> </w:t>
            </w:r>
            <w:r>
              <w:rPr>
                <w:noProof/>
              </w:rPr>
              <w:br/>
            </w:r>
            <w:r>
              <w:rPr>
                <w:b/>
                <w:noProof/>
                <w:sz w:val="22"/>
              </w:rPr>
              <w:t xml:space="preserve">πλαισίου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«Σύνολο διοικητικών δαπανών»</w:t>
            </w:r>
          </w:p>
        </w:tc>
      </w:tr>
    </w:tbl>
    <w:p>
      <w:pPr>
        <w:jc w:val="right"/>
        <w:rPr>
          <w:noProof/>
          <w:sz w:val="20"/>
        </w:rPr>
      </w:pPr>
      <w:r>
        <w:rPr>
          <w:noProof/>
          <w:sz w:val="20"/>
        </w:rPr>
        <w:t>σε εκατ. EUR (με τρία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N+3</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N+4</w:t>
            </w:r>
          </w:p>
        </w:tc>
        <w:tc>
          <w:tcPr>
            <w:tcW w:w="3513" w:type="dxa"/>
            <w:vAlign w:val="center"/>
          </w:tcPr>
          <w:p>
            <w:pPr>
              <w:jc w:val="center"/>
              <w:rPr>
                <w:b/>
                <w:noProof/>
                <w:sz w:val="20"/>
              </w:rPr>
            </w:pPr>
            <w:r>
              <w:rPr>
                <w:b/>
                <w:noProof/>
                <w:sz w:val="20"/>
              </w:rPr>
              <w:t>ΣΥΝΟΛΟ</w:t>
            </w:r>
          </w:p>
        </w:tc>
      </w:tr>
      <w:tr>
        <w:trPr>
          <w:gridAfter w:val="8"/>
          <w:wAfter w:w="9947" w:type="dxa"/>
        </w:trPr>
        <w:tc>
          <w:tcPr>
            <w:tcW w:w="3960" w:type="dxa"/>
            <w:vAlign w:val="center"/>
          </w:tcPr>
          <w:p>
            <w:pPr>
              <w:spacing w:before="60" w:after="60"/>
              <w:jc w:val="center"/>
              <w:rPr>
                <w:noProof/>
                <w:sz w:val="22"/>
              </w:rPr>
            </w:pPr>
            <w:r>
              <w:rPr>
                <w:noProof/>
                <w:sz w:val="22"/>
              </w:rPr>
              <w:t>ΓΔ: TAXUD</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Ανθρώπινοι πόροι  </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0,028</w:t>
            </w:r>
          </w:p>
        </w:tc>
        <w:tc>
          <w:tcPr>
            <w:tcW w:w="868" w:type="dxa"/>
            <w:vAlign w:val="center"/>
          </w:tcPr>
          <w:p>
            <w:pPr>
              <w:spacing w:before="20" w:after="20"/>
              <w:jc w:val="right"/>
              <w:rPr>
                <w:noProof/>
                <w:sz w:val="20"/>
              </w:rPr>
            </w:pPr>
            <w:r>
              <w:rPr>
                <w:noProof/>
                <w:sz w:val="20"/>
              </w:rPr>
              <w:t>0,014</w:t>
            </w:r>
          </w:p>
        </w:tc>
        <w:tc>
          <w:tcPr>
            <w:tcW w:w="868" w:type="dxa"/>
            <w:vAlign w:val="center"/>
          </w:tcPr>
          <w:p>
            <w:pPr>
              <w:spacing w:before="20" w:after="20"/>
              <w:jc w:val="right"/>
              <w:rPr>
                <w:b/>
                <w:noProof/>
                <w:sz w:val="20"/>
              </w:rPr>
            </w:pPr>
            <w:r>
              <w:rPr>
                <w:noProof/>
                <w:sz w:val="20"/>
              </w:rPr>
              <w:t>0,014</w:t>
            </w:r>
          </w:p>
        </w:tc>
        <w:tc>
          <w:tcPr>
            <w:tcW w:w="3513" w:type="dxa"/>
            <w:vAlign w:val="center"/>
          </w:tcPr>
          <w:p>
            <w:pPr>
              <w:spacing w:before="20" w:after="20"/>
              <w:jc w:val="right"/>
              <w:rPr>
                <w:b/>
                <w:noProof/>
                <w:sz w:val="20"/>
              </w:rPr>
            </w:pPr>
            <w:r>
              <w:rPr>
                <w:b/>
                <w:noProof/>
                <w:sz w:val="20"/>
              </w:rPr>
              <w:t>0,194</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Άλλες διοικητικές δαπάνες </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0,002</w:t>
            </w:r>
          </w:p>
        </w:tc>
        <w:tc>
          <w:tcPr>
            <w:tcW w:w="868" w:type="dxa"/>
            <w:vAlign w:val="center"/>
          </w:tcPr>
          <w:p>
            <w:pPr>
              <w:spacing w:before="20" w:after="20"/>
              <w:jc w:val="right"/>
              <w:rPr>
                <w:noProof/>
                <w:sz w:val="20"/>
              </w:rPr>
            </w:pPr>
            <w:r>
              <w:rPr>
                <w:noProof/>
                <w:sz w:val="20"/>
              </w:rPr>
              <w:t>0,001</w:t>
            </w:r>
          </w:p>
        </w:tc>
        <w:tc>
          <w:tcPr>
            <w:tcW w:w="868" w:type="dxa"/>
            <w:vAlign w:val="center"/>
          </w:tcPr>
          <w:p>
            <w:pPr>
              <w:spacing w:before="20" w:after="20"/>
              <w:jc w:val="right"/>
              <w:rPr>
                <w:noProof/>
                <w:sz w:val="20"/>
              </w:rPr>
            </w:pPr>
            <w:r>
              <w:rPr>
                <w:noProof/>
                <w:sz w:val="20"/>
              </w:rPr>
              <w:t>0,001</w:t>
            </w:r>
          </w:p>
        </w:tc>
        <w:tc>
          <w:tcPr>
            <w:tcW w:w="3513" w:type="dxa"/>
            <w:vAlign w:val="center"/>
          </w:tcPr>
          <w:p>
            <w:pPr>
              <w:spacing w:before="20" w:after="20"/>
              <w:jc w:val="right"/>
              <w:rPr>
                <w:b/>
                <w:noProof/>
                <w:sz w:val="20"/>
              </w:rPr>
            </w:pPr>
            <w:r>
              <w:rPr>
                <w:b/>
                <w:noProof/>
                <w:sz w:val="20"/>
              </w:rPr>
              <w:t>0,012</w:t>
            </w:r>
          </w:p>
        </w:tc>
      </w:tr>
      <w:tr>
        <w:tc>
          <w:tcPr>
            <w:tcW w:w="3960" w:type="dxa"/>
            <w:vAlign w:val="center"/>
          </w:tcPr>
          <w:p>
            <w:pPr>
              <w:jc w:val="center"/>
              <w:rPr>
                <w:b/>
                <w:noProof/>
                <w:sz w:val="22"/>
              </w:rPr>
            </w:pPr>
            <w:r>
              <w:rPr>
                <w:b/>
                <w:noProof/>
                <w:sz w:val="22"/>
              </w:rPr>
              <w:t>ΣΥΝΟΛΟ ΓΔ TAXUD</w:t>
            </w:r>
          </w:p>
        </w:tc>
        <w:tc>
          <w:tcPr>
            <w:tcW w:w="2094" w:type="dxa"/>
            <w:gridSpan w:val="2"/>
            <w:vAlign w:val="center"/>
          </w:tcPr>
          <w:p>
            <w:pPr>
              <w:rPr>
                <w:noProof/>
                <w:sz w:val="14"/>
              </w:rPr>
            </w:pPr>
            <w:r>
              <w:rPr>
                <w:noProof/>
                <w:sz w:val="18"/>
              </w:rPr>
              <w:t xml:space="preserve">Πιστώσεις </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rPr>
          <w:noProof/>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tc>
          <w:tcPr>
            <w:tcW w:w="3960" w:type="dxa"/>
            <w:shd w:val="thinDiagStripe" w:color="C0C0C0" w:fill="auto"/>
            <w:vAlign w:val="center"/>
          </w:tcPr>
          <w:p>
            <w:pPr>
              <w:jc w:val="center"/>
              <w:rPr>
                <w:b/>
                <w:noProof/>
                <w:sz w:val="22"/>
              </w:rPr>
            </w:pPr>
            <w:r>
              <w:rPr>
                <w:b/>
                <w:noProof/>
                <w:sz w:val="22"/>
              </w:rPr>
              <w:t>ΣΥΝΟΛΟ πιστώσεων</w:t>
            </w:r>
            <w:r>
              <w:rPr>
                <w:noProof/>
              </w:rPr>
              <w:t xml:space="preserve"> </w:t>
            </w:r>
            <w:r>
              <w:rPr>
                <w:noProof/>
              </w:rPr>
              <w:br/>
            </w:r>
            <w:r>
              <w:rPr>
                <w:b/>
                <w:noProof/>
                <w:sz w:val="22"/>
              </w:rPr>
              <w:t>του ΤΟΜΕΑ 5</w:t>
            </w:r>
            <w:r>
              <w:rPr>
                <w:noProof/>
              </w:rPr>
              <w:t xml:space="preserve"> </w:t>
            </w:r>
            <w:r>
              <w:rPr>
                <w:noProof/>
              </w:rPr>
              <w:br/>
            </w:r>
            <w:r>
              <w:rPr>
                <w:noProof/>
                <w:sz w:val="22"/>
              </w:rPr>
              <w:t>του πολυετούς δημοσιονομικού πλαισίου</w:t>
            </w:r>
            <w:r>
              <w:rPr>
                <w:b/>
                <w:noProof/>
                <w:sz w:val="22"/>
              </w:rPr>
              <w:t xml:space="preserve"> </w:t>
            </w:r>
          </w:p>
        </w:tc>
        <w:tc>
          <w:tcPr>
            <w:tcW w:w="2094" w:type="dxa"/>
            <w:vAlign w:val="center"/>
          </w:tcPr>
          <w:p>
            <w:pPr>
              <w:spacing w:before="40" w:after="40"/>
              <w:rPr>
                <w:noProof/>
                <w:sz w:val="22"/>
              </w:rPr>
            </w:pPr>
            <w:r>
              <w:rPr>
                <w:noProof/>
                <w:sz w:val="18"/>
              </w:rPr>
              <w:t>(Σύνολο αναλήψεων υποχρεώσεων = Σύνολο πληρωμών)</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jc w:val="right"/>
        <w:rPr>
          <w:noProof/>
          <w:sz w:val="20"/>
        </w:rPr>
      </w:pPr>
      <w:r>
        <w:rPr>
          <w:noProof/>
          <w:sz w:val="20"/>
        </w:rPr>
        <w:t>σε εκατ. EUR (με τρία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w:t>
            </w:r>
            <w:r>
              <w:rPr>
                <w:rStyle w:val="FootnoteReference"/>
                <w:noProof/>
              </w:rPr>
              <w:footnoteReference w:id="38"/>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N+3</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N+4</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N+5</w:t>
            </w:r>
          </w:p>
        </w:tc>
        <w:tc>
          <w:tcPr>
            <w:tcW w:w="2645" w:type="dxa"/>
            <w:vAlign w:val="center"/>
          </w:tcPr>
          <w:p>
            <w:pPr>
              <w:jc w:val="center"/>
              <w:rPr>
                <w:b/>
                <w:noProof/>
                <w:sz w:val="20"/>
              </w:rPr>
            </w:pPr>
            <w:r>
              <w:rPr>
                <w:b/>
                <w:noProof/>
                <w:sz w:val="20"/>
              </w:rPr>
              <w:t>ΣΥΝΟΛΟ</w:t>
            </w:r>
          </w:p>
        </w:tc>
      </w:tr>
      <w:tr>
        <w:tc>
          <w:tcPr>
            <w:tcW w:w="3960" w:type="dxa"/>
            <w:vMerge w:val="restart"/>
            <w:shd w:val="clear" w:color="auto" w:fill="C0C0C0"/>
            <w:vAlign w:val="center"/>
          </w:tcPr>
          <w:p>
            <w:pPr>
              <w:jc w:val="center"/>
              <w:rPr>
                <w:b/>
                <w:noProof/>
                <w:sz w:val="22"/>
              </w:rPr>
            </w:pPr>
            <w:r>
              <w:rPr>
                <w:b/>
                <w:noProof/>
                <w:sz w:val="22"/>
              </w:rPr>
              <w:t xml:space="preserve">ΣΥΝΟΛΟ πιστώσεων </w:t>
            </w:r>
            <w:r>
              <w:rPr>
                <w:noProof/>
              </w:rPr>
              <w:t xml:space="preserve"> </w:t>
            </w:r>
            <w:r>
              <w:rPr>
                <w:noProof/>
              </w:rPr>
              <w:br/>
            </w:r>
            <w:r>
              <w:rPr>
                <w:b/>
                <w:noProof/>
                <w:sz w:val="22"/>
              </w:rPr>
              <w:t>των ΤΟΜΕΩΝ 1 έως 5</w:t>
            </w:r>
            <w:r>
              <w:rPr>
                <w:noProof/>
              </w:rPr>
              <w:t xml:space="preserve"> </w:t>
            </w:r>
            <w:r>
              <w:rPr>
                <w:noProof/>
              </w:rPr>
              <w:br/>
            </w:r>
            <w:r>
              <w:rPr>
                <w:noProof/>
                <w:sz w:val="22"/>
              </w:rP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60" w:after="60"/>
              <w:jc w:val="right"/>
              <w:rPr>
                <w:noProof/>
                <w:sz w:val="20"/>
              </w:rPr>
            </w:pPr>
            <w:r>
              <w:rPr>
                <w:noProof/>
                <w:sz w:val="20"/>
              </w:rPr>
              <w:t>0,473</w:t>
            </w:r>
          </w:p>
        </w:tc>
        <w:tc>
          <w:tcPr>
            <w:tcW w:w="868" w:type="dxa"/>
            <w:vAlign w:val="center"/>
          </w:tcPr>
          <w:p>
            <w:pPr>
              <w:spacing w:before="60" w:after="60"/>
              <w:jc w:val="right"/>
              <w:rPr>
                <w:noProof/>
                <w:sz w:val="20"/>
              </w:rPr>
            </w:pPr>
            <w:r>
              <w:rPr>
                <w:noProof/>
                <w:sz w:val="20"/>
              </w:rPr>
              <w:t>0,473</w:t>
            </w:r>
          </w:p>
        </w:tc>
        <w:tc>
          <w:tcPr>
            <w:tcW w:w="868" w:type="dxa"/>
            <w:vAlign w:val="center"/>
          </w:tcPr>
          <w:p>
            <w:pPr>
              <w:spacing w:before="60" w:after="60"/>
              <w:jc w:val="right"/>
              <w:rPr>
                <w:noProof/>
                <w:sz w:val="20"/>
              </w:rPr>
            </w:pPr>
            <w:r>
              <w:rPr>
                <w:noProof/>
                <w:sz w:val="20"/>
              </w:rPr>
              <w:t>0,130</w:t>
            </w:r>
          </w:p>
        </w:tc>
        <w:tc>
          <w:tcPr>
            <w:tcW w:w="868" w:type="dxa"/>
            <w:vAlign w:val="center"/>
          </w:tcPr>
          <w:p>
            <w:pPr>
              <w:spacing w:before="60" w:after="60"/>
              <w:jc w:val="right"/>
              <w:rPr>
                <w:noProof/>
                <w:sz w:val="20"/>
              </w:rPr>
            </w:pPr>
            <w:r>
              <w:rPr>
                <w:noProof/>
                <w:sz w:val="20"/>
              </w:rPr>
              <w:t>0,115</w:t>
            </w:r>
          </w:p>
        </w:tc>
        <w:tc>
          <w:tcPr>
            <w:tcW w:w="868" w:type="dxa"/>
            <w:vAlign w:val="center"/>
          </w:tcPr>
          <w:p>
            <w:pPr>
              <w:spacing w:before="60" w:after="60"/>
              <w:jc w:val="right"/>
              <w:rPr>
                <w:b/>
                <w:noProof/>
                <w:sz w:val="20"/>
              </w:rPr>
            </w:pPr>
            <w:r>
              <w:rPr>
                <w:noProof/>
                <w:sz w:val="20"/>
              </w:rPr>
              <w:t>0,115</w:t>
            </w:r>
          </w:p>
        </w:tc>
        <w:tc>
          <w:tcPr>
            <w:tcW w:w="868" w:type="dxa"/>
            <w:vAlign w:val="center"/>
          </w:tcPr>
          <w:p>
            <w:pPr>
              <w:spacing w:before="60" w:after="60"/>
              <w:jc w:val="right"/>
              <w:rPr>
                <w:noProof/>
                <w:sz w:val="20"/>
              </w:rPr>
            </w:pPr>
          </w:p>
        </w:tc>
        <w:tc>
          <w:tcPr>
            <w:tcW w:w="2645" w:type="dxa"/>
            <w:vAlign w:val="center"/>
          </w:tcPr>
          <w:p>
            <w:pPr>
              <w:spacing w:before="60" w:after="60"/>
              <w:jc w:val="right"/>
              <w:rPr>
                <w:b/>
                <w:noProof/>
                <w:sz w:val="20"/>
              </w:rPr>
            </w:pPr>
            <w:r>
              <w:rPr>
                <w:b/>
                <w:noProof/>
                <w:sz w:val="20"/>
              </w:rPr>
              <w:t>1,306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60" w:after="60"/>
              <w:jc w:val="right"/>
              <w:rPr>
                <w:noProof/>
                <w:sz w:val="20"/>
              </w:rPr>
            </w:pPr>
            <w:r>
              <w:rPr>
                <w:noProof/>
                <w:sz w:val="20"/>
              </w:rPr>
              <w:t>0,473</w:t>
            </w:r>
          </w:p>
        </w:tc>
        <w:tc>
          <w:tcPr>
            <w:tcW w:w="868" w:type="dxa"/>
            <w:vAlign w:val="center"/>
          </w:tcPr>
          <w:p>
            <w:pPr>
              <w:spacing w:before="60" w:after="60"/>
              <w:jc w:val="right"/>
              <w:rPr>
                <w:noProof/>
                <w:sz w:val="20"/>
              </w:rPr>
            </w:pPr>
            <w:r>
              <w:rPr>
                <w:noProof/>
                <w:sz w:val="20"/>
              </w:rPr>
              <w:t>0,430</w:t>
            </w:r>
          </w:p>
        </w:tc>
        <w:tc>
          <w:tcPr>
            <w:tcW w:w="868" w:type="dxa"/>
            <w:vAlign w:val="center"/>
          </w:tcPr>
          <w:p>
            <w:pPr>
              <w:spacing w:before="60" w:after="60"/>
              <w:jc w:val="right"/>
              <w:rPr>
                <w:noProof/>
                <w:sz w:val="20"/>
              </w:rPr>
            </w:pPr>
            <w:r>
              <w:rPr>
                <w:noProof/>
                <w:sz w:val="20"/>
              </w:rPr>
              <w:t>0,115</w:t>
            </w:r>
          </w:p>
        </w:tc>
        <w:tc>
          <w:tcPr>
            <w:tcW w:w="868" w:type="dxa"/>
            <w:vAlign w:val="center"/>
          </w:tcPr>
          <w:p>
            <w:pPr>
              <w:spacing w:before="60" w:after="60"/>
              <w:jc w:val="right"/>
              <w:rPr>
                <w:noProof/>
                <w:sz w:val="20"/>
              </w:rPr>
            </w:pPr>
            <w:r>
              <w:rPr>
                <w:noProof/>
                <w:sz w:val="20"/>
              </w:rPr>
              <w:t>0,115</w:t>
            </w:r>
          </w:p>
        </w:tc>
        <w:tc>
          <w:tcPr>
            <w:tcW w:w="868" w:type="dxa"/>
            <w:vAlign w:val="center"/>
          </w:tcPr>
          <w:p>
            <w:pPr>
              <w:spacing w:before="60" w:after="60"/>
              <w:jc w:val="right"/>
              <w:rPr>
                <w:noProof/>
                <w:sz w:val="20"/>
              </w:rPr>
            </w:pPr>
            <w:r>
              <w:rPr>
                <w:noProof/>
                <w:sz w:val="20"/>
              </w:rPr>
              <w:t>0,100</w:t>
            </w:r>
          </w:p>
        </w:tc>
        <w:tc>
          <w:tcPr>
            <w:tcW w:w="2645" w:type="dxa"/>
            <w:vAlign w:val="center"/>
          </w:tcPr>
          <w:p>
            <w:pPr>
              <w:spacing w:before="60" w:after="60"/>
              <w:jc w:val="right"/>
              <w:rPr>
                <w:b/>
                <w:noProof/>
                <w:sz w:val="20"/>
              </w:rPr>
            </w:pPr>
            <w:r>
              <w:rPr>
                <w:b/>
                <w:noProof/>
                <w:sz w:val="20"/>
              </w:rPr>
              <w:t>1,306</w:t>
            </w:r>
          </w:p>
        </w:tc>
      </w:tr>
    </w:tbl>
    <w:p>
      <w:pPr>
        <w:rPr>
          <w:noProof/>
        </w:rPr>
        <w:sectPr>
          <w:headerReference w:type="default" r:id="rId13"/>
          <w:footerReference w:type="default" r:id="rId14"/>
          <w:headerReference w:type="first" r:id="rId15"/>
          <w:footerReference w:type="first" r:id="rId16"/>
          <w:footnotePr>
            <w:numRestart w:val="eachSect"/>
          </w:footnotePr>
          <w:pgSz w:w="16840" w:h="11907" w:orient="landscape" w:code="9"/>
          <w:pgMar w:top="1134" w:right="1418" w:bottom="1134" w:left="1418" w:header="709" w:footer="709" w:gutter="0"/>
          <w:cols w:space="708"/>
          <w:docGrid w:linePitch="360"/>
        </w:sectPr>
      </w:pPr>
    </w:p>
    <w:p>
      <w:pPr>
        <w:pStyle w:val="ManualHeading3"/>
        <w:rPr>
          <w:noProof/>
          <w:szCs w:val="24"/>
        </w:rPr>
      </w:pPr>
      <w:r>
        <w:rPr>
          <w:noProof/>
        </w:rPr>
        <w:t>3.2.2.</w:t>
      </w:r>
      <w:r>
        <w:rPr>
          <w:noProof/>
        </w:rPr>
        <w:tab/>
        <w:t>Εκτιμώμενες επιπτώσεις στις επιχειρησιακές πιστώσεις</w:t>
      </w:r>
    </w:p>
    <w:p>
      <w:pPr>
        <w:tabs>
          <w:tab w:val="num" w:pos="1134"/>
        </w:tabs>
        <w:ind w:left="1134" w:hanging="283"/>
        <w:rPr>
          <w:rFonts w:eastAsia="Times New Roman"/>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tabs>
          <w:tab w:val="num" w:pos="1134"/>
        </w:tabs>
        <w:ind w:left="1134" w:hanging="283"/>
        <w:rPr>
          <w:rFonts w:eastAsia="Times New Roman"/>
          <w:noProof/>
        </w:rPr>
      </w:pPr>
      <w:r>
        <w:rPr>
          <w:noProof/>
        </w:rPr>
        <w:sym w:font="Wingdings" w:char="F0FD"/>
      </w:r>
      <w:r>
        <w:rPr>
          <w:noProof/>
        </w:rPr>
        <w:tab/>
        <w:t>Η πρόταση/πρωτοβουλία συνεπάγεται τη χρησιμοποίηση επιχειρησιακών πιστώσεων, όπως εξηγείται κατωτέρω:</w:t>
      </w:r>
    </w:p>
    <w:p>
      <w:pPr>
        <w:jc w:val="right"/>
        <w:rPr>
          <w:noProof/>
          <w:sz w:val="20"/>
        </w:rPr>
      </w:pPr>
      <w:r>
        <w:rPr>
          <w:noProof/>
          <w:sz w:val="20"/>
        </w:rPr>
        <w:t>Πιστώσεις ανάληψης υποχρεώσεων σε εκατ. EUR (με τρία δεκαδικά ψηφία)</w:t>
      </w:r>
    </w:p>
    <w:tbl>
      <w:tblPr>
        <w:tblW w:w="130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17"/>
        <w:gridCol w:w="701"/>
        <w:gridCol w:w="504"/>
        <w:gridCol w:w="990"/>
        <w:gridCol w:w="540"/>
        <w:gridCol w:w="1020"/>
        <w:gridCol w:w="539"/>
        <w:gridCol w:w="1063"/>
        <w:gridCol w:w="496"/>
        <w:gridCol w:w="50"/>
        <w:gridCol w:w="1084"/>
        <w:gridCol w:w="567"/>
        <w:gridCol w:w="1049"/>
        <w:gridCol w:w="419"/>
        <w:gridCol w:w="42"/>
        <w:gridCol w:w="1643"/>
        <w:gridCol w:w="23"/>
      </w:tblGrid>
      <w:tr>
        <w:tc>
          <w:tcPr>
            <w:tcW w:w="1702" w:type="dxa"/>
            <w:vMerge w:val="restart"/>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p>
          <w:p>
            <w:pPr>
              <w:ind w:right="-29"/>
              <w:jc w:val="center"/>
              <w:rPr>
                <w:noProof/>
                <w:sz w:val="18"/>
                <w:szCs w:val="18"/>
              </w:rPr>
            </w:pPr>
            <w:r>
              <w:rPr>
                <w:noProof/>
                <w:sz w:val="18"/>
              </w:rPr>
              <w:sym w:font="Wingdings" w:char="F0F2"/>
            </w:r>
          </w:p>
        </w:tc>
        <w:tc>
          <w:tcPr>
            <w:tcW w:w="617"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94" w:type="dxa"/>
            <w:gridSpan w:val="2"/>
            <w:tcBorders>
              <w:left w:val="nil"/>
            </w:tcBorders>
            <w:vAlign w:val="center"/>
          </w:tcPr>
          <w:p>
            <w:pPr>
              <w:ind w:right="-29"/>
              <w:jc w:val="center"/>
              <w:rPr>
                <w:noProof/>
                <w:sz w:val="18"/>
                <w:szCs w:val="18"/>
              </w:rPr>
            </w:pPr>
            <w:r>
              <w:rPr>
                <w:noProof/>
                <w:sz w:val="18"/>
              </w:rPr>
              <w:t>Έτος</w:t>
            </w:r>
            <w:r>
              <w:rPr>
                <w:noProof/>
              </w:rPr>
              <w:t xml:space="preserve"> </w:t>
            </w:r>
            <w:r>
              <w:rPr>
                <w:noProof/>
              </w:rPr>
              <w:br/>
            </w:r>
            <w:r>
              <w:rPr>
                <w:b/>
                <w:noProof/>
                <w:sz w:val="18"/>
              </w:rPr>
              <w:t>N</w:t>
            </w:r>
          </w:p>
        </w:tc>
        <w:tc>
          <w:tcPr>
            <w:tcW w:w="1560" w:type="dxa"/>
            <w:gridSpan w:val="2"/>
            <w:vAlign w:val="center"/>
          </w:tcPr>
          <w:p>
            <w:pPr>
              <w:ind w:right="-29"/>
              <w:jc w:val="center"/>
              <w:rPr>
                <w:noProof/>
                <w:sz w:val="18"/>
                <w:szCs w:val="18"/>
              </w:rPr>
            </w:pPr>
            <w:r>
              <w:rPr>
                <w:noProof/>
                <w:sz w:val="18"/>
              </w:rPr>
              <w:t>Έτος</w:t>
            </w:r>
            <w:r>
              <w:rPr>
                <w:noProof/>
              </w:rPr>
              <w:t xml:space="preserve"> </w:t>
            </w:r>
            <w:r>
              <w:rPr>
                <w:noProof/>
              </w:rPr>
              <w:br/>
            </w:r>
            <w:r>
              <w:rPr>
                <w:b/>
                <w:noProof/>
                <w:sz w:val="18"/>
              </w:rPr>
              <w:t>N+1</w:t>
            </w:r>
          </w:p>
        </w:tc>
        <w:tc>
          <w:tcPr>
            <w:tcW w:w="1602" w:type="dxa"/>
            <w:gridSpan w:val="2"/>
            <w:vAlign w:val="center"/>
          </w:tcPr>
          <w:p>
            <w:pPr>
              <w:ind w:right="-29"/>
              <w:jc w:val="center"/>
              <w:rPr>
                <w:noProof/>
                <w:sz w:val="18"/>
                <w:szCs w:val="18"/>
              </w:rPr>
            </w:pPr>
            <w:r>
              <w:rPr>
                <w:noProof/>
                <w:sz w:val="18"/>
              </w:rPr>
              <w:t>Έτος</w:t>
            </w:r>
            <w:r>
              <w:rPr>
                <w:noProof/>
              </w:rPr>
              <w:t xml:space="preserve"> </w:t>
            </w:r>
            <w:r>
              <w:rPr>
                <w:noProof/>
              </w:rPr>
              <w:br/>
            </w:r>
            <w:r>
              <w:rPr>
                <w:b/>
                <w:noProof/>
                <w:sz w:val="18"/>
              </w:rPr>
              <w:t>N+2</w:t>
            </w:r>
          </w:p>
        </w:tc>
        <w:tc>
          <w:tcPr>
            <w:tcW w:w="1630" w:type="dxa"/>
            <w:gridSpan w:val="3"/>
            <w:vAlign w:val="center"/>
          </w:tcPr>
          <w:p>
            <w:pPr>
              <w:ind w:right="-29"/>
              <w:jc w:val="center"/>
              <w:rPr>
                <w:noProof/>
                <w:sz w:val="18"/>
                <w:szCs w:val="18"/>
              </w:rPr>
            </w:pPr>
            <w:r>
              <w:rPr>
                <w:noProof/>
                <w:sz w:val="18"/>
              </w:rPr>
              <w:t>Έτος</w:t>
            </w:r>
            <w:r>
              <w:rPr>
                <w:noProof/>
              </w:rPr>
              <w:t xml:space="preserve"> </w:t>
            </w:r>
            <w:r>
              <w:rPr>
                <w:noProof/>
              </w:rPr>
              <w:br/>
            </w:r>
            <w:r>
              <w:rPr>
                <w:b/>
                <w:noProof/>
                <w:sz w:val="18"/>
              </w:rPr>
              <w:t>N+3</w:t>
            </w:r>
          </w:p>
        </w:tc>
        <w:tc>
          <w:tcPr>
            <w:tcW w:w="1616" w:type="dxa"/>
            <w:gridSpan w:val="2"/>
            <w:vAlign w:val="center"/>
          </w:tcPr>
          <w:p>
            <w:pPr>
              <w:spacing w:after="0"/>
              <w:jc w:val="center"/>
              <w:rPr>
                <w:noProof/>
                <w:sz w:val="18"/>
              </w:rPr>
            </w:pPr>
            <w:r>
              <w:rPr>
                <w:noProof/>
                <w:sz w:val="18"/>
              </w:rPr>
              <w:t>Έτος</w:t>
            </w:r>
          </w:p>
          <w:p>
            <w:pPr>
              <w:spacing w:before="0"/>
              <w:jc w:val="center"/>
              <w:rPr>
                <w:b/>
                <w:noProof/>
                <w:sz w:val="18"/>
                <w:szCs w:val="18"/>
              </w:rPr>
            </w:pPr>
            <w:r>
              <w:rPr>
                <w:b/>
                <w:noProof/>
                <w:sz w:val="18"/>
              </w:rPr>
              <w:t>N+4</w:t>
            </w:r>
          </w:p>
        </w:tc>
        <w:tc>
          <w:tcPr>
            <w:tcW w:w="2127" w:type="dxa"/>
            <w:gridSpan w:val="4"/>
            <w:tcBorders>
              <w:left w:val="nil"/>
              <w:bottom w:val="nil"/>
            </w:tcBorders>
            <w:vAlign w:val="center"/>
          </w:tcPr>
          <w:p>
            <w:pPr>
              <w:ind w:right="-29"/>
              <w:jc w:val="center"/>
              <w:rPr>
                <w:noProof/>
                <w:sz w:val="18"/>
                <w:szCs w:val="18"/>
              </w:rPr>
            </w:pPr>
            <w:r>
              <w:rPr>
                <w:b/>
                <w:noProof/>
                <w:sz w:val="18"/>
              </w:rPr>
              <w:t>ΣΥΝΟΛΟ</w:t>
            </w:r>
          </w:p>
        </w:tc>
      </w:tr>
      <w:tr>
        <w:tc>
          <w:tcPr>
            <w:tcW w:w="1702" w:type="dxa"/>
            <w:vMerge/>
            <w:vAlign w:val="center"/>
          </w:tcPr>
          <w:p>
            <w:pPr>
              <w:ind w:right="-29"/>
              <w:jc w:val="center"/>
              <w:rPr>
                <w:noProof/>
                <w:sz w:val="18"/>
                <w:szCs w:val="18"/>
              </w:rPr>
            </w:pPr>
          </w:p>
        </w:tc>
        <w:tc>
          <w:tcPr>
            <w:tcW w:w="11347" w:type="dxa"/>
            <w:gridSpan w:val="17"/>
            <w:vAlign w:val="center"/>
          </w:tcPr>
          <w:p>
            <w:pPr>
              <w:spacing w:before="60" w:after="60"/>
              <w:ind w:right="-29"/>
              <w:jc w:val="center"/>
              <w:rPr>
                <w:noProof/>
                <w:sz w:val="18"/>
                <w:szCs w:val="18"/>
              </w:rPr>
            </w:pPr>
            <w:r>
              <w:rPr>
                <w:b/>
                <w:noProof/>
                <w:sz w:val="18"/>
              </w:rPr>
              <w:t>ΑΠΟΤΕΛΕΣΜΑΤΑ</w:t>
            </w:r>
          </w:p>
        </w:tc>
      </w:tr>
      <w:tr>
        <w:trPr>
          <w:cantSplit/>
          <w:trHeight w:val="1134"/>
        </w:trPr>
        <w:tc>
          <w:tcPr>
            <w:tcW w:w="1702" w:type="dxa"/>
            <w:vMerge/>
            <w:vAlign w:val="center"/>
          </w:tcPr>
          <w:p>
            <w:pPr>
              <w:rPr>
                <w:noProof/>
                <w:sz w:val="18"/>
                <w:szCs w:val="18"/>
              </w:rPr>
            </w:pPr>
          </w:p>
        </w:tc>
        <w:tc>
          <w:tcPr>
            <w:tcW w:w="617" w:type="dxa"/>
            <w:vAlign w:val="center"/>
          </w:tcPr>
          <w:p>
            <w:pPr>
              <w:jc w:val="center"/>
              <w:rPr>
                <w:noProof/>
                <w:sz w:val="18"/>
                <w:szCs w:val="18"/>
              </w:rPr>
            </w:pPr>
            <w:r>
              <w:rPr>
                <w:noProof/>
                <w:sz w:val="18"/>
              </w:rPr>
              <w:t>Είδος</w:t>
            </w:r>
            <w:r>
              <w:rPr>
                <w:rStyle w:val="FootnoteReference"/>
                <w:noProof/>
              </w:rPr>
              <w:footnoteReference w:id="39"/>
            </w:r>
          </w:p>
          <w:p>
            <w:pPr>
              <w:spacing w:before="0" w:after="0"/>
              <w:jc w:val="center"/>
              <w:rPr>
                <w:noProof/>
                <w:sz w:val="18"/>
                <w:szCs w:val="18"/>
              </w:rPr>
            </w:pPr>
          </w:p>
        </w:tc>
        <w:tc>
          <w:tcPr>
            <w:tcW w:w="701" w:type="dxa"/>
            <w:vAlign w:val="center"/>
          </w:tcPr>
          <w:p>
            <w:pPr>
              <w:jc w:val="center"/>
              <w:rPr>
                <w:noProof/>
                <w:sz w:val="18"/>
                <w:szCs w:val="18"/>
              </w:rPr>
            </w:pPr>
            <w:r>
              <w:rPr>
                <w:noProof/>
                <w:sz w:val="18"/>
              </w:rPr>
              <w:t>Μέσο κόστος</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99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10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3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1063"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4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1134"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1049"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461" w:type="dxa"/>
            <w:gridSpan w:val="2"/>
            <w:tcBorders>
              <w:right w:val="dashSmallGap" w:sz="4" w:space="0" w:color="auto"/>
            </w:tcBorders>
            <w:shd w:val="pct10" w:color="auto" w:fill="auto"/>
            <w:vAlign w:val="center"/>
          </w:tcPr>
          <w:p>
            <w:pPr>
              <w:jc w:val="center"/>
              <w:rPr>
                <w:noProof/>
                <w:sz w:val="18"/>
                <w:szCs w:val="18"/>
              </w:rPr>
            </w:pPr>
            <w:r>
              <w:rPr>
                <w:noProof/>
                <w:sz w:val="18"/>
              </w:rPr>
              <w:t>Συνολικός αριθ.</w:t>
            </w:r>
          </w:p>
        </w:tc>
        <w:tc>
          <w:tcPr>
            <w:tcW w:w="1666" w:type="dxa"/>
            <w:gridSpan w:val="2"/>
            <w:tcBorders>
              <w:left w:val="dashSmallGap" w:sz="4" w:space="0" w:color="auto"/>
            </w:tcBorders>
            <w:shd w:val="pct10" w:color="auto" w:fill="auto"/>
            <w:vAlign w:val="center"/>
          </w:tcPr>
          <w:p>
            <w:pPr>
              <w:jc w:val="center"/>
              <w:rPr>
                <w:noProof/>
                <w:sz w:val="18"/>
                <w:szCs w:val="18"/>
              </w:rPr>
            </w:pPr>
            <w:r>
              <w:rPr>
                <w:noProof/>
                <w:sz w:val="18"/>
              </w:rPr>
              <w:t>Συνολικό κόστος</w:t>
            </w:r>
          </w:p>
        </w:tc>
      </w:tr>
      <w:tr>
        <w:tc>
          <w:tcPr>
            <w:tcW w:w="3020" w:type="dxa"/>
            <w:gridSpan w:val="3"/>
            <w:vAlign w:val="center"/>
          </w:tcPr>
          <w:p>
            <w:pPr>
              <w:spacing w:before="60" w:after="60"/>
              <w:ind w:right="-29"/>
              <w:jc w:val="center"/>
              <w:rPr>
                <w:noProof/>
                <w:sz w:val="18"/>
                <w:szCs w:val="18"/>
              </w:rPr>
            </w:pPr>
            <w:r>
              <w:rPr>
                <w:noProof/>
                <w:sz w:val="18"/>
              </w:rPr>
              <w:t>ΕΙΔΙΚΟΣ ΣΤΟΧΟΣ αριθ. 1</w:t>
            </w:r>
            <w:r>
              <w:rPr>
                <w:rStyle w:val="FootnoteReference"/>
                <w:noProof/>
              </w:rPr>
              <w:footnoteReference w:id="4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702" w:type="dxa"/>
          </w:tcPr>
          <w:p>
            <w:pPr>
              <w:ind w:right="-29"/>
              <w:jc w:val="left"/>
              <w:rPr>
                <w:noProof/>
                <w:sz w:val="18"/>
                <w:szCs w:val="18"/>
              </w:rPr>
            </w:pPr>
            <w:r>
              <w:rPr>
                <w:noProof/>
                <w:sz w:val="18"/>
              </w:rPr>
              <w:t>Προδιαγραφές</w:t>
            </w:r>
          </w:p>
        </w:tc>
        <w:tc>
          <w:tcPr>
            <w:tcW w:w="617"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r>
              <w:rPr>
                <w:noProof/>
                <w:sz w:val="18"/>
                <w:szCs w:val="18"/>
              </w:rPr>
              <w:t>0,400</w:t>
            </w: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szCs w:val="18"/>
              </w:rPr>
              <w:t>0,100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0,500</w:t>
            </w:r>
          </w:p>
        </w:tc>
      </w:tr>
      <w:tr>
        <w:trPr>
          <w:trHeight w:hRule="exact" w:val="369"/>
        </w:trPr>
        <w:tc>
          <w:tcPr>
            <w:tcW w:w="1702" w:type="dxa"/>
          </w:tcPr>
          <w:p>
            <w:pPr>
              <w:ind w:right="-29"/>
              <w:jc w:val="left"/>
              <w:rPr>
                <w:noProof/>
                <w:sz w:val="18"/>
                <w:szCs w:val="18"/>
              </w:rPr>
            </w:pPr>
            <w:r>
              <w:rPr>
                <w:noProof/>
                <w:sz w:val="18"/>
              </w:rPr>
              <w:t>Ανάπτυξη</w:t>
            </w:r>
          </w:p>
        </w:tc>
        <w:tc>
          <w:tcPr>
            <w:tcW w:w="617"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szCs w:val="18"/>
              </w:rPr>
              <w:t>0,280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0,280</w:t>
            </w:r>
          </w:p>
        </w:tc>
      </w:tr>
      <w:tr>
        <w:trPr>
          <w:trHeight w:hRule="exact" w:val="369"/>
        </w:trPr>
        <w:tc>
          <w:tcPr>
            <w:tcW w:w="1702" w:type="dxa"/>
          </w:tcPr>
          <w:p>
            <w:pPr>
              <w:ind w:right="-29"/>
              <w:jc w:val="left"/>
              <w:rPr>
                <w:noProof/>
                <w:sz w:val="18"/>
                <w:szCs w:val="18"/>
              </w:rPr>
            </w:pPr>
            <w:r>
              <w:rPr>
                <w:noProof/>
                <w:sz w:val="18"/>
              </w:rPr>
              <w:t>Συντήρηση</w:t>
            </w:r>
          </w:p>
        </w:tc>
        <w:tc>
          <w:tcPr>
            <w:tcW w:w="617"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szCs w:val="18"/>
              </w:rPr>
              <w:t>0,050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szCs w:val="18"/>
              </w:rPr>
              <w:t>0,050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szCs w:val="18"/>
              </w:rPr>
              <w:t>0,050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0,150</w:t>
            </w:r>
          </w:p>
        </w:tc>
      </w:tr>
      <w:tr>
        <w:trPr>
          <w:trHeight w:hRule="exact" w:val="369"/>
        </w:trPr>
        <w:tc>
          <w:tcPr>
            <w:tcW w:w="1702" w:type="dxa"/>
          </w:tcPr>
          <w:p>
            <w:pPr>
              <w:ind w:right="-29"/>
              <w:jc w:val="left"/>
              <w:rPr>
                <w:noProof/>
                <w:sz w:val="18"/>
              </w:rPr>
            </w:pPr>
            <w:r>
              <w:rPr>
                <w:noProof/>
                <w:sz w:val="18"/>
              </w:rPr>
              <w:t>Υποστήριξη</w:t>
            </w:r>
          </w:p>
        </w:tc>
        <w:tc>
          <w:tcPr>
            <w:tcW w:w="617"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szCs w:val="18"/>
              </w:rPr>
              <w:t>0,010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szCs w:val="18"/>
              </w:rPr>
              <w:t>0,030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szCs w:val="18"/>
              </w:rPr>
              <w:t>0,030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szCs w:val="18"/>
              </w:rPr>
              <w:t>0,030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0,100</w:t>
            </w:r>
          </w:p>
        </w:tc>
      </w:tr>
      <w:tr>
        <w:trPr>
          <w:trHeight w:hRule="exact" w:val="369"/>
        </w:trPr>
        <w:tc>
          <w:tcPr>
            <w:tcW w:w="1702" w:type="dxa"/>
          </w:tcPr>
          <w:p>
            <w:pPr>
              <w:ind w:right="-29"/>
              <w:jc w:val="left"/>
              <w:rPr>
                <w:noProof/>
                <w:sz w:val="18"/>
              </w:rPr>
            </w:pPr>
            <w:r>
              <w:rPr>
                <w:noProof/>
                <w:sz w:val="18"/>
              </w:rPr>
              <w:t>Εκπαίδευση</w:t>
            </w:r>
          </w:p>
        </w:tc>
        <w:tc>
          <w:tcPr>
            <w:tcW w:w="617"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trHeight w:hRule="exact" w:val="1056"/>
        </w:trPr>
        <w:tc>
          <w:tcPr>
            <w:tcW w:w="1702" w:type="dxa"/>
          </w:tcPr>
          <w:p>
            <w:pPr>
              <w:ind w:right="-29"/>
              <w:jc w:val="left"/>
              <w:rPr>
                <w:noProof/>
                <w:sz w:val="16"/>
                <w:szCs w:val="16"/>
              </w:rPr>
            </w:pPr>
            <w:r>
              <w:rPr>
                <w:noProof/>
                <w:sz w:val="16"/>
                <w:szCs w:val="16"/>
              </w:rPr>
              <w:t>Διαχείριση υπηρεσιών πληροφορικής (υποδομή, φιλοξενία, άδειες κ.λπ.)</w:t>
            </w:r>
          </w:p>
        </w:tc>
        <w:tc>
          <w:tcPr>
            <w:tcW w:w="617"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szCs w:val="18"/>
              </w:rPr>
              <w:t>0,010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szCs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szCs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szCs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0,070</w:t>
            </w:r>
          </w:p>
        </w:tc>
      </w:tr>
      <w:tr>
        <w:tc>
          <w:tcPr>
            <w:tcW w:w="3020" w:type="dxa"/>
            <w:gridSpan w:val="3"/>
            <w:tcBorders>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b/>
                <w:noProof/>
                <w:sz w:val="18"/>
                <w:szCs w:val="18"/>
              </w:rPr>
            </w:pPr>
            <w:r>
              <w:rPr>
                <w:b/>
                <w:noProof/>
                <w:sz w:val="18"/>
                <w:szCs w:val="18"/>
              </w:rPr>
              <w:t>0,400</w:t>
            </w:r>
          </w:p>
        </w:tc>
        <w:tc>
          <w:tcPr>
            <w:tcW w:w="540" w:type="dxa"/>
            <w:tcBorders>
              <w:bottom w:val="single" w:sz="12" w:space="0" w:color="auto"/>
            </w:tcBorders>
          </w:tcPr>
          <w:p>
            <w:pPr>
              <w:ind w:right="-29"/>
              <w:jc w:val="center"/>
              <w:rPr>
                <w:b/>
                <w:noProof/>
                <w:sz w:val="18"/>
                <w:szCs w:val="18"/>
              </w:rPr>
            </w:pPr>
          </w:p>
        </w:tc>
        <w:tc>
          <w:tcPr>
            <w:tcW w:w="1020" w:type="dxa"/>
            <w:tcBorders>
              <w:bottom w:val="single" w:sz="12" w:space="0" w:color="auto"/>
            </w:tcBorders>
          </w:tcPr>
          <w:p>
            <w:pPr>
              <w:ind w:right="-29"/>
              <w:jc w:val="center"/>
              <w:rPr>
                <w:b/>
                <w:noProof/>
                <w:sz w:val="18"/>
                <w:szCs w:val="18"/>
              </w:rPr>
            </w:pPr>
            <w:r>
              <w:rPr>
                <w:b/>
                <w:noProof/>
                <w:sz w:val="18"/>
                <w:szCs w:val="18"/>
              </w:rPr>
              <w:t>0,400</w:t>
            </w:r>
          </w:p>
        </w:tc>
        <w:tc>
          <w:tcPr>
            <w:tcW w:w="539" w:type="dxa"/>
            <w:tcBorders>
              <w:bottom w:val="single" w:sz="12" w:space="0" w:color="auto"/>
            </w:tcBorders>
          </w:tcPr>
          <w:p>
            <w:pPr>
              <w:ind w:right="-29"/>
              <w:jc w:val="center"/>
              <w:rPr>
                <w:b/>
                <w:noProof/>
                <w:sz w:val="18"/>
                <w:szCs w:val="18"/>
              </w:rPr>
            </w:pPr>
          </w:p>
        </w:tc>
        <w:tc>
          <w:tcPr>
            <w:tcW w:w="1063" w:type="dxa"/>
            <w:tcBorders>
              <w:bottom w:val="single" w:sz="12" w:space="0" w:color="auto"/>
            </w:tcBorders>
          </w:tcPr>
          <w:p>
            <w:pPr>
              <w:ind w:right="-29"/>
              <w:jc w:val="center"/>
              <w:rPr>
                <w:b/>
                <w:noProof/>
                <w:sz w:val="18"/>
                <w:szCs w:val="18"/>
              </w:rPr>
            </w:pPr>
            <w:r>
              <w:rPr>
                <w:b/>
                <w:noProof/>
                <w:sz w:val="18"/>
                <w:szCs w:val="18"/>
              </w:rPr>
              <w:t>0,100</w:t>
            </w:r>
          </w:p>
        </w:tc>
        <w:tc>
          <w:tcPr>
            <w:tcW w:w="496" w:type="dxa"/>
            <w:tcBorders>
              <w:bottom w:val="single" w:sz="12" w:space="0" w:color="auto"/>
            </w:tcBorders>
          </w:tcPr>
          <w:p>
            <w:pPr>
              <w:ind w:right="-29"/>
              <w:jc w:val="center"/>
              <w:rPr>
                <w:b/>
                <w:noProof/>
                <w:sz w:val="18"/>
                <w:szCs w:val="18"/>
              </w:rPr>
            </w:pPr>
          </w:p>
        </w:tc>
        <w:tc>
          <w:tcPr>
            <w:tcW w:w="1134" w:type="dxa"/>
            <w:gridSpan w:val="2"/>
            <w:tcBorders>
              <w:bottom w:val="single" w:sz="12" w:space="0" w:color="auto"/>
            </w:tcBorders>
          </w:tcPr>
          <w:p>
            <w:pPr>
              <w:ind w:right="-29"/>
              <w:jc w:val="center"/>
              <w:rPr>
                <w:b/>
                <w:noProof/>
                <w:sz w:val="18"/>
                <w:szCs w:val="18"/>
              </w:rPr>
            </w:pPr>
            <w:r>
              <w:rPr>
                <w:b/>
                <w:noProof/>
                <w:sz w:val="18"/>
                <w:szCs w:val="18"/>
              </w:rPr>
              <w:t>0,100</w:t>
            </w:r>
          </w:p>
        </w:tc>
        <w:tc>
          <w:tcPr>
            <w:tcW w:w="567" w:type="dxa"/>
            <w:tcBorders>
              <w:bottom w:val="single" w:sz="12" w:space="0" w:color="auto"/>
            </w:tcBorders>
          </w:tcPr>
          <w:p>
            <w:pPr>
              <w:ind w:right="-29"/>
              <w:jc w:val="center"/>
              <w:rPr>
                <w:b/>
                <w:noProof/>
                <w:sz w:val="18"/>
                <w:szCs w:val="18"/>
              </w:rPr>
            </w:pPr>
          </w:p>
        </w:tc>
        <w:tc>
          <w:tcPr>
            <w:tcW w:w="1049" w:type="dxa"/>
            <w:tcBorders>
              <w:bottom w:val="single" w:sz="12" w:space="0" w:color="auto"/>
            </w:tcBorders>
          </w:tcPr>
          <w:p>
            <w:pPr>
              <w:ind w:right="-29"/>
              <w:jc w:val="center"/>
              <w:rPr>
                <w:b/>
                <w:noProof/>
                <w:sz w:val="18"/>
                <w:szCs w:val="18"/>
              </w:rPr>
            </w:pPr>
            <w:r>
              <w:rPr>
                <w:b/>
                <w:noProof/>
                <w:sz w:val="18"/>
                <w:szCs w:val="18"/>
              </w:rPr>
              <w:t>0,100</w:t>
            </w:r>
          </w:p>
        </w:tc>
        <w:tc>
          <w:tcPr>
            <w:tcW w:w="461" w:type="dxa"/>
            <w:gridSpan w:val="2"/>
            <w:tcBorders>
              <w:bottom w:val="single" w:sz="12" w:space="0" w:color="auto"/>
            </w:tcBorders>
          </w:tcPr>
          <w:p>
            <w:pPr>
              <w:ind w:right="-29"/>
              <w:jc w:val="center"/>
              <w:rPr>
                <w:noProof/>
                <w:sz w:val="18"/>
                <w:szCs w:val="18"/>
              </w:rPr>
            </w:pPr>
          </w:p>
        </w:tc>
        <w:tc>
          <w:tcPr>
            <w:tcW w:w="1666" w:type="dxa"/>
            <w:gridSpan w:val="2"/>
            <w:tcBorders>
              <w:bottom w:val="single" w:sz="12" w:space="0" w:color="auto"/>
            </w:tcBorders>
          </w:tcPr>
          <w:p>
            <w:pPr>
              <w:ind w:right="-29"/>
              <w:jc w:val="center"/>
              <w:rPr>
                <w:b/>
                <w:noProof/>
                <w:sz w:val="18"/>
                <w:szCs w:val="18"/>
              </w:rPr>
            </w:pPr>
            <w:r>
              <w:rPr>
                <w:b/>
                <w:noProof/>
                <w:sz w:val="18"/>
                <w:szCs w:val="18"/>
              </w:rPr>
              <w:t>1,100</w:t>
            </w:r>
          </w:p>
        </w:tc>
      </w:tr>
      <w:tr>
        <w:tc>
          <w:tcPr>
            <w:tcW w:w="3020" w:type="dxa"/>
            <w:gridSpan w:val="3"/>
            <w:vAlign w:val="center"/>
          </w:tcPr>
          <w:p>
            <w:pPr>
              <w:spacing w:before="60" w:after="60"/>
              <w:ind w:right="-29"/>
              <w:jc w:val="center"/>
              <w:rPr>
                <w:noProof/>
                <w:sz w:val="18"/>
                <w:szCs w:val="18"/>
              </w:rPr>
            </w:pPr>
            <w:r>
              <w:rPr>
                <w:noProof/>
                <w:sz w:val="18"/>
              </w:rPr>
              <w:t>ΕΙΔΙΚΟΣ ΣΤΟΧΟΣ αριθ. 2 ...</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702" w:type="dxa"/>
          </w:tcPr>
          <w:p>
            <w:pPr>
              <w:ind w:right="-29"/>
              <w:jc w:val="center"/>
              <w:rPr>
                <w:noProof/>
                <w:sz w:val="18"/>
                <w:szCs w:val="18"/>
              </w:rPr>
            </w:pPr>
            <w:r>
              <w:rPr>
                <w:noProof/>
                <w:sz w:val="18"/>
              </w:rPr>
              <w:t>- Αποτέλεσμα</w:t>
            </w:r>
          </w:p>
        </w:tc>
        <w:tc>
          <w:tcPr>
            <w:tcW w:w="617"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gridAfter w:val="1"/>
          <w:wAfter w:w="23" w:type="dxa"/>
        </w:trPr>
        <w:tc>
          <w:tcPr>
            <w:tcW w:w="3020" w:type="dxa"/>
            <w:gridSpan w:val="3"/>
            <w:tcBorders>
              <w:bottom w:val="single" w:sz="12" w:space="0" w:color="auto"/>
            </w:tcBorders>
            <w:vAlign w:val="center"/>
          </w:tcPr>
          <w:p>
            <w:pPr>
              <w:jc w:val="center"/>
              <w:rPr>
                <w:noProof/>
                <w:sz w:val="18"/>
                <w:szCs w:val="18"/>
              </w:rPr>
            </w:pPr>
            <w:r>
              <w:rPr>
                <w:noProof/>
                <w:sz w:val="18"/>
              </w:rPr>
              <w:t>Μερικό σύνολο για τον ειδικό στόχο αριθ. 2</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1020" w:type="dxa"/>
            <w:tcBorders>
              <w:bottom w:val="single" w:sz="12" w:space="0" w:color="auto"/>
            </w:tcBorders>
          </w:tcPr>
          <w:p>
            <w:pPr>
              <w:ind w:right="-29"/>
              <w:jc w:val="center"/>
              <w:rPr>
                <w:noProof/>
                <w:sz w:val="18"/>
                <w:szCs w:val="18"/>
              </w:rPr>
            </w:pPr>
          </w:p>
        </w:tc>
        <w:tc>
          <w:tcPr>
            <w:tcW w:w="539" w:type="dxa"/>
            <w:tcBorders>
              <w:bottom w:val="single" w:sz="12" w:space="0" w:color="auto"/>
            </w:tcBorders>
          </w:tcPr>
          <w:p>
            <w:pPr>
              <w:ind w:right="-29"/>
              <w:jc w:val="center"/>
              <w:rPr>
                <w:noProof/>
                <w:sz w:val="18"/>
                <w:szCs w:val="18"/>
              </w:rPr>
            </w:pPr>
          </w:p>
        </w:tc>
        <w:tc>
          <w:tcPr>
            <w:tcW w:w="1063" w:type="dxa"/>
            <w:tcBorders>
              <w:bottom w:val="single" w:sz="12" w:space="0" w:color="auto"/>
            </w:tcBorders>
          </w:tcPr>
          <w:p>
            <w:pPr>
              <w:ind w:right="-29"/>
              <w:jc w:val="center"/>
              <w:rPr>
                <w:noProof/>
                <w:sz w:val="18"/>
                <w:szCs w:val="18"/>
              </w:rPr>
            </w:pPr>
          </w:p>
        </w:tc>
        <w:tc>
          <w:tcPr>
            <w:tcW w:w="546" w:type="dxa"/>
            <w:gridSpan w:val="2"/>
            <w:tcBorders>
              <w:bottom w:val="single" w:sz="12" w:space="0" w:color="auto"/>
            </w:tcBorders>
          </w:tcPr>
          <w:p>
            <w:pPr>
              <w:ind w:right="-29"/>
              <w:jc w:val="center"/>
              <w:rPr>
                <w:noProof/>
                <w:sz w:val="18"/>
                <w:szCs w:val="18"/>
              </w:rPr>
            </w:pPr>
          </w:p>
        </w:tc>
        <w:tc>
          <w:tcPr>
            <w:tcW w:w="1084"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1049" w:type="dxa"/>
            <w:tcBorders>
              <w:bottom w:val="single" w:sz="12" w:space="0" w:color="auto"/>
            </w:tcBorders>
          </w:tcPr>
          <w:p>
            <w:pPr>
              <w:ind w:right="-29"/>
              <w:jc w:val="center"/>
              <w:rPr>
                <w:noProof/>
                <w:sz w:val="18"/>
                <w:szCs w:val="18"/>
              </w:rPr>
            </w:pPr>
          </w:p>
        </w:tc>
        <w:tc>
          <w:tcPr>
            <w:tcW w:w="419" w:type="dxa"/>
            <w:tcBorders>
              <w:bottom w:val="single" w:sz="12" w:space="0" w:color="auto"/>
            </w:tcBorders>
          </w:tcPr>
          <w:p>
            <w:pPr>
              <w:ind w:right="-29"/>
              <w:jc w:val="center"/>
              <w:rPr>
                <w:noProof/>
                <w:sz w:val="18"/>
                <w:szCs w:val="18"/>
              </w:rPr>
            </w:pPr>
          </w:p>
        </w:tc>
        <w:tc>
          <w:tcPr>
            <w:tcW w:w="1685" w:type="dxa"/>
            <w:gridSpan w:val="2"/>
            <w:tcBorders>
              <w:bottom w:val="single" w:sz="12" w:space="0" w:color="auto"/>
            </w:tcBorders>
          </w:tcPr>
          <w:p>
            <w:pPr>
              <w:ind w:right="-29"/>
              <w:jc w:val="center"/>
              <w:rPr>
                <w:noProof/>
                <w:sz w:val="18"/>
                <w:szCs w:val="18"/>
              </w:rPr>
            </w:pPr>
          </w:p>
        </w:tc>
      </w:tr>
      <w:tr>
        <w:trPr>
          <w:gridAfter w:val="1"/>
          <w:wAfter w:w="23" w:type="dxa"/>
        </w:trPr>
        <w:tc>
          <w:tcPr>
            <w:tcW w:w="3020"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ΣΥΝΟΛΙΚΟ ΚΟΣΤΟΣ</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99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0,400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10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0,400</w:t>
            </w:r>
          </w:p>
        </w:tc>
        <w:tc>
          <w:tcPr>
            <w:tcW w:w="539" w:type="dxa"/>
            <w:tcBorders>
              <w:top w:val="single" w:sz="12" w:space="0" w:color="auto"/>
              <w:bottom w:val="single" w:sz="12" w:space="0" w:color="auto"/>
            </w:tcBorders>
          </w:tcPr>
          <w:p>
            <w:pPr>
              <w:spacing w:before="180" w:after="180"/>
              <w:ind w:right="-29"/>
              <w:jc w:val="center"/>
              <w:rPr>
                <w:b/>
                <w:noProof/>
                <w:sz w:val="18"/>
                <w:szCs w:val="18"/>
              </w:rPr>
            </w:pPr>
          </w:p>
        </w:tc>
        <w:tc>
          <w:tcPr>
            <w:tcW w:w="1063"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0,100</w:t>
            </w:r>
          </w:p>
        </w:tc>
        <w:tc>
          <w:tcPr>
            <w:tcW w:w="546"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1084"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0,100</w:t>
            </w:r>
          </w:p>
        </w:tc>
        <w:tc>
          <w:tcPr>
            <w:tcW w:w="567" w:type="dxa"/>
            <w:tcBorders>
              <w:top w:val="single" w:sz="12" w:space="0" w:color="auto"/>
              <w:bottom w:val="single" w:sz="12" w:space="0" w:color="auto"/>
            </w:tcBorders>
          </w:tcPr>
          <w:p>
            <w:pPr>
              <w:spacing w:before="180" w:after="180"/>
              <w:ind w:right="-29"/>
              <w:jc w:val="center"/>
              <w:rPr>
                <w:b/>
                <w:noProof/>
                <w:sz w:val="18"/>
                <w:szCs w:val="18"/>
              </w:rPr>
            </w:pPr>
          </w:p>
        </w:tc>
        <w:tc>
          <w:tcPr>
            <w:tcW w:w="1049"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0,100</w:t>
            </w:r>
          </w:p>
        </w:tc>
        <w:tc>
          <w:tcPr>
            <w:tcW w:w="419" w:type="dxa"/>
            <w:tcBorders>
              <w:top w:val="single" w:sz="12" w:space="0" w:color="auto"/>
              <w:bottom w:val="single" w:sz="12" w:space="0" w:color="auto"/>
            </w:tcBorders>
          </w:tcPr>
          <w:p>
            <w:pPr>
              <w:spacing w:before="180" w:after="180"/>
              <w:ind w:right="-29"/>
              <w:jc w:val="center"/>
              <w:rPr>
                <w:b/>
                <w:noProof/>
                <w:sz w:val="18"/>
                <w:szCs w:val="18"/>
              </w:rPr>
            </w:pPr>
          </w:p>
        </w:tc>
        <w:tc>
          <w:tcPr>
            <w:tcW w:w="1685"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szCs w:val="18"/>
              </w:rPr>
              <w:t>1,100</w:t>
            </w:r>
          </w:p>
        </w:tc>
      </w:tr>
    </w:tbl>
    <w:p>
      <w:pPr>
        <w:rPr>
          <w:noProof/>
        </w:rPr>
        <w:sectPr>
          <w:footnotePr>
            <w:numRestart w:val="eachSect"/>
          </w:footnotePr>
          <w:pgSz w:w="16840" w:h="11907" w:orient="landscape" w:code="9"/>
          <w:pgMar w:top="1134" w:right="1418" w:bottom="567" w:left="1418" w:header="709" w:footer="709" w:gutter="0"/>
          <w:cols w:space="708"/>
          <w:docGrid w:linePitch="360"/>
        </w:sectPr>
      </w:pPr>
    </w:p>
    <w:p>
      <w:pPr>
        <w:pStyle w:val="ManualHeading3"/>
        <w:rPr>
          <w:noProof/>
          <w:szCs w:val="24"/>
        </w:rPr>
      </w:pPr>
      <w:r>
        <w:rPr>
          <w:noProof/>
        </w:rPr>
        <w:t>3.2.3.</w:t>
      </w:r>
      <w:r>
        <w:rPr>
          <w:noProof/>
        </w:rPr>
        <w:tab/>
        <w:t>Εκτιμώμενες επιπτώσεις στις πιστώσεις διοικητικού χαρακτήρα</w:t>
      </w:r>
    </w:p>
    <w:p>
      <w:pPr>
        <w:pStyle w:val="ManualHeading4"/>
        <w:rPr>
          <w:noProof/>
        </w:rPr>
      </w:pPr>
      <w:r>
        <w:rPr>
          <w:noProof/>
        </w:rPr>
        <w:t>3.2.3.1.</w:t>
      </w:r>
      <w:r>
        <w:rPr>
          <w:noProof/>
        </w:rPr>
        <w:tab/>
        <w:t xml:space="preserve">Συνοπτική παρουσίαση </w:t>
      </w:r>
    </w:p>
    <w:p>
      <w:pPr>
        <w:tabs>
          <w:tab w:val="num" w:pos="1134"/>
        </w:tabs>
        <w:ind w:left="1134" w:hanging="283"/>
        <w:rPr>
          <w:rFonts w:eastAsia="Times New Roman"/>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tabs>
          <w:tab w:val="num" w:pos="1134"/>
        </w:tabs>
        <w:ind w:left="1134" w:hanging="283"/>
        <w:rPr>
          <w:rFonts w:eastAsia="Times New Roman"/>
          <w:noProof/>
        </w:rPr>
      </w:pPr>
      <w:r>
        <w:rPr>
          <w:noProof/>
        </w:rPr>
        <w:sym w:font="Wingdings" w:char="F0FD"/>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EUR (με τρία δεκαδικά ψηφία)</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 xml:space="preserve">N </w:t>
            </w:r>
            <w:r>
              <w:rPr>
                <w:rStyle w:val="FootnoteReference"/>
                <w:noProof/>
              </w:rPr>
              <w:footnoteReference w:id="41"/>
            </w:r>
          </w:p>
        </w:tc>
        <w:tc>
          <w:tcPr>
            <w:tcW w:w="108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Έτος</w:t>
            </w:r>
            <w:r>
              <w:rPr>
                <w:noProof/>
              </w:rPr>
              <w:t xml:space="preserve"> </w:t>
            </w:r>
            <w:r>
              <w:rPr>
                <w:noProof/>
              </w:rPr>
              <w:br/>
            </w:r>
            <w:r>
              <w:rPr>
                <w:b/>
                <w:noProof/>
                <w:sz w:val="16"/>
              </w:rPr>
              <w:t>N+3</w:t>
            </w:r>
          </w:p>
        </w:tc>
        <w:tc>
          <w:tcPr>
            <w:tcW w:w="1080" w:type="dxa"/>
            <w:vAlign w:val="center"/>
          </w:tcPr>
          <w:p>
            <w:pPr>
              <w:spacing w:line="200" w:lineRule="exact"/>
              <w:jc w:val="center"/>
              <w:rPr>
                <w:b/>
                <w:noProof/>
                <w:sz w:val="16"/>
                <w:szCs w:val="16"/>
              </w:rPr>
            </w:pPr>
            <w:r>
              <w:rPr>
                <w:noProof/>
                <w:sz w:val="16"/>
              </w:rPr>
              <w:t>Έτος</w:t>
            </w:r>
            <w:r>
              <w:rPr>
                <w:noProof/>
              </w:rPr>
              <w:t xml:space="preserve"> </w:t>
            </w:r>
            <w:r>
              <w:rPr>
                <w:noProof/>
              </w:rPr>
              <w:br/>
            </w:r>
            <w:r>
              <w:rPr>
                <w:b/>
                <w:noProof/>
                <w:sz w:val="16"/>
              </w:rPr>
              <w:t>N+4</w:t>
            </w:r>
          </w:p>
        </w:tc>
        <w:tc>
          <w:tcPr>
            <w:tcW w:w="1704"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ΤΟΜΕΑΣ 5</w:t>
            </w:r>
            <w:r>
              <w:rPr>
                <w:noProof/>
              </w:rPr>
              <w:t xml:space="preserve"> </w:t>
            </w:r>
            <w:r>
              <w:rPr>
                <w:noProof/>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0,028</w:t>
            </w:r>
          </w:p>
        </w:tc>
        <w:tc>
          <w:tcPr>
            <w:tcW w:w="1080" w:type="dxa"/>
            <w:vAlign w:val="center"/>
          </w:tcPr>
          <w:p>
            <w:pPr>
              <w:spacing w:before="20" w:after="20"/>
              <w:jc w:val="right"/>
              <w:rPr>
                <w:noProof/>
                <w:sz w:val="20"/>
              </w:rPr>
            </w:pPr>
            <w:r>
              <w:rPr>
                <w:noProof/>
                <w:sz w:val="20"/>
              </w:rPr>
              <w:t>0,014</w:t>
            </w:r>
          </w:p>
        </w:tc>
        <w:tc>
          <w:tcPr>
            <w:tcW w:w="1080" w:type="dxa"/>
            <w:vAlign w:val="center"/>
          </w:tcPr>
          <w:p>
            <w:pPr>
              <w:spacing w:before="20" w:after="20"/>
              <w:jc w:val="right"/>
              <w:rPr>
                <w:b/>
                <w:noProof/>
                <w:sz w:val="20"/>
              </w:rPr>
            </w:pPr>
            <w:r>
              <w:rPr>
                <w:noProof/>
                <w:sz w:val="20"/>
              </w:rPr>
              <w:t>0,014</w:t>
            </w:r>
          </w:p>
        </w:tc>
        <w:tc>
          <w:tcPr>
            <w:tcW w:w="1704" w:type="dxa"/>
            <w:vAlign w:val="center"/>
          </w:tcPr>
          <w:p>
            <w:pPr>
              <w:spacing w:before="60" w:after="60" w:line="200" w:lineRule="exact"/>
              <w:jc w:val="right"/>
              <w:rPr>
                <w:b/>
                <w:noProof/>
                <w:sz w:val="18"/>
                <w:szCs w:val="18"/>
              </w:rPr>
            </w:pPr>
            <w:r>
              <w:rPr>
                <w:b/>
                <w:noProof/>
                <w:sz w:val="18"/>
                <w:szCs w:val="18"/>
              </w:rPr>
              <w:t>0,194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0,002</w:t>
            </w:r>
          </w:p>
        </w:tc>
        <w:tc>
          <w:tcPr>
            <w:tcW w:w="1080" w:type="dxa"/>
            <w:vAlign w:val="center"/>
          </w:tcPr>
          <w:p>
            <w:pPr>
              <w:spacing w:before="20" w:after="20"/>
              <w:jc w:val="right"/>
              <w:rPr>
                <w:noProof/>
                <w:sz w:val="20"/>
              </w:rPr>
            </w:pPr>
            <w:r>
              <w:rPr>
                <w:noProof/>
                <w:sz w:val="20"/>
              </w:rPr>
              <w:t>0,001</w:t>
            </w:r>
          </w:p>
        </w:tc>
        <w:tc>
          <w:tcPr>
            <w:tcW w:w="1080" w:type="dxa"/>
            <w:vAlign w:val="center"/>
          </w:tcPr>
          <w:p>
            <w:pPr>
              <w:spacing w:before="20" w:after="20"/>
              <w:jc w:val="right"/>
              <w:rPr>
                <w:noProof/>
                <w:sz w:val="20"/>
              </w:rPr>
            </w:pPr>
            <w:r>
              <w:rPr>
                <w:noProof/>
                <w:sz w:val="20"/>
              </w:rPr>
              <w:t>0,001</w:t>
            </w:r>
          </w:p>
        </w:tc>
        <w:tc>
          <w:tcPr>
            <w:tcW w:w="1704" w:type="dxa"/>
            <w:vAlign w:val="center"/>
          </w:tcPr>
          <w:p>
            <w:pPr>
              <w:spacing w:before="60" w:after="60" w:line="200" w:lineRule="exact"/>
              <w:jc w:val="right"/>
              <w:rPr>
                <w:b/>
                <w:noProof/>
                <w:sz w:val="18"/>
                <w:szCs w:val="18"/>
              </w:rPr>
            </w:pPr>
            <w:r>
              <w:rPr>
                <w:b/>
                <w:noProof/>
                <w:sz w:val="18"/>
                <w:szCs w:val="18"/>
              </w:rPr>
              <w:t>0,012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 του ΤΟΜΕΑ 5</w:t>
            </w:r>
            <w:r>
              <w:rPr>
                <w:noProof/>
              </w:rPr>
              <w:t xml:space="preserve"> </w:t>
            </w:r>
            <w:r>
              <w:rPr>
                <w:noProof/>
              </w:rPr>
              <w:br/>
            </w:r>
            <w:r>
              <w:rPr>
                <w:b/>
                <w:noProof/>
                <w:sz w:val="16"/>
              </w:rPr>
              <w:t xml:space="preserve">του πολυετούς δημοσιονομικού πλαισίου </w:t>
            </w:r>
          </w:p>
        </w:tc>
        <w:tc>
          <w:tcPr>
            <w:tcW w:w="1080" w:type="dxa"/>
            <w:vAlign w:val="center"/>
          </w:tcPr>
          <w:p>
            <w:pPr>
              <w:spacing w:before="60" w:after="6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0,015</w:t>
            </w:r>
          </w:p>
        </w:tc>
        <w:tc>
          <w:tcPr>
            <w:tcW w:w="1080" w:type="dxa"/>
            <w:vAlign w:val="center"/>
          </w:tcPr>
          <w:p>
            <w:pPr>
              <w:spacing w:before="20" w:after="20"/>
              <w:jc w:val="right"/>
              <w:rPr>
                <w:b/>
                <w:noProof/>
                <w:sz w:val="20"/>
              </w:rPr>
            </w:pPr>
            <w:r>
              <w:rPr>
                <w:noProof/>
                <w:sz w:val="20"/>
              </w:rPr>
              <w:t>0,015</w:t>
            </w:r>
          </w:p>
        </w:tc>
        <w:tc>
          <w:tcPr>
            <w:tcW w:w="1704" w:type="dxa"/>
            <w:vAlign w:val="center"/>
          </w:tcPr>
          <w:p>
            <w:pPr>
              <w:spacing w:before="60" w:after="60" w:line="200" w:lineRule="exact"/>
              <w:jc w:val="right"/>
              <w:rPr>
                <w:b/>
                <w:noProof/>
                <w:sz w:val="18"/>
                <w:szCs w:val="18"/>
              </w:rPr>
            </w:pPr>
            <w:r>
              <w:rPr>
                <w:b/>
                <w:noProof/>
                <w:sz w:val="18"/>
                <w:szCs w:val="18"/>
              </w:rPr>
              <w:t>0,206</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Εκτός του ΤΟΜΕΑ 5</w:t>
            </w:r>
            <w:r>
              <w:rPr>
                <w:rStyle w:val="FootnoteReference"/>
                <w:noProof/>
              </w:rPr>
              <w:footnoteReference w:id="42"/>
            </w:r>
            <w:r>
              <w:rPr>
                <w:noProof/>
              </w:rPr>
              <w:t xml:space="preserve"> </w:t>
            </w:r>
            <w:r>
              <w:rPr>
                <w:noProof/>
              </w:rPr>
              <w:br/>
            </w:r>
            <w:r>
              <w:rPr>
                <w:b/>
                <w:noProof/>
                <w:sz w:val="16"/>
              </w:rPr>
              <w:t>του πολυετούς δημοσιονομικού πλαισίου</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δαπάνες </w:t>
            </w:r>
            <w:r>
              <w:rPr>
                <w:noProof/>
              </w:rPr>
              <w:t xml:space="preserve"> </w:t>
            </w:r>
            <w:r>
              <w:rPr>
                <w:noProof/>
              </w:rPr>
              <w:br/>
            </w:r>
            <w:r>
              <w:rPr>
                <w:noProof/>
                <w:sz w:val="16"/>
              </w:rPr>
              <w:t>διοικητικού χαρακτήρα</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Μερικό σύνολο </w:t>
            </w:r>
            <w:r>
              <w:rPr>
                <w:noProof/>
              </w:rPr>
              <w:t xml:space="preserve"> </w:t>
            </w:r>
            <w:r>
              <w:rPr>
                <w:noProof/>
              </w:rPr>
              <w:br/>
            </w:r>
            <w:r>
              <w:rPr>
                <w:b/>
                <w:noProof/>
                <w:sz w:val="16"/>
              </w:rPr>
              <w:t>εκτός του ΤΟΜΕΑ 5</w:t>
            </w:r>
            <w:r>
              <w:rPr>
                <w:noProof/>
              </w:rPr>
              <w:t xml:space="preserve"> </w:t>
            </w:r>
            <w:r>
              <w:rPr>
                <w:noProof/>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0,015</w:t>
            </w:r>
          </w:p>
        </w:tc>
        <w:tc>
          <w:tcPr>
            <w:tcW w:w="17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szCs w:val="18"/>
              </w:rPr>
              <w:t>0,206</w:t>
            </w:r>
          </w:p>
        </w:tc>
      </w:tr>
    </w:tbl>
    <w:p>
      <w:pPr>
        <w:rPr>
          <w:noProof/>
          <w:sz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18"/>
        </w:rPr>
        <w:sectPr>
          <w:headerReference w:type="default" r:id="rId17"/>
          <w:footerReference w:type="default" r:id="rId18"/>
          <w:headerReference w:type="first" r:id="rId19"/>
          <w:footerReference w:type="first" r:id="rId20"/>
          <w:footnotePr>
            <w:numRestart w:val="eachSect"/>
          </w:footnotePr>
          <w:pgSz w:w="11907" w:h="16840"/>
          <w:pgMar w:top="1134" w:right="1418" w:bottom="1134" w:left="1418" w:header="709" w:footer="709" w:gutter="0"/>
          <w:cols w:space="708"/>
          <w:docGrid w:linePitch="360"/>
        </w:sectPr>
      </w:pPr>
    </w:p>
    <w:p>
      <w:pPr>
        <w:pStyle w:val="ManualHeading4"/>
        <w:rPr>
          <w:noProof/>
          <w:szCs w:val="24"/>
        </w:rPr>
      </w:pPr>
      <w:r>
        <w:rPr>
          <w:noProof/>
        </w:rPr>
        <w:t>3.2.3.2.</w:t>
      </w:r>
      <w:r>
        <w:rPr>
          <w:noProof/>
        </w:rPr>
        <w:tab/>
        <w:t>Εκτιμώμενες ανάγκες σε ανθρώπινους πόρους</w:t>
      </w:r>
    </w:p>
    <w:p>
      <w:pPr>
        <w:tabs>
          <w:tab w:val="num" w:pos="1134"/>
        </w:tabs>
        <w:ind w:left="1134" w:hanging="283"/>
        <w:rPr>
          <w:rFonts w:eastAsia="Times New Roman"/>
          <w:noProof/>
        </w:rPr>
      </w:pPr>
      <w:r>
        <w:rPr>
          <w:noProof/>
        </w:rPr>
        <w:sym w:font="Wingdings" w:char="F0A8"/>
      </w:r>
      <w:r>
        <w:rPr>
          <w:noProof/>
        </w:rPr>
        <w:tab/>
        <w:t xml:space="preserve">Η πρόταση/πρωτοβουλία δεν συνεπάγεται τη χρησιμοποίηση ανθρώπινων πόρων </w:t>
      </w:r>
    </w:p>
    <w:p>
      <w:pPr>
        <w:tabs>
          <w:tab w:val="num" w:pos="1134"/>
        </w:tabs>
        <w:ind w:left="1134" w:hanging="283"/>
        <w:rPr>
          <w:rFonts w:eastAsia="Times New Roman"/>
          <w:noProof/>
        </w:rPr>
      </w:pPr>
      <w:r>
        <w:rPr>
          <w:noProof/>
        </w:rPr>
        <w:sym w:font="Wingdings" w:char="F0FD"/>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46"/>
        <w:gridCol w:w="2808"/>
        <w:gridCol w:w="572"/>
        <w:gridCol w:w="572"/>
        <w:gridCol w:w="931"/>
        <w:gridCol w:w="929"/>
        <w:gridCol w:w="929"/>
      </w:tblGrid>
      <w:tr>
        <w:trPr>
          <w:trHeight w:val="289"/>
          <w:jc w:val="center"/>
        </w:trPr>
        <w:tc>
          <w:tcPr>
            <w:tcW w:w="2883" w:type="pct"/>
            <w:gridSpan w:val="2"/>
            <w:shd w:val="clear" w:color="auto" w:fill="auto"/>
          </w:tcPr>
          <w:p>
            <w:pPr>
              <w:spacing w:before="40" w:after="40"/>
              <w:jc w:val="center"/>
              <w:rPr>
                <w:i/>
                <w:noProof/>
                <w:sz w:val="16"/>
                <w:szCs w:val="16"/>
              </w:rPr>
            </w:pPr>
          </w:p>
        </w:tc>
        <w:tc>
          <w:tcPr>
            <w:tcW w:w="308" w:type="pct"/>
            <w:shd w:val="clear" w:color="auto" w:fill="auto"/>
            <w:vAlign w:val="center"/>
          </w:tcPr>
          <w:p>
            <w:pPr>
              <w:spacing w:before="20" w:after="20"/>
              <w:jc w:val="center"/>
              <w:rPr>
                <w:noProof/>
                <w:sz w:val="16"/>
                <w:szCs w:val="16"/>
              </w:rPr>
            </w:pPr>
            <w:r>
              <w:rPr>
                <w:noProof/>
                <w:sz w:val="16"/>
              </w:rPr>
              <w:t>Έτος</w:t>
            </w:r>
            <w:r>
              <w:rPr>
                <w:noProof/>
              </w:rPr>
              <w:t xml:space="preserve"> </w:t>
            </w:r>
            <w:r>
              <w:rPr>
                <w:noProof/>
              </w:rPr>
              <w:br/>
            </w:r>
            <w:r>
              <w:rPr>
                <w:b/>
                <w:noProof/>
                <w:sz w:val="16"/>
              </w:rPr>
              <w:t>N</w:t>
            </w:r>
          </w:p>
        </w:tc>
        <w:tc>
          <w:tcPr>
            <w:tcW w:w="308" w:type="pct"/>
            <w:shd w:val="clear" w:color="auto" w:fill="auto"/>
            <w:vAlign w:val="center"/>
          </w:tcPr>
          <w:p>
            <w:pPr>
              <w:spacing w:before="20" w:after="20"/>
              <w:jc w:val="center"/>
              <w:rPr>
                <w:noProof/>
                <w:sz w:val="16"/>
                <w:szCs w:val="16"/>
              </w:rPr>
            </w:pPr>
            <w:r>
              <w:rPr>
                <w:noProof/>
                <w:sz w:val="16"/>
              </w:rPr>
              <w:t>Έτος</w:t>
            </w:r>
            <w:r>
              <w:rPr>
                <w:noProof/>
              </w:rPr>
              <w:t xml:space="preserve"> </w:t>
            </w:r>
            <w:r>
              <w:rPr>
                <w:noProof/>
              </w:rPr>
              <w:br/>
            </w:r>
            <w:r>
              <w:rPr>
                <w:b/>
                <w:noProof/>
                <w:sz w:val="16"/>
              </w:rPr>
              <w:t>N+1</w:t>
            </w:r>
          </w:p>
        </w:tc>
        <w:tc>
          <w:tcPr>
            <w:tcW w:w="501" w:type="pct"/>
            <w:shd w:val="clear" w:color="auto" w:fill="auto"/>
            <w:vAlign w:val="center"/>
          </w:tcPr>
          <w:p>
            <w:pPr>
              <w:spacing w:before="20" w:after="20"/>
              <w:jc w:val="center"/>
              <w:rPr>
                <w:noProof/>
                <w:sz w:val="16"/>
                <w:szCs w:val="16"/>
              </w:rPr>
            </w:pPr>
            <w:r>
              <w:rPr>
                <w:noProof/>
                <w:sz w:val="16"/>
                <w:szCs w:val="16"/>
              </w:rPr>
              <w:t xml:space="preserve">Έτος </w:t>
            </w:r>
            <w:r>
              <w:rPr>
                <w:b/>
                <w:noProof/>
                <w:sz w:val="16"/>
                <w:szCs w:val="16"/>
              </w:rPr>
              <w:t>N+2</w:t>
            </w:r>
          </w:p>
        </w:tc>
        <w:tc>
          <w:tcPr>
            <w:tcW w:w="500" w:type="pct"/>
            <w:shd w:val="clear" w:color="auto" w:fill="auto"/>
            <w:vAlign w:val="center"/>
          </w:tcPr>
          <w:p>
            <w:pPr>
              <w:spacing w:before="20" w:after="20"/>
              <w:jc w:val="center"/>
              <w:rPr>
                <w:noProof/>
                <w:sz w:val="16"/>
                <w:szCs w:val="16"/>
              </w:rPr>
            </w:pPr>
            <w:r>
              <w:rPr>
                <w:noProof/>
                <w:sz w:val="16"/>
                <w:szCs w:val="16"/>
              </w:rPr>
              <w:t xml:space="preserve">Έτος </w:t>
            </w:r>
            <w:r>
              <w:rPr>
                <w:b/>
                <w:noProof/>
                <w:sz w:val="16"/>
                <w:szCs w:val="16"/>
              </w:rPr>
              <w:t>N+3</w:t>
            </w:r>
          </w:p>
        </w:tc>
        <w:tc>
          <w:tcPr>
            <w:tcW w:w="500" w:type="pct"/>
            <w:shd w:val="clear" w:color="auto" w:fill="auto"/>
            <w:vAlign w:val="center"/>
          </w:tcPr>
          <w:p>
            <w:pPr>
              <w:spacing w:before="20" w:after="20"/>
              <w:jc w:val="center"/>
              <w:rPr>
                <w:noProof/>
                <w:sz w:val="16"/>
                <w:szCs w:val="16"/>
              </w:rPr>
            </w:pPr>
            <w:r>
              <w:rPr>
                <w:noProof/>
                <w:sz w:val="16"/>
                <w:szCs w:val="16"/>
              </w:rPr>
              <w:t xml:space="preserve">Έτος </w:t>
            </w:r>
            <w:r>
              <w:rPr>
                <w:b/>
                <w:noProof/>
                <w:sz w:val="16"/>
                <w:szCs w:val="16"/>
              </w:rPr>
              <w:t>N+4</w:t>
            </w:r>
          </w:p>
        </w:tc>
      </w:tr>
      <w:tr>
        <w:trPr>
          <w:trHeight w:val="289"/>
          <w:jc w:val="center"/>
        </w:trPr>
        <w:tc>
          <w:tcPr>
            <w:tcW w:w="4000" w:type="pct"/>
            <w:gridSpan w:val="5"/>
            <w:shd w:val="clear" w:color="auto" w:fill="auto"/>
          </w:tcPr>
          <w:p>
            <w:pPr>
              <w:spacing w:before="20" w:after="20"/>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c>
          <w:tcPr>
            <w:tcW w:w="500" w:type="pct"/>
            <w:shd w:val="clear" w:color="auto" w:fill="auto"/>
            <w:vAlign w:val="center"/>
          </w:tcPr>
          <w:p>
            <w:pPr>
              <w:spacing w:before="20" w:after="20"/>
              <w:jc w:val="center"/>
              <w:rPr>
                <w:noProof/>
                <w:sz w:val="16"/>
                <w:szCs w:val="16"/>
              </w:rPr>
            </w:pPr>
          </w:p>
        </w:tc>
        <w:tc>
          <w:tcPr>
            <w:tcW w:w="500" w:type="pct"/>
            <w:shd w:val="clear" w:color="auto" w:fill="auto"/>
            <w:vAlign w:val="center"/>
          </w:tcPr>
          <w:p>
            <w:pPr>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4"/>
              <w:jc w:val="left"/>
              <w:rPr>
                <w:b/>
                <w:noProof/>
                <w:sz w:val="16"/>
                <w:szCs w:val="16"/>
              </w:rPr>
            </w:pPr>
            <w:r>
              <w:rPr>
                <w:noProof/>
                <w:sz w:val="16"/>
              </w:rPr>
              <w:t>XX 01 01 01 (στην έδρα και στις αντιπροσωπείες της Επιτροπής)</w:t>
            </w:r>
          </w:p>
        </w:tc>
        <w:tc>
          <w:tcPr>
            <w:tcW w:w="308" w:type="pct"/>
            <w:shd w:val="clear" w:color="auto" w:fill="auto"/>
            <w:vAlign w:val="center"/>
          </w:tcPr>
          <w:p>
            <w:pPr>
              <w:spacing w:beforeLines="20" w:before="48" w:afterLines="20" w:after="48"/>
              <w:jc w:val="center"/>
              <w:rPr>
                <w:noProof/>
                <w:sz w:val="16"/>
                <w:szCs w:val="16"/>
              </w:rPr>
            </w:pPr>
            <w:r>
              <w:rPr>
                <w:noProof/>
                <w:sz w:val="16"/>
                <w:szCs w:val="16"/>
              </w:rPr>
              <w:t>0,5</w:t>
            </w:r>
          </w:p>
        </w:tc>
        <w:tc>
          <w:tcPr>
            <w:tcW w:w="308"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01" w:type="pct"/>
            <w:shd w:val="clear" w:color="auto" w:fill="auto"/>
            <w:vAlign w:val="center"/>
          </w:tcPr>
          <w:p>
            <w:pPr>
              <w:spacing w:beforeLines="20" w:before="48" w:afterLines="20" w:after="48"/>
              <w:jc w:val="center"/>
              <w:rPr>
                <w:noProof/>
                <w:sz w:val="16"/>
                <w:szCs w:val="16"/>
              </w:rPr>
            </w:pPr>
            <w:r>
              <w:rPr>
                <w:noProof/>
                <w:sz w:val="16"/>
                <w:szCs w:val="16"/>
              </w:rPr>
              <w:t>0,2</w:t>
            </w:r>
          </w:p>
        </w:tc>
        <w:tc>
          <w:tcPr>
            <w:tcW w:w="500" w:type="pct"/>
            <w:shd w:val="clear" w:color="auto" w:fill="auto"/>
            <w:vAlign w:val="center"/>
          </w:tcPr>
          <w:p>
            <w:pPr>
              <w:spacing w:beforeLines="20" w:before="48" w:afterLines="20" w:after="48"/>
              <w:jc w:val="center"/>
              <w:rPr>
                <w:noProof/>
                <w:sz w:val="16"/>
                <w:szCs w:val="16"/>
              </w:rPr>
            </w:pPr>
            <w:r>
              <w:rPr>
                <w:noProof/>
                <w:sz w:val="16"/>
                <w:szCs w:val="16"/>
              </w:rPr>
              <w:t>0,1</w:t>
            </w:r>
          </w:p>
        </w:tc>
        <w:tc>
          <w:tcPr>
            <w:tcW w:w="500" w:type="pct"/>
            <w:shd w:val="clear" w:color="auto" w:fill="auto"/>
            <w:vAlign w:val="center"/>
          </w:tcPr>
          <w:p>
            <w:pPr>
              <w:spacing w:beforeLines="20" w:before="48" w:afterLines="20" w:after="48"/>
              <w:jc w:val="center"/>
              <w:rPr>
                <w:noProof/>
                <w:sz w:val="16"/>
                <w:szCs w:val="16"/>
              </w:rPr>
            </w:pPr>
            <w:r>
              <w:rPr>
                <w:noProof/>
                <w:sz w:val="16"/>
                <w:szCs w:val="16"/>
              </w:rPr>
              <w:t>0,1</w:t>
            </w:r>
          </w:p>
        </w:tc>
      </w:tr>
      <w:tr>
        <w:trPr>
          <w:trHeight w:val="289"/>
          <w:jc w:val="center"/>
        </w:trPr>
        <w:tc>
          <w:tcPr>
            <w:tcW w:w="2883" w:type="pct"/>
            <w:gridSpan w:val="2"/>
            <w:shd w:val="clear" w:color="auto" w:fill="auto"/>
            <w:vAlign w:val="center"/>
          </w:tcPr>
          <w:p>
            <w:pPr>
              <w:spacing w:beforeLines="20" w:before="48" w:afterLines="20" w:after="48"/>
              <w:ind w:left="134"/>
              <w:jc w:val="left"/>
              <w:rPr>
                <w:noProof/>
                <w:sz w:val="16"/>
                <w:szCs w:val="16"/>
              </w:rPr>
            </w:pPr>
            <w:r>
              <w:rPr>
                <w:noProof/>
                <w:sz w:val="16"/>
              </w:rPr>
              <w:t>XX 01 01 02 (στις αντιπροσωπείες της ΕΕ)</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4"/>
              <w:jc w:val="left"/>
              <w:rPr>
                <w:noProof/>
                <w:sz w:val="16"/>
                <w:szCs w:val="16"/>
              </w:rPr>
            </w:pPr>
            <w:r>
              <w:rPr>
                <w:noProof/>
                <w:sz w:val="16"/>
              </w:rPr>
              <w:t>XX 01 05 01 (έμμεση έρευνα)</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4"/>
              <w:jc w:val="left"/>
              <w:rPr>
                <w:noProof/>
                <w:sz w:val="16"/>
                <w:szCs w:val="16"/>
              </w:rPr>
            </w:pPr>
            <w:r>
              <w:rPr>
                <w:noProof/>
                <w:sz w:val="16"/>
              </w:rPr>
              <w:t>10 01 05 01 (άμεση έρευνα)</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gridAfter w:val="2"/>
          <w:wAfter w:w="1000" w:type="pct"/>
          <w:trHeight w:val="248"/>
          <w:jc w:val="center"/>
        </w:trPr>
        <w:tc>
          <w:tcPr>
            <w:tcW w:w="4000" w:type="pct"/>
            <w:gridSpan w:val="5"/>
            <w:shd w:val="clear" w:color="auto" w:fill="auto"/>
            <w:vAlign w:val="center"/>
          </w:tcPr>
          <w:p>
            <w:pPr>
              <w:spacing w:before="60" w:after="6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ΙΠΑ)</w:t>
            </w:r>
            <w:r>
              <w:rPr>
                <w:rStyle w:val="FootnoteReference"/>
                <w:noProof/>
              </w:rPr>
              <w:footnoteReference w:id="43"/>
            </w:r>
          </w:p>
          <w:p>
            <w:pPr>
              <w:spacing w:before="0" w:after="0"/>
              <w:jc w:val="left"/>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b/>
                <w:noProof/>
                <w:sz w:val="16"/>
                <w:szCs w:val="16"/>
              </w:rPr>
            </w:pPr>
            <w:r>
              <w:rPr>
                <w:noProof/>
                <w:sz w:val="16"/>
              </w:rPr>
              <w:t>XX 01 02 01 (AC, END, INT από το συνολικό κονδύλιο)</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noProof/>
                <w:sz w:val="16"/>
                <w:szCs w:val="16"/>
              </w:rPr>
            </w:pPr>
            <w:r>
              <w:rPr>
                <w:noProof/>
                <w:sz w:val="16"/>
              </w:rPr>
              <w:t>XX 01 02 02 (AC, AL, END, INT και JED στις αντιπροσωπείες της ΕΕ)</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val="restart"/>
            <w:shd w:val="clear" w:color="auto" w:fill="auto"/>
            <w:vAlign w:val="center"/>
          </w:tcPr>
          <w:p>
            <w:pPr>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noProof/>
              </w:rPr>
              <w:footnoteReference w:id="44"/>
            </w:r>
          </w:p>
          <w:p>
            <w:pPr>
              <w:spacing w:beforeLines="20" w:before="48" w:afterLines="20" w:after="48"/>
              <w:ind w:left="136"/>
              <w:jc w:val="left"/>
              <w:rPr>
                <w:b/>
                <w:noProof/>
                <w:sz w:val="16"/>
                <w:szCs w:val="16"/>
              </w:rPr>
            </w:pPr>
          </w:p>
        </w:tc>
        <w:tc>
          <w:tcPr>
            <w:tcW w:w="1511" w:type="pct"/>
            <w:shd w:val="clear" w:color="auto" w:fill="auto"/>
            <w:vAlign w:val="center"/>
          </w:tcPr>
          <w:p>
            <w:pPr>
              <w:spacing w:beforeLines="20" w:before="48" w:afterLines="20" w:after="48"/>
              <w:ind w:left="136"/>
              <w:jc w:val="left"/>
              <w:rPr>
                <w:b/>
                <w:noProof/>
                <w:sz w:val="16"/>
                <w:szCs w:val="16"/>
              </w:rPr>
            </w:pPr>
            <w:r>
              <w:rPr>
                <w:noProof/>
                <w:sz w:val="16"/>
              </w:rPr>
              <w:t>- στην έδρα</w:t>
            </w:r>
          </w:p>
          <w:p>
            <w:pPr>
              <w:spacing w:beforeLines="20" w:before="48" w:afterLines="20" w:after="48"/>
              <w:ind w:left="136"/>
              <w:jc w:val="left"/>
              <w:rPr>
                <w:b/>
                <w:noProof/>
                <w:sz w:val="16"/>
                <w:szCs w:val="16"/>
              </w:rPr>
            </w:pPr>
          </w:p>
        </w:tc>
        <w:tc>
          <w:tcPr>
            <w:tcW w:w="308" w:type="pct"/>
            <w:shd w:val="clear" w:color="auto" w:fill="auto"/>
            <w:vAlign w:val="center"/>
          </w:tcPr>
          <w:p>
            <w:pPr>
              <w:spacing w:beforeLines="20" w:before="48" w:afterLines="20" w:after="48"/>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shd w:val="clear" w:color="auto" w:fill="auto"/>
            <w:vAlign w:val="center"/>
          </w:tcPr>
          <w:p>
            <w:pPr>
              <w:spacing w:beforeLines="20" w:before="48" w:afterLines="20" w:after="48"/>
              <w:ind w:left="136"/>
              <w:jc w:val="left"/>
              <w:rPr>
                <w:b/>
                <w:noProof/>
                <w:sz w:val="16"/>
                <w:szCs w:val="16"/>
              </w:rPr>
            </w:pPr>
          </w:p>
        </w:tc>
        <w:tc>
          <w:tcPr>
            <w:tcW w:w="1511" w:type="pct"/>
            <w:shd w:val="clear" w:color="auto" w:fill="auto"/>
            <w:vAlign w:val="center"/>
          </w:tcPr>
          <w:p>
            <w:pPr>
              <w:spacing w:beforeLines="20" w:before="48" w:afterLines="20" w:after="48"/>
              <w:ind w:left="136"/>
              <w:jc w:val="left"/>
              <w:rPr>
                <w:b/>
                <w:noProof/>
                <w:sz w:val="16"/>
                <w:szCs w:val="16"/>
              </w:rPr>
            </w:pPr>
            <w:r>
              <w:rPr>
                <w:noProof/>
                <w:sz w:val="16"/>
              </w:rPr>
              <w:t xml:space="preserve">- στις αντιπροσωπείες της ΕΕ </w:t>
            </w:r>
          </w:p>
        </w:tc>
        <w:tc>
          <w:tcPr>
            <w:tcW w:w="308" w:type="pct"/>
            <w:shd w:val="clear" w:color="auto" w:fill="auto"/>
            <w:vAlign w:val="center"/>
          </w:tcPr>
          <w:p>
            <w:pPr>
              <w:spacing w:beforeLines="20" w:before="48" w:afterLines="20" w:after="48"/>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noProof/>
                <w:sz w:val="16"/>
                <w:szCs w:val="16"/>
              </w:rPr>
            </w:pPr>
            <w:r>
              <w:rPr>
                <w:b/>
                <w:noProof/>
                <w:sz w:val="16"/>
                <w:szCs w:val="16"/>
              </w:rPr>
              <w:t>XX</w:t>
            </w:r>
            <w:r>
              <w:rPr>
                <w:noProof/>
                <w:sz w:val="16"/>
                <w:szCs w:val="16"/>
              </w:rPr>
              <w:t xml:space="preserve"> 01 05 02 (AC, END, INT — έμμεση έρευνα)</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noProof/>
                <w:sz w:val="16"/>
                <w:szCs w:val="16"/>
              </w:rPr>
            </w:pPr>
            <w:r>
              <w:rPr>
                <w:noProof/>
                <w:sz w:val="16"/>
              </w:rPr>
              <w:t>10 01 05 02/12 (AC, END, INT – άμεση έρευνα)</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ΣΥΝΟΛΟ</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0,5</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0,5</w:t>
            </w:r>
          </w:p>
        </w:tc>
        <w:tc>
          <w:tcPr>
            <w:tcW w:w="50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0,2</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0,1</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0,1</w:t>
            </w:r>
          </w:p>
        </w:tc>
      </w:tr>
    </w:tbl>
    <w:p>
      <w:pPr>
        <w:spacing w:before="60" w:after="60"/>
        <w:ind w:left="851"/>
        <w:rPr>
          <w:noProof/>
          <w:sz w:val="18"/>
          <w:szCs w:val="18"/>
        </w:rPr>
      </w:pPr>
      <w:r>
        <w:rPr>
          <w:b/>
          <w:noProof/>
          <w:sz w:val="18"/>
          <w:szCs w:val="18"/>
        </w:rPr>
        <w:t>XX</w:t>
      </w:r>
      <w:r>
        <w:rPr>
          <w:noProof/>
          <w:sz w:val="18"/>
          <w:szCs w:val="18"/>
        </w:rPr>
        <w:t xml:space="preserve"> είναι ο σχετικός τομέας πολιτικής ή ο σχετικός τίτλος του προϋπολογισμού.</w:t>
      </w:r>
    </w:p>
    <w:p>
      <w:pPr>
        <w:ind w:left="850"/>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rPr>
                <w:noProof/>
                <w:sz w:val="20"/>
              </w:rPr>
            </w:pPr>
            <w:r>
              <w:rPr>
                <w:noProof/>
                <w:sz w:val="20"/>
              </w:rPr>
              <w:t xml:space="preserve">Προετοιμασία συνεδριάσεων και αλληλογραφία με τα κράτη μέλη· εργασίες σε έντυπα, μορφότυπους ΤΠ και στο κεντρικό ευρετήριο· </w:t>
            </w:r>
          </w:p>
          <w:p>
            <w:pPr>
              <w:rPr>
                <w:noProof/>
                <w:sz w:val="20"/>
              </w:rPr>
            </w:pPr>
            <w:r>
              <w:rPr>
                <w:noProof/>
                <w:sz w:val="20"/>
              </w:rPr>
              <w:t>ανάθεση της εκτέλεσης εργασιών σχετικά με το σύστημα ΤΠ σε εξωτερικούς συνεργάτες.</w:t>
            </w:r>
          </w:p>
        </w:tc>
      </w:tr>
      <w:tr>
        <w:tc>
          <w:tcPr>
            <w:tcW w:w="3240" w:type="dxa"/>
          </w:tcPr>
          <w:p>
            <w:pPr>
              <w:spacing w:before="60" w:after="60"/>
              <w:rPr>
                <w:noProof/>
                <w:sz w:val="20"/>
              </w:rPr>
            </w:pPr>
            <w:r>
              <w:rPr>
                <w:noProof/>
                <w:sz w:val="20"/>
              </w:rPr>
              <w:t>Εξωτερικό προσωπικό</w:t>
            </w:r>
          </w:p>
        </w:tc>
        <w:tc>
          <w:tcPr>
            <w:tcW w:w="7200" w:type="dxa"/>
          </w:tcPr>
          <w:p>
            <w:pPr>
              <w:rPr>
                <w:noProof/>
                <w:sz w:val="20"/>
              </w:rPr>
            </w:pPr>
            <w:r>
              <w:rPr>
                <w:noProof/>
                <w:sz w:val="20"/>
              </w:rPr>
              <w:t>Άνευ αντικειμένου.</w:t>
            </w:r>
          </w:p>
        </w:tc>
      </w:tr>
    </w:tbl>
    <w:p>
      <w:pPr>
        <w:rPr>
          <w:noProof/>
        </w:rPr>
        <w:sectPr>
          <w:footnotePr>
            <w:numRestart w:val="eachSect"/>
          </w:footnotePr>
          <w:pgSz w:w="11907" w:h="16840"/>
          <w:pgMar w:top="1134" w:right="1418" w:bottom="1134" w:left="1418" w:header="709" w:footer="709" w:gutter="0"/>
          <w:cols w:space="708"/>
          <w:docGrid w:linePitch="360"/>
        </w:sectPr>
      </w:pPr>
    </w:p>
    <w:p>
      <w:pPr>
        <w:pStyle w:val="ManualHeading3"/>
        <w:rPr>
          <w:noProof/>
          <w:szCs w:val="24"/>
        </w:rPr>
      </w:pPr>
      <w:r>
        <w:rPr>
          <w:noProof/>
        </w:rPr>
        <w:t>3.2.4.</w:t>
      </w:r>
      <w:r>
        <w:rPr>
          <w:noProof/>
        </w:rPr>
        <w:tab/>
        <w:t>Συμβατότητα με το ισχύον πολυετές δημοσιονομικό πλαίσιο</w:t>
      </w:r>
    </w:p>
    <w:p>
      <w:pPr>
        <w:tabs>
          <w:tab w:val="num" w:pos="1134"/>
        </w:tabs>
        <w:ind w:left="1134" w:hanging="283"/>
        <w:rPr>
          <w:rFonts w:eastAsia="Times New Roman"/>
          <w:noProof/>
        </w:rPr>
      </w:pPr>
      <w:r>
        <w:rPr>
          <w:noProof/>
        </w:rPr>
        <w:sym w:font="Wingdings" w:char="F0FD"/>
      </w:r>
      <w:r>
        <w:rPr>
          <w:noProof/>
        </w:rPr>
        <w:tab/>
        <w:t>Η πρόταση/πρωτοβουλία είναι συμβατή με τον ισχύον πολυετές δημοσιονομικό πλαίσιο.</w:t>
      </w:r>
    </w:p>
    <w:p>
      <w:pPr>
        <w:tabs>
          <w:tab w:val="num" w:pos="1134"/>
        </w:tabs>
        <w:ind w:left="1134" w:hanging="283"/>
        <w:rPr>
          <w:rFonts w:eastAsia="Times New Roman"/>
          <w:noProof/>
        </w:rPr>
      </w:pPr>
      <w:r>
        <w:rPr>
          <w:noProof/>
        </w:rPr>
        <w:sym w:font="Wingdings" w:char="F0A8"/>
      </w:r>
      <w:r>
        <w:rPr>
          <w:noProof/>
        </w:rPr>
        <w:tab/>
        <w:t>Η πρόταση/πρωτοβουλία απαιτεί αναπρογραμματισμό του σχετικού τομέα του πολυετούς δημοσιονομικού πλαισίου.</w:t>
      </w:r>
    </w:p>
    <w:p>
      <w:pPr>
        <w:pBdr>
          <w:top w:val="single" w:sz="4" w:space="1" w:color="auto"/>
          <w:left w:val="single" w:sz="4" w:space="4" w:color="auto"/>
          <w:bottom w:val="single" w:sz="4" w:space="1" w:color="auto"/>
          <w:right w:val="single" w:sz="4" w:space="4" w:color="auto"/>
        </w:pBdr>
        <w:ind w:left="850"/>
        <w:rPr>
          <w:noProof/>
          <w:sz w:val="20"/>
        </w:rPr>
      </w:pPr>
      <w:r>
        <w:rPr>
          <w:noProof/>
          <w:sz w:val="20"/>
        </w:rPr>
        <w:t>Να εξηγηθεί ο απαιτούμενος αναπρογραμματισμός και να προσδιοριστούν οι σχετικές γραμμές του προϋπολογισμού και τα αντίστοιχα ποσά.</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tabs>
          <w:tab w:val="num" w:pos="1134"/>
        </w:tabs>
        <w:ind w:left="1134" w:hanging="283"/>
        <w:rPr>
          <w:rFonts w:eastAsia="Times New Roman"/>
          <w:noProof/>
        </w:rPr>
      </w:pPr>
      <w:r>
        <w:rPr>
          <w:noProof/>
        </w:rPr>
        <w:sym w:font="Wingdings" w:char="F0A8"/>
      </w:r>
      <w:r>
        <w:rPr>
          <w:noProof/>
        </w:rPr>
        <w:tab/>
        <w:t>Η πρόταση/πρωτοβουλία απαιτεί τη χρησιμοποίηση του μέσου ευελιξίας ή την αναθεώρηση του πολυετούς δημοσιονομικού πλαισίου.</w:t>
      </w:r>
    </w:p>
    <w:p>
      <w:pPr>
        <w:pBdr>
          <w:top w:val="single" w:sz="4" w:space="1" w:color="auto"/>
          <w:left w:val="single" w:sz="4" w:space="4" w:color="auto"/>
          <w:bottom w:val="single" w:sz="4" w:space="1" w:color="auto"/>
          <w:right w:val="single" w:sz="4" w:space="4" w:color="auto"/>
        </w:pBdr>
        <w:ind w:left="850"/>
        <w:rPr>
          <w:noProof/>
          <w:sz w:val="20"/>
        </w:rPr>
      </w:pPr>
      <w:r>
        <w:rPr>
          <w:noProof/>
          <w:sz w:val="20"/>
        </w:rPr>
        <w:t>Να εξηγηθούν οι απαιτούμενες ενέργειες και να προσδιοριστούν οι σχετικοί τομείς και οι σχετικές γραμμές του προϋπολογισμού, καθώς και τα αντίστοιχα ποσά.</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pStyle w:val="ManualHeading3"/>
        <w:rPr>
          <w:noProof/>
          <w:szCs w:val="24"/>
        </w:rPr>
      </w:pPr>
      <w:r>
        <w:rPr>
          <w:noProof/>
        </w:rPr>
        <w:t>3.2.5.</w:t>
      </w:r>
      <w:r>
        <w:rPr>
          <w:noProof/>
        </w:rPr>
        <w:tab/>
        <w:t xml:space="preserve">Συμμετοχή τρίτων στη χρηματοδότηση </w:t>
      </w:r>
    </w:p>
    <w:p>
      <w:pPr>
        <w:tabs>
          <w:tab w:val="num" w:pos="1134"/>
        </w:tabs>
        <w:ind w:left="1134" w:hanging="283"/>
        <w:rPr>
          <w:rFonts w:eastAsia="Times New Roman"/>
          <w:noProof/>
        </w:rPr>
      </w:pPr>
      <w:r>
        <w:rPr>
          <w:noProof/>
        </w:rPr>
        <w:t xml:space="preserve">Η πρόταση/πρωτοβουλία δεν προβλέπει συγχρηματοδότηση από τρίτους. </w:t>
      </w:r>
    </w:p>
    <w:p>
      <w:pPr>
        <w:tabs>
          <w:tab w:val="num" w:pos="1134"/>
        </w:tabs>
        <w:ind w:left="1134" w:hanging="283"/>
        <w:rPr>
          <w:rFonts w:eastAsia="Times New Roman"/>
          <w:strike/>
          <w:noProof/>
        </w:rPr>
      </w:pPr>
      <w:r>
        <w:rPr>
          <w:strike/>
          <w:noProof/>
        </w:rPr>
        <w:t>Η πρόταση/πρωτοβουλία προβλέπει τη συγχρηματοδότηση που εκτιμάται παρακάτω:</w:t>
      </w:r>
    </w:p>
    <w:p>
      <w:pPr>
        <w:jc w:val="right"/>
        <w:rPr>
          <w:noProof/>
          <w:sz w:val="20"/>
        </w:rPr>
      </w:pPr>
      <w:r>
        <w:rPr>
          <w:noProof/>
          <w:sz w:val="20"/>
        </w:rPr>
        <w:t>Πιστώσεις σε εκατ. EUR (με τρία 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Να εγγραφούν όσα έτη απαιτούνται, ώστε να εμφανίζεται η διάρκεια των επιπτώσεων (βλ. σημείο 1.6)</w:t>
            </w:r>
          </w:p>
        </w:tc>
        <w:tc>
          <w:tcPr>
            <w:tcW w:w="1158" w:type="dxa"/>
            <w:vAlign w:val="center"/>
          </w:tcPr>
          <w:p>
            <w:pPr>
              <w:spacing w:before="60" w:after="60"/>
              <w:jc w:val="center"/>
              <w:rPr>
                <w:noProof/>
                <w:sz w:val="20"/>
              </w:rPr>
            </w:pPr>
            <w:r>
              <w:rPr>
                <w:noProof/>
                <w:sz w:val="20"/>
              </w:rPr>
              <w:t>Σύνολο</w:t>
            </w:r>
          </w:p>
        </w:tc>
      </w:tr>
      <w:tr>
        <w:trPr>
          <w:cantSplit/>
        </w:trPr>
        <w:tc>
          <w:tcPr>
            <w:tcW w:w="2340" w:type="dxa"/>
          </w:tcPr>
          <w:p>
            <w:pPr>
              <w:rPr>
                <w:noProof/>
                <w:sz w:val="22"/>
              </w:rPr>
            </w:pPr>
            <w:r>
              <w:rPr>
                <w:noProof/>
                <w:sz w:val="20"/>
              </w:rPr>
              <w:t>Προσδιορισμός του φορέα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noProof/>
          <w:szCs w:val="24"/>
        </w:rPr>
      </w:pPr>
      <w:r>
        <w:rPr>
          <w:noProof/>
        </w:rPr>
        <w:br w:type="page"/>
        <w:t>3,3.</w:t>
      </w:r>
      <w:r>
        <w:rPr>
          <w:noProof/>
        </w:rPr>
        <w:tab/>
        <w:t xml:space="preserve">Εκτιμώμενες επιπτώσεις στα έσοδα </w:t>
      </w:r>
    </w:p>
    <w:p>
      <w:pPr>
        <w:tabs>
          <w:tab w:val="num" w:pos="1134"/>
        </w:tabs>
        <w:ind w:left="1134" w:hanging="283"/>
        <w:rPr>
          <w:rFonts w:eastAsia="Times New Roman"/>
          <w:noProof/>
        </w:rPr>
      </w:pPr>
      <w:r>
        <w:rPr>
          <w:noProof/>
        </w:rPr>
        <w:sym w:font="Wingdings" w:char="F0FD"/>
      </w:r>
      <w:r>
        <w:rPr>
          <w:noProof/>
        </w:rPr>
        <w:tab/>
        <w:t>Η πρόταση/πρωτοβουλία δεν έχει δημοσιονομικές επιπτώσεις στα έσοδα.</w:t>
      </w:r>
    </w:p>
    <w:p>
      <w:pPr>
        <w:tabs>
          <w:tab w:val="num" w:pos="1134"/>
        </w:tabs>
        <w:ind w:left="1134" w:hanging="283"/>
        <w:rPr>
          <w:rFonts w:eastAsia="Times New Roman"/>
          <w:noProof/>
        </w:rPr>
      </w:pPr>
      <w:r>
        <w:rPr>
          <w:noProof/>
        </w:rPr>
        <w:sym w:font="Wingdings" w:char="F0A8"/>
      </w:r>
      <w:r>
        <w:rPr>
          <w:noProof/>
        </w:rPr>
        <w:tab/>
        <w:t>Η πρόταση/πρωτοβουλία έχει τις δημοσιονομικές επιπτώσεις που περιγράφονται κατωτέρω:</w:t>
      </w:r>
    </w:p>
    <w:p>
      <w:pPr>
        <w:numPr>
          <w:ilvl w:val="2"/>
          <w:numId w:val="0"/>
        </w:numPr>
        <w:tabs>
          <w:tab w:val="num" w:pos="2126"/>
        </w:tabs>
        <w:ind w:left="2126" w:hanging="709"/>
        <w:rPr>
          <w:rFonts w:eastAsia="Times New Roman"/>
          <w:noProof/>
        </w:rPr>
      </w:pPr>
      <w:r>
        <w:rPr>
          <w:noProof/>
        </w:rPr>
        <w:sym w:font="Wingdings" w:char="F0A8"/>
      </w:r>
      <w:r>
        <w:rPr>
          <w:noProof/>
        </w:rPr>
        <w:tab/>
        <w:t xml:space="preserve">στους ιδίους πόρους </w:t>
      </w:r>
    </w:p>
    <w:p>
      <w:pPr>
        <w:numPr>
          <w:ilvl w:val="2"/>
          <w:numId w:val="0"/>
        </w:numPr>
        <w:tabs>
          <w:tab w:val="num" w:pos="2126"/>
        </w:tabs>
        <w:ind w:left="2126" w:hanging="709"/>
        <w:rPr>
          <w:rFonts w:eastAsia="Times New Roman"/>
          <w:noProof/>
        </w:rPr>
      </w:pPr>
      <w:r>
        <w:rPr>
          <w:noProof/>
        </w:rPr>
        <w:sym w:font="Wingdings" w:char="F0A8"/>
      </w:r>
      <w:r>
        <w:rPr>
          <w:noProof/>
        </w:rPr>
        <w:tab/>
        <w:t xml:space="preserve">στα λοιπά έσοδα </w:t>
      </w:r>
    </w:p>
    <w:p>
      <w:pPr>
        <w:jc w:val="right"/>
        <w:rPr>
          <w:i/>
          <w:noProof/>
          <w:sz w:val="20"/>
        </w:rPr>
      </w:pPr>
      <w:r>
        <w:rPr>
          <w:noProof/>
        </w:rPr>
        <w:t>σε εκατ. EUR (με τρία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1276" w:type="dxa"/>
            <w:vMerge w:val="restart"/>
            <w:vAlign w:val="center"/>
          </w:tcPr>
          <w:p>
            <w:pPr>
              <w:jc w:val="center"/>
              <w:rPr>
                <w:noProof/>
                <w:sz w:val="18"/>
              </w:rPr>
            </w:pPr>
            <w:r>
              <w:rPr>
                <w:noProof/>
                <w:sz w:val="18"/>
              </w:rPr>
              <w:t>Διαθέσιμες πιστώσεις για το τρέχον οικονομικό έτος</w:t>
            </w:r>
          </w:p>
        </w:tc>
        <w:tc>
          <w:tcPr>
            <w:tcW w:w="7200" w:type="dxa"/>
            <w:gridSpan w:val="7"/>
            <w:vAlign w:val="center"/>
          </w:tcPr>
          <w:p>
            <w:pPr>
              <w:jc w:val="center"/>
              <w:rPr>
                <w:noProof/>
                <w:sz w:val="18"/>
              </w:rPr>
            </w:pPr>
            <w:r>
              <w:rPr>
                <w:noProof/>
                <w:sz w:val="18"/>
              </w:rPr>
              <w:t>Επιπτώσεις της πρότασης/πρωτοβουλίας</w:t>
            </w:r>
            <w:r>
              <w:rPr>
                <w:rStyle w:val="FootnoteReference"/>
                <w:noProof/>
              </w:rPr>
              <w:footnoteReference w:id="4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Έτος</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Έτος</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Έτος</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Έτος</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Να εγγραφούν όσα έτη απαιτούνται, ώστε να εμφανίζεται η διάρκεια των επιπτώσεων (βλ. σημείο 1.6)</w:t>
            </w:r>
          </w:p>
        </w:tc>
      </w:tr>
      <w:tr>
        <w:trPr>
          <w:trHeight w:val="388"/>
        </w:trPr>
        <w:tc>
          <w:tcPr>
            <w:tcW w:w="2144" w:type="dxa"/>
            <w:vAlign w:val="center"/>
          </w:tcPr>
          <w:p>
            <w:pPr>
              <w:spacing w:before="40" w:after="40"/>
              <w:rPr>
                <w:noProof/>
                <w:sz w:val="18"/>
              </w:rPr>
            </w:pPr>
            <w:r>
              <w:rPr>
                <w:noProof/>
                <w:sz w:val="18"/>
              </w:rPr>
              <w:t>Άρθρο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Ως προς τα έσοδα «για ειδικό προορισμό», να προσδιοριστούν οι γραμμές δαπανών του προϋπολογισμού που επηρεάζονται.</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ind w:left="850"/>
        <w:rPr>
          <w:noProof/>
          <w:sz w:val="20"/>
        </w:rPr>
      </w:pPr>
      <w:r>
        <w:rPr>
          <w:noProof/>
          <w:sz w:val="20"/>
        </w:rPr>
        <w:t>Να προσδιοριστεί η μέθοδος υπολογισμού των επιπτώσεων στα έσοδα.</w:t>
      </w:r>
    </w:p>
    <w:p>
      <w:pPr>
        <w:pBdr>
          <w:top w:val="single" w:sz="4" w:space="1" w:color="auto"/>
          <w:left w:val="single" w:sz="4" w:space="4" w:color="auto"/>
          <w:bottom w:val="single" w:sz="4" w:space="1" w:color="auto"/>
          <w:right w:val="single" w:sz="4" w:space="4" w:color="auto"/>
        </w:pBdr>
        <w:rPr>
          <w:noProof/>
        </w:rPr>
      </w:pPr>
      <w:r>
        <w:rPr>
          <w:noProof/>
          <w:color w:val="0000FF"/>
        </w:rPr>
        <w:t>[…]</w:t>
      </w:r>
    </w:p>
    <w:p>
      <w:pPr>
        <w:jc w:val="center"/>
        <w:rPr>
          <w:b/>
          <w:noProof/>
          <w:u w:val="single"/>
        </w:rPr>
      </w:pP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Ευρωπαϊκή Επιτροπή, Πολιτικές Κατευθύνσεις για την επόμενη Ευρωπαϊκή Επιτροπή 2019-2024, Μια Ένωση που επιδιώκει περισσότερα </w:t>
      </w:r>
      <w:hyperlink r:id="rId1" w:history="1">
        <w:r>
          <w:rPr>
            <w:rStyle w:val="Hyperlink"/>
          </w:rPr>
          <w:t>https://ec.europa.eu/commission/sites/beta-political/files/political-guidelines-next-commission_el.pdf</w:t>
        </w:r>
      </w:hyperlink>
      <w:r>
        <w:t>.</w:t>
      </w:r>
    </w:p>
  </w:footnote>
  <w:footnote w:id="2">
    <w:p>
      <w:pPr>
        <w:pStyle w:val="FootnoteText"/>
        <w:rPr>
          <w:lang w:val="en-US"/>
        </w:rPr>
      </w:pPr>
      <w:r>
        <w:rPr>
          <w:rStyle w:val="FootnoteReference"/>
        </w:rPr>
        <w:footnoteRef/>
      </w:r>
      <w:r>
        <w:rPr>
          <w:lang w:val="en-US"/>
        </w:rPr>
        <w:tab/>
        <w:t>COM(2020) 456 final.</w:t>
      </w:r>
    </w:p>
  </w:footnote>
  <w:footnote w:id="3">
    <w:p>
      <w:pPr>
        <w:pStyle w:val="FootnoteText"/>
        <w:contextualSpacing/>
        <w:rPr>
          <w:lang w:val="en-US"/>
        </w:rPr>
      </w:pPr>
      <w:r>
        <w:rPr>
          <w:rStyle w:val="FootnoteReference"/>
        </w:rPr>
        <w:footnoteRef/>
      </w:r>
      <w:r>
        <w:rPr>
          <w:lang w:val="en-US"/>
        </w:rPr>
        <w:tab/>
        <w:t>COM(2020) 312 final.</w:t>
      </w:r>
    </w:p>
  </w:footnote>
  <w:footnote w:id="4">
    <w:p>
      <w:pPr>
        <w:pStyle w:val="FootnoteText"/>
        <w:rPr>
          <w:lang w:val="en-US"/>
        </w:rPr>
      </w:pPr>
      <w:r>
        <w:rPr>
          <w:rStyle w:val="FootnoteReference"/>
        </w:rPr>
        <w:footnoteRef/>
      </w:r>
      <w:r>
        <w:rPr>
          <w:lang w:val="en-US"/>
        </w:rPr>
        <w:tab/>
        <w:t>COM(2020) 313 final.</w:t>
      </w:r>
    </w:p>
  </w:footnote>
  <w:footnote w:id="5">
    <w:p>
      <w:pPr>
        <w:pStyle w:val="FootnoteText"/>
      </w:pPr>
      <w:r>
        <w:rPr>
          <w:rStyle w:val="FootnoteReference"/>
        </w:rPr>
        <w:footnoteRef/>
      </w:r>
      <w:r>
        <w:tab/>
        <w:t>Ευρωπαϊκή Επιτροπή, έγγραφο εργασίας των υπηρεσιών της Επιτροπής, Αξιολόγηση της Οδηγίας 2011/16/EE του Συμβουλίου σχετικά με τη διοικητική συνεργασία στον τομέα της φορολογίας και με την κατάργηση της οδηγίας 77/799/ΕΟΚ, SWD(2019) 328 final.</w:t>
      </w:r>
    </w:p>
  </w:footnote>
  <w:footnote w:id="6">
    <w:p>
      <w:pPr>
        <w:pStyle w:val="FootnoteText"/>
      </w:pPr>
      <w:r>
        <w:rPr>
          <w:rStyle w:val="FootnoteReference"/>
        </w:rPr>
        <w:footnoteRef/>
      </w:r>
      <w:r>
        <w:tab/>
        <w:t>Οδηγία 2011/16/EE του Συμβουλίου σχετικά με τη διοικητική συνεργασία στον τομέα της φορολογίας και με την κατάργηση της οδηγίας 77/799/ΕΟΚ (ΕΕ L 64, της 11.3.2011, σ.1).</w:t>
      </w:r>
    </w:p>
  </w:footnote>
  <w:footnote w:id="7">
    <w:p>
      <w:pPr>
        <w:pStyle w:val="FootnoteText"/>
      </w:pPr>
      <w:r>
        <w:rPr>
          <w:rStyle w:val="FootnoteReference"/>
        </w:rPr>
        <w:footnoteRef/>
      </w:r>
      <w:r>
        <w:tab/>
        <w:t xml:space="preserve">Κοινό φόρουμ της ΕΕ για τον καθορισμό των τιμών μεταβίβασης, </w:t>
      </w:r>
      <w:r>
        <w:rPr>
          <w:i/>
        </w:rPr>
        <w:t>A Coordinated Approach to Transfer Pricing Controls within the EU</w:t>
      </w:r>
      <w:r>
        <w:t>, JTPF/013/2018/EN, Οκτώβριος 2018.</w:t>
      </w:r>
    </w:p>
  </w:footnote>
  <w:footnote w:id="8">
    <w:p>
      <w:pPr>
        <w:pStyle w:val="FootnoteText"/>
      </w:pPr>
      <w:r>
        <w:rPr>
          <w:rStyle w:val="FootnoteReference"/>
        </w:rPr>
        <w:footnoteRef/>
      </w:r>
      <w:r>
        <w:tab/>
        <w:t>Επιστολή ανάθεσης καθηκόντων της Ursula von der Leyen, Προέδρου της Ευρωπαϊκής Επιτροπής, της 10ης Σεπτεμβρίου 2019, προς τον Paolo Gentiloni, επίτροπο αρμόδιο για θέματα Οικονομίας.</w:t>
      </w:r>
    </w:p>
  </w:footnote>
  <w:footnote w:id="9">
    <w:p>
      <w:pPr>
        <w:pStyle w:val="FootnoteText"/>
      </w:pPr>
      <w:r>
        <w:rPr>
          <w:rStyle w:val="FootnoteReference"/>
        </w:rPr>
        <w:footnoteRef/>
      </w:r>
      <w:r>
        <w:tab/>
        <w:t>Οδηγία (ΕΕ) 2014/107 του Συμβουλίου, της 9ης Δεκεμβρίου 2014, για την τροποποίηση της οδηγίας 2011/16/ΕΕ όσον αφορά την υποχρεωτική αυτόματη ανταλλαγή πληροφοριών στον φορολογικό τομέα (ΕΕ L 359 της 16.12.2014, σ. 1).</w:t>
      </w:r>
    </w:p>
  </w:footnote>
  <w:footnote w:id="10">
    <w:p>
      <w:pPr>
        <w:pStyle w:val="FootnoteText"/>
      </w:pPr>
      <w:r>
        <w:rPr>
          <w:rStyle w:val="FootnoteReference"/>
        </w:rPr>
        <w:footnoteRef/>
      </w:r>
      <w:r>
        <w:tab/>
        <w:t>Οδηγία (ΕΕ) 2015/2376 του Συμβουλίου, της 8ης Δεκεμβρίου 2015, για την τροποποίηση της οδηγίας 2011/16/ΕΕ όσον αφορά την υποχρεωτική αυτόματη ανταλλαγή πληροφοριών στον τομέα της φορολογίας (ΕΕ L 332 της 18.12.2015, σ. 1).</w:t>
      </w:r>
    </w:p>
  </w:footnote>
  <w:footnote w:id="11">
    <w:p>
      <w:pPr>
        <w:pStyle w:val="FootnoteText"/>
      </w:pPr>
      <w:r>
        <w:rPr>
          <w:rStyle w:val="FootnoteReference"/>
        </w:rPr>
        <w:footnoteRef/>
      </w:r>
      <w:r>
        <w:tab/>
        <w:t>Οδηγία (ΕΕ) 2016/881 του Συμβουλίου, της 25ης Μαΐου 2016, για την τροποποίηση της οδηγίας 2011/16/ΕΕ όσον αφορά την υποχρεωτική αυτόματη ανταλλαγή πληροφοριών στον τομέα της φορολογίας (ΕΕ L 146 της 3.6.2016, σ. 8).</w:t>
      </w:r>
    </w:p>
  </w:footnote>
  <w:footnote w:id="12">
    <w:p>
      <w:pPr>
        <w:pStyle w:val="FootnoteText"/>
      </w:pPr>
      <w:r>
        <w:rPr>
          <w:rStyle w:val="FootnoteReference"/>
        </w:rPr>
        <w:footnoteRef/>
      </w:r>
      <w:r>
        <w:tab/>
        <w:t>Οδηγία (ΕΕ) 2016/2258 του Συμβουλίου, της 6ης Δεκεμβρίου 2016, για την τροποποίηση της οδηγίας 2011/16/ΕΕ όσον αφορά την πρόσβαση των φορολογικών αρχών σε πληροφορίες για την καταπολέμηση της νομιμοποίησης εσόδων από παράνομες δραστηριότητες (ΕΕ L 342 της 16.12.2016, σ. 1-3).</w:t>
      </w:r>
    </w:p>
  </w:footnote>
  <w:footnote w:id="13">
    <w:p>
      <w:pPr>
        <w:pStyle w:val="FootnoteText"/>
      </w:pPr>
      <w:r>
        <w:rPr>
          <w:rStyle w:val="FootnoteReference"/>
        </w:rPr>
        <w:footnoteRef/>
      </w:r>
      <w:r>
        <w:tab/>
        <w:t>Οδηγία (ΕΕ) 2018/822 του Συμβουλίου, της 25ης Μαΐου 2018, για την τροποποίηση της οδηγίας 2011/16/ΕΕ όσον αφορά την υποχρεωτική αυτόματη ανταλλαγή πληροφοριών στον τομέα της φορολογίας σχετικά με δηλωτέες διασυνοριακές ρυθμίσεις (ΕΕ L 139 της 5.6.2018, σ. 1-13).</w:t>
      </w:r>
    </w:p>
  </w:footnote>
  <w:footnote w:id="14">
    <w:p>
      <w:pPr>
        <w:pStyle w:val="FootnoteText"/>
      </w:pPr>
      <w:r>
        <w:rPr>
          <w:rStyle w:val="FootnoteReference"/>
        </w:rPr>
        <w:footnoteRef/>
      </w:r>
      <w:r>
        <w:tab/>
        <w:t>Κανονισμός (ΕΕ)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ΕΕ L 295 της 21.11.2018, σ. 39-98).</w:t>
      </w:r>
    </w:p>
  </w:footnote>
  <w:footnote w:id="15">
    <w:p>
      <w:pPr>
        <w:pStyle w:val="FootnoteText"/>
      </w:pPr>
      <w:r>
        <w:rPr>
          <w:rStyle w:val="FootnoteReference"/>
        </w:rPr>
        <w:footnoteRef/>
      </w:r>
      <w:r>
        <w:tab/>
        <w:t>Οδηγία 2000/31/ΕΚ του Ευρωπαϊκού Κοινοβουλίου και του Συμβουλίου, της 8ης Ιουνίου 2000, για ορισμένες νομικές πτυχές των υπηρεσιών της κοινωνίας της πληροφορίας, ιδίως του ηλεκτρονικού εμπορίου, στην εσωτερική αγορά («οδηγία για το ηλεκτρονικό εμπόριο») (ΕΕ L 178, της 17.7.2000, σ. 1).</w:t>
      </w:r>
    </w:p>
  </w:footnote>
  <w:footnote w:id="16">
    <w:p>
      <w:pPr>
        <w:pStyle w:val="FootnoteText"/>
      </w:pPr>
      <w:r>
        <w:rPr>
          <w:rStyle w:val="FootnoteReference"/>
        </w:rPr>
        <w:footnoteRef/>
      </w:r>
      <w:r>
        <w:tab/>
        <w:t>Έγγραφο εργασίας των υπηρεσιών της Επιτροπής</w:t>
      </w:r>
      <w:r>
        <w:rPr>
          <w:rStyle w:val="Hyperlink"/>
          <w:color w:val="000000" w:themeColor="text1"/>
          <w:u w:val="none"/>
        </w:rPr>
        <w:t xml:space="preserve"> (αριθ. 2).</w:t>
      </w:r>
    </w:p>
  </w:footnote>
  <w:footnote w:id="17">
    <w:p>
      <w:pPr>
        <w:pStyle w:val="FootnoteText"/>
      </w:pPr>
      <w:r>
        <w:rPr>
          <w:rStyle w:val="FootnoteReference"/>
        </w:rPr>
        <w:footnoteRef/>
      </w:r>
      <w:r>
        <w:tab/>
        <w:t>(εισαγωγή παραπομπής στην γνώμη της επιτροπής ρυθμιστικού ελέγχου)</w:t>
      </w:r>
    </w:p>
  </w:footnote>
  <w:footnote w:id="18">
    <w:p>
      <w:pPr>
        <w:pStyle w:val="FootnoteText"/>
      </w:pPr>
      <w:r>
        <w:rPr>
          <w:rStyle w:val="FootnoteReference"/>
        </w:rPr>
        <w:footnoteRef/>
      </w:r>
      <w:r>
        <w:tab/>
        <w:t xml:space="preserve">(εισαγωγή παραπομπής στην τελική εκτίμηση επιπτώσεων) </w:t>
      </w:r>
    </w:p>
  </w:footnote>
  <w:footnote w:id="19">
    <w:p>
      <w:pPr>
        <w:pStyle w:val="FootnoteText"/>
      </w:pPr>
      <w:r>
        <w:rPr>
          <w:rStyle w:val="FootnoteReference"/>
        </w:rPr>
        <w:footnoteRef/>
      </w:r>
      <w:r>
        <w:tab/>
        <w:t xml:space="preserve">ΕΕ C </w:t>
      </w:r>
      <w:r>
        <w:rPr>
          <w:rStyle w:val="Marker0"/>
        </w:rPr>
        <w:t>[…]</w:t>
      </w:r>
      <w:r>
        <w:t xml:space="preserve"> της </w:t>
      </w:r>
      <w:r>
        <w:rPr>
          <w:rStyle w:val="Marker0"/>
        </w:rPr>
        <w:t>[…]</w:t>
      </w:r>
      <w:r>
        <w:t xml:space="preserve">, σ. </w:t>
      </w:r>
      <w:r>
        <w:rPr>
          <w:rStyle w:val="Marker0"/>
        </w:rPr>
        <w:t>[…]</w:t>
      </w:r>
      <w:r>
        <w:t>.</w:t>
      </w:r>
    </w:p>
  </w:footnote>
  <w:footnote w:id="20">
    <w:p>
      <w:pPr>
        <w:pStyle w:val="FootnoteText"/>
      </w:pPr>
      <w:r>
        <w:rPr>
          <w:rStyle w:val="FootnoteReference"/>
        </w:rPr>
        <w:footnoteRef/>
      </w:r>
      <w:r>
        <w:tab/>
        <w:t xml:space="preserve">ΕΕ C </w:t>
      </w:r>
      <w:r>
        <w:rPr>
          <w:rStyle w:val="Marker0"/>
        </w:rPr>
        <w:t>[…]</w:t>
      </w:r>
      <w:r>
        <w:t xml:space="preserve"> της </w:t>
      </w:r>
      <w:r>
        <w:rPr>
          <w:rStyle w:val="Marker0"/>
        </w:rPr>
        <w:t>[…]</w:t>
      </w:r>
      <w:r>
        <w:t xml:space="preserve">, σ. </w:t>
      </w:r>
      <w:r>
        <w:rPr>
          <w:rStyle w:val="Marker0"/>
        </w:rPr>
        <w:t>[…]</w:t>
      </w:r>
      <w:r>
        <w:t>.</w:t>
      </w:r>
    </w:p>
  </w:footnote>
  <w:footnote w:id="21">
    <w:p>
      <w:pPr>
        <w:pStyle w:val="FootnoteText"/>
        <w:ind w:left="709" w:hanging="709"/>
      </w:pPr>
      <w:r>
        <w:rPr>
          <w:rStyle w:val="FootnoteReference"/>
        </w:rPr>
        <w:footnoteRef/>
      </w:r>
      <w:r>
        <w:tab/>
        <w:t>Οδηγία 2011/16/EE του Συμβουλίου, της 15ης Φεβρουαρίου 2011, σχετικά με τη διοικητική συνεργασία στον τομέα της φορολογίας και με την κατάργηση της οδηγίας 77/799/ΕΟΚ (ΕΕ L 64 της 11.3.2011, σ. 1).</w:t>
      </w:r>
    </w:p>
  </w:footnote>
  <w:footnote w:id="22">
    <w:p>
      <w:pPr>
        <w:pStyle w:val="FootnoteText"/>
      </w:pPr>
      <w:r>
        <w:rPr>
          <w:rStyle w:val="FootnoteReference"/>
        </w:rPr>
        <w:footnoteRef/>
      </w:r>
      <w:r>
        <w:tab/>
        <w:t>Ευρωπαϊκή Επιτροπή, έγγραφο εργασίας των υπηρεσιών της Επιτροπής, αξιολόγηση της οδηγίας 2011/16/ΕΕ σχετικά με τη διοικητική συνεργασία στον τομέα της φορολογίας και με την κατάργηση της οδηγίας 77/799/ΕΟΚ, SWD(2019) 328 final.</w:t>
      </w:r>
    </w:p>
  </w:footnote>
  <w:footnote w:id="23">
    <w:p>
      <w:pPr>
        <w:pStyle w:val="FootnoteText"/>
      </w:pPr>
      <w:r>
        <w:rPr>
          <w:rStyle w:val="FootnoteReference"/>
        </w:rPr>
        <w:footnoteRef/>
      </w:r>
      <w:r>
        <w:tab/>
        <w:t>Κανονισμός (ΕΕ) αριθ. 1286/2013 του Ευρωπαϊκού Κοινοβουλίου και του Συμβουλίου, της 11ης Δεκεμβρίου 2013, σχετικά με τη θέσπιση προγράμματος δράσης για τη βελτίωση της λειτουργίας των φορολογικών συστημάτων στην Ευρωπαϊκή Ένωση για την περίοδο 2014-2020 (Fiscalis 2020) και την κατάργηση της απόφασης αριθ. 1482/2007/ΕΚ (ΕΕ L 347 της 20.12.2013, σ. 25).</w:t>
      </w:r>
    </w:p>
  </w:footnote>
  <w:footnote w:id="24">
    <w:p>
      <w:pPr>
        <w:pStyle w:val="FootnoteText"/>
        <w:ind w:left="709" w:hanging="709"/>
      </w:pPr>
      <w:r>
        <w:rPr>
          <w:rStyle w:val="FootnoteReference"/>
        </w:rPr>
        <w:footnoteRef/>
      </w:r>
      <w:r>
        <w:tab/>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footnote>
  <w:footnote w:id="25">
    <w:p>
      <w:pPr>
        <w:pStyle w:val="FootnoteText"/>
        <w:ind w:left="709" w:hanging="709"/>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26">
    <w:p>
      <w:pPr>
        <w:pStyle w:val="FootnoteText"/>
        <w:ind w:left="709" w:hanging="709"/>
      </w:pPr>
      <w:r>
        <w:rPr>
          <w:rStyle w:val="FootnoteReference"/>
        </w:rPr>
        <w:footnoteRef/>
      </w:r>
      <w:r>
        <w:tab/>
        <w:t>Κανονισμός (ΕΕ)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w:t>
      </w:r>
    </w:p>
  </w:footnote>
  <w:footnote w:id="27">
    <w:p>
      <w:pPr>
        <w:pStyle w:val="FootnoteText"/>
        <w:rPr>
          <w:szCs w:val="24"/>
        </w:rPr>
      </w:pPr>
      <w:r>
        <w:rPr>
          <w:rStyle w:val="FootnoteReference"/>
        </w:rPr>
        <w:footnoteRef/>
      </w:r>
      <w:r>
        <w:tab/>
        <w:t>ΔΒΔ: διαχείριση βάσει δραστηριοτήτων· ΠΒΔ: προϋπολογισμός βάσει δραστηριοτήτων.</w:t>
      </w:r>
    </w:p>
  </w:footnote>
  <w:footnote w:id="28">
    <w:p>
      <w:pPr>
        <w:pStyle w:val="FootnoteText"/>
        <w:rPr>
          <w:szCs w:val="24"/>
        </w:rPr>
      </w:pPr>
      <w:r>
        <w:rPr>
          <w:rStyle w:val="FootnoteReference"/>
        </w:rPr>
        <w:footnoteRef/>
      </w:r>
      <w:r>
        <w:tab/>
        <w:t>Όπως αναφέρεται στο άρθρο 54 παράγραφος 2 στοιχεία α) ή β) του δημοσιονομικού κανονισμού.</w:t>
      </w:r>
    </w:p>
  </w:footnote>
  <w:footnote w:id="29">
    <w:p>
      <w:pPr>
        <w:pStyle w:val="FootnoteText"/>
        <w:rPr>
          <w:szCs w:val="24"/>
        </w:rPr>
      </w:pPr>
      <w:r>
        <w:rPr>
          <w:rStyle w:val="FootnoteReference"/>
        </w:rPr>
        <w:footnoteRef/>
      </w:r>
      <w:r>
        <w:tab/>
        <w:t xml:space="preserve">Οι λεπτομέρειες σχετικά με τους τρόπους διαχείρισης και οι παραπομπές στον δημοσιονομικό κανονισμό είναι διαθέσιμες στον ιστότοπο BudgWeb: </w:t>
      </w:r>
      <w:hyperlink r:id="rId2" w:history="1">
        <w:r>
          <w:rPr>
            <w:rStyle w:val="Hyperlink"/>
            <w:sz w:val="18"/>
          </w:rPr>
          <w:t>http://www.cc.cec/budg/man/budgmanag/budgmanag_en.html</w:t>
        </w:r>
      </w:hyperlink>
    </w:p>
  </w:footnote>
  <w:footnote w:id="30">
    <w:p>
      <w:pPr>
        <w:pStyle w:val="FootnoteText"/>
      </w:pPr>
      <w:r>
        <w:rPr>
          <w:rStyle w:val="FootnoteReference"/>
        </w:rPr>
        <w:footnoteRef/>
      </w:r>
      <w:r>
        <w:tab/>
        <w:t>Κανονισμός (ΕΕ) αριθ. 1286/2013 του Ευρωπαϊκού Κοινοβουλίου και του Συμβουλίου, της 11ης Δεκεμβρίου 2013 , σχετικά με τη θέσπιση προγράμματος δράσης για τη βελτίωση της λειτουργίας των φορολογικών συστημάτων στην Ευρωπαϊκή Ένωση για την περίοδο 2014-2020 (Fiscalis 2020) και την κατάργηση της απόφασης αριθ. 1482/2007/ΕΚ, ΕΕ L 347 της 20.12.2013, σ. 25 έως 32.</w:t>
      </w:r>
    </w:p>
  </w:footnote>
  <w:footnote w:id="31">
    <w:p>
      <w:pPr>
        <w:pStyle w:val="FootnoteText"/>
      </w:pPr>
      <w:r>
        <w:rPr>
          <w:rStyle w:val="FootnoteReference"/>
        </w:rPr>
        <w:footnoteRef/>
      </w:r>
      <w:r>
        <w:tab/>
        <w:t>Κανονισμός (ΕΚ) αριθ. 1073/1999 του Ευρωπαϊκού Κοινοβουλίου και του Συμβουλίου, της 25ης Μαΐου 1999, σχετικά με τις έρευνες που πραγματοποιούνται από την Ευρωπαϊκή Υπηρεσία Καταπολέμησης της Απάτης (OLAF), ΕΕ L 136 της 31.5.1999, σ. 1.</w:t>
      </w:r>
    </w:p>
  </w:footnote>
  <w:footnote w:id="32">
    <w:p>
      <w:pPr>
        <w:pStyle w:val="FootnoteText"/>
      </w:pPr>
      <w:r>
        <w:rPr>
          <w:rStyle w:val="FootnoteReference"/>
        </w:rPr>
        <w:footnoteRef/>
      </w:r>
      <w:r>
        <w:tab/>
        <w:t>Κανονισμός (Ευρατόμ, ΕΚ) αριθ. 2185/96 του Συμβουλίου, της 11ης Νοεμβρίου 1996, σχετικά με τους ελέγχους και εξακριβώσεις που διεξάγει επιτοπίως η Επιτροπή με σκοπό την προστασία των οικονομικών συμφερόντων των Ευρωπαϊκών Κοινοτήτων από απάτες και λοιπές παρατυπίες, ΕΕ L 292 της 15.11.1996, σ. 2.</w:t>
      </w:r>
    </w:p>
  </w:footnote>
  <w:footnote w:id="33">
    <w:p>
      <w:pPr>
        <w:pStyle w:val="FootnoteText"/>
        <w:rPr>
          <w:szCs w:val="24"/>
        </w:rPr>
      </w:pPr>
      <w:r>
        <w:rPr>
          <w:rStyle w:val="FootnoteReference"/>
        </w:rPr>
        <w:footnoteRef/>
      </w:r>
      <w:r>
        <w:tab/>
        <w:t>ΔΠ = Διαχωριζόμενες πιστώσεις / ΜΔΠ = Μη διαχωριζόμενες πιστώσεις.</w:t>
      </w:r>
    </w:p>
  </w:footnote>
  <w:footnote w:id="34">
    <w:p>
      <w:pPr>
        <w:pStyle w:val="FootnoteText"/>
        <w:rPr>
          <w:szCs w:val="24"/>
        </w:rPr>
      </w:pPr>
      <w:r>
        <w:rPr>
          <w:rStyle w:val="FootnoteReference"/>
        </w:rPr>
        <w:footnoteRef/>
      </w:r>
      <w:r>
        <w:tab/>
        <w:t xml:space="preserve">ΕΖΕΣ: Ευρωπαϊκή Ζώνη Ελεύθερων Συναλλαγών. </w:t>
      </w:r>
    </w:p>
  </w:footnote>
  <w:footnote w:id="35">
    <w:p>
      <w:pPr>
        <w:pStyle w:val="FootnoteText"/>
        <w:rPr>
          <w:szCs w:val="24"/>
        </w:rPr>
      </w:pPr>
      <w:r>
        <w:rPr>
          <w:rStyle w:val="FootnoteReference"/>
        </w:rPr>
        <w:footnoteRef/>
      </w:r>
      <w:r>
        <w:tab/>
        <w:t>Υποψήφιες χώρες και, κατά περίπτωση, δυνάμει υποψήφια μέλη των Δυτικών Βαλκανίων.</w:t>
      </w:r>
    </w:p>
  </w:footnote>
  <w:footnote w:id="36">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37">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38">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39">
    <w:p>
      <w:pPr>
        <w:pStyle w:val="FootnoteText"/>
        <w:rPr>
          <w:szCs w:val="24"/>
        </w:rPr>
      </w:pPr>
      <w:r>
        <w:rPr>
          <w:rStyle w:val="FootnoteReference"/>
        </w:rPr>
        <w:footnoteRef/>
      </w:r>
      <w:r>
        <w:tab/>
        <w:t>Τα αποτελέσματα είναι τα προϊόντα και οι υπηρεσίες που θα παρασχεθούν (π.χ.: αριθμός ανταλλαγών φοιτητών που θα χρηματοδοτηθούν, αριθμός χλμ. οδών που θα κατασκευαστούν κ.λπ.).</w:t>
      </w:r>
    </w:p>
  </w:footnote>
  <w:footnote w:id="40">
    <w:p>
      <w:pPr>
        <w:pStyle w:val="FootnoteText"/>
        <w:rPr>
          <w:szCs w:val="24"/>
        </w:rPr>
      </w:pPr>
      <w:r>
        <w:rPr>
          <w:rStyle w:val="FootnoteReference"/>
        </w:rPr>
        <w:footnoteRef/>
      </w:r>
      <w:r>
        <w:tab/>
        <w:t xml:space="preserve">Όπως περιγράφεται στο σημείο 1.4.2. «Ειδικοί στόχοι…». </w:t>
      </w:r>
    </w:p>
  </w:footnote>
  <w:footnote w:id="41">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42">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3">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JED= νέος εμπειρογνώμονας σε αντιπροσωπεία. </w:t>
      </w:r>
    </w:p>
  </w:footnote>
  <w:footnote w:id="44">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45">
    <w:p>
      <w:pPr>
        <w:pStyle w:val="FootnoteText"/>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25 %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name w:val="0,3039776"/>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1"/>
  </w:num>
  <w:num w:numId="17">
    <w:abstractNumId w:val="11"/>
  </w:num>
  <w:num w:numId="18">
    <w:abstractNumId w:val="24"/>
  </w:num>
  <w:num w:numId="19">
    <w:abstractNumId w:val="6"/>
  </w:num>
  <w:num w:numId="20">
    <w:abstractNumId w:val="12"/>
  </w:num>
  <w:num w:numId="21">
    <w:abstractNumId w:val="4"/>
  </w:num>
  <w:num w:numId="22">
    <w:abstractNumId w:val="23"/>
  </w:num>
  <w:num w:numId="23">
    <w:abstractNumId w:val="3"/>
  </w:num>
  <w:num w:numId="24">
    <w:abstractNumId w:val="13"/>
  </w:num>
  <w:num w:numId="25">
    <w:abstractNumId w:val="19"/>
  </w:num>
  <w:num w:numId="26">
    <w:abstractNumId w:val="20"/>
  </w:num>
  <w:num w:numId="27">
    <w:abstractNumId w:val="5"/>
  </w:num>
  <w:num w:numId="28">
    <w:abstractNumId w:val="17"/>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hideSpellingErrors/>
  <w:hideGrammaticalErrors/>
  <w:attachedTemplate r:id="rId1"/>
  <w:revisionView w:markup="0"/>
  <w:defaultTabStop w:val="720"/>
  <w:hyphenationZone w:val="425"/>
  <w:characterSpacingControl w:val="doNotCompress"/>
  <w:hdrShapeDefaults>
    <o:shapedefaults v:ext="edit" spidmax="1863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2 16:30: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2E6A83D-9142-4DCD-98DB-C37A486A8DAE"/>
    <w:docVar w:name="LW_COVERPAGE_TYPE" w:val="1"/>
    <w:docVar w:name="LW_CROSSREFERENCE" w:val="{SEC(2020) 271 final} - {SWD(2020) 129 final} - {SWD(2020) 130 final} - {SWD(2020) 131 final}"/>
    <w:docVar w:name="LW_DocType" w:val="COM"/>
    <w:docVar w:name="LW_EMISSION" w:val="15.7.2020"/>
    <w:docVar w:name="LW_EMISSION_ISODATE" w:val="2020-07-15"/>
    <w:docVar w:name="LW_EMISSION_LOCATION" w:val="BRX"/>
    <w:docVar w:name="LW_EMISSION_PREFIX" w:val="Βρυξέλλες,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NS"/>
    <w:docVar w:name="LW_REF.II.NEW.CP_NUMBER" w:val="0148"/>
    <w:docVar w:name="LW_REF.II.NEW.CP_YEAR" w:val="2020"/>
    <w:docVar w:name="LW_REF.INST.NEW" w:val="COM"/>
    <w:docVar w:name="LW_REF.INST.NEW_ADOPTED" w:val="final"/>
    <w:docVar w:name="LW_REF.INST.NEW_TEXT" w:val="(2020) 3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1?\u962? \u959?\u948?\u951?\u947?\u943?\u945?\u962? 2011/16/\u917?\u917? \u963?\u967?\u949?\u964?\u953?\u954?\u940? \u956?\u949? \u964?\u951? \u948?\u953?\u959?\u953?\u954?\u951?\u964?\u953?\u954?\u942? \u963?\u965?\u957?\u949?\u961?\u947?\u945?\u963?\u943?\u945? \u963?\u964?\u959?\u957? \u964?\u959?\u956?\u941?\u945? \u964?\u951?\u962? \u966?\u959?\u961?\u959?\u955?\u959?\u947?\u943?\u945?\u962?"/>
    <w:docVar w:name="LW_TYPE.DOC.CP" w:val="\u927?\u916?\u919?\u915?\u921?\u913?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uiPriority w:val="99"/>
    <w:pPr>
      <w:numPr>
        <w:numId w:val="9"/>
      </w:numPr>
    </w:pPr>
    <w:rPr>
      <w:rFonts w:eastAsia="Times New Roman"/>
      <w:lang w:eastAsia="en-GB"/>
    </w:rPr>
  </w:style>
  <w:style w:type="paragraph" w:styleId="ListNumber2">
    <w:name w:val="List Number 2"/>
    <w:basedOn w:val="Normal"/>
    <w:uiPriority w:val="99"/>
    <w:pPr>
      <w:numPr>
        <w:numId w:val="13"/>
      </w:numPr>
    </w:pPr>
    <w:rPr>
      <w:rFonts w:eastAsia="Times New Roman"/>
      <w:lang w:eastAsia="en-GB"/>
    </w:rPr>
  </w:style>
  <w:style w:type="paragraph" w:styleId="ListNumber3">
    <w:name w:val="List Number 3"/>
    <w:basedOn w:val="Normal"/>
    <w:uiPriority w:val="99"/>
    <w:pPr>
      <w:numPr>
        <w:numId w:val="14"/>
      </w:numPr>
    </w:pPr>
    <w:rPr>
      <w:rFonts w:eastAsia="Times New Roman"/>
      <w:lang w:eastAsia="en-GB"/>
    </w:rPr>
  </w:style>
  <w:style w:type="paragraph" w:styleId="ListNumber4">
    <w:name w:val="List Number 4"/>
    <w:basedOn w:val="Normal"/>
    <w:uiPriority w:val="99"/>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uiPriority w:val="99"/>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l-GR" w:eastAsia="en-GB"/>
    </w:rPr>
  </w:style>
  <w:style w:type="paragraph" w:styleId="Caption">
    <w:name w:val="caption"/>
    <w:basedOn w:val="Normal"/>
    <w:next w:val="Normal"/>
    <w:uiPriority w:val="35"/>
    <w:qFormat/>
    <w:rPr>
      <w:rFonts w:eastAsia="Times New Roman"/>
      <w:b/>
      <w:bCs/>
      <w:sz w:val="20"/>
      <w:szCs w:val="20"/>
      <w:lang w:eastAsia="en-GB"/>
    </w:rPr>
  </w:style>
  <w:style w:type="paragraph" w:styleId="TableofFigures">
    <w:name w:val="table of figures"/>
    <w:basedOn w:val="Normal"/>
    <w:next w:val="Normal"/>
    <w:uiPriority w:val="99"/>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
    <w:name w:val="marker"/>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customStyle="1" w:styleId="superscript">
    <w:name w:val="superscript"/>
    <w:basedOn w:val="DefaultParagraphFont"/>
  </w:style>
  <w:style w:type="numbering" w:customStyle="1" w:styleId="NoList1">
    <w:name w:val="No List1"/>
    <w:next w:val="NoList"/>
    <w:uiPriority w:val="99"/>
    <w:semiHidden/>
    <w:unhideWhenUsed/>
  </w:style>
  <w:style w:type="paragraph" w:styleId="NormalWeb">
    <w:name w:val="Normal (Web)"/>
    <w:basedOn w:val="Normal"/>
    <w:uiPriority w:val="99"/>
    <w:semiHidden/>
    <w:unhideWhenUsed/>
    <w:rPr>
      <w:szCs w:val="24"/>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Aucun">
    <w:name w:val="Aucun"/>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b">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c">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uiPriority w:val="99"/>
    <w:pPr>
      <w:numPr>
        <w:numId w:val="9"/>
      </w:numPr>
    </w:pPr>
    <w:rPr>
      <w:rFonts w:eastAsia="Times New Roman"/>
      <w:lang w:eastAsia="en-GB"/>
    </w:rPr>
  </w:style>
  <w:style w:type="paragraph" w:styleId="ListNumber2">
    <w:name w:val="List Number 2"/>
    <w:basedOn w:val="Normal"/>
    <w:uiPriority w:val="99"/>
    <w:pPr>
      <w:numPr>
        <w:numId w:val="13"/>
      </w:numPr>
    </w:pPr>
    <w:rPr>
      <w:rFonts w:eastAsia="Times New Roman"/>
      <w:lang w:eastAsia="en-GB"/>
    </w:rPr>
  </w:style>
  <w:style w:type="paragraph" w:styleId="ListNumber3">
    <w:name w:val="List Number 3"/>
    <w:basedOn w:val="Normal"/>
    <w:uiPriority w:val="99"/>
    <w:pPr>
      <w:numPr>
        <w:numId w:val="14"/>
      </w:numPr>
    </w:pPr>
    <w:rPr>
      <w:rFonts w:eastAsia="Times New Roman"/>
      <w:lang w:eastAsia="en-GB"/>
    </w:rPr>
  </w:style>
  <w:style w:type="paragraph" w:styleId="ListNumber4">
    <w:name w:val="List Number 4"/>
    <w:basedOn w:val="Normal"/>
    <w:uiPriority w:val="99"/>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uiPriority w:val="99"/>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l-GR" w:eastAsia="en-GB"/>
    </w:rPr>
  </w:style>
  <w:style w:type="paragraph" w:styleId="Caption">
    <w:name w:val="caption"/>
    <w:basedOn w:val="Normal"/>
    <w:next w:val="Normal"/>
    <w:uiPriority w:val="35"/>
    <w:qFormat/>
    <w:rPr>
      <w:rFonts w:eastAsia="Times New Roman"/>
      <w:b/>
      <w:bCs/>
      <w:sz w:val="20"/>
      <w:szCs w:val="20"/>
      <w:lang w:eastAsia="en-GB"/>
    </w:rPr>
  </w:style>
  <w:style w:type="paragraph" w:styleId="TableofFigures">
    <w:name w:val="table of figures"/>
    <w:basedOn w:val="Normal"/>
    <w:next w:val="Normal"/>
    <w:uiPriority w:val="99"/>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
    <w:name w:val="marker"/>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customStyle="1" w:styleId="superscript">
    <w:name w:val="superscript"/>
    <w:basedOn w:val="DefaultParagraphFont"/>
  </w:style>
  <w:style w:type="numbering" w:customStyle="1" w:styleId="NoList1">
    <w:name w:val="No List1"/>
    <w:next w:val="NoList"/>
    <w:uiPriority w:val="99"/>
    <w:semiHidden/>
    <w:unhideWhenUsed/>
  </w:style>
  <w:style w:type="paragraph" w:styleId="NormalWeb">
    <w:name w:val="Normal (Web)"/>
    <w:basedOn w:val="Normal"/>
    <w:uiPriority w:val="99"/>
    <w:semiHidden/>
    <w:unhideWhenUsed/>
    <w:rPr>
      <w:szCs w:val="24"/>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Aucun">
    <w:name w:val="Aucun"/>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b">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c">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s://ec.europa.eu/commission/sites/beta-political/files/political-guidelines-next-commission_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8212C0-F7AF-4EDA-90D6-D47C2003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46</Pages>
  <Words>17668</Words>
  <Characters>107072</Characters>
  <Application>Microsoft Office Word</Application>
  <DocSecurity>0</DocSecurity>
  <Lines>2745</Lines>
  <Paragraphs>1066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2020-07-08T12:06:00Z</cp:lastPrinted>
  <dcterms:created xsi:type="dcterms:W3CDTF">2020-07-16T11:26:00Z</dcterms:created>
  <dcterms:modified xsi:type="dcterms:W3CDTF">2020-07-22T14:30:00Z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