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065DC44-3FCC-479B-8533-A82538668873" style="width:450.7pt;height:485.3pt">
            <v:imagedata r:id="rId11" o:title=""/>
          </v:shape>
        </w:pict>
      </w:r>
    </w:p>
    <w:bookmarkEnd w:id="0"/>
    <w:p>
      <w:pPr>
        <w:rPr>
          <w:noProof/>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pPr>
        <w:pStyle w:val="Pagedecouverture"/>
        <w:rPr>
          <w:noProof/>
        </w:rPr>
      </w:pPr>
      <w:bookmarkStart w:id="1" w:name="_GoBack"/>
      <w:bookmarkEnd w:id="1"/>
    </w:p>
    <w:p>
      <w:pPr>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szCs w:val="22"/>
              </w:rPr>
              <w:t>Fișă rezumat</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jc w:val="both"/>
              <w:rPr>
                <w:rFonts w:ascii="Tahoma" w:hAnsi="Tahoma" w:cs="Tahoma"/>
                <w:b/>
                <w:noProof/>
                <w:sz w:val="20"/>
                <w:szCs w:val="20"/>
              </w:rPr>
            </w:pPr>
            <w:r>
              <w:rPr>
                <w:rFonts w:ascii="Tahoma" w:hAnsi="Tahoma"/>
                <w:noProof/>
                <w:color w:val="FFFFFF" w:themeColor="background1"/>
                <w:sz w:val="20"/>
                <w:szCs w:val="20"/>
              </w:rPr>
              <w:t>Evaluarea impactului privind frauda și evaziunea fiscală — o mai bună cooperare între autoritățile fiscale naționale în ceea ce privește schimbul de informații</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szCs w:val="22"/>
              </w:rPr>
              <w:t>A. Necesitatea de a acționa</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szCs w:val="20"/>
              </w:rPr>
              <w:t xml:space="preserve">De ce? Care este problema abordată? </w:t>
            </w:r>
          </w:p>
        </w:tc>
      </w:tr>
      <w:tr>
        <w:tc>
          <w:tcPr>
            <w:tcW w:w="10188" w:type="dxa"/>
            <w:tcBorders>
              <w:bottom w:val="single" w:sz="4" w:space="0" w:color="auto"/>
            </w:tcBorders>
            <w:shd w:val="clear" w:color="auto" w:fill="auto"/>
          </w:tcPr>
          <w:p>
            <w:pPr>
              <w:pStyle w:val="NormalWeb"/>
              <w:jc w:val="both"/>
              <w:rPr>
                <w:rFonts w:ascii="Arial" w:hAnsi="Arial" w:cs="Arial"/>
                <w:noProof/>
                <w:sz w:val="20"/>
                <w:szCs w:val="20"/>
              </w:rPr>
            </w:pPr>
            <w:r>
              <w:rPr>
                <w:rFonts w:ascii="Arial" w:hAnsi="Arial"/>
                <w:noProof/>
                <w:sz w:val="20"/>
                <w:szCs w:val="20"/>
              </w:rPr>
              <w:t>Problemele sunt: a) raportarea limitată a veniturilor dobândite prin intermediul platformelor digitale; b) ineficiențele în cooperarea dintre administrațiile fiscale. Pe măsură ce economia digitală se va extinde și se va dezvolta în următorii ani, în absența intervenției UE se estimează că problemele menționate se vor agrava. Evaluarea Directivei privind cooperarea administrativă a subliniat faptul că, deși cadrul de reglementare este în general solid, nu toate statele membre exploatează instrumentele disponibile în același mod. Se estimează că furnizarea unor clarificări cu privire la unele dintre caracteristicile specifice ale cooperării administrative (definiția relevanței previzibile, audituri comune, cereri referitoare la grupuri) va îmbunătăți eficiența și eficacitatea cooperării administrative. Caracterul digital și global al economiei platformelor digitale, corelat cu fragmentarea veniturilor obținute prin intermediul diferitelor platforme și cu diferențele dintre țări în ceea ce privește obligațiile de raportare, reprezintă o provocare în ceea ce privește raportarea adecvată a veniturilor obținute prin intermediul platformelor digitale. Statele membre consideră că raportarea limitată este destul de frecventă. Date fiind diferențele de punere în aplicare și de utilizare a informațiilor, cooperarea este ineficientă. Platformele digitale și administrațiile fiscale sunt părțile interesate cele mai afectate.</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 xml:space="preserve">Ce se așteaptă de la această inițiativă? </w:t>
            </w:r>
          </w:p>
        </w:tc>
      </w:tr>
      <w:tr>
        <w:tc>
          <w:tcPr>
            <w:tcW w:w="10188" w:type="dxa"/>
            <w:tcBorders>
              <w:bottom w:val="single" w:sz="4" w:space="0" w:color="auto"/>
            </w:tcBorders>
            <w:shd w:val="clear" w:color="auto" w:fill="auto"/>
          </w:tcPr>
          <w:p>
            <w:pPr>
              <w:pStyle w:val="NormalWeb"/>
              <w:jc w:val="both"/>
              <w:rPr>
                <w:rFonts w:ascii="Arial" w:hAnsi="Arial" w:cs="Arial"/>
                <w:noProof/>
                <w:sz w:val="20"/>
                <w:szCs w:val="20"/>
              </w:rPr>
            </w:pPr>
            <w:r>
              <w:rPr>
                <w:rFonts w:ascii="Arial" w:hAnsi="Arial"/>
                <w:noProof/>
                <w:sz w:val="20"/>
                <w:szCs w:val="20"/>
              </w:rPr>
              <w:t xml:space="preserve">Obiectivele principale vizează asigurarea unei funcționări echitabile și consecvente a pieței interne, protejând, în același timp, veniturile statelor membre și ale UE. Se preconizează că intervenția poate aduce venituri fiscale suplimentare în valoare de peste 30 de miliarde EUR, per total în UE, până în 2025.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Care este valoarea adăugată a acțiunii la nivelul UE?</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Acțiunile unilaterale ale statelor membre nu oferă o soluție eficientă și eficace la probleme care sunt în esență transnaționale: platformele digitale facilitează cumpărarea și vânzarea de mărfuri și servicii pe internet, indiferent de frontiere sau jurisdicții, oferind vânzătorilor posibilitatea de a obțină venituri de „oriunde altundeva”, nu doar în țara lor de rezidență fiscală. Ineficiențele în cooperarea administrativă necesită, de asemenea, soluții transnaționale, întrucât cooperarea prin definiție trebuie să aibă loc la nivel transfrontalier pentru a fi eficace. </w:t>
            </w:r>
          </w:p>
        </w:tc>
      </w:tr>
    </w:tbl>
    <w:p>
      <w:pPr>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szCs w:val="22"/>
              </w:rPr>
              <w:t>B. Soluții</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szCs w:val="20"/>
              </w:rPr>
              <w:t>Ce opțiuni de politică legislative și fără caracter legislativ au fost luate în considerare? Există sau nu o opțiune preferată? De ce?</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Au fost analizate următoarele opțiuni: a) orientări fără caracter legislativ; b) intervenție legislativă care include subopțiuni în ceea ce privește activitățile, operatorii platformelor și vânzătorii care intră în domeniul de aplicare; c) intervenție legislativă în vederea consolidării cooperării administrative. Opțiunea preferată este o intervenție legislativă pentru consolidarea cooperării administrative, care acoperă toate platformele și toți vânzătorii, pentru a asigura obținerea celor mai ample rezultate posibile în materie de respectare a obligațiilor fiscale și de asigurare a unor condiții de concurență echitabile. </w:t>
            </w:r>
          </w:p>
        </w:tc>
      </w:tr>
      <w:tr>
        <w:tc>
          <w:tcPr>
            <w:tcW w:w="10188" w:type="dxa"/>
            <w:shd w:val="clear" w:color="auto" w:fill="CCCCCC"/>
          </w:tcPr>
          <w:p>
            <w:pPr>
              <w:spacing w:before="60"/>
              <w:jc w:val="both"/>
              <w:rPr>
                <w:rFonts w:ascii="Tahoma" w:hAnsi="Tahoma" w:cs="Tahoma"/>
                <w:noProof/>
                <w:sz w:val="20"/>
                <w:szCs w:val="20"/>
              </w:rPr>
            </w:pPr>
            <w:r>
              <w:rPr>
                <w:rFonts w:ascii="Tahoma" w:hAnsi="Tahoma"/>
                <w:b/>
                <w:noProof/>
                <w:sz w:val="20"/>
                <w:szCs w:val="20"/>
              </w:rPr>
              <w:t>Care sunt susținătorii fiecărei opțiuni?</w:t>
            </w:r>
            <w:r>
              <w:rPr>
                <w:rFonts w:ascii="Tahoma" w:hAnsi="Tahoma"/>
                <w:noProof/>
                <w:sz w:val="20"/>
                <w:szCs w:val="20"/>
              </w:rPr>
              <w:t xml:space="preserve"> </w:t>
            </w:r>
          </w:p>
        </w:tc>
      </w:tr>
      <w:tr>
        <w:tc>
          <w:tcPr>
            <w:tcW w:w="10188" w:type="dxa"/>
            <w:shd w:val="clear" w:color="auto" w:fill="auto"/>
          </w:tcPr>
          <w:p>
            <w:pPr>
              <w:jc w:val="both"/>
              <w:rPr>
                <w:rFonts w:ascii="Arial" w:hAnsi="Arial" w:cs="Arial"/>
                <w:noProof/>
                <w:sz w:val="20"/>
                <w:szCs w:val="20"/>
              </w:rPr>
            </w:pPr>
            <w:r>
              <w:rPr>
                <w:rFonts w:ascii="Arial" w:hAnsi="Arial"/>
                <w:noProof/>
                <w:sz w:val="20"/>
                <w:szCs w:val="20"/>
              </w:rPr>
              <w:t>Majoritatea statelor membre și-au exprimat sprijinul pentru opțiunea preferată. Consultarea care a vizat operatorii platformelor a pledat în egală măsură pentru o intervenție legislativă, cu foarte mici diferențe între operatorii platformelor.</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szCs w:val="22"/>
              </w:rPr>
              <w:t>C. Impactul opțiunii preferate</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Care sunt beneficiile opțiunii preferate (sau ale opțiunilor principale, dacă nu există o opțiune preferată)?</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Se estimează că intervenția va avea beneficii economice directe semnificative. Intervenția va avea un impact pozitiv asupra colectării impozitelor, generând venituri fiscale suplimentare estimate la circa 30 de miliarde EUR (estimare la limita superioară). Veniturile respective vor permite finanțarea politicilor economice și sociale ale statelor membre. Se preconizează, de asemenea, că inițiativa va asigura condiții de concurență echitabile pentru operatorii platformelor și pentru utilizatorii platformelor care vând mărfuri și/sau servicii. Ea va contribui, de asemenea, la o mai mare echitate și încredere în sistemul fiscal, cu o repartizare echitabilă a sarcinilor fiscale </w:t>
            </w:r>
            <w:r>
              <w:rPr>
                <w:rFonts w:ascii="Arial" w:hAnsi="Arial"/>
                <w:noProof/>
                <w:sz w:val="20"/>
                <w:szCs w:val="20"/>
              </w:rPr>
              <w:lastRenderedPageBreak/>
              <w:t xml:space="preserve">între contribuabili. </w:t>
            </w:r>
          </w:p>
        </w:tc>
      </w:tr>
    </w:tbl>
    <w:p>
      <w:pPr>
        <w:widowControl w:val="0"/>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Care sunt costurile opțiunii preferate (sau ale opțiunilor principale, dacă nu există o opțiune preferată)?</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Prin analogie cu cerințele de raportare anterioare, costurile administrațiilor fiscale pot fi estimate la circa 200 de milioane EUR reprezentând costuri unice de dezvoltare și până la 30 de milioane EUR reprezentând costuri recurente. Costurile pentru platforme sunt estimate în total la 875 de milioane EUR reprezentând costuri unice și circa 100 de milioane EUR reprezentând costuri recurente. Costurile sunt estimate pentru toate platformele și, în medie, vor ajunge la câteva zeci de mii de euro per platformă (costuri recurente). Totuși, aceste estimări se bazează pe un număr de ipoteze și extrapolări și ar trebui utilizate cu precauție.</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 xml:space="preserve">Care va fi impactul asupra societăților, IMM-urilor și microîntreprinderilor? </w:t>
            </w:r>
          </w:p>
        </w:tc>
      </w:tr>
      <w:tr>
        <w:tc>
          <w:tcPr>
            <w:tcW w:w="10188" w:type="dxa"/>
            <w:tcBorders>
              <w:bottom w:val="single" w:sz="4" w:space="0" w:color="auto"/>
            </w:tcBorders>
            <w:shd w:val="clear" w:color="auto" w:fill="auto"/>
          </w:tcPr>
          <w:p>
            <w:pPr>
              <w:spacing w:before="60" w:after="60"/>
              <w:jc w:val="both"/>
              <w:rPr>
                <w:rFonts w:ascii="Arial" w:hAnsi="Arial" w:cs="Arial"/>
                <w:i/>
                <w:noProof/>
                <w:sz w:val="20"/>
                <w:szCs w:val="20"/>
              </w:rPr>
            </w:pPr>
            <w:r>
              <w:rPr>
                <w:rFonts w:ascii="Arial" w:hAnsi="Arial"/>
                <w:noProof/>
                <w:sz w:val="20"/>
                <w:szCs w:val="20"/>
              </w:rPr>
              <w:t>Se preconizează că intervenția va avea un impact asupra întreprinderilor mici și mijlocii, deoarece inițiativa vizează toate platformele digitale și toți vânzătorii, indiferent de dimensiune. Deși inițiativa va genera costuri de asigurare a conformității, aceasta poate fi mai favorabilă pentru IMM-uri decât mozaicul actual de cerințe de raportare de pe teritoriul UE. Inițiativa ar trebui, de asemenea, să asigure condiții de concurență echitabile pentru toți actorii, ceea ce ar trebui să fie în beneficiul IMM-urilor.</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szCs w:val="20"/>
              </w:rPr>
              <w:t>Va exista un impact semnificativ asupra bugetelor și asupra administrațiilor naționale?</w:t>
            </w:r>
            <w:r>
              <w:rPr>
                <w:rFonts w:ascii="Tahoma" w:hAnsi="Tahoma"/>
                <w:noProof/>
                <w:sz w:val="20"/>
                <w:szCs w:val="20"/>
              </w:rPr>
              <w:t xml:space="preserve"> </w:t>
            </w:r>
          </w:p>
        </w:tc>
      </w:tr>
      <w:tr>
        <w:tc>
          <w:tcPr>
            <w:tcW w:w="10188" w:type="dxa"/>
            <w:shd w:val="clear" w:color="auto" w:fill="auto"/>
          </w:tcPr>
          <w:p>
            <w:pPr>
              <w:jc w:val="both"/>
              <w:rPr>
                <w:rFonts w:ascii="Arial" w:hAnsi="Arial" w:cs="Arial"/>
                <w:noProof/>
                <w:sz w:val="20"/>
                <w:szCs w:val="20"/>
              </w:rPr>
            </w:pPr>
            <w:r>
              <w:rPr>
                <w:rFonts w:ascii="Arial" w:hAnsi="Arial"/>
                <w:noProof/>
                <w:sz w:val="20"/>
                <w:szCs w:val="20"/>
              </w:rPr>
              <w:t xml:space="preserve">Vor exista costuri suplimentare pentru administrațiile fiscale legate de dezvoltarea unor sisteme informatice care să permită raportarea, stocarea și utilizarea datelor, estimate, pentru toate cele 27 de administrații fiscale din UE, la circa 200 de milioane EUR reprezentând costuri unice de dezvoltare și până la 30 de milioane EUR reprezentând costuri recurente. Beneficiile pentru bugetele naționale în ceea ce privește veniturile fiscale suplimentare sunt estimate la zeci de miliarde EUR (estimare la limita superioară: circa 30 de miliarde EUR). </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szCs w:val="20"/>
              </w:rPr>
              <w:t>Vor exista și alte efecte semnificative?</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Intervenția va respecta Regulamentul general privind protecția datelor și, prin urmare, nu va avea un impact negativ asupra dreptului fundamental la protecția datelor cu caracter personal. </w:t>
            </w: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szCs w:val="22"/>
              </w:rPr>
              <w:t>D. Acțiuni subsecvente</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szCs w:val="20"/>
              </w:rPr>
              <w:t xml:space="preserve">Când va fi revizuită politica? </w:t>
            </w:r>
          </w:p>
        </w:tc>
      </w:tr>
      <w:tr>
        <w:tc>
          <w:tcPr>
            <w:tcW w:w="10188" w:type="dxa"/>
            <w:tcBorders>
              <w:bottom w:val="single" w:sz="4" w:space="0" w:color="auto"/>
            </w:tcBorders>
            <w:shd w:val="clear" w:color="auto" w:fill="auto"/>
          </w:tcPr>
          <w:p>
            <w:pPr>
              <w:jc w:val="both"/>
              <w:rPr>
                <w:rFonts w:ascii="Tahoma" w:hAnsi="Tahoma" w:cs="Tahoma"/>
                <w:noProof/>
                <w:sz w:val="20"/>
                <w:szCs w:val="20"/>
              </w:rPr>
            </w:pPr>
            <w:r>
              <w:rPr>
                <w:rFonts w:ascii="Arial" w:hAnsi="Arial"/>
                <w:noProof/>
                <w:sz w:val="20"/>
                <w:szCs w:val="20"/>
              </w:rPr>
              <w:t>Intervenția va fi monitorizată prin intermediul informațiilor colectate în cadrul unor anchete anuale și al discuțiilor cu administrațiile fiscale. O evaluare mai cuprinzătoare va avea loc</w:t>
            </w:r>
            <w:r>
              <w:rPr>
                <w:rFonts w:ascii="Tahoma" w:hAnsi="Tahoma"/>
                <w:noProof/>
                <w:sz w:val="20"/>
                <w:szCs w:val="20"/>
              </w:rPr>
              <w:t xml:space="preserve"> în 2023, când Comisia trebuie să prezinte Parlamentului European și Consiliului un raport privind funcționarea Directivei privind cooperarea administrativă în domeniul impozitării directe. </w:t>
            </w:r>
          </w:p>
        </w:tc>
      </w:tr>
    </w:tbl>
    <w:p>
      <w:pPr>
        <w:rPr>
          <w:noProof/>
        </w:rPr>
      </w:pPr>
    </w:p>
    <w:sectPr>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SpellingErrors/>
  <w:hideGrammaticalErrors/>
  <w:revisionView w:markup="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care înso\u355?e\u351?te documentul"/>
    <w:docVar w:name="LW_CORRIGENDUM" w:val="&lt;UNUSED&gt;"/>
    <w:docVar w:name="LW_COVERPAGE_EXISTS" w:val="True"/>
    <w:docVar w:name="LW_COVERPAGE_GUID" w:val="1065DC44-3FCC-479B-8533-A82538668873"/>
    <w:docVar w:name="LW_COVERPAGE_TYPE" w:val="1"/>
    <w:docVar w:name="LW_CROSSREFERENCE" w:val="{COM(2020) 314 final} - {SEC(2020) 271 final} - {SWD(2020) 129 final} - {SWD(2020) 131 final}"/>
    <w:docVar w:name="LW_DocType" w:val="NORMAL"/>
    <w:docVar w:name="LW_EMISSION" w:val="15.7.2020"/>
    <w:docVar w:name="LW_EMISSION_ISODATE" w:val="2020-07-15"/>
    <w:docVar w:name="LW_EMISSION_LOCATION" w:val="BRX"/>
    <w:docVar w:name="LW_EMISSION_PREFIX" w:val="Bruxelles, "/>
    <w:docVar w:name="LW_EMISSION_SUFFIX" w:val=" "/>
    <w:docVar w:name="LW_ID_DOCTYPE_NONLW" w:val="CP-027"/>
    <w:docVar w:name="LW_LANGUE" w:val="RO"/>
    <w:docVar w:name="LW_LEVEL_OF_SENSITIVITY" w:val="Standard treatment"/>
    <w:docVar w:name="LW_NOM.INST" w:val="COMISIA EUROPEAN\u258?"/>
    <w:docVar w:name="LW_NOM.INST_JOINTDOC" w:val="&lt;EMPTY&gt;"/>
    <w:docVar w:name="LW_OBJETACTEPRINCIPAL.CP" w:val="de modificare a·Directivei 2011/16/UE privind cooperarea administrativ\u259? în domeniul fiscal"/>
    <w:docVar w:name="LW_PART_NBR" w:val="1"/>
    <w:docVar w:name="LW_PART_NBR_TOTAL" w:val="1"/>
    <w:docVar w:name="LW_REF.INST.NEW" w:val="SWD"/>
    <w:docVar w:name="LW_REF.INST.NEW_ADOPTED" w:val="final"/>
    <w:docVar w:name="LW_REF.INST.NEW_TEXT" w:val="(2020) 1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Frauda \u537?i evaziunea fiscal\u259? \u8211? o mai bun\u259? cooperare între autorit\u259?\u539?ile fiscale na\u539?ionale în ceea ce prive\u537?te schimbul de informa\u539?ii_x000d__x000d__x000d__x000d__x000b_"/>
    <w:docVar w:name="LW_TYPE.DOC.CP" w:val="DOCUMENT DE LUCRU AL SERVICIILOR COMISIEI_x000b__x000b_REZUMAT AL RAPORTULUI PRIVIND EVALUAREA IMPACTULUI_x000b_"/>
    <w:docVar w:name="LW_TYPEACTEPRINCIPAL.CP" w:val="Propunere de Directiv\u259? a Consiliulu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HeaderSensitivityRight">
    <w:name w:val="Header Sensitivity Right"/>
    <w:basedOn w:val="Normal"/>
    <w:pPr>
      <w:spacing w:after="120"/>
      <w:jc w:val="right"/>
    </w:pPr>
    <w:rPr>
      <w:sz w:val="28"/>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lang w:eastAsia="en-US"/>
    </w:rPr>
  </w:style>
  <w:style w:type="paragraph" w:customStyle="1" w:styleId="SecurityMarking">
    <w:name w:val="SecurityMarking"/>
    <w:basedOn w:val="Normal"/>
    <w:pPr>
      <w:spacing w:line="276" w:lineRule="auto"/>
      <w:ind w:left="5103"/>
    </w:pPr>
    <w:rPr>
      <w:rFonts w:eastAsiaTheme="minorHAnsi"/>
      <w:sz w:val="28"/>
      <w:szCs w:val="22"/>
      <w:lang w:eastAsia="en-US"/>
    </w:rPr>
  </w:style>
  <w:style w:type="paragraph" w:customStyle="1" w:styleId="DateMarking">
    <w:name w:val="DateMarking"/>
    <w:basedOn w:val="Normal"/>
    <w:pPr>
      <w:spacing w:line="276" w:lineRule="auto"/>
      <w:ind w:left="5103"/>
    </w:pPr>
    <w:rPr>
      <w:rFonts w:eastAsiaTheme="minorHAnsi"/>
      <w:i/>
      <w:sz w:val="28"/>
      <w:szCs w:val="22"/>
      <w:lang w:eastAsia="en-US"/>
    </w:rPr>
  </w:style>
  <w:style w:type="paragraph" w:customStyle="1" w:styleId="ReleasableTo">
    <w:name w:val="ReleasableTo"/>
    <w:basedOn w:val="Normal"/>
    <w:pPr>
      <w:spacing w:line="276" w:lineRule="auto"/>
      <w:ind w:left="5103"/>
    </w:pPr>
    <w:rPr>
      <w:rFonts w:eastAsiaTheme="minorHAnsi"/>
      <w:i/>
      <w:sz w:val="28"/>
      <w:szCs w:val="22"/>
      <w:lang w:eastAsia="en-US"/>
    </w:rPr>
  </w:style>
  <w:style w:type="paragraph" w:styleId="NormalWeb">
    <w:name w:val="Normal (Web)"/>
    <w:basedOn w:val="Normal"/>
    <w:uiPriority w:val="99"/>
    <w:unhideWhenUsed/>
    <w:pPr>
      <w:spacing w:before="100" w:beforeAutospacing="1" w:after="100" w:afterAutospacing="1"/>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HeaderSensitivityRight">
    <w:name w:val="Header Sensitivity Right"/>
    <w:basedOn w:val="Normal"/>
    <w:pPr>
      <w:spacing w:after="120"/>
      <w:jc w:val="right"/>
    </w:pPr>
    <w:rPr>
      <w:sz w:val="28"/>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lang w:eastAsia="en-US"/>
    </w:rPr>
  </w:style>
  <w:style w:type="paragraph" w:customStyle="1" w:styleId="SecurityMarking">
    <w:name w:val="SecurityMarking"/>
    <w:basedOn w:val="Normal"/>
    <w:pPr>
      <w:spacing w:line="276" w:lineRule="auto"/>
      <w:ind w:left="5103"/>
    </w:pPr>
    <w:rPr>
      <w:rFonts w:eastAsiaTheme="minorHAnsi"/>
      <w:sz w:val="28"/>
      <w:szCs w:val="22"/>
      <w:lang w:eastAsia="en-US"/>
    </w:rPr>
  </w:style>
  <w:style w:type="paragraph" w:customStyle="1" w:styleId="DateMarking">
    <w:name w:val="DateMarking"/>
    <w:basedOn w:val="Normal"/>
    <w:pPr>
      <w:spacing w:line="276" w:lineRule="auto"/>
      <w:ind w:left="5103"/>
    </w:pPr>
    <w:rPr>
      <w:rFonts w:eastAsiaTheme="minorHAnsi"/>
      <w:i/>
      <w:sz w:val="28"/>
      <w:szCs w:val="22"/>
      <w:lang w:eastAsia="en-US"/>
    </w:rPr>
  </w:style>
  <w:style w:type="paragraph" w:customStyle="1" w:styleId="ReleasableTo">
    <w:name w:val="ReleasableTo"/>
    <w:basedOn w:val="Normal"/>
    <w:pPr>
      <w:spacing w:line="276" w:lineRule="auto"/>
      <w:ind w:left="5103"/>
    </w:pPr>
    <w:rPr>
      <w:rFonts w:eastAsiaTheme="minorHAnsi"/>
      <w:i/>
      <w:sz w:val="28"/>
      <w:szCs w:val="22"/>
      <w:lang w:eastAsia="en-US"/>
    </w:rPr>
  </w:style>
  <w:style w:type="paragraph" w:styleId="NormalWeb">
    <w:name w:val="Normal (Web)"/>
    <w:basedOn w:val="Normal"/>
    <w:uiPriority w:val="99"/>
    <w:unhideWhenUsed/>
    <w:pPr>
      <w:spacing w:before="100" w:beforeAutospacing="1" w:after="100" w:afterAutospacing="1"/>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941641">
      <w:bodyDiv w:val="1"/>
      <w:marLeft w:val="0"/>
      <w:marRight w:val="0"/>
      <w:marTop w:val="0"/>
      <w:marBottom w:val="0"/>
      <w:divBdr>
        <w:top w:val="none" w:sz="0" w:space="0" w:color="auto"/>
        <w:left w:val="none" w:sz="0" w:space="0" w:color="auto"/>
        <w:bottom w:val="none" w:sz="0" w:space="0" w:color="auto"/>
        <w:right w:val="none" w:sz="0" w:space="0" w:color="auto"/>
      </w:divBdr>
    </w:div>
    <w:div w:id="883326868">
      <w:bodyDiv w:val="1"/>
      <w:marLeft w:val="0"/>
      <w:marRight w:val="0"/>
      <w:marTop w:val="0"/>
      <w:marBottom w:val="0"/>
      <w:divBdr>
        <w:top w:val="none" w:sz="0" w:space="0" w:color="auto"/>
        <w:left w:val="none" w:sz="0" w:space="0" w:color="auto"/>
        <w:bottom w:val="none" w:sz="0" w:space="0" w:color="auto"/>
        <w:right w:val="none" w:sz="0" w:space="0" w:color="auto"/>
      </w:divBdr>
    </w:div>
    <w:div w:id="118235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735F6FC079E4FA3D1715B7C735EF2" ma:contentTypeVersion="1" ma:contentTypeDescription="Create a new document in this library." ma:contentTypeScope="" ma:versionID="c60dff60fa9944708975c9241d964771">
  <xsd:schema xmlns:xsd="http://www.w3.org/2001/XMLSchema" xmlns:xs="http://www.w3.org/2001/XMLSchema" xmlns:p="http://schemas.microsoft.com/office/2006/metadata/properties" xmlns:ns3="854e86e4-aa1e-45db-b9e8-ab43264c33fa" targetNamespace="http://schemas.microsoft.com/office/2006/metadata/properties" ma:root="true" ma:fieldsID="c8b0a543e1d400058d3c599eb83784b5" ns3:_="">
    <xsd:import namespace="854e86e4-aa1e-45db-b9e8-ab43264c33fa"/>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e86e4-aa1e-45db-b9e8-ab43264c33f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854e86e4-aa1e-45db-b9e8-ab43264c33fa">EN</EC_Collab_DocumentLanguage>
    <EC_Collab_Status xmlns="854e86e4-aa1e-45db-b9e8-ab43264c33fa">Not Started</EC_Collab_Status>
    <EC_Collab_Reference xmlns="854e86e4-aa1e-45db-b9e8-ab43264c33f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85CD6-5728-41DA-956B-01D72C5AD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e86e4-aa1e-45db-b9e8-ab43264c3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20CC9-8F53-46D2-A295-249EEDFD4FE1}">
  <ds:schemaRefs>
    <ds:schemaRef ds:uri="http://schemas.microsoft.com/sharepoint/v3/contenttype/forms"/>
  </ds:schemaRefs>
</ds:datastoreItem>
</file>

<file path=customXml/itemProps3.xml><?xml version="1.0" encoding="utf-8"?>
<ds:datastoreItem xmlns:ds="http://schemas.openxmlformats.org/officeDocument/2006/customXml" ds:itemID="{D74899C0-BE19-4A0A-B702-82504C47FAD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54e86e4-aa1e-45db-b9e8-ab43264c33fa"/>
    <ds:schemaRef ds:uri="http://www.w3.org/XML/1998/namespace"/>
    <ds:schemaRef ds:uri="http://purl.org/dc/dcmitype/"/>
  </ds:schemaRefs>
</ds:datastoreItem>
</file>

<file path=customXml/itemProps4.xml><?xml version="1.0" encoding="utf-8"?>
<ds:datastoreItem xmlns:ds="http://schemas.openxmlformats.org/officeDocument/2006/customXml" ds:itemID="{B678F078-780A-462F-907A-F287BD80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6274</Characters>
  <Application>Microsoft Office Word</Application>
  <DocSecurity>0</DocSecurity>
  <Lines>87</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2020-06-22T13:53:00Z</dcterms:created>
  <dcterms:modified xsi:type="dcterms:W3CDTF">2020-07-22T14:23:00Z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Order">
    <vt:r8>400</vt:r8>
  </property>
  <property fmtid="{D5CDD505-2E9C-101B-9397-08002B2CF9AE}" pid="4" name="xd_Signature">
    <vt:bool>false</vt:bool>
  </property>
  <property fmtid="{D5CDD505-2E9C-101B-9397-08002B2CF9AE}" pid="5" name="Level of sensitivity">
    <vt:lpwstr>Standard treatment</vt:lpwstr>
  </property>
  <property fmtid="{D5CDD505-2E9C-101B-9397-08002B2CF9AE}" pid="6" name="_LW_INVALIDATED__LW_INVALIDATED_ContentTypeId">
    <vt:lpwstr>0x010100258AA79CEB83498886A3A08681123250003B9735F6FC079E4FA3D1715B7C735EF2</vt:lpwstr>
  </property>
  <property fmtid="{D5CDD505-2E9C-101B-9397-08002B2CF9AE}" pid="7" name="_LW_INVALIDATED__LW_INVALIDATED__LW_INVALIDATED_ContentTypeId">
    <vt:lpwstr>0x010100AB6DCF41F10D214DBDDF7E1F5EB8F7C1</vt:lpwstr>
  </property>
  <property fmtid="{D5CDD505-2E9C-101B-9397-08002B2CF9AE}" pid="8" name="Part">
    <vt:lpwstr>1</vt:lpwstr>
  </property>
  <property fmtid="{D5CDD505-2E9C-101B-9397-08002B2CF9AE}" pid="9" name="xd_ProgID">
    <vt:lpwstr/>
  </property>
  <property fmtid="{D5CDD505-2E9C-101B-9397-08002B2CF9AE}" pid="10" name="Last edited using">
    <vt:lpwstr>LW 7.0.1, Build 20190916</vt:lpwstr>
  </property>
  <property fmtid="{D5CDD505-2E9C-101B-9397-08002B2CF9AE}" pid="11" name="_NewReviewCycle">
    <vt:lpwstr/>
  </property>
  <property fmtid="{D5CDD505-2E9C-101B-9397-08002B2CF9AE}" pid="12" name="ContentTypeId">
    <vt:lpwstr>0x010100258AA79CEB83498886A3A08681123250003B9735F6FC079E4FA3D1715B7C735EF2</vt:lpwstr>
  </property>
  <property fmtid="{D5CDD505-2E9C-101B-9397-08002B2CF9AE}" pid="13" name="Total parts">
    <vt:lpwstr>1</vt:lpwstr>
  </property>
  <property fmtid="{D5CDD505-2E9C-101B-9397-08002B2CF9AE}" pid="14" name="TemplateUrl">
    <vt:lpwstr/>
  </property>
  <property fmtid="{D5CDD505-2E9C-101B-9397-08002B2CF9AE}" pid="15" name="CPTemplateID">
    <vt:lpwstr>CP-027</vt:lpwstr>
  </property>
</Properties>
</file>