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D07FBAA-3B1C-4BB7-AD78-315E26BF9B36"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pStyle w:val="Avertissementtitre"/>
        <w:rPr>
          <w:noProof/>
        </w:rPr>
      </w:pPr>
      <w:r>
        <w:rPr>
          <w:noProof/>
        </w:rPr>
        <w:t>Informações que devem constar do relatório a que se refere o artigo 4.º</w:t>
      </w:r>
    </w:p>
    <w:p>
      <w:pPr>
        <w:rPr>
          <w:noProof/>
        </w:rPr>
      </w:pPr>
    </w:p>
    <w:p>
      <w:pPr>
        <w:pStyle w:val="NumPar1"/>
        <w:numPr>
          <w:ilvl w:val="0"/>
          <w:numId w:val="3"/>
        </w:numPr>
        <w:rPr>
          <w:noProof/>
        </w:rPr>
      </w:pPr>
      <w:r>
        <w:rPr>
          <w:noProof/>
        </w:rPr>
        <w:t>Estimativa dos custos adicionais. Devem ser fornecidas informações sobre cada tipo de rum («rhum agricole» e «rhum de sucrerie») que beneficia da taxa reduzida dos impostos indiretos em causa. As autoridades francesas devem preencher o quadro 1 com, pelo menos, as seguintes informações, caso estejam disponíveis. As informações fornecidas no quadro devem ser suficientes para avaliar os custos adicionais suportados pelos produtores nas regiões ultraperiféricas francesas.</w:t>
      </w:r>
    </w:p>
    <w:p>
      <w:pPr>
        <w:pStyle w:val="TableTitle"/>
        <w:rPr>
          <w:noProof/>
        </w:rPr>
      </w:pPr>
      <w:r>
        <w:rPr>
          <w:noProof/>
        </w:rPr>
        <w:t>Quadro 1</w:t>
      </w:r>
    </w:p>
    <w:tbl>
      <w:tblPr>
        <w:tblStyle w:val="TableGrid"/>
        <w:tblW w:w="0" w:type="auto"/>
        <w:tblInd w:w="817" w:type="dxa"/>
        <w:tblLayout w:type="fixed"/>
        <w:tblLook w:val="04A0" w:firstRow="1" w:lastRow="0" w:firstColumn="1" w:lastColumn="0" w:noHBand="0" w:noVBand="1"/>
      </w:tblPr>
      <w:tblGrid>
        <w:gridCol w:w="2191"/>
        <w:gridCol w:w="1420"/>
        <w:gridCol w:w="1244"/>
        <w:gridCol w:w="1396"/>
        <w:gridCol w:w="1228"/>
        <w:gridCol w:w="993"/>
      </w:tblGrid>
      <w:tr>
        <w:tc>
          <w:tcPr>
            <w:tcW w:w="2191" w:type="dxa"/>
          </w:tcPr>
          <w:p>
            <w:pPr>
              <w:rPr>
                <w:noProof/>
              </w:rPr>
            </w:pPr>
          </w:p>
        </w:tc>
        <w:tc>
          <w:tcPr>
            <w:tcW w:w="1420" w:type="dxa"/>
          </w:tcPr>
          <w:p>
            <w:pPr>
              <w:rPr>
                <w:noProof/>
              </w:rPr>
            </w:pPr>
            <w:r>
              <w:rPr>
                <w:noProof/>
              </w:rPr>
              <w:t>Guadalupe (EUR)</w:t>
            </w:r>
          </w:p>
        </w:tc>
        <w:tc>
          <w:tcPr>
            <w:tcW w:w="1244" w:type="dxa"/>
          </w:tcPr>
          <w:p>
            <w:pPr>
              <w:rPr>
                <w:noProof/>
              </w:rPr>
            </w:pPr>
            <w:r>
              <w:rPr>
                <w:noProof/>
              </w:rPr>
              <w:t xml:space="preserve">Guiana Francesa (EUR) </w:t>
            </w:r>
          </w:p>
        </w:tc>
        <w:tc>
          <w:tcPr>
            <w:tcW w:w="1396" w:type="dxa"/>
          </w:tcPr>
          <w:p>
            <w:pPr>
              <w:rPr>
                <w:noProof/>
              </w:rPr>
            </w:pPr>
            <w:r>
              <w:rPr>
                <w:noProof/>
              </w:rPr>
              <w:t>Martinica (EUR)</w:t>
            </w:r>
          </w:p>
        </w:tc>
        <w:tc>
          <w:tcPr>
            <w:tcW w:w="1228" w:type="dxa"/>
          </w:tcPr>
          <w:p>
            <w:pPr>
              <w:rPr>
                <w:noProof/>
              </w:rPr>
            </w:pPr>
            <w:r>
              <w:rPr>
                <w:noProof/>
              </w:rPr>
              <w:t xml:space="preserve"> Reunião (EUR)</w:t>
            </w:r>
          </w:p>
        </w:tc>
        <w:tc>
          <w:tcPr>
            <w:tcW w:w="993" w:type="dxa"/>
          </w:tcPr>
          <w:p>
            <w:pPr>
              <w:rPr>
                <w:noProof/>
              </w:rPr>
            </w:pPr>
            <w:r>
              <w:rPr>
                <w:noProof/>
              </w:rPr>
              <w:t>Notas</w:t>
            </w:r>
            <w:r>
              <w:rPr>
                <w:noProof/>
                <w:vertAlign w:val="superscript"/>
              </w:rPr>
              <w:t>2</w:t>
            </w:r>
          </w:p>
        </w:tc>
      </w:tr>
      <w:tr>
        <w:tc>
          <w:tcPr>
            <w:tcW w:w="2191" w:type="dxa"/>
          </w:tcPr>
          <w:p>
            <w:pPr>
              <w:rPr>
                <w:noProof/>
              </w:rPr>
            </w:pPr>
            <w:r>
              <w:rPr>
                <w:noProof/>
              </w:rPr>
              <w:t>Preço da cana-de-açúcar (por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Preço de melaços (por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Custos de transporte (por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Mão-de-obra (por hectolitro de álcool puro (hlap))</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Outros fatores de produção (por hlap)</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Custos de amortização</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Custos de conformidade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Outros custos</w:t>
            </w:r>
            <w:r>
              <w:rPr>
                <w:noProof/>
                <w:vertAlign w:val="superscript"/>
              </w:rPr>
              <w:t>1</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bl>
    <w:p>
      <w:pPr>
        <w:rPr>
          <w:noProof/>
          <w:sz w:val="18"/>
          <w:szCs w:val="18"/>
        </w:rPr>
      </w:pPr>
      <w:r>
        <w:rPr>
          <w:noProof/>
          <w:sz w:val="18"/>
          <w:szCs w:val="18"/>
        </w:rPr>
        <w:t>Notas sobre o quadro:</w:t>
      </w:r>
    </w:p>
    <w:p>
      <w:pPr>
        <w:pStyle w:val="Point0number"/>
        <w:numPr>
          <w:ilvl w:val="0"/>
          <w:numId w:val="4"/>
        </w:numPr>
        <w:rPr>
          <w:noProof/>
          <w:sz w:val="18"/>
          <w:szCs w:val="18"/>
        </w:rPr>
      </w:pPr>
      <w:r>
        <w:rPr>
          <w:noProof/>
          <w:sz w:val="18"/>
          <w:szCs w:val="18"/>
        </w:rPr>
        <w:t xml:space="preserve"> Fornecer informações sobre os custos relativos à água, à energia e aos resíduos e outros custos pertinentes.</w:t>
      </w:r>
    </w:p>
    <w:p>
      <w:pPr>
        <w:pStyle w:val="Point0number"/>
        <w:rPr>
          <w:noProof/>
          <w:sz w:val="18"/>
          <w:szCs w:val="18"/>
        </w:rPr>
      </w:pPr>
      <w:r>
        <w:rPr>
          <w:noProof/>
          <w:sz w:val="18"/>
          <w:szCs w:val="18"/>
        </w:rPr>
        <w:t>Fornecer informações sobre todas as especificações e os esclarecimentos subjacentes aos métodos de cálculo.</w:t>
      </w:r>
    </w:p>
    <w:p>
      <w:pPr>
        <w:rPr>
          <w:noProof/>
        </w:rPr>
      </w:pPr>
    </w:p>
    <w:p>
      <w:pPr>
        <w:rPr>
          <w:noProof/>
        </w:rPr>
      </w:pPr>
    </w:p>
    <w:p>
      <w:pPr>
        <w:pStyle w:val="NumPar1"/>
        <w:rPr>
          <w:noProof/>
        </w:rPr>
      </w:pPr>
      <w:r>
        <w:rPr>
          <w:noProof/>
        </w:rPr>
        <w:t>Outras subvenções. As autoridades francesas devem preencher o quadro 2, mencionando todas as outras medidas de auxílio e de apoio destinadas a fazer face aos custos adicionais de funcionamento suportados pelos operadores económicos ligados ao estatuto ultraperiférico das regiões.</w:t>
      </w:r>
    </w:p>
    <w:p>
      <w:pPr>
        <w:pStyle w:val="TableTitle"/>
        <w:rPr>
          <w:noProof/>
        </w:rPr>
      </w:pPr>
      <w:r>
        <w:rPr>
          <w:noProof/>
        </w:rPr>
        <w:t>Quadro 2</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43"/>
        <w:gridCol w:w="824"/>
        <w:gridCol w:w="1229"/>
        <w:gridCol w:w="1405"/>
        <w:gridCol w:w="1724"/>
        <w:gridCol w:w="1522"/>
        <w:gridCol w:w="1177"/>
      </w:tblGrid>
      <w:tr>
        <w:tc>
          <w:tcPr>
            <w:tcW w:w="59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Ajuda / medida de apoio</w:t>
            </w:r>
            <w:r>
              <w:rPr>
                <w:noProof/>
                <w:vertAlign w:val="superscript"/>
              </w:rPr>
              <w:t>1</w:t>
            </w:r>
          </w:p>
        </w:tc>
        <w:tc>
          <w:tcPr>
            <w:tcW w:w="48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Período</w:t>
            </w:r>
            <w:r>
              <w:rPr>
                <w:noProof/>
                <w:vertAlign w:val="superscript"/>
              </w:rPr>
              <w:t>2</w:t>
            </w:r>
            <w:r>
              <w:rPr>
                <w:noProof/>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Setor-alvo</w:t>
            </w:r>
            <w:r>
              <w:rPr>
                <w:noProof/>
                <w:vertAlign w:val="superscript"/>
              </w:rPr>
              <w:t>3</w:t>
            </w:r>
          </w:p>
        </w:tc>
        <w:tc>
          <w:tcPr>
            <w:tcW w:w="49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Montante do orçamento em EUR</w:t>
            </w:r>
            <w:r>
              <w:rPr>
                <w:noProof/>
                <w:vertAlign w:val="superscript"/>
              </w:rPr>
              <w:t>4</w:t>
            </w:r>
          </w:p>
        </w:tc>
        <w:tc>
          <w:tcPr>
            <w:tcW w:w="74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Despesas anuais em EUR (2019-2024)</w:t>
            </w:r>
            <w:r>
              <w:rPr>
                <w:noProof/>
                <w:vertAlign w:val="superscript"/>
              </w:rPr>
              <w:t>5</w:t>
            </w:r>
          </w:p>
        </w:tc>
        <w:tc>
          <w:tcPr>
            <w:tcW w:w="9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Parte do orçamento imputável à compensação dos custos adicionais</w:t>
            </w:r>
            <w:r>
              <w:rPr>
                <w:noProof/>
                <w:vertAlign w:val="superscript"/>
              </w:rPr>
              <w:t>6</w:t>
            </w:r>
            <w:r>
              <w:rPr>
                <w:noProof/>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Número estimado de empresas beneficiárias</w:t>
            </w:r>
            <w:r>
              <w:rPr>
                <w:noProof/>
                <w:vertAlign w:val="superscript"/>
              </w:rPr>
              <w:t>7</w:t>
            </w:r>
            <w:r>
              <w:rPr>
                <w:noProof/>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Notas</w:t>
            </w:r>
            <w:r>
              <w:rPr>
                <w:noProof/>
                <w:vertAlign w:val="superscript"/>
              </w:rPr>
              <w:t>8</w:t>
            </w: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r>
              <w:rPr>
                <w:noProof/>
              </w:rPr>
              <w:t>[lista]</w:t>
            </w: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bl>
    <w:p>
      <w:pPr>
        <w:rPr>
          <w:noProof/>
          <w:sz w:val="18"/>
          <w:szCs w:val="18"/>
        </w:rPr>
      </w:pPr>
      <w:r>
        <w:rPr>
          <w:noProof/>
          <w:sz w:val="18"/>
          <w:szCs w:val="18"/>
        </w:rPr>
        <w:t xml:space="preserve">Notas sobre o quadro: </w:t>
      </w:r>
    </w:p>
    <w:p>
      <w:pPr>
        <w:pStyle w:val="Point0number"/>
        <w:numPr>
          <w:ilvl w:val="0"/>
          <w:numId w:val="1"/>
        </w:numPr>
        <w:rPr>
          <w:noProof/>
          <w:sz w:val="18"/>
          <w:szCs w:val="18"/>
        </w:rPr>
      </w:pPr>
      <w:r>
        <w:rPr>
          <w:noProof/>
          <w:sz w:val="18"/>
          <w:szCs w:val="18"/>
        </w:rPr>
        <w:t xml:space="preserve">Fornecer informações sobre a identificação e o tipo de medida (programa, número de auxílio estatal, etc.). </w:t>
      </w:r>
    </w:p>
    <w:p>
      <w:pPr>
        <w:pStyle w:val="Point0number"/>
        <w:rPr>
          <w:noProof/>
          <w:sz w:val="18"/>
          <w:szCs w:val="18"/>
        </w:rPr>
      </w:pPr>
      <w:r>
        <w:rPr>
          <w:noProof/>
          <w:sz w:val="18"/>
          <w:szCs w:val="18"/>
        </w:rPr>
        <w:t xml:space="preserve">Fornecer informações sobre os anos abrangidos pela medida. </w:t>
      </w:r>
    </w:p>
    <w:p>
      <w:pPr>
        <w:pStyle w:val="Point0number"/>
        <w:rPr>
          <w:noProof/>
          <w:sz w:val="18"/>
          <w:szCs w:val="18"/>
        </w:rPr>
      </w:pPr>
      <w:r>
        <w:rPr>
          <w:noProof/>
          <w:sz w:val="18"/>
          <w:szCs w:val="18"/>
        </w:rPr>
        <w:t xml:space="preserve">Fornecer informações relativamente às medidas orientadas para o setor. </w:t>
      </w:r>
    </w:p>
    <w:p>
      <w:pPr>
        <w:pStyle w:val="Point0number"/>
        <w:rPr>
          <w:noProof/>
          <w:sz w:val="18"/>
          <w:szCs w:val="18"/>
        </w:rPr>
      </w:pPr>
      <w:r>
        <w:rPr>
          <w:noProof/>
          <w:sz w:val="18"/>
          <w:szCs w:val="18"/>
        </w:rPr>
        <w:t>Fornecer informações sobre o orçamento global da medida e sobre as fontes de financiamento.</w:t>
      </w:r>
    </w:p>
    <w:p>
      <w:pPr>
        <w:pStyle w:val="Point0number"/>
        <w:rPr>
          <w:noProof/>
          <w:sz w:val="18"/>
          <w:szCs w:val="18"/>
        </w:rPr>
      </w:pPr>
      <w:r>
        <w:rPr>
          <w:noProof/>
          <w:sz w:val="18"/>
          <w:szCs w:val="18"/>
        </w:rPr>
        <w:t>Fornecer informações sobre as despesas efetivas anuais no período de referência (2019-2024), se disponíveis.</w:t>
      </w:r>
    </w:p>
    <w:p>
      <w:pPr>
        <w:pStyle w:val="Point0number"/>
        <w:rPr>
          <w:noProof/>
          <w:sz w:val="18"/>
          <w:szCs w:val="18"/>
        </w:rPr>
      </w:pPr>
      <w:r>
        <w:rPr>
          <w:noProof/>
          <w:sz w:val="18"/>
          <w:szCs w:val="18"/>
        </w:rPr>
        <w:t>Fornecer uma estimativa aproximada, em % do orçamento global.</w:t>
      </w:r>
    </w:p>
    <w:p>
      <w:pPr>
        <w:pStyle w:val="Point0number"/>
        <w:rPr>
          <w:noProof/>
          <w:sz w:val="18"/>
          <w:szCs w:val="18"/>
        </w:rPr>
      </w:pPr>
      <w:r>
        <w:rPr>
          <w:noProof/>
          <w:sz w:val="18"/>
          <w:szCs w:val="18"/>
        </w:rPr>
        <w:t xml:space="preserve">Fornecer estimativas aproximadas, se disponíveis. </w:t>
      </w:r>
    </w:p>
    <w:p>
      <w:pPr>
        <w:pStyle w:val="Point0number"/>
        <w:rPr>
          <w:noProof/>
          <w:sz w:val="18"/>
          <w:szCs w:val="18"/>
        </w:rPr>
      </w:pPr>
      <w:r>
        <w:rPr>
          <w:noProof/>
          <w:sz w:val="18"/>
          <w:szCs w:val="18"/>
        </w:rPr>
        <w:t>Fornecer observações e esclarecimentos.</w:t>
      </w:r>
    </w:p>
    <w:p>
      <w:pPr>
        <w:rPr>
          <w:noProof/>
        </w:rPr>
      </w:pPr>
    </w:p>
    <w:p>
      <w:pPr>
        <w:rPr>
          <w:noProof/>
        </w:rPr>
      </w:pPr>
    </w:p>
    <w:p>
      <w:pPr>
        <w:pStyle w:val="NumPar1"/>
        <w:rPr>
          <w:noProof/>
        </w:rPr>
      </w:pPr>
      <w:r>
        <w:rPr>
          <w:noProof/>
        </w:rPr>
        <w:t>Impacto no orçamento público. As autoridades francesas devem preencher o quadro 3, indicando o montante total (em EUR) do imposto não cobrado devido aos diferenciais de tributação.</w:t>
      </w:r>
    </w:p>
    <w:p>
      <w:pPr>
        <w:pStyle w:val="TableTitle"/>
        <w:rPr>
          <w:noProof/>
        </w:rPr>
      </w:pPr>
      <w:r>
        <w:rPr>
          <w:noProof/>
        </w:rPr>
        <w:t>Quadro 3.</w:t>
      </w:r>
    </w:p>
    <w:tbl>
      <w:tblPr>
        <w:tblStyle w:val="TableGrid"/>
        <w:tblW w:w="0" w:type="auto"/>
        <w:tblInd w:w="588" w:type="dxa"/>
        <w:tblLook w:val="04A0" w:firstRow="1" w:lastRow="0" w:firstColumn="1" w:lastColumn="0" w:noHBand="0" w:noVBand="1"/>
      </w:tblPr>
      <w:tblGrid>
        <w:gridCol w:w="2363"/>
        <w:gridCol w:w="709"/>
        <w:gridCol w:w="850"/>
        <w:gridCol w:w="851"/>
        <w:gridCol w:w="709"/>
        <w:gridCol w:w="708"/>
        <w:gridCol w:w="851"/>
      </w:tblGrid>
      <w:tr>
        <w:tc>
          <w:tcPr>
            <w:tcW w:w="2363" w:type="dxa"/>
          </w:tcPr>
          <w:p>
            <w:pPr>
              <w:rPr>
                <w:noProof/>
              </w:rPr>
            </w:pPr>
          </w:p>
        </w:tc>
        <w:tc>
          <w:tcPr>
            <w:tcW w:w="709" w:type="dxa"/>
          </w:tcPr>
          <w:p>
            <w:pPr>
              <w:rPr>
                <w:noProof/>
              </w:rPr>
            </w:pPr>
            <w:r>
              <w:rPr>
                <w:noProof/>
              </w:rPr>
              <w:t>2019</w:t>
            </w:r>
          </w:p>
        </w:tc>
        <w:tc>
          <w:tcPr>
            <w:tcW w:w="850" w:type="dxa"/>
          </w:tcPr>
          <w:p>
            <w:pPr>
              <w:rPr>
                <w:noProof/>
              </w:rPr>
            </w:pPr>
            <w:r>
              <w:rPr>
                <w:noProof/>
              </w:rPr>
              <w:t>2020</w:t>
            </w:r>
          </w:p>
        </w:tc>
        <w:tc>
          <w:tcPr>
            <w:tcW w:w="851" w:type="dxa"/>
          </w:tcPr>
          <w:p>
            <w:pPr>
              <w:rPr>
                <w:noProof/>
              </w:rPr>
            </w:pPr>
            <w:r>
              <w:rPr>
                <w:noProof/>
              </w:rPr>
              <w:t>2021</w:t>
            </w:r>
          </w:p>
        </w:tc>
        <w:tc>
          <w:tcPr>
            <w:tcW w:w="709" w:type="dxa"/>
          </w:tcPr>
          <w:p>
            <w:pPr>
              <w:rPr>
                <w:noProof/>
              </w:rPr>
            </w:pPr>
            <w:r>
              <w:rPr>
                <w:noProof/>
              </w:rPr>
              <w:t>2022</w:t>
            </w:r>
          </w:p>
        </w:tc>
        <w:tc>
          <w:tcPr>
            <w:tcW w:w="708" w:type="dxa"/>
          </w:tcPr>
          <w:p>
            <w:pPr>
              <w:rPr>
                <w:noProof/>
              </w:rPr>
            </w:pPr>
            <w:r>
              <w:rPr>
                <w:noProof/>
              </w:rPr>
              <w:t>2023</w:t>
            </w:r>
          </w:p>
        </w:tc>
        <w:tc>
          <w:tcPr>
            <w:tcW w:w="851" w:type="dxa"/>
          </w:tcPr>
          <w:p>
            <w:pPr>
              <w:rPr>
                <w:noProof/>
              </w:rPr>
            </w:pPr>
            <w:r>
              <w:rPr>
                <w:noProof/>
              </w:rPr>
              <w:t>2024</w:t>
            </w:r>
          </w:p>
        </w:tc>
      </w:tr>
      <w:tr>
        <w:tc>
          <w:tcPr>
            <w:tcW w:w="2363" w:type="dxa"/>
          </w:tcPr>
          <w:p>
            <w:pPr>
              <w:rPr>
                <w:noProof/>
              </w:rPr>
            </w:pPr>
            <w:r>
              <w:rPr>
                <w:noProof/>
              </w:rPr>
              <w:t>Perda de receitas fiscais</w:t>
            </w:r>
          </w:p>
        </w:tc>
        <w:tc>
          <w:tcPr>
            <w:tcW w:w="709" w:type="dxa"/>
          </w:tcPr>
          <w:p>
            <w:pPr>
              <w:rPr>
                <w:noProof/>
              </w:rPr>
            </w:pPr>
          </w:p>
        </w:tc>
        <w:tc>
          <w:tcPr>
            <w:tcW w:w="850" w:type="dxa"/>
          </w:tcPr>
          <w:p>
            <w:pPr>
              <w:rPr>
                <w:noProof/>
              </w:rPr>
            </w:pPr>
          </w:p>
        </w:tc>
        <w:tc>
          <w:tcPr>
            <w:tcW w:w="851" w:type="dxa"/>
          </w:tcPr>
          <w:p>
            <w:pPr>
              <w:rPr>
                <w:noProof/>
              </w:rPr>
            </w:pPr>
          </w:p>
        </w:tc>
        <w:tc>
          <w:tcPr>
            <w:tcW w:w="709" w:type="dxa"/>
          </w:tcPr>
          <w:p>
            <w:pPr>
              <w:rPr>
                <w:noProof/>
              </w:rPr>
            </w:pPr>
          </w:p>
        </w:tc>
        <w:tc>
          <w:tcPr>
            <w:tcW w:w="708" w:type="dxa"/>
          </w:tcPr>
          <w:p>
            <w:pPr>
              <w:rPr>
                <w:noProof/>
              </w:rPr>
            </w:pPr>
          </w:p>
        </w:tc>
        <w:tc>
          <w:tcPr>
            <w:tcW w:w="851" w:type="dxa"/>
          </w:tcPr>
          <w:p>
            <w:pPr>
              <w:rPr>
                <w:noProof/>
              </w:rPr>
            </w:pPr>
          </w:p>
        </w:tc>
      </w:tr>
    </w:tbl>
    <w:p>
      <w:pPr>
        <w:rPr>
          <w:noProof/>
        </w:rPr>
      </w:pPr>
    </w:p>
    <w:p>
      <w:pPr>
        <w:rPr>
          <w:noProof/>
        </w:rPr>
      </w:pPr>
    </w:p>
    <w:p>
      <w:pPr>
        <w:pStyle w:val="NumPar1"/>
        <w:rPr>
          <w:noProof/>
        </w:rPr>
      </w:pPr>
      <w:r>
        <w:rPr>
          <w:noProof/>
        </w:rPr>
        <w:t xml:space="preserve">Impacto no desempenho económico global. As autoridades francesas devem preencher o quadro 4, fornecendo quaisquer dados que demonstrem o impacto da taxa reduzida dos impostos indiretos em causa no desenvolvimento socioeconómico das regiões ultraperiféricas. Os indicadores exigidos no quadro referem-se ao desempenho do setor do rum, em comparação com o desempenho geral da economia regional. Se não estiverem disponíveis alguns dos indicadores, devem ser incluídos dados alternativos sobre o desempenho socioeconómico global das regiões ultraperiféricas.  </w:t>
      </w:r>
    </w:p>
    <w:p>
      <w:pPr>
        <w:pStyle w:val="TableTitle"/>
        <w:rPr>
          <w:noProof/>
        </w:rPr>
      </w:pPr>
      <w:r>
        <w:rPr>
          <w:noProof/>
        </w:rPr>
        <w:t>Quadro 4</w:t>
      </w:r>
    </w:p>
    <w:tbl>
      <w:tblPr>
        <w:tblStyle w:val="TableGrid"/>
        <w:tblW w:w="5000" w:type="pct"/>
        <w:tblLook w:val="04A0" w:firstRow="1" w:lastRow="0" w:firstColumn="1" w:lastColumn="0" w:noHBand="0" w:noVBand="1"/>
      </w:tblPr>
      <w:tblGrid>
        <w:gridCol w:w="3007"/>
        <w:gridCol w:w="873"/>
        <w:gridCol w:w="873"/>
        <w:gridCol w:w="873"/>
        <w:gridCol w:w="873"/>
        <w:gridCol w:w="873"/>
        <w:gridCol w:w="873"/>
        <w:gridCol w:w="1044"/>
      </w:tblGrid>
      <w:tr>
        <w:tc>
          <w:tcPr>
            <w:tcW w:w="1618" w:type="pct"/>
            <w:shd w:val="clear" w:color="auto" w:fill="EEECE1" w:themeFill="background2"/>
          </w:tcPr>
          <w:p>
            <w:pPr>
              <w:rPr>
                <w:noProof/>
              </w:rPr>
            </w:pPr>
            <w:r>
              <w:rPr>
                <w:noProof/>
              </w:rPr>
              <w:t>Ano</w:t>
            </w:r>
            <w:r>
              <w:rPr>
                <w:noProof/>
                <w:vertAlign w:val="superscript"/>
              </w:rPr>
              <w:t>1</w:t>
            </w:r>
          </w:p>
        </w:tc>
        <w:tc>
          <w:tcPr>
            <w:tcW w:w="470" w:type="pct"/>
            <w:shd w:val="clear" w:color="auto" w:fill="EEECE1" w:themeFill="background2"/>
          </w:tcPr>
          <w:p>
            <w:pPr>
              <w:rPr>
                <w:noProof/>
              </w:rPr>
            </w:pPr>
            <w:r>
              <w:rPr>
                <w:noProof/>
              </w:rPr>
              <w:t>2019</w:t>
            </w:r>
          </w:p>
        </w:tc>
        <w:tc>
          <w:tcPr>
            <w:tcW w:w="470" w:type="pct"/>
            <w:shd w:val="clear" w:color="auto" w:fill="EEECE1" w:themeFill="background2"/>
          </w:tcPr>
          <w:p>
            <w:pPr>
              <w:rPr>
                <w:noProof/>
              </w:rPr>
            </w:pPr>
            <w:r>
              <w:rPr>
                <w:noProof/>
              </w:rPr>
              <w:t>2020</w:t>
            </w:r>
          </w:p>
        </w:tc>
        <w:tc>
          <w:tcPr>
            <w:tcW w:w="470" w:type="pct"/>
            <w:shd w:val="clear" w:color="auto" w:fill="EEECE1" w:themeFill="background2"/>
          </w:tcPr>
          <w:p>
            <w:pPr>
              <w:rPr>
                <w:noProof/>
              </w:rPr>
            </w:pPr>
            <w:r>
              <w:rPr>
                <w:noProof/>
              </w:rPr>
              <w:t>2021</w:t>
            </w:r>
          </w:p>
        </w:tc>
        <w:tc>
          <w:tcPr>
            <w:tcW w:w="470" w:type="pct"/>
            <w:shd w:val="clear" w:color="auto" w:fill="EEECE1" w:themeFill="background2"/>
          </w:tcPr>
          <w:p>
            <w:pPr>
              <w:rPr>
                <w:noProof/>
              </w:rPr>
            </w:pPr>
            <w:r>
              <w:rPr>
                <w:noProof/>
              </w:rPr>
              <w:t>2022</w:t>
            </w:r>
          </w:p>
        </w:tc>
        <w:tc>
          <w:tcPr>
            <w:tcW w:w="470" w:type="pct"/>
            <w:shd w:val="clear" w:color="auto" w:fill="EEECE1" w:themeFill="background2"/>
          </w:tcPr>
          <w:p>
            <w:pPr>
              <w:rPr>
                <w:noProof/>
              </w:rPr>
            </w:pPr>
            <w:r>
              <w:rPr>
                <w:noProof/>
              </w:rPr>
              <w:t>2023</w:t>
            </w:r>
          </w:p>
        </w:tc>
        <w:tc>
          <w:tcPr>
            <w:tcW w:w="470" w:type="pct"/>
            <w:shd w:val="clear" w:color="auto" w:fill="EEECE1" w:themeFill="background2"/>
          </w:tcPr>
          <w:p>
            <w:pPr>
              <w:rPr>
                <w:noProof/>
              </w:rPr>
            </w:pPr>
            <w:r>
              <w:rPr>
                <w:noProof/>
              </w:rPr>
              <w:t>2024</w:t>
            </w:r>
          </w:p>
        </w:tc>
        <w:tc>
          <w:tcPr>
            <w:tcW w:w="562" w:type="pct"/>
            <w:shd w:val="clear" w:color="auto" w:fill="EEECE1" w:themeFill="background2"/>
          </w:tcPr>
          <w:p>
            <w:pPr>
              <w:rPr>
                <w:noProof/>
              </w:rPr>
            </w:pPr>
            <w:r>
              <w:rPr>
                <w:noProof/>
              </w:rPr>
              <w:t>Notas2</w:t>
            </w:r>
          </w:p>
        </w:tc>
      </w:tr>
      <w:tr>
        <w:tc>
          <w:tcPr>
            <w:tcW w:w="1618" w:type="pct"/>
          </w:tcPr>
          <w:p>
            <w:pPr>
              <w:rPr>
                <w:noProof/>
              </w:rPr>
            </w:pPr>
            <w:r>
              <w:rPr>
                <w:noProof/>
              </w:rPr>
              <w:t xml:space="preserve">Valor acrescentado bruto regional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No setor do 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No setor cana-açúcar-rum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Emprego nas destilarias locais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Emprego no setor cana-açúcar-rum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Taxa de desemprego</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 xml:space="preserve">Número de empresas ativas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produtores de rum (incluindo PME)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Área de cultivo da cana-de-açúcar (ha)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Índice do nível de preços – França continental</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Índice do nível de preços - regiões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turistas - regiões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turistas - destilarias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bl>
    <w:p>
      <w:pPr>
        <w:rPr>
          <w:noProof/>
          <w:sz w:val="18"/>
          <w:szCs w:val="18"/>
        </w:rPr>
      </w:pPr>
      <w:r>
        <w:rPr>
          <w:noProof/>
          <w:sz w:val="18"/>
          <w:szCs w:val="18"/>
        </w:rPr>
        <w:t xml:space="preserve">Notas sobre o quadro:      </w:t>
      </w:r>
    </w:p>
    <w:p>
      <w:pPr>
        <w:pStyle w:val="Point0number"/>
        <w:numPr>
          <w:ilvl w:val="0"/>
          <w:numId w:val="2"/>
        </w:numPr>
        <w:rPr>
          <w:noProof/>
          <w:sz w:val="18"/>
          <w:szCs w:val="18"/>
        </w:rPr>
      </w:pPr>
      <w:r>
        <w:rPr>
          <w:noProof/>
          <w:sz w:val="18"/>
          <w:szCs w:val="18"/>
        </w:rPr>
        <w:t>as informações podem não estar disponíveis para todos os anos indicados</w:t>
      </w:r>
    </w:p>
    <w:p>
      <w:pPr>
        <w:pStyle w:val="Point0number"/>
        <w:numPr>
          <w:ilvl w:val="0"/>
          <w:numId w:val="2"/>
        </w:numPr>
        <w:rPr>
          <w:noProof/>
          <w:sz w:val="18"/>
          <w:szCs w:val="18"/>
        </w:rPr>
      </w:pPr>
      <w:r>
        <w:rPr>
          <w:noProof/>
          <w:sz w:val="18"/>
          <w:szCs w:val="18"/>
        </w:rPr>
        <w:t>fornecer observações e esclarecimentos considerados pertinentes</w:t>
      </w:r>
    </w:p>
    <w:p>
      <w:pPr>
        <w:rPr>
          <w:noProof/>
        </w:rPr>
      </w:pPr>
    </w:p>
    <w:p>
      <w:pPr>
        <w:rPr>
          <w:noProof/>
        </w:rPr>
      </w:pPr>
    </w:p>
    <w:p>
      <w:pPr>
        <w:pStyle w:val="NumPar1"/>
        <w:rPr>
          <w:noProof/>
        </w:rPr>
      </w:pPr>
      <w:r>
        <w:rPr>
          <w:noProof/>
        </w:rPr>
        <w:t>Especificações do regime. As autoridades francesas devem preencher o quadro 5 para cada tipo de rum («rhum agricole» e «rhum de sucrerie») e por região (Guadalupe, Guiana Francesa, Martinica e Reunião). Se não estiverem disponíveis alguns dos indicadores, devem ser incluídos dados alternativos sobre as especificações do regime.</w:t>
      </w:r>
    </w:p>
    <w:p>
      <w:pPr>
        <w:pStyle w:val="TableTitle"/>
        <w:rPr>
          <w:noProof/>
        </w:rPr>
      </w:pPr>
      <w:r>
        <w:rPr>
          <w:noProof/>
        </w:rPr>
        <w:t>Quadro 5</w:t>
      </w:r>
    </w:p>
    <w:tbl>
      <w:tblPr>
        <w:tblStyle w:val="TableGrid"/>
        <w:tblW w:w="8788" w:type="dxa"/>
        <w:tblInd w:w="392" w:type="dxa"/>
        <w:tblLook w:val="04A0" w:firstRow="1" w:lastRow="0" w:firstColumn="1" w:lastColumn="0" w:noHBand="0" w:noVBand="1"/>
      </w:tblPr>
      <w:tblGrid>
        <w:gridCol w:w="4569"/>
        <w:gridCol w:w="696"/>
        <w:gridCol w:w="696"/>
        <w:gridCol w:w="707"/>
        <w:gridCol w:w="707"/>
        <w:gridCol w:w="707"/>
        <w:gridCol w:w="706"/>
      </w:tblGrid>
      <w:tr>
        <w:tc>
          <w:tcPr>
            <w:tcW w:w="4635" w:type="dxa"/>
          </w:tcPr>
          <w:p>
            <w:pPr>
              <w:rPr>
                <w:noProof/>
              </w:rPr>
            </w:pPr>
            <w:r>
              <w:rPr>
                <w:noProof/>
              </w:rPr>
              <w:t>Quantidade (em hlap)</w:t>
            </w:r>
          </w:p>
        </w:tc>
        <w:tc>
          <w:tcPr>
            <w:tcW w:w="663" w:type="dxa"/>
          </w:tcPr>
          <w:p>
            <w:pPr>
              <w:rPr>
                <w:noProof/>
              </w:rPr>
            </w:pPr>
            <w:r>
              <w:rPr>
                <w:noProof/>
              </w:rPr>
              <w:t>2019</w:t>
            </w:r>
          </w:p>
        </w:tc>
        <w:tc>
          <w:tcPr>
            <w:tcW w:w="663" w:type="dxa"/>
          </w:tcPr>
          <w:p>
            <w:pPr>
              <w:rPr>
                <w:noProof/>
              </w:rPr>
            </w:pPr>
            <w:r>
              <w:rPr>
                <w:noProof/>
              </w:rPr>
              <w:t>2020</w:t>
            </w:r>
          </w:p>
        </w:tc>
        <w:tc>
          <w:tcPr>
            <w:tcW w:w="707" w:type="dxa"/>
          </w:tcPr>
          <w:p>
            <w:pPr>
              <w:rPr>
                <w:noProof/>
              </w:rPr>
            </w:pPr>
            <w:r>
              <w:rPr>
                <w:noProof/>
              </w:rPr>
              <w:t>2021</w:t>
            </w:r>
          </w:p>
        </w:tc>
        <w:tc>
          <w:tcPr>
            <w:tcW w:w="707" w:type="dxa"/>
          </w:tcPr>
          <w:p>
            <w:pPr>
              <w:rPr>
                <w:noProof/>
              </w:rPr>
            </w:pPr>
            <w:r>
              <w:rPr>
                <w:noProof/>
              </w:rPr>
              <w:t>2022</w:t>
            </w:r>
          </w:p>
        </w:tc>
        <w:tc>
          <w:tcPr>
            <w:tcW w:w="707" w:type="dxa"/>
          </w:tcPr>
          <w:p>
            <w:pPr>
              <w:rPr>
                <w:noProof/>
              </w:rPr>
            </w:pPr>
            <w:r>
              <w:rPr>
                <w:noProof/>
              </w:rPr>
              <w:t>2023</w:t>
            </w:r>
          </w:p>
        </w:tc>
        <w:tc>
          <w:tcPr>
            <w:tcW w:w="706" w:type="dxa"/>
          </w:tcPr>
          <w:p>
            <w:pPr>
              <w:rPr>
                <w:noProof/>
              </w:rPr>
            </w:pPr>
            <w:r>
              <w:rPr>
                <w:noProof/>
              </w:rPr>
              <w:t>2024</w:t>
            </w:r>
          </w:p>
        </w:tc>
      </w:tr>
      <w:tr>
        <w:tc>
          <w:tcPr>
            <w:tcW w:w="4635" w:type="dxa"/>
          </w:tcPr>
          <w:p>
            <w:pPr>
              <w:rPr>
                <w:noProof/>
              </w:rPr>
            </w:pPr>
            <w:r>
              <w:rPr>
                <w:noProof/>
              </w:rPr>
              <w:t xml:space="preserve">Produção de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Produção de rum «tradicional»</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Vendas locais de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expedido para o continente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Rum «tradicional» expedido para França continental</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«tradicional» expedido ao abrigo da derrogação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expedido para outros Estados-Membros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exportado para países terceiros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Rum em percentagem das exportações extra-RU totais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Parte do rum «tradicional» francês no mercado continental do rum francês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Taxa de crescimento do mercado do rum na França continental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Taxa de crescimento do mercado das bebidas espirituosas na França continental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bl>
    <w:p>
      <w:pPr>
        <w:rPr>
          <w:noProof/>
        </w:rPr>
      </w:pPr>
    </w:p>
    <w:p>
      <w:pPr>
        <w:rPr>
          <w:noProof/>
        </w:rPr>
      </w:pPr>
    </w:p>
    <w:p>
      <w:pPr>
        <w:pStyle w:val="NumPar1"/>
        <w:rPr>
          <w:noProof/>
        </w:rPr>
      </w:pPr>
      <w:r>
        <w:rPr>
          <w:noProof/>
        </w:rPr>
        <w:t>Irregularidades. As autoridades francesas devem fornecer informações sobre quaisquer investigações de irregularidades administrativas, evasão aos impostos indiretos em causa, contrabando dos produtos alcoólicos em causa no contexto da aplicação da autorização. Fornecer informações pormenorizadas, incluindo, pelo menos, informações sobre a natureza do processo, o seu valor e duração.</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rPr>
      </w:pPr>
    </w:p>
    <w:p>
      <w:pPr>
        <w:rPr>
          <w:noProof/>
        </w:rPr>
      </w:pPr>
    </w:p>
    <w:p>
      <w:pPr>
        <w:pStyle w:val="NumPar1"/>
        <w:rPr>
          <w:noProof/>
        </w:rPr>
      </w:pPr>
      <w:r>
        <w:rPr>
          <w:noProof/>
        </w:rPr>
        <w:t>Queixas. As autoridades francesas devem fornecer informações sobre se as autoridades locais, regionais ou nacionais receberam quaisquer queixas relativas à aplicação da autorização, por parte de beneficiários ou não beneficiários.</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color w:val="1F497D" w:themeColor="text2"/>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D2E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23A59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445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F85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C255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440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3AE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E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6: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6D07FBAA-3B1C-4BB7-AD78-315E26BF9B36"/>
    <w:docVar w:name="LW_COVERPAGE_TYPE" w:val="1"/>
    <w:docVar w:name="LW_CROSSREFERENCE" w:val="{SWD(2020) 141 final}"/>
    <w:docVar w:name="LW_DocType" w:val="ANNEX"/>
    <w:docVar w:name="LW_EMISSION" w:val="24.7.2020"/>
    <w:docVar w:name="LW_EMISSION_ISODATE" w:val="2020-07-24"/>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que autoriza a França a aplicar uma taxa reduzida de certos impostos indiretos sobre o rum «tradicional» produzido na Guadalupe, na Guiana Francesa, na Martinica ou na Reunião"/>
    <w:docVar w:name="LW_OBJETACTEPRINCIPAL.CP" w:val="que autoriza a França a aplicar uma taxa reduzida de certos impostos indiretos sobre o rum «tradicional» produzido na Guadalupe, na Guiana Francesa, na Martinica ou na Reunião"/>
    <w:docVar w:name="LW_PART_NBR" w:val="1"/>
    <w:docVar w:name="LW_PART_NBR_TOTAL" w:val="1"/>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807</Words>
  <Characters>4775</Characters>
  <Application>Microsoft Office Word</Application>
  <DocSecurity>0</DocSecurity>
  <Lines>477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DIGIT/C6</cp:lastModifiedBy>
  <cp:revision>10</cp:revision>
  <dcterms:created xsi:type="dcterms:W3CDTF">2020-07-15T13:16:00Z</dcterms:created>
  <dcterms:modified xsi:type="dcterms:W3CDTF">2020-07-16T11:46:00Z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