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B2C89F4-1A50-4E0E-BD5B-A82E54215849" style="width:450.7pt;height:393.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Cele wniosku</w:t>
      </w:r>
    </w:p>
    <w:p>
      <w:pPr>
        <w:rPr>
          <w:rFonts w:eastAsia="Calibri"/>
          <w:noProof/>
          <w:szCs w:val="24"/>
        </w:rPr>
      </w:pPr>
      <w:r>
        <w:rPr>
          <w:noProof/>
        </w:rPr>
        <w:t>Dyrektywa 2002/58/WE („dyrektywa o prywatności i łączności elektronicznej”)</w:t>
      </w:r>
      <w:r>
        <w:rPr>
          <w:rStyle w:val="FootnoteReference"/>
          <w:noProof/>
        </w:rPr>
        <w:footnoteReference w:id="1"/>
      </w:r>
      <w:r>
        <w:rPr>
          <w:noProof/>
        </w:rPr>
        <w:t xml:space="preserve"> zapewnia ochronę życia prywatnego, poufności komunikacji i danych osobowych w sektorze łączności elektronicznej. Stanowi ona wdrożenie art. 7 i 8 Karty praw podstawowych Unii Europejskiej („</w:t>
      </w:r>
      <w:r>
        <w:rPr>
          <w:b/>
          <w:noProof/>
          <w:szCs w:val="24"/>
        </w:rPr>
        <w:t>Karta</w:t>
      </w:r>
      <w:r>
        <w:rPr>
          <w:noProof/>
        </w:rPr>
        <w:t>”) do prawa wtórnego Unii.</w:t>
      </w:r>
    </w:p>
    <w:p>
      <w:pPr>
        <w:rPr>
          <w:rFonts w:eastAsia="Calibri"/>
          <w:noProof/>
          <w:szCs w:val="24"/>
        </w:rPr>
      </w:pPr>
      <w:r>
        <w:rPr>
          <w:noProof/>
        </w:rPr>
        <w:t>W dniu 21 grudnia 2020 r., wraz z wejściem w życie Europejskiego kodeksu łączności elektronicznej(„EECC”)</w:t>
      </w:r>
      <w:r>
        <w:rPr>
          <w:rStyle w:val="FootnoteReference"/>
          <w:noProof/>
        </w:rPr>
        <w:footnoteReference w:id="2"/>
      </w:r>
      <w:r>
        <w:rPr>
          <w:noProof/>
        </w:rPr>
        <w:t xml:space="preserve">, definicja usług łączności elektronicznej zostanie zastąpiona nową definicją, która obejmuje usługi łączności interpersonalnej niewykorzystujące numerów. Od tego dnia usługi te będą zatem objęte dyrektywą o prywatności i łączności elektronicznej, która opiera się na definicji EECC. Zmiana ta dotyczy usług łączności, takich jak usługi aplikacji webmail, usługi komunikatorów internetowych i telefonia internetowa. </w:t>
      </w:r>
    </w:p>
    <w:p>
      <w:pPr>
        <w:rPr>
          <w:rFonts w:eastAsia="Calibri"/>
          <w:noProof/>
          <w:szCs w:val="24"/>
        </w:rPr>
      </w:pPr>
      <w:r>
        <w:rPr>
          <w:noProof/>
        </w:rPr>
        <w:t xml:space="preserve">Niektórzy dostawcy usług łączności interpersonalnej niewykorzystujących numerów już stosują specjalne technologie do wykrywania niegodziwego traktowania dzieci w celach seksualnych w ramach swoich usług i zgłaszania go organom ścigania i organizacjom działającym w interesie publicznym przeciwko niegodziwemu traktowaniu dzieci w celach seksualnych lub do usuwania materiałów przedstawiających niegodziwe traktowanie dzieci w celach seksualnych. Chodzi o takie organizacje, jak krajowe numery interwencyjne służące zgłaszaniu materiałów przedstawiających niegodziwe traktowanie dzieci w celach seksualnych, a także organizacje, których celem jest ograniczenie wykorzystywania seksualnego dzieci i zapobieganie wiktymizacji dzieci, zlokalizowane zarówno w UE, jak i w państwach trzecich. </w:t>
      </w:r>
    </w:p>
    <w:p>
      <w:pPr>
        <w:autoSpaceDE w:val="0"/>
        <w:autoSpaceDN w:val="0"/>
        <w:spacing w:after="0"/>
        <w:rPr>
          <w:noProof/>
          <w:sz w:val="22"/>
        </w:rPr>
      </w:pPr>
      <w:r>
        <w:rPr>
          <w:noProof/>
        </w:rPr>
        <w:t>Niegodziwe traktowanie dzieci w celach seksualnych stanowi szczególnie poważne przestępstwo pociągające za sobą szereg różnych i poważnych konsekwencji, z którymi ofiary zmagają się przez całe życie. Przez wyrządzanie krzywdy dzieciom przestępstwa te są również przyczyną znaczącej i długotrwałej szkody społecznej. Walka z niegodziwym traktowaniem dzieci w celach seksualnych stanowi priorytet dla UE. W dniu 24 lipca 2020 r. Komisja Europejska przyjęła „Strategię UE na rzecz skuteczniejszej walki z niegodziwym traktowaniem dzieci w celach seksualnych”</w:t>
      </w:r>
      <w:r>
        <w:rPr>
          <w:rStyle w:val="FootnoteReference"/>
          <w:noProof/>
        </w:rPr>
        <w:footnoteReference w:id="3"/>
      </w:r>
      <w:r>
        <w:rPr>
          <w:noProof/>
        </w:rPr>
        <w:t>, której celem jest zapewnienie skutecznej reakcji na szczeblu UE na przestępstwa związane z niegodziwym traktowaniem dzieci w celach seksualnych. Komisja zapowiedziała, że najpóźniej w drugim kwartale 2021 r. przedłoży niezbędne wnioski ustawodawcze, aby skutecznie zwalczać niegodziwe traktowanie dzieci w celach seksualnych w internecie, w tym w drodze nałożenia na odnośnych dostawców usług internetowych wymogu wykrywania znanego materiału przedstawiającego niegodziwe traktowanie dzieci w celach seksualnych i zobowiązania ich do zgłaszania tego materiału organom publicznym.</w:t>
      </w:r>
      <w:r>
        <w:rPr>
          <w:noProof/>
          <w:color w:val="000000"/>
          <w:sz w:val="20"/>
          <w:szCs w:val="20"/>
        </w:rPr>
        <w:t xml:space="preserve"> </w:t>
      </w:r>
      <w:r>
        <w:rPr>
          <w:noProof/>
        </w:rPr>
        <w:t xml:space="preserve">Zapowiedziane przepisy mają zastąpić niniejsze rozporządzenie poprzez wprowadzenie obowiązkowych środków wykrywania i zgłaszania niegodziwego traktowania dzieci w celach seksualnych, aby zapewnić więcej precyzji i pewności w pracy </w:t>
      </w:r>
      <w:r>
        <w:rPr>
          <w:noProof/>
        </w:rPr>
        <w:lastRenderedPageBreak/>
        <w:t>zarówno organów ścigania, jak i odnośnych podmiotów w sektorze prywatnym na potrzeby rozwiązania kwestii wykorzystywania w internecie, przy jednoczesnym zapewnieniu poszanowania praw podstawowych użytkowników, w tym w szczególności prawa do wolności wypowiedzi i opinii, ochrony danych osobowych i prywatności, a także mechanizmów zapewniających rozliczalność i przejrzystość.</w:t>
      </w:r>
    </w:p>
    <w:p>
      <w:pPr>
        <w:autoSpaceDE w:val="0"/>
        <w:autoSpaceDN w:val="0"/>
        <w:spacing w:after="0"/>
        <w:rPr>
          <w:noProof/>
        </w:rPr>
      </w:pPr>
      <w:r>
        <w:rPr>
          <w:noProof/>
        </w:rPr>
        <w:t xml:space="preserve">Dostawcy usług łączności elektronicznej muszą przestrzegać wynikającego z dyrektywy o prywatności i łączności elektronicznej obowiązku poszanowania poufności komunikacji oraz warunków przetwarzania danych pochodzących z łączności. Obecne praktyki w ramach niektórych usług łączności interpersonalnej niewykorzystujących numerów służące wykrywaniu niegodziwego traktowania dzieci w celach seksualnych w internecie mogą kolidować z niektórymi przepisami dyrektywy o prywatności i łączności elektronicznej. Dyrektywa o prywatności i łączności elektronicznej nie zawiera wyraźnej podstawy prawnej dobrowolnego przetwarzania treści lub danych o ruchu do celów wykrywania niegodziwego traktowania dzieci w celach seksualnych w internecie. W związku z tym w odniesieniu do usług objętych zakresem dyrektywy o prywatności i łączności elektronicznej dostawcy będą mogli nadal stosować takie środki tylko wtedy, gdy państwa członkowskie wprowadzą środki ustawodawcze uzasadnione względami określonymi w art. 15 tej dyrektywy i spełniające wymogi tego przepisu. Wobec braku takich krajowych środków ustawodawczych i w oczekiwaniu na przyjęcie długoterminowych przepisów zapowiedzianych w strategii Komisji z dnia 24 lipca 2020 r. dostawcy usług łączności interpersonalnej niewykorzystujących numerów nie będą mieli podstawy prawnej do dalszego wykrywania niegodziwego traktowania dzieci w celach seksualnych w ramach swoich usług. Te dobrowolne działania odgrywają znaczną rolę w umożliwianiu identyfikacji i ratowania ofiar oraz ograniczaniu dalszego rozpowszechniania materiałów przedstawiających niegodziwe traktowanie dzieci w celach seksualnych, przyczyniając się jednocześnie do identyfikacji przestępców i prowadzenia dochodzeń w ich sprawie oraz zapobiegania przestępstwom związanym z niegodziwym traktowaniem dzieci w celach seksualnych. </w:t>
      </w:r>
    </w:p>
    <w:p>
      <w:pPr>
        <w:pBdr>
          <w:top w:val="nil"/>
          <w:left w:val="nil"/>
          <w:bottom w:val="nil"/>
          <w:right w:val="nil"/>
          <w:between w:val="nil"/>
          <w:bar w:val="nil"/>
        </w:pBdr>
        <w:spacing w:after="240"/>
        <w:rPr>
          <w:rFonts w:eastAsia="Calibri"/>
          <w:noProof/>
          <w:szCs w:val="24"/>
        </w:rPr>
      </w:pPr>
      <w:r>
        <w:rPr>
          <w:noProof/>
        </w:rPr>
        <w:t>Komisja uważa, że konieczne jest podjęcie natychmiastowych działań. Niniejszy wniosek przedstawia zatem wąskie i ukierunkowane tymczasowe rozwiązanie legislacyjne, którego jedynym celem jest ustanowienie tymczasowego i ściśle ograniczonego odstępstwa od stosowania art. 5 ust. 1 i art. 6 dyrektywy o prywatności i łączności elektronicznej, które chronią poufność komunikacji i danych o ruchu. Niniejszy wniosek nie narusza praw podstawowych, w tym prawa do prywatności i ochrony danych osobowych, a jednocześnie umożliwia dostawcom usług łączności interpersonalnej niewykorzystujących numerów dalsze korzystanie ze specjalnych technologii i kontynuowanie obecnych działań w zakresie niezbędnym do wykrywania i zgłaszania niegodziwego traktowania dzieci w celach seksualnych w internecie oraz usuwania materiałów przedstawiających niegodziwe traktowanie dzieci w celach seksualnych w ramach swoich usług, do czasu przyjęcia zapowiedzianych długoterminowych przepisów. Dobrowolne działania służące wykrywaniu nagabywania dzieci w celach seksualnych („nagabywanie dzieci”) muszą również ograniczać się do wykorzystania istniejących najnowocześniejszych technologii, które odpowiadają ustanowionym zabezpieczeniom. Niniejsze rozporządzenie powinno przestać obowiązywać w grudniu 2025 r. Jeżeli zapowiedziane przepisy długoterminowe zostaną przyjęte i wejdą w życie przed tą datą, powinny one uchylić niniejsze rozporządzenie.</w:t>
      </w:r>
    </w:p>
    <w:p>
      <w:pPr>
        <w:pStyle w:val="ManualHeading1"/>
        <w:rPr>
          <w:noProof/>
        </w:rPr>
      </w:pPr>
      <w:r>
        <w:rPr>
          <w:noProof/>
        </w:rPr>
        <w:lastRenderedPageBreak/>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Właściwą podstawę prawną wniosku stanowią art. 16 i art. 114 Traktatu o funkcjonowaniu Unii Europejskiej (TFUE). </w:t>
      </w:r>
    </w:p>
    <w:p>
      <w:pPr>
        <w:pBdr>
          <w:top w:val="nil"/>
          <w:left w:val="nil"/>
          <w:bottom w:val="nil"/>
          <w:right w:val="nil"/>
          <w:between w:val="nil"/>
          <w:bar w:val="nil"/>
        </w:pBdr>
        <w:spacing w:after="240"/>
        <w:rPr>
          <w:rFonts w:eastAsia="Arial Unicode MS"/>
          <w:noProof/>
          <w:color w:val="000000"/>
          <w:szCs w:val="24"/>
          <w:u w:color="000000"/>
          <w:bdr w:val="nil"/>
        </w:rPr>
      </w:pPr>
      <w:r>
        <w:rPr>
          <w:noProof/>
        </w:rPr>
        <w:t>Biorąc pod uwagę, że niniejsze rozporządzenie przewiduje tymczasowe odstępstwo od niektórych przepisów dyrektywy 2002/58/WE, która została przyjęta na podstawie art. 95 Traktatu ustanawiającego Wspólnotę Europejską, właściwe jest przyjęcie niniejszego rozporządzenia na podstawie odpowiadającego mu art. 114 TFUE. Ponadto nie wszystkie państwa członkowskie wprowadziły środki ustawodawcze zgodnie z art. 15 ust. 1 dyrektywy o prywatności i łączności elektronicznej dotyczące korzystania z technologii przez dostawców usług łączności interpersonalnej niewykorzystujących numerów na potrzeby zwalczania niegodziwego traktowania dzieci w celach seksualnych w internecie, a wprowadzenie takich środków wiąże się ze znacznym ryzykiem rozdrobnienia, które może negatywnie wpłynąć na rynek wewnętrzny.</w:t>
      </w:r>
      <w:r>
        <w:rPr>
          <w:noProof/>
          <w:color w:val="000000"/>
          <w:szCs w:val="24"/>
          <w:u w:color="000000"/>
          <w:bdr w:val="nil"/>
        </w:rPr>
        <w:t xml:space="preserve"> Należy zatem przyjąć niniejsze rozporządzenie na podstawie art. 114 TFUE.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W art. 16 TFUE wprowadzono konkretną podstawę prawną na potrzeby przyjęcia przepisów dotyczących ochrony osób fizycznych w związku z przetwarzaniem danych osobowych przez instytucje Unii i przez państwa członkowskie przy realizacji działań wchodzących w zakres prawa Unii, jak również przepisów dotyczących swobodnego przepływu takich danych. Ponieważ łączność elektroniczna z udziałem osoby fizycznej zazwyczaj kwalifikuje się jako dane osobowe, podstawą niniejszego rozporządzenia powinien również być art. 16 TFUE.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Pomocniczość (w przypadku kompetencji niewyłącznych) </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Zgodnie z zasadą pomocniczości działanie na szczeblu UE można podjąć tylko wtedy, gdy cele zamierzonego działania nie mogą zostać osiągnięte przez państwa członkowskie działające indywidualnie. Interwencja UE jest konieczna do utrzymania zdolności dostawców usług łączności interpersonalnej niewykorzystujących numerów do dobrowolnego wykrywania i zgłaszania niegodziwego traktowania dzieci w celach seksualnych w internecie oraz usuwania materiałów przedstawiających niegodziwe traktowanie dzieci w celach seksualnych, a także do zapewnienia jednolitych i spójnych ram prawnych dla przedmiotowych działań na całym rynku wewnętrznym. Brak działań Unii w tej kwestii groziłby rozdrobnieniem, gdyby państwa członkowskie przyjęły rozbieżne przepisy krajowe. Ponadto takie rozwiązania krajowe najprawdopodobniej nie mogłyby zostać przyjęte do dnia 21 grudnia 2020 r. we wszystkich państwach członkowskich. Co więcej, ogólnounijne odstępstwo od stosowania przepisów dyrektywy o prywatności i łączności elektronicznej w odniesieniu do niektórych rodzajów działalności związanej z przetwarzaniem może zostać przyjęte jedynie w prawodawstwie Unii. W związku z tym zakładany cel nie może zostać skutecznie osiągnięty przez żadne państwo członkowskie działające indywidualnie ani nawet przez państwa członkowskie działające wspólnie.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Wniosek jest zgodny z zasadą proporcjonalności określoną w art. 5 Traktatu o Unii Europejskiej, ponieważ nie wykracza poza to, co jest konieczne do osiągnięcia ustalonych celów. Wprowadza on ukierunkowane i tymczasowe odstępstwo w odniesieniu do niektórych aspektów zmian obecnych ram prawnych w celu zapewnienia, aby niektóre środki pozostały dopuszczalne w zakresie, w jakim są one obecnie zgodne z prawem Unii. </w:t>
      </w:r>
      <w:r>
        <w:rPr>
          <w:noProof/>
        </w:rPr>
        <w:t>W</w:t>
      </w:r>
      <w:r>
        <w:rPr>
          <w:noProof/>
          <w:color w:val="000000"/>
          <w:szCs w:val="24"/>
          <w:u w:color="000000"/>
          <w:bdr w:val="nil"/>
        </w:rPr>
        <w:t> </w:t>
      </w:r>
      <w:r>
        <w:rPr>
          <w:noProof/>
        </w:rPr>
        <w:t xml:space="preserve">szczególności w niniejszym wniosku ustanowiono tymczasowe i ściśle ograniczone odstępstwo od </w:t>
      </w:r>
      <w:r>
        <w:rPr>
          <w:noProof/>
        </w:rPr>
        <w:lastRenderedPageBreak/>
        <w:t>stosowania art. 5 ust. 1 i art. 6 dyrektywy o prywatności i łączności elektronicznej wyłącznie w celu umożliwienia dostawcom usług łączności interpersonalnej niewykorzystujących numerów dalszego korzystania ze specjalnych technologii i kontynuowania obecnych działań w zakresie niezbędnym do wykrywania i zgłaszania niegodziwego traktowania dzieci w celach seksualnych w internecie oraz usuwania materiałów przedstawiających niegodziwe traktowanie dzieci w celach seksualnych w ramach swoich usług, do czasu przyjęcia zapowiedzianych długoterminowych przepisów.</w:t>
      </w:r>
      <w:r>
        <w:rPr>
          <w:noProof/>
          <w:color w:val="000000"/>
          <w:szCs w:val="24"/>
          <w:u w:color="000000"/>
          <w:bdr w:val="nil"/>
        </w:rPr>
        <w:t xml:space="preserve"> Odstępstwo od zmienionego zakresu dyrektywy o prywatności i łączności elektronicznej musi być interpretowane w sposób zawężający, w szczególności ze względu na fakt, że usługi łączności interpersonalnej niewykorzystujące numerów będą nadal podlegać dyrektywie o prywatności i łączności elektronicznej w odniesieniu do wszystkich innych rodzajów działalności. Wniosek zawiera zatem zabezpieczenia mające na celu zapewnienie, by technologie korzystające z odstępstwa spełniały standardy obecnie stosowanych najlepszych praktyk, a tym samym ogranicza ingerencję w poufność komunikacji i ryzyko obchodzenia prawa. </w:t>
      </w:r>
      <w:r>
        <w:rPr>
          <w:noProof/>
        </w:rPr>
        <w:t>Odstępstwo ogranicza się do technologii regularnie stosowanych przez usługi łączności interpersonalnej niewykorzystujące numerów na potrzeby wykrywania i zgłaszania niegodziwego traktowania dzieci w celach seksualnych w internecie oraz usuwania materiałów przedstawiających niegodziwe traktowanie dzieci w celach seksualnych przed wejściem w życie niniejszego rozporządzenia i gwarantuje, że rodzaje stosowanych technologii powodują jak najmniejszą ingerencję w prywatność zgodnie z aktualnym stanem techniki w tej branży. Dostawcy powinni również publikować roczne sprawozdania z przeprowadzonego przez nich przetwarzania.</w:t>
      </w:r>
      <w:r>
        <w:rPr>
          <w:noProof/>
          <w:color w:val="000000"/>
          <w:szCs w:val="24"/>
          <w:u w:color="000000"/>
          <w:bdr w:val="nil"/>
        </w:rPr>
        <w:t xml:space="preserve"> Okres obowiązywania odstępstwa jest ograniczony do okresu absolutnie niezbędnego do przyjęcia przepisów długoterminowych.</w:t>
      </w:r>
    </w:p>
    <w:p>
      <w:pPr>
        <w:pStyle w:val="ManualHeading2"/>
        <w:rPr>
          <w:rFonts w:eastAsia="Arial Unicode MS"/>
          <w:noProof/>
          <w:u w:color="000000"/>
          <w:bdr w:val="nil"/>
        </w:rPr>
      </w:pPr>
      <w:r>
        <w:rPr>
          <w:noProof/>
          <w:u w:color="000000"/>
          <w:bdr w:val="nil"/>
        </w:rPr>
        <w:t>•</w:t>
      </w:r>
      <w:r>
        <w:rPr>
          <w:noProof/>
        </w:rPr>
        <w:tab/>
      </w:r>
      <w:r>
        <w:rPr>
          <w:noProof/>
          <w:u w:color="000000"/>
          <w:bdr w:val="nil"/>
        </w:rPr>
        <w:t>Wybór instrumentu</w:t>
      </w:r>
    </w:p>
    <w:p>
      <w:pPr>
        <w:autoSpaceDE w:val="0"/>
        <w:autoSpaceDN w:val="0"/>
        <w:spacing w:after="0"/>
        <w:rPr>
          <w:noProof/>
          <w:sz w:val="22"/>
        </w:rPr>
      </w:pPr>
      <w:r>
        <w:rPr>
          <w:noProof/>
          <w:color w:val="000000"/>
          <w:szCs w:val="24"/>
          <w:u w:color="000000"/>
          <w:bdr w:val="nil"/>
        </w:rPr>
        <w:t xml:space="preserve">Cele niniejszego wniosku można najlepiej osiągnąć za pomocą rozporządzenia. Zapewni to bezpośrednie stosowanie przepisów oraz jednolite i spójne podejście na całym rynku wewnętrznym. Ma to szczególne znaczenie, ponieważ działania przedsiębiorstw służące zwalczaniu niegodziwego traktowania dzieci w celach seksualnych w internecie są stosowane w jednolity sposób w ramach całej świadczonej przez nie usługi; rozbieżne krajowe środki wykonawcze mogą zniechęcać do dalszego dobrowolnego zaangażowania. </w:t>
      </w:r>
      <w:r>
        <w:rPr>
          <w:noProof/>
        </w:rPr>
        <w:t>Ponadto wydaje się, że jedynie za pomocą rozporządzenia można dotrzymać terminu rozpoczęcia stosowania w dniu 21 grudnia.</w:t>
      </w:r>
    </w:p>
    <w:p>
      <w:pPr>
        <w:pBdr>
          <w:top w:val="nil"/>
          <w:left w:val="nil"/>
          <w:bottom w:val="nil"/>
          <w:right w:val="nil"/>
          <w:between w:val="nil"/>
          <w:bar w:val="nil"/>
        </w:pBdr>
        <w:spacing w:after="240"/>
        <w:rPr>
          <w:rFonts w:eastAsia="Arial Unicode MS"/>
          <w:noProof/>
          <w:color w:val="000000"/>
          <w:szCs w:val="24"/>
          <w:u w:color="000000"/>
          <w:bdr w:val="nil"/>
          <w:lang w:eastAsia="en-GB"/>
        </w:rPr>
      </w:pPr>
    </w:p>
    <w:p>
      <w:pPr>
        <w:pStyle w:val="ManualHeading1"/>
        <w:rPr>
          <w:noProof/>
        </w:rPr>
      </w:pPr>
      <w:r>
        <w:rPr>
          <w:noProof/>
        </w:rPr>
        <w:t>3.</w:t>
      </w:r>
      <w:r>
        <w:rPr>
          <w:noProof/>
        </w:rPr>
        <w:tab/>
        <w:t xml:space="preserve">WYNIKI OCEN </w:t>
      </w:r>
      <w:r>
        <w:rPr>
          <w:i/>
          <w:iCs/>
          <w:noProof/>
        </w:rPr>
        <w:t>EX POST</w:t>
      </w:r>
      <w:r>
        <w:rPr>
          <w:noProof/>
        </w:rPr>
        <w:t>, KONSULTACJI Z ZAINTERESOWANYMI STRONAMI I OCEN SKUTKÓW</w:t>
      </w:r>
    </w:p>
    <w:p>
      <w:pPr>
        <w:pStyle w:val="ManualHeading2"/>
        <w:rPr>
          <w:rFonts w:eastAsia="Arial Unicode MS"/>
          <w:noProof/>
          <w:u w:color="000000"/>
          <w:bdr w:val="nil"/>
        </w:rPr>
      </w:pPr>
      <w:r>
        <w:rPr>
          <w:noProof/>
          <w:u w:color="000000"/>
          <w:bdr w:val="nil"/>
        </w:rPr>
        <w:t>•</w:t>
      </w:r>
      <w:r>
        <w:rPr>
          <w:noProof/>
        </w:rPr>
        <w:tab/>
      </w:r>
      <w:r>
        <w:rPr>
          <w:noProof/>
          <w:u w:color="000000"/>
          <w:bdr w:val="nil"/>
        </w:rPr>
        <w:t>Oceny ex post/oceny adekwatności obowiązującego prawodawstwa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Nie dotyczy</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Nie dotyczy</w:t>
      </w:r>
    </w:p>
    <w:p>
      <w:pPr>
        <w:pStyle w:val="ManualHeading2"/>
        <w:rPr>
          <w:rFonts w:eastAsia="Arial Unicode MS"/>
          <w:noProof/>
          <w:u w:color="000000"/>
          <w:bdr w:val="nil"/>
        </w:rPr>
      </w:pPr>
      <w:r>
        <w:rPr>
          <w:noProof/>
          <w:u w:color="000000"/>
          <w:bdr w:val="nil"/>
        </w:rPr>
        <w:t>•</w:t>
      </w:r>
      <w:r>
        <w:rPr>
          <w:noProof/>
        </w:rPr>
        <w:tab/>
      </w:r>
      <w:r>
        <w:rPr>
          <w:noProof/>
          <w:u w:color="000000"/>
          <w:bdr w:val="nil"/>
        </w:rPr>
        <w:t>Gromadzenie i wykorzystanie wiedzy eksperckiej</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Nie dotyczy</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Ocena skutków</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Biorąc pod uwagę cel polityczny i pilny charakter przedmiotowej kwestii, nie są dostępne warianty strategiczne, które byłyby zasadniczo różne od proponowanego wariantu, a zatem ocena skutków nie jest potrzebna. </w:t>
      </w:r>
      <w:r>
        <w:rPr>
          <w:noProof/>
        </w:rPr>
        <w:t>W</w:t>
      </w:r>
      <w:r>
        <w:rPr>
          <w:noProof/>
          <w:color w:val="000000"/>
          <w:szCs w:val="24"/>
          <w:u w:color="000000"/>
          <w:bdr w:val="nil"/>
        </w:rPr>
        <w:t> </w:t>
      </w:r>
      <w:r>
        <w:rPr>
          <w:noProof/>
        </w:rPr>
        <w:t>szczególności środek ten ma służyć wprowadzeniu tymczasowego i ściśle ograniczonego odstępstwa od stosowania art. 5 ust. 1 i art. 6 dyrektywy o prywatności i łączności elektronicznej w celu zapewnienia, aby dostawcy usług łączności interpersonalnej niewykorzystujących numerów mogli nadal dobrowolnie stosować specjalne technologie do wykrywania i zgłaszania niegodziwego traktowania dzieci w celach seksualnych w internecie oraz usuwania materiałów przedstawiających niegodziwe traktowanie dzieci w celach seksualnych w ramach swoich usług po dniu 20 grudnia 2020 r., do czasu przyjęcia długoterminowych przepisów.</w:t>
      </w:r>
      <w:r>
        <w:rPr>
          <w:noProof/>
          <w:color w:val="000000"/>
          <w:szCs w:val="24"/>
          <w:u w:color="000000"/>
          <w:bdr w:val="nil"/>
        </w:rPr>
        <w:t xml:space="preserve"> </w:t>
      </w:r>
      <w:r>
        <w:rPr>
          <w:noProof/>
        </w:rPr>
        <w:t>Wniosek ustawodawczy dotyczący przepisów długoterminowych zostanie złożony w drugim kwartale 2021 r., jak zapowiedziano w „Strategii UE na rzecz skuteczniejszej walki z niegodziwym traktowaniem dzieci w celach seksualnych”, i towarzyszyć mu będzie ocena skutków.</w:t>
      </w:r>
      <w:r>
        <w:rPr>
          <w:noProof/>
          <w:color w:val="000000"/>
          <w:szCs w:val="24"/>
          <w:u w:color="000000"/>
          <w:bdr w:val="nil"/>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Prawa podstawowe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Wniosek uwzględnia w pełni podstawowe prawa i zasady uznane w Karcie praw podstawowych Unii Europejskiej. W szczególności proponowane środki uwzględniają art. 7 Karty praw podstawowych Unii Europejskiej, który chroni prawo podstawowe każdej osoby do poszanowania życia prywatnego i rodzinnego, domu i komunikowania się, co obejmuje również poufność komunikacji. Ponadto we wniosku uwzględniono art. 24 ust. 2 Karty, który stanowi, że we wszystkich działaniach dotyczących dzieci, zarówno podejmowanych przez władze publiczne, jak i instytucje prywatne, należy przede wszystkim uwzględnić najlepszy interes dziecka. Ponadto w zakresie, w jakim przetwarzanie łączności elektronicznej przez usługi łączności interpersonalnej niewykorzystujące numerów wyłącznie w celu wykrywania i zgłaszania niegodziwego traktowania dzieci w celach seksualnych w internecie oraz usuwania materiałów przedstawiających niegodziwe traktowanie dzieci w celach seksualnych wchodzi w zakres odstępstwa ustanowionego na mocy niniejszego wniosku, ogólne rozporządzenie o ochronie danych, które stanowi wdrożenie do prawa wtórnego art. 8 ust. 1 Karty, nadal ma zastosowanie do takiego przetwarzania. </w:t>
      </w:r>
    </w:p>
    <w:p>
      <w:pPr>
        <w:pStyle w:val="ManualHeading1"/>
        <w:rPr>
          <w:noProof/>
        </w:rPr>
      </w:pPr>
      <w:r>
        <w:rPr>
          <w:noProof/>
        </w:rPr>
        <w:t>4.</w:t>
      </w:r>
      <w:r>
        <w:rPr>
          <w:noProof/>
        </w:rPr>
        <w:tab/>
        <w:t>WPŁYW NA BUDŻET</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Niniejszy wniosek nie ma wpływu na budżet UE.</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u w:color="000000"/>
          <w:bdr w:val="nil"/>
        </w:rPr>
        <w:t>•</w:t>
      </w:r>
      <w:r>
        <w:rPr>
          <w:noProof/>
        </w:rPr>
        <w:tab/>
      </w:r>
      <w:r>
        <w:rPr>
          <w:noProof/>
          <w:u w:color="000000"/>
          <w:bdr w:val="nil"/>
        </w:rPr>
        <w:t>Plany wdrożenia i monitorowanie, ocena i sprawozdania</w:t>
      </w:r>
    </w:p>
    <w:p>
      <w:pPr>
        <w:pBdr>
          <w:top w:val="nil"/>
          <w:left w:val="nil"/>
          <w:bottom w:val="nil"/>
          <w:right w:val="nil"/>
          <w:between w:val="nil"/>
          <w:bar w:val="nil"/>
        </w:pBdr>
        <w:spacing w:after="240"/>
        <w:rPr>
          <w:rFonts w:eastAsia="Arial Unicode MS"/>
          <w:i/>
          <w:noProof/>
          <w:color w:val="000000"/>
          <w:szCs w:val="24"/>
          <w:u w:color="000000"/>
          <w:bdr w:val="nil"/>
        </w:rPr>
      </w:pPr>
      <w:r>
        <w:rPr>
          <w:noProof/>
          <w:color w:val="000000"/>
          <w:szCs w:val="24"/>
          <w:u w:color="000000"/>
          <w:bdr w:val="nil"/>
        </w:rPr>
        <w:t>Nie dotyczy</w:t>
      </w:r>
    </w:p>
    <w:p>
      <w:pPr>
        <w:pStyle w:val="ManualHeading2"/>
        <w:rPr>
          <w:rFonts w:eastAsia="Arial Unicode MS"/>
          <w:noProof/>
          <w:u w:color="000000"/>
          <w:bdr w:val="nil"/>
        </w:rPr>
      </w:pPr>
      <w:r>
        <w:rPr>
          <w:noProof/>
          <w:u w:color="000000"/>
          <w:bdr w:val="nil"/>
        </w:rPr>
        <w:t>•</w:t>
      </w:r>
      <w:r>
        <w:rPr>
          <w:noProof/>
        </w:rPr>
        <w:tab/>
      </w:r>
      <w:r>
        <w:rPr>
          <w:noProof/>
          <w:u w:color="000000"/>
          <w:bdr w:val="nil"/>
        </w:rPr>
        <w:t>Szczegółowe objaśnienia poszczególnych przepisów wniosku</w:t>
      </w:r>
    </w:p>
    <w:p>
      <w:pPr>
        <w:spacing w:after="240"/>
        <w:rPr>
          <w:rFonts w:eastAsia="Arial Unicode MS"/>
          <w:noProof/>
          <w:color w:val="000000"/>
          <w:szCs w:val="24"/>
          <w:u w:color="000000"/>
          <w:bdr w:val="nil"/>
        </w:rPr>
      </w:pPr>
      <w:r>
        <w:rPr>
          <w:noProof/>
        </w:rPr>
        <w:t>W art. 1 określono cel wniosku, jakim jest ustanowienie tymczasowego i ściśle ograniczonego odstępstwa od stosowania niektórych obowiązków określonych w dyrektywie 2002/58/WE, co ma służyć wyłącznie umożliwieniu podmiotom świadczącym usługi łączności interpersonalnej niewykorzystujące numerów dalszego stosowania technologii przetwarzania danych osobowych i innych danych w zakresie niezbędnym do wykrywania i zgłaszania niegodziwego traktowania dzieci w celach seksualnych w internecie oraz usuwania materiałów przedstawiających niegodziwe traktowanie dzieci w celach seksualnych w ramach swoich usług.</w:t>
      </w:r>
    </w:p>
    <w:p>
      <w:pPr>
        <w:spacing w:after="240"/>
        <w:rPr>
          <w:rFonts w:eastAsia="Calibri"/>
          <w:noProof/>
        </w:rPr>
      </w:pPr>
      <w:r>
        <w:rPr>
          <w:noProof/>
        </w:rPr>
        <w:lastRenderedPageBreak/>
        <w:t>Art. 2 zawiera odniesienie do definicji usług łączności interpersonalnej niewykorzystujących numerów w dyrektywie (UE) 2018/1972 (Europejski kodeks łączności elektronicznej) oraz do niektórych definicji w dyrektywie 2011/93/UE w sprawie zwalczania niegodziwego traktowania w celach seksualnych i wykorzystywania seksualnego dzieci oraz pornografii dziecięcej, zastępującej decyzję ramową Rady 2004/68/WSiSW.</w:t>
      </w:r>
    </w:p>
    <w:p>
      <w:pPr>
        <w:spacing w:after="240"/>
        <w:rPr>
          <w:rFonts w:eastAsia="Arial Unicode MS"/>
          <w:noProof/>
          <w:color w:val="000000"/>
          <w:szCs w:val="24"/>
          <w:u w:color="000000"/>
          <w:bdr w:val="nil"/>
        </w:rPr>
      </w:pPr>
      <w:r>
        <w:rPr>
          <w:noProof/>
        </w:rPr>
        <w:t xml:space="preserve">W art. 3 określono zakres odstępstwa poprzez wprowadzenie ograniczonego zwolnienia z obowiązków określonych w art. 5 ust. 1 i art. 6 dyrektywy o prywatności i łączności elektronicznej w odniesieniu do przetwarzania danych osobowych i innych danych w związku ze świadczeniem usług łączności interpersonalnej niewykorzystujących numerów, niezbędnych do stosowania technologii, w tym, w razie potrzeby, wszelkiej weryfikacji przez człowieka bezpośrednio związanej ze stosowaniem tej technologii, wyłącznie na potrzeby wykrywania niegodziwego traktowania dzieci w celach seksualnych w internecie lub zgłaszania tych praktyk organom ścigania oraz organizacjom działającym w interesie publicznym przeciwko niegodziwemu traktowaniu dzieci w celach seksualnych oraz usuwania materiałów przedstawiających niegodziwe traktowanie dzieci w celach seksualnych, a także ustanowiono w nim wykaz warunków, na jakich takie odstępstwo ma zastosowanie. </w:t>
      </w:r>
    </w:p>
    <w:p>
      <w:pPr>
        <w:spacing w:after="240"/>
        <w:rPr>
          <w:rFonts w:eastAsia="Arial Unicode MS"/>
          <w:noProof/>
          <w:color w:val="000000"/>
          <w:szCs w:val="24"/>
          <w:u w:color="000000"/>
          <w:bdr w:val="nil"/>
        </w:rPr>
      </w:pPr>
      <w:r>
        <w:rPr>
          <w:noProof/>
          <w:color w:val="000000"/>
          <w:szCs w:val="24"/>
          <w:u w:color="000000"/>
          <w:bdr w:val="nil"/>
        </w:rPr>
        <w:t>W art. 4 określono daty wejścia w życie i rozpoczęcia stosowania rozporządzenia oraz termin, kiedy rozporządzenie przestaje obowiązywać, lub warunki, na jakich rozporządzenie przestaje obowiązywać.</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2020/0259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tymczasowego odstępstwa od niektórych przepisów dyrektywy 2002/58/WE Parlamentu Europejskiego i Rady w odniesieniu do wykorzystywania technologii przez dostawców usług łączności interpersonalnej niewykorzystujących numerów do przetwarzania danych osobowych i innych danych do celów zwalczania niegodziwego traktowania dzieci w celach seksualnych w internecie</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16 ust. 2 w związku z art. 114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4"/>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W dyrektywie 2002/58/WE Parlamentu Europejskiego i Rady</w:t>
      </w:r>
      <w:r>
        <w:rPr>
          <w:rStyle w:val="FootnoteReference"/>
          <w:noProof/>
        </w:rPr>
        <w:footnoteReference w:id="5"/>
      </w:r>
      <w:r>
        <w:rPr>
          <w:noProof/>
        </w:rPr>
        <w:t xml:space="preserve"> ustanowiono przepisy zapewniające prawo do prywatności i poufności w odniesieniu do przetwarzania danych osobowych w ramach wymiany danych w sektorze łączności elektronicznej. Dyrektywa ta stanowi uszczegółowienie i uzupełnienie rozporządzenia Parlamentu Europejskiego i Rady (UE) 2016/679</w:t>
      </w:r>
      <w:r>
        <w:rPr>
          <w:rStyle w:val="FootnoteReference"/>
          <w:noProof/>
        </w:rPr>
        <w:footnoteReference w:id="6"/>
      </w:r>
      <w:r>
        <w:rPr>
          <w:noProof/>
        </w:rPr>
        <w:t xml:space="preserve">. </w:t>
      </w:r>
    </w:p>
    <w:p>
      <w:pPr>
        <w:pStyle w:val="ManualConsidrant"/>
        <w:rPr>
          <w:noProof/>
        </w:rPr>
      </w:pPr>
      <w:r>
        <w:t>(2)</w:t>
      </w:r>
      <w:r>
        <w:tab/>
      </w:r>
      <w:r>
        <w:rPr>
          <w:noProof/>
        </w:rPr>
        <w:t>Dyrektywa 2002/58/WE ma zastosowanie do przetwarzania danych osobowych w związku ze świadczeniem publicznie dostępnych usług łączności elektronicznej. Definicja usługi łączności elektronicznej znajduje się obecnie w art. 2 lit. c) dyrektywy 2002/21/WE Parlamentu Europejskiego i Rady</w:t>
      </w:r>
      <w:r>
        <w:rPr>
          <w:rStyle w:val="FootnoteReference"/>
          <w:noProof/>
        </w:rPr>
        <w:footnoteReference w:id="7"/>
      </w:r>
      <w:r>
        <w:rPr>
          <w:noProof/>
        </w:rPr>
        <w:t>. Dyrektywa Parlamentu Europejskiego i Rady (UE) 2018/1972</w:t>
      </w:r>
      <w:r>
        <w:rPr>
          <w:rStyle w:val="FootnoteReference"/>
          <w:noProof/>
        </w:rPr>
        <w:footnoteReference w:id="8"/>
      </w:r>
      <w:r>
        <w:rPr>
          <w:noProof/>
        </w:rPr>
        <w:t xml:space="preserve"> uchyla dyrektywę 2002/21/WE ze skutkiem od dnia 21 grudnia 2020 r. Od tego dnia definicja usług łączności elektronicznej zostanie zastąpiona nową definicją zawartą w art. 2 pkt 4 dyrektywy (UE) 2018/1972, która </w:t>
      </w:r>
      <w:r>
        <w:rPr>
          <w:noProof/>
        </w:rPr>
        <w:lastRenderedPageBreak/>
        <w:t xml:space="preserve">obejmuje usługi łączności interpersonalnej niewykorzystujące numerów zdefiniowane w art. 2 pkt 7 tej dyrektywy. Usługi te, obejmujące na przykład telefonię internetową, usługi komunikatorów internetowych i poczty elektronicznej w przeglądarce internetowej, będą zatem od dnia 21 grudnia 2020 r. objęte zakresem stosowania dyrektywy 2002/58/WE. </w:t>
      </w:r>
    </w:p>
    <w:p>
      <w:pPr>
        <w:pStyle w:val="ManualConsidrant"/>
        <w:rPr>
          <w:noProof/>
        </w:rPr>
      </w:pPr>
      <w:r>
        <w:t>(3)</w:t>
      </w:r>
      <w:r>
        <w:tab/>
      </w:r>
      <w:r>
        <w:rPr>
          <w:noProof/>
        </w:rPr>
        <w:t>Zgodnie z art. 6 ust. 1 Traktatu o Unii Europejskiej Unia uznaje prawa, wolności i zasady określone w Karcie praw podstawowych Unii Europejskiej. Art. 7 Karty praw podstawowych Unii Europejskiej („Karta”) chroni prawo podstawowe każdej osoby do poszanowania życia prywatnego i rodzinnego, domu i komunikowania się, co obejmuje również poufność komunikacji. Art. 8 Karty zawiera prawo do ochrony danych osobowych. Art. 24 ust. 2 Karty stanowi, że we wszystkich działaniach dotyczących dzieci, zarówno podejmowanych przez władze publiczne, jak i instytucje prywatne, należy przede wszystkim uwzględnić najlepszy interes dziecka.</w:t>
      </w:r>
    </w:p>
    <w:p>
      <w:pPr>
        <w:pStyle w:val="ManualConsidrant"/>
        <w:rPr>
          <w:noProof/>
        </w:rPr>
      </w:pPr>
      <w:r>
        <w:t>(4)</w:t>
      </w:r>
      <w:r>
        <w:tab/>
      </w:r>
      <w:r>
        <w:rPr>
          <w:noProof/>
        </w:rPr>
        <w:t>Niegodziwe traktowanie w celach seksualnych i wykorzystywanie seksualne dzieci stanowią poważne naruszenia praw człowieka, w szczególności praw dzieci do ochrony przed wszelkimi formami przemocy, niegodziwego traktowania i zaniedbania, złego traktowania lub wykorzystywania, w tym niegodziwego traktowania w celach seksualnych, zgodnie z Konwencją ONZ o prawach dziecka z 1989 r. i Kartą. Digitalizacja przyniosła społeczeństwu i gospodarce wiele korzyści, ale także wyzwań, a wśród nich nasilenie zjawiska niegodziwego traktowania dzieci w celach seksualnych w internecie. Ochrona dzieci w internecie jest jednym z priorytetów Unii. W dniu 24 lipca 2020 r. Komisja przyjęła „Strategię UE na rzecz skuteczniejszej walki z niegodziwym traktowaniem dzieci w celach seksualnych”</w:t>
      </w:r>
      <w:r>
        <w:rPr>
          <w:rStyle w:val="FootnoteReference"/>
          <w:noProof/>
          <w:szCs w:val="24"/>
        </w:rPr>
        <w:footnoteReference w:id="9"/>
      </w:r>
      <w:r>
        <w:rPr>
          <w:noProof/>
        </w:rPr>
        <w:t xml:space="preserve"> („Strategia”), której celem jest zapewnienie skutecznej reakcji na szczeblu Unii na przestępstwa związane z niegodziwym traktowaniem dzieci w celach seksualnych. </w:t>
      </w:r>
    </w:p>
    <w:p>
      <w:pPr>
        <w:pStyle w:val="ManualConsidrant"/>
        <w:rPr>
          <w:noProof/>
        </w:rPr>
      </w:pPr>
      <w:r>
        <w:t>(5)</w:t>
      </w:r>
      <w:r>
        <w:tab/>
      </w:r>
      <w:r>
        <w:rPr>
          <w:noProof/>
        </w:rPr>
        <w:t xml:space="preserve">Niektórzy dostawcy usług łączności interpersonalnej niewykorzystujących numerów, takich jak usługi aplikacji webmail i usługi komunikatorów internetowych, już stosują dobrowolnie specjalne technologie do wykrywania i zgłaszania niegodziwego traktowania dzieci w celach seksualnych w internecie organom ścigania i organizacjom działającym w interesie publicznym przeciwko niegodziwemu traktowaniu dzieci w celach seksualnych lub do usuwania materiałów przedstawiających niegodziwe traktowanie dzieci w celach seksualnych. Chodzi o takie organizacje, jak krajowe numery interwencyjne służące zgłaszaniu materiałów przedstawiających niegodziwe traktowanie dzieci w celach seksualnych, a także organizacje, których celem jest ograniczenie wykorzystywania seksualnego dzieci i zapobieganie wiktymizacji dzieci, zlokalizowane zarówno w Unii, jak i w państwach trzecich. Wszystkie te dobrowolne działania odgrywają znaczną rolę w umożliwianiu identyfikacji i ratowania ofiar oraz ograniczaniu dalszego rozpowszechniania materiałów przedstawiających niegodziwe traktowanie dzieci w celach seksualnych, przyczyniając się jednocześnie do identyfikacji przestępców i prowadzenia dochodzeń w ich sprawie oraz zapobiegania przestępstwom związanym z niegodziwym traktowaniem dzieci w celach seksualnych. </w:t>
      </w:r>
    </w:p>
    <w:p>
      <w:pPr>
        <w:pStyle w:val="ManualConsidrant"/>
        <w:rPr>
          <w:noProof/>
        </w:rPr>
      </w:pPr>
      <w:r>
        <w:t>(6)</w:t>
      </w:r>
      <w:r>
        <w:tab/>
      </w:r>
      <w:r>
        <w:rPr>
          <w:noProof/>
        </w:rPr>
        <w:t xml:space="preserve">Do dnia 20 grudnia 2020 r. przetwarzanie danych osobowych przez dostawców usług łączności interpersonalnej niewykorzystujących numerów, za pomocą dobrowolnych środków, na potrzeby wykrywania i zgłaszania niegodziwego traktowania dzieci </w:t>
      </w:r>
      <w:r>
        <w:rPr>
          <w:noProof/>
        </w:rPr>
        <w:lastRenderedPageBreak/>
        <w:t xml:space="preserve">w celach seksualnych w internecie oraz usuwania materiałów przedstawiających niegodziwe traktowanie dzieci w celach seksualnych regulowane jest rozporządzeniem (UE) 2016/679. </w:t>
      </w:r>
    </w:p>
    <w:p>
      <w:pPr>
        <w:pStyle w:val="ManualConsidrant"/>
        <w:rPr>
          <w:noProof/>
        </w:rPr>
      </w:pPr>
      <w:r>
        <w:t>(7)</w:t>
      </w:r>
      <w:r>
        <w:tab/>
      </w:r>
      <w:r>
        <w:rPr>
          <w:noProof/>
        </w:rPr>
        <w:t xml:space="preserve">Dyrektywa 2002/58/WE nie zawiera żadnych szczegółowych przepisów dotyczących przetwarzania danych osobowych i innych danych w związku ze świadczeniem usług łączności elektronicznej na potrzeby wykrywania i zgłaszania niegodziwego traktowania dzieci w celach seksualnych w internecie oraz usuwania materiałów przedstawiających niegodziwe traktowanie dzieci w celach seksualnych. Zgodnie z art. 15 ust. 1 dyrektywy 2002/58/WE państwa członkowskie mogą jednak przyjąć środki ustawodawcze w celu ograniczenia zakresu praw i obowiązków przewidzianych między innymi w art. 5 i 6 tej dyrektywy, które dotyczą poufności komunikacji i danych o ruchu, na potrzeby zapobiegania przestępstwom związanym z niegodziwym traktowaniem dzieci w celach seksualnych, prowadzenia dochodzeń w ich sprawie, wykrywania ich i ścigania. Wobec braku takich środków ustawodawczych oraz w oczekiwaniu na przyjęcie nowych długoterminowych ram prawnych służących skutecznemu zwalczaniu niegodziwego traktowania dzieci w celach seksualnych na szczeblu Unii, jak zapowiedziano w Strategii, po dniu 21 grudnia 2020 r. dostawcy usług łączności interpersonalnej niewykorzystujących numerów nie będą mieli podstawy prawnej do dalszego wykrywania i zgłaszania niegodziwego traktowania dzieci w celach seksualnych w internecie oraz usuwania materiałów przedstawiających niegodziwe traktowanie dzieci w celach seksualnych w ramach swoich usług. </w:t>
      </w:r>
    </w:p>
    <w:p>
      <w:pPr>
        <w:pStyle w:val="ManualConsidrant"/>
        <w:rPr>
          <w:noProof/>
        </w:rPr>
      </w:pPr>
      <w:r>
        <w:t>(8)</w:t>
      </w:r>
      <w:r>
        <w:tab/>
      </w:r>
      <w:r>
        <w:rPr>
          <w:noProof/>
        </w:rPr>
        <w:t xml:space="preserve">Niniejsze rozporządzenie przewiduje zatem tymczasowe odstępstwo od art. 5 ust. 1 i art. 6 dyrektywy 2002/58/WE, które chronią poufność komunikacji i danych o ruchu. Ponieważ dyrektywa 2002/58/WE została przyjęta na podstawie art. 114 Traktatu o funkcjonowaniu Unii Europejskiej, należy przyjąć niniejsze rozporządzenie na tej samej podstawie prawnej. Ponadto nie wszystkie państwa członkowskie wprowadziły środki ustawodawcze na szczeblu krajowym w celu ograniczenia zakresu praw i obowiązków przewidzianych w tych przepisach zgodnie z art. 15 ust. 1 dyrektywy 2002/58/WE, a wprowadzenie takich środków wiąże się ze znacznym ryzykiem rozdrobnienia, które może negatywnie wpłynąć na rynek wewnętrzny. </w:t>
      </w:r>
    </w:p>
    <w:p>
      <w:pPr>
        <w:pStyle w:val="ManualConsidrant"/>
        <w:rPr>
          <w:noProof/>
        </w:rPr>
      </w:pPr>
      <w:r>
        <w:t>(9)</w:t>
      </w:r>
      <w:r>
        <w:tab/>
      </w:r>
      <w:r>
        <w:rPr>
          <w:noProof/>
        </w:rPr>
        <w:t>Ponieważ łączność elektroniczna z udziałem osób fizycznych zazwyczaj kwalifikuje się jako dane osobowe, podstawą niniejszego rozporządzenia powinien również być art. 16 Traktatu, który stanowi konkretną podstawę prawną na potrzeby przyjęcia przepisów dotyczących ochrony osób fizycznych w związku z przetwarzaniem danych osobowych przez instytucje Unii i przez państwa członkowskie przy realizacji działań wchodzących w zakres prawa Unii, jak również przepisów dotyczących swobodnego przepływu takich danych.</w:t>
      </w:r>
    </w:p>
    <w:p>
      <w:pPr>
        <w:pStyle w:val="ManualConsidrant"/>
        <w:rPr>
          <w:noProof/>
        </w:rPr>
      </w:pPr>
      <w:r>
        <w:t>(10)</w:t>
      </w:r>
      <w:r>
        <w:tab/>
      </w:r>
      <w:r>
        <w:rPr>
          <w:noProof/>
        </w:rPr>
        <w:t>W zakresie, w jakim przetwarzanie danych osobowych w związku ze świadczeniem usług łączności elektronicznej przez usługi łączności interpersonalnej niewykorzystujące numerów wyłącznie na potrzeby wykrywania i zgłaszania niegodziwego traktowania dzieci w celach seksualnych w internecie oraz usuwania materiałów przedstawiających niegodziwe traktowanie dzieci w celach seksualnych wchodzi w zakres odstępstwa przewidzianego w niniejszym rozporządzeniu, do takiego przetwarzania ma zastosowanie rozporządzenie (UE) 2016/679, w tym, w stosownych przypadkach, wymóg przeprowadzenia oceny skutków planowanych operacji przetwarzania zgodnie z art. 35 tego rozporządzenia, przed wdrożeniem odnośnych technologii.</w:t>
      </w:r>
    </w:p>
    <w:p>
      <w:pPr>
        <w:pStyle w:val="ManualConsidrant"/>
        <w:rPr>
          <w:noProof/>
        </w:rPr>
      </w:pPr>
      <w:r>
        <w:lastRenderedPageBreak/>
        <w:t>(11)</w:t>
      </w:r>
      <w:r>
        <w:tab/>
      </w:r>
      <w:r>
        <w:rPr>
          <w:noProof/>
        </w:rPr>
        <w:t>Ponieważ jedynym celem niniejszego rozporządzenia jest umożliwienie kontynuacji niektórych prowadzonych już działań służących zwalczaniu niegodziwego traktowania dzieci w celach seksualnych w internecie, odstępstwo przewidziane w niniejszym rozporządzeniu powinno ograniczać się do ugruntowanej technologii, która jest regularnie stosowana przez usługi łączności interpersonalnej niewykorzystujące numerów do wykrywania i zgłaszania niegodziwego traktowania dzieci w celach seksualnych w internecie oraz usuwania materiałów przedstawiających niegodziwe traktowanie dzieci w celach seksualnych przed wejściem w życie niniejszego rozporządzenia. Odniesienie do technologii obejmuje, w razie potrzeby, wszelką weryfikację przez człowieka bezpośrednio związaną ze stosowaniem tej technologii i z jej nadzorowaniem. Stosowanie danej technologii powinno być zatem powszechne w branży, bez konieczności wymagania, aby wszyscy dostawcy korzystali z tej technologii, i bez wykluczania dalszego rozwoju tej technologii w sposób respektujący prywatność. W tym względzie nieistotne powinno być to, czy dany dostawca, który zamierza korzystać z tego odstępstwa, sam stosuje już taką technologię w dniu wejścia w życie niniejszego rozporządzenia. Rodzaje stosowanych technologii powinny powodować jak najmniejszą ingerencję w prywatność zgodnie z aktualnym stanem techniki w tej branży i nie powinny obejmować systematycznego filtrowania ani skanowania komunikatów zawierających tekst, a jedynie analizować określone komunikaty w przypadku konkretnych podejrzeń dotyczących wystąpienia niegodziwego traktowania dzieci w celach seksualnych.</w:t>
      </w:r>
    </w:p>
    <w:p>
      <w:pPr>
        <w:pStyle w:val="ManualConsidrant"/>
        <w:rPr>
          <w:noProof/>
        </w:rPr>
      </w:pPr>
      <w:r>
        <w:t>(12)</w:t>
      </w:r>
      <w:r>
        <w:tab/>
      </w:r>
      <w:r>
        <w:rPr>
          <w:noProof/>
        </w:rPr>
        <w:t>W celu zapewnienia jak największej dokładności i wiarygodności stosowana technologia powinna, zgodnie z aktualnym stanem techniki w branży, ograniczać w jak największym stopniu poziom błędu wyników fałszywie dodatnich oraz, w razie potrzeby, niezwłocznie korygować wszelkie takie błędy, które mimo wszystko mogą wystąpić.</w:t>
      </w:r>
    </w:p>
    <w:p>
      <w:pPr>
        <w:pStyle w:val="ManualConsidrant"/>
        <w:rPr>
          <w:noProof/>
        </w:rPr>
      </w:pPr>
      <w:r>
        <w:t>(13)</w:t>
      </w:r>
      <w:r>
        <w:tab/>
      </w:r>
      <w:r>
        <w:rPr>
          <w:noProof/>
        </w:rPr>
        <w:t xml:space="preserve">Dane osobowe i inne dane wykorzystywane podczas wykonywania czynności objętych odstępstwem określonym w niniejszym rozporządzeniu, jak również okres, w którym dane te są następnie zatrzymywane w przypadku uzyskania wyników dodatnich, powinny zostać zminimalizowane, tak aby zapewnić ograniczenie odstępstwa do tego, co jest absolutnie niezbędne. </w:t>
      </w:r>
    </w:p>
    <w:p>
      <w:pPr>
        <w:pStyle w:val="ManualConsidrant"/>
        <w:rPr>
          <w:noProof/>
        </w:rPr>
      </w:pPr>
      <w:r>
        <w:t>(14)</w:t>
      </w:r>
      <w:r>
        <w:tab/>
      </w:r>
      <w:r>
        <w:rPr>
          <w:noProof/>
        </w:rPr>
        <w:t>Aby zapewnić przejrzystość i odpowiedzialność w odniesieniu do działań podjętych na mocy odstępstwa, dostawcy powinni publikować coroczne sprawozdania dotyczące przetwarzania objętego zakresem niniejszego rozporządzenia, w tym dotyczące rodzaju i ilości przetwarzanych danych, liczby zidentyfikowanych przypadków, środków zastosowanych w celu wyboru i udoskonalenia kluczowych wskaźników, liczby i współczynników błędów (wyniki fałszywie dodatnie) dotyczących poszczególnych zastosowanych technologii, środków zastosowanych w celu ograniczenia poziomu błędu i osiągniętego poziomu błędu, polityki zatrzymywania danych oraz zastosowanych zabezpieczeń w zakresie ochrony danych.</w:t>
      </w:r>
    </w:p>
    <w:p>
      <w:pPr>
        <w:pStyle w:val="ManualConsidrant"/>
        <w:rPr>
          <w:noProof/>
        </w:rPr>
      </w:pPr>
      <w:r>
        <w:t>(15)</w:t>
      </w:r>
      <w:r>
        <w:tab/>
      </w:r>
      <w:r>
        <w:rPr>
          <w:noProof/>
        </w:rPr>
        <w:t>Niniejsze rozporządzenie powinno wejść w życie trzeciego dnia po jego opublikowaniu w </w:t>
      </w:r>
      <w:r>
        <w:rPr>
          <w:i/>
          <w:noProof/>
        </w:rPr>
        <w:t>Dzienniku Urzędowym Unii Europejskiej</w:t>
      </w:r>
      <w:r>
        <w:rPr>
          <w:noProof/>
        </w:rPr>
        <w:t>, aby możliwe było zapewnienie jego rozpoczęcia stosowania od dnia 21 grudnia 2020 r.</w:t>
      </w:r>
    </w:p>
    <w:p>
      <w:pPr>
        <w:pStyle w:val="ManualConsidrant"/>
        <w:rPr>
          <w:noProof/>
        </w:rPr>
      </w:pPr>
      <w:r>
        <w:t>(16)</w:t>
      </w:r>
      <w:r>
        <w:tab/>
      </w:r>
      <w:r>
        <w:rPr>
          <w:noProof/>
        </w:rPr>
        <w:t xml:space="preserve">Niniejsze rozporządzenie ogranicza prawo do ochrony poufności komunikacji i stanowi odstępstwo od decyzji podjętej w dyrektywie (UE) 2018/1972, zgodnie z którą usługi łączności interpersonalnej niewykorzystujące numerów podlegają tym samym przepisom co wszystkie inne usługi łączności elektronicznej w odniesieniu do prywatności. Okres stosowania niniejszego rozporządzenia powinien zatem zostać </w:t>
      </w:r>
      <w:r>
        <w:rPr>
          <w:noProof/>
        </w:rPr>
        <w:lastRenderedPageBreak/>
        <w:t>ograniczony do dnia 31 grudnia 2025 r. – jest to okres potrzebny, przy racjonalnych założeniach, do przyjęcia nowych długoterminowych ram prawnych z bardziej rozbudowanymi zabezpieczeniami. Jeżeli przepisy długoterminowe zostaną przyjęte i wejdą w życie przed tą datą, powinny one uchylić niniejsze rozporządzenie.</w:t>
      </w:r>
    </w:p>
    <w:p>
      <w:pPr>
        <w:pStyle w:val="ManualConsidrant"/>
        <w:rPr>
          <w:noProof/>
        </w:rPr>
      </w:pPr>
      <w:r>
        <w:t>(17)</w:t>
      </w:r>
      <w:r>
        <w:tab/>
      </w:r>
      <w:r>
        <w:rPr>
          <w:noProof/>
        </w:rPr>
        <w:t>Dostawcy usług łączności interpersonalnej niewykorzystujących numerów powinni podlegać szczegółowym obowiązkom określonym w dyrektywie 2002/58/WE w odniesieniu do wszelkich innych rodzajów działalności wchodzących w zakres jej stosowania.</w:t>
      </w:r>
    </w:p>
    <w:p>
      <w:pPr>
        <w:pStyle w:val="ManualConsidrant"/>
        <w:rPr>
          <w:noProof/>
        </w:rPr>
      </w:pPr>
      <w:r>
        <w:t>(18)</w:t>
      </w:r>
      <w:r>
        <w:tab/>
      </w:r>
      <w:r>
        <w:rPr>
          <w:noProof/>
        </w:rPr>
        <w:t>Celem niniejszego rozporządzenia jest ustanowienie tymczasowego odstępstwa od niektórych przepisów dyrektywy 2002/58/WE bez tworzenia fragmentacji na rynku wewnętrznym. Ponadto przepisy krajowe najprawdopodobniej nie zostałyby przyjęte na czas we wszystkich państwach członkowskich. Ponieważ cel ten nie może zostać osiągnięty w sposób wystarczający przez państwa członkowskie, a możliwe jest jego lepsze osiągnięcie na poziomie Unii, Unia może podjąć działania zgodnie z zasadą pomocniczości określoną w art. 5 Traktatu o Unii Europejskiej. Zgodnie z zasadą proporcjonalności określoną w tym samym artykule niniejsze rozporządzenie nie wykracza poza zakres niezbędny do osiągnięcia tych celów. Wprowadza ono tymczasowe i ściśle ograniczone odstępstwo od stosowania art. 5 ust. 1 i art. 6 dyrektywy 2002/58/WE, wraz z szeregiem zabezpieczeń gwarantujących, że nie wykracza ono poza to, co jest konieczne do osiągnięcia wyznaczonych celów.</w:t>
      </w:r>
    </w:p>
    <w:p>
      <w:pPr>
        <w:pStyle w:val="ManualConsidrant"/>
        <w:rPr>
          <w:noProof/>
        </w:rPr>
      </w:pPr>
      <w:r>
        <w:t>(19)</w:t>
      </w:r>
      <w:r>
        <w:tab/>
      </w:r>
      <w:r>
        <w:rPr>
          <w:noProof/>
        </w:rPr>
        <w:t>Zgodnie z art. 42 ust. 1 rozporządzenia (UE) 2018/1725 Parlamentu Europejskiego i Rady</w:t>
      </w:r>
      <w:r>
        <w:rPr>
          <w:rStyle w:val="FootnoteReference"/>
          <w:noProof/>
        </w:rPr>
        <w:footnoteReference w:id="10"/>
      </w:r>
      <w:r>
        <w:rPr>
          <w:noProof/>
        </w:rPr>
        <w:t xml:space="preserve"> skonsultowano się z Europejskim Inspektorem Ochrony Danych, który wydał opinię w dniu […] r.,</w:t>
      </w:r>
    </w:p>
    <w:p>
      <w:pPr>
        <w:rPr>
          <w:noProof/>
        </w:rPr>
      </w:pPr>
    </w:p>
    <w:p>
      <w:pPr>
        <w:pStyle w:val="Formuledadoption"/>
        <w:rPr>
          <w:noProof/>
        </w:rPr>
      </w:pPr>
      <w:r>
        <w:rPr>
          <w:noProof/>
        </w:rPr>
        <w:t>PRZYJMUJĄ NINIEJSZE ROZPORZĄDZENIE:</w:t>
      </w:r>
    </w:p>
    <w:p>
      <w:pPr>
        <w:spacing w:before="0" w:after="0"/>
        <w:jc w:val="center"/>
        <w:rPr>
          <w:i/>
          <w:noProof/>
          <w:szCs w:val="24"/>
        </w:rPr>
      </w:pPr>
      <w:r>
        <w:rPr>
          <w:i/>
          <w:noProof/>
          <w:szCs w:val="24"/>
        </w:rPr>
        <w:t>Artykuł 1</w:t>
      </w:r>
    </w:p>
    <w:p>
      <w:pPr>
        <w:spacing w:before="0" w:after="0"/>
        <w:jc w:val="center"/>
        <w:rPr>
          <w:i/>
          <w:noProof/>
          <w:szCs w:val="24"/>
        </w:rPr>
      </w:pPr>
      <w:r>
        <w:rPr>
          <w:i/>
          <w:noProof/>
          <w:szCs w:val="24"/>
        </w:rPr>
        <w:t>Przedmiot</w:t>
      </w:r>
    </w:p>
    <w:p>
      <w:pPr>
        <w:spacing w:before="0" w:after="0"/>
        <w:jc w:val="center"/>
        <w:rPr>
          <w:i/>
          <w:noProof/>
          <w:szCs w:val="24"/>
          <w:lang w:eastAsia="fr-BE"/>
        </w:rPr>
      </w:pPr>
    </w:p>
    <w:p>
      <w:pPr>
        <w:rPr>
          <w:noProof/>
        </w:rPr>
      </w:pPr>
      <w:r>
        <w:rPr>
          <w:noProof/>
        </w:rPr>
        <w:t xml:space="preserve">W niniejszym rozporządzeniu ustanawia się tymczasowe i ściśle ograniczone odstępstwo od stosowania niektórych obowiązków określonych w dyrektywie 2002/58/WE, co ma służyć wyłącznie umożliwieniu podmiotom świadczącym usługi łączności interpersonalnej niewykorzystujące numerów dalszego stosowania technologii przetwarzania danych osobowych i innych danych w zakresie niezbędnym do wykrywania i zgłaszania niegodziwego traktowania dzieci w celach seksualnych w internecie oraz usuwania materiałów przedstawiających niegodziwe traktowanie dzieci w celach seksualnych w ramach swoich usług. </w:t>
      </w:r>
    </w:p>
    <w:p>
      <w:pPr>
        <w:rPr>
          <w:noProof/>
        </w:rPr>
      </w:pPr>
      <w:r>
        <w:rPr>
          <w:noProof/>
        </w:rPr>
        <w:t xml:space="preserve"> </w:t>
      </w:r>
    </w:p>
    <w:p>
      <w:pPr>
        <w:spacing w:before="0" w:after="0"/>
        <w:jc w:val="center"/>
        <w:rPr>
          <w:i/>
          <w:noProof/>
          <w:szCs w:val="24"/>
        </w:rPr>
      </w:pPr>
      <w:r>
        <w:rPr>
          <w:i/>
          <w:noProof/>
          <w:szCs w:val="24"/>
        </w:rPr>
        <w:t>Artykuł 2</w:t>
      </w:r>
    </w:p>
    <w:p>
      <w:pPr>
        <w:spacing w:before="0" w:after="0"/>
        <w:jc w:val="center"/>
        <w:rPr>
          <w:i/>
          <w:noProof/>
          <w:szCs w:val="24"/>
        </w:rPr>
      </w:pPr>
      <w:r>
        <w:rPr>
          <w:i/>
          <w:noProof/>
          <w:szCs w:val="24"/>
        </w:rPr>
        <w:t xml:space="preserve">Definicje </w:t>
      </w:r>
    </w:p>
    <w:p>
      <w:pPr>
        <w:spacing w:before="0" w:after="0"/>
        <w:ind w:left="720"/>
        <w:jc w:val="center"/>
        <w:rPr>
          <w:b/>
          <w:noProof/>
          <w:szCs w:val="24"/>
          <w:lang w:eastAsia="fr-BE"/>
        </w:rPr>
      </w:pPr>
    </w:p>
    <w:p>
      <w:pPr>
        <w:rPr>
          <w:noProof/>
          <w:szCs w:val="24"/>
        </w:rPr>
      </w:pPr>
      <w:r>
        <w:rPr>
          <w:noProof/>
        </w:rPr>
        <w:t xml:space="preserve">Do celów niniejszego rozporządzenia stosuje się następujące definicje: </w:t>
      </w:r>
    </w:p>
    <w:p>
      <w:pPr>
        <w:pStyle w:val="ListParagraph"/>
        <w:spacing w:before="0" w:after="0"/>
        <w:rPr>
          <w:noProof/>
          <w:szCs w:val="24"/>
        </w:rPr>
      </w:pPr>
      <w:r>
        <w:rPr>
          <w:noProof/>
        </w:rPr>
        <w:lastRenderedPageBreak/>
        <w:t xml:space="preserve">1) „usługa łączności interpersonalnej niewykorzystująca numerów” oznacza usługę zdefiniowaną w art. 2 pkt 7 dyrektywy (UE) 2018/1972; </w:t>
      </w:r>
    </w:p>
    <w:p>
      <w:pPr>
        <w:pStyle w:val="ListParagraph"/>
        <w:spacing w:before="0" w:after="0"/>
        <w:rPr>
          <w:noProof/>
          <w:szCs w:val="24"/>
        </w:rPr>
      </w:pPr>
      <w:r>
        <w:rPr>
          <w:noProof/>
        </w:rPr>
        <w:t xml:space="preserve">2) „niegodziwe traktowanie dzieci w celach seksualnych w internecie” oznacza: </w:t>
      </w:r>
    </w:p>
    <w:p>
      <w:pPr>
        <w:pStyle w:val="ListParagraph"/>
        <w:spacing w:before="0" w:after="0"/>
        <w:ind w:left="1440"/>
        <w:rPr>
          <w:noProof/>
        </w:rPr>
      </w:pPr>
      <w:r>
        <w:rPr>
          <w:noProof/>
        </w:rPr>
        <w:t>a) materiały stanowiące pornografię dziecięcą w rozumieniu art. 2 lit. c) dyrektywy Parlamentu Europejskiego i Rady 2011/93/UE;</w:t>
      </w:r>
    </w:p>
    <w:p>
      <w:pPr>
        <w:pStyle w:val="ListParagraph"/>
        <w:spacing w:before="0" w:after="0"/>
        <w:ind w:left="1440"/>
        <w:rPr>
          <w:noProof/>
          <w:szCs w:val="24"/>
          <w:lang w:eastAsia="fr-BE"/>
        </w:rPr>
      </w:pPr>
    </w:p>
    <w:p>
      <w:pPr>
        <w:pStyle w:val="ListParagraph"/>
        <w:spacing w:before="0" w:after="0"/>
        <w:ind w:left="1440"/>
        <w:rPr>
          <w:noProof/>
          <w:color w:val="1F497D"/>
        </w:rPr>
      </w:pPr>
      <w:r>
        <w:rPr>
          <w:noProof/>
        </w:rPr>
        <w:t>b) nagabywanie dzieci w celu podejmowania czynności seksualnych z udziałem dziecka lub wytwarzania pornografii dziecięcej za pomocą któregokolwiek z następujących działań:</w:t>
      </w:r>
      <w:r>
        <w:rPr>
          <w:noProof/>
          <w:color w:val="1F497D"/>
        </w:rPr>
        <w:t xml:space="preserve"> </w:t>
      </w:r>
    </w:p>
    <w:p>
      <w:pPr>
        <w:ind w:left="1843"/>
        <w:rPr>
          <w:noProof/>
        </w:rPr>
      </w:pPr>
      <w:r>
        <w:rPr>
          <w:noProof/>
        </w:rPr>
        <w:t xml:space="preserve">(i) wabienia dziecka przez oferowanie mu prezentów lub innych korzyści; </w:t>
      </w:r>
    </w:p>
    <w:p>
      <w:pPr>
        <w:ind w:left="1843"/>
        <w:rPr>
          <w:noProof/>
        </w:rPr>
      </w:pPr>
      <w:r>
        <w:rPr>
          <w:noProof/>
        </w:rPr>
        <w:t xml:space="preserve">(ii) grożenia dziecku negatywnymi konsekwencjami, które mogą mieć znaczący wpływ na dziecko; </w:t>
      </w:r>
    </w:p>
    <w:p>
      <w:pPr>
        <w:ind w:left="1843"/>
        <w:rPr>
          <w:noProof/>
          <w:sz w:val="22"/>
        </w:rPr>
      </w:pPr>
      <w:r>
        <w:rPr>
          <w:noProof/>
        </w:rPr>
        <w:t>(iii) pokazywania dziecku materiałów pornograficznych lub udostępnienia ich dziecku;</w:t>
      </w:r>
    </w:p>
    <w:p>
      <w:pPr>
        <w:pStyle w:val="ListParagraph"/>
        <w:spacing w:before="0" w:after="0"/>
        <w:ind w:left="1440"/>
        <w:rPr>
          <w:noProof/>
          <w:szCs w:val="24"/>
        </w:rPr>
      </w:pPr>
      <w:r>
        <w:rPr>
          <w:noProof/>
        </w:rPr>
        <w:t>c) „przedstawienie pornograficzne” zdefiniowane w art. 2 lit. e) dyrektywy 2011/93/UE.</w:t>
      </w:r>
    </w:p>
    <w:p>
      <w:pPr>
        <w:pStyle w:val="Titrearticle"/>
        <w:rPr>
          <w:noProof/>
        </w:rPr>
      </w:pPr>
      <w:r>
        <w:rPr>
          <w:noProof/>
        </w:rPr>
        <w:t xml:space="preserve">Artykuł 3 </w:t>
      </w:r>
      <w:r>
        <w:rPr>
          <w:noProof/>
        </w:rPr>
        <w:br/>
        <w:t>Zakres odstępstwa</w:t>
      </w:r>
    </w:p>
    <w:p>
      <w:pPr>
        <w:pStyle w:val="ListParagraph"/>
        <w:rPr>
          <w:noProof/>
        </w:rPr>
      </w:pPr>
      <w:r>
        <w:rPr>
          <w:noProof/>
        </w:rPr>
        <w:t>Szczególne obowiązki określone w art. 5 ust. 1 i art. 6 dyrektywy 2002/58/WE nie mają zastosowania do przetwarzania danych osobowych i innych danych w związku ze świadczeniem usług łączności interpersonalnej niewykorzystujących numerów, które jest absolutnie niezbędne do zastosowania technologii wyłącznie w celu usuwania materiałów przedstawiających niegodziwe traktowanie dzieci w celach seksualnych oraz wykrywania niegodziwego traktowania dzieci w celach seksualnych w internecie lub zgłaszania tych praktyk organom ścigania oraz organizacjom działającym w interesie publicznym przeciwko niegodziwemu traktowaniu dzieci w celach seksualnych, pod warunkiem że:</w:t>
      </w:r>
    </w:p>
    <w:p>
      <w:pPr>
        <w:pStyle w:val="Point0"/>
        <w:rPr>
          <w:noProof/>
        </w:rPr>
      </w:pPr>
      <w:r>
        <w:rPr>
          <w:noProof/>
        </w:rPr>
        <w:t>a)</w:t>
      </w:r>
      <w:r>
        <w:rPr>
          <w:noProof/>
        </w:rPr>
        <w:tab/>
        <w:t>przetwarzanie jest proporcjonalne i ograniczone do ugruntowanych technologii, regularnie stosowanych w tym celu przed wejściem w życie niniejszego rozporządzenia przez dostawców usług łączności interpersonalnej niewykorzystujących numerów, które to technologie są zgodne z aktualnym stanem techniki w branży i powodują jak najmniejszą ingerencję w prywatność;</w:t>
      </w:r>
    </w:p>
    <w:p>
      <w:pPr>
        <w:pStyle w:val="Point0"/>
        <w:rPr>
          <w:noProof/>
        </w:rPr>
      </w:pPr>
      <w:r>
        <w:rPr>
          <w:noProof/>
        </w:rPr>
        <w:t>b)</w:t>
      </w:r>
      <w:r>
        <w:rPr>
          <w:noProof/>
        </w:rPr>
        <w:tab/>
        <w:t>zastosowana technologia jest sama w sobie wystarczająco wiarygodna, to znaczy ogranicza w jak największym stopniu poziom błędów dotyczących wykrywania treści przedstawiających niegodziwe traktowanie dzieci w celach seksualnych, a w przypadku wystąpienia takich błędów ich skutki są niezwłocznie korygowane;</w:t>
      </w:r>
    </w:p>
    <w:p>
      <w:pPr>
        <w:pStyle w:val="Point0"/>
        <w:rPr>
          <w:noProof/>
        </w:rPr>
      </w:pPr>
      <w:r>
        <w:rPr>
          <w:noProof/>
        </w:rPr>
        <w:t>c)</w:t>
      </w:r>
      <w:r>
        <w:rPr>
          <w:noProof/>
        </w:rPr>
        <w:tab/>
        <w:t>technologia stosowana do wykrywania nagabywania dzieci ogranicza się do stosowania odpowiednich kluczowych wskaźników, takich jak słowa kluczowe, i obiektywnie zidentyfikowanych czynników ryzyka, takich jak różnica wieku, bez uszczerbku dla prawa do weryfikacji przez człowieka;</w:t>
      </w:r>
    </w:p>
    <w:p>
      <w:pPr>
        <w:pStyle w:val="Point0"/>
        <w:rPr>
          <w:noProof/>
        </w:rPr>
      </w:pPr>
      <w:r>
        <w:rPr>
          <w:noProof/>
        </w:rPr>
        <w:t>d)</w:t>
      </w:r>
      <w:r>
        <w:rPr>
          <w:noProof/>
        </w:rPr>
        <w:tab/>
        <w:t xml:space="preserve">przetwarzanie ogranicza się do tego, co jest absolutnie niezbędne do celów wykrywania i zgłaszania niegodziwego traktowania dzieci w celach seksualnych w internecie i usuwania materiałów przedstawiających niegodziwe traktowanie dzieci w celach seksualnych oraz, o ile niegodziwe traktowanie dzieci w celach </w:t>
      </w:r>
      <w:r>
        <w:rPr>
          <w:noProof/>
        </w:rPr>
        <w:lastRenderedPageBreak/>
        <w:t xml:space="preserve">seksualnych nie zostało wykryte i potwierdzone jako takie, jest natychmiast usuwane; </w:t>
      </w:r>
    </w:p>
    <w:p>
      <w:pPr>
        <w:pStyle w:val="Point0"/>
        <w:rPr>
          <w:noProof/>
          <w:szCs w:val="24"/>
        </w:rPr>
      </w:pPr>
      <w:r>
        <w:rPr>
          <w:noProof/>
        </w:rPr>
        <w:t>e)</w:t>
      </w:r>
      <w:r>
        <w:rPr>
          <w:noProof/>
        </w:rPr>
        <w:tab/>
        <w:t>dostawca publikuje coroczne sprawozdania dotyczące swojego odnośnego przetwarzania, w tym dotyczące rodzaju i ilości przetwarzanych danych, liczby zidentyfikowanych przypadków, środków zastosowanych w celu wyboru i udoskonalenia kluczowych wskaźników, liczby i współczynników błędów (wyniki fałszywie dodatnie) dotyczących poszczególnych zastosowanych technologii, środków zastosowanych w celu ograniczenia poziomu błędu i osiągniętego poziomu błędu, polityki zatrzymywania danych oraz zastosowanych zabezpieczeń w zakresie ochrony danych.</w:t>
      </w:r>
    </w:p>
    <w:p>
      <w:pPr>
        <w:pStyle w:val="ListParagraph"/>
        <w:rPr>
          <w:noProof/>
          <w:sz w:val="22"/>
        </w:rPr>
      </w:pPr>
      <w:r>
        <w:rPr>
          <w:noProof/>
        </w:rPr>
        <w:t xml:space="preserve">W odniesieniu do lit. d), w przypadku wykrycia i potwierdzenia niegodziwego traktowania dzieci w celach seksualnych w internecie odpowiednie dane mogą być zatrzymane wyłącznie do następujących celów i wyłącznie przez okres niezbędny: </w:t>
      </w:r>
    </w:p>
    <w:p>
      <w:pPr>
        <w:pStyle w:val="Tiret0"/>
        <w:numPr>
          <w:ilvl w:val="0"/>
          <w:numId w:val="10"/>
        </w:numPr>
        <w:tabs>
          <w:tab w:val="clear" w:pos="850"/>
          <w:tab w:val="num" w:pos="1701"/>
        </w:tabs>
        <w:ind w:left="1701" w:hanging="567"/>
        <w:rPr>
          <w:noProof/>
        </w:rPr>
      </w:pPr>
      <w:r>
        <w:rPr>
          <w:noProof/>
        </w:rPr>
        <w:t>do ich zgłoszenia i odpowiedzi na proporcjonalne wnioski organów ścigania i innych właściwych organów publicznych;</w:t>
      </w:r>
    </w:p>
    <w:p>
      <w:pPr>
        <w:pStyle w:val="Tiret0"/>
        <w:tabs>
          <w:tab w:val="clear" w:pos="850"/>
          <w:tab w:val="num" w:pos="1701"/>
        </w:tabs>
        <w:ind w:left="1701" w:hanging="567"/>
        <w:rPr>
          <w:noProof/>
        </w:rPr>
      </w:pPr>
      <w:r>
        <w:rPr>
          <w:noProof/>
        </w:rPr>
        <w:t xml:space="preserve">do zablokowania konta danego użytkownika; </w:t>
      </w:r>
    </w:p>
    <w:p>
      <w:pPr>
        <w:pStyle w:val="Tiret0"/>
        <w:tabs>
          <w:tab w:val="clear" w:pos="850"/>
          <w:tab w:val="num" w:pos="1701"/>
        </w:tabs>
        <w:ind w:left="1701" w:hanging="567"/>
        <w:rPr>
          <w:noProof/>
        </w:rPr>
      </w:pPr>
      <w:r>
        <w:rPr>
          <w:noProof/>
        </w:rPr>
        <w:t>w odniesieniu do danych wiarygodnie zidentyfikowanych jako pornografia dziecięca, do stworzenia niepowtarzalnego, nieprzekształcalnego podpisu cyfrowego („skrót”).</w:t>
      </w:r>
    </w:p>
    <w:p>
      <w:pPr>
        <w:spacing w:before="240"/>
        <w:jc w:val="center"/>
        <w:rPr>
          <w:i/>
          <w:iCs/>
          <w:noProof/>
          <w:color w:val="000000" w:themeColor="text1"/>
        </w:rPr>
      </w:pPr>
      <w:r>
        <w:rPr>
          <w:i/>
          <w:noProof/>
          <w:szCs w:val="24"/>
        </w:rPr>
        <w:t>Artykuł 4</w:t>
      </w:r>
      <w:r>
        <w:rPr>
          <w:noProof/>
        </w:rPr>
        <w:t xml:space="preserve"> </w:t>
      </w:r>
      <w:r>
        <w:rPr>
          <w:noProof/>
        </w:rPr>
        <w:br/>
      </w:r>
      <w:r>
        <w:rPr>
          <w:i/>
          <w:iCs/>
          <w:noProof/>
          <w:color w:val="000000" w:themeColor="text1"/>
        </w:rPr>
        <w:t>Wejście w życie i rozpoczęcie stosowania</w:t>
      </w:r>
    </w:p>
    <w:p>
      <w:pPr>
        <w:pStyle w:val="ListParagraph"/>
        <w:rPr>
          <w:noProof/>
        </w:rPr>
      </w:pPr>
      <w:r>
        <w:rPr>
          <w:noProof/>
        </w:rPr>
        <w:t>Niniejsze rozporządzenie wchodzi w życie trzeciego dnia po jego opublikowaniu w </w:t>
      </w:r>
      <w:r>
        <w:rPr>
          <w:i/>
          <w:iCs/>
          <w:noProof/>
        </w:rPr>
        <w:t>Dzienniku Urzędowym Unii Europejskiej</w:t>
      </w:r>
      <w:r>
        <w:rPr>
          <w:noProof/>
        </w:rPr>
        <w:t xml:space="preserve">. </w:t>
      </w:r>
    </w:p>
    <w:p>
      <w:pPr>
        <w:pStyle w:val="Normal1"/>
        <w:spacing w:before="0" w:beforeAutospacing="0" w:after="240" w:afterAutospacing="0"/>
        <w:ind w:left="720"/>
        <w:jc w:val="both"/>
        <w:rPr>
          <w:noProof/>
          <w:color w:val="000000" w:themeColor="text1"/>
        </w:rPr>
      </w:pPr>
      <w:r>
        <w:rPr>
          <w:noProof/>
          <w:color w:val="000000" w:themeColor="text1"/>
        </w:rPr>
        <w:t>Niniejsze rozporządzenie stosuje się od dnia 21 grudnia 2020 r. do dnia 31 grudnia 2025 r.</w:t>
      </w:r>
    </w:p>
    <w:p>
      <w:pPr>
        <w:pStyle w:val="Normal1"/>
        <w:spacing w:before="0" w:beforeAutospacing="0" w:after="240" w:afterAutospacing="0"/>
        <w:rPr>
          <w:i/>
          <w:noProof/>
        </w:rPr>
      </w:pPr>
      <w:r>
        <w:rPr>
          <w:noProof/>
          <w:color w:val="000000" w:themeColor="text1"/>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Dyrektywa 2002/58/WE Parlamentu Europejskiego i Rady z dnia 12 lipca 2002 r. dotycząca przetwarzania danych osobowych i ochrony prywatności w sektorze łączności elektronicznej (dyrektywa o prywatności i łączności elektronicznej) (Dz.U. L 201 z 31.7.2002, s. 37).</w:t>
      </w:r>
    </w:p>
  </w:footnote>
  <w:footnote w:id="2">
    <w:p>
      <w:pPr>
        <w:pStyle w:val="FootnoteText"/>
      </w:pPr>
      <w:r>
        <w:rPr>
          <w:rStyle w:val="FootnoteReference"/>
        </w:rPr>
        <w:footnoteRef/>
      </w:r>
      <w:r>
        <w:tab/>
        <w:t>Dyrektywa Parlamentu Europejskiego i Rady (UE) 2018/1972 z dnia 11 grudnia 2018 r. ustanawiająca Europejski kodeks łączności elektronicznej (wersja przekształcona) (Dz.U. L 321 z 17.12.2018, s. 36).</w:t>
      </w:r>
    </w:p>
  </w:footnote>
  <w:footnote w:id="3">
    <w:p>
      <w:pPr>
        <w:pStyle w:val="FootnoteText"/>
      </w:pPr>
      <w:r>
        <w:rPr>
          <w:rStyle w:val="FootnoteReference"/>
        </w:rPr>
        <w:footnoteRef/>
      </w:r>
      <w:r>
        <w:tab/>
        <w:t>Komunikat Komisji do Parlamentu Europejskiego, Rady, Europejskiego Komitetu Ekonomiczno-Społecznego i Komitetu Regionów „Strategia UE na rzecz skuteczniejszej walki z niegodziwym traktowaniem dzieci w celach seksualnych”, 24.7.2020 COM(2020) 607 final.</w:t>
      </w:r>
    </w:p>
  </w:footnote>
  <w:footnote w:id="4">
    <w:p>
      <w:pPr>
        <w:pStyle w:val="FootnoteText"/>
      </w:pPr>
      <w:r>
        <w:rPr>
          <w:rStyle w:val="FootnoteReference"/>
        </w:rPr>
        <w:footnoteRef/>
      </w:r>
      <w:r>
        <w:tab/>
        <w:t>Dz.U. C […] z […], s. […].</w:t>
      </w:r>
    </w:p>
  </w:footnote>
  <w:footnote w:id="5">
    <w:p>
      <w:pPr>
        <w:pStyle w:val="NormalWeb"/>
        <w:spacing w:before="0" w:beforeAutospacing="0" w:after="75" w:afterAutospacing="0"/>
        <w:rPr>
          <w:rFonts w:ascii="&amp;quot" w:hAnsi="&amp;quot"/>
          <w:color w:val="444444"/>
          <w:sz w:val="21"/>
          <w:szCs w:val="21"/>
        </w:rPr>
      </w:pPr>
      <w:r>
        <w:rPr>
          <w:rStyle w:val="FootnoteReference"/>
        </w:rPr>
        <w:footnoteRef/>
      </w:r>
      <w:r>
        <w:tab/>
      </w:r>
      <w:r>
        <w:rPr>
          <w:sz w:val="20"/>
          <w:szCs w:val="20"/>
        </w:rPr>
        <w:t>Dyrektywa 2002/58/WE Parlamentu Europejskiego i Rady z dnia 12 lipca 2002 r. dotycząca przetwarzania danych osobowych i ochrony prywatności w sektorze łączności elektronicznej (dyrektywa o prywatności i łączności elektronicznej) (Dz.U. L 201 z 31.7.2002, s. 37).</w:t>
      </w:r>
    </w:p>
    <w:p>
      <w:pPr>
        <w:pStyle w:val="FootnoteText"/>
      </w:pPr>
    </w:p>
  </w:footnote>
  <w:footnote w:id="6">
    <w:p>
      <w:pPr>
        <w:pStyle w:val="FootnoteText"/>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7">
    <w:p>
      <w:pPr>
        <w:pStyle w:val="FootnoteText"/>
      </w:pPr>
      <w:r>
        <w:rPr>
          <w:rStyle w:val="FootnoteReference"/>
        </w:rPr>
        <w:footnoteRef/>
      </w:r>
      <w:r>
        <w:tab/>
        <w:t>Dyrektywa 2002/21/WE Parlamentu Europejskiego i Rady z dnia 7 marca 2002 r. w sprawie wspólnych ram regulacyjnych sieci i usług łączności elektronicznej (dyrektywa ramowa) (Dz.U. L 108 z 24.4.2002, s. 33).</w:t>
      </w:r>
    </w:p>
  </w:footnote>
  <w:footnote w:id="8">
    <w:p>
      <w:pPr>
        <w:pStyle w:val="FootnoteText"/>
      </w:pPr>
      <w:r>
        <w:rPr>
          <w:rStyle w:val="FootnoteReference"/>
        </w:rPr>
        <w:footnoteRef/>
      </w:r>
      <w:r>
        <w:tab/>
        <w:t>Dyrektywa Parlamentu Europejskiego i Rady (UE) 2018/1972 z dnia 11 grudnia 2018 r. ustanawiająca Europejski kodeks łączności elektronicznej (Dz.U. L 321 z 17.12.2018, s. 36).</w:t>
      </w:r>
    </w:p>
  </w:footnote>
  <w:footnote w:id="9">
    <w:p>
      <w:pPr>
        <w:pStyle w:val="FootnoteText"/>
      </w:pPr>
      <w:r>
        <w:rPr>
          <w:rStyle w:val="FootnoteReference"/>
        </w:rPr>
        <w:footnoteRef/>
      </w:r>
      <w:r>
        <w:tab/>
        <w:t>Komunikat Komisji do Parlamentu Europejskiego, Rady, Europejskiego Komitetu Ekonomiczno-Społecznego i Komitetu Regionów „Strategia UE na rzecz skuteczniejszej walki z niegodziwym traktowaniem dzieci w celach seksualnych”, 24.7.2020 COM(2020) 607 final.</w:t>
      </w:r>
    </w:p>
  </w:footnote>
  <w:footnote w:id="10">
    <w:p>
      <w:pPr>
        <w:pStyle w:val="FootnoteText"/>
      </w:pPr>
      <w:r>
        <w:rPr>
          <w:rStyle w:val="FootnoteReference"/>
        </w:rPr>
        <w:footnoteRef/>
      </w:r>
      <w:r>
        <w:tab/>
        <w:t>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(Dz.U. C 20 z 21.1.2019,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30E2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28A8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1861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2CE0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082C3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5E5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48D330"/>
    <w:lvl w:ilvl="0">
      <w:start w:val="1"/>
      <w:numFmt w:val="decimal"/>
      <w:pStyle w:val="ListNumber"/>
      <w:lvlText w:val="%1."/>
      <w:lvlJc w:val="left"/>
      <w:pPr>
        <w:tabs>
          <w:tab w:val="num" w:pos="360"/>
        </w:tabs>
        <w:ind w:left="360" w:hanging="360"/>
      </w:pPr>
    </w:lvl>
  </w:abstractNum>
  <w:abstractNum w:abstractNumId="7">
    <w:nsid w:val="FFFFFF89"/>
    <w:multiLevelType w:val="singleLevel"/>
    <w:tmpl w:val="54E8C5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6 14:59: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1B2C89F4-1A50-4E0E-BD5B-A82E54215849"/>
    <w:docVar w:name="LW_COVERPAGE_TYPE" w:val="1"/>
    <w:docVar w:name="LW_CROSSREFERENCE" w:val="&lt;UNUSED&gt;"/>
    <w:docVar w:name="LW_DocType" w:val="COM"/>
    <w:docVar w:name="LW_EMISSION" w:val="10.9.2020"/>
    <w:docVar w:name="LW_EMISSION_ISODATE" w:val="2020-09-10"/>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259"/>
    <w:docVar w:name="LW_REF.II.NEW.CP_YEAR" w:val="2020"/>
    <w:docVar w:name="LW_REF.INST.NEW" w:val="COM"/>
    <w:docVar w:name="LW_REF.INST.NEW_ADOPTED" w:val="final"/>
    <w:docVar w:name="LW_REF.INST.NEW_TEXT" w:val="(2020) 5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tymczasowego odst\u281?pstwa od niektórych przepisów dyrektywy 2002/58/WE Parlamentu Europejskiego i Rady w odniesieniu do wykorzystywania technologii przez dostawców us\u322?ug \u322?\u261?czno\u347?ci interpersonalnej niewykorzystuj\u261?cych numerów do przetwarzania danych osobowych i innych danych do celów zwalczania niegodziwego traktowania dzieci w celach seksualnych w internecie"/>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772">
      <w:bodyDiv w:val="1"/>
      <w:marLeft w:val="0"/>
      <w:marRight w:val="0"/>
      <w:marTop w:val="0"/>
      <w:marBottom w:val="0"/>
      <w:divBdr>
        <w:top w:val="none" w:sz="0" w:space="0" w:color="auto"/>
        <w:left w:val="none" w:sz="0" w:space="0" w:color="auto"/>
        <w:bottom w:val="none" w:sz="0" w:space="0" w:color="auto"/>
        <w:right w:val="none" w:sz="0" w:space="0" w:color="auto"/>
      </w:divBdr>
    </w:div>
    <w:div w:id="374887633">
      <w:bodyDiv w:val="1"/>
      <w:marLeft w:val="0"/>
      <w:marRight w:val="0"/>
      <w:marTop w:val="0"/>
      <w:marBottom w:val="0"/>
      <w:divBdr>
        <w:top w:val="none" w:sz="0" w:space="0" w:color="auto"/>
        <w:left w:val="none" w:sz="0" w:space="0" w:color="auto"/>
        <w:bottom w:val="none" w:sz="0" w:space="0" w:color="auto"/>
        <w:right w:val="none" w:sz="0" w:space="0" w:color="auto"/>
      </w:divBdr>
    </w:div>
    <w:div w:id="561452147">
      <w:bodyDiv w:val="1"/>
      <w:marLeft w:val="0"/>
      <w:marRight w:val="0"/>
      <w:marTop w:val="0"/>
      <w:marBottom w:val="0"/>
      <w:divBdr>
        <w:top w:val="none" w:sz="0" w:space="0" w:color="auto"/>
        <w:left w:val="none" w:sz="0" w:space="0" w:color="auto"/>
        <w:bottom w:val="none" w:sz="0" w:space="0" w:color="auto"/>
        <w:right w:val="none" w:sz="0" w:space="0" w:color="auto"/>
      </w:divBdr>
    </w:div>
    <w:div w:id="813445114">
      <w:bodyDiv w:val="1"/>
      <w:marLeft w:val="0"/>
      <w:marRight w:val="0"/>
      <w:marTop w:val="0"/>
      <w:marBottom w:val="0"/>
      <w:divBdr>
        <w:top w:val="none" w:sz="0" w:space="0" w:color="auto"/>
        <w:left w:val="none" w:sz="0" w:space="0" w:color="auto"/>
        <w:bottom w:val="none" w:sz="0" w:space="0" w:color="auto"/>
        <w:right w:val="none" w:sz="0" w:space="0" w:color="auto"/>
      </w:divBdr>
    </w:div>
    <w:div w:id="1303923451">
      <w:bodyDiv w:val="1"/>
      <w:marLeft w:val="0"/>
      <w:marRight w:val="0"/>
      <w:marTop w:val="0"/>
      <w:marBottom w:val="0"/>
      <w:divBdr>
        <w:top w:val="none" w:sz="0" w:space="0" w:color="auto"/>
        <w:left w:val="none" w:sz="0" w:space="0" w:color="auto"/>
        <w:bottom w:val="none" w:sz="0" w:space="0" w:color="auto"/>
        <w:right w:val="none" w:sz="0" w:space="0" w:color="auto"/>
      </w:divBdr>
    </w:div>
    <w:div w:id="1627541808">
      <w:bodyDiv w:val="1"/>
      <w:marLeft w:val="0"/>
      <w:marRight w:val="0"/>
      <w:marTop w:val="0"/>
      <w:marBottom w:val="0"/>
      <w:divBdr>
        <w:top w:val="none" w:sz="0" w:space="0" w:color="auto"/>
        <w:left w:val="none" w:sz="0" w:space="0" w:color="auto"/>
        <w:bottom w:val="none" w:sz="0" w:space="0" w:color="auto"/>
        <w:right w:val="none" w:sz="0" w:space="0" w:color="auto"/>
      </w:divBdr>
    </w:div>
    <w:div w:id="1695568777">
      <w:bodyDiv w:val="1"/>
      <w:marLeft w:val="0"/>
      <w:marRight w:val="0"/>
      <w:marTop w:val="0"/>
      <w:marBottom w:val="0"/>
      <w:divBdr>
        <w:top w:val="none" w:sz="0" w:space="0" w:color="auto"/>
        <w:left w:val="none" w:sz="0" w:space="0" w:color="auto"/>
        <w:bottom w:val="none" w:sz="0" w:space="0" w:color="auto"/>
        <w:right w:val="none" w:sz="0" w:space="0" w:color="auto"/>
      </w:divBdr>
    </w:div>
    <w:div w:id="17589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ADDF70-8788-42AD-8829-8C2C0A7F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4610</Words>
  <Characters>32324</Characters>
  <Application>Microsoft Office Word</Application>
  <DocSecurity>0</DocSecurity>
  <Lines>521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2020-09-15T06:41:00Z</dcterms:created>
  <dcterms:modified xsi:type="dcterms:W3CDTF">2020-09-16T12:59:00Z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