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alt="EFF3D416-0F40-4FEB-9FFD-E14F31F351D5" style="width:450.75pt;height:351.7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EXPOSIÇÃO DE MOTIVOS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CONTEXTO DA 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Justificação e objetivos da proposta</w:t>
      </w:r>
    </w:p>
    <w:p>
      <w:pPr>
        <w:rPr>
          <w:noProof/>
        </w:rPr>
      </w:pPr>
      <w:r>
        <w:rPr>
          <w:noProof/>
        </w:rPr>
        <w:t>A 4 de março de 2020, a Comissão adotou a sua proposta de Regulamento do Parlamento Europeu e do Conselho que estabelece o quadro para alcançar a neutralidade climática e que altera o Regulamento (UE) 2018/1999 (Lei Europeia do Clima)</w:t>
      </w:r>
      <w:r>
        <w:rPr>
          <w:rStyle w:val="FootnoteReference"/>
          <w:rFonts w:eastAsia="Arial Unicode MS"/>
          <w:noProof/>
        </w:rPr>
        <w:footnoteReference w:id="2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proposta de um Regulamento Lei Europeia do Clima faz parte de um pacote mais vasto de ações ambiciosas anunciadas na comunicação da Comissão sobre o Pacto Ecológico Europeu</w:t>
      </w:r>
      <w:r>
        <w:rPr>
          <w:rStyle w:val="FootnoteReference"/>
          <w:rFonts w:eastAsia="Arial Unicode MS"/>
          <w:noProof/>
        </w:rPr>
        <w:footnoteReference w:id="3"/>
      </w:r>
      <w:r>
        <w:rPr>
          <w:noProof/>
        </w:rPr>
        <w:t>. O Pacto Ecológico Europeu lançou uma nova estratégia de crescimento para a UE que visa transformá-la numa sociedade equitativa e próspera, melhorando a qualidade de vida da atual e futuras gerações, dotada de uma economia moderna, eficiente na utilização dos recursos e competitiva, que, em 2050, não produza emissões líquidas de gases com efeito de estufa e em que o crescimento económico esteja dissociado da utilização dos recursos. O pacto pretende igualmente proteger, conservar e reforçar o capital natural da UE e proteger a saúde e o bem-estar dos cidadãos contra riscos e impactos relacionados com o clima e o ambiente. O Pacto Ecológico Europeu reafirma a ambição da Comissão de tornar a Europa o primeiro continente com impacto neutro no clima no horizonte de 2050.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proposta visa definir um rumo consagrando na legislação o objetivo da UE em matéria de neutralidade climática para 2050, reforçando a segurança jurídica e a confiança no compromisso da UE, bem como a transparência e a responsabilização.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proposta original indicava que, até setembro de 2020, a Comissão apresentaria um plano, objeto de uma avaliação de impacto, para aumentar, de forma responsável, a meta de redução das emissões de gases com efeito de estufa da UE para 2030 para, pelo menos, 50 %, procurando aproximar-se dos 55 %, em relação aos níveis de 1990, e que a Comissão proporia a alteração da proposta em conformidade. Tal foi refletido no artigo 2.º, n.º 3, e no considerando 17 da proposta inicial da Comissão. O Plano para atingir a Meta Climática em 2030 demonstra que o aumento da meta de redução das emissões da UE para 2030 para, pelo menos, 55 % é viável e benéfico.</w:t>
      </w:r>
    </w:p>
    <w:p>
      <w:pPr>
        <w:rPr>
          <w:noProof/>
        </w:rPr>
      </w:pPr>
      <w:r>
        <w:rPr>
          <w:noProof/>
        </w:rPr>
        <w:t>Com vista a alcançar a neutralidade climática na União o mais tardar em 2050, propõe-se, por conseguinte, que a meta de redução das emissões de gases com efeito de estufa da UE para 2030 seja aumentada para, pelo menos, 55 % em comparação com os níveis de 1990, incluindo as emissões e as remoções. A presente proposta altera a proposta inicial da Comissão [COM(2020) 80 final] de modo a incluir a meta revista na Lei Europeia do Clima.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Coerência com as disposições existentes da mesma política setorial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exposição de motivos da proposta inicial da Comissão descreve em pormenor a coerência com as disposições existentes. O Plano para atingir a Meta Climática em 2030 mostra que um aumento da meta exige esforços de redução das emissões de gases com efeito de estufa por parte de todos os setores e o aumento das remoções, cuja viabilização implica várias políticas. Até junho de 2021, a Comissão procederá, por conseguinte, à revisão de todos os instrumentos políticos pertinentes, como previsto no artigo 2.º-A, n.º 2, da proposta.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lastRenderedPageBreak/>
        <w:t>•</w:t>
      </w:r>
      <w:r>
        <w:rPr>
          <w:noProof/>
        </w:rPr>
        <w:tab/>
        <w:t>Coerência com outras políticas da União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iniciativa está relacionada com muitos outros domínios políticos, uma vez que todas as ações e políticas da UE devem promover uma transição justa para a neutralidade climática e um futuro sustentável, tal como referido na exposição de motivos da proposta inicial da Comissão.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Além disso, após a adoção da proposta inicial da Comissão, o surto da doença provocada pelo coronavírus gerou uma crise de saúde pública e um choque socioeconómico de uma escala sem precedentes. A resposta sem precedentes da política europeia à COVID-19 oferece uma oportunidade única para acelerar a transição para uma economia com impacto neutro no clima e para um futuro sustentável, ao mesmo tempo que atenua os graves impactos da crise. A proposta é coerente com as comunicações sobre o instrumento Next Generation EU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e um orçamento da UE a longo prazo aperfeiçoado</w:t>
      </w:r>
      <w:r>
        <w:rPr>
          <w:rStyle w:val="FootnoteReference"/>
          <w:noProof/>
        </w:rPr>
        <w:footnoteReference w:id="5"/>
      </w:r>
      <w:r>
        <w:rPr>
          <w:noProof/>
        </w:rPr>
        <w:t>, nas quais a Comissão estabeleceu um plano de recuperação ambicioso, destinado a traçar o rumo para uma Europa mais sustentável, mais resiliente e mais justa para a próxima geração e a construí-la. Estas comunicações evidenciam o compromisso de «não prejudicar» no que respeita às nossas ambições em matéria de clima e ambiente, asseguram que o dinheiro é gasto em conformidade com os objetivos do Pacto Ecológico Europeu e aceleram, de uma forma socialmente justa, as transições paralelas ecológica e digital.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BASE JURÍDICA, SUBSIDIARIEDADE E PROPORCIONALIDADE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Base jurídica</w:t>
      </w:r>
    </w:p>
    <w:p>
      <w:pPr>
        <w:rPr>
          <w:noProof/>
        </w:rPr>
      </w:pPr>
      <w:r>
        <w:rPr>
          <w:noProof/>
        </w:rPr>
        <w:t>A base jurídica da proposta é o artigo 192.º, n.º 1, do TFUE, o mesmo que para a proposta inicial da Comissão.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Subsidiariedade (no caso de competência não exclusiva)</w:t>
      </w:r>
    </w:p>
    <w:p>
      <w:pPr>
        <w:rPr>
          <w:noProof/>
        </w:rPr>
      </w:pPr>
      <w:r>
        <w:rPr>
          <w:noProof/>
        </w:rPr>
        <w:t>A exposição de motivos da proposta inicial da Comissão especifica as considerações relativas à subsidiariedade e à proporcionalidade. Essas explicações continuam a ser válidas para as alterações propostas, uma vez que uma meta para toda a economia à escala da UE só pode ser estabelecida a nível da UE.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Escolha do instrumento</w:t>
      </w:r>
    </w:p>
    <w:p>
      <w:pPr>
        <w:rPr>
          <w:noProof/>
        </w:rPr>
      </w:pPr>
      <w:r>
        <w:rPr>
          <w:noProof/>
        </w:rPr>
        <w:t>A presente proposta altera a proposta da Comissão COM(2020) 80 final. O instrumento escolhido é um regulamento, em consonância com o instrumento escolhido para a proposta inicial da Comissão. Esta escolha é explicada na exposição de motivos da proposta inicial da Comissão.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RESULTADOS DAS AVALIAÇÕES </w:t>
      </w:r>
      <w:r>
        <w:rPr>
          <w:i/>
          <w:noProof/>
        </w:rPr>
        <w:t>EX POST</w:t>
      </w:r>
      <w:r>
        <w:rPr>
          <w:noProof/>
        </w:rPr>
        <w:t>, DAS CONSULTAS DAS PARTES INTERESSADAS E DAS AVALIAÇÕES DE IMPACTO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Consultas das partes interessadas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exposição de motivos da proposta inicial da Comissão especifica as consultas das partes interessadas, como a consulta pública realizada, o evento com a participação das partes interessadas organizado pela Comissão no âmbito da elaboração da comunicação «Um </w:t>
      </w:r>
      <w:r>
        <w:rPr>
          <w:noProof/>
        </w:rPr>
        <w:lastRenderedPageBreak/>
        <w:t>Planeta Limpo para Todos»</w:t>
      </w:r>
      <w:r>
        <w:rPr>
          <w:rStyle w:val="FootnoteReference"/>
          <w:rFonts w:eastAsia="Arial Unicode MS"/>
          <w:noProof/>
        </w:rPr>
        <w:footnoteReference w:id="6"/>
      </w:r>
      <w:r>
        <w:rPr>
          <w:noProof/>
        </w:rPr>
        <w:t xml:space="preserve"> e o evento público de janeiro de 2020 sobre a aplicação do Pacto Ecológico Europeu, a Lei Europeia do Clima.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Além disso, aquando da preparação do Plano para atingir a Meta Climática em 2030, a Comissão realizou uma consulta pública, que decorreu entre 31 de março e 23 de junho de 2020, tendo recebido mais de 4 000 respostas de uma vasta gama de partes interessadas. Um relatório de síntese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resume as atividades de consulta sobre o plano.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Avaliação de impacto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Em apoio à comunicação «Um Planeta Limpo para Todos», os serviços da Comissão realizaram uma análise aprofundada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que explora como alcançar a neutralidade climática até 2050, analisando todos os principais setores económicos, incluindo a energia, os transportes, a indústria e a agricultura. Essa avaliação e a avaliação da estratégia de adaptação da UE (2018) apoiam a proposta inicial da Comissão, tal como especificado na exposição de motivos dessa proposta.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i/>
          <w:noProof/>
        </w:rPr>
      </w:pPr>
      <w:r>
        <w:rPr>
          <w:noProof/>
        </w:rPr>
        <w:t>As alterações introduzidas à proposta dizem respeito à meta de redução líquida das emissões de gases com efeito de estufa da UE para 2030. No que diz respeito ao aumento dessa meta, a Comissão realizou a avaliação de impacto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que acompanha o Plano para atingir a Meta Climática em 2030.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Direitos fundamentais</w:t>
      </w:r>
    </w:p>
    <w:p>
      <w:pPr>
        <w:rPr>
          <w:noProof/>
        </w:rPr>
      </w:pPr>
      <w:r>
        <w:rPr>
          <w:noProof/>
        </w:rPr>
        <w:t>A exposição de motivos da proposta inicial da Comissão especifica as considerações relativas aos direitos fundamentais.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INCIDÊNCIA ORÇAMENTAL</w:t>
      </w:r>
    </w:p>
    <w:p>
      <w:pPr>
        <w:rPr>
          <w:noProof/>
        </w:rPr>
      </w:pPr>
      <w:r>
        <w:rPr>
          <w:noProof/>
        </w:rPr>
        <w:t>A incidência orçamental é apresentada na ficha financeira legislativa que acompanha a proposta inicial da Comissão, não sendo afetada por esta alteração.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OUTROS ELEMENTOS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Explicação pormenorizada das disposições específicas da 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As alterações propostas às disposições da proposta inicial de uma lei europeia do clima dizem respeito à inclusão de uma nova meta de redução das emissões de gases com efeito de estufa da UE para 2030 no artigo 2.º-A, n.º 1, da proposta. Esta disposição alterada substitui o artigo 2.º, n.º 3, da proposta inicial, que estabelece o processo conducente à presente alteração.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O artigo 2.º-A, n.º 2, da proposta revista anuncia um processo, análogo ao estabelecido no artigo 2.º, n.º 4, da proposta inicial, de revisão da legislação da União que aplica a meta para 2030, o qual foi transferido para o novo artigo 2.º-A, no qual foi inserida uma referência à nova meta para 2030.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lastRenderedPageBreak/>
        <w:t>O artigo 1.º da proposta inicial é também alterado de modo a incluir uma referência à nova meta para 2030 no âmbito de aplicação do Regulamento Lei Europeia do Clima, tendo os considerandos correspondentes sido adaptados.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2020/0036 (COD)</w:t>
      </w:r>
    </w:p>
    <w:p>
      <w:pPr>
        <w:pStyle w:val="Statut"/>
        <w:rPr>
          <w:noProof/>
        </w:rPr>
      </w:pPr>
      <w:r>
        <w:rPr>
          <w:noProof/>
        </w:rPr>
        <w:t>Proposta alterada de</w:t>
      </w:r>
    </w:p>
    <w:p>
      <w:pPr>
        <w:pStyle w:val="Typedudocument"/>
        <w:rPr>
          <w:noProof/>
        </w:rPr>
      </w:pPr>
      <w:r>
        <w:rPr>
          <w:noProof/>
        </w:rPr>
        <w:t>REGULAMENTO DO PARLAMENTO EUROPEU E DO CONSELHO</w:t>
      </w:r>
    </w:p>
    <w:p>
      <w:pPr>
        <w:pStyle w:val="Titreobjet"/>
        <w:rPr>
          <w:noProof/>
        </w:rPr>
      </w:pPr>
      <w:r>
        <w:rPr>
          <w:noProof/>
        </w:rPr>
        <w:t>que estabelece o quadro para alcançar a neutralidade climática e que altera o Regulamento (UE) 2018/1999 (Lei Europeia do Clima)</w:t>
      </w:r>
    </w:p>
    <w:p>
      <w:pPr>
        <w:rPr>
          <w:noProof/>
        </w:rPr>
      </w:pPr>
      <w:r>
        <w:rPr>
          <w:noProof/>
        </w:rPr>
        <w:t>A proposta COM(2020) 80 da Comissão é alterada do seguinte modo: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>O considerando 17 passa a ter a seguinte redação:</w:t>
      </w:r>
    </w:p>
    <w:p>
      <w:pPr>
        <w:pStyle w:val="Text1"/>
        <w:rPr>
          <w:noProof/>
        </w:rPr>
      </w:pPr>
      <w:r>
        <w:rPr>
          <w:noProof/>
        </w:rPr>
        <w:t>«Como anunciado na sua comunicação “Pacto Ecológico Europeu”, a Comissão avaliou a meta de redução das emissões de gases com efeito de estufa da União para 2030, na sua comunicação intitulada “Reforçar a ambição climática da Europa para 2030 — Investir num futuro climaticamente neutro para benefício das pessoas”</w:t>
      </w:r>
      <w:r>
        <w:rPr>
          <w:rStyle w:val="FootnoteReference"/>
          <w:noProof/>
        </w:rPr>
        <w:footnoteReference w:id="10"/>
      </w:r>
      <w:r>
        <w:rPr>
          <w:noProof/>
        </w:rPr>
        <w:t>, com base numa avaliação de impacto exaustiva e tendo em conta a sua análise dos planos nacionais integrados em matéria de energia e clima que lhe foram apresentados em conformidade com o Regulamento (UE) 2018/1999 do Parlamento Europeu e do Conselho</w:t>
      </w:r>
      <w:r>
        <w:rPr>
          <w:rStyle w:val="FootnoteReference"/>
          <w:noProof/>
        </w:rPr>
        <w:footnoteReference w:id="11"/>
      </w:r>
      <w:r>
        <w:rPr>
          <w:noProof/>
        </w:rPr>
        <w:t>. À luz do objetivo de neutralidade climática para 2050, é necessário reduzir as emissões de gases com efeito de estufa e aumentar as remoções até 2030 de modo a reduzir internamente as emissões líquidas de gases com efeito de estufa — ou seja, as emissões após dedução das remoções — em toda a economia em, pelo menos, 55 % até 2030, em comparação com os níveis de 1990. Esta nova meta climática da União para 2030 é uma meta posterior para efeitos do artigo 2.º, ponto 11, do Regulamento (UE) 2018/1999, e substitui, por conseguinte, a meta estabelecida nesse ponto para as emissões de gases com efeito de estufa à escala da União para 2030. Além disso, até 30 de junho de 2021, a Comissão deve avaliar de que modo necessitará de ser alterada a legislação pertinente da União que aplica a meta climática para 2030, a fim de conseguir tais reduções de emissões líquidas.»;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>No artigo 1.º, é aditado ao segundo parágrafo um período com a seguinte redação:</w:t>
      </w:r>
    </w:p>
    <w:p>
      <w:pPr>
        <w:pStyle w:val="Text1"/>
        <w:rPr>
          <w:noProof/>
        </w:rPr>
      </w:pPr>
      <w:r>
        <w:rPr>
          <w:noProof/>
        </w:rPr>
        <w:t>«Estabelece igualmente uma meta vinculativa de redução das emissões líquidas de gases com efeito de estufa da União para 2030.»;</w:t>
      </w:r>
    </w:p>
    <w:p>
      <w:pPr>
        <w:pStyle w:val="Point0"/>
        <w:rPr>
          <w:noProof/>
        </w:rPr>
      </w:pPr>
      <w:r>
        <w:t>(3)</w:t>
      </w:r>
      <w:r>
        <w:tab/>
      </w:r>
      <w:r>
        <w:rPr>
          <w:noProof/>
        </w:rPr>
        <w:t>No artigo 2.º, são suprimidos os n.</w:t>
      </w:r>
      <w:r>
        <w:rPr>
          <w:noProof/>
          <w:vertAlign w:val="superscript"/>
        </w:rPr>
        <w:t>os</w:t>
      </w:r>
      <w:r>
        <w:rPr>
          <w:noProof/>
        </w:rPr>
        <w:t> 3 e 4;</w:t>
      </w:r>
    </w:p>
    <w:p>
      <w:pPr>
        <w:pStyle w:val="Point0"/>
        <w:rPr>
          <w:noProof/>
        </w:rPr>
      </w:pPr>
      <w:r>
        <w:t>(4)</w:t>
      </w:r>
      <w:r>
        <w:tab/>
      </w:r>
      <w:r>
        <w:rPr>
          <w:noProof/>
        </w:rPr>
        <w:t>É inserido um artigo 2.º-A com a seguinte redação:</w:t>
      </w:r>
    </w:p>
    <w:p>
      <w:pPr>
        <w:pStyle w:val="Text1"/>
        <w:ind w:left="1570" w:firstLine="590"/>
        <w:rPr>
          <w:noProof/>
        </w:rPr>
      </w:pPr>
      <w:r>
        <w:rPr>
          <w:noProof/>
        </w:rPr>
        <w:t>«</w:t>
      </w:r>
      <w:r>
        <w:rPr>
          <w:i/>
          <w:noProof/>
        </w:rPr>
        <w:t>Artigo 2.º-A</w:t>
      </w:r>
    </w:p>
    <w:p>
      <w:pPr>
        <w:pStyle w:val="Text1"/>
        <w:ind w:left="1570" w:firstLine="590"/>
        <w:rPr>
          <w:noProof/>
        </w:rPr>
      </w:pPr>
      <w:r>
        <w:rPr>
          <w:b/>
          <w:noProof/>
        </w:rPr>
        <w:t>Meta climática para 2030</w:t>
      </w:r>
    </w:p>
    <w:p>
      <w:pPr>
        <w:pStyle w:val="Text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A fim de alcançar o objetivo de neutralidade climática definido no artigo 2.º, n.º 1, a meta climática vinculativa da União para 2030 deve consistir numa redução </w:t>
      </w:r>
      <w:r>
        <w:rPr>
          <w:noProof/>
        </w:rPr>
        <w:lastRenderedPageBreak/>
        <w:t>das emissões líquidas de gases com efeito de estufa (emissões após dedução das remoções) de, pelo menos, 55 %, em relação aos níveis de 1990, no horizonte de 2030.</w:t>
      </w:r>
    </w:p>
    <w:p>
      <w:pPr>
        <w:ind w:left="720"/>
        <w:rPr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>A Comissão fica incumbida de, até 30 de junho de 2021, rever a legislação pertinente da União a fim de permitir alcançar a meta estabelecida no n.º 1 do presente artigo e o objetivo de neutralidade climática definido no artigo 2.º, n.º 1, e ponderar a adoção das medidas necessárias para o efeito, incluindo propostas legislativas, em conformidade com os Tratados.»;</w:t>
      </w:r>
    </w:p>
    <w:p>
      <w:pPr>
        <w:pStyle w:val="Point0"/>
        <w:rPr>
          <w:noProof/>
        </w:rPr>
      </w:pPr>
      <w:r>
        <w:t>(5)</w:t>
      </w:r>
      <w:r>
        <w:tab/>
      </w:r>
      <w:r>
        <w:rPr>
          <w:noProof/>
        </w:rPr>
        <w:t>O artigo 3.º, n.º 2, passa a ter a seguinte redação:</w:t>
      </w:r>
    </w:p>
    <w:p>
      <w:pPr>
        <w:ind w:left="811" w:right="19"/>
        <w:rPr>
          <w:noProof/>
        </w:rPr>
      </w:pPr>
      <w:r>
        <w:rPr>
          <w:noProof/>
        </w:rPr>
        <w:t>«2. A trajetória deve partir da meta climática da União para 2030 definida no artigo 2.º-A, n.º 1.».</w:t>
      </w:r>
    </w:p>
    <w:p>
      <w:pPr>
        <w:pStyle w:val="Fait"/>
        <w:rPr>
          <w:noProof/>
        </w:rPr>
      </w:pPr>
      <w:r>
        <w:t>Feito em Bruxelas, em</w:t>
      </w:r>
    </w:p>
    <w:p>
      <w:pPr>
        <w:pStyle w:val="Institutionquisigne"/>
        <w:rPr>
          <w:noProof/>
        </w:rPr>
      </w:pPr>
      <w:r>
        <w:rPr>
          <w:noProof/>
        </w:rPr>
        <w:t>Pelo Parlamento Europeu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Pelo Conselho</w:t>
      </w:r>
    </w:p>
    <w:p>
      <w:pPr>
        <w:pStyle w:val="Personnequisigne"/>
        <w:rPr>
          <w:noProof/>
        </w:rPr>
      </w:pPr>
      <w:r>
        <w:rPr>
          <w:noProof/>
        </w:rPr>
        <w:t>O Presidente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O Presidente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COM(2020) 80 final.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COM(2019) 640 final.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COM(2020) 456 final.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COM(2020) 442 final.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COM(2018) 773 final.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SWD(2020) 178.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Análise aprofundada de apoio à Comunicação da Comissão COM(2018) 773, https://ec.europa.eu/clima/sites/clima/files/docs/pages/com_2018_733_analysis_in_support_en_0.pdf.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SWD(2020) 176.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COM(2020) 562.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Regulamento (UE) 2018/1999 do Parlamento Europeu e do Conselho, de 11 de dezembro de 2018, relativo à Governação da União da Energia e da Ação Climática, que altera os Regulamentos (CE) n.º 663/2009 e (CE) n.º 715/2009 do Parlamento Europeu e do Conselho, as Diretivas 94/22/CE, 98/70/CE, 2009/31/CE, 2009/73/CE, 2010/31/UE, 2012/27/UE e 2013/30/UE do Parlamento Europeu e do Conselho, as Diretivas 2009/119/CE e (UE) 2015/652 do Conselho, e revoga o Regulamento (UE) n.º 525/2013 do Parlamento Europeu e do Conselho (JO L 328 de 21.12.2018, p. 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62040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10CDA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23E23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49403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93EB4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1526A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7D491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74896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pStyle w:val="NumPar5"/>
      <w:lvlText w:val="(%5)"/>
      <w:lvlJc w:val="left"/>
      <w:pPr>
        <w:ind w:left="1800" w:hanging="360"/>
      </w:pPr>
    </w:lvl>
    <w:lvl w:ilvl="5">
      <w:start w:val="1"/>
      <w:numFmt w:val="lowerRoman"/>
      <w:pStyle w:val="NumPar6"/>
      <w:lvlText w:val="(%6)"/>
      <w:lvlJc w:val="left"/>
      <w:pPr>
        <w:ind w:left="2160" w:hanging="360"/>
      </w:pPr>
    </w:lvl>
    <w:lvl w:ilvl="6">
      <w:start w:val="1"/>
      <w:numFmt w:val="decimal"/>
      <w:pStyle w:val="NumPar7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2FC077D"/>
    <w:multiLevelType w:val="singleLevel"/>
    <w:tmpl w:val="4128FD03"/>
    <w:name w:val="Tiret 5"/>
    <w:lvl w:ilvl="0">
      <w:start w:val="1"/>
      <w:numFmt w:val="bullet"/>
      <w:lvlRestart w:val="0"/>
      <w:pStyle w:val="Tiret5"/>
      <w:lvlText w:val="–"/>
      <w:lvlJc w:val="left"/>
      <w:pPr>
        <w:tabs>
          <w:tab w:val="num" w:pos="3685"/>
        </w:tabs>
        <w:ind w:left="3685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pStyle w:val="Heading5"/>
      <w:lvlText w:val="(%5)"/>
      <w:lvlJc w:val="left"/>
      <w:pPr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9"/>
  </w:num>
  <w:num w:numId="12">
    <w:abstractNumId w:val="20"/>
  </w:num>
  <w:num w:numId="13">
    <w:abstractNumId w:val="19"/>
  </w:num>
  <w:num w:numId="14">
    <w:abstractNumId w:val="12"/>
  </w:num>
  <w:num w:numId="15">
    <w:abstractNumId w:val="21"/>
  </w:num>
  <w:num w:numId="16">
    <w:abstractNumId w:val="11"/>
  </w:num>
  <w:num w:numId="17">
    <w:abstractNumId w:val="13"/>
  </w:num>
  <w:num w:numId="18">
    <w:abstractNumId w:val="9"/>
  </w:num>
  <w:num w:numId="19">
    <w:abstractNumId w:val="20"/>
  </w:num>
  <w:num w:numId="20">
    <w:abstractNumId w:val="8"/>
  </w:num>
  <w:num w:numId="21">
    <w:abstractNumId w:val="15"/>
  </w:num>
  <w:num w:numId="22">
    <w:abstractNumId w:val="17"/>
  </w:num>
  <w:num w:numId="23">
    <w:abstractNumId w:val="18"/>
  </w:num>
  <w:num w:numId="24">
    <w:abstractNumId w:val="10"/>
  </w:num>
  <w:num w:numId="25">
    <w:abstractNumId w:val="16"/>
  </w:num>
  <w:num w:numId="26">
    <w:abstractNumId w:val="22"/>
  </w:num>
  <w:num w:numId="27">
    <w:abstractNumId w:val="19"/>
  </w:num>
  <w:num w:numId="28">
    <w:abstractNumId w:val="12"/>
  </w:num>
  <w:num w:numId="29">
    <w:abstractNumId w:val="21"/>
  </w:num>
  <w:num w:numId="30">
    <w:abstractNumId w:val="11"/>
  </w:num>
  <w:num w:numId="31">
    <w:abstractNumId w:val="13"/>
  </w:num>
  <w:num w:numId="32">
    <w:abstractNumId w:val="9"/>
  </w:num>
  <w:num w:numId="33">
    <w:abstractNumId w:val="20"/>
  </w:num>
  <w:num w:numId="34">
    <w:abstractNumId w:val="8"/>
  </w:num>
  <w:num w:numId="35">
    <w:abstractNumId w:val="15"/>
  </w:num>
  <w:num w:numId="36">
    <w:abstractNumId w:val="17"/>
  </w:num>
  <w:num w:numId="37">
    <w:abstractNumId w:val="18"/>
  </w:num>
  <w:num w:numId="38">
    <w:abstractNumId w:val="10"/>
  </w:num>
  <w:num w:numId="39">
    <w:abstractNumId w:val="16"/>
  </w:num>
  <w:num w:numId="40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9-17 08:52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EFF3D416-0F40-4FEB-9FFD-E14F31F351D5"/>
    <w:docVar w:name="LW_COVERPAGE_TYPE" w:val="1"/>
    <w:docVar w:name="LW_CROSSREFERENCE" w:val="&lt;UNUSED&gt;"/>
    <w:docVar w:name="LW_DocType" w:val="COM"/>
    <w:docVar w:name="LW_EMISSION" w:val="17.9.2020"/>
    <w:docVar w:name="LW_EMISSION_ISODATE" w:val="2020-09-17"/>
    <w:docVar w:name="LW_EMISSION_LOCATION" w:val="BRX"/>
    <w:docVar w:name="LW_EMISSION_PREFIX" w:val="Bruxelas, "/>
    <w:docVar w:name="LW_EMISSION_SUFFIX" w:val=" "/>
    <w:docVar w:name="LW_ID_DOCMODEL" w:val="SJ-023"/>
    <w:docVar w:name="LW_ID_DOCSIGNATURE" w:val="SJ-023"/>
    <w:docVar w:name="LW_ID_DOCSTRUCTURE" w:val="COM/PL/MOD"/>
    <w:docVar w:name="LW_ID_DOCTYPE" w:val="SG-005"/>
    <w:docVar w:name="LW_ID_EXP.MOTIFS.NEW" w:val="EM_PL_"/>
    <w:docVar w:name="LW_ID_STATUT" w:val="SG-005"/>
    <w:docVar w:name="LW_INTERETEEE.CP" w:val="&lt;UNUSED&gt;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36"/>
    <w:docVar w:name="LW_REF.II.NEW.CP_YEAR" w:val="2020"/>
    <w:docVar w:name="LW_REF.INST.NEW" w:val="COM"/>
    <w:docVar w:name="LW_REF.INST.NEW_ADOPTED" w:val="final"/>
    <w:docVar w:name="LW_REF.INST.NEW_TEXT" w:val="(2020) 56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alterada de"/>
    <w:docVar w:name="LW_SUPERTITRE" w:val="&lt;UNUSED&gt;"/>
    <w:docVar w:name="LW_TITRE.OBJ.CP" w:val="que estabelece o quadro para alcançar a neutralidade climática e que altera o Regulamento (UE) 2018/1999 (Lei Europeia do Clima)"/>
    <w:docVar w:name="LW_TYPE.DOC.CP" w:val="REGULAMENTO DO PARLAMENTO EUROPEU E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Text2"/>
    <w:link w:val="Heading5Char"/>
    <w:uiPriority w:val="9"/>
    <w:semiHidden/>
    <w:unhideWhenUsed/>
    <w:qFormat/>
    <w:pPr>
      <w:keepNext/>
      <w:numPr>
        <w:ilvl w:val="4"/>
        <w:numId w:val="12"/>
      </w:numPr>
      <w:outlineLvl w:val="4"/>
    </w:pPr>
    <w:rPr>
      <w:rFonts w:eastAsiaTheme="majorEastAsia"/>
    </w:rPr>
  </w:style>
  <w:style w:type="paragraph" w:styleId="Heading6">
    <w:name w:val="heading 6"/>
    <w:basedOn w:val="Normal"/>
    <w:next w:val="Text2"/>
    <w:link w:val="Heading6Char"/>
    <w:uiPriority w:val="9"/>
    <w:semiHidden/>
    <w:unhideWhenUsed/>
    <w:qFormat/>
    <w:pPr>
      <w:keepNext/>
      <w:numPr>
        <w:ilvl w:val="5"/>
        <w:numId w:val="12"/>
      </w:numPr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Text2"/>
    <w:link w:val="Heading7Char"/>
    <w:uiPriority w:val="9"/>
    <w:semiHidden/>
    <w:unhideWhenUsed/>
    <w:qFormat/>
    <w:pPr>
      <w:keepNext/>
      <w:numPr>
        <w:ilvl w:val="6"/>
        <w:numId w:val="12"/>
      </w:numPr>
      <w:outlineLvl w:val="6"/>
    </w:pPr>
    <w:rPr>
      <w:rFonts w:eastAsiaTheme="majorEastAsia"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="Times New Roman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="Times New Roman"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="Times New Roman"/>
      <w:iCs/>
      <w:sz w:val="24"/>
      <w:lang w:val="en-GB"/>
    </w:rPr>
  </w:style>
  <w:style w:type="paragraph" w:customStyle="1" w:styleId="Text5">
    <w:name w:val="Text 5"/>
    <w:basedOn w:val="Normal"/>
    <w:pPr>
      <w:ind w:left="3118"/>
    </w:pPr>
  </w:style>
  <w:style w:type="paragraph" w:customStyle="1" w:styleId="Text6">
    <w:name w:val="Text 6"/>
    <w:basedOn w:val="Normal"/>
    <w:pPr>
      <w:ind w:left="3685"/>
    </w:pPr>
  </w:style>
  <w:style w:type="paragraph" w:customStyle="1" w:styleId="Point5">
    <w:name w:val="Point 5"/>
    <w:basedOn w:val="Normal"/>
    <w:pPr>
      <w:ind w:left="3685" w:hanging="567"/>
    </w:pPr>
  </w:style>
  <w:style w:type="paragraph" w:customStyle="1" w:styleId="Tiret5">
    <w:name w:val="Tiret 5"/>
    <w:basedOn w:val="Point5"/>
    <w:pPr>
      <w:numPr>
        <w:numId w:val="10"/>
      </w:numPr>
    </w:pPr>
  </w:style>
  <w:style w:type="paragraph" w:customStyle="1" w:styleId="NumPar5">
    <w:name w:val="NumPar 5"/>
    <w:basedOn w:val="Normal"/>
    <w:next w:val="Text2"/>
    <w:pPr>
      <w:numPr>
        <w:ilvl w:val="4"/>
        <w:numId w:val="11"/>
      </w:numPr>
    </w:pPr>
  </w:style>
  <w:style w:type="paragraph" w:customStyle="1" w:styleId="NumPar6">
    <w:name w:val="NumPar 6"/>
    <w:basedOn w:val="Normal"/>
    <w:next w:val="Text2"/>
    <w:pPr>
      <w:numPr>
        <w:ilvl w:val="5"/>
        <w:numId w:val="11"/>
      </w:numPr>
    </w:pPr>
  </w:style>
  <w:style w:type="paragraph" w:customStyle="1" w:styleId="NumPar7">
    <w:name w:val="NumPar 7"/>
    <w:basedOn w:val="Normal"/>
    <w:next w:val="Text2"/>
    <w:pPr>
      <w:numPr>
        <w:ilvl w:val="6"/>
        <w:numId w:val="11"/>
      </w:numPr>
    </w:pPr>
  </w:style>
  <w:style w:type="paragraph" w:customStyle="1" w:styleId="ManualNumPar5">
    <w:name w:val="Manual NumPar 5"/>
    <w:basedOn w:val="Normal"/>
    <w:next w:val="Text2"/>
    <w:pPr>
      <w:ind w:left="1417" w:hanging="1417"/>
    </w:pPr>
  </w:style>
  <w:style w:type="paragraph" w:customStyle="1" w:styleId="ManualNumPar6">
    <w:name w:val="Manual NumPar 6"/>
    <w:basedOn w:val="Normal"/>
    <w:next w:val="Text2"/>
    <w:pPr>
      <w:ind w:left="1417" w:hanging="1417"/>
    </w:pPr>
  </w:style>
  <w:style w:type="paragraph" w:customStyle="1" w:styleId="ManualNumPar7">
    <w:name w:val="Manual NumPar 7"/>
    <w:basedOn w:val="Normal"/>
    <w:next w:val="Text2"/>
    <w:pPr>
      <w:ind w:left="1417" w:hanging="1417"/>
    </w:pPr>
  </w:style>
  <w:style w:type="paragraph" w:customStyle="1" w:styleId="ManualHeading5">
    <w:name w:val="Manual Heading 5"/>
    <w:basedOn w:val="Normal"/>
    <w:next w:val="Text2"/>
    <w:pPr>
      <w:keepNext/>
      <w:tabs>
        <w:tab w:val="left" w:pos="1417"/>
      </w:tabs>
      <w:ind w:left="1417" w:hanging="1417"/>
      <w:outlineLvl w:val="4"/>
    </w:pPr>
  </w:style>
  <w:style w:type="paragraph" w:customStyle="1" w:styleId="ManualHeading6">
    <w:name w:val="Manual Heading 6"/>
    <w:basedOn w:val="Normal"/>
    <w:next w:val="Text2"/>
    <w:pPr>
      <w:keepNext/>
      <w:tabs>
        <w:tab w:val="left" w:pos="1417"/>
      </w:tabs>
      <w:ind w:left="1417" w:hanging="1417"/>
      <w:outlineLvl w:val="5"/>
    </w:pPr>
  </w:style>
  <w:style w:type="paragraph" w:customStyle="1" w:styleId="ManualHeading7">
    <w:name w:val="Manual Heading 7"/>
    <w:basedOn w:val="Normal"/>
    <w:next w:val="Text2"/>
    <w:pPr>
      <w:keepNext/>
      <w:tabs>
        <w:tab w:val="left" w:pos="1417"/>
      </w:tabs>
      <w:ind w:left="1417" w:hanging="1417"/>
      <w:outlineLvl w:val="6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Text2"/>
    <w:link w:val="Heading5Char"/>
    <w:uiPriority w:val="9"/>
    <w:semiHidden/>
    <w:unhideWhenUsed/>
    <w:qFormat/>
    <w:pPr>
      <w:keepNext/>
      <w:numPr>
        <w:ilvl w:val="4"/>
        <w:numId w:val="12"/>
      </w:numPr>
      <w:outlineLvl w:val="4"/>
    </w:pPr>
    <w:rPr>
      <w:rFonts w:eastAsiaTheme="majorEastAsia"/>
    </w:rPr>
  </w:style>
  <w:style w:type="paragraph" w:styleId="Heading6">
    <w:name w:val="heading 6"/>
    <w:basedOn w:val="Normal"/>
    <w:next w:val="Text2"/>
    <w:link w:val="Heading6Char"/>
    <w:uiPriority w:val="9"/>
    <w:semiHidden/>
    <w:unhideWhenUsed/>
    <w:qFormat/>
    <w:pPr>
      <w:keepNext/>
      <w:numPr>
        <w:ilvl w:val="5"/>
        <w:numId w:val="12"/>
      </w:numPr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Text2"/>
    <w:link w:val="Heading7Char"/>
    <w:uiPriority w:val="9"/>
    <w:semiHidden/>
    <w:unhideWhenUsed/>
    <w:qFormat/>
    <w:pPr>
      <w:keepNext/>
      <w:numPr>
        <w:ilvl w:val="6"/>
        <w:numId w:val="12"/>
      </w:numPr>
      <w:outlineLvl w:val="6"/>
    </w:pPr>
    <w:rPr>
      <w:rFonts w:eastAsiaTheme="majorEastAsia"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="Times New Roman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="Times New Roman"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="Times New Roman"/>
      <w:iCs/>
      <w:sz w:val="24"/>
      <w:lang w:val="en-GB"/>
    </w:rPr>
  </w:style>
  <w:style w:type="paragraph" w:customStyle="1" w:styleId="Text5">
    <w:name w:val="Text 5"/>
    <w:basedOn w:val="Normal"/>
    <w:pPr>
      <w:ind w:left="3118"/>
    </w:pPr>
  </w:style>
  <w:style w:type="paragraph" w:customStyle="1" w:styleId="Text6">
    <w:name w:val="Text 6"/>
    <w:basedOn w:val="Normal"/>
    <w:pPr>
      <w:ind w:left="3685"/>
    </w:pPr>
  </w:style>
  <w:style w:type="paragraph" w:customStyle="1" w:styleId="Point5">
    <w:name w:val="Point 5"/>
    <w:basedOn w:val="Normal"/>
    <w:pPr>
      <w:ind w:left="3685" w:hanging="567"/>
    </w:pPr>
  </w:style>
  <w:style w:type="paragraph" w:customStyle="1" w:styleId="Tiret5">
    <w:name w:val="Tiret 5"/>
    <w:basedOn w:val="Point5"/>
    <w:pPr>
      <w:numPr>
        <w:numId w:val="10"/>
      </w:numPr>
    </w:pPr>
  </w:style>
  <w:style w:type="paragraph" w:customStyle="1" w:styleId="NumPar5">
    <w:name w:val="NumPar 5"/>
    <w:basedOn w:val="Normal"/>
    <w:next w:val="Text2"/>
    <w:pPr>
      <w:numPr>
        <w:ilvl w:val="4"/>
        <w:numId w:val="11"/>
      </w:numPr>
    </w:pPr>
  </w:style>
  <w:style w:type="paragraph" w:customStyle="1" w:styleId="NumPar6">
    <w:name w:val="NumPar 6"/>
    <w:basedOn w:val="Normal"/>
    <w:next w:val="Text2"/>
    <w:pPr>
      <w:numPr>
        <w:ilvl w:val="5"/>
        <w:numId w:val="11"/>
      </w:numPr>
    </w:pPr>
  </w:style>
  <w:style w:type="paragraph" w:customStyle="1" w:styleId="NumPar7">
    <w:name w:val="NumPar 7"/>
    <w:basedOn w:val="Normal"/>
    <w:next w:val="Text2"/>
    <w:pPr>
      <w:numPr>
        <w:ilvl w:val="6"/>
        <w:numId w:val="11"/>
      </w:numPr>
    </w:pPr>
  </w:style>
  <w:style w:type="paragraph" w:customStyle="1" w:styleId="ManualNumPar5">
    <w:name w:val="Manual NumPar 5"/>
    <w:basedOn w:val="Normal"/>
    <w:next w:val="Text2"/>
    <w:pPr>
      <w:ind w:left="1417" w:hanging="1417"/>
    </w:pPr>
  </w:style>
  <w:style w:type="paragraph" w:customStyle="1" w:styleId="ManualNumPar6">
    <w:name w:val="Manual NumPar 6"/>
    <w:basedOn w:val="Normal"/>
    <w:next w:val="Text2"/>
    <w:pPr>
      <w:ind w:left="1417" w:hanging="1417"/>
    </w:pPr>
  </w:style>
  <w:style w:type="paragraph" w:customStyle="1" w:styleId="ManualNumPar7">
    <w:name w:val="Manual NumPar 7"/>
    <w:basedOn w:val="Normal"/>
    <w:next w:val="Text2"/>
    <w:pPr>
      <w:ind w:left="1417" w:hanging="1417"/>
    </w:pPr>
  </w:style>
  <w:style w:type="paragraph" w:customStyle="1" w:styleId="ManualHeading5">
    <w:name w:val="Manual Heading 5"/>
    <w:basedOn w:val="Normal"/>
    <w:next w:val="Text2"/>
    <w:pPr>
      <w:keepNext/>
      <w:tabs>
        <w:tab w:val="left" w:pos="1417"/>
      </w:tabs>
      <w:ind w:left="1417" w:hanging="1417"/>
      <w:outlineLvl w:val="4"/>
    </w:pPr>
  </w:style>
  <w:style w:type="paragraph" w:customStyle="1" w:styleId="ManualHeading6">
    <w:name w:val="Manual Heading 6"/>
    <w:basedOn w:val="Normal"/>
    <w:next w:val="Text2"/>
    <w:pPr>
      <w:keepNext/>
      <w:tabs>
        <w:tab w:val="left" w:pos="1417"/>
      </w:tabs>
      <w:ind w:left="1417" w:hanging="1417"/>
      <w:outlineLvl w:val="5"/>
    </w:pPr>
  </w:style>
  <w:style w:type="paragraph" w:customStyle="1" w:styleId="ManualHeading7">
    <w:name w:val="Manual Heading 7"/>
    <w:basedOn w:val="Normal"/>
    <w:next w:val="Text2"/>
    <w:pPr>
      <w:keepNext/>
      <w:tabs>
        <w:tab w:val="left" w:pos="1417"/>
      </w:tabs>
      <w:ind w:left="1417" w:hanging="1417"/>
      <w:outlineLvl w:val="6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FDC92-2353-443F-912A-216FC697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7</Pages>
  <Words>1887</Words>
  <Characters>9590</Characters>
  <Application>Microsoft Office Word</Application>
  <DocSecurity>0</DocSecurity>
  <Lines>168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21</cp:revision>
  <dcterms:created xsi:type="dcterms:W3CDTF">2020-09-16T09:47:00Z</dcterms:created>
  <dcterms:modified xsi:type="dcterms:W3CDTF">2020-09-17T06:52:00Z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COM/PL/MOD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SG-005</vt:lpwstr>
  </property>
  <property fmtid="{D5CDD505-2E9C-101B-9397-08002B2CF9AE}" pid="10" name="DQCStatus">
    <vt:lpwstr>Green (DQC version 03)</vt:lpwstr>
  </property>
</Properties>
</file>