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D1C33F6D-8A3C-4D3F-B2EF-3AF4780F0ABA" style="width:450.35pt;height:352.5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rPr>
          <w:noProof/>
        </w:rPr>
      </w:pPr>
      <w:r>
        <w:rPr>
          <w:noProof/>
        </w:rPr>
        <w:t>W dniu 4 marca 2020 r. Komisja przyjęła wniosek dotyczący rozporządzenia Parlamentu Europejskiego i Rady ustanawiającego ramy na potrzeby osiągnięcia neutralności klimatycznej i zmieniającego rozporządzenie (UE) 2018/1999 (Europejskie prawo o klimacie)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Wniosek dotyczący rozporządzenia w sprawie Europejskiego prawa o klimacie stanowi część szerszego pakietu ambitnych działań zapowiedzianych w komunikacie Komisji w sprawie Europejskiego Zielonego Ładu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 xml:space="preserve">. Komunikat w sprawie Europejskiego Zielonego Ładu inicjuje nową unijną strategię na rzecz wzrostu gospodarczego mającą przekształcić UE w sprawiedliwe i dostatnie społeczeństwo, z myślą o poprawie jakości życia obecnych i przyszłych pokoleń, którego gospodarka będzie nowoczesna, zasobooszczędna i konkurencyjna i w którym w 2050 r. nie będzie emisji netto gazów cieplarnianych, a wzrost gospodarczy będzie oddzielony od wykorzystania zasobów. Celem strategii jest również ochrona, zachowanie i poprawa kapitału naturalnego UE oraz ochrona zdrowia i dobrostanu obywateli przed zagrożeniami i negatywnymi skutkami związanymi z klimatem i środowiskiem. W komunikacie w sprawie Europejskiego Zielonego Ładu potwierdzono, że ambicją Komisji jest to, by do 2050 r. Europa stała się pierwszym kontynentem neutralnym dla klimatu.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Wniosek ma na celu wyznaczenie kierunku działań poprzez włączenie do prawodawstwa celu UE dotyczącego osiągnięcia neutralności klimatycznej do 2050 r., zwiększenie zaufania i pewności co do zaangażowania UE, a także przejrzystości i rozliczalności.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Pierwotny wniosek przewidywał, że do września 2020 r. Komisja przedstawi poddany ocenie skutków plan zwiększenia unijnego celu redukcji emisji gazów cieplarnianych na 2030 r. w odpowiedzialny sposób do co najmniej 50 %, a potencjalnie do 55 % w stosunku do poziomu z 1990 r. oraz że zaproponuje odpowiednią zmianę wniosku. Jest o tym mowa w art. 2 ust. 3 i motywie 17 pierwotnego wniosku Komisji. Plan w zakresie celów klimatycznych na 2030 r. pokazuje, że podniesienie unijnego celu redukcji emisji do 2030 r. do co najmniej 55 % jest zarówno wykonalne, jak i korzystne. </w:t>
      </w:r>
    </w:p>
    <w:p>
      <w:pPr>
        <w:rPr>
          <w:noProof/>
        </w:rPr>
      </w:pPr>
      <w:r>
        <w:rPr>
          <w:noProof/>
        </w:rPr>
        <w:t xml:space="preserve">W celu osiągnięcia neutralności klimatycznej w Unii do 2050 r. proponuje się zatem zwiększenie unijnego celu redukcji emisji gazów cieplarnianych do 2030 r. do co najmniej 55 % w porównaniu z poziomami z 1990 r., z uwzględnieniem emisji i pochłaniania. Niniejszy wniosek zmienia pierwotny wniosek Komisji (COM(2020) 80 final) w celu uwzględnienia zmienionego celu w Europejskim prawie o klimacie.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 uzasadnieniu pierwotnego wniosku Komisji szczegółowo określono spójność z obowiązującymi przepisami polityki. Plan w zakresie celów klimatycznych na 2030 r. pokazuje, że zwiększenie celu oznacza podjęcie przez wszystkie sektory wysiłków na rzecz redukcji emisji gazów cieplarnianych, a także zwiększenie pochłaniania, co powinny umożliwić poszczególne polityki. Do czerwca 2021 r. Komisja dokona zatem przeglądu </w:t>
      </w:r>
      <w:r>
        <w:rPr>
          <w:noProof/>
        </w:rPr>
        <w:lastRenderedPageBreak/>
        <w:t>wszystkich istotnych powiązanych instrumentów polityki, jak określono w art. 2a ust. 2 wniosku.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Inicjatywa jest powiązana z wieloma innymi obszarami polityki, ponieważ wszystkie działania i polityki UE powinny sprzyjać sprawiedliwej transformacji w kierunku neutralności klimatycznej i przyszłości opartej na zasadach zrównoważonego rozwoju, zgodnie z założeniami przedstawionymi w uzasadnieniu pierwotnego wniosku Komisji.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Ponadto, po przyjęciu pierwotnego wniosku Komisji, wybuch epidemii choroby koronawirusowej doprowadził do kryzysu w dziedzinie zdrowia publicznego i wstrząsu społeczno-gospodarczego na niespotykaną dotąd skalę. Bezprecedensowa europejska reakcja polityczna na pandemię COVID-19 stanowi wyjątkową okazję do przyspieszenia przejścia na gospodarkę neutralną dla klimatu i przyszłość opartą na zrównoważonym rozwoju, przy jednoczesnym łagodzeniu poważnych skutków kryzysu. Wniosek jest spójny z komunikatami w sprawie narzędzia Next Generation EU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oraz ze zmienionym długoterminowym budżetem UE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w których Komisja określiła ambitny plan odbudowy, nadający kierunek i kształt bardziej zrównoważonej, odpornej i sprawiedliwszej Europy dla następnego pokolenia. Obrazują one zaangażowanie, by „nie szkodzić” ambicjom w dziedzinie klimatu i środowiska, zapewnić, by pieniądze były wydawane zgodnie z celami Europejskiego Zielonego Ładu, oraz przyspieszyć dwojaką transformację ekologiczną i cyfrową w sposób sprawiedliwy społecznie.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Podstawa prawna</w:t>
      </w:r>
    </w:p>
    <w:p>
      <w:pPr>
        <w:rPr>
          <w:noProof/>
        </w:rPr>
      </w:pPr>
      <w:r>
        <w:rPr>
          <w:noProof/>
        </w:rPr>
        <w:t>Podstawą prawną wniosku jest art. 192 ust. 1 TFUE, tak samo jak w przypadku pierwotnego wniosku Komisji.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Pomocniczość (w przypadku kompetencji niewyłącznych) </w:t>
      </w:r>
    </w:p>
    <w:p>
      <w:pPr>
        <w:rPr>
          <w:noProof/>
        </w:rPr>
      </w:pPr>
      <w:r>
        <w:rPr>
          <w:noProof/>
        </w:rPr>
        <w:t>W uzasadnieniu pierwotnego wniosku Komisji wyszczególniono kwestie pomocniczości i proporcjonalności. Wyjaśnienia te zachowują ważność również w odniesieniu do proponowanych zmian, ponieważ ogólnounijny cel dla całej gospodarki można ustalić jedynie na szczeblu 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Wybór instrumentu</w:t>
      </w:r>
    </w:p>
    <w:p>
      <w:pPr>
        <w:rPr>
          <w:noProof/>
        </w:rPr>
      </w:pPr>
      <w:r>
        <w:rPr>
          <w:noProof/>
        </w:rPr>
        <w:t xml:space="preserve">Niniejszy wniosek zmienia wniosek Komisji COM(2020)80 final. Wybranym instrumentem jest rozporządzenie, podobnie jak w pierwotnym wniosku Komisji. Wybór ten został wyjaśniony w uzasadnieniu pierwotnego wniosku Komisji.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WYNIKI OCEN EX POST,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Uzasadnienie pierwotnego wniosku Komisji zawiera szczegółowe informacje na temat konsultacji z zainteresowanymi stronami, takich jak przeprowadzone konsultacje publiczne, spotkanie z zainteresowanymi stronami zorganizowane przez Komisję podczas </w:t>
      </w:r>
      <w:r>
        <w:rPr>
          <w:noProof/>
        </w:rPr>
        <w:lastRenderedPageBreak/>
        <w:t>przygotowywania komunikatu „Czysta planeta dla wszystkich”</w:t>
      </w:r>
      <w:r>
        <w:rPr>
          <w:rStyle w:val="FootnoteReference"/>
          <w:rFonts w:eastAsia="Arial Unicode MS"/>
          <w:noProof/>
        </w:rPr>
        <w:footnoteReference w:id="6"/>
      </w:r>
      <w:r>
        <w:rPr>
          <w:noProof/>
        </w:rPr>
        <w:t xml:space="preserve"> oraz publiczne wydarzenie ze stycznia 2020 r. dotyczące wdrażania Europejskiego Zielonego Ładu – Europejskiego prawa o klimacie.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Ponadto, podczas opracowywania planu w zakresie celów klimatycznych na 2030 r., Komisja przeprowadziła trwające od 31 marca do 23 czerwca 2020 r. konsultacje publiczne, na które otrzymano ponad 4 000 odpowiedzi od szerokiego grona zainteresowanych stron. W streszczeniu sprawozdania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podsumowano działania konsultacyjne dotyczące planu.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ramach uzupełnienia komunikatu „Czysta planeta dla wszystkich” służby Komisji przeprowadziły szczegółową analizę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. Zbadano w niej metody osiągnięcia neutralności klimatycznej do 2050 r. z uwzględnieniem wszystkich kluczowych sektorów gospodarki, między innymi sektora energii, transportu, przemysłu i rolnictwa. Analiza ta i ocena strategii UE w zakresie przystosowania się do zmiany klimatu (2018 r.) stanowią podstawę dla pierwotnego wniosku Komisji, jak wyszczególniono w uzasadnieniu do tego wniosku.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noProof/>
        </w:rPr>
        <w:t>Proponowane zmiany do wniosku odnoszą się do unijnego celu redukcji emisji gazów cieplarnianych netto do 2030 r. Jeżeli chodzi o zwiększenie tego celu, Komisja przeprowadziła ocenę skutków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towarzyszącą planowi w zakresie celów klimatycznych na 2030 r.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Prawa podstawowe</w:t>
      </w:r>
    </w:p>
    <w:p>
      <w:pPr>
        <w:rPr>
          <w:noProof/>
        </w:rPr>
      </w:pPr>
      <w:r>
        <w:rPr>
          <w:noProof/>
        </w:rPr>
        <w:t xml:space="preserve">W uzasadnieniu pierwotnego wniosku Komisji wyszczególniono kwestie dotyczące praw podstawowych.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rPr>
          <w:noProof/>
        </w:rPr>
      </w:pPr>
      <w:r>
        <w:rPr>
          <w:noProof/>
        </w:rPr>
        <w:t xml:space="preserve">Wpływ na budżet przedstawiono w ocenie skutków finansowych regulacji załączonej do pierwotnego wniosku Komisji i niniejsza zmiana nie ma na nie wpływu.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Szczegółowe objaśnienia poszczególnych przepisów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Proponowane zmiany przepisów pierwotnego wniosku dotyczącego europejskiego prawa o klimacie polegają na włączeniu do art. 2a ust. 1 wniosku nowego celu UE w zakresie redukcji emisji gazów cieplarnianych do 2030 r. Ten zmieniony przepis zastępuje art. 2 ust. 3 pierwotnego wniosku, który określa procedurę prowadzącą do tej zmiany.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 art. 2a ust. 2 zmienionego wniosku określono procedurę przeglądu prawodawstwa Unii wdrażającego cel na 2030 r. zgodnie z art. 2 ust. 4 pierwotnego wniosku, który został przeniesiony do nowego art. 2a i w którym dodano odniesienie do nowego celu na 2030 r.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 xml:space="preserve">W art. 1 pierwotnego wniosku wprowadzono również odniesienie do nowego celu na 2030 r. w odniesieniu do zakresu rozporządzenia w sprawie Europejskiego prawa o klimacie, a odpowiednie motywy zostały dostosowane. 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2020/0036 (COD)</w:t>
      </w:r>
    </w:p>
    <w:p>
      <w:pPr>
        <w:pStyle w:val="Statut"/>
        <w:rPr>
          <w:noProof/>
        </w:rPr>
      </w:pPr>
      <w:r>
        <w:rPr>
          <w:noProof/>
        </w:rPr>
        <w:t>Zmieniony wniosek</w:t>
      </w:r>
    </w:p>
    <w:p>
      <w:pPr>
        <w:pStyle w:val="Typedudocument"/>
        <w:rPr>
          <w:noProof/>
        </w:rPr>
      </w:pPr>
      <w:r>
        <w:rPr>
          <w:noProof/>
        </w:rPr>
        <w:t>ROZPORZĄDZENIE PARLAMENTU EUROPEJSKIEGO I RADY</w:t>
      </w:r>
    </w:p>
    <w:p>
      <w:pPr>
        <w:pStyle w:val="Titreobjet"/>
        <w:rPr>
          <w:noProof/>
        </w:rPr>
      </w:pPr>
      <w:r>
        <w:rPr>
          <w:noProof/>
        </w:rPr>
        <w:t>w sprawie ustanowienia ram na potrzeby osiągnięcia neutralności klimatycznej i zmiany rozporządzenia (UE) 2018/1999 (Europejskie prawo o klimacie)</w:t>
      </w:r>
    </w:p>
    <w:p>
      <w:pPr>
        <w:rPr>
          <w:noProof/>
        </w:rPr>
      </w:pPr>
      <w:r>
        <w:rPr>
          <w:noProof/>
        </w:rPr>
        <w:t>We wniosku Komisji COM(2020) 80 wprowadza się następujące zmiany: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motyw 17 otrzymuje brzmienie: </w:t>
      </w:r>
    </w:p>
    <w:p>
      <w:pPr>
        <w:pStyle w:val="Text1"/>
        <w:rPr>
          <w:noProof/>
        </w:rPr>
      </w:pPr>
      <w:r>
        <w:rPr>
          <w:noProof/>
        </w:rPr>
        <w:t>„Zgodnie z zapowiedzią zawartą w komunikacie »Europejski Zielony Ład« Komisja w swoim komunikacie „Ambitniejszy cel klimatyczny Europy do 2030 r. – Inwestowanie w przyszłość neutralną dla klimatu z korzyścią dla obywateli”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oceniła unijny cel redukcji emisji gazów cieplarnianych do 2030 r. na podstawie kompleksowej oceny skutków i z uwzględnieniem analizy zintegrowanych krajowych planów w dziedzinie energii i klimatu przedłożonych Komisji na podstawie rozporządzenia Parlamentu Europejskiego i Rady (UE) 2018/1999</w:t>
      </w:r>
      <w:r>
        <w:rPr>
          <w:rStyle w:val="FootnoteReference"/>
          <w:noProof/>
        </w:rPr>
        <w:footnoteReference w:id="11"/>
      </w:r>
      <w:r>
        <w:rPr>
          <w:noProof/>
        </w:rPr>
        <w:t>. W świetle celu osiągnięcia neutralności klimatycznej do 2050 r. należy ograniczyć emisje gazów cieplarnianych do 2030 r. i zwiększyć pochłanianie, tak aby emisje gazów cieplarnianych netto, tj. emisje po odliczeniu pochłaniania, zostały zmniejszone w całej gospodarce i na poziomie Unii o co najmniej 55 % do 2030 r. w porównaniu z poziomami z 1990 r. Ten nowy cel Unii na rok 2030 w dziedzinie klimatu jest kolejnym celem zgodnym z art. 2 pkt 11 rozporządzenia (UE) 2018/1999, a zatem zastępuje ogólnounijny cel w zakresie emisji gazów cieplarnianych na 2030 r. określony w tym punkcie. Poza tym Komisja powinna do 30 czerwca 2021 r. ocenić, w jaki sposób należałoby zmienić stosowne unijne akty prawne wdrażające cel na rok 2030 w dziedzinie klimatu, aby osiągnąć taką redukcję emisji.”;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w art. 1 akapit drugi dodaje się zdanie w brzmieniu:</w:t>
      </w:r>
    </w:p>
    <w:p>
      <w:pPr>
        <w:pStyle w:val="Text1"/>
        <w:rPr>
          <w:noProof/>
        </w:rPr>
      </w:pPr>
      <w:r>
        <w:rPr>
          <w:noProof/>
        </w:rPr>
        <w:t>„Określono również wiążący unijny cel redukcji emisji gazów cieplarnianych netto do 2030 r.”;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w art. 2 uchyla się ust. 3 i 4;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dodaje się art. 2a w brzmieniu:</w:t>
      </w:r>
    </w:p>
    <w:p>
      <w:pPr>
        <w:pStyle w:val="Text1"/>
        <w:ind w:left="1570" w:firstLine="590"/>
        <w:rPr>
          <w:noProof/>
        </w:rPr>
      </w:pPr>
      <w:r>
        <w:rPr>
          <w:noProof/>
        </w:rPr>
        <w:t>„</w:t>
      </w:r>
      <w:r>
        <w:rPr>
          <w:i/>
          <w:noProof/>
        </w:rPr>
        <w:t>Artykuł 2a</w:t>
      </w:r>
    </w:p>
    <w:p>
      <w:pPr>
        <w:pStyle w:val="Text1"/>
        <w:ind w:left="1570" w:firstLine="590"/>
        <w:rPr>
          <w:noProof/>
        </w:rPr>
      </w:pPr>
      <w:r>
        <w:rPr>
          <w:b/>
          <w:noProof/>
        </w:rPr>
        <w:t>Cel w zakresie klimatu na 2030 r.</w:t>
      </w:r>
    </w:p>
    <w:p>
      <w:pPr>
        <w:pStyle w:val="Text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Aby osiągnąć cel neutralności klimatycznej określony w art. 2 ust. 1, wiążącym celem Unii w zakresie klimatu na 2030 r. jest zmniejszenie do 2030 r. </w:t>
      </w:r>
      <w:r>
        <w:rPr>
          <w:noProof/>
        </w:rPr>
        <w:lastRenderedPageBreak/>
        <w:t xml:space="preserve">emisji gazów cieplarnianych netto (emisje po odliczeniu pochłaniania) o co najmniej 55 % w porównaniu z poziomami z 1990 r. </w:t>
      </w:r>
    </w:p>
    <w:p>
      <w:pPr>
        <w:ind w:left="72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Do dnia 30 czerwca 2021 r. Komisja dokona przeglądu stosownych unijnych aktów prawnych, aby umożliwić osiągnięcie celu określonego w ust. 1 niniejszego artykułu oraz celu neutralności klimatycznej określonego w art. 2 ust. 1, oraz rozważy wprowadzenie niezbędnych środków, w tym przyjęcie wniosków ustawodawczych zgodnie z Traktatami.”;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art. 3 ust. 2 otrzymuje brzmienie:</w:t>
      </w:r>
    </w:p>
    <w:p>
      <w:pPr>
        <w:ind w:left="811" w:right="19"/>
        <w:rPr>
          <w:noProof/>
        </w:rPr>
      </w:pPr>
      <w:r>
        <w:rPr>
          <w:noProof/>
        </w:rPr>
        <w:t>„2. Punktem wyjścia trajektorii jest cel Unii w zakresie klimatu na 2030 r. określony w art. 2 ust. 1.”.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COM(2020) 80 final.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COM(2019) 640 final.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COM(2020) 456 final.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COM(2020) 442 final.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COM(2018) 773 final.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SWD(2020) 178.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Szczegółowa analiza uzupełniająca komunikat Komisji COM (2018) 773, https://ec.europa.eu/clima/sites/clima/files/docs/pages/com_2018_733_analysis_in_support_en_0.pdf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SWD(2020) 176.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COM (2020) 562.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2018/1999 z dnia 11 grudnia 2018 r. w sprawie zarządzania unią energetyczną i działaniami w dziedzinie klimatu, zmiany rozporządzeń Parlamentu Europejskiego i Rady (WE) nr 663/2009 i (WE) nr 715/2009, dyrektyw Parlamentu Europejskiego i Rady 94/22/WE, 98/70/WE, 2009/31/WE, 2009/73/WE, 2010/31/UE, 2012/27/UE i 2013/30/UE, dyrektyw Rady 2009/119/WE i (UE) 2015/652 oraz uchylenia rozporządzenia Parlamentu Europejskiego i Rady (UE) nr 525/2013 (Dz.U. L 328 z 21.12.2018, s.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2040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10CDA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23E23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49403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93EB4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1526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7D49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7489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NumPar5"/>
      <w:lvlText w:val="(%5)"/>
      <w:lvlJc w:val="left"/>
      <w:pPr>
        <w:ind w:left="1800" w:hanging="360"/>
      </w:pPr>
    </w:lvl>
    <w:lvl w:ilvl="5">
      <w:start w:val="1"/>
      <w:numFmt w:val="lowerRoman"/>
      <w:pStyle w:val="NumPar6"/>
      <w:lvlText w:val="(%6)"/>
      <w:lvlJc w:val="left"/>
      <w:pPr>
        <w:ind w:left="2160" w:hanging="360"/>
      </w:pPr>
    </w:lvl>
    <w:lvl w:ilvl="6">
      <w:start w:val="1"/>
      <w:numFmt w:val="decimal"/>
      <w:pStyle w:val="NumPar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Heading5"/>
      <w:lvlText w:val="(%5)"/>
      <w:lvlJc w:val="left"/>
      <w:pPr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20"/>
  </w:num>
  <w:num w:numId="13">
    <w:abstractNumId w:val="19"/>
  </w:num>
  <w:num w:numId="14">
    <w:abstractNumId w:val="12"/>
  </w:num>
  <w:num w:numId="15">
    <w:abstractNumId w:val="21"/>
  </w:num>
  <w:num w:numId="16">
    <w:abstractNumId w:val="11"/>
  </w:num>
  <w:num w:numId="17">
    <w:abstractNumId w:val="13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17"/>
  </w:num>
  <w:num w:numId="23">
    <w:abstractNumId w:val="18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2"/>
  </w:num>
  <w:num w:numId="29">
    <w:abstractNumId w:val="21"/>
  </w:num>
  <w:num w:numId="30">
    <w:abstractNumId w:val="11"/>
  </w:num>
  <w:num w:numId="31">
    <w:abstractNumId w:val="13"/>
  </w:num>
  <w:num w:numId="32">
    <w:abstractNumId w:val="9"/>
  </w:num>
  <w:num w:numId="33">
    <w:abstractNumId w:val="20"/>
  </w:num>
  <w:num w:numId="34">
    <w:abstractNumId w:val="8"/>
  </w:num>
  <w:num w:numId="35">
    <w:abstractNumId w:val="15"/>
  </w:num>
  <w:num w:numId="36">
    <w:abstractNumId w:val="17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7 08:52:4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1C33F6D-8A3C-4D3F-B2EF-3AF4780F0ABA"/>
    <w:docVar w:name="LW_COVERPAGE_TYPE" w:val="1"/>
    <w:docVar w:name="LW_CROSSREFERENCE" w:val="&lt;UNUSED&gt;"/>
    <w:docVar w:name="LW_DocType" w:val="COM"/>
    <w:docVar w:name="LW_EMISSION" w:val="17.9.2020"/>
    <w:docVar w:name="LW_EMISSION_ISODATE" w:val="2020-09-17"/>
    <w:docVar w:name="LW_EMISSION_LOCATION" w:val="BRX"/>
    <w:docVar w:name="LW_EMISSION_PREFIX" w:val="Bruksela, dnia "/>
    <w:docVar w:name="LW_EMISSION_SUFFIX" w:val=" r."/>
    <w:docVar w:name="LW_ID_DOCMODEL" w:val="SJ-023"/>
    <w:docVar w:name="LW_ID_DOCSIGNATURE" w:val="SJ-023"/>
    <w:docVar w:name="LW_ID_DOCSTRUCTURE" w:val="COM/PL/MOD"/>
    <w:docVar w:name="LW_ID_DOCTYPE" w:val="SG-005"/>
    <w:docVar w:name="LW_ID_EXP.MOTIFS.NEW" w:val="EM_PL_"/>
    <w:docVar w:name="LW_ID_STATUT" w:val="SG-005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36"/>
    <w:docVar w:name="LW_REF.II.NEW.CP_YEAR" w:val="2020"/>
    <w:docVar w:name="LW_REF.INST.NEW" w:val="COM"/>
    <w:docVar w:name="LW_REF.INST.NEW_ADOPTED" w:val="final"/>
    <w:docVar w:name="LW_REF.INST.NEW_TEXT" w:val="(2020) 56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Zmieniony wniosek"/>
    <w:docVar w:name="LW_SUPERTITRE" w:val="&lt;UNUSED&gt;"/>
    <w:docVar w:name="LW_TITRE.OBJ.CP" w:val="w sprawie ustanowienia ram na potrzeby osi\u261?gni\u281?cia neutralno\u347?ci klimatycznej i zmiany rozporz\u261?dzenia (UE) 2018/1999 (Europejskie prawo o klimacie)"/>
    <w:docVar w:name="LW_TYPE.DOC.CP" w:val="ROZPORZ\u260?DZENIE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2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2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2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0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1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1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1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2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2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2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0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1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1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1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1498</Words>
  <Characters>9399</Characters>
  <Application>Microsoft Office Word</Application>
  <DocSecurity>0</DocSecurity>
  <Lines>167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21</cp:revision>
  <dcterms:created xsi:type="dcterms:W3CDTF">2020-09-16T11:05:00Z</dcterms:created>
  <dcterms:modified xsi:type="dcterms:W3CDTF">2020-09-17T06:52:00Z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SG-005</vt:lpwstr>
  </property>
  <property fmtid="{D5CDD505-2E9C-101B-9397-08002B2CF9AE}" pid="10" name="DQCStatus">
    <vt:lpwstr>Green (DQC version 03)</vt:lpwstr>
  </property>
</Properties>
</file>