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0BA2968A-4C25-490C-963E-4026867527A4" style="width:451pt;height:321pt">
            <v:imagedata r:id="rId12" o:title=""/>
          </v:shape>
        </w:pict>
      </w:r>
    </w:p>
    <w:bookmarkEnd w:id="0"/>
    <w:p>
      <w:pPr>
        <w:spacing w:line="240" w:lineRule="auto"/>
        <w:rPr>
          <w:noProof/>
          <w:lang w:val="en-GB"/>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tabs>
          <w:tab w:val="center" w:pos="4680"/>
          <w:tab w:val="left" w:pos="7010"/>
        </w:tabs>
        <w:spacing w:before="240" w:after="480" w:line="240" w:lineRule="auto"/>
        <w:jc w:val="center"/>
        <w:rPr>
          <w:rFonts w:ascii="Times New Roman Bold" w:hAnsi="Times New Roman Bold" w:cs="Times New Roman"/>
          <w:b/>
          <w:bCs/>
          <w:smallCaps/>
          <w:noProof/>
          <w:sz w:val="32"/>
          <w:szCs w:val="32"/>
        </w:rPr>
      </w:pPr>
      <w:bookmarkStart w:id="1" w:name="_GoBack"/>
      <w:bookmarkEnd w:id="1"/>
      <w:r>
        <w:rPr>
          <w:rFonts w:ascii="Times New Roman Bold" w:hAnsi="Times New Roman Bold"/>
          <w:b/>
          <w:bCs/>
          <w:smallCaps/>
          <w:noProof/>
          <w:sz w:val="32"/>
          <w:szCs w:val="32"/>
        </w:rPr>
        <w:lastRenderedPageBreak/>
        <w:t>Jaunā patērētāju tiesību aizsardzības programma</w:t>
      </w:r>
    </w:p>
    <w:p>
      <w:pPr>
        <w:spacing w:after="720" w:line="240" w:lineRule="auto"/>
        <w:jc w:val="center"/>
        <w:rPr>
          <w:rFonts w:ascii="Times New Roman Bold" w:hAnsi="Times New Roman Bold" w:cs="Times New Roman"/>
          <w:b/>
          <w:bCs/>
          <w:smallCaps/>
          <w:noProof/>
          <w:sz w:val="28"/>
          <w:szCs w:val="24"/>
        </w:rPr>
      </w:pPr>
      <w:r>
        <w:rPr>
          <w:rFonts w:ascii="Times New Roman Bold" w:hAnsi="Times New Roman Bold"/>
          <w:b/>
          <w:bCs/>
          <w:smallCaps/>
          <w:noProof/>
          <w:sz w:val="28"/>
          <w:szCs w:val="24"/>
        </w:rPr>
        <w:t>Patērētāju noturības stiprināšana, lai panāktu ilgtspējīgu atveseļošanos</w:t>
      </w:r>
    </w:p>
    <w:p>
      <w:pPr>
        <w:numPr>
          <w:ilvl w:val="0"/>
          <w:numId w:val="1"/>
        </w:numPr>
        <w:spacing w:after="240" w:line="240" w:lineRule="auto"/>
        <w:ind w:left="714" w:hanging="357"/>
        <w:jc w:val="both"/>
        <w:rPr>
          <w:rFonts w:ascii="Times New Roman" w:hAnsi="Times New Roman" w:cs="Times New Roman"/>
          <w:b/>
          <w:bCs/>
          <w:smallCaps/>
          <w:noProof/>
          <w:sz w:val="28"/>
          <w:szCs w:val="28"/>
        </w:rPr>
      </w:pPr>
      <w:r>
        <w:rPr>
          <w:rFonts w:ascii="Times New Roman" w:hAnsi="Times New Roman"/>
          <w:b/>
          <w:bCs/>
          <w:smallCaps/>
          <w:noProof/>
          <w:sz w:val="28"/>
          <w:szCs w:val="28"/>
        </w:rPr>
        <w:t>Ievads</w:t>
      </w:r>
    </w:p>
    <w:p>
      <w:pPr>
        <w:spacing w:after="240" w:line="240" w:lineRule="auto"/>
        <w:jc w:val="both"/>
        <w:rPr>
          <w:rFonts w:ascii="Times New Roman" w:hAnsi="Times New Roman" w:cs="Times New Roman"/>
          <w:noProof/>
          <w:sz w:val="24"/>
          <w:szCs w:val="24"/>
        </w:rPr>
      </w:pPr>
      <w:r>
        <w:rPr>
          <w:rFonts w:ascii="Times New Roman" w:hAnsi="Times New Roman"/>
          <w:b/>
          <w:bCs/>
          <w:noProof/>
          <w:sz w:val="24"/>
          <w:szCs w:val="24"/>
        </w:rPr>
        <w:t>Eiropas patērētāji pamatoti sagaida, ka viņi gūs pilnīgu labumu no vienotā tirgus un varēs izdarīt apzinātu izvēli, un aktīvi piedalīties zaļajā un digitālajā pārejā neatkarīgi no tā, kad un kur Eiropas Savienībā viņi atrodas</w:t>
      </w:r>
      <w:r>
        <w:rPr>
          <w:rFonts w:ascii="Times New Roman" w:hAnsi="Times New Roman"/>
          <w:noProof/>
          <w:sz w:val="24"/>
          <w:szCs w:val="24"/>
        </w:rPr>
        <w:t xml:space="preserve">. Viņi sagaida brīvu piekļuvi precēm un pakalpojumiem visā ES, kā arī to, ka, neraugoties uz jau ierastajām un jaunajām problēmām, tiks aizsargātas viņu kā patērētāju tiesības. </w:t>
      </w:r>
    </w:p>
    <w:p>
      <w:pPr>
        <w:spacing w:after="240" w:line="240" w:lineRule="auto"/>
        <w:jc w:val="both"/>
        <w:rPr>
          <w:rFonts w:ascii="Times New Roman" w:hAnsi="Times New Roman" w:cs="Times New Roman"/>
          <w:noProof/>
          <w:sz w:val="24"/>
          <w:szCs w:val="24"/>
        </w:rPr>
      </w:pPr>
      <w:r>
        <w:rPr>
          <w:rFonts w:ascii="Times New Roman" w:hAnsi="Times New Roman"/>
          <w:b/>
          <w:bCs/>
          <w:noProof/>
          <w:sz w:val="24"/>
          <w:szCs w:val="24"/>
        </w:rPr>
        <w:t>Jaunajā Patērētāju tiesību aizsardzības programmā</w:t>
      </w:r>
      <w:r>
        <w:rPr>
          <w:rFonts w:ascii="Times New Roman" w:hAnsi="Times New Roman"/>
          <w:noProof/>
          <w:sz w:val="24"/>
          <w:szCs w:val="24"/>
        </w:rPr>
        <w:t xml:space="preserve"> (“Programma”) ir izklāstīts redzējums par ES patērētāju tiesību aizsardzības politiku no 2020. līdz 2025. gadam, pamatojoties uz Patērētāju tiesību aizsardzības programmu 2012. gadam (tās termiņš beidzas 2020. gadā) un 2018. gada uz patērētājiem orientēto jauno kursu</w:t>
      </w:r>
      <w:r>
        <w:rPr>
          <w:rFonts w:ascii="Times New Roman" w:hAnsi="Times New Roman" w:cs="Times New Roman"/>
          <w:noProof/>
          <w:sz w:val="24"/>
          <w:szCs w:val="24"/>
          <w:vertAlign w:val="superscript"/>
          <w:lang w:val="en-GB"/>
        </w:rPr>
        <w:footnoteReference w:id="2"/>
      </w:r>
      <w:r>
        <w:rPr>
          <w:rFonts w:ascii="Times New Roman" w:hAnsi="Times New Roman"/>
          <w:noProof/>
          <w:sz w:val="24"/>
          <w:szCs w:val="24"/>
        </w:rPr>
        <w:t>. Tās</w:t>
      </w:r>
      <w:r>
        <w:rPr>
          <w:noProof/>
        </w:rPr>
        <w:t xml:space="preserve"> </w:t>
      </w:r>
      <w:r>
        <w:rPr>
          <w:rFonts w:ascii="Times New Roman" w:hAnsi="Times New Roman"/>
          <w:noProof/>
          <w:sz w:val="24"/>
          <w:szCs w:val="24"/>
        </w:rPr>
        <w:t xml:space="preserve">mērķis ir arī risināt patērētāju tūlītējās vajadzības saistībā ar pašreizējo Covid-19 pandēmiju un palielināt viņu noturību. Pandēmija ir radījusi būtiskas problēmas, kas ietekmē patērētāju ikdienas dzīvi, jo īpaši saistībā ar produktu un pakalpojumu nodrošinājumu un pieejamību, kā arī ceļošanu ES iekšienē, uz ES un no tās.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Programma aptver </w:t>
      </w:r>
      <w:r>
        <w:rPr>
          <w:rFonts w:ascii="Times New Roman" w:hAnsi="Times New Roman"/>
          <w:b/>
          <w:bCs/>
          <w:noProof/>
          <w:sz w:val="24"/>
          <w:szCs w:val="24"/>
        </w:rPr>
        <w:t>piecas galvenās prioritārās jomas</w:t>
      </w:r>
      <w:r>
        <w:rPr>
          <w:rFonts w:ascii="Times New Roman" w:hAnsi="Times New Roman"/>
          <w:noProof/>
          <w:sz w:val="24"/>
          <w:szCs w:val="24"/>
        </w:rPr>
        <w:t xml:space="preserve">: </w:t>
      </w:r>
    </w:p>
    <w:p>
      <w:pPr>
        <w:numPr>
          <w:ilvl w:val="0"/>
          <w:numId w:val="6"/>
        </w:numPr>
        <w:spacing w:after="120" w:line="240" w:lineRule="auto"/>
        <w:ind w:left="714" w:hanging="357"/>
        <w:jc w:val="both"/>
        <w:rPr>
          <w:rFonts w:ascii="Times New Roman" w:hAnsi="Times New Roman" w:cs="Times New Roman"/>
          <w:b/>
          <w:noProof/>
          <w:sz w:val="24"/>
          <w:szCs w:val="24"/>
        </w:rPr>
      </w:pPr>
      <w:r>
        <w:rPr>
          <w:rFonts w:ascii="Times New Roman" w:hAnsi="Times New Roman"/>
          <w:b/>
          <w:noProof/>
          <w:sz w:val="24"/>
          <w:szCs w:val="24"/>
        </w:rPr>
        <w:t>zaļā pārkārtošanās;</w:t>
      </w:r>
    </w:p>
    <w:p>
      <w:pPr>
        <w:numPr>
          <w:ilvl w:val="0"/>
          <w:numId w:val="6"/>
        </w:numPr>
        <w:spacing w:after="120" w:line="240" w:lineRule="auto"/>
        <w:ind w:left="714" w:hanging="357"/>
        <w:jc w:val="both"/>
        <w:rPr>
          <w:rFonts w:ascii="Times New Roman" w:hAnsi="Times New Roman" w:cs="Times New Roman"/>
          <w:b/>
          <w:noProof/>
          <w:sz w:val="24"/>
          <w:szCs w:val="24"/>
        </w:rPr>
      </w:pPr>
      <w:r>
        <w:rPr>
          <w:rFonts w:ascii="Times New Roman" w:hAnsi="Times New Roman"/>
          <w:b/>
          <w:noProof/>
          <w:sz w:val="24"/>
          <w:szCs w:val="24"/>
        </w:rPr>
        <w:t>digitālā pārveide;</w:t>
      </w:r>
    </w:p>
    <w:p>
      <w:pPr>
        <w:numPr>
          <w:ilvl w:val="0"/>
          <w:numId w:val="6"/>
        </w:numPr>
        <w:spacing w:after="120" w:line="240" w:lineRule="auto"/>
        <w:ind w:left="714" w:hanging="357"/>
        <w:jc w:val="both"/>
        <w:rPr>
          <w:rFonts w:ascii="Times New Roman" w:hAnsi="Times New Roman" w:cs="Times New Roman"/>
          <w:b/>
          <w:noProof/>
          <w:sz w:val="24"/>
          <w:szCs w:val="24"/>
        </w:rPr>
      </w:pPr>
      <w:r>
        <w:rPr>
          <w:rFonts w:ascii="Times New Roman" w:hAnsi="Times New Roman"/>
          <w:b/>
          <w:noProof/>
          <w:sz w:val="24"/>
          <w:szCs w:val="24"/>
        </w:rPr>
        <w:t>patērētāju tiesību aizsardzība un īstenošana;</w:t>
      </w:r>
    </w:p>
    <w:p>
      <w:pPr>
        <w:numPr>
          <w:ilvl w:val="0"/>
          <w:numId w:val="6"/>
        </w:numPr>
        <w:spacing w:after="120" w:line="240" w:lineRule="auto"/>
        <w:ind w:left="714" w:hanging="357"/>
        <w:jc w:val="both"/>
        <w:rPr>
          <w:rFonts w:ascii="Times New Roman" w:hAnsi="Times New Roman" w:cs="Times New Roman"/>
          <w:b/>
          <w:noProof/>
          <w:sz w:val="24"/>
          <w:szCs w:val="24"/>
        </w:rPr>
      </w:pPr>
      <w:r>
        <w:rPr>
          <w:rFonts w:ascii="Times New Roman" w:hAnsi="Times New Roman"/>
          <w:b/>
          <w:noProof/>
          <w:sz w:val="24"/>
          <w:szCs w:val="24"/>
        </w:rPr>
        <w:t xml:space="preserve">konkrētu patērētāju grupu īpašās vajadzības; </w:t>
      </w:r>
    </w:p>
    <w:p>
      <w:pPr>
        <w:numPr>
          <w:ilvl w:val="0"/>
          <w:numId w:val="6"/>
        </w:numPr>
        <w:spacing w:after="240" w:line="240" w:lineRule="auto"/>
        <w:ind w:left="714" w:hanging="357"/>
        <w:jc w:val="both"/>
        <w:rPr>
          <w:rFonts w:ascii="Times New Roman" w:hAnsi="Times New Roman" w:cs="Times New Roman"/>
          <w:b/>
          <w:noProof/>
          <w:sz w:val="24"/>
          <w:szCs w:val="24"/>
        </w:rPr>
      </w:pPr>
      <w:r>
        <w:rPr>
          <w:rFonts w:ascii="Times New Roman" w:hAnsi="Times New Roman"/>
          <w:b/>
          <w:noProof/>
          <w:sz w:val="24"/>
          <w:szCs w:val="24"/>
        </w:rPr>
        <w:t xml:space="preserve">starptautiskā sadarbība.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Nodrošinot, ka šīs prioritātes tiek pienācīgi ņemtas vērā, Programma būs kā </w:t>
      </w:r>
      <w:r>
        <w:rPr>
          <w:rFonts w:ascii="Times New Roman" w:hAnsi="Times New Roman"/>
          <w:b/>
          <w:bCs/>
          <w:noProof/>
          <w:sz w:val="24"/>
          <w:szCs w:val="24"/>
        </w:rPr>
        <w:t>ceļvedis</w:t>
      </w:r>
      <w:r>
        <w:rPr>
          <w:rFonts w:ascii="Times New Roman" w:hAnsi="Times New Roman"/>
          <w:noProof/>
          <w:sz w:val="24"/>
          <w:szCs w:val="24"/>
        </w:rPr>
        <w:t xml:space="preserve"> Vienotā tirgus programmas īstenošanai saskaņā ar </w:t>
      </w:r>
      <w:r>
        <w:rPr>
          <w:rFonts w:ascii="Times New Roman" w:hAnsi="Times New Roman"/>
          <w:b/>
          <w:noProof/>
          <w:sz w:val="24"/>
          <w:szCs w:val="24"/>
        </w:rPr>
        <w:t>jauno daudzgadu finanšu shēmu (DFS)</w:t>
      </w:r>
      <w:r>
        <w:rPr>
          <w:rFonts w:ascii="Times New Roman" w:hAnsi="Times New Roman"/>
          <w:noProof/>
          <w:sz w:val="24"/>
          <w:szCs w:val="24"/>
        </w:rPr>
        <w:t>. Veicinot videi nekaitīgāka, digitālāka un taisnīgāka vienotā tirgus izveides pasākumus, tās mērķis·ir palielināt patērētāju uzticēšanos, kuru izdevumi veido 54 % no ES IKP</w:t>
      </w:r>
      <w:r>
        <w:rPr>
          <w:rFonts w:ascii="Times New Roman" w:hAnsi="Times New Roman" w:cs="Times New Roman"/>
          <w:noProof/>
          <w:sz w:val="24"/>
          <w:szCs w:val="24"/>
          <w:vertAlign w:val="superscript"/>
          <w:lang w:val="en-GB"/>
        </w:rPr>
        <w:footnoteReference w:id="3"/>
      </w:r>
      <w:r>
        <w:rPr>
          <w:rFonts w:ascii="Times New Roman" w:hAnsi="Times New Roman"/>
          <w:noProof/>
          <w:sz w:val="24"/>
          <w:szCs w:val="24"/>
        </w:rPr>
        <w:t>, tādējādi stimulējot ekonomikas atveseļošanos no pieprasījuma puses.</w:t>
      </w:r>
      <w:r>
        <w:rPr>
          <w:noProof/>
        </w:rPr>
        <w:t xml:space="preserve"> </w:t>
      </w:r>
      <w:r>
        <w:rPr>
          <w:rFonts w:ascii="Times New Roman" w:hAnsi="Times New Roman"/>
          <w:noProof/>
          <w:sz w:val="24"/>
          <w:szCs w:val="24"/>
        </w:rPr>
        <w:t>Šajā vidē ir jānodrošina efektīva patērētāju interešu aizsardzība, vienlaikus atbalstot arī uzņēmumus, jo īpaši mazos un vidējos uzņēmumus</w:t>
      </w:r>
      <w:r>
        <w:rPr>
          <w:rFonts w:ascii="Times New Roman" w:hAnsi="Times New Roman" w:cs="Times New Roman"/>
          <w:noProof/>
          <w:sz w:val="24"/>
          <w:szCs w:val="24"/>
          <w:vertAlign w:val="superscript"/>
          <w:lang w:val="en-GB"/>
        </w:rPr>
        <w:footnoteReference w:id="4"/>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 xml:space="preserve">Programmā ir izmantota </w:t>
      </w:r>
      <w:r>
        <w:rPr>
          <w:rFonts w:ascii="Times New Roman" w:hAnsi="Times New Roman"/>
          <w:b/>
          <w:bCs/>
          <w:noProof/>
          <w:sz w:val="24"/>
          <w:szCs w:val="24"/>
        </w:rPr>
        <w:t>vienota pieeja, kas aptver dažādas Savienības politikas jomas</w:t>
      </w:r>
      <w:r>
        <w:rPr>
          <w:rFonts w:ascii="Times New Roman" w:hAnsi="Times New Roman"/>
          <w:noProof/>
          <w:sz w:val="24"/>
          <w:szCs w:val="24"/>
        </w:rPr>
        <w:t>, kuras ir īpaši svarīgas patērētājiem. Tā atspoguļo nepieciešamību ņemt vērā patērētāju tiesību aizsardzības prasības, formulējot un īstenojot citas politikas jomas un darbības</w:t>
      </w:r>
      <w:r>
        <w:rPr>
          <w:rStyle w:val="FootnoteReference"/>
          <w:rFonts w:ascii="Times New Roman" w:hAnsi="Times New Roman" w:cs="Times New Roman"/>
          <w:noProof/>
          <w:sz w:val="24"/>
          <w:szCs w:val="24"/>
          <w:lang w:val="en-GB"/>
        </w:rPr>
        <w:footnoteReference w:id="5"/>
      </w:r>
      <w:r>
        <w:rPr>
          <w:rFonts w:ascii="Times New Roman" w:hAnsi="Times New Roman"/>
          <w:noProof/>
          <w:sz w:val="24"/>
          <w:szCs w:val="24"/>
        </w:rPr>
        <w:t>. Tā papildina citas ES iniciatīvas, piemēram, Eiropas zaļo kursu</w:t>
      </w:r>
      <w:r>
        <w:rPr>
          <w:rFonts w:ascii="Times New Roman" w:hAnsi="Times New Roman" w:cs="Times New Roman"/>
          <w:noProof/>
          <w:sz w:val="24"/>
          <w:szCs w:val="24"/>
          <w:vertAlign w:val="superscript"/>
          <w:lang w:val="en-GB"/>
        </w:rPr>
        <w:footnoteReference w:id="6"/>
      </w:r>
      <w:r>
        <w:rPr>
          <w:rFonts w:ascii="Times New Roman" w:hAnsi="Times New Roman"/>
          <w:noProof/>
          <w:sz w:val="24"/>
          <w:szCs w:val="24"/>
        </w:rPr>
        <w:t>, aprites ekonomikas rīcības plānu</w:t>
      </w:r>
      <w:r>
        <w:rPr>
          <w:rFonts w:ascii="Times New Roman" w:hAnsi="Times New Roman" w:cs="Times New Roman"/>
          <w:noProof/>
          <w:sz w:val="24"/>
          <w:szCs w:val="24"/>
          <w:vertAlign w:val="superscript"/>
          <w:lang w:val="en-GB"/>
        </w:rPr>
        <w:footnoteReference w:id="7"/>
      </w:r>
      <w:r>
        <w:rPr>
          <w:rFonts w:ascii="Times New Roman" w:hAnsi="Times New Roman"/>
          <w:noProof/>
          <w:sz w:val="24"/>
          <w:szCs w:val="24"/>
        </w:rPr>
        <w:t xml:space="preserve"> un paziņojumu “Eiropas digitālās nākotnes veidošana</w:t>
      </w:r>
      <w:r>
        <w:rPr>
          <w:rFonts w:ascii="Times New Roman" w:hAnsi="Times New Roman" w:cs="Times New Roman"/>
          <w:noProof/>
          <w:sz w:val="24"/>
          <w:szCs w:val="24"/>
          <w:vertAlign w:val="superscript"/>
          <w:lang w:val="en-GB"/>
        </w:rPr>
        <w:footnoteReference w:id="8"/>
      </w:r>
      <w:r>
        <w:rPr>
          <w:rFonts w:ascii="Times New Roman" w:hAnsi="Times New Roman"/>
          <w:noProof/>
          <w:sz w:val="24"/>
          <w:szCs w:val="24"/>
        </w:rPr>
        <w:t>”. Tā arī atbalsta attiecīgos starptautiskos satvarus, piemēram, Apvienoto Nāciju Organizācijas Ilgtspējīgas attīstības programmu 2030. gadam un ANO Konvenciju par personu ar invaliditāti tiesībām.</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Lai efektīvi reaģētu uz visām šīm prioritātēm, jānodrošina cieša sadarbība starp </w:t>
      </w:r>
      <w:r>
        <w:rPr>
          <w:rFonts w:ascii="Times New Roman" w:hAnsi="Times New Roman"/>
          <w:b/>
          <w:bCs/>
          <w:noProof/>
          <w:sz w:val="24"/>
          <w:szCs w:val="24"/>
        </w:rPr>
        <w:t>ES un tās dalībvalstīm</w:t>
      </w:r>
      <w:r>
        <w:rPr>
          <w:rFonts w:ascii="Times New Roman" w:hAnsi="Times New Roman"/>
          <w:bCs/>
          <w:noProof/>
          <w:sz w:val="24"/>
          <w:szCs w:val="24"/>
        </w:rPr>
        <w:t xml:space="preserve">, lai </w:t>
      </w:r>
      <w:r>
        <w:rPr>
          <w:rFonts w:ascii="Times New Roman" w:hAnsi="Times New Roman"/>
          <w:noProof/>
          <w:sz w:val="24"/>
          <w:szCs w:val="24"/>
        </w:rPr>
        <w:t>pienācīgi transponētu, īstenotu un piemērotu stabilu patērētāju tiesību aizsardzības regulējumu, kas izstrādāts daudzu gadu garumā. Šā iemesla dēļ Programmā ir ierosinātas</w:t>
      </w:r>
      <w:r>
        <w:rPr>
          <w:rFonts w:ascii="Times New Roman" w:hAnsi="Times New Roman"/>
          <w:noProof/>
          <w:sz w:val="24"/>
        </w:rPr>
        <w:t xml:space="preserve"> </w:t>
      </w:r>
      <w:r>
        <w:rPr>
          <w:rFonts w:ascii="Times New Roman" w:hAnsi="Times New Roman"/>
          <w:b/>
          <w:bCs/>
          <w:noProof/>
          <w:sz w:val="24"/>
          <w:szCs w:val="24"/>
        </w:rPr>
        <w:t>prioritātes un galvenie rīcības punkti</w:t>
      </w:r>
      <w:r>
        <w:rPr>
          <w:rFonts w:ascii="Times New Roman" w:hAnsi="Times New Roman"/>
          <w:noProof/>
          <w:sz w:val="24"/>
          <w:szCs w:val="24"/>
        </w:rPr>
        <w:t xml:space="preserve">, kas kopīgi jāīsteno Eiropas </w:t>
      </w:r>
      <w:r>
        <w:rPr>
          <w:rFonts w:ascii="Times New Roman" w:hAnsi="Times New Roman"/>
          <w:iCs/>
          <w:noProof/>
          <w:sz w:val="24"/>
          <w:szCs w:val="24"/>
        </w:rPr>
        <w:t>un</w:t>
      </w:r>
      <w:r>
        <w:rPr>
          <w:rFonts w:ascii="Times New Roman" w:hAnsi="Times New Roman"/>
          <w:noProof/>
          <w:sz w:val="24"/>
          <w:szCs w:val="24"/>
        </w:rPr>
        <w:t xml:space="preserve"> valstu līmenī</w:t>
      </w:r>
      <w:r>
        <w:rPr>
          <w:rStyle w:val="FootnoteReference"/>
          <w:rFonts w:ascii="Times New Roman" w:hAnsi="Times New Roman" w:cs="Times New Roman"/>
          <w:noProof/>
          <w:sz w:val="24"/>
          <w:szCs w:val="24"/>
          <w:lang w:val="en-GB"/>
        </w:rPr>
        <w:footnoteReference w:id="9"/>
      </w:r>
      <w:r>
        <w:rPr>
          <w:rFonts w:ascii="Times New Roman" w:hAnsi="Times New Roman"/>
          <w:noProof/>
          <w:sz w:val="24"/>
          <w:szCs w:val="24"/>
        </w:rPr>
        <w:t xml:space="preserve">. </w:t>
      </w:r>
    </w:p>
    <w:p>
      <w:pPr>
        <w:kinsoku w:val="0"/>
        <w:overflowPunct w:val="0"/>
        <w:spacing w:after="480" w:line="240" w:lineRule="auto"/>
        <w:jc w:val="both"/>
        <w:textAlignment w:val="baseline"/>
        <w:rPr>
          <w:rFonts w:ascii="Times New Roman" w:eastAsia="Times New Roman" w:hAnsi="Times New Roman" w:cs="Times New Roman"/>
          <w:noProof/>
          <w:sz w:val="24"/>
          <w:szCs w:val="24"/>
        </w:rPr>
      </w:pPr>
      <w:r>
        <w:rPr>
          <w:rFonts w:ascii="Times New Roman" w:hAnsi="Times New Roman"/>
          <w:noProof/>
          <w:sz w:val="24"/>
          <w:szCs w:val="24"/>
        </w:rPr>
        <w:t xml:space="preserve">Programma ir tapusi, īstenojot intensīvus sagatavošanās darbus un diskusijas ar ieinteresētajām personām. </w:t>
      </w:r>
      <w:r>
        <w:rPr>
          <w:rFonts w:ascii="Times New Roman" w:hAnsi="Times New Roman"/>
          <w:b/>
          <w:bCs/>
          <w:noProof/>
          <w:sz w:val="24"/>
          <w:szCs w:val="24"/>
        </w:rPr>
        <w:t>Atklātajā sabiedriskajā apspriešanā</w:t>
      </w:r>
      <w:r>
        <w:rPr>
          <w:rFonts w:ascii="Times New Roman" w:hAnsi="Times New Roman"/>
          <w:noProof/>
          <w:sz w:val="24"/>
          <w:szCs w:val="24"/>
        </w:rPr>
        <w:t xml:space="preserve"> tika pausts vispārējs atbalsts tās galvenajām prioritātēm, tostarp nepieciešamībai reaģēt uz Covid-19 pandēmiju</w:t>
      </w:r>
      <w:r>
        <w:rPr>
          <w:rFonts w:ascii="Times New Roman" w:hAnsi="Times New Roman" w:cs="Times New Roman"/>
          <w:noProof/>
          <w:sz w:val="24"/>
          <w:szCs w:val="24"/>
          <w:vertAlign w:val="superscript"/>
        </w:rPr>
        <w:footnoteReference w:id="10"/>
      </w:r>
      <w:r>
        <w:rPr>
          <w:rFonts w:ascii="Times New Roman" w:hAnsi="Times New Roman"/>
          <w:noProof/>
          <w:sz w:val="24"/>
          <w:szCs w:val="24"/>
        </w:rPr>
        <w:t xml:space="preserve">. Visaptverošā pieeja tika atzinīgi novērtēta kā galvenais dzinējspēks ilgtspējīgai, zaļai ekonomikas atveseļošanai un taisnīgai, uz digitālo jomu orientētai sabiedrībai. Efektīva izpilde un tiesiskā aizsardzība, kā arī atbalsts patērētājiem ar īpašām vajadzībām tiek uzskatīti par svarīgiem transversāliem jautājumiem. </w:t>
      </w:r>
    </w:p>
    <w:p>
      <w:pPr>
        <w:numPr>
          <w:ilvl w:val="0"/>
          <w:numId w:val="1"/>
        </w:numPr>
        <w:spacing w:after="240" w:line="240" w:lineRule="auto"/>
        <w:ind w:left="714" w:hanging="357"/>
        <w:jc w:val="both"/>
        <w:rPr>
          <w:rFonts w:ascii="Times New Roman" w:hAnsi="Times New Roman" w:cs="Times New Roman"/>
          <w:b/>
          <w:bCs/>
          <w:noProof/>
          <w:sz w:val="24"/>
          <w:szCs w:val="24"/>
        </w:rPr>
      </w:pPr>
      <w:r>
        <w:rPr>
          <w:rFonts w:ascii="Times New Roman Bold" w:hAnsi="Times New Roman Bold"/>
          <w:b/>
          <w:bCs/>
          <w:smallCaps/>
          <w:noProof/>
          <w:sz w:val="28"/>
          <w:szCs w:val="28"/>
        </w:rPr>
        <w:t xml:space="preserve">Patērētāji Covid-19 pandēmijā </w:t>
      </w:r>
    </w:p>
    <w:p>
      <w:pPr>
        <w:pBdr>
          <w:top w:val="single" w:sz="4" w:space="1" w:color="auto"/>
          <w:left w:val="single" w:sz="4" w:space="4" w:color="auto"/>
          <w:bottom w:val="single" w:sz="4" w:space="7" w:color="auto"/>
          <w:right w:val="single" w:sz="4" w:space="4" w:color="auto"/>
        </w:pBdr>
        <w:spacing w:after="240" w:line="240" w:lineRule="auto"/>
        <w:jc w:val="both"/>
        <w:rPr>
          <w:rFonts w:ascii="Times New Roman" w:hAnsi="Times New Roman" w:cs="Times New Roman"/>
          <w:i/>
          <w:iCs/>
          <w:noProof/>
          <w:sz w:val="24"/>
          <w:szCs w:val="24"/>
        </w:rPr>
      </w:pPr>
      <w:r>
        <w:rPr>
          <w:rFonts w:ascii="Times New Roman" w:hAnsi="Times New Roman"/>
          <w:bCs/>
          <w:i/>
          <w:iCs/>
          <w:noProof/>
          <w:sz w:val="24"/>
          <w:szCs w:val="24"/>
        </w:rPr>
        <w:t xml:space="preserve">Piemērs: </w:t>
      </w:r>
      <w:r>
        <w:rPr>
          <w:rFonts w:ascii="Times New Roman" w:hAnsi="Times New Roman"/>
          <w:i/>
          <w:iCs/>
          <w:noProof/>
          <w:sz w:val="24"/>
          <w:szCs w:val="24"/>
        </w:rPr>
        <w:t xml:space="preserve">krīzes laikā ir </w:t>
      </w:r>
      <w:r>
        <w:rPr>
          <w:rFonts w:ascii="Times New Roman" w:hAnsi="Times New Roman"/>
          <w:bCs/>
          <w:i/>
          <w:iCs/>
          <w:noProof/>
          <w:sz w:val="24"/>
          <w:szCs w:val="24"/>
        </w:rPr>
        <w:t>ievērojami pieaugusi patērētāju krāpšana tiešsaistē</w:t>
      </w:r>
      <w:r>
        <w:rPr>
          <w:rFonts w:ascii="Times New Roman" w:hAnsi="Times New Roman"/>
          <w:i/>
          <w:iCs/>
          <w:noProof/>
          <w:sz w:val="24"/>
          <w:szCs w:val="24"/>
        </w:rPr>
        <w:t xml:space="preserve">. Krāpnieki ir izmantojuši patērētāju bailes, lai pārdotu nevajadzīgus, neefektīvus un potenciāli bīstamus produktus, pamatojoties uz nepatiesiem apgalvojumiem </w:t>
      </w:r>
      <w:r>
        <w:rPr>
          <w:rFonts w:ascii="Times New Roman" w:hAnsi="Times New Roman"/>
          <w:i/>
          <w:noProof/>
          <w:sz w:val="24"/>
          <w:szCs w:val="24"/>
        </w:rPr>
        <w:t>par ieguvumiem veselībai</w:t>
      </w:r>
      <w:r>
        <w:rPr>
          <w:rFonts w:ascii="Times New Roman" w:hAnsi="Times New Roman"/>
          <w:i/>
          <w:iCs/>
          <w:noProof/>
          <w:sz w:val="24"/>
          <w:szCs w:val="24"/>
        </w:rPr>
        <w:t>, piemēram, tirgojot preces ar nepamatotām aizsardzības īpašībām vai pārdodot maskas, kas neatbilst attiecīgajām prasībām. Komisija un patērētāju tiesību aizsardzības iestādes ir vērsušās pie platformu uzturētājiem, lai nodrošinātu, ka tiek dzēsti simtiem miljonu nelikumīgu piedāvājumu un reklāmu .</w:t>
      </w:r>
      <w:r>
        <w:rPr>
          <w:rFonts w:ascii="Times New Roman" w:hAnsi="Times New Roman"/>
          <w:i/>
          <w:noProof/>
          <w:sz w:val="24"/>
          <w:szCs w:val="24"/>
        </w:rPr>
        <w:t xml:space="preserve"> Patērētāju tiesības un drošība ir jāaizsargā arī turpmāk, jo īpaši vēl nepieredzētas nenoteiktības un spriedzes laikā.</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Covid-19 pandēmija pirmām kārtām ir </w:t>
      </w:r>
      <w:r>
        <w:rPr>
          <w:rFonts w:ascii="Times New Roman" w:hAnsi="Times New Roman"/>
          <w:b/>
          <w:bCs/>
          <w:noProof/>
          <w:sz w:val="24"/>
          <w:szCs w:val="24"/>
        </w:rPr>
        <w:t>veselības krīze</w:t>
      </w:r>
      <w:r>
        <w:rPr>
          <w:rFonts w:ascii="Times New Roman" w:hAnsi="Times New Roman"/>
          <w:noProof/>
          <w:sz w:val="24"/>
          <w:szCs w:val="24"/>
        </w:rPr>
        <w:t xml:space="preserve">. ES un tās dalībvalstis ir apņēmīgi rīkojušās, lai saskaņoti cīnītos pret pandēmiju. Ir svarīgi, lai ikvienam būtu </w:t>
      </w:r>
      <w:r>
        <w:rPr>
          <w:rFonts w:ascii="Times New Roman" w:hAnsi="Times New Roman"/>
          <w:b/>
          <w:noProof/>
          <w:sz w:val="24"/>
          <w:szCs w:val="24"/>
        </w:rPr>
        <w:t xml:space="preserve">vienlīdzīga </w:t>
      </w:r>
      <w:r>
        <w:rPr>
          <w:rFonts w:ascii="Times New Roman" w:hAnsi="Times New Roman"/>
          <w:noProof/>
          <w:sz w:val="24"/>
          <w:szCs w:val="24"/>
        </w:rPr>
        <w:t xml:space="preserve">un savlaicīga </w:t>
      </w:r>
      <w:r>
        <w:rPr>
          <w:rFonts w:ascii="Times New Roman" w:hAnsi="Times New Roman"/>
          <w:b/>
          <w:noProof/>
          <w:sz w:val="24"/>
          <w:szCs w:val="24"/>
        </w:rPr>
        <w:t>piekļuve cenu ziņā pieejamiem testiem, aizsardzības līdzekļiem, ārstēšanai un turpmākām vakcīnām pret Covid-19,</w:t>
      </w:r>
      <w:r>
        <w:rPr>
          <w:rFonts w:ascii="Times New Roman" w:hAnsi="Times New Roman" w:cs="Times New Roman"/>
          <w:noProof/>
          <w:sz w:val="24"/>
          <w:szCs w:val="24"/>
          <w:vertAlign w:val="superscript"/>
          <w:lang w:val="en-GB"/>
        </w:rPr>
        <w:footnoteReference w:id="11"/>
      </w:r>
      <w:r>
        <w:rPr>
          <w:rFonts w:ascii="Times New Roman" w:hAnsi="Times New Roman"/>
          <w:b/>
          <w:noProof/>
          <w:sz w:val="24"/>
          <w:szCs w:val="24"/>
        </w:rPr>
        <w:t xml:space="preserve"> </w:t>
      </w:r>
      <w:r>
        <w:rPr>
          <w:rFonts w:ascii="Times New Roman" w:hAnsi="Times New Roman"/>
          <w:noProof/>
          <w:sz w:val="24"/>
          <w:szCs w:val="24"/>
        </w:rPr>
        <w:t>kā arī visai nepieciešamajai profilaktiskajai un ārstnieciskajai veselības aprūpei</w:t>
      </w:r>
      <w:r>
        <w:rPr>
          <w:rFonts w:ascii="Times New Roman" w:hAnsi="Times New Roman" w:cs="Times New Roman"/>
          <w:noProof/>
          <w:sz w:val="24"/>
          <w:szCs w:val="24"/>
          <w:vertAlign w:val="superscript"/>
          <w:lang w:val="en-GB"/>
        </w:rPr>
        <w:footnoteReference w:id="12"/>
      </w:r>
      <w:r>
        <w:rPr>
          <w:rFonts w:ascii="Times New Roman" w:hAnsi="Times New Roman"/>
          <w:noProof/>
          <w:sz w:val="24"/>
          <w:szCs w:val="24"/>
        </w:rPr>
        <w:t xml:space="preserve">. </w:t>
      </w:r>
      <w:r>
        <w:rPr>
          <w:rFonts w:ascii="Times New Roman" w:hAnsi="Times New Roman"/>
          <w:noProof/>
          <w:sz w:val="24"/>
          <w:szCs w:val="24"/>
          <w:shd w:val="clear" w:color="auto" w:fill="FFFFFF"/>
        </w:rPr>
        <w:t>Komisija pavisam nesen ir noteikusi turpmākus konkrētus reaģēšanas pasākumus</w:t>
      </w:r>
      <w:r>
        <w:rPr>
          <w:rStyle w:val="FootnoteReference"/>
          <w:rFonts w:ascii="Times New Roman" w:hAnsi="Times New Roman" w:cs="Times New Roman"/>
          <w:noProof/>
          <w:sz w:val="24"/>
          <w:szCs w:val="24"/>
          <w:shd w:val="clear" w:color="auto" w:fill="FFFFFF"/>
          <w:lang w:val="en-GB"/>
        </w:rPr>
        <w:footnoteReference w:id="13"/>
      </w:r>
      <w:r>
        <w:rPr>
          <w:rFonts w:ascii="Times New Roman" w:hAnsi="Times New Roman"/>
          <w:noProof/>
          <w:sz w:val="24"/>
          <w:szCs w:val="24"/>
          <w:shd w:val="clear" w:color="auto" w:fill="FFFFFF"/>
        </w:rPr>
        <w:t>, lai palīdzētu visās dalībvalstīs ierobežot Covid-19 izplatīšanos, aizsargātu cilvēku dzīvības un palielinātu noturību visās dalībvalstīs</w:t>
      </w:r>
      <w:r>
        <w:rPr>
          <w:rFonts w:ascii="Times New Roman" w:hAnsi="Times New Roman"/>
          <w:noProof/>
          <w:sz w:val="24"/>
          <w:szCs w:val="24"/>
        </w:rPr>
        <w:t xml:space="preserve">. Produktiem un pakalpojumiem, kas ir būtiski krīzes apstākļos, ir jānodrošina patērētājam pilnīga aizsardzība attiecībā uz pamattiesībām, medicīnas ētiku, privātumu un datu aizsardzību saskaņā ar Vispārīgo datu aizsardzības regulu.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Tomēr </w:t>
      </w:r>
      <w:r>
        <w:rPr>
          <w:rFonts w:ascii="Times New Roman" w:hAnsi="Times New Roman"/>
          <w:b/>
          <w:bCs/>
          <w:noProof/>
          <w:sz w:val="24"/>
          <w:szCs w:val="24"/>
        </w:rPr>
        <w:t>dziļie sociālie un ekonomiskie traucējumi</w:t>
      </w:r>
      <w:r>
        <w:rPr>
          <w:rFonts w:ascii="Times New Roman" w:hAnsi="Times New Roman"/>
          <w:noProof/>
          <w:sz w:val="24"/>
          <w:szCs w:val="24"/>
        </w:rPr>
        <w:t xml:space="preserve">, kas pēc tam sekoja, ir liels izaicinājums sabiedrībai. ES ir reaģējusi, īstenojot vēl nebijušu apmēru pasākumus, lai stiprinātu atveseļošanos un palielinātu noturību, taču ekonomika joprojām ir nestabila.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Turklāt pandēmija acīmredzami maina cilvēku </w:t>
      </w:r>
      <w:r>
        <w:rPr>
          <w:rFonts w:ascii="Times New Roman" w:hAnsi="Times New Roman"/>
          <w:b/>
          <w:bCs/>
          <w:noProof/>
          <w:sz w:val="24"/>
          <w:szCs w:val="24"/>
        </w:rPr>
        <w:t>patēriņa un mobilitātes paradumus</w:t>
      </w:r>
      <w:r>
        <w:rPr>
          <w:rFonts w:ascii="Times New Roman" w:hAnsi="Times New Roman"/>
          <w:noProof/>
          <w:sz w:val="24"/>
          <w:szCs w:val="24"/>
        </w:rPr>
        <w:t>.</w:t>
      </w:r>
      <w:r>
        <w:rPr>
          <w:rFonts w:ascii="Times New Roman" w:hAnsi="Times New Roman"/>
          <w:iCs/>
          <w:noProof/>
          <w:sz w:val="24"/>
          <w:szCs w:val="24"/>
        </w:rPr>
        <w:t xml:space="preserve"> Ierobežošanas pasākumi uzsvēra digitālo tehnoloģiju izšķirošo nozīmi cilvēku dzīvē, ļaujot iegādāties būtiskas preces, kas citādi nebūtu pieejamas, un piekļūt pakalpojumiem, neraugoties uz ierobežojumiem.</w:t>
      </w:r>
      <w:r>
        <w:rPr>
          <w:rFonts w:ascii="Times New Roman" w:hAnsi="Times New Roman"/>
          <w:noProof/>
          <w:sz w:val="24"/>
          <w:szCs w:val="24"/>
        </w:rPr>
        <w:t xml:space="preserve"> Novērots, ka cilvēki biežāk iepērkas uz vietas, retāk veic ceļojumu iepriekšēju rezervāciju</w:t>
      </w:r>
      <w:r>
        <w:rPr>
          <w:rFonts w:ascii="Times New Roman" w:hAnsi="Times New Roman"/>
          <w:noProof/>
          <w:sz w:val="24"/>
          <w:szCs w:val="24"/>
          <w:shd w:val="clear" w:color="auto" w:fill="FFFFFF"/>
        </w:rPr>
        <w:t xml:space="preserve">, kā arī biežāk izmanto tiešsaistes pakalpojumus. Dažas izmaiņas var būt īslaicīgas, </w:t>
      </w:r>
      <w:r>
        <w:rPr>
          <w:rFonts w:ascii="Times New Roman" w:hAnsi="Times New Roman"/>
          <w:noProof/>
          <w:sz w:val="24"/>
          <w:szCs w:val="24"/>
        </w:rPr>
        <w:t xml:space="preserve">saistītas ar situāciju veselības jomā </w:t>
      </w:r>
      <w:r>
        <w:rPr>
          <w:rFonts w:ascii="Times New Roman" w:hAnsi="Times New Roman"/>
          <w:noProof/>
          <w:sz w:val="24"/>
          <w:szCs w:val="24"/>
          <w:shd w:val="clear" w:color="auto" w:fill="FFFFFF"/>
        </w:rPr>
        <w:t xml:space="preserve">(piemēram, sabiedriskā transporta retāka izmantošana), savukārt citas, jo īpaši saistībā ar digitālo pārveidi (piemēram, </w:t>
      </w:r>
      <w:r>
        <w:rPr>
          <w:rFonts w:ascii="Times New Roman" w:hAnsi="Times New Roman"/>
          <w:bCs/>
          <w:noProof/>
          <w:sz w:val="24"/>
          <w:szCs w:val="24"/>
          <w:shd w:val="clear" w:color="auto" w:fill="FFFFFF"/>
        </w:rPr>
        <w:t>arvien biežāka pārtikas iegāde tiešsaistē</w:t>
      </w:r>
      <w:r>
        <w:rPr>
          <w:rFonts w:ascii="Times New Roman" w:hAnsi="Times New Roman"/>
          <w:noProof/>
          <w:sz w:val="24"/>
          <w:szCs w:val="24"/>
          <w:shd w:val="clear" w:color="auto" w:fill="FFFFFF"/>
        </w:rPr>
        <w:t xml:space="preserve"> vai tiešsaistes straumēšanas pakalpojumu, tostarp kultūras un sporta pasākumu tiešsaistes pārraižu, plašāka pieejamība mājās) varētu kļūt strukturālākas</w:t>
      </w:r>
      <w:r>
        <w:rPr>
          <w:rStyle w:val="FootnoteReference"/>
          <w:rFonts w:ascii="Times New Roman" w:hAnsi="Times New Roman" w:cs="Times New Roman"/>
          <w:noProof/>
          <w:sz w:val="24"/>
          <w:szCs w:val="24"/>
          <w:shd w:val="clear" w:color="auto" w:fill="FFFFFF"/>
        </w:rPr>
        <w:footnoteReference w:id="14"/>
      </w:r>
      <w:r>
        <w:rPr>
          <w:rFonts w:ascii="Times New Roman" w:hAnsi="Times New Roman"/>
          <w:noProof/>
          <w:sz w:val="24"/>
          <w:szCs w:val="24"/>
          <w:shd w:val="clear" w:color="auto" w:fill="FFFFFF"/>
        </w:rPr>
        <w:t>.</w:t>
      </w:r>
      <w:r>
        <w:rPr>
          <w:rFonts w:ascii="Times New Roman" w:hAnsi="Times New Roman"/>
          <w:noProof/>
          <w:sz w:val="24"/>
          <w:szCs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Šī krīze ir ietekmējusi daudzas patērētāju dzīves jomas un ir uzsvērusi to, cik </w:t>
      </w:r>
      <w:r>
        <w:rPr>
          <w:rFonts w:ascii="Times New Roman" w:hAnsi="Times New Roman"/>
          <w:b/>
          <w:bCs/>
          <w:noProof/>
          <w:sz w:val="24"/>
          <w:szCs w:val="24"/>
        </w:rPr>
        <w:t xml:space="preserve">svarīgi ir nodrošināt augstu patērētāju tiesību aizsardzības līmeni </w:t>
      </w:r>
      <w:r>
        <w:rPr>
          <w:rFonts w:ascii="Times New Roman" w:hAnsi="Times New Roman"/>
          <w:noProof/>
          <w:sz w:val="24"/>
          <w:szCs w:val="24"/>
        </w:rPr>
        <w:t xml:space="preserve"> un ciešu sadarbību starp ES iestādēm. Vienlaikus tā ir atklājusi arī </w:t>
      </w:r>
      <w:r>
        <w:rPr>
          <w:rFonts w:ascii="Times New Roman" w:hAnsi="Times New Roman"/>
          <w:b/>
          <w:bCs/>
          <w:noProof/>
          <w:sz w:val="24"/>
          <w:szCs w:val="24"/>
        </w:rPr>
        <w:t>dažas nepilnības</w:t>
      </w:r>
      <w:r>
        <w:rPr>
          <w:rFonts w:ascii="Times New Roman" w:hAnsi="Times New Roman"/>
          <w:noProof/>
          <w:sz w:val="24"/>
          <w:szCs w:val="24"/>
        </w:rPr>
        <w:t xml:space="preserve"> ES patērētāju tiesību aizsardzības sistēmā. </w:t>
      </w:r>
    </w:p>
    <w:p>
      <w:pPr>
        <w:spacing w:after="240" w:line="240" w:lineRule="auto"/>
        <w:jc w:val="both"/>
        <w:rPr>
          <w:rFonts w:ascii="Times New Roman" w:hAnsi="Times New Roman" w:cs="Times New Roman"/>
          <w:i/>
          <w:iCs/>
          <w:noProof/>
          <w:sz w:val="24"/>
          <w:szCs w:val="24"/>
        </w:rPr>
      </w:pPr>
      <w:r>
        <w:rPr>
          <w:rFonts w:ascii="Times New Roman" w:hAnsi="Times New Roman"/>
          <w:noProof/>
          <w:sz w:val="24"/>
          <w:szCs w:val="24"/>
        </w:rPr>
        <w:t xml:space="preserve">ES patērētāji pamatoti sagaida, ka </w:t>
      </w:r>
      <w:r>
        <w:rPr>
          <w:rFonts w:ascii="Times New Roman" w:hAnsi="Times New Roman"/>
          <w:b/>
          <w:noProof/>
          <w:sz w:val="24"/>
          <w:szCs w:val="24"/>
        </w:rPr>
        <w:t>transporta uzņēmumi</w:t>
      </w:r>
      <w:r>
        <w:rPr>
          <w:rFonts w:ascii="Times New Roman" w:hAnsi="Times New Roman"/>
          <w:noProof/>
          <w:sz w:val="24"/>
          <w:szCs w:val="24"/>
        </w:rPr>
        <w:t xml:space="preserve"> </w:t>
      </w:r>
      <w:r>
        <w:rPr>
          <w:rFonts w:ascii="Times New Roman" w:hAnsi="Times New Roman"/>
          <w:b/>
          <w:bCs/>
          <w:noProof/>
          <w:sz w:val="24"/>
          <w:szCs w:val="24"/>
        </w:rPr>
        <w:t>un ceļojumu rīkotāji</w:t>
      </w:r>
      <w:r>
        <w:rPr>
          <w:rFonts w:ascii="Times New Roman" w:hAnsi="Times New Roman"/>
          <w:noProof/>
          <w:sz w:val="24"/>
          <w:szCs w:val="24"/>
        </w:rPr>
        <w:t xml:space="preserve"> ņems vērā viņu tiesības uz pilnīgu priekšapmaksas atmaksu.  Tomēr nozares likviditātes problēmu un pandēmijas laikā gandrīz pilnīgas pasažieru pārvadājumu apturēšanas dēļ patērētāji saskaras ar nopietnām problēmām</w:t>
      </w:r>
      <w:r>
        <w:rPr>
          <w:noProof/>
        </w:rPr>
        <w:t xml:space="preserve"> </w:t>
      </w:r>
      <w:r>
        <w:rPr>
          <w:rFonts w:ascii="Times New Roman" w:hAnsi="Times New Roman"/>
          <w:noProof/>
          <w:sz w:val="24"/>
          <w:szCs w:val="24"/>
        </w:rPr>
        <w:t>o tiesību īstenošanā. Reaģējot uz to, Komisija un dalībvalstis ir veikušas pasākumus, lai nodrošinātu patērētāju tiesību aizsardzību, veicinot arī praktiskus risinājumus, pilnībā ievērojot piemērojamos noteikumus</w:t>
      </w:r>
      <w:r>
        <w:rPr>
          <w:rFonts w:ascii="Times New Roman" w:hAnsi="Times New Roman" w:cs="Times New Roman"/>
          <w:noProof/>
          <w:sz w:val="24"/>
          <w:szCs w:val="24"/>
          <w:vertAlign w:val="superscript"/>
          <w:lang w:val="en-GB" w:eastAsia="en-GB"/>
        </w:rPr>
        <w:footnoteReference w:id="15"/>
      </w:r>
      <w:r>
        <w:rPr>
          <w:rFonts w:ascii="Times New Roman" w:hAnsi="Times New Roman"/>
          <w:noProof/>
          <w:sz w:val="24"/>
          <w:szCs w:val="24"/>
        </w:rPr>
        <w:t>. Pandēmijas un iepriekšējo notikumu pieredze, piemēram, Thomas Cook bankrots 2019. gadā, liek padziļināti analizēt, vai pašreizējais tiesiskais regulējums attiecībā uz kompleksiem ceļojumiem, tostarp attiecībā uz aizsardzību maksātnespējas gadījumā, joprojām pilnībā atbilst uzdevumam vienmēr nodrošināt stabilu un visaptverošu patērētāju tiesību aizsardzību, ņemot vērā arī notikumu attīstību pasažieru tiesību jomā</w:t>
      </w:r>
      <w:r>
        <w:rPr>
          <w:rFonts w:ascii="Times New Roman" w:hAnsi="Times New Roman" w:cs="Times New Roman"/>
          <w:noProof/>
          <w:sz w:val="24"/>
          <w:szCs w:val="24"/>
          <w:vertAlign w:val="superscript"/>
          <w:lang w:val="en-GB"/>
        </w:rPr>
        <w:footnoteReference w:id="16"/>
      </w:r>
      <w:r>
        <w:rPr>
          <w:rFonts w:ascii="Times New Roman" w:hAnsi="Times New Roman"/>
          <w:noProof/>
          <w:sz w:val="24"/>
          <w:szCs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Vēl viena problemātiska joma, kas pandēmijas laikā ir izvirzījusies priekšplānā, ir </w:t>
      </w:r>
      <w:r>
        <w:rPr>
          <w:rFonts w:ascii="Times New Roman" w:hAnsi="Times New Roman"/>
          <w:b/>
          <w:bCs/>
          <w:noProof/>
          <w:sz w:val="24"/>
          <w:szCs w:val="24"/>
        </w:rPr>
        <w:t xml:space="preserve">patērētāju krāpšanas shēmu pieaugums, maldinošas tirgvedības metodes un krāpšana tiešsaistes iepirkšanās jomā, </w:t>
      </w:r>
      <w:r>
        <w:rPr>
          <w:rFonts w:ascii="Times New Roman" w:hAnsi="Times New Roman"/>
          <w:bCs/>
          <w:noProof/>
          <w:sz w:val="24"/>
          <w:szCs w:val="24"/>
        </w:rPr>
        <w:t>par</w:t>
      </w:r>
      <w:r>
        <w:rPr>
          <w:rFonts w:ascii="Times New Roman" w:hAnsi="Times New Roman"/>
          <w:noProof/>
          <w:sz w:val="24"/>
          <w:szCs w:val="24"/>
        </w:rPr>
        <w:t xml:space="preserve"> kuras upuriem kļūst arvien lielāks patērētāju skaits</w:t>
      </w:r>
      <w:r>
        <w:rPr>
          <w:rFonts w:ascii="Times New Roman" w:hAnsi="Times New Roman" w:cs="Times New Roman"/>
          <w:noProof/>
          <w:sz w:val="24"/>
          <w:szCs w:val="24"/>
          <w:vertAlign w:val="superscript"/>
          <w:lang w:val="en-GB"/>
        </w:rPr>
        <w:footnoteReference w:id="17"/>
      </w:r>
      <w:r>
        <w:rPr>
          <w:rFonts w:ascii="Times New Roman" w:hAnsi="Times New Roman"/>
          <w:noProof/>
          <w:sz w:val="24"/>
          <w:szCs w:val="24"/>
        </w:rPr>
        <w:t>. Lai apkarotu šādu negodīgu tirdzniecības praksi, ir nepieciešama cieša sadarbība starp Komisiju un valstu tiesībaizsardzības iestādēm. Ņemot vērā to lielo nozīmi tiešsaistes tirdzniecības veicināšanā, Komisija arī pastiprināja kontaktus ar lielākajām tiešsaistes platformām, kas veica efektīvus pasākumus, lai novērstu attiecīgo nelikumīgo saturu un reaģētu uz to</w:t>
      </w:r>
      <w:r>
        <w:rPr>
          <w:rFonts w:ascii="Times New Roman" w:hAnsi="Times New Roman" w:cs="Times New Roman"/>
          <w:noProof/>
          <w:sz w:val="24"/>
          <w:szCs w:val="24"/>
          <w:vertAlign w:val="superscript"/>
          <w:lang w:val="en-GB"/>
        </w:rPr>
        <w:footnoteReference w:id="18"/>
      </w:r>
      <w:r>
        <w:rPr>
          <w:rFonts w:ascii="Times New Roman" w:hAnsi="Times New Roman"/>
          <w:noProof/>
          <w:sz w:val="24"/>
          <w:szCs w:val="24"/>
        </w:rPr>
        <w:t xml:space="preserve">. Lai uzlabotu noturību pret masveida kaitējumiem, kas apdraud sabiedrības intereses, kompetentajām iestādēm ir jāturpina sadarbība ar galvenajām ieinteresētajām personām, piemēram, platformām, uzņēmumu apvienībām, reklāmdevējiem un patērētāju organizācijām. Tajā pašā laikā ir cieši jāuzrauga krāpšanās tiešsaistē un vēl vairāk jāpastiprina sadarbība ar citiem attiecīgajiem tīkliem, tostarp tiesībaizsardzības iestādēm, domēnu reģistriem un Starptautisko patērētāju tiesību aizsardzības un izpildes tīklu (ICPEN).   </w:t>
      </w:r>
    </w:p>
    <w:p>
      <w:pPr>
        <w:spacing w:after="240" w:line="240" w:lineRule="auto"/>
        <w:jc w:val="both"/>
        <w:rPr>
          <w:rFonts w:ascii="Times New Roman" w:hAnsi="Times New Roman"/>
          <w:noProof/>
          <w:sz w:val="24"/>
          <w:szCs w:val="24"/>
        </w:rPr>
      </w:pPr>
      <w:r>
        <w:rPr>
          <w:rFonts w:ascii="Times New Roman" w:hAnsi="Times New Roman"/>
          <w:noProof/>
          <w:sz w:val="24"/>
          <w:szCs w:val="24"/>
        </w:rPr>
        <w:t xml:space="preserve">Mainīgie patēriņa modeļi rada jaunas problēmas. Tie izraisīja patērētāju </w:t>
      </w:r>
      <w:r>
        <w:rPr>
          <w:rFonts w:ascii="Times New Roman" w:hAnsi="Times New Roman"/>
          <w:b/>
          <w:noProof/>
          <w:sz w:val="24"/>
        </w:rPr>
        <w:t>vienreizlietojamā iepakojuma</w:t>
      </w:r>
      <w:r>
        <w:rPr>
          <w:rFonts w:ascii="Times New Roman" w:hAnsi="Times New Roman"/>
          <w:noProof/>
          <w:sz w:val="24"/>
          <w:szCs w:val="24"/>
        </w:rPr>
        <w:t xml:space="preserve"> un plastmasas individuālo aizsardzības līdzekļu </w:t>
      </w:r>
      <w:r>
        <w:rPr>
          <w:rFonts w:ascii="Times New Roman" w:hAnsi="Times New Roman"/>
          <w:b/>
          <w:noProof/>
          <w:sz w:val="24"/>
        </w:rPr>
        <w:t>atkritumu</w:t>
      </w:r>
      <w:r>
        <w:rPr>
          <w:rFonts w:ascii="Times New Roman" w:hAnsi="Times New Roman"/>
          <w:noProof/>
          <w:sz w:val="24"/>
          <w:szCs w:val="24"/>
        </w:rPr>
        <w:t xml:space="preserve"> pieaugumu. Šīs problēmas novēršanai Komisija 2020. gada aprīlī nekavējoties piedāvāja pirmo politisku risinājumu</w:t>
      </w:r>
      <w:r>
        <w:rPr>
          <w:rFonts w:ascii="Times New Roman" w:eastAsia="Times New Roman" w:hAnsi="Times New Roman" w:cs="Times New Roman"/>
          <w:noProof/>
          <w:sz w:val="24"/>
          <w:szCs w:val="24"/>
          <w:vertAlign w:val="superscript"/>
          <w:lang w:val="en-GB"/>
        </w:rPr>
        <w:footnoteReference w:id="19"/>
      </w:r>
      <w:r>
        <w:rPr>
          <w:rFonts w:ascii="Times New Roman" w:hAnsi="Times New Roman"/>
          <w:noProof/>
          <w:sz w:val="24"/>
          <w:szCs w:val="24"/>
        </w:rPr>
        <w:t>. Pandēmija arī atklāja risku, ka dažas patērētāju kategorijas nespēs tikt galā ar šiem izaicinājumiem, jo īpaši tie patērētāji, kuriem trūkst līdzekļu vai prasmju, lai aktīvi piedalītos strauji mainīgajā tirgū, jo īpaši tiešsaistē. Tādēļ vēl lielāka</w:t>
      </w:r>
      <w:r>
        <w:rPr>
          <w:rFonts w:ascii="Times New Roman" w:hAnsi="Times New Roman"/>
          <w:b/>
          <w:bCs/>
          <w:noProof/>
          <w:sz w:val="24"/>
          <w:szCs w:val="24"/>
        </w:rPr>
        <w:t xml:space="preserve"> uzmanība jāpievērš iniciatīvām, lai atbalstītu integrāciju, iekļaušanu, izpratnes veicināšanu un patērētāju izglītošanu</w:t>
      </w:r>
      <w:r>
        <w:rPr>
          <w:rFonts w:ascii="Times New Roman" w:hAnsi="Times New Roman"/>
          <w:noProof/>
          <w:sz w:val="24"/>
          <w:szCs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Būs svarīgi saprast, kā patērētāju uzvedība ilgtermiņā mainās pēc pandēmijas, un izstrādāt nepieciešamo </w:t>
      </w:r>
      <w:r>
        <w:rPr>
          <w:rFonts w:ascii="Times New Roman" w:hAnsi="Times New Roman"/>
          <w:b/>
          <w:bCs/>
          <w:noProof/>
          <w:sz w:val="24"/>
          <w:szCs w:val="24"/>
        </w:rPr>
        <w:t>prognozi</w:t>
      </w:r>
      <w:r>
        <w:rPr>
          <w:rFonts w:ascii="Times New Roman" w:hAnsi="Times New Roman" w:cs="Times New Roman"/>
          <w:noProof/>
          <w:sz w:val="24"/>
          <w:szCs w:val="24"/>
          <w:vertAlign w:val="superscript"/>
          <w:lang w:val="en-GB"/>
        </w:rPr>
        <w:footnoteReference w:id="20"/>
      </w:r>
      <w:r>
        <w:rPr>
          <w:rFonts w:ascii="Times New Roman" w:hAnsi="Times New Roman"/>
          <w:b/>
          <w:bCs/>
          <w:noProof/>
          <w:sz w:val="24"/>
          <w:szCs w:val="24"/>
        </w:rPr>
        <w:t>, lai to izmantotu turpmākā politiskā rīcībā</w:t>
      </w:r>
      <w:r>
        <w:rPr>
          <w:rFonts w:ascii="Times New Roman" w:hAnsi="Times New Roman"/>
          <w:bCs/>
          <w:noProof/>
          <w:sz w:val="24"/>
          <w:szCs w:val="24"/>
        </w:rPr>
        <w:t xml:space="preserve"> un ņemtu vērā datus un pierādījumus, kas iegūti pētījumos par patērētāju uzvedību, novērtējot ES noturību pret turpmākiem satricinājumiem</w:t>
      </w:r>
      <w:r>
        <w:rPr>
          <w:rFonts w:ascii="Times New Roman" w:hAnsi="Times New Roman"/>
          <w:noProof/>
          <w:sz w:val="24"/>
          <w:szCs w:val="24"/>
        </w:rPr>
        <w:t>.</w:t>
      </w:r>
    </w:p>
    <w:p>
      <w:pPr>
        <w:numPr>
          <w:ilvl w:val="3"/>
          <w:numId w:val="4"/>
        </w:numPr>
        <w:pBdr>
          <w:top w:val="single" w:sz="4" w:space="1" w:color="auto"/>
          <w:left w:val="single" w:sz="4" w:space="4" w:color="auto"/>
          <w:bottom w:val="single" w:sz="4" w:space="6" w:color="auto"/>
          <w:right w:val="single" w:sz="4" w:space="4" w:color="auto"/>
        </w:pBdr>
        <w:spacing w:after="240" w:line="240" w:lineRule="auto"/>
        <w:ind w:left="709" w:hanging="357"/>
        <w:jc w:val="both"/>
        <w:rPr>
          <w:rFonts w:ascii="Times New Roman" w:hAnsi="Times New Roman" w:cs="Times New Roman"/>
          <w:noProof/>
          <w:sz w:val="24"/>
          <w:szCs w:val="24"/>
        </w:rPr>
      </w:pPr>
      <w:r>
        <w:rPr>
          <w:rFonts w:ascii="Times New Roman" w:hAnsi="Times New Roman"/>
          <w:b/>
          <w:bCs/>
          <w:noProof/>
          <w:sz w:val="24"/>
          <w:szCs w:val="24"/>
        </w:rPr>
        <w:t xml:space="preserve">1. darbība. </w:t>
      </w:r>
      <w:r>
        <w:rPr>
          <w:rFonts w:ascii="Times New Roman" w:hAnsi="Times New Roman"/>
          <w:noProof/>
          <w:sz w:val="24"/>
          <w:szCs w:val="24"/>
        </w:rPr>
        <w:t>Komisija plāno līdz 2022. Gadam</w:t>
      </w:r>
      <w:r>
        <w:rPr>
          <w:rFonts w:ascii="Times New Roman" w:hAnsi="Times New Roman"/>
          <w:noProof/>
          <w:sz w:val="24"/>
        </w:rPr>
        <w:t xml:space="preserve"> analizēt, </w:t>
      </w:r>
      <w:r>
        <w:rPr>
          <w:rFonts w:ascii="Times New Roman" w:hAnsi="Times New Roman"/>
          <w:b/>
          <w:bCs/>
          <w:noProof/>
          <w:sz w:val="24"/>
          <w:szCs w:val="24"/>
        </w:rPr>
        <w:t>cik lielā mērā Direktīva par kompleksiem ceļojumiem joprojām ir atbilstīga</w:t>
      </w:r>
      <w:r>
        <w:rPr>
          <w:rFonts w:ascii="Times New Roman" w:hAnsi="Times New Roman"/>
          <w:noProof/>
          <w:sz w:val="24"/>
          <w:szCs w:val="24"/>
        </w:rPr>
        <w:t>, ņemot vērā nesenās krīzes un pamatojoties uz 2021. gada ziņojumu par tās piemērošanu.</w:t>
      </w:r>
    </w:p>
    <w:p>
      <w:pPr>
        <w:numPr>
          <w:ilvl w:val="3"/>
          <w:numId w:val="4"/>
        </w:numPr>
        <w:pBdr>
          <w:top w:val="single" w:sz="4" w:space="1" w:color="auto"/>
          <w:left w:val="single" w:sz="4" w:space="4" w:color="auto"/>
          <w:bottom w:val="single" w:sz="4" w:space="6" w:color="auto"/>
          <w:right w:val="single" w:sz="4" w:space="4" w:color="auto"/>
        </w:pBdr>
        <w:spacing w:after="240" w:line="240" w:lineRule="auto"/>
        <w:ind w:left="709" w:hanging="357"/>
        <w:jc w:val="both"/>
        <w:rPr>
          <w:rFonts w:ascii="Times New Roman" w:hAnsi="Times New Roman" w:cs="Times New Roman"/>
          <w:noProof/>
          <w:sz w:val="24"/>
          <w:szCs w:val="24"/>
        </w:rPr>
      </w:pPr>
      <w:r>
        <w:rPr>
          <w:rFonts w:ascii="Times New Roman" w:hAnsi="Times New Roman"/>
          <w:b/>
          <w:bCs/>
          <w:noProof/>
          <w:sz w:val="24"/>
          <w:szCs w:val="24"/>
        </w:rPr>
        <w:t>2. darbība.</w:t>
      </w:r>
      <w:r>
        <w:rPr>
          <w:rFonts w:ascii="Times New Roman" w:hAnsi="Times New Roman"/>
          <w:noProof/>
          <w:sz w:val="24"/>
          <w:szCs w:val="24"/>
        </w:rPr>
        <w:t xml:space="preserve"> Komisija plāno līdz 2022. gadam </w:t>
      </w:r>
      <w:r>
        <w:rPr>
          <w:rFonts w:ascii="Times New Roman" w:hAnsi="Times New Roman"/>
          <w:noProof/>
          <w:color w:val="000000"/>
          <w:sz w:val="24"/>
          <w:szCs w:val="24"/>
        </w:rPr>
        <w:t>iesaistīties prognozēšanā, lai izpētītu</w:t>
      </w:r>
      <w:r>
        <w:rPr>
          <w:rFonts w:ascii="Times New Roman" w:hAnsi="Times New Roman"/>
          <w:b/>
          <w:bCs/>
          <w:noProof/>
          <w:sz w:val="24"/>
          <w:szCs w:val="24"/>
        </w:rPr>
        <w:t xml:space="preserve"> Covid-19 ilgtermiņa ietekmi</w:t>
      </w:r>
      <w:r>
        <w:rPr>
          <w:rFonts w:ascii="Times New Roman" w:hAnsi="Times New Roman"/>
          <w:noProof/>
          <w:sz w:val="24"/>
          <w:szCs w:val="24"/>
        </w:rPr>
        <w:t xml:space="preserve"> uz iedzīvotāju patēriņa modeļiem ES, kas būs par pamatu turpmākajām politikas iniciatīvām.</w:t>
      </w:r>
    </w:p>
    <w:p>
      <w:pPr>
        <w:numPr>
          <w:ilvl w:val="3"/>
          <w:numId w:val="4"/>
        </w:numPr>
        <w:pBdr>
          <w:top w:val="single" w:sz="4" w:space="1" w:color="auto"/>
          <w:left w:val="single" w:sz="4" w:space="4" w:color="auto"/>
          <w:bottom w:val="single" w:sz="4" w:space="6" w:color="auto"/>
          <w:right w:val="single" w:sz="4" w:space="4" w:color="auto"/>
        </w:pBdr>
        <w:spacing w:after="240" w:line="240" w:lineRule="auto"/>
        <w:ind w:left="709" w:hanging="357"/>
        <w:jc w:val="both"/>
        <w:rPr>
          <w:rFonts w:ascii="Times New Roman" w:hAnsi="Times New Roman" w:cs="Times New Roman"/>
          <w:noProof/>
          <w:sz w:val="24"/>
          <w:szCs w:val="24"/>
        </w:rPr>
      </w:pPr>
      <w:r>
        <w:rPr>
          <w:rFonts w:ascii="Times New Roman" w:hAnsi="Times New Roman"/>
          <w:b/>
          <w:noProof/>
          <w:sz w:val="24"/>
          <w:szCs w:val="24"/>
        </w:rPr>
        <w:t>3. darbība.</w:t>
      </w:r>
      <w:r>
        <w:rPr>
          <w:rFonts w:ascii="Times New Roman" w:hAnsi="Times New Roman"/>
          <w:noProof/>
          <w:sz w:val="24"/>
          <w:szCs w:val="24"/>
        </w:rPr>
        <w:t xml:space="preserve"> Komisija atbalstīs un sekmēs sadarbību starp Sadarbības tīklu patērētāju tiesību aizsardzības jomā un citiem tīkliem un ieinteresētajām personām, lai novērstu </w:t>
      </w:r>
      <w:r>
        <w:rPr>
          <w:rFonts w:ascii="Times New Roman" w:hAnsi="Times New Roman"/>
          <w:b/>
          <w:bCs/>
          <w:noProof/>
          <w:sz w:val="24"/>
          <w:szCs w:val="24"/>
        </w:rPr>
        <w:t>patērētāju krāpšanas shēmas, negodīgu tirdzniecības praksi un krāpšanu</w:t>
      </w:r>
      <w:r>
        <w:rPr>
          <w:rFonts w:ascii="Times New Roman" w:hAnsi="Times New Roman" w:cs="Times New Roman"/>
          <w:noProof/>
          <w:sz w:val="24"/>
          <w:szCs w:val="24"/>
          <w:vertAlign w:val="superscript"/>
        </w:rPr>
        <w:footnoteReference w:id="21"/>
      </w:r>
      <w:r>
        <w:rPr>
          <w:rFonts w:ascii="Times New Roman" w:hAnsi="Times New Roman"/>
          <w:noProof/>
          <w:sz w:val="24"/>
          <w:szCs w:val="24"/>
        </w:rPr>
        <w:t>.</w:t>
      </w:r>
    </w:p>
    <w:p>
      <w:pPr>
        <w:keepNext/>
        <w:numPr>
          <w:ilvl w:val="0"/>
          <w:numId w:val="1"/>
        </w:numPr>
        <w:spacing w:after="240" w:line="240" w:lineRule="auto"/>
        <w:ind w:left="714" w:hanging="357"/>
        <w:jc w:val="both"/>
        <w:rPr>
          <w:rFonts w:ascii="Times New Roman Bold" w:hAnsi="Times New Roman Bold" w:cs="Times New Roman"/>
          <w:b/>
          <w:bCs/>
          <w:smallCaps/>
          <w:noProof/>
          <w:sz w:val="28"/>
          <w:szCs w:val="28"/>
        </w:rPr>
      </w:pPr>
      <w:r>
        <w:rPr>
          <w:rFonts w:ascii="Times New Roman Bold" w:hAnsi="Times New Roman Bold"/>
          <w:b/>
          <w:bCs/>
          <w:smallCaps/>
          <w:noProof/>
          <w:sz w:val="28"/>
          <w:szCs w:val="28"/>
        </w:rPr>
        <w:t xml:space="preserve">Galvenās prioritārās jomas </w:t>
      </w:r>
    </w:p>
    <w:p>
      <w:pPr>
        <w:keepNext/>
        <w:numPr>
          <w:ilvl w:val="1"/>
          <w:numId w:val="1"/>
        </w:numPr>
        <w:spacing w:after="240" w:line="240" w:lineRule="auto"/>
        <w:contextualSpacing/>
        <w:jc w:val="both"/>
        <w:rPr>
          <w:rFonts w:ascii="Times New Roman" w:hAnsi="Times New Roman" w:cs="Times New Roman"/>
          <w:b/>
          <w:bCs/>
          <w:noProof/>
          <w:sz w:val="24"/>
          <w:szCs w:val="24"/>
        </w:rPr>
      </w:pPr>
      <w:r>
        <w:rPr>
          <w:rFonts w:ascii="Times New Roman" w:hAnsi="Times New Roman"/>
          <w:b/>
          <w:bCs/>
          <w:noProof/>
          <w:sz w:val="24"/>
          <w:szCs w:val="24"/>
        </w:rPr>
        <w:t xml:space="preserve"> Zaļā pārkārtošanās </w:t>
      </w:r>
    </w:p>
    <w:p>
      <w:pPr>
        <w:keepNext/>
        <w:spacing w:after="240" w:line="240" w:lineRule="auto"/>
        <w:contextualSpacing/>
        <w:jc w:val="both"/>
        <w:rPr>
          <w:rFonts w:ascii="Times New Roman" w:hAnsi="Times New Roman" w:cs="Times New Roman"/>
          <w:b/>
          <w:bCs/>
          <w:noProof/>
          <w:sz w:val="24"/>
          <w:szCs w:val="24"/>
          <w:lang w:val="en-GB"/>
        </w:rPr>
      </w:pPr>
    </w:p>
    <w:p>
      <w:pPr>
        <w:pBdr>
          <w:top w:val="single" w:sz="4" w:space="1" w:color="auto"/>
          <w:left w:val="single" w:sz="4" w:space="4" w:color="auto"/>
          <w:bottom w:val="single" w:sz="4" w:space="6" w:color="auto"/>
          <w:right w:val="single" w:sz="4" w:space="4" w:color="auto"/>
        </w:pBdr>
        <w:spacing w:before="240" w:after="240" w:line="240" w:lineRule="auto"/>
        <w:jc w:val="both"/>
        <w:rPr>
          <w:rFonts w:ascii="Times New Roman" w:hAnsi="Times New Roman" w:cs="Times New Roman"/>
          <w:i/>
          <w:iCs/>
          <w:noProof/>
          <w:sz w:val="24"/>
          <w:szCs w:val="24"/>
        </w:rPr>
      </w:pPr>
      <w:r>
        <w:rPr>
          <w:rFonts w:ascii="Times New Roman" w:hAnsi="Times New Roman"/>
          <w:i/>
          <w:iCs/>
          <w:noProof/>
          <w:sz w:val="24"/>
          <w:szCs w:val="24"/>
        </w:rPr>
        <w:t>Piemērs: negatīva ietekme uz vidi un agrīna novecošanās</w:t>
      </w:r>
      <w:r>
        <w:rPr>
          <w:rStyle w:val="FootnoteReference"/>
          <w:rFonts w:ascii="Times New Roman" w:hAnsi="Times New Roman" w:cs="Times New Roman"/>
          <w:i/>
          <w:iCs/>
          <w:noProof/>
          <w:sz w:val="24"/>
          <w:szCs w:val="24"/>
          <w:lang w:val="en-GB"/>
        </w:rPr>
        <w:footnoteReference w:id="22"/>
      </w:r>
      <w:r>
        <w:rPr>
          <w:rFonts w:ascii="Times New Roman" w:hAnsi="Times New Roman"/>
          <w:i/>
          <w:iCs/>
          <w:noProof/>
          <w:sz w:val="24"/>
          <w:szCs w:val="24"/>
        </w:rPr>
        <w:t xml:space="preserve"> rada arvien lielākas bažas ES patērētājiem, kuri bieži sūdzas, ka iegādātās preces nekalpo ilgi un tiek ražotas apstākļos, kas kaitē videi; 85 % patērētāju vēlas, lai, lemjot par pirkumu, tiktu sniegta labāka informācija par preces ilgizturību. Pētījumi liecina, ka gadījumos, kad patērētāji saņem šādu informāciju, izturīgāko versiju pārdošanas apjoms var gandrīz trīskāršoties; patērētāji pat ir gatavi maksāt vairāk par precēm ar lielāku ilgizturību</w:t>
      </w:r>
      <w:r>
        <w:rPr>
          <w:rFonts w:ascii="Times New Roman" w:hAnsi="Times New Roman" w:cs="Times New Roman"/>
          <w:i/>
          <w:iCs/>
          <w:noProof/>
          <w:sz w:val="24"/>
          <w:szCs w:val="24"/>
          <w:vertAlign w:val="superscript"/>
          <w:lang w:val="en-GB"/>
        </w:rPr>
        <w:footnoteReference w:id="23"/>
      </w:r>
      <w:r>
        <w:rPr>
          <w:rFonts w:ascii="Times New Roman" w:hAnsi="Times New Roman"/>
          <w:i/>
          <w:iCs/>
          <w:noProof/>
          <w:sz w:val="24"/>
          <w:szCs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Patērētāji visā Eiropā izrāda arvien lielāku </w:t>
      </w:r>
      <w:r>
        <w:rPr>
          <w:rFonts w:ascii="Times New Roman" w:hAnsi="Times New Roman"/>
          <w:b/>
          <w:bCs/>
          <w:noProof/>
          <w:sz w:val="24"/>
          <w:szCs w:val="24"/>
        </w:rPr>
        <w:t>interesi par</w:t>
      </w:r>
      <w:r>
        <w:rPr>
          <w:rFonts w:ascii="Times New Roman" w:hAnsi="Times New Roman"/>
          <w:noProof/>
          <w:sz w:val="24"/>
          <w:szCs w:val="24"/>
        </w:rPr>
        <w:t xml:space="preserve"> </w:t>
      </w:r>
      <w:r>
        <w:rPr>
          <w:rFonts w:ascii="Times New Roman" w:hAnsi="Times New Roman"/>
          <w:b/>
          <w:bCs/>
          <w:noProof/>
          <w:sz w:val="24"/>
          <w:szCs w:val="24"/>
        </w:rPr>
        <w:t xml:space="preserve">personīgo ieguldījumu </w:t>
      </w:r>
      <w:r>
        <w:rPr>
          <w:rFonts w:ascii="Times New Roman" w:hAnsi="Times New Roman"/>
          <w:noProof/>
          <w:sz w:val="24"/>
          <w:szCs w:val="24"/>
        </w:rPr>
        <w:t>klimatneitralitātes panākšanā, dabas resursu un bioloģiskās daudzveidības saglabāšanā un ūdens, gaisa un augsnes piesārņojuma samazināšanā</w:t>
      </w:r>
      <w:r>
        <w:rPr>
          <w:rFonts w:ascii="Times New Roman" w:hAnsi="Times New Roman" w:cs="Times New Roman"/>
          <w:noProof/>
          <w:sz w:val="24"/>
          <w:szCs w:val="24"/>
          <w:vertAlign w:val="superscript"/>
          <w:lang w:val="en-GB"/>
        </w:rPr>
        <w:footnoteReference w:id="24"/>
      </w:r>
      <w:r>
        <w:rPr>
          <w:rFonts w:ascii="Times New Roman" w:hAnsi="Times New Roman"/>
          <w:noProof/>
          <w:sz w:val="24"/>
          <w:szCs w:val="24"/>
        </w:rPr>
        <w:t>. Uzdevums ir atraisīt šo potenciālu ar pasākumiem, kas veicina, atbalsta un dod iespēju ikvienam patērētājam neatkarīgi no viņa finansiālā stāvokļa aktīvi piedalīties zaļās pārkārtošanās procesā, neuzspiežot konkrētu dzīvesveidu un nepieļaujot sociālo diskrimināciju. Piekļuvei ilgtspējīgiem produktiem nevajadzētu būt atkarīgai no ienākumu līmeņa vai dzīvesvietas, bet gan ir jābūt pieejamai ikvienam.</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Eiropas zaļais kurss nosaka visaptverošu stratēģiju, lai ES pārveidotu par taisnīgu un pārtikušu sabiedrību ar klimatneitrālu, resursu ziņā efektīvu, tīru aprites ekonomiku, kurā ekonomikas izaugsme nav atkarīga no resursu izmantošanas un kurā tiek samazināta negatīvā ietekme uz dabas kapitālu un bioloģisko daudzveidību. Nepieciešamas būtiskas un straujas izmaiņas mūsu paradumos un uzvedībā</w:t>
      </w:r>
      <w:r>
        <w:rPr>
          <w:rFonts w:ascii="Times New Roman" w:hAnsi="Times New Roman"/>
          <w:b/>
          <w:bCs/>
          <w:noProof/>
          <w:sz w:val="24"/>
          <w:szCs w:val="24"/>
        </w:rPr>
        <w:t>, lai samazinātu mūsu vides pēdas nospiedumu</w:t>
      </w:r>
      <w:r>
        <w:rPr>
          <w:rFonts w:ascii="Times New Roman" w:hAnsi="Times New Roman"/>
          <w:noProof/>
          <w:sz w:val="24"/>
          <w:szCs w:val="24"/>
        </w:rPr>
        <w:t xml:space="preserve"> visās jomās — no mājokļiem un pārtikas līdz mobilitātei un atpūtai</w:t>
      </w:r>
      <w:r>
        <w:rPr>
          <w:rStyle w:val="FootnoteReference"/>
          <w:rFonts w:ascii="Times New Roman" w:hAnsi="Times New Roman" w:cs="Times New Roman"/>
          <w:noProof/>
          <w:sz w:val="24"/>
          <w:szCs w:val="24"/>
          <w:lang w:val="en-GB"/>
        </w:rPr>
        <w:footnoteReference w:id="25"/>
      </w:r>
      <w:r>
        <w:rPr>
          <w:rFonts w:ascii="Times New Roman" w:hAnsi="Times New Roman"/>
          <w:noProof/>
          <w:sz w:val="24"/>
          <w:szCs w:val="24"/>
        </w:rPr>
        <w:t xml:space="preserve">. </w:t>
      </w:r>
    </w:p>
    <w:p>
      <w:pPr>
        <w:spacing w:after="240" w:line="240" w:lineRule="auto"/>
        <w:jc w:val="both"/>
        <w:rPr>
          <w:rFonts w:ascii="Times New Roman" w:hAnsi="Times New Roman" w:cs="Times New Roman"/>
          <w:b/>
          <w:bCs/>
          <w:noProof/>
          <w:sz w:val="24"/>
          <w:szCs w:val="24"/>
        </w:rPr>
      </w:pPr>
      <w:r>
        <w:rPr>
          <w:rFonts w:ascii="Times New Roman" w:hAnsi="Times New Roman"/>
          <w:noProof/>
          <w:sz w:val="24"/>
          <w:szCs w:val="24"/>
        </w:rPr>
        <w:t xml:space="preserve">Jau tiek īstenotas </w:t>
      </w:r>
      <w:r>
        <w:rPr>
          <w:rFonts w:ascii="Times New Roman" w:hAnsi="Times New Roman"/>
          <w:b/>
          <w:bCs/>
          <w:noProof/>
          <w:sz w:val="24"/>
          <w:szCs w:val="24"/>
        </w:rPr>
        <w:t>vairākas iniciatīvas</w:t>
      </w:r>
      <w:r>
        <w:rPr>
          <w:rFonts w:ascii="Times New Roman" w:hAnsi="Times New Roman"/>
          <w:noProof/>
          <w:sz w:val="24"/>
          <w:szCs w:val="24"/>
        </w:rPr>
        <w:t xml:space="preserve">, lai </w:t>
      </w:r>
      <w:r>
        <w:rPr>
          <w:rFonts w:ascii="Times New Roman" w:hAnsi="Times New Roman"/>
          <w:b/>
          <w:bCs/>
          <w:noProof/>
          <w:sz w:val="24"/>
          <w:szCs w:val="24"/>
        </w:rPr>
        <w:t>nodrošinātu, ka ES patērētājiem pārdotie produkti</w:t>
      </w:r>
      <w:r>
        <w:rPr>
          <w:rFonts w:ascii="Times New Roman" w:hAnsi="Times New Roman"/>
          <w:noProof/>
          <w:sz w:val="24"/>
          <w:szCs w:val="24"/>
        </w:rPr>
        <w:t xml:space="preserve"> — gan preces, gan pakalpojumi — </w:t>
      </w:r>
      <w:r>
        <w:rPr>
          <w:rFonts w:ascii="Times New Roman" w:hAnsi="Times New Roman"/>
          <w:b/>
          <w:bCs/>
          <w:noProof/>
          <w:sz w:val="24"/>
          <w:szCs w:val="24"/>
        </w:rPr>
        <w:t xml:space="preserve">atbilstu iepriekšminētajiem mērķiem. </w:t>
      </w:r>
      <w:r>
        <w:rPr>
          <w:rFonts w:ascii="Times New Roman" w:hAnsi="Times New Roman"/>
          <w:bCs/>
          <w:noProof/>
          <w:sz w:val="24"/>
          <w:szCs w:val="24"/>
        </w:rPr>
        <w:t>Tās ir:</w:t>
      </w:r>
    </w:p>
    <w:p>
      <w:pPr>
        <w:pStyle w:val="ListParagraph"/>
        <w:numPr>
          <w:ilvl w:val="0"/>
          <w:numId w:val="7"/>
        </w:numPr>
        <w:spacing w:after="24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Stratēģija“No lauka līdz galdam”</w:t>
      </w:r>
      <w:r>
        <w:rPr>
          <w:rFonts w:ascii="Times New Roman" w:hAnsi="Times New Roman" w:cs="Times New Roman"/>
          <w:noProof/>
          <w:vertAlign w:val="superscript"/>
          <w:lang w:val="en-GB"/>
        </w:rPr>
        <w:footnoteReference w:id="26"/>
      </w:r>
      <w:r>
        <w:rPr>
          <w:rFonts w:ascii="Times New Roman" w:hAnsi="Times New Roman"/>
          <w:noProof/>
          <w:sz w:val="24"/>
          <w:szCs w:val="24"/>
        </w:rPr>
        <w:t xml:space="preserve"> un ES </w:t>
      </w:r>
      <w:r>
        <w:rPr>
          <w:rFonts w:ascii="Times New Roman" w:hAnsi="Times New Roman"/>
          <w:b/>
          <w:noProof/>
          <w:sz w:val="24"/>
          <w:szCs w:val="24"/>
        </w:rPr>
        <w:t>bioloģiskās daudzveidības</w:t>
      </w:r>
      <w:r>
        <w:rPr>
          <w:rFonts w:ascii="Times New Roman" w:hAnsi="Times New Roman"/>
          <w:noProof/>
          <w:sz w:val="24"/>
          <w:szCs w:val="24"/>
        </w:rPr>
        <w:t xml:space="preserve"> stratēģija</w:t>
      </w:r>
      <w:r>
        <w:rPr>
          <w:rFonts w:ascii="Times New Roman" w:hAnsi="Times New Roman" w:cs="Times New Roman"/>
          <w:noProof/>
          <w:vertAlign w:val="superscript"/>
          <w:lang w:val="en-GB"/>
        </w:rPr>
        <w:footnoteReference w:id="27"/>
      </w:r>
      <w:r>
        <w:rPr>
          <w:rFonts w:ascii="Times New Roman" w:hAnsi="Times New Roman"/>
          <w:noProof/>
          <w:sz w:val="24"/>
          <w:szCs w:val="24"/>
        </w:rPr>
        <w:t>,</w:t>
      </w:r>
      <w:r>
        <w:rPr>
          <w:rFonts w:ascii="Times New Roman" w:hAnsi="Times New Roman"/>
          <w:noProof/>
        </w:rPr>
        <w:t xml:space="preserve"> </w:t>
      </w:r>
      <w:r>
        <w:rPr>
          <w:rFonts w:ascii="Times New Roman" w:hAnsi="Times New Roman"/>
          <w:noProof/>
          <w:sz w:val="24"/>
          <w:szCs w:val="24"/>
        </w:rPr>
        <w:t>kurās paziņots par galvenajiem pasākumiem</w:t>
      </w:r>
      <w:r>
        <w:rPr>
          <w:rStyle w:val="FootnoteReference"/>
          <w:rFonts w:ascii="Times New Roman" w:hAnsi="Times New Roman" w:cs="Times New Roman"/>
          <w:noProof/>
          <w:sz w:val="24"/>
          <w:szCs w:val="24"/>
          <w:lang w:val="en-GB"/>
        </w:rPr>
        <w:footnoteReference w:id="28"/>
      </w:r>
      <w:r>
        <w:rPr>
          <w:rFonts w:ascii="Times New Roman" w:hAnsi="Times New Roman"/>
          <w:noProof/>
          <w:sz w:val="24"/>
          <w:szCs w:val="24"/>
        </w:rPr>
        <w:t xml:space="preserve"> un iniciatīvām, kuru mērķis ir samazināt ES pārtikas sistēmu ietekmi uz vidi un klimatu un nodrošināt iespēju patērētājiem izdarīt apzinātu, veselīgu un ilgtspējīgu pārtikas izvēli</w:t>
      </w:r>
      <w:r>
        <w:rPr>
          <w:rStyle w:val="FootnoteReference"/>
          <w:rFonts w:ascii="Times New Roman" w:hAnsi="Times New Roman" w:cs="Times New Roman"/>
          <w:noProof/>
          <w:sz w:val="24"/>
          <w:szCs w:val="24"/>
        </w:rPr>
        <w:footnoteReference w:id="29"/>
      </w:r>
      <w:r>
        <w:rPr>
          <w:rFonts w:ascii="Times New Roman" w:hAnsi="Times New Roman"/>
          <w:noProof/>
          <w:sz w:val="24"/>
          <w:szCs w:val="24"/>
        </w:rPr>
        <w:t xml:space="preserve">; </w:t>
      </w:r>
    </w:p>
    <w:p>
      <w:pPr>
        <w:pStyle w:val="ListParagraph"/>
        <w:numPr>
          <w:ilvl w:val="0"/>
          <w:numId w:val="7"/>
        </w:numPr>
        <w:spacing w:after="24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nesen publicētais “Ceļvedis 2021. gada </w:t>
      </w:r>
      <w:r>
        <w:rPr>
          <w:rFonts w:ascii="Times New Roman" w:hAnsi="Times New Roman"/>
          <w:b/>
          <w:noProof/>
          <w:sz w:val="24"/>
          <w:szCs w:val="24"/>
        </w:rPr>
        <w:t>rīcības plānam nulles piesārņojuma novēršanai”</w:t>
      </w:r>
      <w:r>
        <w:rPr>
          <w:rFonts w:ascii="Times New Roman" w:hAnsi="Times New Roman" w:cs="Times New Roman"/>
          <w:noProof/>
          <w:vertAlign w:val="superscript"/>
          <w:lang w:val="en-GB"/>
        </w:rPr>
        <w:footnoteReference w:id="30"/>
      </w:r>
      <w:r>
        <w:rPr>
          <w:rFonts w:ascii="Times New Roman" w:hAnsi="Times New Roman"/>
          <w:b/>
          <w:noProof/>
          <w:sz w:val="24"/>
          <w:szCs w:val="24"/>
        </w:rPr>
        <w:t>,</w:t>
      </w:r>
      <w:r>
        <w:rPr>
          <w:rFonts w:ascii="Times New Roman" w:hAnsi="Times New Roman"/>
          <w:noProof/>
          <w:sz w:val="24"/>
          <w:szCs w:val="24"/>
        </w:rPr>
        <w:t xml:space="preserve"> kurā norādīts, ka patēriņa preces ir svarīga rīcības joma, un pētīti veidi, kā stimulēt </w:t>
      </w:r>
      <w:r>
        <w:rPr>
          <w:rFonts w:ascii="Times New Roman" w:hAnsi="Times New Roman" w:cs="Times New Roman"/>
          <w:noProof/>
          <w:vertAlign w:val="superscript"/>
          <w:lang w:val="en-GB"/>
        </w:rPr>
        <w:footnoteReference w:id="31"/>
      </w:r>
      <w:r>
        <w:rPr>
          <w:rFonts w:ascii="Times New Roman" w:hAnsi="Times New Roman"/>
          <w:noProof/>
          <w:sz w:val="24"/>
          <w:szCs w:val="24"/>
        </w:rPr>
        <w:t xml:space="preserve">patērētājus izdarīt videi nekaitīgāku izvēli; </w:t>
      </w:r>
    </w:p>
    <w:p>
      <w:pPr>
        <w:pStyle w:val="ListParagraph"/>
        <w:numPr>
          <w:ilvl w:val="0"/>
          <w:numId w:val="7"/>
        </w:numPr>
        <w:spacing w:after="24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 </w:t>
      </w:r>
      <w:r>
        <w:rPr>
          <w:rFonts w:ascii="Times New Roman" w:hAnsi="Times New Roman"/>
          <w:b/>
          <w:noProof/>
          <w:sz w:val="24"/>
          <w:szCs w:val="24"/>
        </w:rPr>
        <w:t>Ilgtspēju sekmējoša ķimikāliju stratēģija</w:t>
      </w:r>
      <w:r>
        <w:rPr>
          <w:rFonts w:ascii="Times New Roman" w:hAnsi="Times New Roman" w:cs="Times New Roman"/>
          <w:noProof/>
          <w:vertAlign w:val="superscript"/>
          <w:lang w:val="en-GB"/>
        </w:rPr>
        <w:footnoteReference w:id="32"/>
      </w:r>
      <w:r>
        <w:rPr>
          <w:rFonts w:ascii="Times New Roman" w:hAnsi="Times New Roman"/>
          <w:noProof/>
          <w:sz w:val="24"/>
          <w:szCs w:val="24"/>
        </w:rPr>
        <w:t xml:space="preserve">, kurā arī paziņots par pasākumiem, lai palielinātu patērētājiem pieejamo informāciju par ķīmiskajām vielām, aizsargātu patērētājus no viskaitīgākajām vielām un popularizētu konceptuāli drošas un ilgtspējīgas ķimikālijas; </w:t>
      </w:r>
    </w:p>
    <w:p>
      <w:pPr>
        <w:pStyle w:val="ListParagraph"/>
        <w:numPr>
          <w:ilvl w:val="0"/>
          <w:numId w:val="7"/>
        </w:numPr>
        <w:spacing w:after="24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pamatojoties uz 2018. gada rīcības plānu</w:t>
      </w:r>
      <w:r>
        <w:rPr>
          <w:rFonts w:ascii="Times New Roman" w:hAnsi="Times New Roman" w:cs="Times New Roman"/>
          <w:noProof/>
          <w:vertAlign w:val="superscript"/>
        </w:rPr>
        <w:footnoteReference w:id="33"/>
      </w:r>
      <w:r>
        <w:rPr>
          <w:rFonts w:ascii="Times New Roman" w:hAnsi="Times New Roman"/>
          <w:noProof/>
          <w:sz w:val="24"/>
          <w:szCs w:val="24"/>
        </w:rPr>
        <w:t xml:space="preserve">, gaidāmās </w:t>
      </w:r>
      <w:r>
        <w:rPr>
          <w:rFonts w:ascii="Times New Roman" w:hAnsi="Times New Roman"/>
          <w:b/>
          <w:noProof/>
          <w:sz w:val="24"/>
          <w:szCs w:val="24"/>
        </w:rPr>
        <w:t>Atjauninātās ilgtspējīgas finansējuma stratēģijas</w:t>
      </w:r>
      <w:r>
        <w:rPr>
          <w:rFonts w:ascii="Times New Roman" w:hAnsi="Times New Roman"/>
          <w:noProof/>
          <w:sz w:val="24"/>
          <w:szCs w:val="24"/>
        </w:rPr>
        <w:t xml:space="preserve"> mērķis būs piedāvāt patērētājiem jaunas iespējas, lai pozitīvi ietekmētu ilgtspēju, nodrošinot viņiem ticamu, pilnīgu un uzticamu informāciju par finanšu produktiem, kuros viņi iegulda; </w:t>
      </w:r>
    </w:p>
    <w:p>
      <w:pPr>
        <w:pStyle w:val="ListParagraph"/>
        <w:numPr>
          <w:ilvl w:val="0"/>
          <w:numId w:val="7"/>
        </w:numPr>
        <w:spacing w:after="24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paziņojumā </w:t>
      </w:r>
      <w:r>
        <w:rPr>
          <w:rFonts w:ascii="Times New Roman" w:hAnsi="Times New Roman"/>
          <w:b/>
          <w:noProof/>
          <w:sz w:val="24"/>
          <w:szCs w:val="24"/>
        </w:rPr>
        <w:t>Renovācijas vilnis</w:t>
      </w:r>
      <w:r>
        <w:rPr>
          <w:rStyle w:val="FootnoteReference"/>
          <w:rFonts w:ascii="Times New Roman" w:hAnsi="Times New Roman" w:cs="Times New Roman"/>
          <w:noProof/>
          <w:sz w:val="24"/>
          <w:szCs w:val="24"/>
          <w:lang w:val="en-GB"/>
        </w:rPr>
        <w:footnoteReference w:id="34"/>
      </w:r>
      <w:r>
        <w:rPr>
          <w:rFonts w:ascii="Times New Roman" w:hAnsi="Times New Roman"/>
          <w:noProof/>
          <w:sz w:val="24"/>
          <w:szCs w:val="24"/>
        </w:rPr>
        <w:t xml:space="preserve"> ir izklāstīta stratēģija, kā padarīt patērētāju mājokļus piemērotus videi draudzīgākai un digitālai sabiedrībai, kā arī nodrošināt efektīvākus informācijas līdzekļus patērētājiem.</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Turklāt jaunajā Aprites ekonomikas rīcības plānā ir izklāstītas vairākas konkrētas iniciatīvas</w:t>
      </w:r>
      <w:r>
        <w:rPr>
          <w:rFonts w:ascii="Times New Roman" w:hAnsi="Times New Roman" w:cs="Times New Roman"/>
          <w:noProof/>
          <w:sz w:val="24"/>
          <w:szCs w:val="24"/>
          <w:vertAlign w:val="superscript"/>
          <w:lang w:val="en-GB"/>
        </w:rPr>
        <w:footnoteReference w:id="35"/>
      </w:r>
      <w:r>
        <w:rPr>
          <w:rFonts w:ascii="Times New Roman" w:hAnsi="Times New Roman"/>
          <w:noProof/>
          <w:sz w:val="24"/>
          <w:szCs w:val="24"/>
        </w:rPr>
        <w:t xml:space="preserve">, kuru mērķis ir </w:t>
      </w:r>
      <w:r>
        <w:rPr>
          <w:rFonts w:ascii="Times New Roman" w:hAnsi="Times New Roman"/>
          <w:b/>
          <w:noProof/>
          <w:sz w:val="24"/>
          <w:szCs w:val="24"/>
        </w:rPr>
        <w:t>cīnīties pret agrīnu novecošanos un veicināt produktu ilglaicīgumu,</w:t>
      </w:r>
      <w:r>
        <w:rPr>
          <w:rFonts w:ascii="Times New Roman" w:hAnsi="Times New Roman"/>
          <w:noProof/>
          <w:sz w:val="24"/>
          <w:szCs w:val="24"/>
        </w:rPr>
        <w:t>, pārstrādājamību, remontējamību un pieejamību</w:t>
      </w:r>
      <w:r>
        <w:rPr>
          <w:rStyle w:val="FootnoteReference"/>
          <w:rFonts w:ascii="Times New Roman" w:hAnsi="Times New Roman" w:cs="Times New Roman"/>
          <w:noProof/>
          <w:sz w:val="24"/>
          <w:szCs w:val="24"/>
          <w:lang w:val="en-GB"/>
        </w:rPr>
        <w:footnoteReference w:id="36"/>
      </w:r>
      <w:r>
        <w:rPr>
          <w:rFonts w:ascii="Times New Roman" w:hAnsi="Times New Roman"/>
          <w:noProof/>
          <w:sz w:val="24"/>
          <w:szCs w:val="24"/>
        </w:rPr>
        <w:t>, kā arī atbalstīt uzņēmumu rīcību. Proti, Ilgtspējīgu produktu iniciatīvas</w:t>
      </w:r>
      <w:r>
        <w:rPr>
          <w:rFonts w:ascii="Times New Roman" w:hAnsi="Times New Roman" w:cs="Times New Roman"/>
          <w:noProof/>
          <w:vertAlign w:val="superscript"/>
          <w:lang w:val="en-GB"/>
        </w:rPr>
        <w:footnoteReference w:id="37"/>
      </w:r>
      <w:r>
        <w:rPr>
          <w:rFonts w:ascii="Times New Roman" w:hAnsi="Times New Roman"/>
          <w:noProof/>
          <w:sz w:val="24"/>
          <w:szCs w:val="24"/>
        </w:rPr>
        <w:t xml:space="preserve"> mērķis būs padarīt ilgtspējīgus produktus par normu, nosakot ilgtspējīgu produktu principus un pārskatot Ekodizaina direktīvu</w:t>
      </w:r>
      <w:r>
        <w:rPr>
          <w:rFonts w:ascii="Times New Roman" w:hAnsi="Times New Roman" w:cs="Times New Roman"/>
          <w:noProof/>
          <w:vertAlign w:val="superscript"/>
          <w:lang w:val="en-GB"/>
        </w:rPr>
        <w:footnoteReference w:id="38"/>
      </w:r>
      <w:r>
        <w:rPr>
          <w:rFonts w:ascii="Times New Roman" w:hAnsi="Times New Roman"/>
          <w:noProof/>
          <w:sz w:val="24"/>
          <w:szCs w:val="24"/>
        </w:rPr>
        <w:t>, paplašinot tās darbības jomu ārpus ar enerģiju saistītiem produktiem un nodrošinot apritīgumu. Būs vajadzīgi papildu reglamentējoši un nereglamentējoši pasākumi, lai pievērstos konkrētām preču un pakalpojumu grupām, piemēram, IKT, elektronikai vai tekstilizstrādājumiem, un iepakojumam. Piemēram:</w:t>
      </w:r>
    </w:p>
    <w:p>
      <w:pPr>
        <w:pStyle w:val="ListParagraph"/>
        <w:numPr>
          <w:ilvl w:val="0"/>
          <w:numId w:val="8"/>
        </w:numPr>
        <w:spacing w:after="240" w:line="240" w:lineRule="auto"/>
        <w:ind w:left="714" w:hanging="357"/>
        <w:contextualSpacing w:val="0"/>
        <w:jc w:val="both"/>
        <w:rPr>
          <w:rFonts w:ascii="Times New Roman" w:hAnsi="Times New Roman" w:cs="Times New Roman"/>
          <w:noProof/>
          <w:sz w:val="24"/>
          <w:szCs w:val="24"/>
        </w:rPr>
      </w:pPr>
      <w:r>
        <w:rPr>
          <w:rFonts w:ascii="Times New Roman" w:hAnsi="Times New Roman"/>
          <w:noProof/>
          <w:sz w:val="24"/>
          <w:szCs w:val="24"/>
        </w:rPr>
        <w:t xml:space="preserve"> </w:t>
      </w:r>
      <w:r>
        <w:rPr>
          <w:rFonts w:ascii="Times New Roman" w:hAnsi="Times New Roman"/>
          <w:b/>
          <w:noProof/>
          <w:sz w:val="24"/>
          <w:szCs w:val="24"/>
        </w:rPr>
        <w:t>Aprites elektronikas iniciatīvas</w:t>
      </w:r>
      <w:r>
        <w:rPr>
          <w:rFonts w:ascii="Times New Roman" w:hAnsi="Times New Roman" w:cs="Times New Roman"/>
          <w:noProof/>
          <w:vertAlign w:val="superscript"/>
          <w:lang w:val="en-GB"/>
        </w:rPr>
        <w:footnoteReference w:id="39"/>
      </w:r>
      <w:r>
        <w:rPr>
          <w:rFonts w:ascii="Times New Roman" w:hAnsi="Times New Roman"/>
          <w:noProof/>
          <w:sz w:val="24"/>
          <w:szCs w:val="24"/>
        </w:rPr>
        <w:t>mērķis ir panākt, ka elektroniskās ierīces tiek izstrādātas, lai nodrošinātu to ilgizturību, apkopi, labošanu, demontēšanu, atkārtotu izmantošanu un pārstrādi, kā arī tiesības patērētājiem tās remontēt, tostarp atjaunināt programmatūru;</w:t>
      </w:r>
    </w:p>
    <w:p>
      <w:pPr>
        <w:pStyle w:val="ListParagraph"/>
        <w:numPr>
          <w:ilvl w:val="0"/>
          <w:numId w:val="8"/>
        </w:numPr>
        <w:spacing w:after="240" w:line="240" w:lineRule="auto"/>
        <w:ind w:left="714" w:hanging="357"/>
        <w:contextualSpacing w:val="0"/>
        <w:jc w:val="both"/>
        <w:rPr>
          <w:rFonts w:ascii="Times New Roman" w:hAnsi="Times New Roman"/>
          <w:noProof/>
          <w:sz w:val="24"/>
        </w:rPr>
      </w:pPr>
      <w:r>
        <w:rPr>
          <w:rFonts w:ascii="Times New Roman" w:hAnsi="Times New Roman"/>
          <w:noProof/>
          <w:sz w:val="24"/>
          <w:szCs w:val="24"/>
        </w:rPr>
        <w:t xml:space="preserve">iniciatīva par </w:t>
      </w:r>
      <w:r>
        <w:rPr>
          <w:rFonts w:ascii="Times New Roman" w:hAnsi="Times New Roman"/>
          <w:b/>
          <w:noProof/>
          <w:sz w:val="24"/>
          <w:szCs w:val="24"/>
        </w:rPr>
        <w:t>vienotu lādētāju</w:t>
      </w:r>
      <w:r>
        <w:rPr>
          <w:rFonts w:ascii="Times New Roman" w:hAnsi="Times New Roman"/>
          <w:noProof/>
          <w:sz w:val="24"/>
          <w:szCs w:val="24"/>
        </w:rPr>
        <w:t xml:space="preserve"> mobilajiem tālruņiem un citām pārnēsājamām ierīcēm</w:t>
      </w:r>
      <w:r>
        <w:rPr>
          <w:rFonts w:ascii="Times New Roman" w:hAnsi="Times New Roman" w:cs="Times New Roman"/>
          <w:noProof/>
          <w:vertAlign w:val="superscript"/>
          <w:lang w:val="en-GB"/>
        </w:rPr>
        <w:footnoteReference w:id="40"/>
      </w:r>
      <w:r>
        <w:rPr>
          <w:rFonts w:ascii="Times New Roman" w:hAnsi="Times New Roman"/>
          <w:noProof/>
          <w:sz w:val="24"/>
          <w:szCs w:val="24"/>
        </w:rPr>
        <w:t xml:space="preserve"> ir vērsta uz patērētāju ērtību palielināšanu un tādu materiālu izmantošanas un e-atkritumu samazināšanu, kas saistīti ar šīs konkrētās preces, ko ikdienā izmanto lielākā daļa patērētāju, ražošanu un likvidēšanu; </w:t>
      </w:r>
    </w:p>
    <w:p>
      <w:pPr>
        <w:pStyle w:val="ListParagraph"/>
        <w:numPr>
          <w:ilvl w:val="0"/>
          <w:numId w:val="8"/>
        </w:numPr>
        <w:spacing w:after="240" w:line="240" w:lineRule="auto"/>
        <w:ind w:left="714" w:hanging="357"/>
        <w:contextualSpacing w:val="0"/>
        <w:jc w:val="both"/>
        <w:rPr>
          <w:rFonts w:ascii="Times New Roman" w:hAnsi="Times New Roman" w:cs="Times New Roman"/>
          <w:noProof/>
        </w:rPr>
      </w:pPr>
      <w:r>
        <w:rPr>
          <w:rFonts w:ascii="Times New Roman" w:hAnsi="Times New Roman"/>
          <w:noProof/>
          <w:sz w:val="24"/>
          <w:szCs w:val="24"/>
        </w:rPr>
        <w:t xml:space="preserve">gaidāmās </w:t>
      </w:r>
      <w:r>
        <w:rPr>
          <w:rFonts w:ascii="Times New Roman" w:hAnsi="Times New Roman"/>
          <w:b/>
          <w:noProof/>
          <w:sz w:val="24"/>
          <w:szCs w:val="24"/>
        </w:rPr>
        <w:t>ES Tekstilpreču stratēģijas</w:t>
      </w:r>
      <w:r>
        <w:rPr>
          <w:rFonts w:ascii="Times New Roman" w:hAnsi="Times New Roman"/>
          <w:noProof/>
          <w:sz w:val="24"/>
          <w:szCs w:val="24"/>
        </w:rPr>
        <w:t xml:space="preserve"> mērķis ir nodrošināt patērētājiem iespēju izvēlēties ilgtspējīgus tekstilizstrādājumus un atvieglot piekļuvi to atkārtotas izmantošanas un labošanas pakalpojumiem;</w:t>
      </w:r>
    </w:p>
    <w:p>
      <w:pPr>
        <w:pStyle w:val="Default"/>
        <w:numPr>
          <w:ilvl w:val="0"/>
          <w:numId w:val="8"/>
        </w:numPr>
        <w:spacing w:after="240"/>
        <w:ind w:left="714" w:hanging="357"/>
        <w:jc w:val="both"/>
        <w:rPr>
          <w:rFonts w:ascii="Times New Roman" w:hAnsi="Times New Roman" w:cs="Times New Roman"/>
          <w:noProof/>
          <w:color w:val="auto"/>
        </w:rPr>
      </w:pPr>
      <w:r>
        <w:rPr>
          <w:rFonts w:ascii="Times New Roman" w:hAnsi="Times New Roman"/>
          <w:b/>
          <w:noProof/>
          <w:color w:val="auto"/>
        </w:rPr>
        <w:t>Iepakojuma un iepakojuma atkritumu direktīvas</w:t>
      </w:r>
      <w:r>
        <w:rPr>
          <w:rFonts w:ascii="Times New Roman" w:hAnsi="Times New Roman"/>
          <w:noProof/>
          <w:color w:val="auto"/>
        </w:rPr>
        <w:t xml:space="preserve"> pārskatīšanas mērķis ir nodrošināt visu iepakojumu atkārtotu izmantojamību un pārstrādājamību ekonomiski dzīvotspējīgā veidā un risināt pārmērīga iepakojuma problēmu.</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Šīs iniciatīvas veicinās labāku vērtības saglabāšanu, piešķirs prioritāti drošākiem un izturīgākiem produktiem un pēc iespējas ilgāk saglabās materiālus ekonomiskajā ciklā (atteikšanās, samazināšana, labošana, atkārtota izmantošana un pārstrāde)</w:t>
      </w:r>
      <w:r>
        <w:rPr>
          <w:rStyle w:val="FootnoteReference"/>
          <w:rFonts w:ascii="Times New Roman" w:hAnsi="Times New Roman" w:cs="Times New Roman"/>
          <w:noProof/>
          <w:sz w:val="24"/>
          <w:szCs w:val="24"/>
          <w:lang w:val="en-GB"/>
        </w:rPr>
        <w:footnoteReference w:id="41"/>
      </w:r>
      <w:r>
        <w:rPr>
          <w:rFonts w:ascii="Times New Roman" w:hAnsi="Times New Roman"/>
          <w:noProof/>
          <w:sz w:val="24"/>
          <w:szCs w:val="24"/>
        </w:rPr>
        <w:t xml:space="preserve">. </w:t>
      </w:r>
      <w:r>
        <w:rPr>
          <w:noProof/>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Lai varētu sociāli optimāli izmantot jaunas preces un pakalpojumus, kā arī jaunas pieejas patēriņam, patērētājiem ir vajadzīga </w:t>
      </w:r>
      <w:r>
        <w:rPr>
          <w:rFonts w:ascii="Times New Roman" w:hAnsi="Times New Roman"/>
          <w:b/>
          <w:bCs/>
          <w:noProof/>
          <w:sz w:val="24"/>
          <w:szCs w:val="24"/>
        </w:rPr>
        <w:t>labāka un uzticamāka informācija par preču un pakalpojumu ilgtspējības aspektiem, vienlaikus izvairoties no informācijas pārslodzes.</w:t>
      </w:r>
      <w:r>
        <w:rPr>
          <w:rFonts w:ascii="Times New Roman" w:hAnsi="Times New Roman"/>
          <w:noProof/>
          <w:sz w:val="24"/>
          <w:szCs w:val="24"/>
        </w:rPr>
        <w:t xml:space="preserve"> Sabiedriskās apspriešanas</w:t>
      </w:r>
      <w:r>
        <w:rPr>
          <w:rStyle w:val="FootnoteReference"/>
          <w:rFonts w:ascii="Times New Roman" w:hAnsi="Times New Roman" w:cs="Times New Roman"/>
          <w:noProof/>
          <w:sz w:val="24"/>
          <w:szCs w:val="24"/>
          <w:lang w:val="en-GB"/>
        </w:rPr>
        <w:footnoteReference w:id="42"/>
      </w:r>
      <w:r>
        <w:rPr>
          <w:rFonts w:ascii="Times New Roman" w:hAnsi="Times New Roman"/>
          <w:noProof/>
          <w:sz w:val="24"/>
          <w:szCs w:val="24"/>
        </w:rPr>
        <w:t xml:space="preserve"> respondenti norādīja uz šādas informācijas trūkumu un bažām par vides norāžu un produktu informācijas ticamību, kas ir būtiski šķēršļi ilgtspējīga patēriņa izvēles plašākai ieviešanai. Gaidāmā iniciatīva par patērētāju ietekmes palielināšanu virzībā uz zaļo pārkārtošanos ir paredzēta, lai risinātu jautājumu par patērētāju piekļuvi informācijai par produktu ekoloģiskajiem raksturlielumiem, tostarp to ilgizturību, remontējamību vai modernizējamību, kā arī par šādas informācijas ticamību un salīdzināmību. Tajā tiks izklāstītas vispārējas prasības, kas papildinās nozaru tiesību aktos ietvertos mērķorientētos noteikumus, piemēram, par konkrētiem produktiem vai produktu grupām.</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Labāka informācija par rezerves daļu un labošanas pakalpojumu pieejamību var vēl vairāk veicināt produktu ilgizturību.  </w:t>
      </w:r>
      <w:r>
        <w:rPr>
          <w:rFonts w:ascii="Times New Roman" w:hAnsi="Times New Roman"/>
          <w:noProof/>
          <w:sz w:val="24"/>
        </w:rPr>
        <w:t xml:space="preserve">Gaidāmajai iniciatīvai </w:t>
      </w:r>
      <w:r>
        <w:rPr>
          <w:rFonts w:ascii="Times New Roman" w:hAnsi="Times New Roman"/>
          <w:noProof/>
          <w:sz w:val="24"/>
          <w:szCs w:val="24"/>
        </w:rPr>
        <w:t>par</w:t>
      </w:r>
      <w:r>
        <w:rPr>
          <w:rFonts w:ascii="Times New Roman" w:hAnsi="Times New Roman"/>
          <w:noProof/>
          <w:sz w:val="24"/>
        </w:rPr>
        <w:t xml:space="preserve"> zaļās pārkārtošanās</w:t>
      </w:r>
      <w:r>
        <w:rPr>
          <w:rFonts w:ascii="Times New Roman" w:hAnsi="Times New Roman"/>
          <w:noProof/>
          <w:sz w:val="24"/>
          <w:szCs w:val="24"/>
        </w:rPr>
        <w:t xml:space="preserve"> sniegto iespēju nodrošināšanu patērētājiem, Ilgtspējīgu produktu politikas iniciatīvai un attiecīgā gadījumā nozaru iniciatīvām būs būtiska nozīme, lai patērētājiem nodrošinātu </w:t>
      </w:r>
      <w:r>
        <w:rPr>
          <w:rFonts w:ascii="Times New Roman" w:hAnsi="Times New Roman"/>
          <w:b/>
          <w:bCs/>
          <w:noProof/>
          <w:sz w:val="24"/>
          <w:szCs w:val="24"/>
        </w:rPr>
        <w:t>efektīvas tiesības uz labošanu</w:t>
      </w:r>
      <w:r>
        <w:rPr>
          <w:rFonts w:ascii="Times New Roman" w:hAnsi="Times New Roman"/>
          <w:noProof/>
          <w:sz w:val="24"/>
          <w:szCs w:val="24"/>
        </w:rPr>
        <w:t>. Turklāt Preču pārdošanas direktīvas</w:t>
      </w:r>
      <w:r>
        <w:rPr>
          <w:rFonts w:ascii="Times New Roman" w:hAnsi="Times New Roman" w:cs="Times New Roman"/>
          <w:noProof/>
          <w:sz w:val="24"/>
          <w:szCs w:val="24"/>
          <w:vertAlign w:val="superscript"/>
        </w:rPr>
        <w:footnoteReference w:id="43"/>
      </w:r>
      <w:r>
        <w:rPr>
          <w:rFonts w:ascii="Times New Roman" w:hAnsi="Times New Roman"/>
          <w:noProof/>
          <w:sz w:val="24"/>
          <w:szCs w:val="24"/>
        </w:rPr>
        <w:t xml:space="preserve"> turpmākā pārskatīšana sniegs iespēju izpētīt, ko vēl var darīt, lai veicinātu labošanu un sekmētu ilgtspējīgākus, apritīgus produktus. Tiks izskatītas dažādas iespējas attiecībā uz patērētāju tiesību aizsardzības līdzekļiem, piemēram, dodot priekšroku labošanai, nevis nomaiņai, pagarinot minimālo atbildības periodu attiecībā uz jaunām vai lietotām precēm un atsākot jaunu atbildības periodu pēc labošanas. </w:t>
      </w:r>
    </w:p>
    <w:p>
      <w:pPr>
        <w:spacing w:after="240" w:line="240" w:lineRule="auto"/>
        <w:jc w:val="both"/>
        <w:rPr>
          <w:rFonts w:ascii="Times New Roman" w:hAnsi="Times New Roman"/>
          <w:noProof/>
          <w:sz w:val="24"/>
        </w:rPr>
      </w:pPr>
      <w:r>
        <w:rPr>
          <w:rFonts w:ascii="Times New Roman" w:hAnsi="Times New Roman"/>
          <w:noProof/>
          <w:sz w:val="24"/>
          <w:szCs w:val="24"/>
        </w:rPr>
        <w:t xml:space="preserve">Šos centienus varētu papildināt, veicinot </w:t>
      </w:r>
      <w:r>
        <w:rPr>
          <w:rFonts w:ascii="Times New Roman" w:hAnsi="Times New Roman"/>
          <w:b/>
          <w:bCs/>
          <w:noProof/>
          <w:sz w:val="24"/>
          <w:szCs w:val="24"/>
        </w:rPr>
        <w:t>jaunas patēriņa koncepcijas</w:t>
      </w:r>
      <w:r>
        <w:rPr>
          <w:rFonts w:ascii="Times New Roman" w:hAnsi="Times New Roman"/>
          <w:noProof/>
          <w:sz w:val="24"/>
          <w:szCs w:val="24"/>
        </w:rPr>
        <w:t xml:space="preserve"> un rīcību, piemēram, dalīšanās ekonomiku, jaunus darījumdarbības modeļus, kas ļauj patērētājiem iegādāties pakalpojumu, nevis preci, vai atbalstu labošanai ar kopienas un sociālās ekonomikas organizāciju pasākumiem (piemēram, labošanas kafejnīcas) un lietotu preču tirgiem.</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Lai patērētājiem sniegtu labāku un uzticamāku informāciju, bieži vien ir </w:t>
      </w:r>
      <w:r>
        <w:rPr>
          <w:rFonts w:ascii="Times New Roman" w:hAnsi="Times New Roman"/>
          <w:b/>
          <w:noProof/>
          <w:sz w:val="24"/>
          <w:szCs w:val="24"/>
        </w:rPr>
        <w:t>nepieciešams uzlabot esošos instrumentus</w:t>
      </w:r>
      <w:r>
        <w:rPr>
          <w:rFonts w:ascii="Times New Roman" w:hAnsi="Times New Roman"/>
          <w:noProof/>
          <w:sz w:val="24"/>
          <w:szCs w:val="24"/>
        </w:rPr>
        <w:t>. Atjaunināti marķējumi, kas sniedz informāciju par produktiem un ierīcēm, uz kuriem attiecas Ekodizaina direktīva un energomarķējuma sistēma, palīdzēs uzlabot informētību un pārvaldīt prasības attiecībā uz produktu energoefektivitāti, tādējādi sekmējot ES energoefektivitātes mērķa sasniegšanu. Turklāt ES ekomarķējuma</w:t>
      </w:r>
      <w:r>
        <w:rPr>
          <w:rStyle w:val="FootnoteReference"/>
          <w:rFonts w:ascii="Times New Roman" w:hAnsi="Times New Roman" w:cs="Times New Roman"/>
          <w:noProof/>
          <w:sz w:val="24"/>
          <w:szCs w:val="24"/>
          <w:lang w:val="en-GB"/>
        </w:rPr>
        <w:footnoteReference w:id="44"/>
      </w:r>
      <w:r>
        <w:rPr>
          <w:rFonts w:ascii="Times New Roman" w:hAnsi="Times New Roman"/>
          <w:noProof/>
          <w:sz w:val="24"/>
          <w:szCs w:val="24"/>
        </w:rPr>
        <w:t xml:space="preserve"> ieviešanu un informētību varētu veicināt ar komunikācijas pasākumiem un partnerībām ar attiecīgajām ieinteresētajām personām, tostarp mazumtirgotājiem, kuru mērķis ir veicināt ES ekomarķējuma ieviešanu arī tiešsaistes tirdzniecības vietās. ES ekomarķējums tiktu attiecināts arī uz privātpersonām, vidējiem un mazajiem uzņēmumiem paredzētiem finanšu produktiem saskaņā ar 2018. gada ilgtspējīga finansējuma rīcības plānu</w:t>
      </w:r>
      <w:r>
        <w:rPr>
          <w:rStyle w:val="FootnoteReference"/>
          <w:rFonts w:ascii="Times New Roman" w:hAnsi="Times New Roman" w:cs="Times New Roman"/>
          <w:noProof/>
          <w:sz w:val="24"/>
          <w:szCs w:val="24"/>
        </w:rPr>
        <w:footnoteReference w:id="45"/>
      </w:r>
      <w:r>
        <w:rPr>
          <w:rFonts w:ascii="Times New Roman" w:hAnsi="Times New Roman"/>
          <w:noProof/>
          <w:sz w:val="24"/>
          <w:szCs w:val="24"/>
        </w:rPr>
        <w:t xml:space="preserve">, ļaujot patērētājiem paļauties uz uzticamu un ticamu marķējumu, ieguldot videi draudzīgos finanšu produktos.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Turklāt patērētājiem jābūt labāk aizsargātiem pret informāciju, kas nav patiesa vai sniegta neskaidrā vai maldinošā veidā, lai radītu neprecīzu iespaidu, ka produkts vai uzņēmums ir videi nekaitīgāks, dēvētu par “</w:t>
      </w:r>
      <w:r>
        <w:rPr>
          <w:rFonts w:ascii="Times New Roman" w:hAnsi="Times New Roman"/>
          <w:b/>
          <w:noProof/>
          <w:sz w:val="24"/>
          <w:szCs w:val="24"/>
        </w:rPr>
        <w:t>zaļmaldināšanu</w:t>
      </w:r>
      <w:r>
        <w:rPr>
          <w:rFonts w:ascii="Times New Roman" w:hAnsi="Times New Roman"/>
          <w:noProof/>
          <w:sz w:val="24"/>
          <w:szCs w:val="24"/>
        </w:rPr>
        <w:t>.” Šajā nolūkā tiek izstrādātas arī darbības ilgtspējīgu finanšu jomā</w:t>
      </w:r>
      <w:r>
        <w:rPr>
          <w:rStyle w:val="FootnoteReference"/>
          <w:rFonts w:ascii="Times New Roman" w:hAnsi="Times New Roman" w:cs="Times New Roman"/>
          <w:noProof/>
          <w:sz w:val="24"/>
          <w:szCs w:val="24"/>
          <w:lang w:val="en-GB"/>
        </w:rPr>
        <w:footnoteReference w:id="46"/>
      </w:r>
      <w:r>
        <w:rPr>
          <w:rFonts w:ascii="Times New Roman" w:hAnsi="Times New Roman"/>
          <w:noProof/>
          <w:sz w:val="24"/>
          <w:szCs w:val="24"/>
        </w:rPr>
        <w:t>. Turklāt Komisija ierosinās uzņēmumiem pamatot savus apgalvojumus</w:t>
      </w:r>
      <w:r>
        <w:rPr>
          <w:rFonts w:ascii="Times New Roman" w:hAnsi="Times New Roman"/>
          <w:noProof/>
          <w:sz w:val="24"/>
        </w:rPr>
        <w:t xml:space="preserve"> par ietekmi uz vidi, </w:t>
      </w:r>
      <w:r>
        <w:rPr>
          <w:rFonts w:ascii="Times New Roman" w:hAnsi="Times New Roman"/>
          <w:noProof/>
          <w:sz w:val="24"/>
          <w:szCs w:val="24"/>
        </w:rPr>
        <w:t>izmantojot produktu un organizācijas vides pēdas nospieduma metodes</w:t>
      </w:r>
      <w:r>
        <w:rPr>
          <w:rFonts w:ascii="Times New Roman" w:hAnsi="Times New Roman"/>
          <w:noProof/>
          <w:sz w:val="24"/>
        </w:rPr>
        <w:t>, lai sniegtu patērētājiem ticamu vides informāciju.</w:t>
      </w:r>
      <w:r>
        <w:rPr>
          <w:rFonts w:ascii="Times New Roman" w:hAnsi="Times New Roman"/>
          <w:noProof/>
          <w:sz w:val="24"/>
          <w:szCs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Komisija izskatīs veidus, kā izveidot ilgtspējīgu marķēšanas sistēmu, kas sinerģijā ar citām attiecīgām iniciatīvām aptvertu </w:t>
      </w:r>
      <w:r>
        <w:rPr>
          <w:rFonts w:ascii="Times New Roman" w:hAnsi="Times New Roman"/>
          <w:b/>
          <w:noProof/>
          <w:sz w:val="24"/>
          <w:szCs w:val="24"/>
        </w:rPr>
        <w:t>pārtikas produktu</w:t>
      </w:r>
      <w:r>
        <w:rPr>
          <w:rFonts w:ascii="Times New Roman" w:hAnsi="Times New Roman"/>
          <w:noProof/>
          <w:sz w:val="24"/>
          <w:szCs w:val="24"/>
        </w:rPr>
        <w:t xml:space="preserve"> uztura, klimata, vides un sociālos aspektus. </w:t>
      </w:r>
    </w:p>
    <w:p>
      <w:pPr>
        <w:spacing w:after="240" w:line="240" w:lineRule="auto"/>
        <w:jc w:val="both"/>
        <w:rPr>
          <w:rFonts w:ascii="Times New Roman" w:hAnsi="Times New Roman" w:cs="Times New Roman"/>
          <w:i/>
          <w:iCs/>
          <w:noProof/>
          <w:sz w:val="24"/>
          <w:szCs w:val="24"/>
        </w:rPr>
      </w:pPr>
      <w:r>
        <w:rPr>
          <w:rFonts w:ascii="Times New Roman" w:hAnsi="Times New Roman"/>
          <w:b/>
          <w:bCs/>
          <w:noProof/>
          <w:sz w:val="24"/>
          <w:szCs w:val="24"/>
        </w:rPr>
        <w:t>Lai sasniegtu jaunos mērķus klimata jomā līdz 2030. gadam un klimatneitralitāti līdz 2050. gadam, būtiska nozīme būs patērētāju izvēlētajiem energoresursiem</w:t>
      </w:r>
      <w:r>
        <w:rPr>
          <w:rFonts w:ascii="Times New Roman" w:hAnsi="Times New Roman"/>
          <w:noProof/>
          <w:sz w:val="24"/>
          <w:szCs w:val="24"/>
        </w:rPr>
        <w:t>. Jaunie noteikumi, kas stāsies spēkā 2021. gada 1. janvārī</w:t>
      </w:r>
      <w:r>
        <w:rPr>
          <w:rStyle w:val="FootnoteReference"/>
          <w:rFonts w:ascii="Times New Roman" w:hAnsi="Times New Roman" w:cs="Times New Roman"/>
          <w:noProof/>
          <w:sz w:val="24"/>
          <w:szCs w:val="24"/>
          <w:lang w:val="en-IE"/>
        </w:rPr>
        <w:footnoteReference w:id="47"/>
      </w:r>
      <w:r>
        <w:rPr>
          <w:rFonts w:ascii="Times New Roman" w:hAnsi="Times New Roman"/>
          <w:noProof/>
          <w:sz w:val="24"/>
          <w:szCs w:val="24"/>
        </w:rPr>
        <w:t xml:space="preserve">, uzlabos patērētāju informēšanu, izmantojot elektroenerģijas rēķinus un </w:t>
      </w:r>
      <w:r>
        <w:rPr>
          <w:rFonts w:ascii="Times New Roman" w:hAnsi="Times New Roman"/>
          <w:bCs/>
          <w:noProof/>
          <w:sz w:val="24"/>
          <w:szCs w:val="24"/>
        </w:rPr>
        <w:t>neatkarīgus cenu salīdzināšanas rīkus, kā arī atvieglojot ražotņu izvēli un enerģijas kopienu darbību.</w:t>
      </w:r>
      <w:r>
        <w:rPr>
          <w:rFonts w:ascii="Times New Roman" w:hAnsi="Times New Roman"/>
          <w:b/>
          <w:bCs/>
          <w:noProof/>
          <w:sz w:val="24"/>
          <w:szCs w:val="24"/>
        </w:rPr>
        <w:t xml:space="preserve"> </w:t>
      </w:r>
      <w:r>
        <w:rPr>
          <w:rFonts w:ascii="Times New Roman" w:hAnsi="Times New Roman"/>
          <w:noProof/>
          <w:sz w:val="24"/>
          <w:szCs w:val="24"/>
        </w:rPr>
        <w:t xml:space="preserve">Komisija ierosinās noteikumus par citiem enerģijas nesējiem, lai gāzes un centralizētās siltumapgādes patērētājiem piešķirtu līdzīgas tiesības. </w:t>
      </w:r>
    </w:p>
    <w:p>
      <w:pPr>
        <w:spacing w:after="240" w:line="240" w:lineRule="auto"/>
        <w:jc w:val="both"/>
        <w:rPr>
          <w:rFonts w:ascii="Times New Roman" w:hAnsi="Times New Roman" w:cs="Times New Roman"/>
          <w:noProof/>
          <w:sz w:val="24"/>
          <w:szCs w:val="24"/>
        </w:rPr>
      </w:pPr>
      <w:r>
        <w:rPr>
          <w:rFonts w:ascii="Times New Roman" w:hAnsi="Times New Roman"/>
          <w:b/>
          <w:bCs/>
          <w:noProof/>
          <w:sz w:val="24"/>
          <w:szCs w:val="24"/>
        </w:rPr>
        <w:t xml:space="preserve">Digitālā pārveide piedāvā arī citas jaunas iespējas sniegt mērķtiecīgāku un saprotamāku informāciju. </w:t>
      </w:r>
      <w:r>
        <w:rPr>
          <w:rFonts w:ascii="Times New Roman" w:hAnsi="Times New Roman"/>
          <w:noProof/>
          <w:sz w:val="24"/>
          <w:szCs w:val="24"/>
        </w:rPr>
        <w:t>Digitālo produktu pasu izstrāde saskaņā ar Ilgtspējīgu produktu iniciatīvu</w:t>
      </w:r>
      <w:r>
        <w:rPr>
          <w:rFonts w:ascii="Times New Roman" w:hAnsi="Times New Roman" w:cs="Times New Roman"/>
          <w:noProof/>
          <w:sz w:val="24"/>
          <w:szCs w:val="24"/>
          <w:vertAlign w:val="superscript"/>
          <w:lang w:val="en-GB"/>
        </w:rPr>
        <w:footnoteReference w:id="48"/>
      </w:r>
      <w:r>
        <w:rPr>
          <w:rFonts w:ascii="Times New Roman" w:hAnsi="Times New Roman"/>
          <w:noProof/>
          <w:sz w:val="24"/>
          <w:szCs w:val="24"/>
        </w:rPr>
        <w:t xml:space="preserve"> palīdzētu informēt patērētājus par produktu vides un aprites aspektiem. Plašākā nozīmē digitālā informācija varētu nodrošināt patērētājiem iespējas pārbaudīt informācijas ticamību, salīdzināt produktus, kā arī vispusīgāk informēt patērētājus par viņu ietekmi uz vidi, piemēram, par viņu radīto oglekļa pēdu. Ir jāīsteno pasākumi un jāizmanto resursi, tostarp no Tehniskā atbalsta instrumenta spēju veidošanai </w:t>
      </w:r>
      <w:r>
        <w:rPr>
          <w:rFonts w:ascii="Times New Roman" w:hAnsi="Times New Roman" w:cs="Times New Roman"/>
          <w:noProof/>
          <w:sz w:val="24"/>
          <w:szCs w:val="24"/>
          <w:vertAlign w:val="superscript"/>
          <w:lang w:val="en-GB"/>
        </w:rPr>
        <w:footnoteReference w:id="49"/>
      </w:r>
      <w:r>
        <w:rPr>
          <w:rFonts w:ascii="Times New Roman" w:hAnsi="Times New Roman"/>
          <w:noProof/>
          <w:sz w:val="24"/>
          <w:szCs w:val="24"/>
        </w:rPr>
        <w:t xml:space="preserve"> saskaņā ar nākamo DFS</w:t>
      </w:r>
      <w:r>
        <w:rPr>
          <w:rFonts w:ascii="Segoe UI" w:hAnsi="Segoe UI"/>
          <w:noProof/>
          <w:color w:val="444444"/>
          <w:sz w:val="21"/>
          <w:szCs w:val="21"/>
          <w:shd w:val="clear" w:color="auto" w:fill="FFFFFF"/>
        </w:rPr>
        <w:t xml:space="preserve">, </w:t>
      </w:r>
      <w:r>
        <w:rPr>
          <w:rFonts w:ascii="Times New Roman" w:hAnsi="Times New Roman"/>
          <w:noProof/>
          <w:sz w:val="24"/>
          <w:szCs w:val="24"/>
        </w:rPr>
        <w:t>lai atbalstītu iniciatīvas, ar kurām veicina un aktivizē tīra, klimatneitrāla un ilgtspējīga patēriņa kultūru un uzvedību. Tas ir jānodrošina pieejamā, novatoriskā un pievilcīgā veidā, piemēram, izmantojot viedtālruņu lietojumprogrammas un tīmekļa vietnes</w:t>
      </w:r>
      <w:r>
        <w:rPr>
          <w:rFonts w:ascii="Times New Roman" w:hAnsi="Times New Roman" w:cs="Times New Roman"/>
          <w:noProof/>
          <w:sz w:val="24"/>
          <w:szCs w:val="24"/>
          <w:vertAlign w:val="superscript"/>
          <w:lang w:val="en-GB"/>
        </w:rPr>
        <w:footnoteReference w:id="50"/>
      </w:r>
      <w:r>
        <w:rPr>
          <w:rFonts w:ascii="Times New Roman" w:hAnsi="Times New Roman"/>
          <w:noProof/>
          <w:sz w:val="24"/>
          <w:szCs w:val="24"/>
        </w:rPr>
        <w:t xml:space="preserve"> un esošos instrumentus</w:t>
      </w:r>
      <w:r>
        <w:rPr>
          <w:rFonts w:ascii="Times New Roman" w:hAnsi="Times New Roman" w:cs="Times New Roman"/>
          <w:noProof/>
          <w:sz w:val="24"/>
          <w:szCs w:val="24"/>
          <w:vertAlign w:val="superscript"/>
          <w:lang w:val="en-GB"/>
        </w:rPr>
        <w:footnoteReference w:id="51"/>
      </w:r>
      <w:r>
        <w:rPr>
          <w:rFonts w:ascii="Times New Roman" w:hAnsi="Times New Roman"/>
          <w:noProof/>
          <w:sz w:val="24"/>
          <w:szCs w:val="24"/>
        </w:rPr>
        <w:t>.</w:t>
      </w:r>
    </w:p>
    <w:p>
      <w:pPr>
        <w:spacing w:after="240" w:line="240" w:lineRule="auto"/>
        <w:jc w:val="both"/>
        <w:rPr>
          <w:rFonts w:ascii="Times New Roman" w:hAnsi="Times New Roman" w:cs="Times New Roman"/>
          <w:noProof/>
          <w:sz w:val="24"/>
          <w:szCs w:val="24"/>
        </w:rPr>
      </w:pPr>
      <w:r>
        <w:rPr>
          <w:rFonts w:ascii="Times New Roman" w:hAnsi="Times New Roman"/>
          <w:b/>
          <w:bCs/>
          <w:noProof/>
          <w:sz w:val="24"/>
          <w:szCs w:val="24"/>
        </w:rPr>
        <w:t>Uzņēmumiem</w:t>
      </w:r>
      <w:r>
        <w:rPr>
          <w:rFonts w:ascii="Times New Roman" w:hAnsi="Times New Roman"/>
          <w:noProof/>
          <w:sz w:val="24"/>
          <w:szCs w:val="24"/>
        </w:rPr>
        <w:t xml:space="preserve">, tostarp MVU, varētu būt svarīga nozīme videi nekaitīgāka patēriņa meklējumos. Ilgtspējas mērķu integrēšana korporatīvajās stratēģijās un lēmumu pieņemšanā varētu veicināt ilgtspējīgāku produktu pieejamību. Laba prakse, piemēram, ir ietekmes uz vidi un dabas kapitālu uzraudzība, atkarību un risku uzraudzība visā vērtības ķēdē, vides informācijas iekļaušana, sniedzot informāciju patērētājiem, kā arī patērētāju interešu ņemšana vērā uzņēmumu valdes lēmumos. Komisija plāno 2021. gadā nākt klajā ar likumdošanas iniciatīvu par </w:t>
      </w:r>
      <w:r>
        <w:rPr>
          <w:rFonts w:ascii="Times New Roman" w:hAnsi="Times New Roman"/>
          <w:b/>
          <w:bCs/>
          <w:noProof/>
          <w:sz w:val="24"/>
          <w:szCs w:val="24"/>
        </w:rPr>
        <w:t>ilgtspējīgu korporatīvo pārvaldību</w:t>
      </w:r>
      <w:r>
        <w:rPr>
          <w:rFonts w:ascii="Times New Roman" w:hAnsi="Times New Roman"/>
          <w:noProof/>
          <w:sz w:val="24"/>
          <w:szCs w:val="24"/>
        </w:rPr>
        <w:t>, lai ilgtermiņā veicinātu ilgtspējīgu un atbildīgu korporatīvo rīcību</w:t>
      </w:r>
      <w:r>
        <w:rPr>
          <w:rFonts w:ascii="Times New Roman" w:hAnsi="Times New Roman" w:cs="Times New Roman"/>
          <w:noProof/>
          <w:sz w:val="24"/>
          <w:szCs w:val="24"/>
          <w:vertAlign w:val="superscript"/>
          <w:lang w:val="en-GB"/>
        </w:rPr>
        <w:footnoteReference w:id="52"/>
      </w:r>
      <w:r>
        <w:rPr>
          <w:rFonts w:ascii="Times New Roman" w:hAnsi="Times New Roman"/>
          <w:noProof/>
          <w:sz w:val="24"/>
          <w:szCs w:val="24"/>
        </w:rPr>
        <w:t xml:space="preserve">. Brīvprātīgas korporatīvās rīcības veicināšanas nolūkā Komisija plāno sadarboties ar uzņēmējiem, lai sekmētu to </w:t>
      </w:r>
      <w:r>
        <w:rPr>
          <w:rFonts w:ascii="Times New Roman" w:hAnsi="Times New Roman"/>
          <w:b/>
          <w:bCs/>
          <w:noProof/>
          <w:sz w:val="24"/>
          <w:szCs w:val="24"/>
        </w:rPr>
        <w:t>brīvprātīgu apņemšanos</w:t>
      </w:r>
      <w:r>
        <w:rPr>
          <w:rFonts w:ascii="Times New Roman" w:hAnsi="Times New Roman"/>
          <w:noProof/>
          <w:sz w:val="28"/>
          <w:szCs w:val="28"/>
        </w:rPr>
        <w:t xml:space="preserve"> </w:t>
      </w:r>
      <w:r>
        <w:rPr>
          <w:rFonts w:ascii="Times New Roman" w:hAnsi="Times New Roman"/>
          <w:noProof/>
          <w:sz w:val="24"/>
          <w:szCs w:val="24"/>
        </w:rPr>
        <w:t>atklāt patērētājiem uzņēmuma vides pēdas nospiedumu, uzlabot savu ilgtspēju un samazināt ietekmi uz vidi. Šie solījumi tiks izstrādāti sinerģijā ar gaidāmo Eiropas Klimata paktu. To pamatā būs esošās metodoloģijas, instrumenti un piemērojamie tiesību akti</w:t>
      </w:r>
      <w:r>
        <w:rPr>
          <w:rFonts w:ascii="Times New Roman" w:hAnsi="Times New Roman" w:cs="Times New Roman"/>
          <w:noProof/>
          <w:sz w:val="24"/>
          <w:szCs w:val="24"/>
          <w:vertAlign w:val="superscript"/>
          <w:lang w:val="en-GB"/>
        </w:rPr>
        <w:footnoteReference w:id="53"/>
      </w:r>
      <w:r>
        <w:rPr>
          <w:rFonts w:ascii="Times New Roman" w:hAnsi="Times New Roman"/>
          <w:noProof/>
          <w:sz w:val="24"/>
          <w:szCs w:val="24"/>
        </w:rPr>
        <w:t xml:space="preserve">. Laika gaitā šie solījumi varētu piesaistīt dalībniekus no dažādām nozarēm, pamatojoties uz arvien daudzveidīgākām saistībām. </w:t>
      </w:r>
    </w:p>
    <w:p>
      <w:pPr>
        <w:numPr>
          <w:ilvl w:val="0"/>
          <w:numId w:val="12"/>
        </w:numPr>
        <w:pBdr>
          <w:top w:val="single" w:sz="4" w:space="1" w:color="auto"/>
          <w:left w:val="single" w:sz="4" w:space="4" w:color="auto"/>
          <w:bottom w:val="single" w:sz="4" w:space="6" w:color="auto"/>
          <w:right w:val="single" w:sz="4" w:space="4" w:color="auto"/>
        </w:pBdr>
        <w:spacing w:after="240" w:line="240" w:lineRule="auto"/>
        <w:contextualSpacing/>
        <w:jc w:val="both"/>
        <w:rPr>
          <w:rFonts w:ascii="Times New Roman" w:hAnsi="Times New Roman" w:cs="Times New Roman"/>
          <w:b/>
          <w:bCs/>
          <w:noProof/>
          <w:sz w:val="24"/>
          <w:szCs w:val="24"/>
        </w:rPr>
      </w:pPr>
      <w:r>
        <w:rPr>
          <w:rFonts w:ascii="Times New Roman" w:hAnsi="Times New Roman"/>
          <w:b/>
          <w:bCs/>
          <w:noProof/>
          <w:sz w:val="24"/>
          <w:szCs w:val="24"/>
        </w:rPr>
        <w:t xml:space="preserve">4. darbība. </w:t>
      </w:r>
      <w:r>
        <w:rPr>
          <w:rFonts w:ascii="Times New Roman" w:hAnsi="Times New Roman"/>
          <w:noProof/>
          <w:sz w:val="24"/>
          <w:szCs w:val="24"/>
        </w:rPr>
        <w:t xml:space="preserve">Komisija 2021. gadā plāno iesniegt tiesību akta </w:t>
      </w:r>
      <w:r>
        <w:rPr>
          <w:rFonts w:ascii="Times New Roman" w:hAnsi="Times New Roman"/>
          <w:b/>
          <w:bCs/>
          <w:noProof/>
          <w:sz w:val="24"/>
          <w:szCs w:val="24"/>
        </w:rPr>
        <w:t>priekšlikumu</w:t>
      </w:r>
      <w:r>
        <w:rPr>
          <w:rFonts w:ascii="Times New Roman" w:hAnsi="Times New Roman"/>
          <w:b/>
          <w:noProof/>
          <w:sz w:val="24"/>
          <w:szCs w:val="24"/>
        </w:rPr>
        <w:t xml:space="preserve">, ar kuru dod iespējas patērētājiem virzīties uz </w:t>
      </w:r>
      <w:r>
        <w:rPr>
          <w:rFonts w:ascii="Times New Roman" w:hAnsi="Times New Roman"/>
          <w:b/>
          <w:bCs/>
          <w:noProof/>
          <w:sz w:val="24"/>
          <w:szCs w:val="24"/>
        </w:rPr>
        <w:t>zaļo pārkārtošanos</w:t>
      </w:r>
      <w:r>
        <w:rPr>
          <w:rFonts w:ascii="Times New Roman" w:hAnsi="Times New Roman"/>
          <w:noProof/>
          <w:sz w:val="24"/>
          <w:szCs w:val="24"/>
        </w:rPr>
        <w:t xml:space="preserve">, sniedzot labāku informāciju par produktu ilgtspēju un labāku aizsardzību pret noteiktu praksi, piemēram, zaļmaldināšanu un agrīnu novecošanos, un tiesību akta </w:t>
      </w:r>
      <w:r>
        <w:rPr>
          <w:rFonts w:ascii="Times New Roman" w:hAnsi="Times New Roman"/>
          <w:b/>
          <w:noProof/>
          <w:sz w:val="24"/>
          <w:szCs w:val="24"/>
        </w:rPr>
        <w:t xml:space="preserve">priekšlikumu par </w:t>
      </w:r>
      <w:r>
        <w:rPr>
          <w:rFonts w:ascii="Times New Roman" w:hAnsi="Times New Roman"/>
          <w:b/>
          <w:bCs/>
          <w:noProof/>
          <w:sz w:val="24"/>
          <w:szCs w:val="24"/>
        </w:rPr>
        <w:t>“ekoloģisko” apgalvojumu</w:t>
      </w:r>
      <w:r>
        <w:rPr>
          <w:rFonts w:ascii="Times New Roman" w:hAnsi="Times New Roman"/>
          <w:noProof/>
          <w:sz w:val="24"/>
          <w:szCs w:val="24"/>
        </w:rPr>
        <w:t xml:space="preserve"> pamatošanu ar vides pēdas nospieduma metodēm.</w:t>
      </w:r>
    </w:p>
    <w:p>
      <w:pPr>
        <w:pBdr>
          <w:top w:val="single" w:sz="4" w:space="1" w:color="auto"/>
          <w:left w:val="single" w:sz="4" w:space="4" w:color="auto"/>
          <w:bottom w:val="single" w:sz="4" w:space="6" w:color="auto"/>
          <w:right w:val="single" w:sz="4" w:space="4" w:color="auto"/>
        </w:pBdr>
        <w:spacing w:after="240" w:line="240" w:lineRule="auto"/>
        <w:ind w:left="360"/>
        <w:contextualSpacing/>
        <w:jc w:val="both"/>
        <w:rPr>
          <w:rFonts w:ascii="Times New Roman" w:hAnsi="Times New Roman" w:cs="Times New Roman"/>
          <w:b/>
          <w:bCs/>
          <w:noProof/>
          <w:sz w:val="24"/>
          <w:szCs w:val="24"/>
        </w:rPr>
      </w:pPr>
    </w:p>
    <w:p>
      <w:pPr>
        <w:numPr>
          <w:ilvl w:val="0"/>
          <w:numId w:val="12"/>
        </w:numPr>
        <w:pBdr>
          <w:top w:val="single" w:sz="4" w:space="1" w:color="auto"/>
          <w:left w:val="single" w:sz="4" w:space="4" w:color="auto"/>
          <w:bottom w:val="single" w:sz="4" w:space="6" w:color="auto"/>
          <w:right w:val="single" w:sz="4" w:space="4" w:color="auto"/>
        </w:pBdr>
        <w:spacing w:after="240" w:line="240" w:lineRule="auto"/>
        <w:contextualSpacing/>
        <w:jc w:val="both"/>
        <w:rPr>
          <w:rFonts w:ascii="Times New Roman" w:hAnsi="Times New Roman" w:cs="Times New Roman"/>
          <w:b/>
          <w:bCs/>
          <w:noProof/>
          <w:sz w:val="24"/>
          <w:szCs w:val="24"/>
        </w:rPr>
      </w:pPr>
      <w:r>
        <w:rPr>
          <w:rFonts w:ascii="Times New Roman" w:hAnsi="Times New Roman"/>
          <w:b/>
          <w:bCs/>
          <w:noProof/>
          <w:sz w:val="24"/>
          <w:szCs w:val="24"/>
        </w:rPr>
        <w:t xml:space="preserve">5. darbība. Sākot ar šo gadu, </w:t>
      </w:r>
      <w:r>
        <w:rPr>
          <w:rFonts w:ascii="Times New Roman" w:hAnsi="Times New Roman"/>
          <w:noProof/>
          <w:sz w:val="24"/>
          <w:szCs w:val="24"/>
        </w:rPr>
        <w:t xml:space="preserve">Komisija plāno sadarboties ar uzņēmējiem, lai mudinātu viņus </w:t>
      </w:r>
      <w:r>
        <w:rPr>
          <w:rFonts w:ascii="Times New Roman" w:hAnsi="Times New Roman"/>
          <w:b/>
          <w:bCs/>
          <w:noProof/>
          <w:sz w:val="24"/>
          <w:szCs w:val="24"/>
        </w:rPr>
        <w:t>brīvprātīgi uzņemties</w:t>
      </w:r>
      <w:r>
        <w:rPr>
          <w:rFonts w:ascii="Times New Roman" w:hAnsi="Times New Roman"/>
          <w:noProof/>
          <w:sz w:val="24"/>
          <w:szCs w:val="24"/>
        </w:rPr>
        <w:t xml:space="preserve"> pasākumu īstenošanu ilgtspējīgas pārtikas atbalstam plašākā apmērā, nekā prasīts tiesību aktos</w:t>
      </w:r>
      <w:r>
        <w:rPr>
          <w:rFonts w:ascii="Calibri" w:hAnsi="Calibri"/>
          <w:b/>
          <w:bCs/>
          <w:noProof/>
        </w:rPr>
        <w:t>.</w:t>
      </w:r>
    </w:p>
    <w:p>
      <w:pPr>
        <w:pBdr>
          <w:top w:val="single" w:sz="4" w:space="1" w:color="auto"/>
          <w:left w:val="single" w:sz="4" w:space="4" w:color="auto"/>
          <w:bottom w:val="single" w:sz="4" w:space="6" w:color="auto"/>
          <w:right w:val="single" w:sz="4" w:space="4" w:color="auto"/>
        </w:pBdr>
        <w:spacing w:after="240" w:line="240" w:lineRule="auto"/>
        <w:ind w:left="360"/>
        <w:contextualSpacing/>
        <w:jc w:val="both"/>
        <w:rPr>
          <w:rFonts w:ascii="Times New Roman" w:hAnsi="Times New Roman" w:cs="Times New Roman"/>
          <w:b/>
          <w:bCs/>
          <w:noProof/>
          <w:sz w:val="24"/>
          <w:szCs w:val="24"/>
        </w:rPr>
      </w:pPr>
    </w:p>
    <w:p>
      <w:pPr>
        <w:numPr>
          <w:ilvl w:val="0"/>
          <w:numId w:val="12"/>
        </w:numPr>
        <w:pBdr>
          <w:top w:val="single" w:sz="4" w:space="1" w:color="auto"/>
          <w:left w:val="single" w:sz="4" w:space="4" w:color="auto"/>
          <w:bottom w:val="single" w:sz="4" w:space="6" w:color="auto"/>
          <w:right w:val="single" w:sz="4" w:space="4" w:color="auto"/>
        </w:pBdr>
        <w:spacing w:after="240" w:line="240" w:lineRule="auto"/>
        <w:contextualSpacing/>
        <w:jc w:val="both"/>
        <w:rPr>
          <w:rFonts w:ascii="Times New Roman" w:hAnsi="Times New Roman" w:cs="Times New Roman"/>
          <w:b/>
          <w:bCs/>
          <w:noProof/>
          <w:sz w:val="24"/>
          <w:szCs w:val="24"/>
        </w:rPr>
      </w:pPr>
      <w:r>
        <w:rPr>
          <w:rFonts w:ascii="Times New Roman" w:hAnsi="Times New Roman"/>
          <w:b/>
          <w:bCs/>
          <w:noProof/>
          <w:sz w:val="24"/>
          <w:szCs w:val="24"/>
        </w:rPr>
        <w:t xml:space="preserve">6. darbība. </w:t>
      </w:r>
      <w:r>
        <w:rPr>
          <w:rFonts w:ascii="Times New Roman" w:hAnsi="Times New Roman"/>
          <w:noProof/>
          <w:sz w:val="24"/>
          <w:szCs w:val="24"/>
        </w:rPr>
        <w:t>Sākot ar 2022. gadu, Komisija saistībā ar Preču pārdošanas direktīvas pārskatīšanu izvērtēs, kā</w:t>
      </w:r>
      <w:r>
        <w:rPr>
          <w:rFonts w:ascii="Times New Roman" w:hAnsi="Times New Roman"/>
          <w:b/>
          <w:bCs/>
          <w:noProof/>
          <w:sz w:val="24"/>
          <w:szCs w:val="24"/>
        </w:rPr>
        <w:t xml:space="preserve"> turpmāk sekmēt labošanu un veicināt ilgtspējīgākus “aprites” produktus</w:t>
      </w:r>
      <w:r>
        <w:rPr>
          <w:rFonts w:ascii="Times New Roman" w:hAnsi="Times New Roman"/>
          <w:noProof/>
          <w:sz w:val="24"/>
          <w:szCs w:val="24"/>
        </w:rPr>
        <w:t>.</w:t>
      </w:r>
      <w:r>
        <w:rPr>
          <w:rFonts w:ascii="Times New Roman" w:hAnsi="Times New Roman"/>
          <w:noProof/>
          <w:sz w:val="24"/>
          <w:szCs w:val="24"/>
          <w:u w:val="single"/>
        </w:rPr>
        <w:t xml:space="preserve"> </w:t>
      </w:r>
    </w:p>
    <w:p>
      <w:pPr>
        <w:spacing w:after="240" w:line="240" w:lineRule="auto"/>
        <w:ind w:left="720"/>
        <w:contextualSpacing/>
        <w:jc w:val="both"/>
        <w:rPr>
          <w:rFonts w:ascii="Times New Roman" w:hAnsi="Times New Roman" w:cs="Times New Roman"/>
          <w:b/>
          <w:bCs/>
          <w:noProof/>
          <w:sz w:val="24"/>
          <w:szCs w:val="24"/>
        </w:rPr>
      </w:pPr>
    </w:p>
    <w:p>
      <w:pPr>
        <w:spacing w:after="240" w:line="240" w:lineRule="auto"/>
        <w:ind w:left="720"/>
        <w:contextualSpacing/>
        <w:jc w:val="both"/>
        <w:rPr>
          <w:rFonts w:ascii="Times New Roman" w:hAnsi="Times New Roman" w:cs="Times New Roman"/>
          <w:b/>
          <w:bCs/>
          <w:noProof/>
          <w:sz w:val="24"/>
          <w:szCs w:val="24"/>
        </w:rPr>
      </w:pPr>
    </w:p>
    <w:p>
      <w:pPr>
        <w:numPr>
          <w:ilvl w:val="1"/>
          <w:numId w:val="1"/>
        </w:numPr>
        <w:spacing w:after="240" w:line="240" w:lineRule="auto"/>
        <w:jc w:val="both"/>
        <w:rPr>
          <w:rFonts w:ascii="Times New Roman" w:hAnsi="Times New Roman" w:cs="Times New Roman"/>
          <w:b/>
          <w:bCs/>
          <w:noProof/>
          <w:sz w:val="24"/>
          <w:szCs w:val="24"/>
        </w:rPr>
      </w:pPr>
      <w:r>
        <w:rPr>
          <w:rFonts w:ascii="Times New Roman" w:hAnsi="Times New Roman"/>
          <w:b/>
          <w:bCs/>
          <w:noProof/>
          <w:sz w:val="24"/>
          <w:szCs w:val="24"/>
        </w:rPr>
        <w:t xml:space="preserve"> Digitālā pārveide</w:t>
      </w:r>
    </w:p>
    <w:p>
      <w:pPr>
        <w:pBdr>
          <w:top w:val="single" w:sz="4" w:space="1" w:color="auto"/>
          <w:left w:val="single" w:sz="4" w:space="0" w:color="auto"/>
          <w:bottom w:val="single" w:sz="4" w:space="6" w:color="auto"/>
          <w:right w:val="single" w:sz="4" w:space="4" w:color="auto"/>
        </w:pBdr>
        <w:spacing w:after="240" w:line="240" w:lineRule="auto"/>
        <w:jc w:val="both"/>
        <w:rPr>
          <w:rFonts w:ascii="Times New Roman" w:hAnsi="Times New Roman" w:cs="Times New Roman"/>
          <w:i/>
          <w:iCs/>
          <w:noProof/>
          <w:sz w:val="24"/>
          <w:szCs w:val="24"/>
        </w:rPr>
      </w:pPr>
      <w:r>
        <w:rPr>
          <w:rFonts w:ascii="Times New Roman" w:hAnsi="Times New Roman"/>
          <w:i/>
          <w:iCs/>
          <w:noProof/>
          <w:sz w:val="24"/>
          <w:szCs w:val="24"/>
        </w:rPr>
        <w:t>Piemērs: laikposmā no 2014. līdz 2019. gadam to interneta lietotāju īpatsvars ES, kuri iegādājās vai pasūtīja preces vai pakalpojumus tiešsaistē privātai lietošanai, pieauga no 63 % līdz 71 %; piecās dalībvalstīs</w:t>
      </w:r>
      <w:r>
        <w:rPr>
          <w:rFonts w:ascii="Times New Roman" w:hAnsi="Times New Roman" w:cs="Times New Roman"/>
          <w:i/>
          <w:iCs/>
          <w:noProof/>
          <w:sz w:val="24"/>
          <w:szCs w:val="24"/>
          <w:vertAlign w:val="superscript"/>
          <w:lang w:val="en-GB"/>
        </w:rPr>
        <w:footnoteReference w:id="54"/>
      </w:r>
      <w:r>
        <w:rPr>
          <w:rFonts w:ascii="Times New Roman" w:hAnsi="Times New Roman"/>
          <w:i/>
          <w:iCs/>
          <w:noProof/>
          <w:sz w:val="24"/>
          <w:szCs w:val="24"/>
        </w:rPr>
        <w:t xml:space="preserve"> šie rādītāji pārsniedza 80 %</w:t>
      </w:r>
      <w:r>
        <w:rPr>
          <w:rFonts w:ascii="Times New Roman" w:hAnsi="Times New Roman" w:cs="Times New Roman"/>
          <w:i/>
          <w:iCs/>
          <w:noProof/>
          <w:sz w:val="24"/>
          <w:szCs w:val="24"/>
          <w:vertAlign w:val="superscript"/>
          <w:lang w:val="en-GB"/>
        </w:rPr>
        <w:footnoteReference w:id="55"/>
      </w:r>
      <w:r>
        <w:rPr>
          <w:rFonts w:ascii="Times New Roman" w:hAnsi="Times New Roman"/>
          <w:i/>
          <w:iCs/>
          <w:noProof/>
          <w:sz w:val="24"/>
          <w:szCs w:val="24"/>
        </w:rPr>
        <w:t xml:space="preserve">. Patērētāji tiešsaistē ir jāaizsargā tādā pašā līmenī kā bezsaistē. Noteikumi ir jāpielāgo satīklotajai videi, lai nodrošinātu, ka, piemēram, </w:t>
      </w:r>
      <w:r>
        <w:rPr>
          <w:rFonts w:ascii="Times New Roman" w:hAnsi="Times New Roman"/>
          <w:i/>
          <w:noProof/>
          <w:sz w:val="24"/>
          <w:szCs w:val="24"/>
        </w:rPr>
        <w:t>viedās mājas ierīces netiek pakļautas kiberdrošības riskiem</w:t>
      </w:r>
      <w:r>
        <w:rPr>
          <w:rFonts w:ascii="Times New Roman" w:hAnsi="Times New Roman"/>
          <w:i/>
          <w:iCs/>
          <w:noProof/>
          <w:sz w:val="24"/>
          <w:szCs w:val="24"/>
        </w:rPr>
        <w:t>, un tiešsaistes</w:t>
      </w:r>
      <w:r>
        <w:rPr>
          <w:rFonts w:ascii="Times New Roman" w:hAnsi="Times New Roman"/>
          <w:i/>
          <w:noProof/>
          <w:sz w:val="24"/>
          <w:szCs w:val="24"/>
        </w:rPr>
        <w:t xml:space="preserve"> kredīta piedāvājumi </w:t>
      </w:r>
      <w:r>
        <w:rPr>
          <w:rFonts w:ascii="Times New Roman" w:hAnsi="Times New Roman"/>
          <w:i/>
          <w:iCs/>
          <w:noProof/>
          <w:sz w:val="24"/>
          <w:szCs w:val="24"/>
        </w:rPr>
        <w:t>sniedz nepieciešamo informāciju, kas ir viegli salasāma un pieejama viedtālrunī.</w:t>
      </w:r>
    </w:p>
    <w:p>
      <w:pPr>
        <w:spacing w:after="240" w:line="240" w:lineRule="auto"/>
        <w:jc w:val="both"/>
        <w:rPr>
          <w:rFonts w:ascii="Times New Roman" w:hAnsi="Times New Roman" w:cs="Times New Roman"/>
          <w:noProof/>
          <w:sz w:val="24"/>
          <w:szCs w:val="24"/>
        </w:rPr>
      </w:pPr>
      <w:r>
        <w:rPr>
          <w:rFonts w:ascii="Times New Roman" w:hAnsi="Times New Roman"/>
          <w:b/>
          <w:bCs/>
          <w:noProof/>
          <w:sz w:val="24"/>
          <w:szCs w:val="24"/>
        </w:rPr>
        <w:t>Digitālā pārveide radikāli maina patērētāju dzīvi</w:t>
      </w:r>
      <w:r>
        <w:rPr>
          <w:rFonts w:ascii="Times New Roman" w:hAnsi="Times New Roman"/>
          <w:noProof/>
          <w:sz w:val="24"/>
          <w:szCs w:val="24"/>
        </w:rPr>
        <w:t>, sniedzot viņiem vairāk iespēju un plašāku preču un pakalpojumu izvēli. Tajā pašā laikā tā var apgrūtināt viņu iespējas izdarīt apzinātu izvēli un aizsargāt savas intereses. Tās pamatā esošo datu vākšanu un apstrādi apvienojumā ar patērētāju uzvedības un viņu kognitīvo aizspriedumu analīzi var izmantot, lai ietekmētu patērētājus tādu lēmumu pieņemšanā, kas var būt pretrunā ar viņu interesēm. Tas var ierobežot to spēkā esošo noteikumu efektivitāti, kuru mērķis ir aizsargāt patērētājus digitālajā vidē,</w:t>
      </w:r>
      <w:r>
        <w:rPr>
          <w:rFonts w:ascii="Times New Roman" w:hAnsi="Times New Roman"/>
          <w:i/>
          <w:noProof/>
          <w:sz w:val="24"/>
          <w:szCs w:val="24"/>
        </w:rPr>
        <w:t xml:space="preserve"> cita starpā</w:t>
      </w:r>
      <w:r>
        <w:rPr>
          <w:rFonts w:ascii="Times New Roman" w:hAnsi="Times New Roman"/>
          <w:noProof/>
          <w:sz w:val="24"/>
          <w:szCs w:val="24"/>
        </w:rPr>
        <w:t xml:space="preserve"> pret negodīgu komercpraksi. Direktīva par Savienības patērētāju tiesību aizsardzības noteikumu labāku izpildi un modernizēšanu</w:t>
      </w:r>
      <w:r>
        <w:rPr>
          <w:rFonts w:ascii="Times New Roman" w:hAnsi="Times New Roman" w:cs="Times New Roman"/>
          <w:noProof/>
          <w:sz w:val="24"/>
          <w:szCs w:val="24"/>
          <w:vertAlign w:val="superscript"/>
        </w:rPr>
        <w:footnoteReference w:id="56"/>
      </w:r>
      <w:r>
        <w:rPr>
          <w:rFonts w:ascii="Times New Roman" w:hAnsi="Times New Roman"/>
          <w:noProof/>
          <w:sz w:val="24"/>
          <w:szCs w:val="24"/>
        </w:rPr>
        <w:t xml:space="preserve"> un Digitālā satura direktīva</w:t>
      </w:r>
      <w:r>
        <w:rPr>
          <w:rFonts w:ascii="Times New Roman" w:hAnsi="Times New Roman" w:cs="Times New Roman"/>
          <w:noProof/>
          <w:sz w:val="24"/>
          <w:szCs w:val="24"/>
          <w:vertAlign w:val="superscript"/>
        </w:rPr>
        <w:footnoteReference w:id="57"/>
      </w:r>
      <w:r>
        <w:rPr>
          <w:rFonts w:ascii="Times New Roman" w:hAnsi="Times New Roman"/>
          <w:noProof/>
          <w:sz w:val="24"/>
          <w:szCs w:val="24"/>
        </w:rPr>
        <w:t xml:space="preserve"> ir svarīgi soļi, lai risinātu dažas no šīm problēmām. Ņemot vērā tehnoloģiju attīstības straujo tempu un tās ietekmi uz patērētāju pieredzi, ir vajadzīgi papildu pasākumi.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Nepieciešams novērst tādu komercpraksi, kura ignorē patērētāju tiesības izdarīt apzinātu izvēli, ļaunprātīgi izmanto patērētāju uzvedības tendences vai kropļo lēmumu pieņemšanas procesus. Šāda prakse ietver “slēpto” modeļu</w:t>
      </w:r>
      <w:r>
        <w:rPr>
          <w:rFonts w:ascii="Times New Roman" w:hAnsi="Times New Roman" w:cs="Times New Roman"/>
          <w:noProof/>
          <w:sz w:val="24"/>
          <w:szCs w:val="24"/>
          <w:vertAlign w:val="superscript"/>
          <w:lang w:val="en-GB"/>
        </w:rPr>
        <w:footnoteReference w:id="58"/>
      </w:r>
      <w:r>
        <w:rPr>
          <w:rFonts w:ascii="Times New Roman" w:hAnsi="Times New Roman"/>
          <w:noProof/>
          <w:sz w:val="24"/>
          <w:szCs w:val="24"/>
        </w:rPr>
        <w:t xml:space="preserve"> izmantošanu, dažas personalizācijas prakses, kas bieži vien balstās uz profilēšanu, slēptu reklāmu, krāpšanu, nepatiesu vai maldinošu informāciju un manipulācijām ar patērētāju atsauksmēm. Ir vajadzīgi papildu norādījumi par patērētāju tiesību instrumentu, piemēram, </w:t>
      </w:r>
      <w:r>
        <w:rPr>
          <w:rFonts w:ascii="Times New Roman" w:hAnsi="Times New Roman"/>
          <w:b/>
          <w:noProof/>
          <w:sz w:val="24"/>
          <w:szCs w:val="24"/>
        </w:rPr>
        <w:t>Negodīgas komercprakses direktīvas</w:t>
      </w:r>
      <w:r>
        <w:rPr>
          <w:rFonts w:ascii="Times New Roman" w:hAnsi="Times New Roman"/>
          <w:noProof/>
          <w:sz w:val="24"/>
          <w:szCs w:val="24"/>
        </w:rPr>
        <w:t xml:space="preserve"> un </w:t>
      </w:r>
      <w:r>
        <w:rPr>
          <w:rFonts w:ascii="Times New Roman" w:hAnsi="Times New Roman"/>
          <w:b/>
          <w:noProof/>
          <w:sz w:val="24"/>
          <w:szCs w:val="24"/>
        </w:rPr>
        <w:t>Patērētāju tiesību direktīvas</w:t>
      </w:r>
      <w:r>
        <w:rPr>
          <w:rFonts w:ascii="Times New Roman" w:hAnsi="Times New Roman"/>
          <w:noProof/>
          <w:sz w:val="24"/>
          <w:szCs w:val="24"/>
        </w:rPr>
        <w:t xml:space="preserve">, piemērojamību šai praksei. Visbeidzot ir jānodrošina patērētājiem </w:t>
      </w:r>
      <w:r>
        <w:rPr>
          <w:rFonts w:ascii="Times New Roman" w:hAnsi="Times New Roman"/>
          <w:b/>
          <w:bCs/>
          <w:noProof/>
          <w:sz w:val="24"/>
          <w:szCs w:val="24"/>
        </w:rPr>
        <w:t>līdzvērtīgs aizsardzības un taisnīguma līmenis, kāds tas ir bezsaistē</w:t>
      </w:r>
      <w:r>
        <w:rPr>
          <w:rFonts w:ascii="Times New Roman" w:hAnsi="Times New Roman"/>
          <w:noProof/>
          <w:sz w:val="24"/>
          <w:szCs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Lai nodrošinātu, ka patērētāji pilnībā gūst labumu no digitālās pārveides ievērojamā potenciāla, izstrādājot vai pielāgojot </w:t>
      </w:r>
      <w:r>
        <w:rPr>
          <w:rFonts w:ascii="Times New Roman" w:hAnsi="Times New Roman"/>
          <w:b/>
          <w:bCs/>
          <w:noProof/>
          <w:sz w:val="24"/>
          <w:szCs w:val="24"/>
        </w:rPr>
        <w:t>noteikumus, kas reglamentē digitālo ekonomiku</w:t>
      </w:r>
      <w:r>
        <w:rPr>
          <w:rFonts w:ascii="Times New Roman" w:hAnsi="Times New Roman"/>
          <w:noProof/>
          <w:sz w:val="24"/>
          <w:szCs w:val="24"/>
        </w:rPr>
        <w:t>, ir jāņem vērā patērētāju intereses. Mērķis ir divējāds: izveidot drošāku digitālo telpu patērētājiem, nodrošinot viņu tiesību aizsardzību, kā arī vienlīdzīgus konkurences apstākļus, kas ļauj ar inovācijas palīdzību sniegt jaunus un labākus pakalpojumus visiem Eiropas iedzīvotājiem.</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Pirmkārt, Komisijas gaidāmā priekšlikuma par jaunu </w:t>
      </w:r>
      <w:r>
        <w:rPr>
          <w:rFonts w:ascii="Times New Roman" w:hAnsi="Times New Roman"/>
          <w:b/>
          <w:bCs/>
          <w:noProof/>
          <w:sz w:val="24"/>
          <w:szCs w:val="24"/>
        </w:rPr>
        <w:t>digitālo pakalpojumu tiesību aktu (DPA)</w:t>
      </w:r>
      <w:r>
        <w:rPr>
          <w:rFonts w:ascii="Times New Roman" w:hAnsi="Times New Roman"/>
          <w:noProof/>
          <w:sz w:val="24"/>
          <w:szCs w:val="24"/>
        </w:rPr>
        <w:t xml:space="preserve"> mērķis būs noteikt jaunus un paplašinātus pienākumus un pastiprināt tiešsaistes starpnieku un platformu atbildību. DPA nodrošinās, ka patērētāji bezsaistē ir efektīvi aizsargāti pret nelikumīgiem produktiem, saturu un darbībām tiešsaistes platformās.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Otrkārt, lai risinātu problēmas, kas rodas digitālajos tirgos, kuros ir vērojamas tirgus nepilnības, piemēram, noteiktu digitālo platformu “vārtziņa” funkcija, Komisija plāno iesniegt arī </w:t>
      </w:r>
      <w:r>
        <w:rPr>
          <w:rFonts w:ascii="Times New Roman" w:hAnsi="Times New Roman"/>
          <w:b/>
          <w:noProof/>
          <w:sz w:val="24"/>
          <w:szCs w:val="24"/>
        </w:rPr>
        <w:t>Digitālā tirgus tiesību aktu</w:t>
      </w:r>
      <w:r>
        <w:rPr>
          <w:rFonts w:ascii="Times New Roman" w:hAnsi="Times New Roman"/>
          <w:noProof/>
          <w:sz w:val="24"/>
          <w:szCs w:val="24"/>
        </w:rPr>
        <w:t xml:space="preserve">. Tas apvienotu tādu digitālo platformu </w:t>
      </w:r>
      <w:r>
        <w:rPr>
          <w:rFonts w:ascii="Times New Roman" w:hAnsi="Times New Roman"/>
          <w:i/>
          <w:noProof/>
          <w:sz w:val="24"/>
          <w:szCs w:val="24"/>
        </w:rPr>
        <w:t>ex ante</w:t>
      </w:r>
      <w:r>
        <w:rPr>
          <w:rFonts w:ascii="Times New Roman" w:hAnsi="Times New Roman"/>
          <w:noProof/>
          <w:sz w:val="24"/>
          <w:szCs w:val="24"/>
        </w:rPr>
        <w:t xml:space="preserve"> regulējumu, kurām ir “vārtziņu” iezīmes, ar dinamisku tirgus izpētes sistēmu, lai pārbaudītu digitālos tirgus, kuros ir vērojamas tirgus nepilnības. Patērētāji gūs labumu no taisnīgākiem un konkurētspējīgākiem digitālajiem tirgiem, kā arī būs ieguvēji, pateicoties zemākām cenām, labākiem un jauniem pakalpojumiem un lielākai izvēlei.</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Lai gan </w:t>
      </w:r>
      <w:r>
        <w:rPr>
          <w:rFonts w:ascii="Times New Roman" w:hAnsi="Times New Roman"/>
          <w:b/>
          <w:bCs/>
          <w:noProof/>
          <w:sz w:val="24"/>
          <w:szCs w:val="24"/>
        </w:rPr>
        <w:t>mākslīgais intelekts (MI)</w:t>
      </w:r>
      <w:r>
        <w:rPr>
          <w:rFonts w:ascii="Times New Roman" w:hAnsi="Times New Roman"/>
          <w:noProof/>
          <w:sz w:val="24"/>
          <w:szCs w:val="24"/>
        </w:rPr>
        <w:t xml:space="preserve"> var būt ļoti noderīgs, daži MI lietojumi varētu pārkāpt patērētāju tiesības un radīt kaitējumu patērētājiem</w:t>
      </w:r>
      <w:r>
        <w:rPr>
          <w:rFonts w:ascii="Times New Roman" w:hAnsi="Times New Roman" w:cs="Times New Roman"/>
          <w:noProof/>
          <w:sz w:val="24"/>
          <w:szCs w:val="24"/>
          <w:vertAlign w:val="superscript"/>
          <w:lang w:val="en-GB"/>
        </w:rPr>
        <w:footnoteReference w:id="59"/>
      </w:r>
      <w:r>
        <w:rPr>
          <w:rFonts w:ascii="Times New Roman" w:hAnsi="Times New Roman"/>
          <w:noProof/>
          <w:sz w:val="24"/>
          <w:szCs w:val="24"/>
        </w:rPr>
        <w:t>. Pēc Baltās grāmatas par mākslīgo intelektu</w:t>
      </w:r>
      <w:r>
        <w:rPr>
          <w:rFonts w:ascii="Times New Roman" w:hAnsi="Times New Roman" w:cs="Times New Roman"/>
          <w:noProof/>
          <w:sz w:val="24"/>
          <w:szCs w:val="24"/>
          <w:vertAlign w:val="superscript"/>
          <w:lang w:val="en-GB"/>
        </w:rPr>
        <w:footnoteReference w:id="60"/>
      </w:r>
      <w:r>
        <w:rPr>
          <w:rFonts w:ascii="Times New Roman" w:hAnsi="Times New Roman"/>
          <w:noProof/>
          <w:sz w:val="24"/>
          <w:szCs w:val="24"/>
        </w:rPr>
        <w:t xml:space="preserve"> un tai pievienotā ziņojuma par atbildību un jauno tehnoloģiju drošību</w:t>
      </w:r>
      <w:r>
        <w:rPr>
          <w:rFonts w:ascii="Times New Roman" w:hAnsi="Times New Roman" w:cs="Times New Roman"/>
          <w:noProof/>
          <w:sz w:val="24"/>
          <w:szCs w:val="24"/>
          <w:vertAlign w:val="superscript"/>
          <w:lang w:val="en-GB"/>
        </w:rPr>
        <w:footnoteReference w:id="61"/>
      </w:r>
      <w:r>
        <w:rPr>
          <w:rFonts w:ascii="Times New Roman" w:hAnsi="Times New Roman"/>
          <w:noProof/>
          <w:sz w:val="24"/>
          <w:szCs w:val="24"/>
        </w:rPr>
        <w:t xml:space="preserve"> sagatavošanas Komisija strādā pie:</w:t>
      </w:r>
    </w:p>
    <w:p>
      <w:pPr>
        <w:pStyle w:val="ListParagraph"/>
        <w:numPr>
          <w:ilvl w:val="0"/>
          <w:numId w:val="9"/>
        </w:numPr>
        <w:spacing w:after="240" w:line="240" w:lineRule="auto"/>
        <w:jc w:val="both"/>
        <w:rPr>
          <w:rFonts w:ascii="Times New Roman" w:hAnsi="Times New Roman" w:cs="Times New Roman"/>
          <w:noProof/>
          <w:sz w:val="24"/>
          <w:szCs w:val="24"/>
        </w:rPr>
      </w:pPr>
      <w:r>
        <w:rPr>
          <w:rFonts w:ascii="Times New Roman" w:hAnsi="Times New Roman"/>
          <w:noProof/>
          <w:sz w:val="24"/>
          <w:szCs w:val="24"/>
        </w:rPr>
        <w:t>priekšlikuma</w:t>
      </w:r>
      <w:r>
        <w:rPr>
          <w:rFonts w:ascii="Times New Roman" w:hAnsi="Times New Roman" w:cs="Times New Roman"/>
          <w:noProof/>
          <w:vertAlign w:val="superscript"/>
          <w:lang w:val="en-GB"/>
        </w:rPr>
        <w:footnoteReference w:id="62"/>
      </w:r>
      <w:r>
        <w:rPr>
          <w:rFonts w:ascii="Times New Roman" w:hAnsi="Times New Roman"/>
          <w:noProof/>
          <w:sz w:val="24"/>
          <w:szCs w:val="24"/>
        </w:rPr>
        <w:t xml:space="preserve"> nodrošināt patērētāju interešu augsta līmeņa aizsardzību un pamattiesību aizsardzību, tādējādi veidojot uzticēšanos, kas nepieciešama mākslīgā intelekta ieviešanai sabiedrībā;</w:t>
      </w:r>
    </w:p>
    <w:p>
      <w:pPr>
        <w:pStyle w:val="ListParagraph"/>
        <w:numPr>
          <w:ilvl w:val="0"/>
          <w:numId w:val="9"/>
        </w:num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attiecībā uz civiltiesisko atbildību — pasākumiem, lai nodrošinātu, ka personām, kas cietušas no mākslīgā intelekta lietojumu radīta kaitējuma, praksē ir tāds pats aizsardzības līmenis kā personām, kas cietušas no citu produktu vai pakalpojumu radīta kaitējuma.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Jaunu tehnoloģiju attīstība un ražošanas un mazumtirdzniecības globalizācija, tostarp izmantojot tiešsaistes kanālus, rada jautājumu, vai spēkā esošie noteikumi par produktu drošumu ir pietiekami, lai reaģētu uz pašreizējām norisēm un pienācīgi aizsargātu patērētājus. Komisija pašlaik strādā pie vairākām iniciatīvām par jauno tehnoloģiju drošību, piemēram:</w:t>
      </w:r>
    </w:p>
    <w:p>
      <w:pPr>
        <w:pStyle w:val="ListParagraph"/>
        <w:numPr>
          <w:ilvl w:val="0"/>
          <w:numId w:val="10"/>
        </w:numPr>
        <w:spacing w:after="240" w:line="240" w:lineRule="auto"/>
        <w:jc w:val="both"/>
        <w:rPr>
          <w:rFonts w:ascii="Times New Roman" w:hAnsi="Times New Roman" w:cs="Times New Roman"/>
          <w:noProof/>
          <w:sz w:val="24"/>
          <w:szCs w:val="24"/>
        </w:rPr>
      </w:pPr>
      <w:r>
        <w:rPr>
          <w:rFonts w:ascii="Times New Roman" w:hAnsi="Times New Roman"/>
          <w:noProof/>
          <w:sz w:val="24"/>
          <w:szCs w:val="24"/>
        </w:rPr>
        <w:t>Mašīnu direktīvas pārskatīšana</w:t>
      </w:r>
      <w:r>
        <w:rPr>
          <w:rFonts w:ascii="Times New Roman" w:hAnsi="Times New Roman" w:cs="Times New Roman"/>
          <w:noProof/>
          <w:vertAlign w:val="superscript"/>
          <w:lang w:val="en-GB"/>
        </w:rPr>
        <w:footnoteReference w:id="63"/>
      </w:r>
      <w:r>
        <w:rPr>
          <w:rFonts w:ascii="Times New Roman" w:hAnsi="Times New Roman"/>
          <w:noProof/>
          <w:sz w:val="24"/>
          <w:szCs w:val="24"/>
        </w:rPr>
        <w:t>;</w:t>
      </w:r>
    </w:p>
    <w:p>
      <w:pPr>
        <w:pStyle w:val="ListParagraph"/>
        <w:numPr>
          <w:ilvl w:val="0"/>
          <w:numId w:val="10"/>
        </w:numPr>
        <w:spacing w:after="240" w:line="240" w:lineRule="auto"/>
        <w:jc w:val="both"/>
        <w:rPr>
          <w:rFonts w:ascii="Times New Roman" w:hAnsi="Times New Roman" w:cs="Times New Roman"/>
          <w:noProof/>
          <w:sz w:val="24"/>
          <w:szCs w:val="24"/>
        </w:rPr>
      </w:pPr>
      <w:r>
        <w:rPr>
          <w:rFonts w:ascii="Times New Roman" w:hAnsi="Times New Roman"/>
          <w:noProof/>
          <w:sz w:val="24"/>
          <w:szCs w:val="24"/>
        </w:rPr>
        <w:t>deleģēto aktu pieņemšana saskaņā ar Radioiekārtu direktīvu</w:t>
      </w:r>
      <w:r>
        <w:rPr>
          <w:rFonts w:ascii="Times New Roman" w:hAnsi="Times New Roman" w:cs="Times New Roman"/>
          <w:noProof/>
          <w:vertAlign w:val="superscript"/>
          <w:lang w:val="en-GB"/>
        </w:rPr>
        <w:footnoteReference w:id="64"/>
      </w:r>
      <w:r>
        <w:rPr>
          <w:rFonts w:ascii="Times New Roman" w:hAnsi="Times New Roman"/>
          <w:noProof/>
          <w:sz w:val="24"/>
          <w:szCs w:val="24"/>
        </w:rPr>
        <w:t xml:space="preserve">;  </w:t>
      </w:r>
    </w:p>
    <w:p>
      <w:pPr>
        <w:pStyle w:val="ListParagraph"/>
        <w:numPr>
          <w:ilvl w:val="0"/>
          <w:numId w:val="10"/>
        </w:numPr>
        <w:spacing w:after="240" w:line="240" w:lineRule="auto"/>
        <w:jc w:val="both"/>
        <w:rPr>
          <w:rFonts w:ascii="Times New Roman" w:hAnsi="Times New Roman" w:cs="Times New Roman"/>
          <w:noProof/>
          <w:sz w:val="24"/>
          <w:szCs w:val="24"/>
        </w:rPr>
      </w:pPr>
      <w:r>
        <w:rPr>
          <w:rFonts w:ascii="Times New Roman" w:hAnsi="Times New Roman"/>
          <w:noProof/>
          <w:sz w:val="24"/>
          <w:szCs w:val="24"/>
        </w:rPr>
        <w:t>Direktīvas par produktu vispārēju drošību pārskatīšana</w:t>
      </w:r>
      <w:r>
        <w:rPr>
          <w:rFonts w:ascii="Times New Roman" w:hAnsi="Times New Roman" w:cs="Times New Roman"/>
          <w:noProof/>
          <w:vertAlign w:val="superscript"/>
          <w:lang w:val="en-GB"/>
        </w:rPr>
        <w:footnoteReference w:id="65"/>
      </w:r>
      <w:r>
        <w:rPr>
          <w:rFonts w:ascii="Times New Roman" w:hAnsi="Times New Roman"/>
          <w:noProof/>
          <w:sz w:val="24"/>
          <w:szCs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 </w:t>
      </w:r>
      <w:r>
        <w:rPr>
          <w:rFonts w:ascii="Times New Roman" w:hAnsi="Times New Roman"/>
          <w:b/>
          <w:noProof/>
          <w:sz w:val="24"/>
          <w:szCs w:val="24"/>
        </w:rPr>
        <w:t>Produktu vispārējas drošības direktīva</w:t>
      </w:r>
      <w:r>
        <w:rPr>
          <w:rFonts w:ascii="Times New Roman" w:hAnsi="Times New Roman"/>
          <w:noProof/>
          <w:sz w:val="24"/>
          <w:szCs w:val="24"/>
        </w:rPr>
        <w:t>, kas nodrošina tiesisko regulējumu nepārtikas patēriņa preču drošumam</w:t>
      </w:r>
      <w:r>
        <w:rPr>
          <w:noProof/>
          <w:vertAlign w:val="superscript"/>
          <w:lang w:val="en-GB"/>
        </w:rPr>
        <w:footnoteReference w:id="66"/>
      </w:r>
      <w:r>
        <w:rPr>
          <w:rFonts w:ascii="Times New Roman" w:hAnsi="Times New Roman"/>
          <w:noProof/>
          <w:sz w:val="24"/>
          <w:szCs w:val="24"/>
        </w:rPr>
        <w:t>, izriet no laika, kad ar MI darbināmi ražojumi un savienotas ierīces bija retums, kas vairs tā nav. Šāda attīstība apdraud pašreizējo produktu definīciju un rada jaunus riskus vai maina veidu, kādā varētu īstenoties esošie riski, kas būtu jāatspoguļo un pienācīgi jāņem vērā. Jaunas problēmas rada arī tiešsaistes pārdošanas pieaugums, jo iestādēm ne vienmēr ir pietiekami efektīvi tiešsaistes tirgus uzraudzības instrumenti. Turklāt elektroniskā tirdzniecība ļauj patērētājiem iegādāties preces tieši no tirgus dalībniekiem, kas atrodas ārpus ES, tāpēc ir grūtāk pārbaudīt vienotajā tirgū ienākošo produktu drošumu. Gaidāmajam priekšlikumam par Produktu vispārējās drošības direktīvas pārskatīšanu, kas paredzēts 2021. gadā, jāsniedz fundamentāla atbilde uz šīm pieaugošajām problēmām.</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Turklāt vispārēji atzīta </w:t>
      </w:r>
      <w:r>
        <w:rPr>
          <w:rFonts w:ascii="Times New Roman" w:hAnsi="Times New Roman"/>
          <w:b/>
          <w:bCs/>
          <w:noProof/>
          <w:sz w:val="24"/>
          <w:szCs w:val="24"/>
        </w:rPr>
        <w:t>publiska elektroniskā identitāte</w:t>
      </w:r>
      <w:r>
        <w:rPr>
          <w:rFonts w:ascii="Times New Roman" w:hAnsi="Times New Roman"/>
          <w:noProof/>
          <w:sz w:val="24"/>
          <w:szCs w:val="24"/>
        </w:rPr>
        <w:t>, kuras pamatā ir patērētāju izvēle, viņu piekrišana un garantija, ka viņu privātums tiek pilnībā ievērots saskaņā ar Vispārīgo datu aizsardzības regulu, varētu sniegt patērētājiem iespēju pārvaldīt piekļuvi saviem datiem un to izmantošanu pilnīgi kontrolētā un drošā veidā. Komisija pašlaik pārskata šādu sistēmu, ņemot vērā patērētāju intereses un aizsardzību</w:t>
      </w:r>
      <w:r>
        <w:rPr>
          <w:rFonts w:ascii="Times New Roman" w:hAnsi="Times New Roman" w:cs="Times New Roman"/>
          <w:noProof/>
          <w:sz w:val="24"/>
          <w:szCs w:val="24"/>
          <w:vertAlign w:val="superscript"/>
          <w:lang w:val="en-GB"/>
        </w:rPr>
        <w:footnoteReference w:id="67"/>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iCs/>
          <w:noProof/>
          <w:sz w:val="24"/>
          <w:szCs w:val="24"/>
        </w:rPr>
        <w:t xml:space="preserve">Lai novērstu nepamatotu </w:t>
      </w:r>
      <w:r>
        <w:rPr>
          <w:rFonts w:ascii="Times New Roman" w:hAnsi="Times New Roman"/>
          <w:b/>
          <w:iCs/>
          <w:noProof/>
          <w:sz w:val="24"/>
          <w:szCs w:val="24"/>
        </w:rPr>
        <w:t>ģeogrāfisko bloķēšanu</w:t>
      </w:r>
      <w:r>
        <w:rPr>
          <w:rFonts w:ascii="Times New Roman" w:hAnsi="Times New Roman"/>
          <w:iCs/>
          <w:noProof/>
          <w:sz w:val="24"/>
          <w:szCs w:val="24"/>
        </w:rPr>
        <w:t>, kas diskriminē ES patērētājus attiecībā uz segmentētiem tirgiem gar valstu robežām, Komisija pašlaik veic Ģeogrāfiskās bloķēšanas regulas pirmo īstermiņa pārskatīšanu</w:t>
      </w:r>
      <w:r>
        <w:rPr>
          <w:rStyle w:val="FootnoteReference"/>
          <w:rFonts w:ascii="Times New Roman" w:hAnsi="Times New Roman" w:cs="Times New Roman"/>
          <w:noProof/>
          <w:sz w:val="24"/>
          <w:szCs w:val="24"/>
        </w:rPr>
        <w:footnoteReference w:id="68"/>
      </w:r>
      <w:r>
        <w:rPr>
          <w:rFonts w:ascii="Times New Roman" w:hAnsi="Times New Roman"/>
          <w:iCs/>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b/>
          <w:noProof/>
          <w:sz w:val="24"/>
          <w:szCs w:val="24"/>
        </w:rPr>
        <w:t>Eiropas datu stratēģijas</w:t>
      </w:r>
      <w:r>
        <w:rPr>
          <w:rFonts w:ascii="Times New Roman" w:hAnsi="Times New Roman" w:cs="Times New Roman"/>
          <w:noProof/>
          <w:sz w:val="24"/>
          <w:szCs w:val="24"/>
          <w:vertAlign w:val="superscript"/>
          <w:lang w:val="en-GB"/>
        </w:rPr>
        <w:footnoteReference w:id="69"/>
      </w:r>
      <w:r>
        <w:rPr>
          <w:rFonts w:ascii="Times New Roman" w:hAnsi="Times New Roman"/>
          <w:b/>
          <w:noProof/>
          <w:sz w:val="24"/>
          <w:szCs w:val="24"/>
        </w:rPr>
        <w:t xml:space="preserve"> </w:t>
      </w:r>
      <w:r>
        <w:rPr>
          <w:rFonts w:ascii="Times New Roman" w:hAnsi="Times New Roman"/>
          <w:noProof/>
          <w:sz w:val="24"/>
          <w:szCs w:val="24"/>
        </w:rPr>
        <w:t xml:space="preserve">mērķis ir veicināt personu efektīvas tiesības uz </w:t>
      </w:r>
      <w:r>
        <w:rPr>
          <w:rFonts w:ascii="Times New Roman" w:hAnsi="Times New Roman"/>
          <w:b/>
          <w:bCs/>
          <w:noProof/>
          <w:sz w:val="24"/>
          <w:szCs w:val="24"/>
        </w:rPr>
        <w:t>datu pārnesamību</w:t>
      </w:r>
      <w:r>
        <w:rPr>
          <w:rFonts w:ascii="Times New Roman" w:hAnsi="Times New Roman"/>
          <w:noProof/>
          <w:sz w:val="24"/>
          <w:szCs w:val="24"/>
        </w:rPr>
        <w:t xml:space="preserve"> saskaņā ar Vispārīgo datu aizsardzības regulu. Šīm tiesībām ir skaidrs potenciāls datu ekonomikas centrā izvirzīt indivīdus, ļaujot tiem mainīt pakalpojumu sniedzējus, apvienot pakalpojumus, izmantot citus inovatīvus pakalpojumus un izvēlēties pakalpojumus, kas piedāvā lielāko daļu datu aizsardzības. Stratēģija arī veicinās patiesa vienotā datu tirgus un </w:t>
      </w:r>
      <w:r>
        <w:rPr>
          <w:rFonts w:ascii="Times New Roman" w:hAnsi="Times New Roman"/>
          <w:b/>
          <w:bCs/>
          <w:noProof/>
          <w:sz w:val="24"/>
          <w:szCs w:val="24"/>
        </w:rPr>
        <w:t>kopīgu Eiropas datu telpu izveidi</w:t>
      </w:r>
      <w:r>
        <w:rPr>
          <w:rFonts w:ascii="Times New Roman" w:hAnsi="Times New Roman"/>
          <w:noProof/>
          <w:sz w:val="24"/>
          <w:szCs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Turklāt </w:t>
      </w:r>
      <w:r>
        <w:rPr>
          <w:rFonts w:ascii="Times New Roman" w:hAnsi="Times New Roman"/>
          <w:b/>
          <w:bCs/>
          <w:noProof/>
          <w:sz w:val="24"/>
          <w:szCs w:val="24"/>
        </w:rPr>
        <w:t>finanšu pakalpojumu mazumtirdzniecības nozare</w:t>
      </w:r>
      <w:r>
        <w:rPr>
          <w:rFonts w:ascii="Times New Roman" w:hAnsi="Times New Roman"/>
          <w:noProof/>
          <w:sz w:val="24"/>
          <w:szCs w:val="24"/>
        </w:rPr>
        <w:t xml:space="preserve"> ir būtiski pārveidota, pateicoties digitālajai pārejai</w:t>
      </w:r>
      <w:r>
        <w:rPr>
          <w:rFonts w:ascii="Times New Roman" w:hAnsi="Times New Roman" w:cs="Times New Roman"/>
          <w:noProof/>
          <w:sz w:val="24"/>
          <w:szCs w:val="24"/>
          <w:vertAlign w:val="superscript"/>
          <w:lang w:val="en-GB"/>
        </w:rPr>
        <w:footnoteReference w:id="70"/>
      </w:r>
      <w:r>
        <w:rPr>
          <w:rFonts w:ascii="Times New Roman" w:hAnsi="Times New Roman"/>
          <w:noProof/>
          <w:sz w:val="24"/>
          <w:szCs w:val="24"/>
        </w:rPr>
        <w:t>, ieviešot jaunas tendences un risinājumus un dažādojot finanšu produktu un pakalpojumu piedāvājumu.</w:t>
      </w:r>
      <w:r>
        <w:rPr>
          <w:rFonts w:ascii="Times New Roman" w:hAnsi="Times New Roman"/>
          <w:noProof/>
          <w:sz w:val="24"/>
        </w:rPr>
        <w:t xml:space="preserve"> </w:t>
      </w:r>
      <w:r>
        <w:rPr>
          <w:rFonts w:ascii="Times New Roman" w:hAnsi="Times New Roman"/>
          <w:noProof/>
          <w:sz w:val="24"/>
          <w:szCs w:val="24"/>
        </w:rPr>
        <w:t>Netradicionālie šādu pakalpojumu sniedzēji, piemēram, inovatīvu finanšu tehnoloģiju risinājumu piedāvātāji (</w:t>
      </w:r>
      <w:r>
        <w:rPr>
          <w:rFonts w:ascii="Times New Roman" w:hAnsi="Times New Roman"/>
          <w:i/>
          <w:iCs/>
          <w:noProof/>
          <w:sz w:val="24"/>
          <w:szCs w:val="24"/>
        </w:rPr>
        <w:t>FinTechs</w:t>
      </w:r>
      <w:r>
        <w:rPr>
          <w:rFonts w:ascii="Times New Roman" w:hAnsi="Times New Roman"/>
          <w:noProof/>
          <w:sz w:val="24"/>
          <w:szCs w:val="24"/>
        </w:rPr>
        <w:t>) un vienādranga aizdevēji, ir pievienojušies tradicionālajiem pakalpojumu sniedzējiem, kuri paši arvien vairāk izmanto arī tiešsaistes pārdošanas kanālus. Jauni produkti, piemēram, īstermiņa aizdevumi ar augstām izmaksām, kas aizņēmējam var radīt ievērojamus izdevumus, arvien vairāk tiek tirgoti un pārdoti digitālā veidā. Jaunās tehnoloģijas, piemēram, zibmaksājumu risinājumi, var sniegt jūtamus ieguvumus patērētājiem, taču tiem var būt nepieciešami īpaši patērētāju tiesību aizsardzības pasākumi</w:t>
      </w:r>
      <w:r>
        <w:rPr>
          <w:rFonts w:ascii="Times New Roman" w:hAnsi="Times New Roman" w:cs="Times New Roman"/>
          <w:noProof/>
          <w:sz w:val="24"/>
          <w:szCs w:val="24"/>
          <w:vertAlign w:val="superscript"/>
          <w:lang w:val="en-IE"/>
        </w:rPr>
        <w:footnoteReference w:id="71"/>
      </w:r>
      <w:r>
        <w:rPr>
          <w:rFonts w:ascii="Times New Roman" w:hAnsi="Times New Roman"/>
          <w:noProof/>
          <w:sz w:val="24"/>
          <w:szCs w:val="24"/>
        </w:rPr>
        <w:t>. Komisija nesen paziņoja par iniciatīvām, kas uzlabos patērētāju aizsardzību maksājumu jomā. Šie jautājumi tiks izskatīti saistībā ar nesen pieņemto ES mazumtirdzniecības maksājumu stratēģiju</w:t>
      </w:r>
      <w:r>
        <w:rPr>
          <w:rStyle w:val="FootnoteReference"/>
          <w:rFonts w:ascii="Times New Roman" w:hAnsi="Times New Roman" w:cs="Times New Roman"/>
          <w:noProof/>
          <w:sz w:val="24"/>
          <w:szCs w:val="24"/>
        </w:rPr>
        <w:footnoteReference w:id="72"/>
      </w:r>
      <w:r>
        <w:rPr>
          <w:rFonts w:ascii="Times New Roman" w:hAnsi="Times New Roman"/>
          <w:noProof/>
          <w:sz w:val="24"/>
          <w:szCs w:val="24"/>
        </w:rPr>
        <w:t xml:space="preserve">.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Alternatīvu datu kategoriju izmantošana apvienojumā ar automatizētu lēmumu pieņemšanu kredītspējas novērtēšanai rada jautājumus par to, kādi dati būtu jāizmanto, lai novērtētu patērētāju kredītspēju, un uzsver diskriminācijas risku saistībā ar lēmumiem, kuru pamatā ir nepārredzami algoritmi — riska veids, kuru varētu risināt arī ar iepriekšminēto tiesību aktu par prasībām attiecībā uz mākslīgo intelektu. Turklāt ir jāpārskata spēkā esošie tiesību akti, piemēram, </w:t>
      </w:r>
      <w:r>
        <w:rPr>
          <w:rFonts w:ascii="Times New Roman" w:hAnsi="Times New Roman"/>
          <w:b/>
          <w:bCs/>
          <w:noProof/>
          <w:sz w:val="24"/>
          <w:szCs w:val="24"/>
        </w:rPr>
        <w:t>Patēriņa kredītu direktīva, Hipotekāro kredītu direktīva, Maksājumu konta direktīva un Finanšu pakalpojumu tālpārdošanas direktīva</w:t>
      </w:r>
      <w:r>
        <w:rPr>
          <w:rFonts w:ascii="Times New Roman" w:hAnsi="Times New Roman"/>
          <w:noProof/>
          <w:sz w:val="24"/>
          <w:szCs w:val="24"/>
        </w:rPr>
        <w:t>, lai atspoguļotu</w:t>
      </w:r>
      <w:r>
        <w:rPr>
          <w:rFonts w:ascii="Times New Roman" w:hAnsi="Times New Roman"/>
          <w:b/>
          <w:bCs/>
          <w:noProof/>
          <w:sz w:val="24"/>
          <w:szCs w:val="24"/>
        </w:rPr>
        <w:t xml:space="preserve"> </w:t>
      </w:r>
      <w:r>
        <w:rPr>
          <w:rFonts w:ascii="Times New Roman" w:hAnsi="Times New Roman"/>
          <w:noProof/>
          <w:sz w:val="24"/>
          <w:szCs w:val="24"/>
        </w:rPr>
        <w:t xml:space="preserve">digitālo līdzekļu pieaugošo izmantošanu un risinātu iepriekš minētās problēmas. Tas ļautu patērētājiem izprast produktus un salīdzināt un pieņemt piedāvājumus tiešsaistē, tādējādi veicinot inovāciju un patērētāju uzticēšanos.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Komisijas jaunajā </w:t>
      </w:r>
      <w:r>
        <w:rPr>
          <w:rFonts w:ascii="Times New Roman" w:hAnsi="Times New Roman"/>
          <w:b/>
          <w:noProof/>
          <w:sz w:val="24"/>
          <w:szCs w:val="24"/>
        </w:rPr>
        <w:t>digitālās finanšu darbības paketē</w:t>
      </w:r>
      <w:r>
        <w:rPr>
          <w:rFonts w:ascii="Times New Roman" w:hAnsi="Times New Roman"/>
          <w:noProof/>
          <w:sz w:val="24"/>
          <w:szCs w:val="24"/>
        </w:rPr>
        <w:t>, tostarp digitālās finanšu darbības un mazumtirdzniecības maksājumu stratēģijās, un tiesību aktu priekšlikumos par kriptoaktīviem un digitālās darbības noturību finanšu nozarē, ir paredzēts nodrošināt, ka patērētāji un uzņēmumi izmanto inovācijas sniegtās priekšrocības, vienlaikus būdami aizsargāti. Pašreizējo digitālās pārveides tendenču atspoguļošana būs arī daļa no privāto ieguldījumu stratēģijas, kurā galvenā uzmanība būtu jāpievērš individuālo ieguldītāju interesēm un kuru ir paredzēts pieņemt 2022. gada pirmajā pusē.</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Turklāt</w:t>
      </w:r>
      <w:r>
        <w:rPr>
          <w:noProof/>
        </w:rPr>
        <w:t xml:space="preserve"> </w:t>
      </w:r>
      <w:r>
        <w:rPr>
          <w:rFonts w:ascii="Times New Roman" w:hAnsi="Times New Roman"/>
          <w:noProof/>
          <w:sz w:val="24"/>
          <w:szCs w:val="24"/>
        </w:rPr>
        <w:t xml:space="preserve">digitālā pārveide var radīt arī jaunas problēmas, piemēram, ja digitālie risinājumi nav izstrādāti tā, lai tie būtu </w:t>
      </w:r>
      <w:r>
        <w:rPr>
          <w:rFonts w:ascii="Times New Roman" w:hAnsi="Times New Roman"/>
          <w:b/>
          <w:noProof/>
          <w:sz w:val="24"/>
          <w:szCs w:val="24"/>
        </w:rPr>
        <w:t>pieejami arī personām ar invaliditāti</w:t>
      </w:r>
      <w:r>
        <w:rPr>
          <w:rFonts w:ascii="Times New Roman" w:hAnsi="Times New Roman"/>
          <w:noProof/>
          <w:sz w:val="24"/>
          <w:szCs w:val="24"/>
        </w:rPr>
        <w:t>. Komisija atbalsta dalībvalstis Eiropas Piekļūstamības akta transponēšanā</w:t>
      </w:r>
      <w:r>
        <w:rPr>
          <w:rStyle w:val="FootnoteReference"/>
          <w:rFonts w:ascii="Times New Roman" w:hAnsi="Times New Roman" w:cs="Times New Roman"/>
          <w:noProof/>
          <w:sz w:val="24"/>
          <w:szCs w:val="24"/>
          <w:lang w:val="en-GB"/>
        </w:rPr>
        <w:footnoteReference w:id="73"/>
      </w:r>
      <w:r>
        <w:rPr>
          <w:rFonts w:ascii="Times New Roman" w:hAnsi="Times New Roman"/>
          <w:noProof/>
          <w:sz w:val="24"/>
          <w:szCs w:val="24"/>
        </w:rPr>
        <w:t xml:space="preserve">. Tā piemērošana līdz 2025. gadam palīdzēs novērst digitalizācijas problēmas personām ar invaliditāti un palielinās pieejamu produktu un pakalpojumu pieejamību personām ar invaliditāti.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Visbeidzot, digitālās pārveides nolūkā ir nepieciešams, lai patērētājiem ir labas digitālās prasmes un iemaņas, kuras ir jāveicina ar izglītību un apmācību mūžizglītības perspektīvā, kā uzsvērts </w:t>
      </w:r>
      <w:r>
        <w:rPr>
          <w:rFonts w:ascii="Times New Roman" w:hAnsi="Times New Roman"/>
          <w:b/>
          <w:bCs/>
          <w:noProof/>
          <w:sz w:val="24"/>
          <w:szCs w:val="24"/>
        </w:rPr>
        <w:t>Digitālās izglītības rīcības plānā 2021.–2027. gadam</w:t>
      </w:r>
      <w:r>
        <w:rPr>
          <w:rStyle w:val="FootnoteReference"/>
          <w:rFonts w:ascii="Times New Roman" w:hAnsi="Times New Roman" w:cs="Times New Roman"/>
          <w:b/>
          <w:bCs/>
          <w:noProof/>
          <w:sz w:val="24"/>
          <w:szCs w:val="24"/>
          <w:lang w:val="en-GB"/>
        </w:rPr>
        <w:footnoteReference w:id="74"/>
      </w:r>
      <w:r>
        <w:rPr>
          <w:rFonts w:ascii="Times New Roman" w:hAnsi="Times New Roman"/>
          <w:b/>
          <w:bCs/>
          <w:noProof/>
          <w:sz w:val="24"/>
          <w:szCs w:val="24"/>
        </w:rPr>
        <w:t xml:space="preserve"> </w:t>
      </w:r>
      <w:r>
        <w:rPr>
          <w:rFonts w:ascii="Times New Roman" w:hAnsi="Times New Roman"/>
          <w:noProof/>
          <w:sz w:val="24"/>
          <w:szCs w:val="24"/>
        </w:rPr>
        <w:t>un tā stratēģiskajās prioritātēs.</w:t>
      </w:r>
    </w:p>
    <w:p>
      <w:pPr>
        <w:numPr>
          <w:ilvl w:val="0"/>
          <w:numId w:val="13"/>
        </w:numPr>
        <w:pBdr>
          <w:top w:val="single" w:sz="4" w:space="1" w:color="auto"/>
          <w:left w:val="single" w:sz="4" w:space="4" w:color="auto"/>
          <w:bottom w:val="single" w:sz="4" w:space="6" w:color="auto"/>
          <w:right w:val="single" w:sz="4" w:space="4" w:color="auto"/>
        </w:pBdr>
        <w:spacing w:after="240" w:line="240" w:lineRule="auto"/>
        <w:jc w:val="both"/>
        <w:rPr>
          <w:rFonts w:ascii="Times New Roman" w:hAnsi="Times New Roman" w:cs="Times New Roman"/>
          <w:noProof/>
          <w:sz w:val="24"/>
          <w:szCs w:val="24"/>
        </w:rPr>
      </w:pPr>
      <w:r>
        <w:rPr>
          <w:rFonts w:ascii="Times New Roman" w:hAnsi="Times New Roman"/>
          <w:b/>
          <w:bCs/>
          <w:noProof/>
          <w:sz w:val="24"/>
          <w:szCs w:val="24"/>
        </w:rPr>
        <w:t>7. darbība</w:t>
      </w:r>
      <w:r>
        <w:rPr>
          <w:rFonts w:ascii="Times New Roman" w:hAnsi="Times New Roman"/>
          <w:noProof/>
          <w:sz w:val="24"/>
          <w:szCs w:val="24"/>
        </w:rPr>
        <w:t>. Līdz 2022. gadam un pēc</w:t>
      </w:r>
      <w:r>
        <w:rPr>
          <w:rFonts w:ascii="Times New Roman" w:hAnsi="Times New Roman"/>
          <w:b/>
          <w:bCs/>
          <w:noProof/>
          <w:sz w:val="24"/>
          <w:szCs w:val="24"/>
        </w:rPr>
        <w:t xml:space="preserve"> vadlīniju dokumentu</w:t>
      </w:r>
      <w:r>
        <w:rPr>
          <w:rFonts w:ascii="Times New Roman" w:hAnsi="Times New Roman"/>
          <w:noProof/>
          <w:sz w:val="24"/>
          <w:szCs w:val="24"/>
        </w:rPr>
        <w:t xml:space="preserve"> </w:t>
      </w:r>
      <w:r>
        <w:rPr>
          <w:rFonts w:ascii="Times New Roman" w:hAnsi="Times New Roman"/>
          <w:b/>
          <w:bCs/>
          <w:noProof/>
          <w:sz w:val="24"/>
          <w:szCs w:val="24"/>
        </w:rPr>
        <w:t>par Negodīgas komercprakses direktīvu un Patērētāju tiesību direktīvu</w:t>
      </w:r>
      <w:r>
        <w:rPr>
          <w:rFonts w:ascii="Times New Roman" w:hAnsi="Times New Roman"/>
          <w:noProof/>
          <w:sz w:val="24"/>
          <w:szCs w:val="24"/>
        </w:rPr>
        <w:t xml:space="preserve"> atjaunināšanas Komisija plāno </w:t>
      </w:r>
      <w:r>
        <w:rPr>
          <w:rFonts w:ascii="Times New Roman" w:hAnsi="Times New Roman"/>
          <w:b/>
          <w:bCs/>
          <w:noProof/>
          <w:sz w:val="24"/>
          <w:szCs w:val="24"/>
        </w:rPr>
        <w:t>analizēt</w:t>
      </w:r>
      <w:r>
        <w:rPr>
          <w:rFonts w:ascii="Times New Roman" w:hAnsi="Times New Roman"/>
          <w:noProof/>
          <w:sz w:val="24"/>
          <w:szCs w:val="24"/>
        </w:rPr>
        <w:t>, vai vidējā termiņā ir vajadzīgi papildu tiesību akti vai citi pasākumi, lai nodrošinātu vienlīdzīgu taisnīgumu tiešsaistē un bezsaistē.</w:t>
      </w:r>
    </w:p>
    <w:p>
      <w:pPr>
        <w:numPr>
          <w:ilvl w:val="0"/>
          <w:numId w:val="13"/>
        </w:numPr>
        <w:pBdr>
          <w:top w:val="single" w:sz="4" w:space="1" w:color="auto"/>
          <w:left w:val="single" w:sz="4" w:space="4" w:color="auto"/>
          <w:bottom w:val="single" w:sz="4" w:space="6" w:color="auto"/>
          <w:right w:val="single" w:sz="4" w:space="4" w:color="auto"/>
        </w:pBdr>
        <w:spacing w:after="240" w:line="240" w:lineRule="auto"/>
        <w:jc w:val="both"/>
        <w:rPr>
          <w:rFonts w:ascii="Times New Roman" w:hAnsi="Times New Roman" w:cs="Times New Roman"/>
          <w:noProof/>
          <w:sz w:val="24"/>
          <w:szCs w:val="24"/>
        </w:rPr>
      </w:pPr>
      <w:r>
        <w:rPr>
          <w:rFonts w:ascii="Times New Roman" w:hAnsi="Times New Roman"/>
          <w:b/>
          <w:bCs/>
          <w:noProof/>
          <w:sz w:val="24"/>
          <w:szCs w:val="24"/>
        </w:rPr>
        <w:t>8. darbība</w:t>
      </w:r>
      <w:r>
        <w:rPr>
          <w:rFonts w:ascii="Times New Roman" w:hAnsi="Times New Roman"/>
          <w:noProof/>
          <w:sz w:val="24"/>
          <w:szCs w:val="24"/>
        </w:rPr>
        <w:t xml:space="preserve">. Kā paziņots Baltajā grāmatā par mākslīgo intelektu, Komisija 2021. gadā plāno iesniegt priekšlikumu </w:t>
      </w:r>
      <w:r>
        <w:rPr>
          <w:rFonts w:ascii="Times New Roman" w:hAnsi="Times New Roman"/>
          <w:b/>
          <w:bCs/>
          <w:noProof/>
          <w:sz w:val="24"/>
          <w:szCs w:val="24"/>
        </w:rPr>
        <w:t>horizontālam tiesību aktam, ar ko nosaka prasības mākslīgajam intelektam</w:t>
      </w:r>
      <w:r>
        <w:rPr>
          <w:rFonts w:ascii="Times New Roman" w:hAnsi="Times New Roman"/>
          <w:noProof/>
          <w:sz w:val="24"/>
          <w:szCs w:val="24"/>
        </w:rPr>
        <w:t>.</w:t>
      </w:r>
    </w:p>
    <w:p>
      <w:pPr>
        <w:numPr>
          <w:ilvl w:val="0"/>
          <w:numId w:val="13"/>
        </w:numPr>
        <w:pBdr>
          <w:top w:val="single" w:sz="4" w:space="1" w:color="auto"/>
          <w:left w:val="single" w:sz="4" w:space="4" w:color="auto"/>
          <w:bottom w:val="single" w:sz="4" w:space="6" w:color="auto"/>
          <w:right w:val="single" w:sz="4" w:space="4" w:color="auto"/>
        </w:pBdr>
        <w:spacing w:after="240" w:line="240" w:lineRule="auto"/>
        <w:jc w:val="both"/>
        <w:rPr>
          <w:rFonts w:ascii="Times New Roman" w:hAnsi="Times New Roman" w:cs="Times New Roman"/>
          <w:noProof/>
          <w:sz w:val="24"/>
          <w:szCs w:val="24"/>
        </w:rPr>
      </w:pPr>
      <w:r>
        <w:rPr>
          <w:rFonts w:ascii="Times New Roman" w:hAnsi="Times New Roman"/>
          <w:b/>
          <w:bCs/>
          <w:noProof/>
          <w:sz w:val="24"/>
          <w:szCs w:val="24"/>
        </w:rPr>
        <w:t>9. darbība</w:t>
      </w:r>
      <w:r>
        <w:rPr>
          <w:rFonts w:ascii="Times New Roman" w:hAnsi="Times New Roman"/>
          <w:noProof/>
          <w:sz w:val="24"/>
          <w:szCs w:val="24"/>
        </w:rPr>
        <w:t xml:space="preserve">. Komisija 2021. gadā plāno sagatavot priekšlikumu par </w:t>
      </w:r>
      <w:r>
        <w:rPr>
          <w:rFonts w:ascii="Times New Roman" w:hAnsi="Times New Roman"/>
          <w:b/>
          <w:bCs/>
          <w:noProof/>
          <w:sz w:val="24"/>
          <w:szCs w:val="24"/>
        </w:rPr>
        <w:t>Direktīvas par produktu vispārēju drošību</w:t>
      </w:r>
      <w:r>
        <w:rPr>
          <w:rFonts w:ascii="Times New Roman" w:hAnsi="Times New Roman"/>
          <w:noProof/>
          <w:sz w:val="24"/>
          <w:szCs w:val="24"/>
        </w:rPr>
        <w:t xml:space="preserve"> pārskatīšanu, lai risinātu jaunus uzdevumus saistībā ar produktu drošumu, ko izraisa jaunās tehnoloģijas un pārdošana tiešsaistē. Turklāt 2021. gadā Komisija plāno sagatavot arī priekšlikumu par </w:t>
      </w:r>
      <w:r>
        <w:rPr>
          <w:rFonts w:ascii="Times New Roman" w:hAnsi="Times New Roman"/>
          <w:b/>
          <w:bCs/>
          <w:noProof/>
          <w:sz w:val="24"/>
          <w:szCs w:val="24"/>
        </w:rPr>
        <w:t>Mašīnu direktīvas pārskatīšanu</w:t>
      </w:r>
      <w:r>
        <w:rPr>
          <w:rFonts w:ascii="Times New Roman" w:hAnsi="Times New Roman"/>
          <w:noProof/>
          <w:sz w:val="24"/>
          <w:szCs w:val="24"/>
        </w:rPr>
        <w:t xml:space="preserve">. </w:t>
      </w:r>
    </w:p>
    <w:p>
      <w:pPr>
        <w:numPr>
          <w:ilvl w:val="0"/>
          <w:numId w:val="13"/>
        </w:numPr>
        <w:pBdr>
          <w:top w:val="single" w:sz="4" w:space="1" w:color="auto"/>
          <w:left w:val="single" w:sz="4" w:space="4" w:color="auto"/>
          <w:bottom w:val="single" w:sz="4" w:space="6" w:color="auto"/>
          <w:right w:val="single" w:sz="4" w:space="4" w:color="auto"/>
        </w:pBdr>
        <w:spacing w:after="360" w:line="240" w:lineRule="auto"/>
        <w:jc w:val="both"/>
        <w:rPr>
          <w:rFonts w:ascii="Times New Roman" w:hAnsi="Times New Roman" w:cs="Times New Roman"/>
          <w:noProof/>
          <w:sz w:val="24"/>
          <w:szCs w:val="24"/>
        </w:rPr>
      </w:pPr>
      <w:r>
        <w:rPr>
          <w:rFonts w:ascii="Times New Roman" w:hAnsi="Times New Roman"/>
          <w:b/>
          <w:bCs/>
          <w:noProof/>
          <w:sz w:val="24"/>
          <w:szCs w:val="24"/>
        </w:rPr>
        <w:t>10. darbība.</w:t>
      </w:r>
      <w:r>
        <w:rPr>
          <w:rFonts w:ascii="Times New Roman" w:hAnsi="Times New Roman"/>
          <w:noProof/>
          <w:sz w:val="24"/>
          <w:szCs w:val="24"/>
        </w:rPr>
        <w:t xml:space="preserve"> Komisija 2021. gadā plāno sagatavot priekšlikumus par </w:t>
      </w:r>
      <w:r>
        <w:rPr>
          <w:rFonts w:ascii="Times New Roman" w:hAnsi="Times New Roman"/>
          <w:b/>
          <w:noProof/>
          <w:sz w:val="24"/>
          <w:szCs w:val="24"/>
        </w:rPr>
        <w:t>Patēriņa kredītu direktīvas</w:t>
      </w:r>
      <w:r>
        <w:rPr>
          <w:rFonts w:ascii="Times New Roman" w:hAnsi="Times New Roman"/>
          <w:noProof/>
          <w:sz w:val="24"/>
          <w:szCs w:val="24"/>
        </w:rPr>
        <w:t xml:space="preserve"> un </w:t>
      </w:r>
      <w:r>
        <w:rPr>
          <w:rFonts w:ascii="Times New Roman" w:hAnsi="Times New Roman"/>
          <w:b/>
          <w:noProof/>
          <w:sz w:val="24"/>
          <w:szCs w:val="24"/>
        </w:rPr>
        <w:t xml:space="preserve">Direktīvas par finanšu pakalpojumu tālpārdošanu </w:t>
      </w:r>
      <w:r>
        <w:rPr>
          <w:rFonts w:ascii="Times New Roman" w:hAnsi="Times New Roman"/>
          <w:noProof/>
          <w:sz w:val="24"/>
          <w:szCs w:val="24"/>
        </w:rPr>
        <w:t xml:space="preserve"> pārskatīšanu, lai pastiprinātu patērētāju tiesību aizsardzību saistībā ar mazumtirdzniecības finanšu pakalpojumu digitalizāciju.</w:t>
      </w:r>
    </w:p>
    <w:p>
      <w:pPr>
        <w:keepNext/>
        <w:numPr>
          <w:ilvl w:val="1"/>
          <w:numId w:val="1"/>
        </w:numPr>
        <w:spacing w:before="100" w:beforeAutospacing="1" w:after="240" w:line="240" w:lineRule="auto"/>
        <w:ind w:left="714" w:hanging="357"/>
        <w:jc w:val="both"/>
        <w:rPr>
          <w:rFonts w:ascii="Times New Roman" w:hAnsi="Times New Roman" w:cs="Times New Roman"/>
          <w:b/>
          <w:bCs/>
          <w:noProof/>
          <w:sz w:val="24"/>
          <w:szCs w:val="24"/>
        </w:rPr>
      </w:pPr>
      <w:r>
        <w:rPr>
          <w:rFonts w:ascii="Times New Roman" w:hAnsi="Times New Roman"/>
          <w:b/>
          <w:bCs/>
          <w:noProof/>
          <w:sz w:val="24"/>
          <w:szCs w:val="24"/>
        </w:rPr>
        <w:t xml:space="preserve"> Efektīva izpilde un tiesiskā aizsardzība</w:t>
      </w:r>
    </w:p>
    <w:p>
      <w:pPr>
        <w:pBdr>
          <w:top w:val="single" w:sz="4" w:space="1" w:color="auto"/>
          <w:left w:val="single" w:sz="4" w:space="4" w:color="auto"/>
          <w:bottom w:val="single" w:sz="4" w:space="6" w:color="auto"/>
          <w:right w:val="single" w:sz="4" w:space="4" w:color="auto"/>
        </w:pBdr>
        <w:spacing w:after="240" w:line="240" w:lineRule="auto"/>
        <w:jc w:val="both"/>
        <w:rPr>
          <w:rFonts w:ascii="Times New Roman" w:hAnsi="Times New Roman" w:cs="Times New Roman"/>
          <w:i/>
          <w:iCs/>
          <w:noProof/>
          <w:sz w:val="24"/>
          <w:szCs w:val="24"/>
        </w:rPr>
      </w:pPr>
      <w:r>
        <w:rPr>
          <w:rFonts w:ascii="Times New Roman" w:hAnsi="Times New Roman"/>
          <w:i/>
          <w:iCs/>
          <w:noProof/>
          <w:sz w:val="24"/>
          <w:szCs w:val="24"/>
        </w:rPr>
        <w:t xml:space="preserve">Piemērs: gaidāmā Direktīva par pārstāvības prasībām ļauj patērētājiem apvienot spēkus. Šim nolūkam izraudzītām kvalificētām iestādēm turpmāk būs vienkāršāk iesniegt tiesā vai administratīvajās iestādēs kopējas prasības patērētāju interesēs, tostarp pārrobežu lietās. Tādējādi patērētājiem būs vieglāk rast kopīgu risinājumu līdzīgos gadījumos, piemēram, manipulācijās ar noteiktu dīzeļmotoru automašīnu izplūdes gāzu emisijas testiem.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Tāpat kā uzņēmumiem ir tiesības pārdot produktus un piedāvāt pakalpojumus visiem patērētājiem vienotajā tirgū, </w:t>
      </w:r>
      <w:r>
        <w:rPr>
          <w:rFonts w:ascii="Times New Roman" w:hAnsi="Times New Roman"/>
          <w:b/>
          <w:bCs/>
          <w:noProof/>
          <w:sz w:val="24"/>
          <w:szCs w:val="24"/>
        </w:rPr>
        <w:t>patērētājiem</w:t>
      </w:r>
      <w:r>
        <w:rPr>
          <w:rFonts w:ascii="Times New Roman" w:hAnsi="Times New Roman"/>
          <w:bCs/>
          <w:noProof/>
          <w:sz w:val="24"/>
          <w:szCs w:val="24"/>
        </w:rPr>
        <w:t xml:space="preserve"> neatkarīgi no viņu atrašanās vietas ES</w:t>
      </w:r>
      <w:r>
        <w:rPr>
          <w:rFonts w:ascii="Times New Roman" w:hAnsi="Times New Roman"/>
          <w:noProof/>
          <w:sz w:val="24"/>
          <w:szCs w:val="24"/>
        </w:rPr>
        <w:t xml:space="preserve"> </w:t>
      </w:r>
      <w:r>
        <w:rPr>
          <w:rFonts w:ascii="Times New Roman" w:hAnsi="Times New Roman"/>
          <w:b/>
          <w:bCs/>
          <w:noProof/>
          <w:sz w:val="24"/>
          <w:szCs w:val="24"/>
        </w:rPr>
        <w:t>ir jābūt iespējai efektīvi īstenot savas tiesības</w:t>
      </w:r>
      <w:r>
        <w:rPr>
          <w:rFonts w:ascii="Times New Roman" w:hAnsi="Times New Roman"/>
          <w:noProof/>
          <w:sz w:val="24"/>
          <w:szCs w:val="24"/>
        </w:rPr>
        <w:t xml:space="preserve"> attiecībā uz šiem uzņēmumiem. Tomēr, kā liecina tiesībaizsardzības iestāžu veiktā tīmekļa vietņu pārbaude, praksē patērētāju tiesības bieži vien netiek ievērotas. Laikposmā no 2007. līdz 2019. gadam tika konstatēts, ka vidēji 60 % no pārbaudītajām tīmekļa vietnēm neatbilst patērētāju tiesību aizsardzības pamatnoteikumiem, un tāpēc bija nepieciešami labojumi</w:t>
      </w:r>
      <w:r>
        <w:rPr>
          <w:rFonts w:ascii="Times New Roman" w:hAnsi="Times New Roman" w:cs="Times New Roman"/>
          <w:noProof/>
          <w:sz w:val="24"/>
          <w:szCs w:val="24"/>
          <w:vertAlign w:val="superscript"/>
          <w:lang w:val="en-GB"/>
        </w:rPr>
        <w:footnoteReference w:id="75"/>
      </w:r>
      <w:r>
        <w:rPr>
          <w:rFonts w:ascii="Times New Roman" w:hAnsi="Times New Roman"/>
          <w:noProof/>
          <w:sz w:val="24"/>
          <w:szCs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Par patērētāju tiesību īstenošanu pirmkārt un galvenokārt </w:t>
      </w:r>
      <w:r>
        <w:rPr>
          <w:rFonts w:ascii="Times New Roman" w:hAnsi="Times New Roman"/>
          <w:b/>
          <w:bCs/>
          <w:noProof/>
          <w:sz w:val="24"/>
          <w:szCs w:val="24"/>
        </w:rPr>
        <w:t>ir atbildīgas valstu iestādes</w:t>
      </w:r>
      <w:r>
        <w:rPr>
          <w:rFonts w:ascii="Times New Roman" w:hAnsi="Times New Roman"/>
          <w:noProof/>
          <w:sz w:val="24"/>
          <w:szCs w:val="24"/>
        </w:rPr>
        <w:t>, savukārt</w:t>
      </w:r>
      <w:r>
        <w:rPr>
          <w:rFonts w:ascii="Times New Roman" w:hAnsi="Times New Roman"/>
          <w:b/>
          <w:bCs/>
          <w:noProof/>
          <w:sz w:val="24"/>
          <w:szCs w:val="24"/>
        </w:rPr>
        <w:t xml:space="preserve"> </w:t>
      </w:r>
      <w:r>
        <w:rPr>
          <w:rFonts w:ascii="Times New Roman" w:hAnsi="Times New Roman"/>
          <w:bCs/>
          <w:noProof/>
          <w:sz w:val="24"/>
          <w:szCs w:val="24"/>
        </w:rPr>
        <w:t xml:space="preserve">ES veic </w:t>
      </w:r>
      <w:r>
        <w:rPr>
          <w:rFonts w:ascii="Times New Roman" w:hAnsi="Times New Roman"/>
          <w:noProof/>
          <w:sz w:val="24"/>
          <w:szCs w:val="24"/>
        </w:rPr>
        <w:t xml:space="preserve">svarīgu </w:t>
      </w:r>
      <w:r>
        <w:rPr>
          <w:rFonts w:ascii="Times New Roman" w:hAnsi="Times New Roman"/>
          <w:b/>
          <w:bCs/>
          <w:noProof/>
          <w:sz w:val="24"/>
          <w:szCs w:val="24"/>
        </w:rPr>
        <w:t>koordinēšanas un atbalsta funkciju</w:t>
      </w:r>
      <w:r>
        <w:rPr>
          <w:rFonts w:ascii="Times New Roman" w:hAnsi="Times New Roman"/>
          <w:noProof/>
          <w:sz w:val="24"/>
          <w:szCs w:val="24"/>
        </w:rPr>
        <w:t xml:space="preserve">. Jaunā </w:t>
      </w:r>
      <w:r>
        <w:rPr>
          <w:rFonts w:ascii="Times New Roman" w:hAnsi="Times New Roman"/>
          <w:b/>
          <w:bCs/>
          <w:noProof/>
          <w:sz w:val="24"/>
          <w:szCs w:val="24"/>
        </w:rPr>
        <w:t>Regula par sadarbību patērētāju tiesību aizsardzības jomā (SPTAJ)</w:t>
      </w:r>
      <w:r>
        <w:rPr>
          <w:rFonts w:ascii="Times New Roman" w:hAnsi="Times New Roman" w:cs="Times New Roman"/>
          <w:bCs/>
          <w:noProof/>
          <w:sz w:val="24"/>
          <w:szCs w:val="24"/>
          <w:vertAlign w:val="superscript"/>
          <w:lang w:val="en-GB"/>
        </w:rPr>
        <w:footnoteReference w:id="76"/>
      </w:r>
      <w:r>
        <w:rPr>
          <w:rFonts w:ascii="Times New Roman" w:hAnsi="Times New Roman"/>
          <w:noProof/>
          <w:sz w:val="24"/>
          <w:szCs w:val="24"/>
        </w:rPr>
        <w:t xml:space="preserve">, kas stājās spēkā 2020. gada janvārī, nodrošina spēcīgāku pamatu kopīgai ES rīcībai. Tā stiprina tiesībaizsardzības iestāžu tiešsaistes spējas, sadarbības mehānismus un informācijas vākšanas sistēmu, lai novērstu ES patērētāju tiesību plaša mēroga pārkāpumus, nodrošinātu patērētāju tiesību konsekventu aizsardzības līmeni un piedāvātu uzņēmumiem “vienas pieturas aģentūras”. Komisija nevilcināsies izmantot savas pilnvaras saskaņā ar regulu, lai vajadzības gadījumā </w:t>
      </w:r>
      <w:r>
        <w:rPr>
          <w:rFonts w:ascii="Times New Roman" w:hAnsi="Times New Roman"/>
          <w:b/>
          <w:bCs/>
          <w:noProof/>
          <w:sz w:val="24"/>
          <w:szCs w:val="24"/>
        </w:rPr>
        <w:t>uzsāktu koordinētus izpildes</w:t>
      </w:r>
      <w:r>
        <w:rPr>
          <w:rFonts w:ascii="Times New Roman" w:hAnsi="Times New Roman"/>
          <w:noProof/>
          <w:sz w:val="24"/>
          <w:szCs w:val="24"/>
        </w:rPr>
        <w:t xml:space="preserve"> </w:t>
      </w:r>
      <w:r>
        <w:rPr>
          <w:rFonts w:ascii="Times New Roman" w:hAnsi="Times New Roman"/>
          <w:b/>
          <w:bCs/>
          <w:noProof/>
          <w:sz w:val="24"/>
          <w:szCs w:val="24"/>
        </w:rPr>
        <w:t>pasākumus</w:t>
      </w:r>
      <w:r>
        <w:rPr>
          <w:rFonts w:ascii="Times New Roman" w:hAnsi="Times New Roman"/>
          <w:noProof/>
          <w:sz w:val="24"/>
          <w:szCs w:val="24"/>
        </w:rPr>
        <w:t xml:space="preserve"> attiecībā uz ES mēroga jautājumiem.</w:t>
      </w:r>
      <w:r>
        <w:rPr>
          <w:rFonts w:ascii="Times New Roman" w:hAnsi="Times New Roman"/>
          <w:noProof/>
          <w:sz w:val="24"/>
          <w:szCs w:val="24"/>
          <w:vertAlign w:val="superscript"/>
        </w:rPr>
        <w:t xml:space="preserve"> </w:t>
      </w:r>
      <w:r>
        <w:rPr>
          <w:rFonts w:ascii="Times New Roman" w:hAnsi="Times New Roman"/>
          <w:noProof/>
          <w:sz w:val="24"/>
          <w:szCs w:val="24"/>
        </w:rPr>
        <w:t xml:space="preserve"> Saskaņā ar šīs Programmas stratēģiskajām prioritātēm darbs būs vērsts uz šādu jautājumu risināšanu: </w:t>
      </w:r>
    </w:p>
    <w:p>
      <w:pPr>
        <w:pStyle w:val="ListParagraph"/>
        <w:numPr>
          <w:ilvl w:val="0"/>
          <w:numId w:val="11"/>
        </w:numPr>
        <w:spacing w:after="240" w:line="240" w:lineRule="auto"/>
        <w:ind w:left="777" w:hanging="357"/>
        <w:contextualSpacing w:val="0"/>
        <w:jc w:val="both"/>
        <w:rPr>
          <w:rFonts w:ascii="Times New Roman" w:hAnsi="Times New Roman" w:cs="Times New Roman"/>
          <w:noProof/>
          <w:sz w:val="24"/>
          <w:szCs w:val="24"/>
        </w:rPr>
      </w:pPr>
      <w:r>
        <w:rPr>
          <w:rFonts w:ascii="Times New Roman" w:hAnsi="Times New Roman"/>
          <w:noProof/>
          <w:sz w:val="24"/>
          <w:szCs w:val="24"/>
        </w:rPr>
        <w:t>Covid-19 ietekme uz patērētāju tiesībām (t. i., maldināšana, ar ceļošanu saistītas problēmas un finansiālās neaizsargātības izmantošana, kas pastāvēja pirms pandēmijas, bet ir kļuvušas vēl akūtākas</w:t>
      </w:r>
      <w:r>
        <w:rPr>
          <w:rStyle w:val="FootnoteReference"/>
          <w:rFonts w:ascii="Times New Roman" w:hAnsi="Times New Roman" w:cs="Times New Roman"/>
          <w:noProof/>
          <w:sz w:val="24"/>
          <w:szCs w:val="24"/>
          <w:lang w:val="en-GB"/>
        </w:rPr>
        <w:footnoteReference w:id="77"/>
      </w:r>
      <w:r>
        <w:rPr>
          <w:rFonts w:ascii="Times New Roman" w:hAnsi="Times New Roman"/>
          <w:noProof/>
          <w:sz w:val="24"/>
          <w:szCs w:val="24"/>
        </w:rPr>
        <w:t>);</w:t>
      </w:r>
    </w:p>
    <w:p>
      <w:pPr>
        <w:pStyle w:val="ListParagraph"/>
        <w:numPr>
          <w:ilvl w:val="0"/>
          <w:numId w:val="11"/>
        </w:num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maldinoši “ekoloģiskie” apgalvojumi un negodīga komercprakse saistībā ar tiešsaistes ietekmēšanas paņēmieniem un personalizāciju.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Regulā noteikts, ka Komisijai līdz 2023. gada janvārim jāveic jauno noteikumu efektivitātes </w:t>
      </w:r>
      <w:r>
        <w:rPr>
          <w:rFonts w:ascii="Times New Roman" w:hAnsi="Times New Roman"/>
          <w:b/>
          <w:bCs/>
          <w:noProof/>
          <w:sz w:val="24"/>
          <w:szCs w:val="24"/>
        </w:rPr>
        <w:t>novērtējums</w:t>
      </w:r>
      <w:r>
        <w:rPr>
          <w:rFonts w:ascii="Times New Roman" w:hAnsi="Times New Roman"/>
          <w:noProof/>
          <w:sz w:val="24"/>
          <w:szCs w:val="24"/>
        </w:rPr>
        <w:t>.</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Turklāt ES nesen pārskatīja savu tiesisko regulējumu patērētāju tiesību aizsardzības jomā. Jaunā </w:t>
      </w:r>
      <w:r>
        <w:rPr>
          <w:rFonts w:ascii="Times New Roman" w:hAnsi="Times New Roman"/>
          <w:b/>
          <w:bCs/>
          <w:noProof/>
          <w:sz w:val="24"/>
          <w:szCs w:val="24"/>
        </w:rPr>
        <w:t>Direktīva par patērētāju tiesību labāku izpildi un modernizēšanu</w:t>
      </w:r>
      <w:r>
        <w:rPr>
          <w:rFonts w:ascii="Times New Roman" w:hAnsi="Times New Roman" w:cs="Times New Roman"/>
          <w:noProof/>
          <w:sz w:val="24"/>
          <w:szCs w:val="24"/>
          <w:vertAlign w:val="superscript"/>
          <w:lang w:val="en-GB"/>
        </w:rPr>
        <w:footnoteReference w:id="78"/>
      </w:r>
      <w:r>
        <w:rPr>
          <w:rFonts w:ascii="Times New Roman" w:hAnsi="Times New Roman"/>
          <w:noProof/>
          <w:sz w:val="24"/>
          <w:szCs w:val="24"/>
        </w:rPr>
        <w:t xml:space="preserve"> un gaidāmā </w:t>
      </w:r>
      <w:r>
        <w:rPr>
          <w:rFonts w:ascii="Times New Roman" w:hAnsi="Times New Roman"/>
          <w:b/>
          <w:bCs/>
          <w:noProof/>
          <w:sz w:val="24"/>
          <w:szCs w:val="24"/>
        </w:rPr>
        <w:t>Direktīva par pārstāvības darbībām</w:t>
      </w:r>
      <w:r>
        <w:rPr>
          <w:rFonts w:ascii="Times New Roman" w:hAnsi="Times New Roman" w:cs="Times New Roman"/>
          <w:bCs/>
          <w:noProof/>
          <w:sz w:val="24"/>
          <w:szCs w:val="24"/>
          <w:vertAlign w:val="superscript"/>
          <w:lang w:val="en-GB"/>
        </w:rPr>
        <w:footnoteReference w:id="79"/>
      </w:r>
      <w:r>
        <w:rPr>
          <w:rFonts w:ascii="Times New Roman" w:hAnsi="Times New Roman"/>
          <w:noProof/>
          <w:sz w:val="24"/>
          <w:szCs w:val="24"/>
        </w:rPr>
        <w:t xml:space="preserve"> būtiski stiprinās patērētāju tiesības, jo īpaši nodrošinot lielāku digitālo taisnīgumu, stingrākas sankcijas un efektīvu kolektīvās tiesiskās aizsardzības mehānismu. </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Lai nodrošinātu vienotu izpildi visā ES un palīdzētu iestādēm labāk pārvarēt digitālās pārveides radītās grūtības, </w:t>
      </w:r>
      <w:r>
        <w:rPr>
          <w:rFonts w:ascii="Times New Roman" w:hAnsi="Times New Roman"/>
          <w:b/>
          <w:bCs/>
          <w:noProof/>
          <w:sz w:val="24"/>
          <w:szCs w:val="24"/>
        </w:rPr>
        <w:t>Vienotā tirgus programmā saskaņā ar jauno DFS</w:t>
      </w:r>
      <w:r>
        <w:rPr>
          <w:rFonts w:ascii="Times New Roman" w:hAnsi="Times New Roman"/>
          <w:noProof/>
          <w:sz w:val="24"/>
          <w:szCs w:val="24"/>
        </w:rPr>
        <w:t xml:space="preserve"> prioritāte būs valsts iestāžu spēju veidošanas pasākumu finansēšana. Komisija plāno finansēt projektu, lai izveidotu </w:t>
      </w:r>
      <w:r>
        <w:rPr>
          <w:rFonts w:ascii="Times New Roman" w:hAnsi="Times New Roman"/>
          <w:b/>
          <w:noProof/>
          <w:sz w:val="24"/>
          <w:szCs w:val="24"/>
        </w:rPr>
        <w:t>“ES e-Lab”</w:t>
      </w:r>
      <w:r>
        <w:rPr>
          <w:rFonts w:ascii="Times New Roman" w:hAnsi="Times New Roman"/>
          <w:noProof/>
          <w:sz w:val="24"/>
          <w:szCs w:val="24"/>
        </w:rPr>
        <w:t xml:space="preserve"> kā platformu, kas nodrošinās kopēju instrumentu kopumu, ko iestādes var izmantot, lai veiktu izmeklēšanu tiešsaistē un uzraudzītu tiešsaistē pārdotos bīstamos produktus, izmantojot progresīvus IT risinājumus, mākslīgo intelektu, datizraces metodes un tīmekļa meklēšanas robotus. Turklāt tā centīsies stiprināt potenciālo kvalificēto iestāžu spējas nākotnē atbilstīgi gaidāmajai Direktīvai par pārstāvības prasībām un valstu patērētāju organizāciju spējas kā struktūrām, kas izraudzītas ziņot par brīdinājumiem saskaņā ar SPTAJ regulu. Komisijas prioritāte joprojām būs individuālās tiesiskās aizsardzības veicināšana, kā arī turpmākais ES finansējums un Eiropas Patērētāju centru, alternatīvas strīdu izšķiršanas un tiešsaistes strīdu izšķiršanas instrumentu modernizēšana. Īpaši pielāgots tehniskais atbalsts administratīvo spēju veidošanai valsts iestādēs ir iespējams arī, izmantojot tehniskā atbalsta instrumentu</w:t>
      </w:r>
      <w:r>
        <w:rPr>
          <w:rStyle w:val="FootnoteReference"/>
          <w:rFonts w:ascii="Times New Roman" w:hAnsi="Times New Roman" w:cs="Times New Roman"/>
          <w:noProof/>
          <w:sz w:val="24"/>
          <w:szCs w:val="24"/>
          <w:lang w:val="en-GB"/>
        </w:rPr>
        <w:footnoteReference w:id="80"/>
      </w:r>
      <w:r>
        <w:rPr>
          <w:rFonts w:ascii="Times New Roman" w:hAnsi="Times New Roman"/>
          <w:noProof/>
          <w:sz w:val="24"/>
          <w:szCs w:val="24"/>
        </w:rPr>
        <w:t>.</w:t>
      </w:r>
    </w:p>
    <w:p>
      <w:pPr>
        <w:numPr>
          <w:ilvl w:val="0"/>
          <w:numId w:val="15"/>
        </w:numPr>
        <w:pBdr>
          <w:top w:val="single" w:sz="4" w:space="1" w:color="auto"/>
          <w:left w:val="single" w:sz="4" w:space="4" w:color="auto"/>
          <w:bottom w:val="single" w:sz="4" w:space="1" w:color="auto"/>
          <w:right w:val="single" w:sz="4" w:space="4" w:color="auto"/>
        </w:pBdr>
        <w:spacing w:after="240" w:line="240" w:lineRule="auto"/>
        <w:contextualSpacing/>
        <w:jc w:val="both"/>
        <w:rPr>
          <w:rFonts w:ascii="Times New Roman" w:hAnsi="Times New Roman"/>
          <w:noProof/>
          <w:sz w:val="24"/>
        </w:rPr>
      </w:pPr>
      <w:r>
        <w:rPr>
          <w:rFonts w:ascii="Times New Roman" w:hAnsi="Times New Roman"/>
          <w:b/>
          <w:bCs/>
          <w:noProof/>
          <w:sz w:val="24"/>
          <w:szCs w:val="24"/>
        </w:rPr>
        <w:t xml:space="preserve">11. darbība. </w:t>
      </w:r>
      <w:r>
        <w:rPr>
          <w:rFonts w:ascii="Times New Roman" w:hAnsi="Times New Roman"/>
          <w:noProof/>
          <w:sz w:val="24"/>
          <w:szCs w:val="24"/>
        </w:rPr>
        <w:t xml:space="preserve">Komisija </w:t>
      </w:r>
      <w:r>
        <w:rPr>
          <w:rFonts w:ascii="Times New Roman" w:hAnsi="Times New Roman"/>
          <w:b/>
          <w:bCs/>
          <w:noProof/>
          <w:sz w:val="24"/>
          <w:szCs w:val="24"/>
        </w:rPr>
        <w:t>palīdzēs dalībvalstīm</w:t>
      </w:r>
      <w:r>
        <w:rPr>
          <w:rFonts w:ascii="Times New Roman" w:hAnsi="Times New Roman"/>
          <w:noProof/>
          <w:sz w:val="24"/>
          <w:szCs w:val="24"/>
        </w:rPr>
        <w:t xml:space="preserve"> </w:t>
      </w:r>
      <w:r>
        <w:rPr>
          <w:rFonts w:ascii="Times New Roman" w:hAnsi="Times New Roman"/>
          <w:b/>
          <w:bCs/>
          <w:noProof/>
          <w:sz w:val="24"/>
          <w:szCs w:val="24"/>
        </w:rPr>
        <w:t>savlaicīgi un efektīvi transponēt, īstenot un izpildīt</w:t>
      </w:r>
      <w:r>
        <w:rPr>
          <w:rFonts w:ascii="Times New Roman" w:hAnsi="Times New Roman"/>
          <w:noProof/>
          <w:sz w:val="24"/>
          <w:szCs w:val="24"/>
        </w:rPr>
        <w:t xml:space="preserve"> Direktīvu par patērētāju tiesību aktu labāku izpildi un modernizēšanu, kuru sāks piemērot 2022. gada maijā, un attiecībā uz nākamo Direktīvu par pārstāvības prasībām, kad tā būs oficiāli pieņemta un stāsies spēkā.</w:t>
      </w:r>
    </w:p>
    <w:p>
      <w:pPr>
        <w:pBdr>
          <w:top w:val="single" w:sz="4" w:space="1" w:color="auto"/>
          <w:left w:val="single" w:sz="4" w:space="4" w:color="auto"/>
          <w:bottom w:val="single" w:sz="4" w:space="1" w:color="auto"/>
          <w:right w:val="single" w:sz="4" w:space="4" w:color="auto"/>
        </w:pBdr>
        <w:spacing w:after="240" w:line="240" w:lineRule="auto"/>
        <w:ind w:left="-420"/>
        <w:contextualSpacing/>
        <w:jc w:val="both"/>
        <w:rPr>
          <w:rFonts w:ascii="Times New Roman" w:hAnsi="Times New Roman" w:cs="Times New Roman"/>
          <w:noProof/>
          <w:sz w:val="24"/>
          <w:szCs w:val="24"/>
        </w:rPr>
      </w:pPr>
    </w:p>
    <w:p>
      <w:pPr>
        <w:numPr>
          <w:ilvl w:val="0"/>
          <w:numId w:val="15"/>
        </w:numPr>
        <w:pBdr>
          <w:top w:val="single" w:sz="4" w:space="1" w:color="auto"/>
          <w:left w:val="single" w:sz="4" w:space="4" w:color="auto"/>
          <w:bottom w:val="single" w:sz="4" w:space="1" w:color="auto"/>
          <w:right w:val="single" w:sz="4" w:space="4" w:color="auto"/>
        </w:pBdr>
        <w:spacing w:after="240" w:line="240" w:lineRule="auto"/>
        <w:contextualSpacing/>
        <w:jc w:val="both"/>
        <w:rPr>
          <w:rFonts w:ascii="Times New Roman" w:hAnsi="Times New Roman"/>
          <w:noProof/>
          <w:sz w:val="24"/>
        </w:rPr>
      </w:pPr>
      <w:r>
        <w:rPr>
          <w:rFonts w:ascii="Times New Roman" w:hAnsi="Times New Roman"/>
          <w:b/>
          <w:bCs/>
          <w:noProof/>
          <w:sz w:val="24"/>
          <w:szCs w:val="24"/>
        </w:rPr>
        <w:t>12. darbība</w:t>
      </w:r>
      <w:r>
        <w:rPr>
          <w:rFonts w:ascii="Times New Roman" w:hAnsi="Times New Roman"/>
          <w:noProof/>
          <w:sz w:val="24"/>
          <w:szCs w:val="24"/>
        </w:rPr>
        <w:t xml:space="preserve">. Komisija 2022. gadā un pēc tam reizi divos gados kopā ar valstu iestādēm nāks klajā ar SPTAJ tīkla </w:t>
      </w:r>
      <w:r>
        <w:rPr>
          <w:rFonts w:ascii="Times New Roman" w:hAnsi="Times New Roman"/>
          <w:b/>
          <w:bCs/>
          <w:noProof/>
          <w:sz w:val="24"/>
          <w:szCs w:val="24"/>
        </w:rPr>
        <w:t>kopējām</w:t>
      </w:r>
      <w:r>
        <w:rPr>
          <w:rFonts w:ascii="Times New Roman" w:hAnsi="Times New Roman"/>
          <w:noProof/>
          <w:sz w:val="24"/>
          <w:szCs w:val="24"/>
        </w:rPr>
        <w:t xml:space="preserve"> </w:t>
      </w:r>
      <w:r>
        <w:rPr>
          <w:rFonts w:ascii="Times New Roman" w:hAnsi="Times New Roman"/>
          <w:b/>
          <w:bCs/>
          <w:noProof/>
          <w:sz w:val="24"/>
          <w:szCs w:val="24"/>
        </w:rPr>
        <w:t>izpildes prioritātēm</w:t>
      </w:r>
      <w:r>
        <w:rPr>
          <w:rFonts w:ascii="Times New Roman" w:hAnsi="Times New Roman"/>
          <w:noProof/>
          <w:sz w:val="24"/>
          <w:szCs w:val="24"/>
        </w:rPr>
        <w:t>, lai risinātu dažādās nozarēs konstatētas atbilstības problēmas.</w:t>
      </w:r>
    </w:p>
    <w:p>
      <w:pPr>
        <w:pBdr>
          <w:top w:val="single" w:sz="4" w:space="1" w:color="auto"/>
          <w:left w:val="single" w:sz="4" w:space="4" w:color="auto"/>
          <w:bottom w:val="single" w:sz="4" w:space="1" w:color="auto"/>
          <w:right w:val="single" w:sz="4" w:space="4" w:color="auto"/>
        </w:pBdr>
        <w:spacing w:after="240" w:line="240" w:lineRule="auto"/>
        <w:ind w:left="-420"/>
        <w:contextualSpacing/>
        <w:jc w:val="both"/>
        <w:rPr>
          <w:rFonts w:ascii="Times New Roman" w:hAnsi="Times New Roman" w:cs="Times New Roman"/>
          <w:noProof/>
          <w:sz w:val="24"/>
          <w:szCs w:val="24"/>
        </w:rPr>
      </w:pPr>
    </w:p>
    <w:p>
      <w:pPr>
        <w:numPr>
          <w:ilvl w:val="0"/>
          <w:numId w:val="15"/>
        </w:numPr>
        <w:pBdr>
          <w:top w:val="single" w:sz="4" w:space="1" w:color="auto"/>
          <w:left w:val="single" w:sz="4" w:space="4" w:color="auto"/>
          <w:bottom w:val="single" w:sz="4" w:space="1" w:color="auto"/>
          <w:right w:val="single" w:sz="4" w:space="4" w:color="auto"/>
        </w:pBdr>
        <w:spacing w:after="240" w:line="240" w:lineRule="auto"/>
        <w:contextualSpacing/>
        <w:jc w:val="both"/>
        <w:rPr>
          <w:rFonts w:ascii="Times New Roman" w:hAnsi="Times New Roman" w:cs="Times New Roman"/>
          <w:noProof/>
          <w:sz w:val="24"/>
          <w:szCs w:val="24"/>
        </w:rPr>
      </w:pPr>
      <w:r>
        <w:rPr>
          <w:rFonts w:ascii="Times New Roman" w:hAnsi="Times New Roman"/>
          <w:b/>
          <w:bCs/>
          <w:noProof/>
          <w:sz w:val="24"/>
          <w:szCs w:val="24"/>
        </w:rPr>
        <w:t>13. darbība</w:t>
      </w:r>
      <w:r>
        <w:rPr>
          <w:rFonts w:ascii="Times New Roman" w:hAnsi="Times New Roman"/>
          <w:noProof/>
          <w:sz w:val="24"/>
          <w:szCs w:val="24"/>
        </w:rPr>
        <w:t xml:space="preserve">. Līdz 2022. gadam Komisija izvērsīs </w:t>
      </w:r>
      <w:r>
        <w:rPr>
          <w:rFonts w:ascii="Times New Roman" w:hAnsi="Times New Roman"/>
          <w:b/>
          <w:noProof/>
          <w:sz w:val="24"/>
          <w:szCs w:val="24"/>
        </w:rPr>
        <w:t>inovatīvu e-rīku</w:t>
      </w:r>
      <w:r>
        <w:rPr>
          <w:rFonts w:ascii="Times New Roman" w:hAnsi="Times New Roman"/>
          <w:noProof/>
          <w:sz w:val="24"/>
          <w:szCs w:val="24"/>
        </w:rPr>
        <w:t xml:space="preserve"> kopumu, lai stiprinātu valstu iestāžu spēju apkarot nelikumīgu tiešsaistes komercpraksi un identificēt nedrošus produktus, </w:t>
      </w:r>
      <w:r>
        <w:rPr>
          <w:rFonts w:ascii="Times New Roman" w:hAnsi="Times New Roman"/>
          <w:noProof/>
          <w:color w:val="000000"/>
          <w:sz w:val="24"/>
          <w:szCs w:val="24"/>
        </w:rPr>
        <w:t>ievērojot Eiropas Sadarbspējas sistēmas principus</w:t>
      </w:r>
      <w:r>
        <w:rPr>
          <w:rStyle w:val="FootnoteReference"/>
          <w:rFonts w:ascii="Times New Roman" w:hAnsi="Times New Roman" w:cs="Times New Roman"/>
          <w:noProof/>
          <w:color w:val="000000"/>
          <w:sz w:val="24"/>
          <w:szCs w:val="24"/>
          <w:lang w:val="en-IE"/>
        </w:rPr>
        <w:footnoteReference w:id="81"/>
      </w:r>
      <w:r>
        <w:rPr>
          <w:rFonts w:ascii="Times New Roman" w:hAnsi="Times New Roman"/>
          <w:noProof/>
          <w:sz w:val="24"/>
          <w:szCs w:val="24"/>
        </w:rPr>
        <w:t>.</w:t>
      </w:r>
    </w:p>
    <w:p>
      <w:pPr>
        <w:pBdr>
          <w:top w:val="single" w:sz="4" w:space="1" w:color="auto"/>
          <w:left w:val="single" w:sz="4" w:space="4" w:color="auto"/>
          <w:bottom w:val="single" w:sz="4" w:space="1" w:color="auto"/>
          <w:right w:val="single" w:sz="4" w:space="4" w:color="auto"/>
        </w:pBdr>
        <w:spacing w:after="240" w:line="240" w:lineRule="auto"/>
        <w:ind w:left="-420"/>
        <w:contextualSpacing/>
        <w:jc w:val="both"/>
        <w:rPr>
          <w:rFonts w:ascii="Times New Roman" w:hAnsi="Times New Roman"/>
          <w:noProof/>
          <w:sz w:val="24"/>
        </w:rPr>
      </w:pPr>
    </w:p>
    <w:p>
      <w:pPr>
        <w:numPr>
          <w:ilvl w:val="0"/>
          <w:numId w:val="16"/>
        </w:numPr>
        <w:pBdr>
          <w:top w:val="single" w:sz="4" w:space="1" w:color="auto"/>
          <w:left w:val="single" w:sz="4" w:space="4" w:color="auto"/>
          <w:bottom w:val="single" w:sz="4" w:space="1" w:color="auto"/>
          <w:right w:val="single" w:sz="4" w:space="4" w:color="auto"/>
        </w:pBdr>
        <w:spacing w:after="240" w:line="240" w:lineRule="auto"/>
        <w:contextualSpacing/>
        <w:jc w:val="both"/>
        <w:rPr>
          <w:rFonts w:ascii="Times New Roman" w:hAnsi="Times New Roman"/>
          <w:noProof/>
          <w:sz w:val="24"/>
        </w:rPr>
      </w:pPr>
      <w:r>
        <w:rPr>
          <w:rFonts w:ascii="Times New Roman" w:hAnsi="Times New Roman"/>
          <w:b/>
          <w:bCs/>
          <w:noProof/>
          <w:sz w:val="24"/>
          <w:szCs w:val="24"/>
        </w:rPr>
        <w:t>14. darbība.</w:t>
      </w:r>
      <w:r>
        <w:rPr>
          <w:rFonts w:ascii="Times New Roman" w:hAnsi="Times New Roman"/>
          <w:noProof/>
          <w:sz w:val="24"/>
          <w:szCs w:val="24"/>
        </w:rPr>
        <w:t xml:space="preserve"> Līdz 2023. gadam Komisija </w:t>
      </w:r>
      <w:r>
        <w:rPr>
          <w:rFonts w:ascii="Times New Roman" w:hAnsi="Times New Roman"/>
          <w:b/>
          <w:noProof/>
          <w:sz w:val="24"/>
          <w:szCs w:val="24"/>
        </w:rPr>
        <w:t xml:space="preserve">izvērtēs SPTAJ regulas piemērošanu, </w:t>
      </w:r>
      <w:r>
        <w:rPr>
          <w:rFonts w:ascii="Times New Roman" w:hAnsi="Times New Roman"/>
          <w:noProof/>
          <w:sz w:val="24"/>
          <w:szCs w:val="24"/>
        </w:rPr>
        <w:t>jo īpaši, lai novērtētu izpildes efektivitāti, vēršoties pret ES mēroga praksi, kas ir pretrunā ar patērētāju tiesību aizsardzības tiesību aktiem.</w:t>
      </w:r>
    </w:p>
    <w:p>
      <w:pPr>
        <w:spacing w:after="0" w:line="240" w:lineRule="auto"/>
        <w:jc w:val="both"/>
        <w:rPr>
          <w:rFonts w:ascii="Times New Roman" w:hAnsi="Times New Roman" w:cs="Times New Roman"/>
          <w:noProof/>
          <w:sz w:val="24"/>
          <w:szCs w:val="24"/>
        </w:rPr>
      </w:pPr>
    </w:p>
    <w:p>
      <w:pPr>
        <w:numPr>
          <w:ilvl w:val="1"/>
          <w:numId w:val="1"/>
        </w:numPr>
        <w:spacing w:after="240" w:line="240" w:lineRule="auto"/>
        <w:jc w:val="both"/>
        <w:rPr>
          <w:rFonts w:ascii="Times New Roman" w:hAnsi="Times New Roman" w:cs="Times New Roman"/>
          <w:b/>
          <w:noProof/>
          <w:sz w:val="24"/>
          <w:szCs w:val="24"/>
        </w:rPr>
      </w:pPr>
      <w:r>
        <w:rPr>
          <w:rFonts w:ascii="Times New Roman" w:hAnsi="Times New Roman"/>
          <w:b/>
          <w:noProof/>
          <w:sz w:val="24"/>
          <w:szCs w:val="24"/>
        </w:rPr>
        <w:t xml:space="preserve"> Īpašu patērētāju vajadzību apmierināšana </w:t>
      </w:r>
    </w:p>
    <w:p>
      <w:pPr>
        <w:pBdr>
          <w:top w:val="single" w:sz="4" w:space="1" w:color="auto"/>
          <w:left w:val="single" w:sz="4" w:space="4" w:color="auto"/>
          <w:bottom w:val="single" w:sz="4" w:space="6"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hAnsi="Times New Roman" w:cs="Times New Roman"/>
          <w:i/>
          <w:noProof/>
          <w:sz w:val="24"/>
          <w:szCs w:val="24"/>
        </w:rPr>
      </w:pPr>
      <w:r>
        <w:rPr>
          <w:rFonts w:ascii="Times New Roman" w:hAnsi="Times New Roman"/>
          <w:i/>
          <w:noProof/>
          <w:sz w:val="24"/>
          <w:szCs w:val="24"/>
        </w:rPr>
        <w:t>Piemērs: 2018. gadā 10 % ES mājsaimniecību kavēja hipotēkas, īres, komunālo pakalpojumu rēķinu vai aizdevumu maksājumus, un tām draudēja pārmērīgas parādsaistības. Pašreizējā pandēmija saasina situāciju daudziem patērētājiem, kuriem ir parādsaistības. Komisija ir sadarbojusies ar dalībvalstīm un ieinteresētajām personām, lai apzinātu un veicinātu paraugpraksi, kā palīdzēt grūtībās nonākušajiem patērētājiem,</w:t>
      </w:r>
      <w:r>
        <w:rPr>
          <w:rFonts w:ascii="Times New Roman" w:hAnsi="Times New Roman" w:cs="Times New Roman"/>
          <w:noProof/>
          <w:sz w:val="24"/>
          <w:szCs w:val="24"/>
          <w:vertAlign w:val="superscript"/>
          <w:lang w:val="en-GB"/>
        </w:rPr>
        <w:footnoteReference w:id="82"/>
      </w:r>
      <w:r>
        <w:rPr>
          <w:rFonts w:ascii="Times New Roman" w:hAnsi="Times New Roman"/>
          <w:i/>
          <w:noProof/>
          <w:sz w:val="24"/>
          <w:szCs w:val="24"/>
        </w:rPr>
        <w:t xml:space="preserve"> tostarp nodrošināt labāku piekļuvi konsultācijām par parādiem. Pētījumi liecina, ka viens euro, kas iztērēts konsultācijām par aizņēmumiem, var ietaupīt vairāk nekā divus euro sociālo pabalstu jomā.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Patērētāju tiesību aizsardzības politikas instrumenti aizsargā visus patērētājus attiecībās ar profesionāliem tirgotājiem. Tiek pieņemts, ka patērētāji parasti ir vājākā darījuma puse un ka tādēļ ir jāaizsargā viņu veselība, drošība un ekonomiskās intereses. Tomēr dažas patērētāju grupas konkrētās situācijās var būt īpaši neaizsargātas, un tām ir vajadzīgi īpaši aizsardzības pasākumi. </w:t>
      </w:r>
      <w:r>
        <w:rPr>
          <w:rFonts w:ascii="Times New Roman" w:hAnsi="Times New Roman"/>
          <w:b/>
          <w:noProof/>
          <w:sz w:val="24"/>
          <w:szCs w:val="24"/>
        </w:rPr>
        <w:t>Patērētāju neaizsargātību</w:t>
      </w:r>
      <w:r>
        <w:rPr>
          <w:rFonts w:ascii="Times New Roman" w:hAnsi="Times New Roman"/>
          <w:noProof/>
          <w:sz w:val="24"/>
          <w:szCs w:val="24"/>
        </w:rPr>
        <w:t xml:space="preserve"> var veicināt sociālie apstākļi vai atsevišķu patērētāju vai patērētāju grupu īpatnības, piemēram, viņu vecums, dzimums, veselība, digitālās prasmes, rēķinpratība vai finansiālais stāvoklis</w:t>
      </w:r>
      <w:r>
        <w:rPr>
          <w:rFonts w:ascii="Times New Roman" w:hAnsi="Times New Roman" w:cs="Times New Roman"/>
          <w:noProof/>
          <w:sz w:val="24"/>
          <w:szCs w:val="24"/>
          <w:vertAlign w:val="superscript"/>
          <w:lang w:val="en-GB"/>
        </w:rPr>
        <w:footnoteReference w:id="83"/>
      </w:r>
      <w:r>
        <w:rPr>
          <w:rFonts w:ascii="Times New Roman" w:hAnsi="Times New Roman"/>
          <w:noProof/>
          <w:sz w:val="24"/>
          <w:szCs w:val="24"/>
        </w:rPr>
        <w:t xml:space="preserve">. Pieejamības trūkums var sekmēt vecāka gadagājuma cilvēku vai cilvēku ar invaliditāti atstumtību vai ierobežot viņu saskarsmes iespējas. Šos neaizsargātības veidus, iespējams, ir saasinājusi pašreizējā pandēmija, tomēr tie pastāv neatkarīgi no tās.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Pašlaik īpašas bažas rada daudzu ES mājsaimniecību pieaugošā </w:t>
      </w:r>
      <w:r>
        <w:rPr>
          <w:rFonts w:ascii="Times New Roman" w:hAnsi="Times New Roman"/>
          <w:b/>
          <w:bCs/>
          <w:noProof/>
          <w:sz w:val="24"/>
          <w:szCs w:val="24"/>
        </w:rPr>
        <w:t>finansiālā neaizsargātība</w:t>
      </w:r>
      <w:r>
        <w:rPr>
          <w:rFonts w:ascii="Times New Roman" w:hAnsi="Times New Roman"/>
          <w:noProof/>
          <w:sz w:val="24"/>
          <w:szCs w:val="24"/>
        </w:rPr>
        <w:t>. Saskaņā ar nesen veiktu apsekojumu 21 dalībvalstī kopš Covid-19 krīzes sākuma 6 no 10 patērētājiem ir saskārušies ar finansiālām grūtībām</w:t>
      </w:r>
      <w:r>
        <w:rPr>
          <w:rFonts w:ascii="Times New Roman" w:hAnsi="Times New Roman" w:cs="Times New Roman"/>
          <w:noProof/>
          <w:sz w:val="24"/>
          <w:szCs w:val="24"/>
          <w:vertAlign w:val="superscript"/>
          <w:lang w:val="en-GB"/>
        </w:rPr>
        <w:footnoteReference w:id="84"/>
      </w:r>
      <w:r>
        <w:rPr>
          <w:rFonts w:ascii="Times New Roman" w:hAnsi="Times New Roman"/>
          <w:noProof/>
          <w:sz w:val="24"/>
          <w:szCs w:val="24"/>
        </w:rPr>
        <w:t xml:space="preserve">, kas var izraisīt pārmērīgas parādsaistības. </w:t>
      </w:r>
      <w:r>
        <w:rPr>
          <w:rFonts w:ascii="Times New Roman" w:hAnsi="Times New Roman"/>
          <w:b/>
          <w:noProof/>
          <w:sz w:val="24"/>
          <w:szCs w:val="24"/>
        </w:rPr>
        <w:t>Konsultācijas par parādu</w:t>
      </w:r>
      <w:r>
        <w:rPr>
          <w:rFonts w:ascii="Times New Roman" w:hAnsi="Times New Roman"/>
          <w:noProof/>
          <w:sz w:val="24"/>
          <w:szCs w:val="24"/>
        </w:rPr>
        <w:t xml:space="preserve"> ir izrādījies efektīvs veids, kā palīdzēt patērētājiem ar pārmērīgām parādsaistībām atgriezties pie finansiālās ilgtspējas, vienlaikus nodrošinot, ka tiek atmaksāti kreditoru prasījumi. Komisija apkopo paraugpraksi dalībvalstīs, pārbaudot to atkārtošanas potenciālu un apzinot finansējuma vajadzības un iespējas saskaņā ar jauno DFS. Komisija 2020. gada jūnijā publicēja arī atjaunināto Eiropas Ētikas kodeksu mikrokredītu nodrošināšanai</w:t>
      </w:r>
      <w:r>
        <w:rPr>
          <w:rFonts w:ascii="Times New Roman" w:hAnsi="Times New Roman" w:cs="Times New Roman"/>
          <w:noProof/>
          <w:sz w:val="24"/>
          <w:szCs w:val="24"/>
          <w:vertAlign w:val="superscript"/>
          <w:lang w:val="en-GB"/>
        </w:rPr>
        <w:footnoteReference w:id="85"/>
      </w:r>
      <w:r>
        <w:rPr>
          <w:rFonts w:ascii="Times New Roman" w:hAnsi="Times New Roman"/>
          <w:noProof/>
          <w:sz w:val="24"/>
          <w:szCs w:val="24"/>
        </w:rPr>
        <w:t>. Pārskatot Patēriņa kredītu direktīvu</w:t>
      </w:r>
      <w:r>
        <w:rPr>
          <w:rFonts w:ascii="Times New Roman" w:hAnsi="Times New Roman" w:cs="Times New Roman"/>
          <w:noProof/>
          <w:sz w:val="24"/>
          <w:szCs w:val="24"/>
          <w:vertAlign w:val="superscript"/>
          <w:lang w:val="en-GB"/>
        </w:rPr>
        <w:footnoteReference w:id="86"/>
      </w:r>
      <w:r>
        <w:rPr>
          <w:rFonts w:ascii="Times New Roman" w:hAnsi="Times New Roman"/>
          <w:bCs/>
          <w:noProof/>
          <w:sz w:val="24"/>
          <w:szCs w:val="24"/>
        </w:rPr>
        <w:t xml:space="preserve">, tiks </w:t>
      </w:r>
      <w:r>
        <w:rPr>
          <w:rFonts w:ascii="Times New Roman" w:hAnsi="Times New Roman"/>
          <w:noProof/>
          <w:sz w:val="24"/>
          <w:szCs w:val="24"/>
        </w:rPr>
        <w:t xml:space="preserve">izvērtētas iespējas uzlabot noteikumus, kas nodrošina, ka kredītu piešķir tikai kopā ar patērētāja kredītspējas rūpīgu novērtējumu. Patērētājiem ir jāsaņem visa nepieciešamā un atbilstošā informācija un konsultācijas pirms līguma noslēgšanas, lai varētu izdarīt apzinātu izvēli, slēdzot kredītlīgumus.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hAnsi="Times New Roman" w:cs="Times New Roman"/>
          <w:noProof/>
          <w:sz w:val="24"/>
          <w:szCs w:val="24"/>
        </w:rPr>
      </w:pPr>
      <w:r>
        <w:rPr>
          <w:rFonts w:ascii="Times New Roman" w:hAnsi="Times New Roman"/>
          <w:noProof/>
          <w:sz w:val="24"/>
          <w:szCs w:val="24"/>
        </w:rPr>
        <w:t>Šie pasākumi ir būtiski, lai saskaņotu patērētāju finansējuma vajadzības ar viņu spēju atmaksāt un tādējādi samazinātu maksājumu saistību neizpildes un pārmērīgu parādsaistību risku. Tomēr dažkārt var būt situācijas, kad patērētājiem nav iespēju atmaksāt parādus noteiktajā termiņā. Attiecīgi var būt nepieciešams izvērtēt vispiemērotākos līdzekļus patērētāju pārmērīgu parādsaistību novēršanai, tostarp parādu dzēšanu</w:t>
      </w:r>
      <w:r>
        <w:rPr>
          <w:rFonts w:ascii="Times New Roman" w:hAnsi="Times New Roman" w:cs="Times New Roman"/>
          <w:noProof/>
          <w:sz w:val="24"/>
          <w:szCs w:val="24"/>
          <w:vertAlign w:val="superscript"/>
          <w:lang w:val="en-GB"/>
        </w:rPr>
        <w:footnoteReference w:id="87"/>
      </w:r>
      <w:r>
        <w:rPr>
          <w:rFonts w:ascii="Times New Roman" w:hAnsi="Times New Roman"/>
          <w:noProof/>
          <w:sz w:val="24"/>
          <w:szCs w:val="24"/>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Pieejamība cenas ziņā ir būtiska, lai patērētājiem ar </w:t>
      </w:r>
      <w:r>
        <w:rPr>
          <w:rFonts w:ascii="Times New Roman" w:hAnsi="Times New Roman"/>
          <w:b/>
          <w:noProof/>
          <w:sz w:val="24"/>
          <w:szCs w:val="24"/>
        </w:rPr>
        <w:t>zemiem ienākumiem</w:t>
      </w:r>
      <w:r>
        <w:rPr>
          <w:rFonts w:ascii="Times New Roman" w:hAnsi="Times New Roman"/>
          <w:noProof/>
          <w:sz w:val="24"/>
          <w:szCs w:val="24"/>
        </w:rPr>
        <w:t xml:space="preserve"> nodrošinātu piekļuvi produktiem un pakalpojumiem, kā to ir uzsvēris Eiropas Sociālās politikas tīkls</w:t>
      </w:r>
      <w:r>
        <w:rPr>
          <w:rFonts w:ascii="Times New Roman" w:hAnsi="Times New Roman" w:cs="Times New Roman"/>
          <w:noProof/>
          <w:sz w:val="24"/>
          <w:szCs w:val="24"/>
          <w:vertAlign w:val="superscript"/>
          <w:lang w:val="en-GB"/>
        </w:rPr>
        <w:footnoteReference w:id="88"/>
      </w:r>
      <w:r>
        <w:rPr>
          <w:rFonts w:ascii="Times New Roman" w:hAnsi="Times New Roman"/>
          <w:noProof/>
          <w:sz w:val="24"/>
          <w:szCs w:val="24"/>
        </w:rPr>
        <w:t>. Dažas dalībvalstis līdztekus sociālās aizsardzības pasākumiem izmanto patērētāju tiesību aizsardzības pasākumus, lai sniegtu risinājumus cilvēkiem ar zemiem ienākumiem. Komisijas ieteikumā par enerģētisko nabadzību</w:t>
      </w:r>
      <w:r>
        <w:rPr>
          <w:rFonts w:ascii="Times New Roman" w:hAnsi="Times New Roman" w:cs="Times New Roman"/>
          <w:noProof/>
          <w:sz w:val="24"/>
          <w:szCs w:val="24"/>
          <w:vertAlign w:val="superscript"/>
          <w:lang w:val="en-GB"/>
        </w:rPr>
        <w:footnoteReference w:id="89"/>
      </w:r>
      <w:r>
        <w:rPr>
          <w:rFonts w:ascii="Times New Roman" w:hAnsi="Times New Roman"/>
          <w:noProof/>
          <w:sz w:val="24"/>
          <w:szCs w:val="24"/>
        </w:rPr>
        <w:t xml:space="preserve"> dalībvalstīm ir sniegti norādījumi par to, kā risināt enerģiskās nabadzības problēmu, lai nodrošinātu patērētāju tiesības neaizsargātiem enerģijas patērētājiem.</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hAnsi="Times New Roman" w:cs="Times New Roman"/>
          <w:noProof/>
          <w:sz w:val="24"/>
          <w:szCs w:val="24"/>
        </w:rPr>
      </w:pPr>
      <w:r>
        <w:rPr>
          <w:rFonts w:ascii="Times New Roman" w:hAnsi="Times New Roman"/>
          <w:b/>
          <w:noProof/>
          <w:sz w:val="24"/>
          <w:szCs w:val="24"/>
        </w:rPr>
        <w:t>Vecāka gadagājuma cilvēkiem un cilvēkiem ar invaliditāti</w:t>
      </w:r>
      <w:r>
        <w:rPr>
          <w:rFonts w:ascii="Times New Roman" w:hAnsi="Times New Roman"/>
          <w:noProof/>
          <w:sz w:val="24"/>
          <w:szCs w:val="24"/>
        </w:rPr>
        <w:t xml:space="preserve"> attiecībā uz patēriņu ir īpašas vajadzības. Ir svarīgi nodrošināt piekļuvi skaidrai, lietotājdraudzīgai un pieejamai informācijai gan tiešsaistē, gan bezsaistē saskaņā ar ES produktu un pakalpojumu pieejamības prasībām</w:t>
      </w:r>
      <w:r>
        <w:rPr>
          <w:rFonts w:ascii="Times New Roman" w:hAnsi="Times New Roman" w:cs="Times New Roman"/>
          <w:noProof/>
          <w:sz w:val="24"/>
          <w:szCs w:val="24"/>
          <w:vertAlign w:val="superscript"/>
          <w:lang w:val="en-GB"/>
        </w:rPr>
        <w:footnoteReference w:id="90"/>
      </w:r>
      <w:r>
        <w:rPr>
          <w:rFonts w:ascii="Times New Roman" w:hAnsi="Times New Roman"/>
          <w:noProof/>
          <w:sz w:val="24"/>
          <w:szCs w:val="24"/>
        </w:rPr>
        <w:t xml:space="preserve">. Vecāka gadagājuma patērētājiem un patērētājiem ar invaliditāti ir vajadzīgi arī pieejami produkti un palīgtehnoloģijas, kas ir saderīgas ar vispārējām tehnoloģijām. Īstenojot taisnīgu un nediskriminējošu pieeju digitālās pārveides sekmēšanai, jāņem vērā vecāka gadagājuma patērētāju, patērētāju ar invaliditāti un plašākā mērogā “bezsaistes” tirgus dalībnieku vajadzības, kuri var būt mazāk pazīstami ar digitālajiem rīkiem vai kuriem ir grūtāk tiem pielāgoties un kuri ir vairāk pakļauti riskam kļūt par krāpšanas upuriem. Dažu dalībvalstu pieredze liecina, ka ļoti efektīvi ir tādi risinājumi kā </w:t>
      </w:r>
      <w:r>
        <w:rPr>
          <w:rFonts w:ascii="Times New Roman" w:hAnsi="Times New Roman"/>
          <w:b/>
          <w:noProof/>
          <w:sz w:val="24"/>
          <w:szCs w:val="24"/>
        </w:rPr>
        <w:t>vietējās</w:t>
      </w:r>
      <w:r>
        <w:rPr>
          <w:rFonts w:ascii="Times New Roman" w:hAnsi="Times New Roman"/>
          <w:noProof/>
          <w:sz w:val="24"/>
          <w:szCs w:val="24"/>
        </w:rPr>
        <w:t xml:space="preserve"> </w:t>
      </w:r>
      <w:r>
        <w:rPr>
          <w:rFonts w:ascii="Times New Roman" w:hAnsi="Times New Roman"/>
          <w:b/>
          <w:bCs/>
          <w:noProof/>
          <w:sz w:val="24"/>
          <w:szCs w:val="24"/>
        </w:rPr>
        <w:t>iniciatīvas</w:t>
      </w:r>
      <w:r>
        <w:rPr>
          <w:rFonts w:ascii="Times New Roman" w:hAnsi="Times New Roman"/>
          <w:noProof/>
          <w:sz w:val="24"/>
          <w:szCs w:val="24"/>
        </w:rPr>
        <w:t xml:space="preserve">, kas sniedz konsultācijas </w:t>
      </w:r>
      <w:r>
        <w:rPr>
          <w:rFonts w:ascii="Times New Roman" w:hAnsi="Times New Roman"/>
          <w:noProof/>
          <w:sz w:val="24"/>
          <w:szCs w:val="24"/>
          <w:bdr w:val="none" w:sz="0" w:space="0" w:color="auto" w:frame="1"/>
        </w:rPr>
        <w:t xml:space="preserve">patērētājiem </w:t>
      </w:r>
      <w:r>
        <w:rPr>
          <w:rFonts w:ascii="Times New Roman" w:hAnsi="Times New Roman"/>
          <w:noProof/>
          <w:sz w:val="24"/>
          <w:szCs w:val="24"/>
        </w:rPr>
        <w:t>lauku apvidos vai pilsētu rajonos</w:t>
      </w:r>
      <w:r>
        <w:rPr>
          <w:rFonts w:ascii="Times New Roman" w:hAnsi="Times New Roman" w:cs="Times New Roman"/>
          <w:noProof/>
          <w:sz w:val="24"/>
          <w:szCs w:val="24"/>
          <w:vertAlign w:val="superscript"/>
          <w:lang w:val="en-GB"/>
        </w:rPr>
        <w:footnoteReference w:id="91"/>
      </w:r>
      <w:r>
        <w:rPr>
          <w:rFonts w:ascii="Times New Roman" w:hAnsi="Times New Roman"/>
          <w:noProof/>
          <w:sz w:val="24"/>
          <w:szCs w:val="24"/>
        </w:rPr>
        <w:t>. Sociālās ekonomikas organizācijas ir īpaši piemērotas, lai risinātu šīs vajadzības, jo tās atrodas tuvu vietējām un lauku kopienām. Līdzīgas iniciatīvas varētu veicināt, īstenojot kopīgu rīcību ES līmenī saskaņā ar nākamo DFS.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hAnsi="Times New Roman" w:cs="Times New Roman"/>
          <w:noProof/>
          <w:sz w:val="24"/>
          <w:szCs w:val="24"/>
        </w:rPr>
      </w:pPr>
      <w:r>
        <w:rPr>
          <w:rFonts w:ascii="Times New Roman" w:hAnsi="Times New Roman"/>
          <w:b/>
          <w:bCs/>
          <w:noProof/>
          <w:sz w:val="24"/>
          <w:szCs w:val="24"/>
        </w:rPr>
        <w:t>Bērni un nepilngadīgie</w:t>
      </w:r>
      <w:r>
        <w:rPr>
          <w:rFonts w:ascii="Times New Roman" w:hAnsi="Times New Roman"/>
          <w:noProof/>
          <w:sz w:val="24"/>
          <w:szCs w:val="24"/>
        </w:rPr>
        <w:t xml:space="preserve"> ir īpaši pakļauti maldinošai vai agresīvai komercpraksei, piemēram, tiešsaistes spēlēm un tirgvedībai sociālajos plašsaziņas līdzekļos. Ir svarīgi vairāk ieguldīt, </w:t>
      </w:r>
      <w:r>
        <w:rPr>
          <w:rFonts w:ascii="Times New Roman" w:hAnsi="Times New Roman"/>
          <w:b/>
          <w:noProof/>
          <w:sz w:val="24"/>
          <w:szCs w:val="24"/>
        </w:rPr>
        <w:t>izglītojot patērētājus</w:t>
      </w:r>
      <w:r>
        <w:rPr>
          <w:rFonts w:ascii="Times New Roman" w:hAnsi="Times New Roman"/>
          <w:noProof/>
          <w:sz w:val="24"/>
          <w:szCs w:val="24"/>
        </w:rPr>
        <w:t xml:space="preserve">  visa mūža garumā </w:t>
      </w:r>
      <w:r>
        <w:rPr>
          <w:rFonts w:ascii="Times New Roman" w:hAnsi="Times New Roman"/>
          <w:b/>
          <w:noProof/>
          <w:sz w:val="24"/>
          <w:szCs w:val="24"/>
        </w:rPr>
        <w:t>un veicinot cilvēku izpratni</w:t>
      </w:r>
      <w:r>
        <w:rPr>
          <w:rFonts w:ascii="Times New Roman" w:hAnsi="Times New Roman"/>
          <w:noProof/>
          <w:sz w:val="24"/>
          <w:szCs w:val="24"/>
        </w:rPr>
        <w:t xml:space="preserve"> visos dzīves posmos, sākot no skolas vecuma Tāpat ir jāveicina finanšpratība, kas ir būtiska prasme, lai patērētāji varētu pieņemt pārdomātus lēmumus par savām personīgajām finansēm</w:t>
      </w:r>
      <w:r>
        <w:rPr>
          <w:rFonts w:ascii="Times New Roman" w:hAnsi="Times New Roman" w:cs="Times New Roman"/>
          <w:noProof/>
          <w:sz w:val="24"/>
          <w:szCs w:val="24"/>
          <w:vertAlign w:val="superscript"/>
          <w:lang w:val="en-IE"/>
        </w:rPr>
        <w:footnoteReference w:id="92"/>
      </w:r>
      <w:r>
        <w:rPr>
          <w:rFonts w:ascii="Times New Roman" w:hAnsi="Times New Roman"/>
          <w:noProof/>
          <w:sz w:val="24"/>
          <w:szCs w:val="24"/>
        </w:rPr>
        <w:t xml:space="preserve">. Labāka darbību koordinēšana starp galvenajiem dalībniekiem valsts un ES līmenī, aptverot tādus jautājumus kā piekļuve tiešsaistes mācību materiāliem un spēju veidošana, varētu palīdzēt panākt sinerģiju, nepārtrauktu inovāciju, jaunu tiešsaistes un pedagoģisko pieeju pielāgošanu un izmantošanu, tostarp izveidojot tiešsaistes platformas un citus rīkus.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hAnsi="Times New Roman" w:cs="Times New Roman"/>
          <w:noProof/>
          <w:sz w:val="24"/>
          <w:szCs w:val="24"/>
        </w:rPr>
      </w:pPr>
      <w:r>
        <w:rPr>
          <w:rFonts w:ascii="Times New Roman" w:hAnsi="Times New Roman"/>
          <w:noProof/>
          <w:sz w:val="24"/>
          <w:szCs w:val="24"/>
        </w:rPr>
        <w:t>Bērni ir īpaši pakļauti riskiem, kas saistīti ar produktiem</w:t>
      </w:r>
      <w:r>
        <w:rPr>
          <w:rFonts w:ascii="Times New Roman" w:hAnsi="Times New Roman"/>
          <w:noProof/>
          <w:sz w:val="24"/>
          <w:szCs w:val="24"/>
          <w:vertAlign w:val="superscript"/>
          <w:lang w:val="en-GB"/>
        </w:rPr>
        <w:footnoteReference w:id="93"/>
      </w:r>
      <w:r>
        <w:rPr>
          <w:rFonts w:ascii="Times New Roman" w:hAnsi="Times New Roman"/>
          <w:noProof/>
          <w:sz w:val="24"/>
          <w:szCs w:val="24"/>
        </w:rPr>
        <w:t xml:space="preserve">. No visiem produktiem, kas sistēmā Safety Gate/RAPEX 2019. gadā tika paziņoti kā bīstami, 32 % bija rotaļlietas vai bērnu aprūpes produkti. Papildus Direktīvas par produktu vispārēju drošību pārskatīšanai un vispārējā regulējuma stiprināšanai Komisija izstrādās </w:t>
      </w:r>
      <w:r>
        <w:rPr>
          <w:rFonts w:ascii="Times New Roman" w:hAnsi="Times New Roman"/>
          <w:b/>
          <w:noProof/>
          <w:sz w:val="24"/>
          <w:szCs w:val="24"/>
        </w:rPr>
        <w:t>atjauninātas drošuma prasības attiecībā uz standartiem par produktiem, kas paredzēti bērniem</w:t>
      </w:r>
      <w:r>
        <w:rPr>
          <w:rFonts w:ascii="Times New Roman" w:hAnsi="Times New Roman"/>
          <w:noProof/>
          <w:sz w:val="24"/>
          <w:szCs w:val="24"/>
        </w:rPr>
        <w:t xml:space="preserve">. Komisija arī plāno atbalstīt bērnu produktu paraugu ņemšanu un testēšanu, </w:t>
      </w:r>
      <w:r>
        <w:rPr>
          <w:rFonts w:ascii="Times New Roman" w:hAnsi="Times New Roman" w:cs="Times New Roman"/>
          <w:noProof/>
          <w:sz w:val="24"/>
          <w:szCs w:val="24"/>
          <w:vertAlign w:val="superscript"/>
          <w:lang w:val="en-GB"/>
        </w:rPr>
        <w:footnoteReference w:id="94"/>
      </w:r>
      <w:r>
        <w:rPr>
          <w:rFonts w:ascii="Times New Roman" w:hAnsi="Times New Roman"/>
          <w:noProof/>
          <w:sz w:val="24"/>
          <w:szCs w:val="24"/>
        </w:rPr>
        <w:t>dalībvalstīm veicot koordinētus tirgus uzraudzības pasākumus</w:t>
      </w:r>
      <w:r>
        <w:rPr>
          <w:rFonts w:ascii="Times New Roman" w:hAnsi="Times New Roman" w:cs="Times New Roman"/>
          <w:noProof/>
          <w:sz w:val="24"/>
          <w:szCs w:val="24"/>
          <w:vertAlign w:val="superscript"/>
          <w:lang w:val="en-GB"/>
        </w:rPr>
        <w:footnoteReference w:id="95"/>
      </w:r>
      <w:r>
        <w:rPr>
          <w:rFonts w:ascii="Times New Roman" w:hAnsi="Times New Roman"/>
          <w:noProof/>
          <w:sz w:val="24"/>
          <w:szCs w:val="24"/>
        </w:rPr>
        <w:t xml:space="preserve">. Turklāt ES Preču drošības balvas 2021. gada konkursā tiks iekļauta bērnu un citu neaizsargātu grupu drošības aizsardzība, lai veicinātu labāko darījumdarbības praksi šajā jomā. </w:t>
      </w:r>
    </w:p>
    <w:p>
      <w:pPr>
        <w:spacing w:after="240" w:line="240" w:lineRule="auto"/>
        <w:jc w:val="both"/>
        <w:rPr>
          <w:noProof/>
        </w:rPr>
      </w:pPr>
      <w:r>
        <w:rPr>
          <w:rFonts w:ascii="Times New Roman" w:hAnsi="Times New Roman"/>
          <w:noProof/>
          <w:sz w:val="24"/>
          <w:szCs w:val="24"/>
        </w:rPr>
        <w:t>Direktīva 2004/113/EK</w:t>
      </w:r>
      <w:r>
        <w:rPr>
          <w:rFonts w:ascii="Times New Roman" w:hAnsi="Times New Roman" w:cs="Times New Roman"/>
          <w:noProof/>
          <w:sz w:val="24"/>
          <w:szCs w:val="24"/>
          <w:vertAlign w:val="superscript"/>
          <w:lang w:val="en-GB"/>
        </w:rPr>
        <w:footnoteReference w:id="96"/>
      </w:r>
      <w:r>
        <w:rPr>
          <w:rFonts w:ascii="Times New Roman" w:hAnsi="Times New Roman"/>
          <w:noProof/>
          <w:sz w:val="24"/>
          <w:szCs w:val="24"/>
        </w:rPr>
        <w:t xml:space="preserve">paredz </w:t>
      </w:r>
      <w:r>
        <w:rPr>
          <w:rFonts w:ascii="Times New Roman" w:hAnsi="Times New Roman"/>
          <w:b/>
          <w:noProof/>
          <w:sz w:val="24"/>
          <w:szCs w:val="24"/>
        </w:rPr>
        <w:t>vienlīdzīgu attieksmi</w:t>
      </w:r>
      <w:r>
        <w:rPr>
          <w:rFonts w:ascii="Times New Roman" w:hAnsi="Times New Roman"/>
          <w:noProof/>
          <w:sz w:val="24"/>
          <w:szCs w:val="24"/>
        </w:rPr>
        <w:t xml:space="preserve"> pret vīriešiem un sievietēm attiecībā uz pieeju precēm un pakalpojumiem, preču piegādi un pakalpojumu sniegšanu. Tas nodrošina aizsardzību, piemēram, pret atteikumu grūtniecēm piekļūt kredītpakalpojumiem, pamatojoties uz paredzamo iespējamo ienākumu zaudējumu, un vientuļo māšu izslēgšanu no konkrētiem finanšu pakalpojumiem, pamatojoties uz pieņēmumu par augstāku saistību neizpildes risku.</w:t>
      </w:r>
      <w:r>
        <w:rPr>
          <w:noProof/>
        </w:rPr>
        <w:t xml:space="preserve"> </w:t>
      </w:r>
      <w:r>
        <w:rPr>
          <w:rFonts w:ascii="Times New Roman" w:hAnsi="Times New Roman"/>
          <w:noProof/>
          <w:sz w:val="24"/>
          <w:szCs w:val="24"/>
        </w:rPr>
        <w:t>Turklāt ar Direktīvu 2000/43/EK</w:t>
      </w:r>
      <w:r>
        <w:rPr>
          <w:rStyle w:val="FootnoteReference"/>
          <w:rFonts w:ascii="Times New Roman" w:hAnsi="Times New Roman" w:cs="Times New Roman"/>
          <w:noProof/>
          <w:sz w:val="24"/>
          <w:szCs w:val="24"/>
        </w:rPr>
        <w:footnoteReference w:id="97"/>
      </w:r>
      <w:r>
        <w:rPr>
          <w:rFonts w:ascii="Times New Roman" w:hAnsi="Times New Roman"/>
          <w:noProof/>
          <w:sz w:val="24"/>
          <w:szCs w:val="24"/>
        </w:rPr>
        <w:t xml:space="preserve"> tiek izveidota sistēma cīņai pret diskrimināciju rases vai etniskās piederības dēļ, lai dalībvalstīs īstenotu vienlīdzīgas attieksmes principu.</w:t>
      </w:r>
      <w:r>
        <w:rPr>
          <w:noProof/>
        </w:rPr>
        <w:t xml:space="preserve"> </w:t>
      </w:r>
    </w:p>
    <w:p>
      <w:pPr>
        <w:spacing w:after="240" w:line="240" w:lineRule="auto"/>
        <w:jc w:val="both"/>
        <w:rPr>
          <w:rFonts w:ascii="Times New Roman" w:hAnsi="Times New Roman" w:cs="Times New Roman"/>
          <w:noProof/>
          <w:sz w:val="24"/>
          <w:szCs w:val="24"/>
        </w:rPr>
      </w:pPr>
      <w:r>
        <w:rPr>
          <w:rFonts w:ascii="Times New Roman" w:hAnsi="Times New Roman"/>
          <w:b/>
          <w:noProof/>
          <w:sz w:val="24"/>
          <w:szCs w:val="24"/>
        </w:rPr>
        <w:t>Diskriminācijas risku</w:t>
      </w:r>
      <w:r>
        <w:rPr>
          <w:rFonts w:ascii="Times New Roman" w:hAnsi="Times New Roman"/>
          <w:noProof/>
          <w:sz w:val="24"/>
          <w:szCs w:val="24"/>
        </w:rPr>
        <w:t xml:space="preserve"> reizēm palielina </w:t>
      </w:r>
      <w:r>
        <w:rPr>
          <w:rFonts w:ascii="Times New Roman" w:hAnsi="Times New Roman"/>
          <w:b/>
          <w:noProof/>
          <w:sz w:val="24"/>
          <w:szCs w:val="24"/>
        </w:rPr>
        <w:t>algoritmi</w:t>
      </w:r>
      <w:r>
        <w:rPr>
          <w:rFonts w:ascii="Times New Roman" w:hAnsi="Times New Roman"/>
          <w:noProof/>
          <w:sz w:val="24"/>
          <w:szCs w:val="24"/>
        </w:rPr>
        <w:t>, kurus izmanto daži preču un pakalpojumu sniedzēji</w:t>
      </w:r>
      <w:r>
        <w:rPr>
          <w:rFonts w:ascii="Times New Roman" w:hAnsi="Times New Roman"/>
          <w:b/>
          <w:noProof/>
          <w:sz w:val="24"/>
          <w:szCs w:val="24"/>
        </w:rPr>
        <w:t xml:space="preserve"> </w:t>
      </w:r>
      <w:r>
        <w:rPr>
          <w:rFonts w:ascii="Times New Roman" w:hAnsi="Times New Roman"/>
          <w:noProof/>
          <w:sz w:val="24"/>
          <w:szCs w:val="24"/>
        </w:rPr>
        <w:t>un kurus var formulēt, pamatojoties uz noteiktiem aizspriedumiem</w:t>
      </w:r>
      <w:r>
        <w:rPr>
          <w:rFonts w:ascii="Times New Roman" w:hAnsi="Times New Roman"/>
          <w:b/>
          <w:noProof/>
          <w:sz w:val="24"/>
          <w:szCs w:val="24"/>
        </w:rPr>
        <w:t>, kas bieži vien izriet no jau pastāvošām vēlmēm kultūras vai sociālā jomā.</w:t>
      </w:r>
      <w:r>
        <w:rPr>
          <w:rFonts w:ascii="Times New Roman" w:hAnsi="Times New Roman"/>
          <w:noProof/>
          <w:sz w:val="24"/>
          <w:szCs w:val="24"/>
        </w:rPr>
        <w:t xml:space="preserve"> Tā kā tas var izraisīt diskrimināciju patērētāju vidū kopumā, tas bieži skar noteiktas grupas vairāk nekā citas, jo īpaši rasu vai etniskās minoritātes piederības dēļ</w:t>
      </w:r>
      <w:r>
        <w:rPr>
          <w:rStyle w:val="FootnoteReference"/>
          <w:rFonts w:ascii="Times New Roman" w:hAnsi="Times New Roman" w:cs="Times New Roman"/>
          <w:noProof/>
          <w:sz w:val="24"/>
          <w:szCs w:val="24"/>
        </w:rPr>
        <w:footnoteReference w:id="98"/>
      </w:r>
      <w:r>
        <w:rPr>
          <w:rFonts w:ascii="Times New Roman" w:hAnsi="Times New Roman"/>
          <w:noProof/>
          <w:sz w:val="24"/>
          <w:szCs w:val="24"/>
        </w:rPr>
        <w:t>. Gaidāmais priekšlikums par horizontālo tiesisko regulējumu attiecībā uz mākslīgo intelektu būs vērsts uz to, lai konkrēti risinātu jautājumu par aizspriedumu un diskriminācijas riska mazināšanu, to iestrādājot algoritmiskās sistēmās.</w:t>
      </w:r>
    </w:p>
    <w:p>
      <w:pPr>
        <w:spacing w:after="240" w:line="240" w:lineRule="auto"/>
        <w:jc w:val="both"/>
        <w:rPr>
          <w:rFonts w:ascii="Times New Roman" w:hAnsi="Times New Roman" w:cs="Times New Roman"/>
          <w:noProof/>
          <w:sz w:val="24"/>
          <w:szCs w:val="24"/>
        </w:rPr>
      </w:pPr>
      <w:r>
        <w:rPr>
          <w:rFonts w:ascii="Times New Roman" w:hAnsi="Times New Roman"/>
          <w:noProof/>
          <w:sz w:val="24"/>
          <w:szCs w:val="24"/>
        </w:rPr>
        <w:t>Visbeidzot, gūtie pierādījumi uzvedības ekonomikas jomā</w:t>
      </w:r>
      <w:r>
        <w:rPr>
          <w:rFonts w:ascii="Times New Roman" w:hAnsi="Times New Roman" w:cs="Times New Roman"/>
          <w:noProof/>
          <w:sz w:val="24"/>
          <w:szCs w:val="24"/>
          <w:vertAlign w:val="superscript"/>
          <w:lang w:val="en-GB"/>
        </w:rPr>
        <w:footnoteReference w:id="99"/>
      </w:r>
      <w:r>
        <w:rPr>
          <w:rFonts w:ascii="Times New Roman" w:hAnsi="Times New Roman"/>
          <w:noProof/>
          <w:sz w:val="24"/>
          <w:szCs w:val="24"/>
        </w:rPr>
        <w:t xml:space="preserve"> liecina, ka patērētāju uzvedību bieži ietekmē kognitīvi aizspriedumi, jo īpaši tiešsaistē, kurus tirgotāji var izmantot komerciālos nolūkos. Šādi </w:t>
      </w:r>
      <w:r>
        <w:rPr>
          <w:rFonts w:ascii="Times New Roman" w:hAnsi="Times New Roman"/>
          <w:b/>
          <w:noProof/>
          <w:sz w:val="24"/>
          <w:szCs w:val="24"/>
        </w:rPr>
        <w:t>jauni riska veidi</w:t>
      </w:r>
      <w:r>
        <w:rPr>
          <w:rFonts w:ascii="Times New Roman" w:hAnsi="Times New Roman"/>
          <w:noProof/>
          <w:sz w:val="24"/>
          <w:szCs w:val="24"/>
        </w:rPr>
        <w:t xml:space="preserve"> var </w:t>
      </w:r>
      <w:r>
        <w:rPr>
          <w:rFonts w:ascii="Times New Roman" w:hAnsi="Times New Roman"/>
          <w:b/>
          <w:noProof/>
          <w:sz w:val="24"/>
          <w:szCs w:val="24"/>
        </w:rPr>
        <w:t>skart gandrīz visus patērētājus</w:t>
      </w:r>
      <w:r>
        <w:rPr>
          <w:rFonts w:ascii="Times New Roman" w:hAnsi="Times New Roman"/>
          <w:noProof/>
          <w:sz w:val="24"/>
          <w:szCs w:val="24"/>
        </w:rPr>
        <w:t>. Pārredzamības pienākumiem neapšaubāmi ir būtiska nozīme, lai novērstu informācijas asimetriju (kā minēts arī iepriekš saistībā ar digitālo pārveidi), taču ir vajadzīgs papildu novērtējums, lai noteiktu, vai ir nepieciešami papildu pasākumi šīs dinamiskās neaizsargātības formas risināšanai.</w:t>
      </w:r>
    </w:p>
    <w:p>
      <w:pPr>
        <w:numPr>
          <w:ilvl w:val="0"/>
          <w:numId w:val="17"/>
        </w:num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hAnsi="Times New Roman" w:cs="Times New Roman"/>
          <w:noProof/>
          <w:sz w:val="24"/>
          <w:szCs w:val="24"/>
        </w:rPr>
      </w:pPr>
      <w:r>
        <w:rPr>
          <w:rFonts w:ascii="Times New Roman" w:hAnsi="Times New Roman"/>
          <w:b/>
          <w:noProof/>
          <w:sz w:val="24"/>
          <w:szCs w:val="24"/>
        </w:rPr>
        <w:t>15. darbība.</w:t>
      </w:r>
      <w:r>
        <w:rPr>
          <w:rFonts w:ascii="Times New Roman" w:hAnsi="Times New Roman"/>
          <w:noProof/>
          <w:sz w:val="24"/>
          <w:szCs w:val="24"/>
        </w:rPr>
        <w:t xml:space="preserve"> No 2021. gada Komisija plāno palielināt finansējumu darbībām, </w:t>
      </w:r>
      <w:r>
        <w:rPr>
          <w:rFonts w:ascii="Times New Roman" w:hAnsi="Times New Roman"/>
          <w:b/>
          <w:bCs/>
          <w:noProof/>
          <w:sz w:val="24"/>
          <w:szCs w:val="24"/>
        </w:rPr>
        <w:t>kas uzlabo parādu konsultāciju pakalpojumu pieejamību un kvalitāti</w:t>
      </w:r>
      <w:r>
        <w:rPr>
          <w:rFonts w:ascii="Times New Roman" w:hAnsi="Times New Roman"/>
          <w:noProof/>
          <w:sz w:val="24"/>
          <w:szCs w:val="24"/>
        </w:rPr>
        <w:t xml:space="preserve"> dalībvalstīs. </w:t>
      </w:r>
    </w:p>
    <w:p>
      <w:pPr>
        <w:numPr>
          <w:ilvl w:val="0"/>
          <w:numId w:val="17"/>
        </w:num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hAnsi="Times New Roman" w:cs="Times New Roman"/>
          <w:noProof/>
          <w:sz w:val="24"/>
          <w:szCs w:val="24"/>
        </w:rPr>
      </w:pPr>
      <w:r>
        <w:rPr>
          <w:rFonts w:ascii="Times New Roman" w:hAnsi="Times New Roman"/>
          <w:b/>
          <w:noProof/>
          <w:sz w:val="24"/>
          <w:szCs w:val="24"/>
        </w:rPr>
        <w:t>16. darbība</w:t>
      </w:r>
      <w:r>
        <w:rPr>
          <w:rFonts w:ascii="Times New Roman" w:hAnsi="Times New Roman"/>
          <w:noProof/>
          <w:sz w:val="24"/>
          <w:szCs w:val="24"/>
        </w:rPr>
        <w:t xml:space="preserve">. Komisijas plāno no 2021. gada atbalstīt iniciatīvas, lai nodrošinātu </w:t>
      </w:r>
      <w:r>
        <w:rPr>
          <w:rFonts w:ascii="Times New Roman" w:hAnsi="Times New Roman"/>
          <w:b/>
          <w:bCs/>
          <w:noProof/>
          <w:sz w:val="24"/>
          <w:szCs w:val="24"/>
        </w:rPr>
        <w:t>vietējas konsultācijas</w:t>
      </w:r>
      <w:r>
        <w:rPr>
          <w:rFonts w:ascii="Times New Roman" w:hAnsi="Times New Roman"/>
          <w:noProof/>
          <w:sz w:val="24"/>
          <w:szCs w:val="24"/>
        </w:rPr>
        <w:t xml:space="preserve"> </w:t>
      </w:r>
      <w:r>
        <w:rPr>
          <w:rFonts w:ascii="Times New Roman" w:hAnsi="Times New Roman"/>
          <w:b/>
          <w:bCs/>
          <w:noProof/>
          <w:sz w:val="24"/>
          <w:szCs w:val="24"/>
        </w:rPr>
        <w:t xml:space="preserve"> patērētājiem</w:t>
      </w:r>
      <w:r>
        <w:rPr>
          <w:rFonts w:ascii="Times New Roman" w:hAnsi="Times New Roman"/>
          <w:noProof/>
          <w:sz w:val="24"/>
          <w:szCs w:val="24"/>
        </w:rPr>
        <w:t>, kuriem strukturālu vai personisku iemeslu dēļ nav pieejams atbalsts un informācija, kas tiek sniegta tiešsaistē vai centrālajos informācijas birojos.</w:t>
      </w:r>
    </w:p>
    <w:p>
      <w:pPr>
        <w:numPr>
          <w:ilvl w:val="0"/>
          <w:numId w:val="17"/>
        </w:num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hAnsi="Times New Roman" w:cs="Times New Roman"/>
          <w:noProof/>
          <w:sz w:val="24"/>
          <w:szCs w:val="24"/>
        </w:rPr>
      </w:pPr>
      <w:r>
        <w:rPr>
          <w:rFonts w:ascii="Times New Roman" w:hAnsi="Times New Roman"/>
          <w:b/>
          <w:noProof/>
          <w:sz w:val="24"/>
          <w:szCs w:val="24"/>
        </w:rPr>
        <w:t>17. darbība</w:t>
      </w:r>
      <w:r>
        <w:rPr>
          <w:rFonts w:ascii="Times New Roman" w:hAnsi="Times New Roman"/>
          <w:noProof/>
          <w:sz w:val="24"/>
          <w:szCs w:val="24"/>
        </w:rPr>
        <w:t xml:space="preserve">. Komisija 2021. gadā plāno sagatavot </w:t>
      </w:r>
      <w:r>
        <w:rPr>
          <w:rFonts w:ascii="Times New Roman" w:hAnsi="Times New Roman"/>
          <w:b/>
          <w:noProof/>
          <w:sz w:val="24"/>
          <w:szCs w:val="24"/>
        </w:rPr>
        <w:t>Komisijas lēmumu par drošības prasībām</w:t>
      </w:r>
      <w:r>
        <w:rPr>
          <w:rFonts w:ascii="Times New Roman" w:hAnsi="Times New Roman"/>
          <w:noProof/>
          <w:sz w:val="24"/>
          <w:szCs w:val="24"/>
        </w:rPr>
        <w:t xml:space="preserve">, kas jāievēro </w:t>
      </w:r>
      <w:r>
        <w:rPr>
          <w:rFonts w:ascii="Times New Roman" w:hAnsi="Times New Roman"/>
          <w:b/>
          <w:noProof/>
          <w:sz w:val="24"/>
          <w:szCs w:val="24"/>
        </w:rPr>
        <w:t>bērnu aprūpes produktu</w:t>
      </w:r>
      <w:r>
        <w:rPr>
          <w:rFonts w:ascii="Times New Roman" w:hAnsi="Times New Roman"/>
          <w:noProof/>
          <w:sz w:val="24"/>
          <w:szCs w:val="24"/>
        </w:rPr>
        <w:t xml:space="preserve"> standartos, kā arī stiprināt produktu drošuma regulējumu, pārskatot Produktu vispārējas drošības direktīvu. </w:t>
      </w:r>
    </w:p>
    <w:p>
      <w:pPr>
        <w:numPr>
          <w:ilvl w:val="0"/>
          <w:numId w:val="18"/>
        </w:num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hAnsi="Times New Roman" w:cs="Times New Roman"/>
          <w:noProof/>
          <w:sz w:val="24"/>
          <w:szCs w:val="24"/>
        </w:rPr>
      </w:pPr>
      <w:r>
        <w:rPr>
          <w:rFonts w:ascii="Times New Roman" w:hAnsi="Times New Roman"/>
          <w:b/>
          <w:noProof/>
          <w:sz w:val="24"/>
          <w:szCs w:val="24"/>
        </w:rPr>
        <w:t>18. darbība</w:t>
      </w:r>
      <w:r>
        <w:rPr>
          <w:rFonts w:ascii="Times New Roman" w:hAnsi="Times New Roman"/>
          <w:noProof/>
          <w:sz w:val="24"/>
          <w:szCs w:val="24"/>
        </w:rPr>
        <w:t xml:space="preserve">. Līdz 2023. gadam Komisija izstrādās </w:t>
      </w:r>
      <w:r>
        <w:rPr>
          <w:rFonts w:ascii="Times New Roman" w:hAnsi="Times New Roman"/>
          <w:b/>
          <w:noProof/>
          <w:sz w:val="24"/>
          <w:szCs w:val="24"/>
        </w:rPr>
        <w:t>stratēģisku pieeju, lai uzlabotu patērētāju informētību un izglītošanu,</w:t>
      </w:r>
      <w:r>
        <w:rPr>
          <w:rFonts w:ascii="Times New Roman" w:hAnsi="Times New Roman"/>
          <w:noProof/>
          <w:sz w:val="24"/>
          <w:szCs w:val="24"/>
        </w:rPr>
        <w:t xml:space="preserve"> pievēršoties arī dažādu grupu vajadzībām, </w:t>
      </w:r>
      <w:r>
        <w:rPr>
          <w:rFonts w:ascii="Times New Roman" w:hAnsi="Times New Roman"/>
          <w:i/>
          <w:noProof/>
          <w:sz w:val="24"/>
          <w:szCs w:val="24"/>
        </w:rPr>
        <w:t>inter alia</w:t>
      </w:r>
      <w:r>
        <w:rPr>
          <w:rFonts w:ascii="Times New Roman" w:hAnsi="Times New Roman"/>
          <w:noProof/>
          <w:sz w:val="24"/>
          <w:szCs w:val="24"/>
        </w:rPr>
        <w:t xml:space="preserve"> pamatojoties uz vienlīdzības un nediskriminācijas pieeju. </w:t>
      </w:r>
    </w:p>
    <w:p>
      <w:pPr>
        <w:spacing w:after="0" w:line="240" w:lineRule="auto"/>
        <w:jc w:val="both"/>
        <w:rPr>
          <w:rFonts w:ascii="Times New Roman" w:hAnsi="Times New Roman" w:cs="Times New Roman"/>
          <w:noProof/>
          <w:sz w:val="20"/>
          <w:szCs w:val="24"/>
        </w:rPr>
      </w:pPr>
    </w:p>
    <w:p>
      <w:pPr>
        <w:keepNext/>
        <w:numPr>
          <w:ilvl w:val="1"/>
          <w:numId w:val="1"/>
        </w:numPr>
        <w:spacing w:after="240" w:line="240" w:lineRule="auto"/>
        <w:ind w:left="714" w:hanging="357"/>
        <w:jc w:val="both"/>
        <w:rPr>
          <w:rFonts w:ascii="Times New Roman" w:hAnsi="Times New Roman" w:cs="Times New Roman"/>
          <w:b/>
          <w:noProof/>
          <w:sz w:val="24"/>
          <w:szCs w:val="24"/>
        </w:rPr>
      </w:pPr>
      <w:r>
        <w:rPr>
          <w:rFonts w:ascii="Times New Roman" w:hAnsi="Times New Roman"/>
          <w:b/>
          <w:noProof/>
          <w:sz w:val="24"/>
          <w:szCs w:val="24"/>
        </w:rPr>
        <w:t xml:space="preserve"> Patērētāju tiesību aizsardzība globālā kontekstā </w:t>
      </w:r>
    </w:p>
    <w:p>
      <w:pPr>
        <w:pBdr>
          <w:top w:val="single" w:sz="4" w:space="1" w:color="auto"/>
          <w:left w:val="single" w:sz="4" w:space="4" w:color="auto"/>
          <w:bottom w:val="single" w:sz="4" w:space="6" w:color="auto"/>
          <w:right w:val="single" w:sz="4" w:space="4" w:color="auto"/>
        </w:pBdr>
        <w:spacing w:after="240" w:line="240" w:lineRule="auto"/>
        <w:jc w:val="both"/>
        <w:rPr>
          <w:rFonts w:ascii="Times New Roman" w:hAnsi="Times New Roman" w:cs="Times New Roman"/>
          <w:noProof/>
          <w:sz w:val="24"/>
          <w:szCs w:val="24"/>
        </w:rPr>
      </w:pPr>
      <w:r>
        <w:rPr>
          <w:rFonts w:ascii="Times New Roman" w:hAnsi="Times New Roman"/>
          <w:i/>
          <w:noProof/>
          <w:sz w:val="24"/>
          <w:szCs w:val="24"/>
        </w:rPr>
        <w:t>Piemērs: pieaugot elektroniskajai tirdzniecībai, arvien svarīgāka kļūst sadarbība ar starptautiskajiem partneriem, jo īpaši Ķīnu. Pirkumu īpatsvars no pārdevējiem ārpus ES palielinājās no 17 % 2014. gadā līdz 27 % 2019. gadā</w:t>
      </w:r>
      <w:r>
        <w:rPr>
          <w:rFonts w:ascii="Times New Roman" w:hAnsi="Times New Roman" w:cs="Times New Roman"/>
          <w:i/>
          <w:noProof/>
          <w:sz w:val="24"/>
          <w:szCs w:val="24"/>
          <w:vertAlign w:val="superscript"/>
          <w:lang w:val="en-GB"/>
        </w:rPr>
        <w:footnoteReference w:id="100"/>
      </w:r>
      <w:r>
        <w:rPr>
          <w:rFonts w:ascii="Times New Roman" w:hAnsi="Times New Roman"/>
          <w:i/>
          <w:noProof/>
          <w:sz w:val="24"/>
          <w:szCs w:val="24"/>
        </w:rPr>
        <w:t>. Intensīvāka sadarbība ar Ķīnu produktu drošuma jomā, izmantojot rīcības plānu, kurā īpaša uzmanība pievērsta tiešsaistē pārdotiem produktiem, varētu palīdzēt samazināt tādu nedrošu produktu skaitu, kurus tieši pārdod ES patērētājiem.</w:t>
      </w:r>
    </w:p>
    <w:p>
      <w:pPr>
        <w:spacing w:before="120"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Ražošanas un vērtības ķēdes kļūst </w:t>
      </w:r>
      <w:r>
        <w:rPr>
          <w:rFonts w:ascii="Times New Roman" w:hAnsi="Times New Roman"/>
          <w:b/>
          <w:bCs/>
          <w:noProof/>
          <w:sz w:val="24"/>
          <w:szCs w:val="24"/>
        </w:rPr>
        <w:t>arvien globālākas un savstarpēji saistītākas</w:t>
      </w:r>
      <w:r>
        <w:rPr>
          <w:rFonts w:ascii="Times New Roman" w:hAnsi="Times New Roman"/>
          <w:noProof/>
          <w:sz w:val="24"/>
          <w:szCs w:val="24"/>
        </w:rPr>
        <w:t>. Izplatīšanas un mazumtirdzniecības ķēdes virza straujais tiešsaistes tirdzniecības pieaugums un platformu ekonomika. Tādēļ ir svarīga cieša starptautiska sadarbība starp iestādēm un visiem piegādes ķēdes dalībniekiem, lai nodrošinātu patērētāju tiesību efektīvu aizsardzību. Tajā pašā laikā ir svarīgi, lai ES starptautiskā līmenī kā Eiropas vērtību apliecinātu tās augsto patērētāju tiesību aizsardzības līmeni un modeli.</w:t>
      </w:r>
    </w:p>
    <w:p>
      <w:pPr>
        <w:spacing w:before="120" w:after="240" w:line="240" w:lineRule="auto"/>
        <w:jc w:val="both"/>
        <w:rPr>
          <w:rFonts w:ascii="Times New Roman" w:hAnsi="Times New Roman" w:cs="Times New Roman"/>
          <w:noProof/>
          <w:sz w:val="24"/>
          <w:szCs w:val="24"/>
        </w:rPr>
      </w:pPr>
      <w:r>
        <w:rPr>
          <w:rFonts w:ascii="Times New Roman" w:hAnsi="Times New Roman"/>
          <w:noProof/>
          <w:sz w:val="24"/>
          <w:szCs w:val="24"/>
        </w:rPr>
        <w:t>Lai nodrošinātu importētu preču drošumu un aizsargātu ES patērētājus no negodīgas darījumdarbības prakses, ko izmanto</w:t>
      </w:r>
      <w:r>
        <w:rPr>
          <w:rFonts w:ascii="Times New Roman" w:hAnsi="Times New Roman"/>
          <w:noProof/>
          <w:sz w:val="24"/>
          <w:szCs w:val="24"/>
        </w:rPr>
        <w:noBreakHyphen/>
        <w:t xml:space="preserve"> trešo valstu uzņēmēji, jāīsteno pastiprināta rīcība savā valstī, izmantojot stingrākus tirgus uzraudzības instrumentus, un ciešāka sadarbība ar iestādēm </w:t>
      </w:r>
      <w:r>
        <w:rPr>
          <w:rFonts w:ascii="Times New Roman" w:hAnsi="Times New Roman"/>
          <w:b/>
          <w:noProof/>
          <w:sz w:val="24"/>
          <w:szCs w:val="24"/>
        </w:rPr>
        <w:t>ES partnervalstīs</w:t>
      </w:r>
      <w:r>
        <w:rPr>
          <w:rFonts w:ascii="Times New Roman" w:hAnsi="Times New Roman"/>
          <w:noProof/>
          <w:sz w:val="24"/>
          <w:szCs w:val="24"/>
        </w:rPr>
        <w:t xml:space="preserve">. Daudzi bīstamie produkti, kas konstatēti ES, tiek ievesti no trešām valstīm. Piemēram, 2019. gadā 64 % brīdinājumu sistēmā Safety Gate/RAPEX attiecās uz produktiem, kas ražoti ārpus EEZ, bieži vien Ķīnā. Kopš 2006. gada Komisija ir iesaistījusies sadarbībā produktu drošumu jomā, izmantojot RAPEX-Ķīnas sistēmu, un tas ir palīdzējis samazināt nedrošu produktu skaitu, pat ja šis rādītājs kopumā joprojām ir augsts. </w:t>
      </w:r>
    </w:p>
    <w:p>
      <w:pPr>
        <w:spacing w:before="120"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Vēl viens veids, kā nodrošināt ES patērētāju drošību, varētu būt sadarbība un datu apmaiņa par bīstamiem produktiem ar </w:t>
      </w:r>
      <w:r>
        <w:rPr>
          <w:rFonts w:ascii="Times New Roman" w:hAnsi="Times New Roman"/>
          <w:b/>
          <w:bCs/>
          <w:noProof/>
          <w:sz w:val="24"/>
          <w:szCs w:val="24"/>
        </w:rPr>
        <w:t>valstīm, kurās ir līdzīgi tirgi.</w:t>
      </w:r>
      <w:r>
        <w:rPr>
          <w:rFonts w:ascii="Times New Roman" w:hAnsi="Times New Roman"/>
          <w:noProof/>
          <w:sz w:val="24"/>
          <w:szCs w:val="24"/>
        </w:rPr>
        <w:t xml:space="preserve"> To darot, dalībvalstis varētu mērķtiecīgāk virzīt savas darbības un pievērsties jauniem un potenciāliem riskiem. Lai palīdzētu šajos centienos, Komisija ir izveidojusi kārtību regulārai informācijas apmaiņai ar </w:t>
      </w:r>
      <w:r>
        <w:rPr>
          <w:rFonts w:ascii="Times New Roman" w:hAnsi="Times New Roman"/>
          <w:b/>
          <w:noProof/>
          <w:sz w:val="24"/>
          <w:szCs w:val="24"/>
        </w:rPr>
        <w:t>Kanādu</w:t>
      </w:r>
      <w:r>
        <w:rPr>
          <w:rFonts w:ascii="Times New Roman" w:hAnsi="Times New Roman"/>
          <w:noProof/>
          <w:sz w:val="24"/>
          <w:szCs w:val="24"/>
        </w:rPr>
        <w:t xml:space="preserve"> par bīstamiem produktiem. Komisija arī izmanto tirdzniecības politikas nozīmīgo potenciālu un apspriež līdzīgas informācijas apmaiņas par nepārtikas preču drošumu un atbilstību un ar to saistītās tirgus uzraudzības iekļaušanu tirdzniecības nolīgumos, kas pašlaik tiek izstrādāti (piemēram, ar </w:t>
      </w:r>
      <w:r>
        <w:rPr>
          <w:rFonts w:ascii="Times New Roman" w:hAnsi="Times New Roman"/>
          <w:b/>
          <w:noProof/>
          <w:sz w:val="24"/>
          <w:szCs w:val="24"/>
        </w:rPr>
        <w:t>Austrāliju</w:t>
      </w:r>
      <w:r>
        <w:rPr>
          <w:rFonts w:ascii="Times New Roman" w:hAnsi="Times New Roman"/>
          <w:noProof/>
          <w:sz w:val="24"/>
          <w:szCs w:val="24"/>
        </w:rPr>
        <w:t xml:space="preserve">, </w:t>
      </w:r>
      <w:r>
        <w:rPr>
          <w:rFonts w:ascii="Times New Roman" w:hAnsi="Times New Roman"/>
          <w:b/>
          <w:noProof/>
          <w:sz w:val="24"/>
          <w:szCs w:val="24"/>
        </w:rPr>
        <w:t>Jaunzēlandi</w:t>
      </w:r>
      <w:r>
        <w:rPr>
          <w:rFonts w:ascii="Times New Roman" w:hAnsi="Times New Roman"/>
          <w:noProof/>
          <w:sz w:val="24"/>
          <w:szCs w:val="24"/>
        </w:rPr>
        <w:t xml:space="preserve"> un </w:t>
      </w:r>
      <w:r>
        <w:rPr>
          <w:rFonts w:ascii="Times New Roman" w:hAnsi="Times New Roman"/>
          <w:b/>
          <w:noProof/>
          <w:sz w:val="24"/>
          <w:szCs w:val="24"/>
        </w:rPr>
        <w:t>Čīli)</w:t>
      </w:r>
      <w:r>
        <w:rPr>
          <w:rFonts w:ascii="Times New Roman" w:hAnsi="Times New Roman"/>
          <w:noProof/>
          <w:sz w:val="24"/>
          <w:szCs w:val="24"/>
        </w:rPr>
        <w:t>.</w:t>
      </w:r>
    </w:p>
    <w:p>
      <w:pPr>
        <w:spacing w:before="120"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Tikpat svarīgi ir veidot ciešu sadarbību ar </w:t>
      </w:r>
      <w:r>
        <w:rPr>
          <w:rFonts w:ascii="Times New Roman" w:hAnsi="Times New Roman"/>
          <w:b/>
          <w:noProof/>
          <w:sz w:val="24"/>
          <w:szCs w:val="24"/>
        </w:rPr>
        <w:t>Eiropas kaimiņvalstīm</w:t>
      </w:r>
      <w:r>
        <w:rPr>
          <w:rFonts w:ascii="Times New Roman" w:hAnsi="Times New Roman"/>
          <w:noProof/>
          <w:sz w:val="24"/>
          <w:szCs w:val="24"/>
        </w:rPr>
        <w:t xml:space="preserve"> un </w:t>
      </w:r>
      <w:r>
        <w:rPr>
          <w:rFonts w:ascii="Times New Roman" w:hAnsi="Times New Roman"/>
          <w:b/>
          <w:noProof/>
          <w:sz w:val="24"/>
          <w:szCs w:val="24"/>
        </w:rPr>
        <w:t>Rietumbalkāniem</w:t>
      </w:r>
      <w:r>
        <w:rPr>
          <w:rFonts w:ascii="Times New Roman" w:hAnsi="Times New Roman"/>
          <w:noProof/>
          <w:sz w:val="24"/>
          <w:szCs w:val="24"/>
        </w:rPr>
        <w:t xml:space="preserve">. Rietumbalkāni ir īpaši svarīgi, ņemot vērā to ģeogrāfisko tuvumu un saskaņošanas procesu ar ES </w:t>
      </w:r>
      <w:r>
        <w:rPr>
          <w:rFonts w:ascii="Times New Roman" w:hAnsi="Times New Roman"/>
          <w:i/>
          <w:noProof/>
          <w:sz w:val="24"/>
          <w:szCs w:val="24"/>
        </w:rPr>
        <w:t>acquis</w:t>
      </w:r>
      <w:r>
        <w:rPr>
          <w:rFonts w:ascii="Times New Roman" w:hAnsi="Times New Roman"/>
          <w:noProof/>
          <w:sz w:val="24"/>
          <w:szCs w:val="24"/>
        </w:rPr>
        <w:t xml:space="preserve"> patērētāju tiesību aizsardzības un drošības jomā. </w:t>
      </w:r>
    </w:p>
    <w:p>
      <w:pPr>
        <w:spacing w:before="120"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ES augstie patērētāju aizsardzības standarti var būt par piemēru citām </w:t>
      </w:r>
      <w:r>
        <w:rPr>
          <w:rFonts w:ascii="Times New Roman" w:hAnsi="Times New Roman"/>
          <w:b/>
          <w:bCs/>
          <w:noProof/>
          <w:sz w:val="24"/>
          <w:szCs w:val="24"/>
        </w:rPr>
        <w:t>valstīm ar mazāk attīstītām patērētāju aizsardzības</w:t>
      </w:r>
      <w:r>
        <w:rPr>
          <w:rFonts w:ascii="Times New Roman" w:hAnsi="Times New Roman"/>
          <w:bCs/>
          <w:noProof/>
          <w:sz w:val="24"/>
          <w:szCs w:val="24"/>
        </w:rPr>
        <w:t xml:space="preserve"> struktūrām, un tie būtu jāveicina starptautiskās darba kārtības izstrādē.</w:t>
      </w:r>
      <w:r>
        <w:rPr>
          <w:rFonts w:ascii="Times New Roman" w:hAnsi="Times New Roman"/>
          <w:noProof/>
          <w:sz w:val="24"/>
          <w:szCs w:val="24"/>
        </w:rPr>
        <w:t xml:space="preserve"> Piemēram, </w:t>
      </w:r>
      <w:r>
        <w:rPr>
          <w:rFonts w:ascii="Times New Roman" w:hAnsi="Times New Roman"/>
          <w:noProof/>
          <w:sz w:val="24"/>
          <w:szCs w:val="24"/>
        </w:rPr>
        <w:noBreakHyphen/>
        <w:t xml:space="preserve">dažas trešās valstis ir izrādījušas lielu interesi par tādas sistēmas ieviešanu, kas ir līdzīga ES sistēmai Safety Gate/RAPEX. Šajā saistībā Komisija sniedz regulatīvu atbalstu un piedalās spēju veidošanas pasākumos. </w:t>
      </w:r>
    </w:p>
    <w:p>
      <w:pPr>
        <w:spacing w:before="120" w:after="240" w:line="240" w:lineRule="auto"/>
        <w:jc w:val="both"/>
        <w:rPr>
          <w:rFonts w:ascii="Times New Roman" w:hAnsi="Times New Roman" w:cs="Times New Roman"/>
          <w:noProof/>
          <w:sz w:val="24"/>
          <w:szCs w:val="24"/>
        </w:rPr>
      </w:pPr>
      <w:r>
        <w:rPr>
          <w:rFonts w:ascii="Times New Roman" w:hAnsi="Times New Roman"/>
          <w:b/>
          <w:noProof/>
          <w:sz w:val="24"/>
          <w:szCs w:val="24"/>
        </w:rPr>
        <w:t>D</w:t>
      </w:r>
      <w:r>
        <w:rPr>
          <w:rFonts w:ascii="Times New Roman" w:hAnsi="Times New Roman"/>
          <w:b/>
          <w:bCs/>
          <w:noProof/>
          <w:sz w:val="24"/>
          <w:szCs w:val="24"/>
        </w:rPr>
        <w:t>audzpusējai sadarbībai</w:t>
      </w:r>
      <w:r>
        <w:rPr>
          <w:rFonts w:ascii="Times New Roman" w:hAnsi="Times New Roman"/>
          <w:noProof/>
          <w:sz w:val="24"/>
          <w:szCs w:val="24"/>
        </w:rPr>
        <w:t xml:space="preserve"> patērētāju tiesību aizsardzības jautājumos ir būtiska nozīme, lai veicinātu augsta līmeņa aizsardzību un drošību starptautiskā līmenī un aizsargātu patērētājus visā pasaulē. Lai sasniegtu šos mērķus, Komisija sadarbībā ar dalībvalstīm turpinās izmantot savu ietekmi starptautiskajās organizācijās, piemēram, Pasaules Tirdzniecības organizācijā (PTO), ANO Tirdzniecības un attīstības konferencē (UNCTAD) un Ekonomiskās sadarbības un attīstības organizācijā (ESAO).</w:t>
      </w:r>
    </w:p>
    <w:p>
      <w:pPr>
        <w:numPr>
          <w:ilvl w:val="0"/>
          <w:numId w:val="5"/>
        </w:numPr>
        <w:pBdr>
          <w:top w:val="single" w:sz="4" w:space="1" w:color="auto"/>
          <w:left w:val="single" w:sz="4" w:space="4" w:color="auto"/>
          <w:bottom w:val="single" w:sz="4" w:space="6" w:color="auto"/>
          <w:right w:val="single" w:sz="4" w:space="4" w:color="auto"/>
        </w:pBdr>
        <w:spacing w:after="240" w:line="240" w:lineRule="auto"/>
        <w:jc w:val="both"/>
        <w:rPr>
          <w:rFonts w:ascii="Times New Roman" w:hAnsi="Times New Roman" w:cs="Times New Roman"/>
          <w:noProof/>
          <w:sz w:val="24"/>
          <w:szCs w:val="24"/>
        </w:rPr>
      </w:pPr>
      <w:r>
        <w:rPr>
          <w:rFonts w:ascii="Times New Roman" w:hAnsi="Times New Roman"/>
          <w:b/>
          <w:bCs/>
          <w:noProof/>
          <w:sz w:val="24"/>
          <w:szCs w:val="24"/>
        </w:rPr>
        <w:t>19. darbība</w:t>
      </w:r>
      <w:r>
        <w:rPr>
          <w:noProof/>
        </w:rPr>
        <w:t xml:space="preserve">. </w:t>
      </w:r>
      <w:r>
        <w:rPr>
          <w:rFonts w:ascii="Times New Roman" w:hAnsi="Times New Roman"/>
          <w:noProof/>
          <w:sz w:val="24"/>
          <w:szCs w:val="24"/>
        </w:rPr>
        <w:t xml:space="preserve">Komisija 2021. gadā plāno kopā ar </w:t>
      </w:r>
      <w:r>
        <w:rPr>
          <w:rFonts w:ascii="Times New Roman" w:hAnsi="Times New Roman"/>
          <w:b/>
          <w:noProof/>
          <w:sz w:val="24"/>
          <w:szCs w:val="24"/>
        </w:rPr>
        <w:t>Ķīnu</w:t>
      </w:r>
      <w:r>
        <w:rPr>
          <w:rFonts w:ascii="Times New Roman" w:hAnsi="Times New Roman"/>
          <w:noProof/>
          <w:sz w:val="24"/>
          <w:szCs w:val="24"/>
        </w:rPr>
        <w:t xml:space="preserve"> izstrādāt </w:t>
      </w:r>
      <w:r>
        <w:rPr>
          <w:rFonts w:ascii="Times New Roman" w:hAnsi="Times New Roman"/>
          <w:b/>
          <w:noProof/>
          <w:sz w:val="24"/>
          <w:szCs w:val="24"/>
        </w:rPr>
        <w:t>rīcības plānu</w:t>
      </w:r>
      <w:r>
        <w:rPr>
          <w:rFonts w:ascii="Times New Roman" w:hAnsi="Times New Roman"/>
          <w:noProof/>
          <w:sz w:val="24"/>
          <w:szCs w:val="24"/>
        </w:rPr>
        <w:t xml:space="preserve"> sadarbības stiprināšanai attiecībā uz tiešsaistē pārdoto produktu drošumu.</w:t>
      </w:r>
    </w:p>
    <w:p>
      <w:pPr>
        <w:numPr>
          <w:ilvl w:val="0"/>
          <w:numId w:val="5"/>
        </w:numPr>
        <w:pBdr>
          <w:top w:val="single" w:sz="4" w:space="1" w:color="auto"/>
          <w:left w:val="single" w:sz="4" w:space="4" w:color="auto"/>
          <w:bottom w:val="single" w:sz="4" w:space="6" w:color="auto"/>
          <w:right w:val="single" w:sz="4" w:space="4" w:color="auto"/>
        </w:pBdr>
        <w:spacing w:after="240" w:line="240" w:lineRule="auto"/>
        <w:jc w:val="both"/>
        <w:rPr>
          <w:rFonts w:ascii="Times New Roman" w:hAnsi="Times New Roman" w:cs="Times New Roman"/>
          <w:noProof/>
          <w:sz w:val="24"/>
          <w:szCs w:val="24"/>
        </w:rPr>
      </w:pPr>
      <w:r>
        <w:rPr>
          <w:rFonts w:ascii="Times New Roman" w:hAnsi="Times New Roman"/>
          <w:b/>
          <w:bCs/>
          <w:noProof/>
          <w:sz w:val="24"/>
          <w:szCs w:val="24"/>
        </w:rPr>
        <w:t xml:space="preserve">20. darbība. </w:t>
      </w:r>
      <w:r>
        <w:rPr>
          <w:rFonts w:ascii="Times New Roman" w:hAnsi="Times New Roman"/>
          <w:noProof/>
          <w:sz w:val="24"/>
          <w:szCs w:val="24"/>
        </w:rPr>
        <w:t>No 2021. gada Komisija centīsies izstrādāt regulatīvu atbalstu, tehnisko palīdzību un spēju veidošanu ES partner</w:t>
      </w:r>
      <w:r>
        <w:rPr>
          <w:rFonts w:ascii="Times New Roman" w:hAnsi="Times New Roman"/>
          <w:noProof/>
          <w:sz w:val="24"/>
        </w:rPr>
        <w:t xml:space="preserve"> valstīm ,</w:t>
      </w:r>
      <w:r>
        <w:rPr>
          <w:rFonts w:ascii="Times New Roman" w:hAnsi="Times New Roman"/>
          <w:noProof/>
          <w:sz w:val="24"/>
          <w:szCs w:val="24"/>
        </w:rPr>
        <w:t xml:space="preserve"> tostarp </w:t>
      </w:r>
      <w:r>
        <w:rPr>
          <w:rFonts w:ascii="Times New Roman" w:hAnsi="Times New Roman"/>
          <w:b/>
          <w:noProof/>
          <w:sz w:val="24"/>
          <w:szCs w:val="24"/>
        </w:rPr>
        <w:t>Āfrikā</w:t>
      </w:r>
      <w:r>
        <w:rPr>
          <w:rFonts w:ascii="Times New Roman" w:hAnsi="Times New Roman"/>
          <w:noProof/>
          <w:sz w:val="24"/>
          <w:szCs w:val="24"/>
        </w:rPr>
        <w:t>.</w:t>
      </w:r>
      <w:r>
        <w:rPr>
          <w:rStyle w:val="FootnoteReference"/>
          <w:rFonts w:ascii="Times New Roman" w:hAnsi="Times New Roman" w:cs="Times New Roman"/>
          <w:noProof/>
          <w:sz w:val="24"/>
          <w:szCs w:val="24"/>
          <w:lang w:val="en-GB"/>
        </w:rPr>
        <w:footnoteReference w:id="101"/>
      </w:r>
      <w:r>
        <w:rPr>
          <w:rFonts w:ascii="Times New Roman" w:hAnsi="Times New Roman"/>
          <w:noProof/>
          <w:sz w:val="24"/>
          <w:szCs w:val="24"/>
        </w:rPr>
        <w:t xml:space="preserve"> </w:t>
      </w:r>
    </w:p>
    <w:p>
      <w:pPr>
        <w:pStyle w:val="ListParagraph"/>
        <w:spacing w:after="0" w:line="240" w:lineRule="auto"/>
        <w:ind w:left="0"/>
        <w:rPr>
          <w:rFonts w:ascii="Times New Roman Bold" w:hAnsi="Times New Roman Bold" w:cs="Times New Roman"/>
          <w:bCs/>
          <w:smallCaps/>
          <w:noProof/>
          <w:sz w:val="26"/>
          <w:szCs w:val="28"/>
        </w:rPr>
      </w:pPr>
    </w:p>
    <w:p>
      <w:pPr>
        <w:numPr>
          <w:ilvl w:val="0"/>
          <w:numId w:val="3"/>
        </w:numPr>
        <w:spacing w:after="240" w:line="240" w:lineRule="auto"/>
        <w:contextualSpacing/>
        <w:rPr>
          <w:rFonts w:ascii="Times New Roman Bold" w:hAnsi="Times New Roman Bold" w:cs="Times New Roman"/>
          <w:b/>
          <w:bCs/>
          <w:smallCaps/>
          <w:noProof/>
          <w:sz w:val="28"/>
          <w:szCs w:val="28"/>
        </w:rPr>
      </w:pPr>
      <w:r>
        <w:rPr>
          <w:rFonts w:ascii="Times New Roman Bold" w:hAnsi="Times New Roman Bold"/>
          <w:b/>
          <w:bCs/>
          <w:smallCaps/>
          <w:noProof/>
          <w:sz w:val="28"/>
          <w:szCs w:val="28"/>
        </w:rPr>
        <w:t>Pārvaldība</w:t>
      </w:r>
    </w:p>
    <w:p>
      <w:pPr>
        <w:spacing w:after="240" w:line="240" w:lineRule="auto"/>
        <w:contextualSpacing/>
        <w:rPr>
          <w:rFonts w:ascii="Times New Roman Bold" w:hAnsi="Times New Roman Bold" w:cs="Times New Roman"/>
          <w:bCs/>
          <w:smallCaps/>
          <w:noProof/>
          <w:sz w:val="26"/>
          <w:szCs w:val="28"/>
          <w:lang w:val="en-GB"/>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Šajā Programmā ir izklāstītas Komisijas ierosinātās darbības, lai veicinātu patērētāju tiesību aizsardzības politikas prioritātes, kuras ES un tās dalībvalstis varētu īstenot nākamajos piecos gados un pēc tam. Tās panākumi būs atkarīgi no plašas partnerības, kurā iesaistītas visas attiecīgās ieinteresētās personas. Šis jaunais redzējums par sadarbību starp ES un valstu politikas prioritātēm nozīmē </w:t>
      </w:r>
      <w:r>
        <w:rPr>
          <w:rFonts w:ascii="Times New Roman" w:hAnsi="Times New Roman"/>
          <w:b/>
          <w:bCs/>
          <w:noProof/>
          <w:sz w:val="24"/>
          <w:szCs w:val="24"/>
        </w:rPr>
        <w:t>jaunu sistēmu ciešākai sadarbībai</w:t>
      </w:r>
      <w:r>
        <w:rPr>
          <w:rFonts w:ascii="Times New Roman" w:hAnsi="Times New Roman"/>
          <w:noProof/>
          <w:sz w:val="24"/>
          <w:szCs w:val="24"/>
        </w:rPr>
        <w:t xml:space="preserve">, kas spēj nodrošināt konkrētas darbības. Tam būtu jābalstās uz ikgadējām prioritātēm, kas apspriestas ikgadējā </w:t>
      </w:r>
      <w:r>
        <w:rPr>
          <w:rFonts w:ascii="Times New Roman" w:hAnsi="Times New Roman"/>
          <w:b/>
          <w:noProof/>
          <w:sz w:val="24"/>
          <w:szCs w:val="24"/>
        </w:rPr>
        <w:t>Patērētāju samitā</w:t>
      </w:r>
      <w:r>
        <w:rPr>
          <w:rFonts w:ascii="Times New Roman" w:hAnsi="Times New Roman"/>
          <w:noProof/>
          <w:sz w:val="24"/>
          <w:szCs w:val="24"/>
        </w:rPr>
        <w:t>, kurā pulcējas visas ieinteresētās personas</w:t>
      </w:r>
      <w:r>
        <w:rPr>
          <w:rFonts w:ascii="Times New Roman" w:hAnsi="Times New Roman" w:cs="Times New Roman"/>
          <w:noProof/>
          <w:sz w:val="24"/>
          <w:szCs w:val="24"/>
          <w:vertAlign w:val="superscript"/>
          <w:lang w:val="en-GB"/>
        </w:rPr>
        <w:footnoteReference w:id="102"/>
      </w:r>
      <w:r>
        <w:rPr>
          <w:rFonts w:ascii="Times New Roman" w:hAnsi="Times New Roman"/>
          <w:noProof/>
          <w:sz w:val="24"/>
          <w:szCs w:val="24"/>
        </w:rPr>
        <w:t xml:space="preserve"> saistībā ar Starptautisko patērētāju tiesību dienu</w:t>
      </w:r>
      <w:r>
        <w:rPr>
          <w:rFonts w:ascii="Times New Roman" w:hAnsi="Times New Roman" w:cs="Times New Roman"/>
          <w:noProof/>
          <w:sz w:val="24"/>
          <w:szCs w:val="24"/>
          <w:vertAlign w:val="superscript"/>
          <w:lang w:val="en-GB"/>
        </w:rPr>
        <w:footnoteReference w:id="103"/>
      </w:r>
      <w:r>
        <w:rPr>
          <w:rFonts w:ascii="Times New Roman" w:hAnsi="Times New Roman"/>
          <w:noProof/>
          <w:sz w:val="24"/>
          <w:szCs w:val="24"/>
        </w:rPr>
        <w:t xml:space="preserve">. Samitā būtu jāpārskata iepriekšējā gadā gūtie panākumi un jānosaka prioritātes nākamajam gadam.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hAnsi="Times New Roman" w:cs="Times New Roman"/>
          <w:bCs/>
          <w:noProof/>
          <w:sz w:val="24"/>
          <w:szCs w:val="24"/>
        </w:rPr>
      </w:pPr>
      <w:r>
        <w:rPr>
          <w:rFonts w:ascii="Times New Roman" w:hAnsi="Times New Roman"/>
          <w:noProof/>
          <w:sz w:val="24"/>
          <w:szCs w:val="24"/>
        </w:rPr>
        <w:t xml:space="preserve">Komisija centīsies regulāri apspriesties ar </w:t>
      </w:r>
      <w:r>
        <w:rPr>
          <w:rFonts w:ascii="Times New Roman" w:hAnsi="Times New Roman"/>
          <w:b/>
          <w:bCs/>
          <w:noProof/>
          <w:sz w:val="24"/>
          <w:szCs w:val="24"/>
        </w:rPr>
        <w:t>Eiropas Parlamentu,</w:t>
      </w:r>
      <w:r>
        <w:rPr>
          <w:rFonts w:ascii="Times New Roman" w:hAnsi="Times New Roman"/>
          <w:b/>
          <w:noProof/>
          <w:sz w:val="24"/>
          <w:szCs w:val="24"/>
        </w:rPr>
        <w:t xml:space="preserve"> Ekonomikas un sociālo lietu komiteju </w:t>
      </w:r>
      <w:r>
        <w:rPr>
          <w:rFonts w:ascii="Times New Roman" w:hAnsi="Times New Roman"/>
          <w:noProof/>
          <w:sz w:val="24"/>
          <w:szCs w:val="24"/>
        </w:rPr>
        <w:t>un</w:t>
      </w:r>
      <w:r>
        <w:rPr>
          <w:rFonts w:ascii="Times New Roman" w:hAnsi="Times New Roman"/>
          <w:b/>
          <w:noProof/>
          <w:sz w:val="24"/>
          <w:szCs w:val="24"/>
        </w:rPr>
        <w:t xml:space="preserve"> Reģionu komiteju</w:t>
      </w:r>
      <w:r>
        <w:rPr>
          <w:rFonts w:ascii="Times New Roman" w:hAnsi="Times New Roman"/>
          <w:noProof/>
          <w:sz w:val="24"/>
          <w:szCs w:val="24"/>
        </w:rPr>
        <w:t>. Tā arī cieši sadarbosies ar dalībvalstīm esošajos tīklos</w:t>
      </w:r>
      <w:r>
        <w:rPr>
          <w:rFonts w:ascii="Times New Roman" w:hAnsi="Times New Roman" w:cs="Times New Roman"/>
          <w:noProof/>
          <w:sz w:val="24"/>
          <w:szCs w:val="24"/>
          <w:vertAlign w:val="superscript"/>
          <w:lang w:val="en-GB"/>
        </w:rPr>
        <w:footnoteReference w:id="104"/>
      </w:r>
      <w:r>
        <w:rPr>
          <w:rFonts w:ascii="Times New Roman" w:hAnsi="Times New Roman"/>
          <w:noProof/>
          <w:sz w:val="24"/>
          <w:szCs w:val="24"/>
        </w:rPr>
        <w:t xml:space="preserve">, darba grupās vai </w:t>
      </w:r>
      <w:r>
        <w:rPr>
          <w:rFonts w:ascii="Times New Roman" w:hAnsi="Times New Roman"/>
          <w:i/>
          <w:noProof/>
          <w:sz w:val="24"/>
          <w:szCs w:val="24"/>
        </w:rPr>
        <w:t>ad hoc</w:t>
      </w:r>
      <w:r>
        <w:rPr>
          <w:rFonts w:ascii="Times New Roman" w:hAnsi="Times New Roman"/>
          <w:noProof/>
          <w:sz w:val="24"/>
          <w:szCs w:val="24"/>
        </w:rPr>
        <w:t xml:space="preserve"> darba grupās. Šajā saistībā Komisija cieši sadarbosies ar valstu iestādēm, lai nodrošinātu darbību ciešu koordināciju un attiecīgo pieejamo līdzekļu vislabāko izmantošanu ES un valstu līmenī. Pētniecības un zinātnisko projektu rezultātu apmaiņa, kā arī datu apmaiņa starp dalībvalstīm un Komisiju varētu dot ieguldījumu pamatotas pierādījumu bāzes izveidei ar attiecīgajiem datiem.</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Šis darbs ir jāpapildina ar ciešu un efektīvu sadarbību ar </w:t>
      </w:r>
      <w:r>
        <w:rPr>
          <w:rFonts w:ascii="Times New Roman" w:hAnsi="Times New Roman"/>
          <w:b/>
          <w:noProof/>
          <w:sz w:val="24"/>
          <w:szCs w:val="24"/>
        </w:rPr>
        <w:t>galvenajām ieinteresētajām personām</w:t>
      </w:r>
      <w:r>
        <w:rPr>
          <w:rFonts w:ascii="Times New Roman" w:hAnsi="Times New Roman"/>
          <w:noProof/>
          <w:sz w:val="24"/>
          <w:szCs w:val="24"/>
        </w:rPr>
        <w:t xml:space="preserve">, tostarp </w:t>
      </w:r>
      <w:r>
        <w:rPr>
          <w:rFonts w:ascii="Times New Roman" w:hAnsi="Times New Roman"/>
          <w:b/>
          <w:noProof/>
          <w:sz w:val="24"/>
          <w:szCs w:val="24"/>
        </w:rPr>
        <w:t>patērētāju organizācijām, nozares pārstāvjiem un akadēmisko aprindu pārstāvjiem</w:t>
      </w:r>
      <w:r>
        <w:rPr>
          <w:rFonts w:ascii="Times New Roman" w:hAnsi="Times New Roman"/>
          <w:noProof/>
          <w:sz w:val="24"/>
          <w:szCs w:val="24"/>
        </w:rPr>
        <w:t xml:space="preserve">. Spēcīgas patērētāju organizācijas Savienības un valstu līmenī ir nozīmīgi partneri, izstrādājot darbību saskaņā ar šo Programmu, uzrunājot patērētājus un atbalstot viņus. Komisija izveidos jaunu </w:t>
      </w:r>
      <w:r>
        <w:rPr>
          <w:rFonts w:ascii="Times New Roman" w:hAnsi="Times New Roman"/>
          <w:b/>
          <w:noProof/>
          <w:sz w:val="24"/>
          <w:szCs w:val="24"/>
        </w:rPr>
        <w:t>Patērētāju tiesību aizsardzības politikas konsultatīvo grupu</w:t>
      </w:r>
      <w:r>
        <w:rPr>
          <w:rFonts w:ascii="Times New Roman" w:hAnsi="Times New Roman"/>
          <w:noProof/>
          <w:sz w:val="24"/>
          <w:szCs w:val="24"/>
        </w:rPr>
        <w:t xml:space="preserve">, lai pārskatītu progresu un apsvērtu prioritātes nākamajā gadā kā ieguldījumu Patērētāju samita diskusijās. Tajā ir jāapvieno visas ieinteresētās personas, kā arī jānodrošina mērķtiecīgas diskusijas, piemēram, starp patērētāju organizācijām un valsts iestādēm. </w:t>
      </w:r>
      <w:r>
        <w:rPr>
          <w:rFonts w:ascii="Times New Roman" w:hAnsi="Times New Roman"/>
          <w:noProof/>
          <w:sz w:val="24"/>
        </w:rPr>
        <w:t xml:space="preserve">Ir jāīsteno </w:t>
      </w:r>
      <w:r>
        <w:rPr>
          <w:rFonts w:ascii="Times New Roman" w:hAnsi="Times New Roman"/>
          <w:noProof/>
          <w:sz w:val="24"/>
          <w:szCs w:val="24"/>
        </w:rPr>
        <w:t xml:space="preserve">dažādi sadarbības veidi </w:t>
      </w:r>
      <w:r>
        <w:rPr>
          <w:rFonts w:ascii="Times New Roman" w:hAnsi="Times New Roman"/>
          <w:b/>
          <w:noProof/>
          <w:sz w:val="24"/>
          <w:szCs w:val="24"/>
        </w:rPr>
        <w:t>ar uzņēmumiem</w:t>
      </w:r>
      <w:r>
        <w:rPr>
          <w:rFonts w:ascii="Times New Roman" w:hAnsi="Times New Roman"/>
          <w:noProof/>
          <w:sz w:val="24"/>
          <w:szCs w:val="24"/>
        </w:rPr>
        <w:t>, tostarp</w:t>
      </w:r>
      <w:r>
        <w:rPr>
          <w:rFonts w:ascii="Times New Roman" w:hAnsi="Times New Roman"/>
          <w:noProof/>
          <w:sz w:val="24"/>
        </w:rPr>
        <w:t xml:space="preserve"> izmantojot apmācības pasākumus, labas prakses apmaiņu un </w:t>
      </w:r>
      <w:r>
        <w:rPr>
          <w:rFonts w:ascii="Times New Roman" w:hAnsi="Times New Roman"/>
          <w:noProof/>
          <w:sz w:val="24"/>
          <w:szCs w:val="24"/>
        </w:rPr>
        <w:t xml:space="preserve">tikšanās ar to uzņēmumu izpilddirektoriem, kuri ir brīvprātīgi apņēmušies pildīt noteiktas saistības.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hAnsi="Times New Roman" w:cs="Times New Roman"/>
          <w:noProof/>
          <w:sz w:val="24"/>
          <w:szCs w:val="24"/>
        </w:rPr>
      </w:pPr>
      <w:r>
        <w:rPr>
          <w:rFonts w:ascii="Times New Roman" w:hAnsi="Times New Roman"/>
          <w:noProof/>
          <w:sz w:val="24"/>
          <w:szCs w:val="24"/>
        </w:rPr>
        <w:t xml:space="preserve">Vienlaikus, pamatojoties uz pārskatīto rādītāju kopumu, </w:t>
      </w:r>
      <w:r>
        <w:rPr>
          <w:rFonts w:ascii="Times New Roman" w:hAnsi="Times New Roman"/>
          <w:b/>
          <w:noProof/>
          <w:sz w:val="24"/>
          <w:szCs w:val="24"/>
        </w:rPr>
        <w:t>jāturpina pilnveidot</w:t>
      </w:r>
      <w:r>
        <w:rPr>
          <w:rFonts w:ascii="Times New Roman" w:hAnsi="Times New Roman"/>
          <w:noProof/>
          <w:sz w:val="24"/>
          <w:szCs w:val="24"/>
        </w:rPr>
        <w:t xml:space="preserve"> pašreizējo </w:t>
      </w:r>
      <w:r>
        <w:rPr>
          <w:rFonts w:ascii="Times New Roman" w:hAnsi="Times New Roman"/>
          <w:b/>
          <w:noProof/>
          <w:sz w:val="24"/>
          <w:szCs w:val="24"/>
        </w:rPr>
        <w:t>Rezultātu apkopojumu</w:t>
      </w:r>
      <w:r>
        <w:rPr>
          <w:rFonts w:ascii="Times New Roman" w:hAnsi="Times New Roman"/>
          <w:noProof/>
          <w:sz w:val="24"/>
          <w:szCs w:val="24"/>
        </w:rPr>
        <w:t xml:space="preserve"> par patērētāju apstākļiem visā ES, lai labāk atspoguļotu reālo situāciju patērētāju tiesību aizsardzības, produktu drošuma un ilgtspējīga patēriņa jomā ES un valstu līmenī. Šim nolūkam ir nepieciešama uzlabota datu vākšanas sistēma, kas aptver situāciju tirgos un valstīs, patērētāju viedokļus un uzvedību, kā arī dalībvalstu izpildes spējas un darbības. Pamatojoties uz datiem, kas iegūti, izmantojot rezultātu apkopojumu, un cieši sadarbojoties ar visām ieinteresētajām personām, ES un valstu pasākumus un darbību varētu izstrādāt, saskaņot un noteikt par prioritāti, lai dotu maksimālu labumu patērētājiem visā ES.</w:t>
      </w:r>
    </w:p>
    <w:p>
      <w:pPr>
        <w:numPr>
          <w:ilvl w:val="0"/>
          <w:numId w:val="5"/>
        </w:numPr>
        <w:pBdr>
          <w:top w:val="single" w:sz="4" w:space="1" w:color="auto"/>
          <w:left w:val="single" w:sz="4" w:space="4" w:color="auto"/>
          <w:bottom w:val="single" w:sz="4" w:space="6" w:color="auto"/>
          <w:right w:val="single" w:sz="4" w:space="4" w:color="auto"/>
        </w:pBdr>
        <w:spacing w:after="240" w:line="240" w:lineRule="auto"/>
        <w:jc w:val="both"/>
        <w:rPr>
          <w:rFonts w:ascii="Times New Roman" w:hAnsi="Times New Roman" w:cs="Times New Roman"/>
          <w:smallCaps/>
          <w:noProof/>
          <w:sz w:val="24"/>
          <w:szCs w:val="24"/>
        </w:rPr>
      </w:pPr>
      <w:r>
        <w:rPr>
          <w:rFonts w:ascii="Times New Roman" w:hAnsi="Times New Roman"/>
          <w:b/>
          <w:bCs/>
          <w:noProof/>
          <w:sz w:val="24"/>
          <w:szCs w:val="24"/>
        </w:rPr>
        <w:t xml:space="preserve">21. darbība. </w:t>
      </w:r>
      <w:r>
        <w:rPr>
          <w:rFonts w:ascii="Times New Roman" w:hAnsi="Times New Roman"/>
          <w:noProof/>
          <w:sz w:val="24"/>
          <w:szCs w:val="24"/>
        </w:rPr>
        <w:t xml:space="preserve">Komisijas mērķis ir izveidot </w:t>
      </w:r>
      <w:r>
        <w:rPr>
          <w:rFonts w:ascii="Times New Roman" w:hAnsi="Times New Roman"/>
          <w:b/>
          <w:noProof/>
          <w:sz w:val="24"/>
          <w:szCs w:val="24"/>
        </w:rPr>
        <w:t>Patērētāju tiesību aizsardzības politikas padomdevēju grupu</w:t>
      </w:r>
      <w:r>
        <w:rPr>
          <w:rFonts w:ascii="Times New Roman" w:hAnsi="Times New Roman"/>
          <w:noProof/>
          <w:sz w:val="24"/>
          <w:szCs w:val="24"/>
        </w:rPr>
        <w:t>, kurā apvienotas patērētāju organizācijas, pilsoniskās sabiedrības un nozares pārstāvji,</w:t>
      </w:r>
      <w:r>
        <w:rPr>
          <w:rFonts w:ascii="Times New Roman" w:hAnsi="Times New Roman"/>
          <w:b/>
          <w:noProof/>
          <w:sz w:val="24"/>
          <w:szCs w:val="24"/>
        </w:rPr>
        <w:t xml:space="preserve"> </w:t>
      </w:r>
      <w:r>
        <w:rPr>
          <w:rFonts w:ascii="Times New Roman" w:hAnsi="Times New Roman"/>
          <w:noProof/>
          <w:sz w:val="24"/>
          <w:szCs w:val="24"/>
        </w:rPr>
        <w:t>lai atbalstītu patērētāju tiesību aizsardzības programmu</w:t>
      </w:r>
      <w:r>
        <w:rPr>
          <w:rFonts w:ascii="Times New Roman" w:hAnsi="Times New Roman" w:cs="Times New Roman"/>
          <w:noProof/>
          <w:sz w:val="24"/>
          <w:szCs w:val="24"/>
          <w:vertAlign w:val="superscript"/>
          <w:lang w:val="en-GB"/>
        </w:rPr>
        <w:footnoteReference w:id="105"/>
      </w:r>
      <w:r>
        <w:rPr>
          <w:rFonts w:ascii="Times New Roman" w:hAnsi="Times New Roman"/>
          <w:noProof/>
          <w:sz w:val="24"/>
          <w:szCs w:val="24"/>
        </w:rPr>
        <w:t>.</w:t>
      </w:r>
    </w:p>
    <w:p>
      <w:pPr>
        <w:numPr>
          <w:ilvl w:val="0"/>
          <w:numId w:val="5"/>
        </w:numPr>
        <w:pBdr>
          <w:top w:val="single" w:sz="4" w:space="1" w:color="auto"/>
          <w:left w:val="single" w:sz="4" w:space="4" w:color="auto"/>
          <w:bottom w:val="single" w:sz="4" w:space="6" w:color="auto"/>
          <w:right w:val="single" w:sz="4" w:space="4" w:color="auto"/>
        </w:pBdr>
        <w:spacing w:after="240" w:line="240" w:lineRule="auto"/>
        <w:jc w:val="both"/>
        <w:rPr>
          <w:rFonts w:ascii="Times New Roman" w:hAnsi="Times New Roman" w:cs="Times New Roman"/>
          <w:smallCaps/>
          <w:noProof/>
          <w:sz w:val="24"/>
          <w:szCs w:val="24"/>
        </w:rPr>
      </w:pPr>
      <w:r>
        <w:rPr>
          <w:rFonts w:ascii="Times New Roman" w:hAnsi="Times New Roman"/>
          <w:b/>
          <w:bCs/>
          <w:noProof/>
          <w:sz w:val="24"/>
          <w:szCs w:val="24"/>
        </w:rPr>
        <w:t xml:space="preserve">22. darbība. </w:t>
      </w:r>
      <w:r>
        <w:rPr>
          <w:rFonts w:ascii="Times New Roman" w:hAnsi="Times New Roman"/>
          <w:bCs/>
          <w:noProof/>
          <w:sz w:val="24"/>
          <w:szCs w:val="24"/>
        </w:rPr>
        <w:t xml:space="preserve">Komisija plāno 2021. gadā pārskatīt </w:t>
      </w:r>
      <w:r>
        <w:rPr>
          <w:rFonts w:ascii="Times New Roman" w:hAnsi="Times New Roman"/>
          <w:b/>
          <w:bCs/>
          <w:noProof/>
          <w:sz w:val="24"/>
          <w:szCs w:val="24"/>
        </w:rPr>
        <w:t>Rezultātu apkopojumu par patērētāju apstākļiem</w:t>
      </w:r>
      <w:r>
        <w:rPr>
          <w:rFonts w:ascii="Times New Roman" w:hAnsi="Times New Roman"/>
          <w:bCs/>
          <w:noProof/>
          <w:sz w:val="24"/>
          <w:szCs w:val="24"/>
        </w:rPr>
        <w:t xml:space="preserve">, lai uzlabotu savu uzraudzības un salīdzinošās novērtēšanas funkciju, kā arī tās nozīmi, </w:t>
      </w:r>
      <w:r>
        <w:rPr>
          <w:rFonts w:ascii="Times New Roman" w:hAnsi="Times New Roman"/>
          <w:noProof/>
          <w:sz w:val="24"/>
          <w:szCs w:val="24"/>
        </w:rPr>
        <w:t>stiprinot sadarbību izpildes jomā ES.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40" w:lineRule="auto"/>
        <w:jc w:val="both"/>
        <w:rPr>
          <w:rFonts w:ascii="Times New Roman" w:eastAsia="Calibri" w:hAnsi="Times New Roman" w:cs="Times New Roman"/>
          <w:noProof/>
          <w:sz w:val="24"/>
          <w:szCs w:val="24"/>
        </w:rPr>
      </w:pPr>
    </w:p>
    <w:p>
      <w:pPr>
        <w:numPr>
          <w:ilvl w:val="0"/>
          <w:numId w:val="3"/>
        </w:numPr>
        <w:spacing w:after="240" w:line="240" w:lineRule="auto"/>
        <w:contextualSpacing/>
        <w:rPr>
          <w:rFonts w:ascii="Times New Roman Bold" w:hAnsi="Times New Roman Bold" w:cs="Times New Roman"/>
          <w:b/>
          <w:smallCaps/>
          <w:noProof/>
          <w:sz w:val="28"/>
          <w:szCs w:val="28"/>
        </w:rPr>
      </w:pPr>
      <w:r>
        <w:rPr>
          <w:rFonts w:ascii="Times New Roman Bold" w:hAnsi="Times New Roman Bold"/>
          <w:b/>
          <w:smallCaps/>
          <w:noProof/>
          <w:sz w:val="28"/>
          <w:szCs w:val="28"/>
        </w:rPr>
        <w:t xml:space="preserve">Secinājums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noProof/>
          <w:sz w:val="24"/>
          <w:szCs w:val="24"/>
          <w:lang w:val="en-GB"/>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eastAsia="Calibri" w:hAnsi="Times New Roman" w:cs="Times New Roman"/>
          <w:noProof/>
          <w:sz w:val="24"/>
          <w:szCs w:val="24"/>
        </w:rPr>
      </w:pPr>
      <w:r>
        <w:rPr>
          <w:rFonts w:ascii="Times New Roman" w:hAnsi="Times New Roman"/>
          <w:noProof/>
          <w:sz w:val="24"/>
          <w:szCs w:val="24"/>
        </w:rPr>
        <w:t>ES ir stabila patērētāju tiesību aizsardzības sistēma, kas izstrādāta daudzu gadu garumā un nesen papildināta ar vairākām likumdošanas iniciatīvām, no kurām ES patērētāji gūs labumu turpmākajos gados. Šajā jaunajā Patērētāju tiesību aizsardzības programmā ir izklāstīts, kā šos sasniegumus varētu konsolidēt, veicot virkni darbību, lai risinātu problēmas, no kurām daudzas ir vēl vairāk izgaismojusi pašreizējā pandēmija, un lai stiprinātu vispārējo sadarbības sistēmu starp ES iestādēm, dalībvalstīm un ieinteresētajām personām. Tas būs galvenais virzītājspēks ES ekonomikas un patērētāju ilgtspējīgas atveseļošanas un noturības nodrošināšanā.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Komisija cer uz plašu dialogu ar visām ieinteresētajām personām par prioritātēm un darbībām, kā arī par sadarbības metodēm, lai veicinātu patērētāju tiesību aizsardzību turpmākajos gados, kā izklāstīts šajā Programmā. </w:t>
      </w:r>
    </w:p>
    <w:sectPr>
      <w:headerReference w:type="even" r:id="rId19"/>
      <w:headerReference w:type="default" r:id="rId20"/>
      <w:footerReference w:type="even" r:id="rId21"/>
      <w:footerReference w:type="default" r:id="rId22"/>
      <w:headerReference w:type="first" r:id="rId23"/>
      <w:footerReference w:type="first" r:id="rId24"/>
      <w:pgSz w:w="11906" w:h="16838" w:code="9"/>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488483"/>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vertAlign w:val="superscript"/>
        </w:rPr>
        <w:t xml:space="preserve"> </w:t>
      </w:r>
      <w:hyperlink r:id="rId1" w:history="1">
        <w:r>
          <w:rPr>
            <w:rFonts w:ascii="Times New Roman" w:hAnsi="Times New Roman"/>
          </w:rPr>
          <w:t>https://ec.europa.eu/info/law/law-topic/consumers/review-eu-consumer-law-new-deal-consumers_en</w:t>
        </w:r>
      </w:hyperlink>
      <w:r>
        <w:rPr>
          <w:rFonts w:ascii="Times New Roman" w:hAnsi="Times New Roman"/>
        </w:rPr>
        <w:t xml:space="preserve">.  </w:t>
      </w:r>
    </w:p>
  </w:footnote>
  <w:footnote w:id="3">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vertAlign w:val="superscript"/>
        </w:rPr>
        <w:t xml:space="preserve"> </w:t>
      </w:r>
      <w:r>
        <w:rPr>
          <w:rFonts w:ascii="Times New Roman" w:hAnsi="Times New Roman"/>
          <w:i/>
          <w:iCs/>
        </w:rPr>
        <w:t>Eurostat</w:t>
      </w:r>
      <w:r>
        <w:rPr>
          <w:rFonts w:ascii="Times New Roman" w:hAnsi="Times New Roman"/>
        </w:rPr>
        <w:t xml:space="preserve">: </w:t>
      </w:r>
      <w:hyperlink r:id="rId2" w:history="1">
        <w:r>
          <w:rPr>
            <w:rFonts w:ascii="Times New Roman" w:hAnsi="Times New Roman"/>
          </w:rPr>
          <w:t>https://ec.europa.eu/eurostat/statistics-explained/index.php/Household_consumption_by_purpose</w:t>
        </w:r>
      </w:hyperlink>
      <w:r>
        <w:rPr>
          <w:rFonts w:ascii="Times New Roman" w:hAnsi="Times New Roman"/>
        </w:rPr>
        <w:t xml:space="preserve">.   </w:t>
      </w:r>
    </w:p>
  </w:footnote>
  <w:footnote w:id="4">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ES MVU stratēģija, kuras mērķis ir ilgtspējīga un digitāla Eiropa, COM(2020)103final. </w:t>
      </w:r>
    </w:p>
  </w:footnote>
  <w:footnote w:id="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Līguma par Eiropas Savienības darbību 12. pants.</w:t>
      </w:r>
    </w:p>
  </w:footnote>
  <w:footnote w:id="6">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w:t>
      </w:r>
      <w:hyperlink r:id="rId3" w:history="1">
        <w:r>
          <w:rPr>
            <w:rFonts w:ascii="Times New Roman" w:hAnsi="Times New Roman"/>
          </w:rPr>
          <w:t>https://ec.europa.eu/info/strategy/priorities-2019-2024/european-green-deal_en</w:t>
        </w:r>
      </w:hyperlink>
      <w:r>
        <w:rPr>
          <w:rFonts w:ascii="Times New Roman" w:hAnsi="Times New Roman"/>
        </w:rPr>
        <w:t xml:space="preserve">.  </w:t>
      </w:r>
    </w:p>
  </w:footnote>
  <w:footnote w:id="7">
    <w:p>
      <w:pPr>
        <w:pStyle w:val="FootnoteText"/>
        <w:rPr>
          <w:rFonts w:ascii="Times New Roman" w:hAnsi="Times New Roman" w:cs="Times New Roman"/>
        </w:rPr>
      </w:pPr>
      <w:r>
        <w:rPr>
          <w:rFonts w:ascii="Times New Roman" w:hAnsi="Times New Roman" w:cs="Times New Roman"/>
          <w:vertAlign w:val="superscript"/>
        </w:rPr>
        <w:footnoteRef/>
      </w:r>
      <w:r>
        <w:rPr>
          <w:rFonts w:ascii="Times New Roman" w:hAnsi="Times New Roman"/>
          <w:vertAlign w:val="superscript"/>
        </w:rPr>
        <w:t xml:space="preserve"> </w:t>
      </w:r>
      <w:r>
        <w:rPr>
          <w:rFonts w:ascii="Times New Roman" w:hAnsi="Times New Roman"/>
        </w:rPr>
        <w:t>COM(2020)98final.</w:t>
      </w:r>
    </w:p>
  </w:footnote>
  <w:footnote w:id="8">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w:t>
      </w:r>
      <w:hyperlink r:id="rId4" w:history="1">
        <w:r>
          <w:rPr>
            <w:rFonts w:ascii="Times New Roman" w:hAnsi="Times New Roman"/>
          </w:rPr>
          <w:t>https://ec.europa.eu/info/publications/communication-shaping-europes-digital-future_en</w:t>
        </w:r>
      </w:hyperlink>
      <w:r>
        <w:rPr>
          <w:rFonts w:ascii="Times New Roman" w:hAnsi="Times New Roman"/>
        </w:rPr>
        <w:t xml:space="preserve">.  </w:t>
      </w:r>
    </w:p>
  </w:footnote>
  <w:footnote w:id="9">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vertAlign w:val="superscript"/>
        </w:rPr>
        <w:t xml:space="preserve"> </w:t>
      </w:r>
      <w:r>
        <w:rPr>
          <w:rFonts w:ascii="Times New Roman" w:hAnsi="Times New Roman"/>
        </w:rPr>
        <w:t>Programmā ir uzskaitītas darbības selektīvā un neizsmeļošā veidā, lai uzsvērtu galvenās darba plūsmas un novērstu pārklāšanos ar citām stratēģijām un rīcības plāniem, par kuriem jau ir panākta vienošanās.</w:t>
      </w:r>
    </w:p>
  </w:footnote>
  <w:footnote w:id="10">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Skatīt </w:t>
      </w:r>
      <w:hyperlink r:id="rId5" w:history="1">
        <w:r>
          <w:rPr>
            <w:rFonts w:ascii="Times New Roman" w:hAnsi="Times New Roman"/>
          </w:rPr>
          <w:t>https://ec.europa.eu/info/law/better-regulation/have-your-say/initiatives/12464-A-New-Consumer-Agenda</w:t>
        </w:r>
      </w:hyperlink>
      <w:r>
        <w:rPr>
          <w:rFonts w:ascii="Times New Roman" w:hAnsi="Times New Roman"/>
        </w:rPr>
        <w:t xml:space="preserve">. </w:t>
      </w:r>
    </w:p>
  </w:footnote>
  <w:footnote w:id="11">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Komisijas paziņojums Eiropas Parlamentam, Eiropadomei, Padomei un Eiropas Investīciju bankai par ES stratēģiju attiecībā uz Covid-19 vakcīnām. COM(2020)245final  </w:t>
      </w:r>
    </w:p>
  </w:footnote>
  <w:footnote w:id="12">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https://ec.europa.eu/info/live-work-travel-eu/health/coronavirus-response/public-health_en</w:t>
      </w:r>
    </w:p>
  </w:footnote>
  <w:footnote w:id="1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Komisijas 2020. gada 28. oktobra paziņojums par reaģēšanai uz Covid-19 pandēmiju vajadzīgajiem papildpasākumiem, COM(2020)687final, un Komisijas 2020. gada 28. oktobra ieteikums par Covid-19 testēšanas stratēģijām, tostarp par ātru antigēna testu izmantošanu, C(2020)7502final</w:t>
      </w:r>
    </w:p>
  </w:footnote>
  <w:footnote w:id="14">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vertAlign w:val="superscript"/>
        </w:rPr>
        <w:t xml:space="preserve"> </w:t>
      </w:r>
      <w:r>
        <w:rPr>
          <w:rFonts w:ascii="Times New Roman" w:hAnsi="Times New Roman"/>
        </w:rPr>
        <w:t>Saskaņā ar Komisijas uzdevumā veikto IPSOS aptauju papildus ievērojamam tiešsaistes iepirkšanās pieaugumam 2020. gada pirmajā pusē daudzi patērētāji uzskata, ka nākamajā gadā viņi retāk apmeklēs sporta vai kultūras pasākumus (40–60 %) un retāk izmantos sabiedrisko transportu (24–43 %).</w:t>
      </w:r>
    </w:p>
  </w:footnote>
  <w:footnote w:id="15">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vertAlign w:val="superscript"/>
        </w:rPr>
        <w:t xml:space="preserve"> </w:t>
      </w:r>
      <w:r>
        <w:rPr>
          <w:rFonts w:ascii="Times New Roman" w:hAnsi="Times New Roman"/>
        </w:rPr>
        <w:t xml:space="preserve">Komisijas ieteikums (ES) 2020/648 (2020. gada 13. maijs) par vaučeriem, ko pasažieriem un ceļotājiem piedāvā kā alternatīvu atlīdzinājumam par atceltiem kompleksajiem ceļojumiem un transporta pakalpojumiem saistībā ar Covid-19 pandēmiju (OV L 151, 14.5.2020.). </w:t>
      </w:r>
    </w:p>
  </w:footnote>
  <w:footnote w:id="16">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Pasažieru tiesību Regulas (EK) 261/2004, (EK) 1371/2007, (ES) 1177/2010 un (ES) 181/2011 un Direktīva (ES) 2015/2302 par kompleksiem ceļojumiem.</w:t>
      </w:r>
    </w:p>
  </w:footnote>
  <w:footnote w:id="17">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w:t>
      </w:r>
      <w:hyperlink r:id="rId6" w:history="1">
        <w:r>
          <w:rPr>
            <w:rFonts w:ascii="Times New Roman" w:hAnsi="Times New Roman"/>
          </w:rPr>
          <w:t>https://ec.europa.eu/info/live-work-travel-eu/consumers/enforcement-consumer-protection/scams-related-covid-19_en</w:t>
        </w:r>
      </w:hyperlink>
      <w:r>
        <w:rPr>
          <w:rFonts w:ascii="Times New Roman" w:hAnsi="Times New Roman"/>
        </w:rPr>
        <w:t xml:space="preserve">. </w:t>
      </w:r>
    </w:p>
  </w:footnote>
  <w:footnote w:id="18">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vertAlign w:val="superscript"/>
        </w:rPr>
        <w:t xml:space="preserve"> </w:t>
      </w:r>
      <w:r>
        <w:rPr>
          <w:rFonts w:ascii="Times New Roman" w:hAnsi="Times New Roman"/>
        </w:rPr>
        <w:t>Tā rezultātā platformas ziņoja par sejas masku vai citu aizsardzības līdzekļu maldinošas tirgvedības krasu samazinājumu par vismaz 80 % vasarā salīdzinājumā ar marta vidējo rādītāju.</w:t>
      </w:r>
    </w:p>
  </w:footnote>
  <w:footnote w:id="19">
    <w:p>
      <w:pPr>
        <w:spacing w:after="0"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hAnsi="Times New Roman"/>
          <w:sz w:val="20"/>
          <w:szCs w:val="20"/>
        </w:rPr>
        <w:t xml:space="preserve">Šajā saistībā skatīt Komisijas nesen publicētās pamatnostādnes </w:t>
      </w:r>
      <w:hyperlink r:id="rId7" w:history="1">
        <w:r>
          <w:rPr>
            <w:rFonts w:ascii="Times New Roman" w:hAnsi="Times New Roman"/>
            <w:sz w:val="20"/>
            <w:szCs w:val="20"/>
          </w:rPr>
          <w:t xml:space="preserve">https://ec.europa.eu/info/sites/info/files/waste_management_guidance_dg-env.pdf </w:t>
        </w:r>
      </w:hyperlink>
      <w:r>
        <w:rPr>
          <w:rFonts w:ascii="Times New Roman" w:hAnsi="Times New Roman"/>
          <w:sz w:val="20"/>
          <w:szCs w:val="20"/>
        </w:rPr>
        <w:t xml:space="preserve">. </w:t>
      </w:r>
    </w:p>
  </w:footnote>
  <w:footnote w:id="20">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vertAlign w:val="superscript"/>
        </w:rPr>
        <w:t xml:space="preserve"> </w:t>
      </w:r>
      <w:r>
        <w:rPr>
          <w:rFonts w:ascii="Times New Roman" w:hAnsi="Times New Roman"/>
        </w:rPr>
        <w:t xml:space="preserve">Kā norādīts Komisijas paziņojumā Eiropas Parlamentam un Padomei “2020. gada stratēģiskās prognozēšanas ziņojums” (COM(2020)493final), prognozēšanai ir būtiska nozīme, lai palīdzētu veidot uz nākotni vērstu ES politiku, nodrošinot, ka īstermiņa iniciatīvas ir balstītas uz ilgtermiņa perspektīvu. Prognozēšana var palīdzēt veidot kolektīvo inteliģenci un ieskicēt turpmāko virzību uz zaļo un digitālo pārkārtošanos, kā arī atgūties no satricinājumiem. Līdztekus citiem prognozēšanas pasākumiem Komisijas Kopīgais pētniecības centrs uzrauga 14 megatendences kā daļu no tās </w:t>
      </w:r>
      <w:hyperlink r:id="rId8" w:history="1">
        <w:r>
          <w:rPr>
            <w:rFonts w:ascii="Times New Roman" w:hAnsi="Times New Roman"/>
          </w:rPr>
          <w:t>Megatendenču centra</w:t>
        </w:r>
      </w:hyperlink>
      <w:r>
        <w:rPr>
          <w:rFonts w:ascii="Times New Roman" w:hAnsi="Times New Roman"/>
        </w:rPr>
        <w:t xml:space="preserve">, no kurām dažas ir ļoti nozīmīgas patērētāju tiesību aizsardzības politikas jomā.     </w:t>
      </w:r>
    </w:p>
  </w:footnote>
  <w:footnote w:id="21">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Ņemot vērā attiecīgās darbības, kas ierosinātas kopīgajā paziņojumā Eiropas Parlamentam, Eiropadomei, Padomei, Eiropas Ekonomikas un sociālo lietu komitejai un Reģionu komitejai “Ar Covid-19 saistītās dezinformācijas apkarošana, pamatojoties uz faktiem”, JOIN(2020)8 final, sk. 8. iedaļu.</w:t>
      </w:r>
    </w:p>
  </w:footnote>
  <w:footnote w:id="22">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vertAlign w:val="superscript"/>
        </w:rPr>
        <w:t xml:space="preserve"> </w:t>
      </w:r>
      <w:r>
        <w:rPr>
          <w:rFonts w:ascii="Times New Roman" w:hAnsi="Times New Roman"/>
        </w:rPr>
        <w:t>Tas nozīmē, ka produktu nevar izmantot paredzētajam mērķim un tas salūzt ātrāk, nekā paredzēts.</w:t>
      </w:r>
    </w:p>
  </w:footnote>
  <w:footnote w:id="23">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Uzvedības pētījums par patērētāju iesaistīšanos aprites ekonomikā (</w:t>
      </w:r>
      <w:hyperlink r:id="rId9" w:anchor="behaviouralstudyonconsumersengagementinthecirculareconomy" w:history="1">
        <w:r>
          <w:rPr>
            <w:rFonts w:ascii="Times New Roman" w:hAnsi="Times New Roman"/>
          </w:rPr>
          <w:t>https://ec.europa.eu/info/live-work-travel-eu/consumers/sustainable-consumption_en#behaviouralstudyonconsumersengagementinthecirculareconomy</w:t>
        </w:r>
      </w:hyperlink>
      <w:r>
        <w:rPr>
          <w:rFonts w:ascii="Times New Roman" w:hAnsi="Times New Roman"/>
        </w:rPr>
        <w:t>).</w:t>
      </w:r>
    </w:p>
  </w:footnote>
  <w:footnote w:id="24">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Eirobarometra speciālizlaidums Nr. 501 (2020. gada marts). Eiropas iedzīvotāju attieksme pret vidi https://ec.europa.eu/commfrontoffice/publicopinion/index.cfm/survey/getSurveydetail/instruments/special/surveyky/2257.</w:t>
      </w:r>
    </w:p>
  </w:footnote>
  <w:footnote w:id="25">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Nesenā KPC ziņojumā par aprites cikla novērtējumā balstītiem rādītājiem norādīts, ka pārtikas patēriņš, mājokļi un mobilitāte būtiski ietekmē ES patērētāju vispārējo ietekmi uz vidi. Sala S. et al. (2019) Indicators and Assessment of the environmental impact of EU consumption. Consumption and Consumer Footprint for assessing and monitoring EU policies with Life Cycle Assessment, doi:10.2760/403263, JRC114814.</w:t>
      </w:r>
    </w:p>
  </w:footnote>
  <w:footnote w:id="26">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COM(2020)381final.</w:t>
      </w:r>
    </w:p>
  </w:footnote>
  <w:footnote w:id="27">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COM(2020)380final.</w:t>
      </w:r>
    </w:p>
  </w:footnote>
  <w:footnote w:id="28">
    <w:p>
      <w:pPr>
        <w:pStyle w:val="FootnoteText"/>
        <w:jc w:val="both"/>
        <w:rPr>
          <w:rFonts w:asciiTheme="majorHAnsi" w:hAnsiTheme="majorHAnsi" w:cstheme="majorHAnsi"/>
        </w:rPr>
      </w:pPr>
      <w:r>
        <w:rPr>
          <w:rFonts w:ascii="Times New Roman" w:hAnsi="Times New Roman" w:cs="Times New Roman"/>
          <w:vertAlign w:val="superscript"/>
        </w:rPr>
        <w:footnoteRef/>
      </w:r>
      <w:r>
        <w:rPr>
          <w:rFonts w:ascii="Times New Roman" w:hAnsi="Times New Roman"/>
        </w:rPr>
        <w:t xml:space="preserve"> Piemēram, priekšlikums par tiesisko regulējumu attiecībā uz ilgtspējīgām pārtikas sistēmām, priekšlikums par ilgtspējīgu pārtikas marķēšanas sistēmu, lai nodrošinātu iespēju patērētājiem izdarīt ilgtspējīgu pārtikas izvēli.</w:t>
      </w:r>
    </w:p>
  </w:footnote>
  <w:footnote w:id="2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Patērētāju pāreja uz veselīgāku uzturu var palīdzēt samazināt siltumnīcefekta gāzu emisijas, kā atzīts paziņojumā “Eiropas 2030. gada klimatisko ieceru vēriena kāpināšana” (COM/2020/562). Lai uzlabotu patērētāju piekļuvi informācijai un atvieglotu patērētājiem iespēju izdarīt veselīgu un ilgtspējīgu izvēli, stratēģijā “No lauka līdz galdam” ir izklāstīta rīcības programma. Šie pasākumi cita starpā ietver obligātu uzturvērtības marķējumu iepakojuma priekšpusē, dzīvnieku labturības marķējumu, uzturvielu aprakstu noteikšanu, lai ierobežotu tādu pārtikas produktu popularizēšanu, kuros ir augsts sāls, cukura vai tauku saturs, kā arī obligātas norādes par izcelsmi plašākas piemērošanas izvērtēšanu noteiktiem pārtikas produktiem. </w:t>
      </w:r>
    </w:p>
  </w:footnote>
  <w:footnote w:id="30">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vertAlign w:val="superscript"/>
        </w:rPr>
        <w:t xml:space="preserve"> </w:t>
      </w:r>
      <w:r>
        <w:rPr>
          <w:rFonts w:ascii="Times New Roman" w:hAnsi="Times New Roman"/>
        </w:rPr>
        <w:t>https://ec.europa.eu/info/law/better-regulation/have-your-say/initiatives/12588-EU-Action-Plan-Towards-a-Zero-Pollution-Ambition-for-air-water-and-soil.</w:t>
      </w:r>
    </w:p>
  </w:footnote>
  <w:footnote w:id="31">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Cita starpā varētu apsvērt izpratnes veicināšanas kampaņas, lai mudinātu patērētājus vairāk izmantot tīru un drošu krāna ūdeni, nevis plastmasas pudelēs pildītu ūdeni, drošā veidā atbrīvoties no neizlietotajām zālēm, novērst mikroplastmasas nonākšanu mūsu saldūdeņos un jūras ūdeņos, izvēlēties videi nekaitīgākus transporta veidus, kā arī videi nekaitīgākas apkures un dzesēšanas sistēmas, lai veicinātu tīru gaisu gan iekštelpās, gan ārpus tām un spētu identificēt produktus, kas veicina dabas aizsardzību, ilgtspējīgi izmantojot Natura 2000 teritorijas.</w:t>
      </w:r>
    </w:p>
  </w:footnote>
  <w:footnote w:id="32">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COM(2020)667final </w:t>
      </w:r>
    </w:p>
  </w:footnote>
  <w:footnote w:id="33">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COM(2018)097final.</w:t>
      </w:r>
    </w:p>
  </w:footnote>
  <w:footnote w:id="34">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COM(2020) 662final.</w:t>
      </w:r>
    </w:p>
  </w:footnote>
  <w:footnote w:id="35">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Jo īpaši iniciatīvas ilgtspējīgai produktu politikai un “ekoloģisko” apgalvojumu pamatošanai.</w:t>
      </w:r>
    </w:p>
  </w:footnote>
  <w:footnote w:id="3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Pieejamība ir jāsaprot kā tādu šķēršļu likvidēšana un novēršana, kas kavē personu ar invaliditāti līdzdalību vienlīdzīgi ar citiem. Turklāt tā veicina ilgizturību un atkārtotu lietojamību un ir norādīta Aprites ekonomikas rīcības plānā saskaņā ar Eiropas Parlamenta un Padomes 2019. gada 17. aprīļa Direktīvu (ES) 2019/882 par produktu un pakalpojumu piekļūstamības prasībām (OV L 151, 7.6.2019., 70. lpp.).  </w:t>
      </w:r>
    </w:p>
  </w:footnote>
  <w:footnote w:id="3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0" w:history="1">
        <w:r>
          <w:rPr>
            <w:rStyle w:val="Hyperlink"/>
            <w:rFonts w:ascii="Times New Roman" w:hAnsi="Times New Roman"/>
          </w:rPr>
          <w:t>https://ec.europa.eu/info/law/better-regulation/have-your-say/initiatives/12567-Sustainable-Products-Initiative</w:t>
        </w:r>
      </w:hyperlink>
      <w:r>
        <w:rPr>
          <w:rFonts w:ascii="Times New Roman" w:hAnsi="Times New Roman"/>
        </w:rPr>
        <w:t xml:space="preserve">. </w:t>
      </w:r>
    </w:p>
  </w:footnote>
  <w:footnote w:id="38">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https://eur-lex.europa.eu/legal-content/LV/TXT/?uri=CELEX%3A02009L0125-20121204.</w:t>
      </w:r>
    </w:p>
  </w:footnote>
  <w:footnote w:id="39">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Pamatdarbība, kas izziņota </w:t>
      </w:r>
      <w:hyperlink r:id="rId11" w:history="1">
        <w:r>
          <w:rPr>
            <w:rFonts w:ascii="Times New Roman" w:hAnsi="Times New Roman"/>
          </w:rPr>
          <w:t>Digitālajā stratēģijā</w:t>
        </w:r>
      </w:hyperlink>
      <w:r>
        <w:rPr>
          <w:rFonts w:ascii="Times New Roman" w:hAnsi="Times New Roman"/>
        </w:rPr>
        <w:t xml:space="preserve">, “Eiropas digitālās nākotnes veidošana”, COM(2020)67final, un Aprites ekonomikas rīcības plānā, COM(2020)98final. </w:t>
      </w:r>
    </w:p>
  </w:footnote>
  <w:footnote w:id="40">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w:t>
      </w:r>
      <w:hyperlink r:id="rId12" w:history="1">
        <w:r>
          <w:rPr>
            <w:rFonts w:ascii="Times New Roman" w:hAnsi="Times New Roman"/>
          </w:rPr>
          <w:t>https://ec.europa.eu/growth/sectors/electrical-engineering/red-directive/common-charger_en</w:t>
        </w:r>
      </w:hyperlink>
      <w:r>
        <w:rPr>
          <w:rFonts w:ascii="Times New Roman" w:hAnsi="Times New Roman"/>
        </w:rPr>
        <w:t>.</w:t>
      </w:r>
    </w:p>
  </w:footnote>
  <w:footnote w:id="4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Komisija turklāt izpētīs iespējas attiecībā uz ES mēroga mazās elektronikas atpakaļpieņemšanas un atpakaļnodošanas shēmām, lai uzlabotu e-atkritumu savākšanu un apstrādi un sniegtu patērētājiem vairāk informācijas un iespēju atdot atpakaļ lietotās un mājās glabātās elektronikas atkritumus.</w:t>
      </w:r>
    </w:p>
  </w:footnote>
  <w:footnote w:id="4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3" w:history="1">
        <w:r>
          <w:rPr>
            <w:rStyle w:val="Hyperlink"/>
            <w:rFonts w:ascii="Times New Roman" w:hAnsi="Times New Roman"/>
          </w:rPr>
          <w:t>https://ec.europa.eu/info/files/factual-summary-report-public-consultation-new-consumer-agenda_en</w:t>
        </w:r>
      </w:hyperlink>
      <w:r>
        <w:rPr>
          <w:rStyle w:val="Hyperlink"/>
          <w:rFonts w:ascii="Times New Roman" w:hAnsi="Times New Roman"/>
        </w:rPr>
        <w:t>.</w:t>
      </w:r>
    </w:p>
  </w:footnote>
  <w:footnote w:id="43">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vertAlign w:val="superscript"/>
        </w:rPr>
        <w:t xml:space="preserve"> </w:t>
      </w:r>
      <w:r>
        <w:rPr>
          <w:rFonts w:ascii="Times New Roman" w:hAnsi="Times New Roman"/>
        </w:rPr>
        <w:t>Eiropas Parlamenta un Padomes 2019. gada 20. maija Direktīva (ES) 2019/771 par atsevišķiem preču pārdošanas līgumu aspektiem, ar kuru groza Regulu (ES) 2017/2394 un Direktīvu 2009/22/EK un atceļ Direktīvu 1999/44/EK (OV L 136, 22.5.2019., 28. lpp.).</w:t>
      </w:r>
    </w:p>
  </w:footnote>
  <w:footnote w:id="4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https://eur-lex.europa.eu/legal-content/LV/TXT/?uri=LEGISSUM%3Aco0012.</w:t>
      </w:r>
    </w:p>
  </w:footnote>
  <w:footnote w:id="4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COM(2018)097final. </w:t>
      </w:r>
    </w:p>
  </w:footnote>
  <w:footnote w:id="46">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Jo īpaši Regula par informācijas atklāšanu, kas saistīta ar ilgtspēju (https://eur-lex.europa.eu/legal-content/LV/TXT/?uri=CELEX%3A32019R2088), ES taksonomijas regula (</w:t>
      </w:r>
      <w:hyperlink r:id="rId14" w:history="1">
        <w:r>
          <w:rPr>
            <w:rFonts w:ascii="Times New Roman" w:hAnsi="Times New Roman"/>
          </w:rPr>
          <w:t>https://eur-lex.europa.eu/legal-content/LV/TXT/?uri=celex:32020R0852</w:t>
        </w:r>
      </w:hyperlink>
      <w:r>
        <w:rPr>
          <w:rFonts w:ascii="Times New Roman" w:hAnsi="Times New Roman"/>
        </w:rPr>
        <w:t>) un Nefinanšu pārskatu sniegšanas direktīvas pašreizējā pārskatīšana.</w:t>
      </w:r>
    </w:p>
  </w:footnote>
  <w:footnote w:id="47">
    <w:p>
      <w:pPr>
        <w:pStyle w:val="FootnoteText"/>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Eiropas Parlamenta un Padomes Direktīva (ES) 2019/944 (2019. gada 5. jūnijs) par kopīgiem noteikumiem attiecībā uz elektroenerģijas iekšējo tirgu un ar ko groza Direktīvu 2012/27/ES </w:t>
      </w:r>
      <w:r>
        <w:rPr>
          <w:rFonts w:ascii="Times New Roman" w:hAnsi="Times New Roman"/>
          <w:i/>
        </w:rPr>
        <w:t>(</w:t>
      </w:r>
      <w:r>
        <w:rPr>
          <w:rStyle w:val="Emphasis"/>
          <w:rFonts w:ascii="Times New Roman" w:hAnsi="Times New Roman"/>
          <w:i w:val="0"/>
        </w:rPr>
        <w:t>OV L 158, 14.6.2019., 125. lpp.)</w:t>
      </w:r>
      <w:r>
        <w:rPr>
          <w:rFonts w:ascii="Times New Roman" w:hAnsi="Times New Roman"/>
        </w:rPr>
        <w:t>.</w:t>
      </w:r>
    </w:p>
  </w:footnote>
  <w:footnote w:id="48">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Paziņots arī ES datu stratēģijā COM(2020)66final.</w:t>
      </w:r>
    </w:p>
  </w:footnote>
  <w:footnote w:id="49">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https://eur-lex.europa.eu/legal-content/LV/TXT/?uri=CELEX%3A52020PC0409</w:t>
      </w:r>
    </w:p>
  </w:footnote>
  <w:footnote w:id="50">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2020. gada septembrī izsludinātajā Eiropas zaļajā kursā ir pausts aicinājums rast risinājumus iedzīvotāju iesaistīšanai, piemēram, izmantojot mobilo tālruņu lietotnes, kas mēra viņu oglekļa pēdu, pamatojoties uz datiem par viņu patēriņa ieradumiem un dzīvesveida izvēli, un sniedz personalizētus priekšlikumus pēdas nospieduma samazināšanai.</w:t>
      </w:r>
    </w:p>
  </w:footnote>
  <w:footnote w:id="51">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Piemēram, Komisijas izstrādātais patērētāju pēdas nospieduma instruments. </w:t>
      </w:r>
    </w:p>
  </w:footnote>
  <w:footnote w:id="52">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Skatīt Komisijas 2021. gada darba programmu, COM(2020)690final.</w:t>
      </w:r>
    </w:p>
  </w:footnote>
  <w:footnote w:id="53">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Piemēram, </w:t>
      </w:r>
      <w:hyperlink r:id="rId15" w:history="1">
        <w:r>
          <w:rPr>
            <w:rFonts w:ascii="Times New Roman" w:hAnsi="Times New Roman"/>
          </w:rPr>
          <w:t>Ieteikums 2013/179/ES</w:t>
        </w:r>
      </w:hyperlink>
      <w:r>
        <w:rPr>
          <w:rFonts w:ascii="Times New Roman" w:hAnsi="Times New Roman"/>
        </w:rPr>
        <w:t xml:space="preserve"> par kopīgu metožu izmantošanu produktu un organizāciju aprites cikla ekoloģisko raksturlielumu mērīšanai un uzrādīšanai un ierosinājumi VP metožu atjaunināšanai (https://eplca.jrc.ec.europa.eu/permalink/PEF_method.pdf), EMAS Regula (EK) Nr. 1221/2009 vai ES Ekomarķējuma regula (EK) Nr. 66/2010. </w:t>
      </w:r>
    </w:p>
  </w:footnote>
  <w:footnote w:id="54">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Apvienotajā Karalistē, Dānijā, Nīderlandē, Zviedrijā un Vācijā</w:t>
      </w:r>
    </w:p>
  </w:footnote>
  <w:footnote w:id="55">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Eurostat — </w:t>
      </w:r>
      <w:hyperlink r:id="rId16" w:history="1">
        <w:r>
          <w:rPr>
            <w:rFonts w:ascii="Times New Roman" w:hAnsi="Times New Roman"/>
          </w:rPr>
          <w:t>Digitālās ekonomikas un sabiedrības statistika — mājsaimniecības un privātpersonas</w:t>
        </w:r>
      </w:hyperlink>
      <w:r>
        <w:rPr>
          <w:rFonts w:ascii="Times New Roman" w:hAnsi="Times New Roman"/>
        </w:rPr>
        <w:t> — preču un pakalpojumu pasūtīšana vai pirkšana</w:t>
      </w:r>
    </w:p>
  </w:footnote>
  <w:footnote w:id="56">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Eiropas Parlamenta un Padomes 2019. gada 27. novembra Direktīva (ES) 2019/2161, ar ko groza Padomes Direktīvu 93/13/EEK un Eiropas Parlamenta un Padomes Direktīvas 98/6/EK, 2005/29/EK un 2011/83/ES attiecībā uz Savienības patērētāju tiesību aizsardzības noteikumu labāku izpildi un modernizēšanu, OV L 328, 18.12.2019., 7. lpp.</w:t>
      </w:r>
    </w:p>
  </w:footnote>
  <w:footnote w:id="57">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Eiropas Parlamenta un Padomes Direktīva (ES) 2019/770 (2019. gada 20. maijs) par dažiem digitālā satura un digitālo pakalpojumu piegādes līgumu aspektiem) (OV L 136, 22.5.2019., 1. lpp.).</w:t>
      </w:r>
    </w:p>
  </w:footnote>
  <w:footnote w:id="58">
    <w:p>
      <w:pPr>
        <w:pStyle w:val="FootnoteText"/>
        <w:jc w:val="both"/>
        <w:rPr>
          <w:rFonts w:asciiTheme="majorHAnsi" w:hAnsiTheme="majorHAnsi" w:cstheme="majorHAnsi"/>
        </w:rPr>
      </w:pPr>
      <w:r>
        <w:rPr>
          <w:rFonts w:ascii="Times New Roman" w:hAnsi="Times New Roman" w:cs="Times New Roman"/>
          <w:vertAlign w:val="superscript"/>
        </w:rPr>
        <w:footnoteRef/>
      </w:r>
      <w:r>
        <w:rPr>
          <w:rFonts w:ascii="Times New Roman" w:hAnsi="Times New Roman"/>
        </w:rPr>
        <w:t xml:space="preserve"> Lietotājsaskarnes dizaini, kuru mērķis ir manipulēt ar patērētājiem</w:t>
      </w:r>
    </w:p>
  </w:footnote>
  <w:footnote w:id="59">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Ja algoritmi un ar tiem saistītā mašīnmācīšanās nav pietiekami pārredzami un stabili, pastāv risks atkārtot, pastiprināt vai veicināt aizspriedumus, par kuriem programmētāji var nezināt vai kuri ir konkrētas datu atlases rezultāts.</w:t>
      </w:r>
    </w:p>
  </w:footnote>
  <w:footnote w:id="60">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vertAlign w:val="superscript"/>
        </w:rPr>
        <w:t xml:space="preserve"> </w:t>
      </w:r>
      <w:r>
        <w:rPr>
          <w:rFonts w:ascii="Times New Roman" w:hAnsi="Times New Roman"/>
        </w:rPr>
        <w:t>Mākslīgais intelekts. Eiropiska pieeja — izcilība un uzticēšanās. COM(2020)65final</w:t>
      </w:r>
    </w:p>
  </w:footnote>
  <w:footnote w:id="61">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Komisijas ziņojums Eiropas Parlamentam, Padomei un Eiropas Ekonomikas un sociālo lietu komitejai “Ziņojums par mākslīgo intelektu, lietu internetu un robotiku drošuma un atbildības aspektā”. COM(2020)64final</w:t>
      </w:r>
    </w:p>
  </w:footnote>
  <w:footnote w:id="62">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Sākotnējais ietekmes novērtējums priekšlikumam par Eiropas Parlamenta un Padomes tiesību aktu, ar ko nosaka prasības attiecībā uz mākslīgo intelektu</w:t>
      </w:r>
    </w:p>
  </w:footnote>
  <w:footnote w:id="63">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Eiropas Parlamenta un Padomes 2006. gada 17. maija Direktīva 2006/42/EK par mašīnām, un ar kuru groza Direktīvu 95/16/EK (OV L 157, 9.6.2006., 24. lpp.).</w:t>
      </w:r>
    </w:p>
  </w:footnote>
  <w:footnote w:id="64">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vertAlign w:val="superscript"/>
        </w:rPr>
        <w:t xml:space="preserve"> </w:t>
      </w:r>
      <w:r>
        <w:rPr>
          <w:rFonts w:ascii="Times New Roman" w:hAnsi="Times New Roman"/>
        </w:rPr>
        <w:t>Eiropas Parlamenta un Padomes 2014. gada 16. aprīļa Direktīva 2014/53/ES par dalībvalstu tiesību aktu saskaņošanu attiecībā uz radioiekārtu pieejamību tirgū, un ar ko atceļ Direktīvu 1999/5/EK (OV L 153, 22.5.2014., 62. lpp.).</w:t>
      </w:r>
    </w:p>
  </w:footnote>
  <w:footnote w:id="65">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w:t>
      </w:r>
      <w:hyperlink r:id="rId17" w:history="1">
        <w:r>
          <w:rPr>
            <w:rFonts w:ascii="Times New Roman" w:hAnsi="Times New Roman"/>
          </w:rPr>
          <w:t>Eiropas Parlamenta un Padomes 2001. gada 3. decembra Direktīva 2001/95/EK</w:t>
        </w:r>
      </w:hyperlink>
      <w:r>
        <w:rPr>
          <w:rFonts w:ascii="Times New Roman" w:hAnsi="Times New Roman"/>
        </w:rPr>
        <w:t xml:space="preserve"> par produktu vispārēju drošību (OV L 11, 15.1.2002., 4. lpp.).</w:t>
      </w:r>
    </w:p>
  </w:footnote>
  <w:footnote w:id="66">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Direktīvu piemēro, ja ES tiesību aktos nav konkrētāku noteikumu ar tādu pašu mērķi. </w:t>
      </w:r>
    </w:p>
  </w:footnote>
  <w:footnote w:id="67">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vertAlign w:val="superscript"/>
        </w:rPr>
        <w:t xml:space="preserve"> </w:t>
      </w:r>
      <w:r>
        <w:rPr>
          <w:rFonts w:ascii="Times New Roman" w:hAnsi="Times New Roman"/>
        </w:rPr>
        <w:t>Komisija pašlaik izvērtē</w:t>
      </w:r>
      <w:hyperlink r:id="rId18" w:history="1">
        <w:r>
          <w:rPr>
            <w:rFonts w:ascii="Times New Roman" w:hAnsi="Times New Roman"/>
          </w:rPr>
          <w:t xml:space="preserve"> </w:t>
        </w:r>
        <w:hyperlink r:id="rId19" w:history="1">
          <w:r>
            <w:rPr>
              <w:rFonts w:ascii="Times New Roman" w:hAnsi="Times New Roman"/>
              <w:u w:val="single"/>
              <w:shd w:val="clear" w:color="auto" w:fill="FFFFFF"/>
            </w:rPr>
            <w:t>Regulu (ES) Nr. 910/2014</w:t>
          </w:r>
        </w:hyperlink>
        <w:r>
          <w:rPr>
            <w:rFonts w:ascii="Times New Roman" w:hAnsi="Times New Roman"/>
          </w:rPr>
          <w:t xml:space="preserve"> </w:t>
        </w:r>
      </w:hyperlink>
      <w:r>
        <w:rPr>
          <w:rFonts w:ascii="Times New Roman" w:hAnsi="Times New Roman"/>
        </w:rPr>
        <w:t>par elektronisko identifikāciju un uzticamības pakalpojumiem elektronisko darījumu veikšanai iekšējā tirgū (eIDAS regula).</w:t>
      </w:r>
    </w:p>
  </w:footnote>
  <w:footnote w:id="68">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Eiropas Parlamenta un Padomes Regula (ES) 2018/302 (2018. gada 28. februāris), ar ko novērš nepamatotu ģeogrāfisko bloķēšanu un citus diskriminācijas veidus iekšējā tirgū klientu valstspiederības, dzīvesvietas vai uzņēmējdarbības veikšanas vietas dēļ un groza Regulas (EK) Nr. 2006/2004 un (ES) 2017/2394 un Direktīvu 2009/22/EK (</w:t>
      </w:r>
      <w:r>
        <w:rPr>
          <w:rStyle w:val="Emphasis"/>
          <w:rFonts w:ascii="Times New Roman" w:hAnsi="Times New Roman"/>
          <w:i w:val="0"/>
        </w:rPr>
        <w:t>OV L 60 I, 2.3.2018., 1. lpp.).</w:t>
      </w:r>
      <w:r>
        <w:rPr>
          <w:rFonts w:ascii="Times New Roman" w:hAnsi="Times New Roman"/>
          <w:iCs/>
          <w:sz w:val="24"/>
          <w:szCs w:val="24"/>
        </w:rPr>
        <w:t xml:space="preserve"> </w:t>
      </w:r>
      <w:r>
        <w:rPr>
          <w:rFonts w:ascii="Times New Roman" w:hAnsi="Times New Roman"/>
          <w:iCs/>
        </w:rPr>
        <w:t>Komisija drīzumā pieņems ziņojumu, kurā būs izklāstīti tās secinājumi, tostarp nepieciešamība rūpīgi uzraudzīt, kā kompetentās iestādes īsteno regulu, lai nodrošinātu, ka patērētāji un uzņēmumi pilnībā izmanto digitālā vienotā tirgus potenciālu.</w:t>
      </w:r>
    </w:p>
  </w:footnote>
  <w:footnote w:id="69">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Paziņojums “Eiropas Datu stratēģija” (COM(2020)66final.</w:t>
      </w:r>
    </w:p>
  </w:footnote>
  <w:footnote w:id="70">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Lai nodrošinātu, ka patērētāji un uzņēmumi gūst labumu no inovācijas un vienlaikus tiek aizsargāti, Komisija 2020. gada septembrī pieņēma jaunu tiesību aktu paketi digitālā finansējuma jomā, </w:t>
      </w:r>
      <w:hyperlink r:id="rId20" w:history="1">
        <w:r>
          <w:rPr>
            <w:rStyle w:val="Hyperlink"/>
            <w:rFonts w:ascii="Times New Roman" w:hAnsi="Times New Roman"/>
            <w:color w:val="000000"/>
          </w:rPr>
          <w:t>https://ec.europa.eu/info/publications/200924-digital-finance-proposals_en</w:t>
        </w:r>
      </w:hyperlink>
      <w:r>
        <w:rPr>
          <w:rFonts w:ascii="Times New Roman" w:hAnsi="Times New Roman"/>
        </w:rPr>
        <w:t>.</w:t>
      </w:r>
    </w:p>
  </w:footnote>
  <w:footnote w:id="71">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ES mazumtirdzniecības maksājumu stratēģija, COM(2020)592final). </w:t>
      </w:r>
    </w:p>
  </w:footnote>
  <w:footnote w:id="72">
    <w:p>
      <w:pPr>
        <w:pStyle w:val="FootnoteText"/>
      </w:pPr>
      <w:r>
        <w:rPr>
          <w:rStyle w:val="FootnoteReference"/>
          <w:rFonts w:ascii="Times New Roman" w:hAnsi="Times New Roman" w:cs="Times New Roman"/>
        </w:rPr>
        <w:footnoteRef/>
      </w:r>
      <w:r>
        <w:rPr>
          <w:rFonts w:ascii="Times New Roman" w:hAnsi="Times New Roman"/>
        </w:rPr>
        <w:t xml:space="preserve"> COM(2020)592final.</w:t>
      </w:r>
    </w:p>
  </w:footnote>
  <w:footnote w:id="73">
    <w:p>
      <w:pPr>
        <w:pStyle w:val="FootnoteText"/>
        <w:jc w:val="both"/>
        <w:rPr>
          <w:rFonts w:asciiTheme="majorHAnsi" w:hAnsiTheme="majorHAnsi" w:cstheme="majorHAnsi"/>
        </w:rPr>
      </w:pPr>
      <w:r>
        <w:rPr>
          <w:rFonts w:ascii="Times New Roman" w:hAnsi="Times New Roman" w:cs="Times New Roman"/>
          <w:vertAlign w:val="superscript"/>
        </w:rPr>
        <w:footnoteRef/>
      </w:r>
      <w:r>
        <w:rPr>
          <w:rFonts w:ascii="Times New Roman" w:hAnsi="Times New Roman"/>
        </w:rPr>
        <w:t xml:space="preserve"> Eiropas Parlamenta un Padomes 2019. gada 17. aprīļa Direktīva 2019/882 par produktu un pakalpojumu piekļūstamības prasībām (OV).</w:t>
      </w:r>
    </w:p>
  </w:footnote>
  <w:footnote w:id="74">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COM(2020)624 Paziņojums “Digitālās izglītības rīcības plāns 2021.–2027. gadam. Izglītības un apmācības pārveide digitālajam laikmetam.”</w:t>
      </w:r>
    </w:p>
  </w:footnote>
  <w:footnote w:id="75">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w:t>
      </w:r>
      <w:hyperlink r:id="rId21" w:history="1">
        <w:r>
          <w:rPr>
            <w:rFonts w:ascii="Times New Roman" w:hAnsi="Times New Roman"/>
          </w:rPr>
          <w:t>https://ec.europa.eu/info/live-work-travel-eu/consumers/enforcement-consumer-protection/sweeps_en</w:t>
        </w:r>
      </w:hyperlink>
      <w:r>
        <w:rPr>
          <w:rFonts w:ascii="Times New Roman" w:hAnsi="Times New Roman"/>
        </w:rPr>
        <w:t xml:space="preserve">. </w:t>
      </w:r>
    </w:p>
  </w:footnote>
  <w:footnote w:id="76">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Eiropas Parlamenta un Padomes 2017. gada 12. decembra Regula (ES) 2017/2394 par sadarbību starp valstu iestādēm, kas atbild par tiesību aktu izpildi patērētāju tiesību aizsardzības jomā, un ar ko atceļ Regulu (EK) Nr. 2006/2004, OV L 345, 27.12.2017., 1.–26. lpp.</w:t>
      </w:r>
    </w:p>
  </w:footnote>
  <w:footnote w:id="7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Skatīt arī 2020. gada 10. jūnija Kopīgo paziņojumu “Ar Covid-19 saistītās dezinformācijas apkarošana, pamatojoties uz faktiem”, JOIN(2020) 8 final.</w:t>
      </w:r>
    </w:p>
  </w:footnote>
  <w:footnote w:id="78">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Eiropas Parlamenta un Padomes 2019. gada 27. novembra Direktīva (ES) 2019/2161, ar ko groza Padomes Direktīvu 93/13/EEK un Eiropas Parlamenta un Padomes Direktīvas 98/6/EK, 2005/29/EK un 2011/83/ES attiecībā uz Savienības patērētāju tiesību aizsardzības noteikumu labāku izpildi un modernizēšanu, OV L 328, 18.12.2019., 7.–28. lpp. </w:t>
      </w:r>
    </w:p>
  </w:footnote>
  <w:footnote w:id="79">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Abu likumdevēju provizoriskās vienošanās teksts saskaņā ar 2020. gada 22. jūnijā panākto politisko vienošanos par priekšlikumu.</w:t>
      </w:r>
    </w:p>
  </w:footnote>
  <w:footnote w:id="80">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vertAlign w:val="superscript"/>
        </w:rPr>
        <w:t xml:space="preserve"> </w:t>
      </w:r>
      <w:r>
        <w:rPr>
          <w:rFonts w:ascii="Times New Roman" w:hAnsi="Times New Roman"/>
        </w:rPr>
        <w:t>TSI — iepriekšējās strukturālo reformu atbalsta programmas; COM(2020)409final.</w:t>
      </w:r>
    </w:p>
  </w:footnote>
  <w:footnote w:id="8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22" w:history="1">
        <w:r>
          <w:rPr>
            <w:rStyle w:val="Hyperlink"/>
            <w:rFonts w:ascii="Times New Roman" w:hAnsi="Times New Roman"/>
            <w:color w:val="auto"/>
          </w:rPr>
          <w:t>https://ec.europa.eu/isa2/eif_en</w:t>
        </w:r>
      </w:hyperlink>
      <w:r>
        <w:rPr>
          <w:rFonts w:ascii="Times New Roman" w:hAnsi="Times New Roman"/>
        </w:rPr>
        <w:t>.</w:t>
      </w:r>
    </w:p>
  </w:footnote>
  <w:footnote w:id="82">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Komisija 2020. gada maijā un jūnijā rīkoja ieinteresēto personu dialoga apaļā galda sarunas, lai apspriestu banku un nebanku aizdevēju piedāvātos glābšanas pasākumus, un pēc tam 2020. gada jūlijā tika publicēts </w:t>
      </w:r>
      <w:hyperlink r:id="rId23" w:history="1">
        <w:r>
          <w:rPr>
            <w:rFonts w:ascii="Times New Roman" w:hAnsi="Times New Roman"/>
          </w:rPr>
          <w:t>paraugprakses dokuments</w:t>
        </w:r>
      </w:hyperlink>
      <w:r>
        <w:rPr>
          <w:rFonts w:ascii="Times New Roman" w:hAnsi="Times New Roman"/>
        </w:rPr>
        <w:t>.</w:t>
      </w:r>
    </w:p>
  </w:footnote>
  <w:footnote w:id="83">
    <w:p>
      <w:pPr>
        <w:pStyle w:val="CommentText"/>
        <w:spacing w:after="0"/>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vertAlign w:val="superscript"/>
        </w:rPr>
        <w:t xml:space="preserve"> </w:t>
      </w:r>
      <w:hyperlink r:id="rId24" w:history="1">
        <w:r>
          <w:rPr>
            <w:rFonts w:ascii="Times New Roman" w:hAnsi="Times New Roman"/>
          </w:rPr>
          <w:t>BIT ziņojumā par kaitējumu un manipulācijām tiešsaistē</w:t>
        </w:r>
      </w:hyperlink>
      <w:r>
        <w:rPr>
          <w:rFonts w:ascii="Times New Roman" w:hAnsi="Times New Roman"/>
        </w:rPr>
        <w:t xml:space="preserve"> ir izklāstītas vairākas interesantas iespējas, tostarp priekšlikumi par datu izmantošanu neaizsargātu patērētāju identificēšanai (52. lpp.) un citi pasākumi (piemēram, pašizslēgšana). </w:t>
      </w:r>
    </w:p>
  </w:footnote>
  <w:footnote w:id="84">
    <w:p>
      <w:pPr>
        <w:pStyle w:val="FootnoteText"/>
        <w:jc w:val="both"/>
        <w:rPr>
          <w:rFonts w:ascii="Times New Roman" w:hAnsi="Times New Roman" w:cs="Times New Roman"/>
        </w:rPr>
      </w:pPr>
      <w:r>
        <w:rPr>
          <w:rFonts w:ascii="Times New Roman" w:hAnsi="Times New Roman" w:cs="Times New Roman"/>
          <w:vertAlign w:val="superscript"/>
        </w:rPr>
        <w:footnoteRef/>
      </w:r>
      <w:hyperlink r:id="rId25" w:history="1">
        <w:r>
          <w:rPr>
            <w:rFonts w:ascii="Times New Roman" w:hAnsi="Times New Roman"/>
          </w:rPr>
          <w:t>https://www.europarl.europa.eu/news/lv/press-room/20200525IPR79717/eu-citizens-want-more-competences-for-the-eu-to-deal-with-crises-like-covid-19</w:t>
        </w:r>
      </w:hyperlink>
      <w:r>
        <w:rPr>
          <w:rFonts w:ascii="Times New Roman" w:hAnsi="Times New Roman"/>
        </w:rPr>
        <w:t>.</w:t>
      </w:r>
    </w:p>
  </w:footnote>
  <w:footnote w:id="85">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Kodeksa mērķis ir būt par kvalitātes zīmi ar vienotu paraugprakses piemēru kopumu Eiropas mikrofinansēšanas iestādēm, kas piešķir darījumdarbības aizdevumus līdz EUR 25 000 apmērā mikrouzņēmējiem vai pašnodarbinātām personām. Skatīt: </w:t>
      </w:r>
      <w:hyperlink r:id="rId26" w:history="1">
        <w:r>
          <w:rPr>
            <w:rFonts w:ascii="Times New Roman" w:hAnsi="Times New Roman"/>
          </w:rPr>
          <w:t>https://ec.europa.eu/social/main.jsp?catId=1482&amp;langId=lv</w:t>
        </w:r>
      </w:hyperlink>
      <w:r>
        <w:rPr>
          <w:rFonts w:ascii="Times New Roman" w:hAnsi="Times New Roman"/>
        </w:rPr>
        <w:t xml:space="preserve">. </w:t>
      </w:r>
    </w:p>
  </w:footnote>
  <w:footnote w:id="86">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Skatīt iepriekš minēto 10. darbību.</w:t>
      </w:r>
    </w:p>
  </w:footnote>
  <w:footnote w:id="87">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Skatīt Direktīvu (ES) 2019/1023 par pārstrukturēšanu, maksātnespēju un parādsaistību dzēšanu.</w:t>
      </w:r>
    </w:p>
  </w:footnote>
  <w:footnote w:id="88">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vertAlign w:val="superscript"/>
        </w:rPr>
        <w:t xml:space="preserve"> </w:t>
      </w:r>
      <w:r>
        <w:rPr>
          <w:rFonts w:ascii="Times New Roman" w:hAnsi="Times New Roman"/>
        </w:rPr>
        <w:t xml:space="preserve">Baptista, I. and Marlier, E. (2020), Access to essential services for people on low incomes in Europe. An analysis of policies in 35 countries, European Social Policy Network (ESPN), Brisele: Eiropas Komisija.                                                                                                                                                                                                                                                                                                                                              </w:t>
      </w:r>
    </w:p>
  </w:footnote>
  <w:footnote w:id="89">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vertAlign w:val="superscript"/>
        </w:rPr>
        <w:t xml:space="preserve"> </w:t>
      </w:r>
      <w:r>
        <w:rPr>
          <w:rFonts w:ascii="Times New Roman" w:hAnsi="Times New Roman"/>
        </w:rPr>
        <w:t>C(2020)9600final, 14.10.2020. Komisijas ieteikums par enerģētisko nabadzību, 2020. gada 14. oktobris.</w:t>
      </w:r>
    </w:p>
  </w:footnote>
  <w:footnote w:id="90">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Direktīva (ES) 2019/882 par produktu un pakalpojumu pieejamības prasībām </w:t>
      </w:r>
      <w:hyperlink r:id="rId27" w:history="1">
        <w:r>
          <w:rPr>
            <w:rFonts w:ascii="Times New Roman" w:hAnsi="Times New Roman"/>
          </w:rPr>
          <w:t xml:space="preserve">https://eur-lex.europa.eu/legal-content/LV/TXT/?uri=CELEX%3A32019L0882 </w:t>
        </w:r>
      </w:hyperlink>
      <w:r>
        <w:rPr>
          <w:rFonts w:ascii="Times New Roman" w:hAnsi="Times New Roman"/>
        </w:rPr>
        <w:t xml:space="preserve"> </w:t>
      </w:r>
      <w:r>
        <w:rPr>
          <w:rFonts w:ascii="Times New Roman" w:hAnsi="Times New Roman"/>
          <w:shd w:val="clear" w:color="auto" w:fill="FFFFFF"/>
        </w:rPr>
        <w:t>(OV L 151, 7.6.2019., 70. lpp.).</w:t>
      </w:r>
    </w:p>
  </w:footnote>
  <w:footnote w:id="91">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piemēram, </w:t>
      </w:r>
      <w:r>
        <w:rPr>
          <w:rFonts w:ascii="Times New Roman" w:hAnsi="Times New Roman"/>
          <w:color w:val="222222"/>
          <w:bdr w:val="none" w:sz="0" w:space="0" w:color="auto" w:frame="1"/>
        </w:rPr>
        <w:t>Vācijas patērētāju organizāciju federācijas (vzbv) un patērētāju centru kopīgais projekts “Patērētāju iespēju stiprināšana apkārtnē”.</w:t>
      </w:r>
      <w:r>
        <w:rPr>
          <w:rFonts w:ascii="Times New Roman" w:hAnsi="Times New Roman"/>
          <w:color w:val="222222"/>
          <w:bdr w:val="none" w:sz="0" w:space="0" w:color="auto" w:frame="1"/>
        </w:rPr>
        <w:tab/>
      </w:r>
      <w:r>
        <w:rPr>
          <w:rFonts w:ascii="Times New Roman" w:hAnsi="Times New Roman"/>
          <w:color w:val="222222"/>
          <w:bdr w:val="none" w:sz="0" w:space="0" w:color="auto" w:frame="1"/>
        </w:rPr>
        <w:br/>
      </w:r>
      <w:hyperlink r:id="rId28" w:history="1">
        <w:r>
          <w:rPr>
            <w:rStyle w:val="Hyperlink"/>
            <w:rFonts w:ascii="Times New Roman" w:hAnsi="Times New Roman"/>
          </w:rPr>
          <w:t>https://www.vzbv.de/pressemitteilung/verbraucher-staerken-im-quartier</w:t>
        </w:r>
      </w:hyperlink>
      <w:r>
        <w:rPr>
          <w:rStyle w:val="Hyperlink"/>
          <w:rFonts w:ascii="Times New Roman" w:hAnsi="Times New Roman"/>
        </w:rPr>
        <w:t xml:space="preserve"> .</w:t>
      </w:r>
    </w:p>
  </w:footnote>
  <w:footnote w:id="92">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Komisijas paziņojums Eiropas Parlamentam, Padomei, Eiropas Ekonomikas un sociālo lietu komitejai un Reģionu komitejai “Kapitāla tirgu savienība cilvēku un uzņēmumu labā — jauns rīcības plāns”, COM(2020)590final. 7. darbība. Iedzīvotāju iespēju stiprināšana, uzlabojot finanšpratību.</w:t>
      </w:r>
    </w:p>
  </w:footnote>
  <w:footnote w:id="93">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vertAlign w:val="superscript"/>
        </w:rPr>
        <w:t xml:space="preserve"> </w:t>
      </w:r>
      <w:r>
        <w:rPr>
          <w:rFonts w:ascii="Times New Roman" w:hAnsi="Times New Roman"/>
        </w:rPr>
        <w:t>Dati par traumām liecina, ka attiecībā uz produktu drošumu visneaizsargātākās patērētāju grupas ir bērni un vecāka gadagājuma cilvēki. Kopā tie veido 54 % no visām ar produktiem saistītajām traumām, bet tikai 35 % no ES iedzīvotājiem.</w:t>
      </w:r>
    </w:p>
  </w:footnote>
  <w:footnote w:id="94">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Pārbaudīt tiešsaistē un bezsaistē pārdoto produktu drošumu, piemēram, bērnu šūpuļkrēsliem, bērnu šūpolēm un bērnu staiguļiem.</w:t>
      </w:r>
    </w:p>
  </w:footnote>
  <w:footnote w:id="95">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Koordinēti pasākumi produktu drošības jomā (Direktīvas 2001/95/EK par produktu vispārēju drošību 10. pants)</w:t>
      </w:r>
    </w:p>
  </w:footnote>
  <w:footnote w:id="96">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vertAlign w:val="superscript"/>
        </w:rPr>
        <w:t xml:space="preserve"> </w:t>
      </w:r>
      <w:r>
        <w:rPr>
          <w:rFonts w:ascii="Times New Roman" w:hAnsi="Times New Roman"/>
        </w:rPr>
        <w:t>Padomes Direktīva 2004/113/EK (2004. gada 13. decembris), ar kuru īsteno principu, kas paredz vienlīdzīgu attieksmi pret vīriešiem un sievietēm attiecībā uz pieeju precēm un pakalpojumiem, preču piegādi un pakalpojumu sniegšanu (OV L 373, 21.12.2004., 37. lpp.).</w:t>
      </w:r>
    </w:p>
  </w:footnote>
  <w:footnote w:id="9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Padomes 2000. gada 29. jūnija Direktīva 2000/43/EK, ar ko ievieš vienādas attieksmes principu pret personām neatkarīgi no rasu vai etniskās piederības </w:t>
      </w:r>
      <w:r>
        <w:rPr>
          <w:rFonts w:ascii="Times New Roman" w:hAnsi="Times New Roman"/>
          <w:i/>
        </w:rPr>
        <w:t>(</w:t>
      </w:r>
      <w:r>
        <w:rPr>
          <w:rStyle w:val="Emphasis"/>
          <w:rFonts w:ascii="Times New Roman" w:hAnsi="Times New Roman"/>
          <w:i w:val="0"/>
        </w:rPr>
        <w:t>OV L 180, 19.7.2000., 22. lpp.</w:t>
      </w:r>
      <w:r>
        <w:rPr>
          <w:rStyle w:val="Emphasis"/>
          <w:rFonts w:ascii="Times New Roman" w:hAnsi="Times New Roman"/>
        </w:rPr>
        <w:t xml:space="preserve"> </w:t>
      </w:r>
    </w:p>
  </w:footnote>
  <w:footnote w:id="98">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https://fra.europa.eu/sites/default/files/fra_uploads/fra-2018-focus-big-data_en.pdf</w:t>
      </w:r>
    </w:p>
  </w:footnote>
  <w:footnote w:id="99">
    <w:p>
      <w:pPr>
        <w:pStyle w:val="FootnoteText"/>
        <w:jc w:val="both"/>
        <w:rPr>
          <w:rFonts w:asciiTheme="majorHAnsi" w:hAnsiTheme="majorHAnsi" w:cstheme="majorHAnsi"/>
        </w:rPr>
      </w:pPr>
      <w:r>
        <w:rPr>
          <w:rFonts w:ascii="Times New Roman" w:hAnsi="Times New Roman" w:cs="Times New Roman"/>
          <w:vertAlign w:val="superscript"/>
        </w:rPr>
        <w:footnoteRef/>
      </w:r>
      <w:r>
        <w:rPr>
          <w:rFonts w:ascii="Times New Roman" w:hAnsi="Times New Roman"/>
          <w:vertAlign w:val="superscript"/>
        </w:rPr>
        <w:t xml:space="preserve"> </w:t>
      </w:r>
      <w:hyperlink r:id="rId29" w:history="1">
        <w:r>
          <w:rPr>
            <w:rFonts w:ascii="Times New Roman" w:hAnsi="Times New Roman"/>
          </w:rPr>
          <w:t>http://ec.europa.eu/consumers/consumer_evidence/market_studies/vulnerability/index_en.htm</w:t>
        </w:r>
      </w:hyperlink>
      <w:r>
        <w:rPr>
          <w:rFonts w:ascii="Times New Roman" w:hAnsi="Times New Roman"/>
        </w:rPr>
        <w:t>.</w:t>
      </w:r>
    </w:p>
  </w:footnote>
  <w:footnote w:id="100">
    <w:p>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hAnsi="Times New Roman"/>
          <w:sz w:val="20"/>
          <w:szCs w:val="20"/>
          <w:vertAlign w:val="superscript"/>
        </w:rPr>
        <w:t xml:space="preserve"> </w:t>
      </w:r>
      <w:r>
        <w:rPr>
          <w:rFonts w:ascii="Times New Roman" w:hAnsi="Times New Roman"/>
          <w:sz w:val="20"/>
          <w:szCs w:val="20"/>
        </w:rPr>
        <w:t xml:space="preserve">Eurostat </w:t>
      </w:r>
      <w:hyperlink r:id="rId30" w:anchor="E-shopping_from_other_EU_countries" w:history="1">
        <w:r>
          <w:rPr>
            <w:rFonts w:ascii="Times New Roman" w:hAnsi="Times New Roman"/>
            <w:sz w:val="20"/>
            <w:szCs w:val="20"/>
          </w:rPr>
          <w:t>https://ec.europa.eu/eurostat/statistics-explained/index.php/E commerce_statistics_for_individuals#E-shopping_from_other_EU_countries</w:t>
        </w:r>
      </w:hyperlink>
      <w:r>
        <w:rPr>
          <w:rFonts w:ascii="Times New Roman" w:hAnsi="Times New Roman"/>
          <w:sz w:val="20"/>
          <w:szCs w:val="20"/>
        </w:rPr>
        <w:t>.</w:t>
      </w:r>
    </w:p>
  </w:footnote>
  <w:footnote w:id="101">
    <w:p>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Sk. ES stratēģiju attiecībā uz Āfriku — Eiropas Komisijas un Savienības Augstās pārstāves ārlietās un drošības jautājumos kopīgs paziņojums Eiropas Parlamentam un Padomei, Brisele, 2020. gada 9. marts, JOIN(2020)4final.</w:t>
      </w:r>
    </w:p>
  </w:footnote>
  <w:footnote w:id="102">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Patērētāju samitā piedalās ieinteresētās personas no ES dalībvalstīm, tostarp politikas veidotāji, valstu izpildiestādes, akadēmiskās aprindas, patērētāju un uzņēmēju organizācijas, kā arī jaunatnes pārstāvji. </w:t>
      </w:r>
    </w:p>
  </w:footnote>
  <w:footnote w:id="103">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To atzīmē katru gadu 15. martā.</w:t>
      </w:r>
    </w:p>
  </w:footnote>
  <w:footnote w:id="104">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rPr>
        <w:t xml:space="preserve"> Piemēram, Patērētāju tiesību aizsardzības politikas tīkls, kas apvieno dalībvalstu un Komisijas augstākās amatpersonas.</w:t>
      </w:r>
    </w:p>
  </w:footnote>
  <w:footnote w:id="105">
    <w:p>
      <w:pPr>
        <w:pStyle w:val="footnotedescription"/>
        <w:spacing w:line="240" w:lineRule="auto"/>
      </w:pPr>
      <w:r>
        <w:rPr>
          <w:rStyle w:val="FootnoteReference"/>
        </w:rPr>
        <w:footnoteRef/>
      </w:r>
      <w:r>
        <w:t xml:space="preserve">Kā neformāla ekspertu grupa saskaņā ar  </w:t>
      </w:r>
      <w:r>
        <w:rPr>
          <w:color w:val="auto"/>
        </w:rPr>
        <w:t xml:space="preserve"> Komisijas Lēmumu (30.05.2016.), ar ko nosaka horizontālos noteikumus par Komisijas ekspertu grupu izveidi un darbību (C (2016) 3301 final).</w:t>
      </w:r>
    </w:p>
    <w:p>
      <w:pPr>
        <w:pStyle w:val="FootnoteText"/>
        <w:jc w:val="both"/>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1559"/>
    <w:multiLevelType w:val="hybridMultilevel"/>
    <w:tmpl w:val="470E5CE0"/>
    <w:lvl w:ilvl="0" w:tplc="08090001">
      <w:start w:val="1"/>
      <w:numFmt w:val="bullet"/>
      <w:lvlText w:val=""/>
      <w:lvlJc w:val="left"/>
      <w:pPr>
        <w:ind w:left="-60" w:hanging="360"/>
      </w:pPr>
      <w:rPr>
        <w:rFonts w:ascii="Symbol" w:hAnsi="Symbol" w:hint="default"/>
      </w:rPr>
    </w:lvl>
    <w:lvl w:ilvl="1" w:tplc="080C0003" w:tentative="1">
      <w:start w:val="1"/>
      <w:numFmt w:val="bullet"/>
      <w:lvlText w:val="o"/>
      <w:lvlJc w:val="left"/>
      <w:pPr>
        <w:ind w:left="660" w:hanging="360"/>
      </w:pPr>
      <w:rPr>
        <w:rFonts w:ascii="Courier New" w:hAnsi="Courier New" w:cs="Courier New" w:hint="default"/>
      </w:rPr>
    </w:lvl>
    <w:lvl w:ilvl="2" w:tplc="080C0005" w:tentative="1">
      <w:start w:val="1"/>
      <w:numFmt w:val="bullet"/>
      <w:lvlText w:val=""/>
      <w:lvlJc w:val="left"/>
      <w:pPr>
        <w:ind w:left="1380" w:hanging="360"/>
      </w:pPr>
      <w:rPr>
        <w:rFonts w:ascii="Wingdings" w:hAnsi="Wingdings" w:hint="default"/>
      </w:rPr>
    </w:lvl>
    <w:lvl w:ilvl="3" w:tplc="080C0001" w:tentative="1">
      <w:start w:val="1"/>
      <w:numFmt w:val="bullet"/>
      <w:lvlText w:val=""/>
      <w:lvlJc w:val="left"/>
      <w:pPr>
        <w:ind w:left="2100" w:hanging="360"/>
      </w:pPr>
      <w:rPr>
        <w:rFonts w:ascii="Symbol" w:hAnsi="Symbol" w:hint="default"/>
      </w:rPr>
    </w:lvl>
    <w:lvl w:ilvl="4" w:tplc="080C0003" w:tentative="1">
      <w:start w:val="1"/>
      <w:numFmt w:val="bullet"/>
      <w:lvlText w:val="o"/>
      <w:lvlJc w:val="left"/>
      <w:pPr>
        <w:ind w:left="2820" w:hanging="360"/>
      </w:pPr>
      <w:rPr>
        <w:rFonts w:ascii="Courier New" w:hAnsi="Courier New" w:cs="Courier New" w:hint="default"/>
      </w:rPr>
    </w:lvl>
    <w:lvl w:ilvl="5" w:tplc="080C0005" w:tentative="1">
      <w:start w:val="1"/>
      <w:numFmt w:val="bullet"/>
      <w:lvlText w:val=""/>
      <w:lvlJc w:val="left"/>
      <w:pPr>
        <w:ind w:left="3540" w:hanging="360"/>
      </w:pPr>
      <w:rPr>
        <w:rFonts w:ascii="Wingdings" w:hAnsi="Wingdings" w:hint="default"/>
      </w:rPr>
    </w:lvl>
    <w:lvl w:ilvl="6" w:tplc="080C0001" w:tentative="1">
      <w:start w:val="1"/>
      <w:numFmt w:val="bullet"/>
      <w:lvlText w:val=""/>
      <w:lvlJc w:val="left"/>
      <w:pPr>
        <w:ind w:left="4260" w:hanging="360"/>
      </w:pPr>
      <w:rPr>
        <w:rFonts w:ascii="Symbol" w:hAnsi="Symbol" w:hint="default"/>
      </w:rPr>
    </w:lvl>
    <w:lvl w:ilvl="7" w:tplc="080C0003" w:tentative="1">
      <w:start w:val="1"/>
      <w:numFmt w:val="bullet"/>
      <w:lvlText w:val="o"/>
      <w:lvlJc w:val="left"/>
      <w:pPr>
        <w:ind w:left="4980" w:hanging="360"/>
      </w:pPr>
      <w:rPr>
        <w:rFonts w:ascii="Courier New" w:hAnsi="Courier New" w:cs="Courier New" w:hint="default"/>
      </w:rPr>
    </w:lvl>
    <w:lvl w:ilvl="8" w:tplc="080C0005" w:tentative="1">
      <w:start w:val="1"/>
      <w:numFmt w:val="bullet"/>
      <w:lvlText w:val=""/>
      <w:lvlJc w:val="left"/>
      <w:pPr>
        <w:ind w:left="5700" w:hanging="360"/>
      </w:pPr>
      <w:rPr>
        <w:rFonts w:ascii="Wingdings" w:hAnsi="Wingdings" w:hint="default"/>
      </w:rPr>
    </w:lvl>
  </w:abstractNum>
  <w:abstractNum w:abstractNumId="1">
    <w:nsid w:val="08F26E03"/>
    <w:multiLevelType w:val="hybridMultilevel"/>
    <w:tmpl w:val="612C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72339F"/>
    <w:multiLevelType w:val="hybridMultilevel"/>
    <w:tmpl w:val="56DE17FA"/>
    <w:lvl w:ilvl="0" w:tplc="6172DD86">
      <w:start w:val="1"/>
      <w:numFmt w:val="lowerLetter"/>
      <w:pStyle w:val="BMJNummerierung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7D540D9"/>
    <w:multiLevelType w:val="hybridMultilevel"/>
    <w:tmpl w:val="0B6C8396"/>
    <w:lvl w:ilvl="0" w:tplc="08090001">
      <w:start w:val="1"/>
      <w:numFmt w:val="bullet"/>
      <w:lvlText w:val=""/>
      <w:lvlJc w:val="left"/>
      <w:pPr>
        <w:ind w:left="-60" w:hanging="360"/>
      </w:pPr>
      <w:rPr>
        <w:rFonts w:ascii="Symbol" w:hAnsi="Symbol" w:hint="default"/>
      </w:rPr>
    </w:lvl>
    <w:lvl w:ilvl="1" w:tplc="080C0003" w:tentative="1">
      <w:start w:val="1"/>
      <w:numFmt w:val="bullet"/>
      <w:lvlText w:val="o"/>
      <w:lvlJc w:val="left"/>
      <w:pPr>
        <w:ind w:left="660" w:hanging="360"/>
      </w:pPr>
      <w:rPr>
        <w:rFonts w:ascii="Courier New" w:hAnsi="Courier New" w:cs="Courier New" w:hint="default"/>
      </w:rPr>
    </w:lvl>
    <w:lvl w:ilvl="2" w:tplc="080C0005" w:tentative="1">
      <w:start w:val="1"/>
      <w:numFmt w:val="bullet"/>
      <w:lvlText w:val=""/>
      <w:lvlJc w:val="left"/>
      <w:pPr>
        <w:ind w:left="1380" w:hanging="360"/>
      </w:pPr>
      <w:rPr>
        <w:rFonts w:ascii="Wingdings" w:hAnsi="Wingdings" w:hint="default"/>
      </w:rPr>
    </w:lvl>
    <w:lvl w:ilvl="3" w:tplc="080C0001" w:tentative="1">
      <w:start w:val="1"/>
      <w:numFmt w:val="bullet"/>
      <w:lvlText w:val=""/>
      <w:lvlJc w:val="left"/>
      <w:pPr>
        <w:ind w:left="2100" w:hanging="360"/>
      </w:pPr>
      <w:rPr>
        <w:rFonts w:ascii="Symbol" w:hAnsi="Symbol" w:hint="default"/>
      </w:rPr>
    </w:lvl>
    <w:lvl w:ilvl="4" w:tplc="080C0003" w:tentative="1">
      <w:start w:val="1"/>
      <w:numFmt w:val="bullet"/>
      <w:lvlText w:val="o"/>
      <w:lvlJc w:val="left"/>
      <w:pPr>
        <w:ind w:left="2820" w:hanging="360"/>
      </w:pPr>
      <w:rPr>
        <w:rFonts w:ascii="Courier New" w:hAnsi="Courier New" w:cs="Courier New" w:hint="default"/>
      </w:rPr>
    </w:lvl>
    <w:lvl w:ilvl="5" w:tplc="080C0005" w:tentative="1">
      <w:start w:val="1"/>
      <w:numFmt w:val="bullet"/>
      <w:lvlText w:val=""/>
      <w:lvlJc w:val="left"/>
      <w:pPr>
        <w:ind w:left="3540" w:hanging="360"/>
      </w:pPr>
      <w:rPr>
        <w:rFonts w:ascii="Wingdings" w:hAnsi="Wingdings" w:hint="default"/>
      </w:rPr>
    </w:lvl>
    <w:lvl w:ilvl="6" w:tplc="080C0001" w:tentative="1">
      <w:start w:val="1"/>
      <w:numFmt w:val="bullet"/>
      <w:lvlText w:val=""/>
      <w:lvlJc w:val="left"/>
      <w:pPr>
        <w:ind w:left="4260" w:hanging="360"/>
      </w:pPr>
      <w:rPr>
        <w:rFonts w:ascii="Symbol" w:hAnsi="Symbol" w:hint="default"/>
      </w:rPr>
    </w:lvl>
    <w:lvl w:ilvl="7" w:tplc="080C0003" w:tentative="1">
      <w:start w:val="1"/>
      <w:numFmt w:val="bullet"/>
      <w:lvlText w:val="o"/>
      <w:lvlJc w:val="left"/>
      <w:pPr>
        <w:ind w:left="4980" w:hanging="360"/>
      </w:pPr>
      <w:rPr>
        <w:rFonts w:ascii="Courier New" w:hAnsi="Courier New" w:cs="Courier New" w:hint="default"/>
      </w:rPr>
    </w:lvl>
    <w:lvl w:ilvl="8" w:tplc="080C0005" w:tentative="1">
      <w:start w:val="1"/>
      <w:numFmt w:val="bullet"/>
      <w:lvlText w:val=""/>
      <w:lvlJc w:val="left"/>
      <w:pPr>
        <w:ind w:left="5700" w:hanging="360"/>
      </w:pPr>
      <w:rPr>
        <w:rFonts w:ascii="Wingdings" w:hAnsi="Wingdings" w:hint="default"/>
      </w:rPr>
    </w:lvl>
  </w:abstractNum>
  <w:abstractNum w:abstractNumId="4">
    <w:nsid w:val="29FB363B"/>
    <w:multiLevelType w:val="hybridMultilevel"/>
    <w:tmpl w:val="76FE86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31680D95"/>
    <w:multiLevelType w:val="hybridMultilevel"/>
    <w:tmpl w:val="898C6820"/>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45297CB9"/>
    <w:multiLevelType w:val="hybridMultilevel"/>
    <w:tmpl w:val="BC0CA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CD5B87"/>
    <w:multiLevelType w:val="hybridMultilevel"/>
    <w:tmpl w:val="5E1E4142"/>
    <w:lvl w:ilvl="0" w:tplc="9774D40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48C166FF"/>
    <w:multiLevelType w:val="hybridMultilevel"/>
    <w:tmpl w:val="0C2096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4C35EC"/>
    <w:multiLevelType w:val="hybridMultilevel"/>
    <w:tmpl w:val="9A402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3D13D0"/>
    <w:multiLevelType w:val="hybridMultilevel"/>
    <w:tmpl w:val="815AC7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2766F1"/>
    <w:multiLevelType w:val="hybridMultilevel"/>
    <w:tmpl w:val="D55CDF64"/>
    <w:lvl w:ilvl="0" w:tplc="08090001">
      <w:start w:val="1"/>
      <w:numFmt w:val="bullet"/>
      <w:lvlText w:val=""/>
      <w:lvlJc w:val="left"/>
      <w:pPr>
        <w:ind w:left="-60" w:hanging="360"/>
      </w:pPr>
      <w:rPr>
        <w:rFonts w:ascii="Symbol" w:hAnsi="Symbol" w:hint="default"/>
      </w:rPr>
    </w:lvl>
    <w:lvl w:ilvl="1" w:tplc="080C0003" w:tentative="1">
      <w:start w:val="1"/>
      <w:numFmt w:val="bullet"/>
      <w:lvlText w:val="o"/>
      <w:lvlJc w:val="left"/>
      <w:pPr>
        <w:ind w:left="660" w:hanging="360"/>
      </w:pPr>
      <w:rPr>
        <w:rFonts w:ascii="Courier New" w:hAnsi="Courier New" w:cs="Courier New" w:hint="default"/>
      </w:rPr>
    </w:lvl>
    <w:lvl w:ilvl="2" w:tplc="080C0005" w:tentative="1">
      <w:start w:val="1"/>
      <w:numFmt w:val="bullet"/>
      <w:lvlText w:val=""/>
      <w:lvlJc w:val="left"/>
      <w:pPr>
        <w:ind w:left="1380" w:hanging="360"/>
      </w:pPr>
      <w:rPr>
        <w:rFonts w:ascii="Wingdings" w:hAnsi="Wingdings" w:hint="default"/>
      </w:rPr>
    </w:lvl>
    <w:lvl w:ilvl="3" w:tplc="080C0001" w:tentative="1">
      <w:start w:val="1"/>
      <w:numFmt w:val="bullet"/>
      <w:lvlText w:val=""/>
      <w:lvlJc w:val="left"/>
      <w:pPr>
        <w:ind w:left="2100" w:hanging="360"/>
      </w:pPr>
      <w:rPr>
        <w:rFonts w:ascii="Symbol" w:hAnsi="Symbol" w:hint="default"/>
      </w:rPr>
    </w:lvl>
    <w:lvl w:ilvl="4" w:tplc="080C0003" w:tentative="1">
      <w:start w:val="1"/>
      <w:numFmt w:val="bullet"/>
      <w:lvlText w:val="o"/>
      <w:lvlJc w:val="left"/>
      <w:pPr>
        <w:ind w:left="2820" w:hanging="360"/>
      </w:pPr>
      <w:rPr>
        <w:rFonts w:ascii="Courier New" w:hAnsi="Courier New" w:cs="Courier New" w:hint="default"/>
      </w:rPr>
    </w:lvl>
    <w:lvl w:ilvl="5" w:tplc="080C0005" w:tentative="1">
      <w:start w:val="1"/>
      <w:numFmt w:val="bullet"/>
      <w:lvlText w:val=""/>
      <w:lvlJc w:val="left"/>
      <w:pPr>
        <w:ind w:left="3540" w:hanging="360"/>
      </w:pPr>
      <w:rPr>
        <w:rFonts w:ascii="Wingdings" w:hAnsi="Wingdings" w:hint="default"/>
      </w:rPr>
    </w:lvl>
    <w:lvl w:ilvl="6" w:tplc="080C0001" w:tentative="1">
      <w:start w:val="1"/>
      <w:numFmt w:val="bullet"/>
      <w:lvlText w:val=""/>
      <w:lvlJc w:val="left"/>
      <w:pPr>
        <w:ind w:left="4260" w:hanging="360"/>
      </w:pPr>
      <w:rPr>
        <w:rFonts w:ascii="Symbol" w:hAnsi="Symbol" w:hint="default"/>
      </w:rPr>
    </w:lvl>
    <w:lvl w:ilvl="7" w:tplc="080C0003" w:tentative="1">
      <w:start w:val="1"/>
      <w:numFmt w:val="bullet"/>
      <w:lvlText w:val="o"/>
      <w:lvlJc w:val="left"/>
      <w:pPr>
        <w:ind w:left="4980" w:hanging="360"/>
      </w:pPr>
      <w:rPr>
        <w:rFonts w:ascii="Courier New" w:hAnsi="Courier New" w:cs="Courier New" w:hint="default"/>
      </w:rPr>
    </w:lvl>
    <w:lvl w:ilvl="8" w:tplc="080C0005" w:tentative="1">
      <w:start w:val="1"/>
      <w:numFmt w:val="bullet"/>
      <w:lvlText w:val=""/>
      <w:lvlJc w:val="left"/>
      <w:pPr>
        <w:ind w:left="5700" w:hanging="360"/>
      </w:pPr>
      <w:rPr>
        <w:rFonts w:ascii="Wingdings" w:hAnsi="Wingdings" w:hint="default"/>
      </w:rPr>
    </w:lvl>
  </w:abstractNum>
  <w:abstractNum w:abstractNumId="12">
    <w:nsid w:val="5DA9538D"/>
    <w:multiLevelType w:val="hybridMultilevel"/>
    <w:tmpl w:val="39E8E77E"/>
    <w:lvl w:ilvl="0" w:tplc="08090001">
      <w:start w:val="1"/>
      <w:numFmt w:val="bullet"/>
      <w:lvlText w:val=""/>
      <w:lvlJc w:val="left"/>
      <w:pPr>
        <w:ind w:left="720" w:hanging="360"/>
      </w:pPr>
      <w:rPr>
        <w:rFonts w:ascii="Symbol" w:hAnsi="Symbol" w:hint="default"/>
      </w:rPr>
    </w:lvl>
    <w:lvl w:ilvl="1" w:tplc="080C0003">
      <w:start w:val="1"/>
      <w:numFmt w:val="bullet"/>
      <w:lvlText w:val="o"/>
      <w:lvlJc w:val="left"/>
      <w:pPr>
        <w:ind w:left="360" w:hanging="360"/>
      </w:pPr>
      <w:rPr>
        <w:rFonts w:ascii="Courier New" w:hAnsi="Courier New" w:cs="Courier New" w:hint="default"/>
      </w:rPr>
    </w:lvl>
    <w:lvl w:ilvl="2" w:tplc="08090003">
      <w:start w:val="1"/>
      <w:numFmt w:val="bullet"/>
      <w:lvlText w:val="o"/>
      <w:lvlJc w:val="left"/>
      <w:pPr>
        <w:ind w:left="1636" w:hanging="360"/>
      </w:pPr>
      <w:rPr>
        <w:rFonts w:ascii="Courier New" w:hAnsi="Courier New" w:cs="Courier New" w:hint="default"/>
      </w:rPr>
    </w:lvl>
    <w:lvl w:ilvl="3" w:tplc="080C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F7002F"/>
    <w:multiLevelType w:val="hybridMultilevel"/>
    <w:tmpl w:val="8BCC8AF2"/>
    <w:lvl w:ilvl="0" w:tplc="08090001">
      <w:start w:val="1"/>
      <w:numFmt w:val="bullet"/>
      <w:lvlText w:val=""/>
      <w:lvlJc w:val="left"/>
      <w:pPr>
        <w:ind w:left="-60" w:hanging="360"/>
      </w:pPr>
      <w:rPr>
        <w:rFonts w:ascii="Symbol" w:hAnsi="Symbol" w:hint="default"/>
      </w:rPr>
    </w:lvl>
    <w:lvl w:ilvl="1" w:tplc="080C0003" w:tentative="1">
      <w:start w:val="1"/>
      <w:numFmt w:val="bullet"/>
      <w:lvlText w:val="o"/>
      <w:lvlJc w:val="left"/>
      <w:pPr>
        <w:ind w:left="660" w:hanging="360"/>
      </w:pPr>
      <w:rPr>
        <w:rFonts w:ascii="Courier New" w:hAnsi="Courier New" w:cs="Courier New" w:hint="default"/>
      </w:rPr>
    </w:lvl>
    <w:lvl w:ilvl="2" w:tplc="080C0005" w:tentative="1">
      <w:start w:val="1"/>
      <w:numFmt w:val="bullet"/>
      <w:lvlText w:val=""/>
      <w:lvlJc w:val="left"/>
      <w:pPr>
        <w:ind w:left="1380" w:hanging="360"/>
      </w:pPr>
      <w:rPr>
        <w:rFonts w:ascii="Wingdings" w:hAnsi="Wingdings" w:hint="default"/>
      </w:rPr>
    </w:lvl>
    <w:lvl w:ilvl="3" w:tplc="080C0001" w:tentative="1">
      <w:start w:val="1"/>
      <w:numFmt w:val="bullet"/>
      <w:lvlText w:val=""/>
      <w:lvlJc w:val="left"/>
      <w:pPr>
        <w:ind w:left="2100" w:hanging="360"/>
      </w:pPr>
      <w:rPr>
        <w:rFonts w:ascii="Symbol" w:hAnsi="Symbol" w:hint="default"/>
      </w:rPr>
    </w:lvl>
    <w:lvl w:ilvl="4" w:tplc="080C0003" w:tentative="1">
      <w:start w:val="1"/>
      <w:numFmt w:val="bullet"/>
      <w:lvlText w:val="o"/>
      <w:lvlJc w:val="left"/>
      <w:pPr>
        <w:ind w:left="2820" w:hanging="360"/>
      </w:pPr>
      <w:rPr>
        <w:rFonts w:ascii="Courier New" w:hAnsi="Courier New" w:cs="Courier New" w:hint="default"/>
      </w:rPr>
    </w:lvl>
    <w:lvl w:ilvl="5" w:tplc="080C0005" w:tentative="1">
      <w:start w:val="1"/>
      <w:numFmt w:val="bullet"/>
      <w:lvlText w:val=""/>
      <w:lvlJc w:val="left"/>
      <w:pPr>
        <w:ind w:left="3540" w:hanging="360"/>
      </w:pPr>
      <w:rPr>
        <w:rFonts w:ascii="Wingdings" w:hAnsi="Wingdings" w:hint="default"/>
      </w:rPr>
    </w:lvl>
    <w:lvl w:ilvl="6" w:tplc="080C0001" w:tentative="1">
      <w:start w:val="1"/>
      <w:numFmt w:val="bullet"/>
      <w:lvlText w:val=""/>
      <w:lvlJc w:val="left"/>
      <w:pPr>
        <w:ind w:left="4260" w:hanging="360"/>
      </w:pPr>
      <w:rPr>
        <w:rFonts w:ascii="Symbol" w:hAnsi="Symbol" w:hint="default"/>
      </w:rPr>
    </w:lvl>
    <w:lvl w:ilvl="7" w:tplc="080C0003" w:tentative="1">
      <w:start w:val="1"/>
      <w:numFmt w:val="bullet"/>
      <w:lvlText w:val="o"/>
      <w:lvlJc w:val="left"/>
      <w:pPr>
        <w:ind w:left="4980" w:hanging="360"/>
      </w:pPr>
      <w:rPr>
        <w:rFonts w:ascii="Courier New" w:hAnsi="Courier New" w:cs="Courier New" w:hint="default"/>
      </w:rPr>
    </w:lvl>
    <w:lvl w:ilvl="8" w:tplc="080C0005" w:tentative="1">
      <w:start w:val="1"/>
      <w:numFmt w:val="bullet"/>
      <w:lvlText w:val=""/>
      <w:lvlJc w:val="left"/>
      <w:pPr>
        <w:ind w:left="5700" w:hanging="360"/>
      </w:pPr>
      <w:rPr>
        <w:rFonts w:ascii="Wingdings" w:hAnsi="Wingdings" w:hint="default"/>
      </w:rPr>
    </w:lvl>
  </w:abstractNum>
  <w:abstractNum w:abstractNumId="14">
    <w:nsid w:val="66005D68"/>
    <w:multiLevelType w:val="hybridMultilevel"/>
    <w:tmpl w:val="2DC2E7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0E7F91"/>
    <w:multiLevelType w:val="multilevel"/>
    <w:tmpl w:val="787A7D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B6B436F"/>
    <w:multiLevelType w:val="hybridMultilevel"/>
    <w:tmpl w:val="57FA62C2"/>
    <w:lvl w:ilvl="0" w:tplc="B4F4966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1D71786"/>
    <w:multiLevelType w:val="hybridMultilevel"/>
    <w:tmpl w:val="701AED6E"/>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7E5C5F70"/>
    <w:multiLevelType w:val="hybridMultilevel"/>
    <w:tmpl w:val="3E5A766E"/>
    <w:lvl w:ilvl="0" w:tplc="08090001">
      <w:start w:val="1"/>
      <w:numFmt w:val="bullet"/>
      <w:lvlText w:val=""/>
      <w:lvlJc w:val="left"/>
      <w:pPr>
        <w:ind w:left="720" w:hanging="360"/>
      </w:pPr>
      <w:rPr>
        <w:rFonts w:ascii="Symbol" w:hAnsi="Symbol" w:hint="default"/>
      </w:rPr>
    </w:lvl>
    <w:lvl w:ilvl="1" w:tplc="080C0003">
      <w:start w:val="1"/>
      <w:numFmt w:val="bullet"/>
      <w:lvlText w:val="o"/>
      <w:lvlJc w:val="left"/>
      <w:pPr>
        <w:ind w:left="360" w:hanging="360"/>
      </w:pPr>
      <w:rPr>
        <w:rFonts w:ascii="Courier New" w:hAnsi="Courier New" w:cs="Courier New" w:hint="default"/>
      </w:rPr>
    </w:lvl>
    <w:lvl w:ilvl="2" w:tplc="08090003">
      <w:start w:val="1"/>
      <w:numFmt w:val="bullet"/>
      <w:lvlText w:val="o"/>
      <w:lvlJc w:val="left"/>
      <w:pPr>
        <w:ind w:left="1636" w:hanging="360"/>
      </w:pPr>
      <w:rPr>
        <w:rFonts w:ascii="Courier New" w:hAnsi="Courier New" w:cs="Courier New" w:hint="default"/>
      </w:rPr>
    </w:lvl>
    <w:lvl w:ilvl="3" w:tplc="080C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6"/>
  </w:num>
  <w:num w:numId="4">
    <w:abstractNumId w:val="6"/>
  </w:num>
  <w:num w:numId="5">
    <w:abstractNumId w:val="9"/>
  </w:num>
  <w:num w:numId="6">
    <w:abstractNumId w:val="7"/>
  </w:num>
  <w:num w:numId="7">
    <w:abstractNumId w:val="8"/>
  </w:num>
  <w:num w:numId="8">
    <w:abstractNumId w:val="10"/>
  </w:num>
  <w:num w:numId="9">
    <w:abstractNumId w:val="5"/>
  </w:num>
  <w:num w:numId="10">
    <w:abstractNumId w:val="17"/>
  </w:num>
  <w:num w:numId="11">
    <w:abstractNumId w:val="4"/>
  </w:num>
  <w:num w:numId="12">
    <w:abstractNumId w:val="1"/>
  </w:num>
  <w:num w:numId="13">
    <w:abstractNumId w:val="18"/>
  </w:num>
  <w:num w:numId="14">
    <w:abstractNumId w:val="12"/>
  </w:num>
  <w:num w:numId="15">
    <w:abstractNumId w:val="13"/>
  </w:num>
  <w:num w:numId="16">
    <w:abstractNumId w:val="0"/>
  </w:num>
  <w:num w:numId="17">
    <w:abstractNumId w:val="3"/>
  </w:num>
  <w:num w:numId="18">
    <w:abstractNumId w:val="11"/>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activeWritingStyle w:appName="MSWord" w:lang="fr-BE" w:vendorID="64" w:dllVersion="131078" w:nlCheck="1" w:checkStyle="0"/>
  <w:activeWritingStyle w:appName="MSWord" w:lang="en-US" w:vendorID="64" w:dllVersion="131078" w:nlCheck="1" w:checkStyle="1"/>
  <w:activeWritingStyle w:appName="MSWord" w:lang="en-IE" w:vendorID="64" w:dllVersion="131078" w:nlCheck="1" w:checkStyle="1"/>
  <w:activeWritingStyle w:appName="MSWord" w:lang="en-GB" w:vendorID="64" w:dllVersion="131078" w:nlCheck="1" w:checkStyle="1"/>
  <w:activeWritingStyle w:appName="MSWord" w:lang="it-IT" w:vendorID="64" w:dllVersion="131078" w:nlCheck="1" w:checkStyle="0"/>
  <w:activeWritingStyle w:appName="MSWord" w:lang="de-DE" w:vendorID="64" w:dllVersion="131078" w:nlCheck="1" w:checkStyle="1"/>
  <w:activeWritingStyle w:appName="MSWord" w:lang="es-ES" w:vendorID="64" w:dllVersion="131078" w:nlCheck="1" w:checkStyle="0"/>
  <w:activeWritingStyle w:appName="MSWord" w:lang="pt-PT" w:vendorID="64" w:dllVersion="131078" w:nlCheck="1" w:checkStyle="0"/>
  <w:activeWritingStyle w:appName="MSWord" w:lang="nl-BE" w:vendorID="64" w:dllVersion="131078" w:nlCheck="1" w:checkStyle="0"/>
  <w:revisionView w:markup="0"/>
  <w:documentProtection w:edit="readOnly" w:enforcement="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BA2968A-4C25-490C-963E-4026867527A4"/>
    <w:docVar w:name="LW_COVERPAGE_TYPE" w:val="1"/>
    <w:docVar w:name="LW_CROSSREFERENCE" w:val="&lt;UNUSED&gt;"/>
    <w:docVar w:name="LW_DocType" w:val="NORMAL"/>
    <w:docVar w:name="LW_EMISSION" w:val="13.11.2020"/>
    <w:docVar w:name="LW_EMISSION_ISODATE" w:val="2020-11-13"/>
    <w:docVar w:name="LW_EMISSION_LOCATION" w:val="BRX"/>
    <w:docVar w:name="LW_EMISSION_PREFIX" w:val="Briselē, "/>
    <w:docVar w:name="LW_EMISSION_SUFFIX" w:val="."/>
    <w:docVar w:name="LW_ID_DOCTYPE_NONLW" w:val="CP-012"/>
    <w:docVar w:name="LW_LANGUE" w:val="LV"/>
    <w:docVar w:name="LW_LEVEL_OF_SENSITIVITY" w:val="Standard treatment"/>
    <w:docVar w:name="LW_NOM.INST" w:val="EIROPAS KOMISIJA"/>
    <w:docVar w:name="LW_NOM.INST_JOINTDOC" w:val="&lt;EMPTY&gt;"/>
    <w:docVar w:name="LW_PART_NBR" w:val="1"/>
    <w:docVar w:name="LW_PART_NBR_TOTAL" w:val="1"/>
    <w:docVar w:name="LW_REF.INST.NEW" w:val="COM"/>
    <w:docVar w:name="LW_REF.INST.NEW_ADOPTED" w:val="final"/>
    <w:docVar w:name="LW_REF.INST.NEW_TEXT" w:val="(2020) 6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Font=Times New Roman Bold,Bold&gt;Jaun\u257? pat\u275?r\u275?t\u257?ju ties\u299?bu aizsardz\u299?bas programma&lt;/FMT&gt;_x000d__x000d__x000b__x000d__x000b_&lt;FMT:Font=Times New Roman Bold,Bold&gt;Pat\u275?r\u275?t\u257?ju notur\u299?bas stiprin\u257?\u353?ana, lai pan\u257?ktu ilgtsp\u275?j\u299?gu atvese\u316?o\u353?anos&lt;/FMT&gt;"/>
    <w:docVar w:name="LW_TYPE.DOC.CP" w:val="KOMISIJAS PAZI\u325?OJUMS EIROPAS PARLAMENTAM UN PADOMEI"/>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line="360" w:lineRule="auto"/>
      <w:outlineLvl w:val="0"/>
    </w:pPr>
    <w:rPr>
      <w:rFonts w:ascii="Arial" w:eastAsiaTheme="majorEastAsia" w:hAnsi="Arial"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Char Char Char,Indicator Text,Bullet Points,MAIN CONTENT,OBC Bullet,List Paragraph12,Dot pt,No Spacing1,Numbered Para 1,List Paragraph1,List Paragraph11,F5 List Paragraph,Colorful List - Accent 11,Normal numbered,Bullet 1,2"/>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Fußnote,FOOTNOTES"/>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uiPriority w:val="99"/>
    <w:qFormat/>
    <w:rPr>
      <w:sz w:val="20"/>
      <w:szCs w:val="20"/>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BVI fnr, Char Char, BVI fnr Zchn,BVI fnr Zchn"/>
    <w:basedOn w:val="DefaultParagraphFont"/>
    <w:link w:val="AppelnotedebasdepBVIfnrCarCarCarCar"/>
    <w:uiPriority w:val="99"/>
    <w:unhideWhenUsed/>
    <w:qFormat/>
    <w:rPr>
      <w:vertAlign w:val="superscript"/>
    </w:rPr>
  </w:style>
  <w:style w:type="character" w:customStyle="1" w:styleId="ListParagraphChar">
    <w:name w:val="List Paragraph Char"/>
    <w:aliases w:val="List Paragraph Char Char Char Char,Indicator Text Char,Bullet Points Char,MAIN CONTENT Char,OBC Bullet Char,List Paragraph12 Char,Dot pt Char,No Spacing1 Char,Numbered Para 1 Char,List Paragraph1 Char,List Paragraph11 Char,2 Char"/>
    <w:link w:val="ListParagraph"/>
    <w:uiPriority w:val="34"/>
    <w:qFormat/>
    <w:locked/>
  </w:style>
  <w:style w:type="character" w:styleId="Hyperlink">
    <w:name w:val="Hyperlink"/>
    <w:basedOn w:val="DefaultParagraphFont"/>
    <w:uiPriority w:val="99"/>
    <w:unhideWhenUsed/>
    <w:rPr>
      <w:color w:val="0563C1"/>
      <w:u w:val="single"/>
    </w:rPr>
  </w:style>
  <w:style w:type="character" w:customStyle="1" w:styleId="Heading1Char">
    <w:name w:val="Heading 1 Char"/>
    <w:basedOn w:val="DefaultParagraphFont"/>
    <w:link w:val="Heading1"/>
    <w:uiPriority w:val="9"/>
    <w:rPr>
      <w:rFonts w:ascii="Arial" w:eastAsiaTheme="majorEastAsia" w:hAnsi="Arial" w:cstheme="majorBidi"/>
      <w:b/>
      <w:bCs/>
      <w:color w:val="2E74B5" w:themeColor="accent1" w:themeShade="BF"/>
      <w:sz w:val="28"/>
      <w:szCs w:val="28"/>
      <w:lang w:val="lv-LV"/>
    </w:rPr>
  </w:style>
  <w:style w:type="paragraph" w:customStyle="1" w:styleId="BMJNummerierung2">
    <w:name w:val="BMJ_Nummerierung_2"/>
    <w:basedOn w:val="Normal"/>
    <w:uiPriority w:val="1"/>
    <w:qFormat/>
    <w:pPr>
      <w:numPr>
        <w:numId w:val="2"/>
      </w:numPr>
      <w:spacing w:before="60" w:after="60" w:line="360" w:lineRule="auto"/>
      <w:ind w:left="357" w:hanging="357"/>
    </w:pPr>
    <w:rPr>
      <w:rFonts w:ascii="Arial" w:hAnsi="Arial" w:cstheme="majorBidi"/>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Pr>
      <w:i/>
      <w:iCs/>
    </w:rPr>
  </w:style>
  <w:style w:type="paragraph" w:customStyle="1" w:styleId="AppelnotedebasdepBVIfnrCarCarCarCar">
    <w:name w:val="Appel note de bas de p.;BVI fnr Car Car Car Car"/>
    <w:aliases w:val=" BVI fnr Car Car,BVI fnr Car, BVI fnr Car Car Car Car, BVI fnr Car Car Car Car Char,Appel note de bas de p..BVI fnr Car Car Car Car, BVI fnr, BVI fnr Char,Appel note de bas de p.,footnote reference"/>
    <w:basedOn w:val="Normal"/>
    <w:link w:val="FootnoteReference"/>
    <w:uiPriority w:val="99"/>
    <w:pPr>
      <w:spacing w:line="240" w:lineRule="exact"/>
    </w:pPr>
    <w:rPr>
      <w:vertAlign w:val="superscript"/>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Briefingtext">
    <w:name w:val="Briefing text"/>
    <w:basedOn w:val="Normal"/>
    <w:link w:val="BriefingtextChar"/>
    <w:autoRedefine/>
    <w:qFormat/>
    <w:pPr>
      <w:widowControl w:val="0"/>
      <w:spacing w:after="240" w:line="240" w:lineRule="auto"/>
      <w:jc w:val="both"/>
    </w:pPr>
    <w:rPr>
      <w:rFonts w:ascii="Times New Roman" w:eastAsia="Calibri" w:hAnsi="Times New Roman" w:cs="Arial"/>
      <w:color w:val="000000" w:themeColor="text1"/>
      <w:sz w:val="24"/>
    </w:rPr>
  </w:style>
  <w:style w:type="character" w:customStyle="1" w:styleId="BriefingtextChar">
    <w:name w:val="Briefing text Char"/>
    <w:link w:val="Briefingtext"/>
    <w:rPr>
      <w:rFonts w:ascii="Times New Roman" w:eastAsia="Calibri" w:hAnsi="Times New Roman" w:cs="Arial"/>
      <w:color w:val="000000" w:themeColor="text1"/>
      <w:sz w:val="24"/>
      <w:lang w:val="lv-LV"/>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qFormat/>
    <w:pPr>
      <w:spacing w:line="240" w:lineRule="exact"/>
      <w:jc w:val="both"/>
    </w:pPr>
    <w:rPr>
      <w:rFonts w:ascii="Times New Roman" w:eastAsia="Times New Roman" w:hAnsi="Times New Roman" w:cs="Times New Roman"/>
      <w:sz w:val="20"/>
      <w:szCs w:val="20"/>
      <w:vertAlign w:val="superscript"/>
      <w:lang w:eastAsia="en-GB"/>
    </w:rPr>
  </w:style>
  <w:style w:type="character" w:customStyle="1" w:styleId="normaltextrun">
    <w:name w:val="normaltextrun"/>
    <w:basedOn w:val="DefaultParagraphFont"/>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ighlight">
    <w:name w:val="highlight"/>
    <w:basedOn w:val="DefaultParagraphFont"/>
  </w:style>
  <w:style w:type="paragraph" w:styleId="NoSpacing">
    <w:name w:val="No Spacing"/>
    <w:uiPriority w:val="1"/>
    <w:qFormat/>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szCs w:val="20"/>
      <w:lang w:eastAsia="en-GB"/>
    </w:rPr>
  </w:style>
  <w:style w:type="paragraph" w:customStyle="1" w:styleId="RegisteredLetter">
    <w:name w:val="Registered Letter"/>
    <w:basedOn w:val="Normal"/>
    <w:pPr>
      <w:spacing w:after="240" w:line="240" w:lineRule="auto"/>
      <w:jc w:val="both"/>
    </w:pPr>
    <w:rPr>
      <w:rFonts w:ascii="Times New Roman" w:eastAsia="Times New Roman" w:hAnsi="Times New Roman" w:cs="Times New Roman"/>
      <w:sz w:val="24"/>
      <w:szCs w:val="20"/>
      <w:u w:val="single"/>
      <w:lang w:eastAsia="fr-BE"/>
    </w:rPr>
  </w:style>
  <w:style w:type="paragraph" w:customStyle="1" w:styleId="footnotedescription">
    <w:name w:val="footnote description"/>
    <w:next w:val="Normal"/>
    <w:link w:val="footnotedescriptionChar"/>
    <w:hidden/>
    <w:pPr>
      <w:spacing w:after="0" w:line="253" w:lineRule="auto"/>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line="360" w:lineRule="auto"/>
      <w:outlineLvl w:val="0"/>
    </w:pPr>
    <w:rPr>
      <w:rFonts w:ascii="Arial" w:eastAsiaTheme="majorEastAsia" w:hAnsi="Arial"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Char Char Char,Indicator Text,Bullet Points,MAIN CONTENT,OBC Bullet,List Paragraph12,Dot pt,No Spacing1,Numbered Para 1,List Paragraph1,List Paragraph11,F5 List Paragraph,Colorful List - Accent 11,Normal numbered,Bullet 1,2"/>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Fußnote,FOOTNOTES"/>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uiPriority w:val="99"/>
    <w:qFormat/>
    <w:rPr>
      <w:sz w:val="20"/>
      <w:szCs w:val="20"/>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BVI fnr, Char Char, BVI fnr Zchn,BVI fnr Zchn"/>
    <w:basedOn w:val="DefaultParagraphFont"/>
    <w:link w:val="AppelnotedebasdepBVIfnrCarCarCarCar"/>
    <w:uiPriority w:val="99"/>
    <w:unhideWhenUsed/>
    <w:qFormat/>
    <w:rPr>
      <w:vertAlign w:val="superscript"/>
    </w:rPr>
  </w:style>
  <w:style w:type="character" w:customStyle="1" w:styleId="ListParagraphChar">
    <w:name w:val="List Paragraph Char"/>
    <w:aliases w:val="List Paragraph Char Char Char Char,Indicator Text Char,Bullet Points Char,MAIN CONTENT Char,OBC Bullet Char,List Paragraph12 Char,Dot pt Char,No Spacing1 Char,Numbered Para 1 Char,List Paragraph1 Char,List Paragraph11 Char,2 Char"/>
    <w:link w:val="ListParagraph"/>
    <w:uiPriority w:val="34"/>
    <w:qFormat/>
    <w:locked/>
  </w:style>
  <w:style w:type="character" w:styleId="Hyperlink">
    <w:name w:val="Hyperlink"/>
    <w:basedOn w:val="DefaultParagraphFont"/>
    <w:uiPriority w:val="99"/>
    <w:unhideWhenUsed/>
    <w:rPr>
      <w:color w:val="0563C1"/>
      <w:u w:val="single"/>
    </w:rPr>
  </w:style>
  <w:style w:type="character" w:customStyle="1" w:styleId="Heading1Char">
    <w:name w:val="Heading 1 Char"/>
    <w:basedOn w:val="DefaultParagraphFont"/>
    <w:link w:val="Heading1"/>
    <w:uiPriority w:val="9"/>
    <w:rPr>
      <w:rFonts w:ascii="Arial" w:eastAsiaTheme="majorEastAsia" w:hAnsi="Arial" w:cstheme="majorBidi"/>
      <w:b/>
      <w:bCs/>
      <w:color w:val="2E74B5" w:themeColor="accent1" w:themeShade="BF"/>
      <w:sz w:val="28"/>
      <w:szCs w:val="28"/>
      <w:lang w:val="lv-LV"/>
    </w:rPr>
  </w:style>
  <w:style w:type="paragraph" w:customStyle="1" w:styleId="BMJNummerierung2">
    <w:name w:val="BMJ_Nummerierung_2"/>
    <w:basedOn w:val="Normal"/>
    <w:uiPriority w:val="1"/>
    <w:qFormat/>
    <w:pPr>
      <w:numPr>
        <w:numId w:val="2"/>
      </w:numPr>
      <w:spacing w:before="60" w:after="60" w:line="360" w:lineRule="auto"/>
      <w:ind w:left="357" w:hanging="357"/>
    </w:pPr>
    <w:rPr>
      <w:rFonts w:ascii="Arial" w:hAnsi="Arial" w:cstheme="majorBidi"/>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Pr>
      <w:i/>
      <w:iCs/>
    </w:rPr>
  </w:style>
  <w:style w:type="paragraph" w:customStyle="1" w:styleId="AppelnotedebasdepBVIfnrCarCarCarCar">
    <w:name w:val="Appel note de bas de p.;BVI fnr Car Car Car Car"/>
    <w:aliases w:val=" BVI fnr Car Car,BVI fnr Car, BVI fnr Car Car Car Car, BVI fnr Car Car Car Car Char,Appel note de bas de p..BVI fnr Car Car Car Car, BVI fnr, BVI fnr Char,Appel note de bas de p.,footnote reference"/>
    <w:basedOn w:val="Normal"/>
    <w:link w:val="FootnoteReference"/>
    <w:uiPriority w:val="99"/>
    <w:pPr>
      <w:spacing w:line="240" w:lineRule="exact"/>
    </w:pPr>
    <w:rPr>
      <w:vertAlign w:val="superscript"/>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Briefingtext">
    <w:name w:val="Briefing text"/>
    <w:basedOn w:val="Normal"/>
    <w:link w:val="BriefingtextChar"/>
    <w:autoRedefine/>
    <w:qFormat/>
    <w:pPr>
      <w:widowControl w:val="0"/>
      <w:spacing w:after="240" w:line="240" w:lineRule="auto"/>
      <w:jc w:val="both"/>
    </w:pPr>
    <w:rPr>
      <w:rFonts w:ascii="Times New Roman" w:eastAsia="Calibri" w:hAnsi="Times New Roman" w:cs="Arial"/>
      <w:color w:val="000000" w:themeColor="text1"/>
      <w:sz w:val="24"/>
    </w:rPr>
  </w:style>
  <w:style w:type="character" w:customStyle="1" w:styleId="BriefingtextChar">
    <w:name w:val="Briefing text Char"/>
    <w:link w:val="Briefingtext"/>
    <w:rPr>
      <w:rFonts w:ascii="Times New Roman" w:eastAsia="Calibri" w:hAnsi="Times New Roman" w:cs="Arial"/>
      <w:color w:val="000000" w:themeColor="text1"/>
      <w:sz w:val="24"/>
      <w:lang w:val="lv-LV"/>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qFormat/>
    <w:pPr>
      <w:spacing w:line="240" w:lineRule="exact"/>
      <w:jc w:val="both"/>
    </w:pPr>
    <w:rPr>
      <w:rFonts w:ascii="Times New Roman" w:eastAsia="Times New Roman" w:hAnsi="Times New Roman" w:cs="Times New Roman"/>
      <w:sz w:val="20"/>
      <w:szCs w:val="20"/>
      <w:vertAlign w:val="superscript"/>
      <w:lang w:eastAsia="en-GB"/>
    </w:rPr>
  </w:style>
  <w:style w:type="character" w:customStyle="1" w:styleId="normaltextrun">
    <w:name w:val="normaltextrun"/>
    <w:basedOn w:val="DefaultParagraphFont"/>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ighlight">
    <w:name w:val="highlight"/>
    <w:basedOn w:val="DefaultParagraphFont"/>
  </w:style>
  <w:style w:type="paragraph" w:styleId="NoSpacing">
    <w:name w:val="No Spacing"/>
    <w:uiPriority w:val="1"/>
    <w:qFormat/>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Text1">
    <w:name w:val="Text 1"/>
    <w:basedOn w:val="Normal"/>
    <w:uiPriority w:val="90"/>
    <w:qFormat/>
    <w:pPr>
      <w:spacing w:after="240" w:line="240" w:lineRule="auto"/>
      <w:ind w:left="482"/>
      <w:jc w:val="both"/>
    </w:pPr>
    <w:rPr>
      <w:rFonts w:ascii="Times New Roman" w:eastAsia="Times New Roman" w:hAnsi="Times New Roman" w:cs="Times New Roman"/>
      <w:sz w:val="24"/>
      <w:szCs w:val="20"/>
      <w:lang w:eastAsia="en-GB"/>
    </w:rPr>
  </w:style>
  <w:style w:type="paragraph" w:customStyle="1" w:styleId="RegisteredLetter">
    <w:name w:val="Registered Letter"/>
    <w:basedOn w:val="Normal"/>
    <w:pPr>
      <w:spacing w:after="240" w:line="240" w:lineRule="auto"/>
      <w:jc w:val="both"/>
    </w:pPr>
    <w:rPr>
      <w:rFonts w:ascii="Times New Roman" w:eastAsia="Times New Roman" w:hAnsi="Times New Roman" w:cs="Times New Roman"/>
      <w:sz w:val="24"/>
      <w:szCs w:val="20"/>
      <w:u w:val="single"/>
      <w:lang w:eastAsia="fr-BE"/>
    </w:rPr>
  </w:style>
  <w:style w:type="paragraph" w:customStyle="1" w:styleId="footnotedescription">
    <w:name w:val="footnote description"/>
    <w:next w:val="Normal"/>
    <w:link w:val="footnotedescriptionChar"/>
    <w:hidden/>
    <w:pPr>
      <w:spacing w:after="0" w:line="253" w:lineRule="auto"/>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175">
      <w:bodyDiv w:val="1"/>
      <w:marLeft w:val="0"/>
      <w:marRight w:val="0"/>
      <w:marTop w:val="0"/>
      <w:marBottom w:val="0"/>
      <w:divBdr>
        <w:top w:val="none" w:sz="0" w:space="0" w:color="auto"/>
        <w:left w:val="none" w:sz="0" w:space="0" w:color="auto"/>
        <w:bottom w:val="none" w:sz="0" w:space="0" w:color="auto"/>
        <w:right w:val="none" w:sz="0" w:space="0" w:color="auto"/>
      </w:divBdr>
    </w:div>
    <w:div w:id="14043964">
      <w:bodyDiv w:val="1"/>
      <w:marLeft w:val="0"/>
      <w:marRight w:val="0"/>
      <w:marTop w:val="0"/>
      <w:marBottom w:val="0"/>
      <w:divBdr>
        <w:top w:val="none" w:sz="0" w:space="0" w:color="auto"/>
        <w:left w:val="none" w:sz="0" w:space="0" w:color="auto"/>
        <w:bottom w:val="none" w:sz="0" w:space="0" w:color="auto"/>
        <w:right w:val="none" w:sz="0" w:space="0" w:color="auto"/>
      </w:divBdr>
    </w:div>
    <w:div w:id="20060978">
      <w:bodyDiv w:val="1"/>
      <w:marLeft w:val="0"/>
      <w:marRight w:val="0"/>
      <w:marTop w:val="0"/>
      <w:marBottom w:val="0"/>
      <w:divBdr>
        <w:top w:val="none" w:sz="0" w:space="0" w:color="auto"/>
        <w:left w:val="none" w:sz="0" w:space="0" w:color="auto"/>
        <w:bottom w:val="none" w:sz="0" w:space="0" w:color="auto"/>
        <w:right w:val="none" w:sz="0" w:space="0" w:color="auto"/>
      </w:divBdr>
    </w:div>
    <w:div w:id="79837387">
      <w:bodyDiv w:val="1"/>
      <w:marLeft w:val="0"/>
      <w:marRight w:val="0"/>
      <w:marTop w:val="0"/>
      <w:marBottom w:val="0"/>
      <w:divBdr>
        <w:top w:val="none" w:sz="0" w:space="0" w:color="auto"/>
        <w:left w:val="none" w:sz="0" w:space="0" w:color="auto"/>
        <w:bottom w:val="none" w:sz="0" w:space="0" w:color="auto"/>
        <w:right w:val="none" w:sz="0" w:space="0" w:color="auto"/>
      </w:divBdr>
    </w:div>
    <w:div w:id="111100939">
      <w:bodyDiv w:val="1"/>
      <w:marLeft w:val="0"/>
      <w:marRight w:val="0"/>
      <w:marTop w:val="0"/>
      <w:marBottom w:val="0"/>
      <w:divBdr>
        <w:top w:val="none" w:sz="0" w:space="0" w:color="auto"/>
        <w:left w:val="none" w:sz="0" w:space="0" w:color="auto"/>
        <w:bottom w:val="none" w:sz="0" w:space="0" w:color="auto"/>
        <w:right w:val="none" w:sz="0" w:space="0" w:color="auto"/>
      </w:divBdr>
    </w:div>
    <w:div w:id="176165167">
      <w:bodyDiv w:val="1"/>
      <w:marLeft w:val="0"/>
      <w:marRight w:val="0"/>
      <w:marTop w:val="0"/>
      <w:marBottom w:val="0"/>
      <w:divBdr>
        <w:top w:val="none" w:sz="0" w:space="0" w:color="auto"/>
        <w:left w:val="none" w:sz="0" w:space="0" w:color="auto"/>
        <w:bottom w:val="none" w:sz="0" w:space="0" w:color="auto"/>
        <w:right w:val="none" w:sz="0" w:space="0" w:color="auto"/>
      </w:divBdr>
    </w:div>
    <w:div w:id="177668573">
      <w:bodyDiv w:val="1"/>
      <w:marLeft w:val="0"/>
      <w:marRight w:val="0"/>
      <w:marTop w:val="0"/>
      <w:marBottom w:val="0"/>
      <w:divBdr>
        <w:top w:val="none" w:sz="0" w:space="0" w:color="auto"/>
        <w:left w:val="none" w:sz="0" w:space="0" w:color="auto"/>
        <w:bottom w:val="none" w:sz="0" w:space="0" w:color="auto"/>
        <w:right w:val="none" w:sz="0" w:space="0" w:color="auto"/>
      </w:divBdr>
    </w:div>
    <w:div w:id="188448270">
      <w:bodyDiv w:val="1"/>
      <w:marLeft w:val="0"/>
      <w:marRight w:val="0"/>
      <w:marTop w:val="0"/>
      <w:marBottom w:val="0"/>
      <w:divBdr>
        <w:top w:val="none" w:sz="0" w:space="0" w:color="auto"/>
        <w:left w:val="none" w:sz="0" w:space="0" w:color="auto"/>
        <w:bottom w:val="none" w:sz="0" w:space="0" w:color="auto"/>
        <w:right w:val="none" w:sz="0" w:space="0" w:color="auto"/>
      </w:divBdr>
    </w:div>
    <w:div w:id="188833230">
      <w:bodyDiv w:val="1"/>
      <w:marLeft w:val="0"/>
      <w:marRight w:val="0"/>
      <w:marTop w:val="0"/>
      <w:marBottom w:val="0"/>
      <w:divBdr>
        <w:top w:val="none" w:sz="0" w:space="0" w:color="auto"/>
        <w:left w:val="none" w:sz="0" w:space="0" w:color="auto"/>
        <w:bottom w:val="none" w:sz="0" w:space="0" w:color="auto"/>
        <w:right w:val="none" w:sz="0" w:space="0" w:color="auto"/>
      </w:divBdr>
    </w:div>
    <w:div w:id="214127961">
      <w:bodyDiv w:val="1"/>
      <w:marLeft w:val="0"/>
      <w:marRight w:val="0"/>
      <w:marTop w:val="0"/>
      <w:marBottom w:val="0"/>
      <w:divBdr>
        <w:top w:val="none" w:sz="0" w:space="0" w:color="auto"/>
        <w:left w:val="none" w:sz="0" w:space="0" w:color="auto"/>
        <w:bottom w:val="none" w:sz="0" w:space="0" w:color="auto"/>
        <w:right w:val="none" w:sz="0" w:space="0" w:color="auto"/>
      </w:divBdr>
    </w:div>
    <w:div w:id="222178149">
      <w:bodyDiv w:val="1"/>
      <w:marLeft w:val="0"/>
      <w:marRight w:val="0"/>
      <w:marTop w:val="0"/>
      <w:marBottom w:val="0"/>
      <w:divBdr>
        <w:top w:val="none" w:sz="0" w:space="0" w:color="auto"/>
        <w:left w:val="none" w:sz="0" w:space="0" w:color="auto"/>
        <w:bottom w:val="none" w:sz="0" w:space="0" w:color="auto"/>
        <w:right w:val="none" w:sz="0" w:space="0" w:color="auto"/>
      </w:divBdr>
    </w:div>
    <w:div w:id="226035512">
      <w:bodyDiv w:val="1"/>
      <w:marLeft w:val="0"/>
      <w:marRight w:val="0"/>
      <w:marTop w:val="0"/>
      <w:marBottom w:val="0"/>
      <w:divBdr>
        <w:top w:val="none" w:sz="0" w:space="0" w:color="auto"/>
        <w:left w:val="none" w:sz="0" w:space="0" w:color="auto"/>
        <w:bottom w:val="none" w:sz="0" w:space="0" w:color="auto"/>
        <w:right w:val="none" w:sz="0" w:space="0" w:color="auto"/>
      </w:divBdr>
    </w:div>
    <w:div w:id="241108544">
      <w:bodyDiv w:val="1"/>
      <w:marLeft w:val="0"/>
      <w:marRight w:val="0"/>
      <w:marTop w:val="0"/>
      <w:marBottom w:val="0"/>
      <w:divBdr>
        <w:top w:val="none" w:sz="0" w:space="0" w:color="auto"/>
        <w:left w:val="none" w:sz="0" w:space="0" w:color="auto"/>
        <w:bottom w:val="none" w:sz="0" w:space="0" w:color="auto"/>
        <w:right w:val="none" w:sz="0" w:space="0" w:color="auto"/>
      </w:divBdr>
    </w:div>
    <w:div w:id="246501930">
      <w:bodyDiv w:val="1"/>
      <w:marLeft w:val="0"/>
      <w:marRight w:val="0"/>
      <w:marTop w:val="0"/>
      <w:marBottom w:val="0"/>
      <w:divBdr>
        <w:top w:val="none" w:sz="0" w:space="0" w:color="auto"/>
        <w:left w:val="none" w:sz="0" w:space="0" w:color="auto"/>
        <w:bottom w:val="none" w:sz="0" w:space="0" w:color="auto"/>
        <w:right w:val="none" w:sz="0" w:space="0" w:color="auto"/>
      </w:divBdr>
      <w:divsChild>
        <w:div w:id="423578333">
          <w:marLeft w:val="0"/>
          <w:marRight w:val="0"/>
          <w:marTop w:val="0"/>
          <w:marBottom w:val="0"/>
          <w:divBdr>
            <w:top w:val="none" w:sz="0" w:space="0" w:color="auto"/>
            <w:left w:val="none" w:sz="0" w:space="0" w:color="auto"/>
            <w:bottom w:val="none" w:sz="0" w:space="0" w:color="auto"/>
            <w:right w:val="none" w:sz="0" w:space="0" w:color="auto"/>
          </w:divBdr>
          <w:divsChild>
            <w:div w:id="20909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6228">
      <w:bodyDiv w:val="1"/>
      <w:marLeft w:val="0"/>
      <w:marRight w:val="0"/>
      <w:marTop w:val="0"/>
      <w:marBottom w:val="0"/>
      <w:divBdr>
        <w:top w:val="none" w:sz="0" w:space="0" w:color="auto"/>
        <w:left w:val="none" w:sz="0" w:space="0" w:color="auto"/>
        <w:bottom w:val="none" w:sz="0" w:space="0" w:color="auto"/>
        <w:right w:val="none" w:sz="0" w:space="0" w:color="auto"/>
      </w:divBdr>
    </w:div>
    <w:div w:id="310135813">
      <w:bodyDiv w:val="1"/>
      <w:marLeft w:val="0"/>
      <w:marRight w:val="0"/>
      <w:marTop w:val="0"/>
      <w:marBottom w:val="0"/>
      <w:divBdr>
        <w:top w:val="none" w:sz="0" w:space="0" w:color="auto"/>
        <w:left w:val="none" w:sz="0" w:space="0" w:color="auto"/>
        <w:bottom w:val="none" w:sz="0" w:space="0" w:color="auto"/>
        <w:right w:val="none" w:sz="0" w:space="0" w:color="auto"/>
      </w:divBdr>
    </w:div>
    <w:div w:id="329912371">
      <w:bodyDiv w:val="1"/>
      <w:marLeft w:val="0"/>
      <w:marRight w:val="0"/>
      <w:marTop w:val="0"/>
      <w:marBottom w:val="0"/>
      <w:divBdr>
        <w:top w:val="none" w:sz="0" w:space="0" w:color="auto"/>
        <w:left w:val="none" w:sz="0" w:space="0" w:color="auto"/>
        <w:bottom w:val="none" w:sz="0" w:space="0" w:color="auto"/>
        <w:right w:val="none" w:sz="0" w:space="0" w:color="auto"/>
      </w:divBdr>
    </w:div>
    <w:div w:id="368724101">
      <w:bodyDiv w:val="1"/>
      <w:marLeft w:val="0"/>
      <w:marRight w:val="0"/>
      <w:marTop w:val="0"/>
      <w:marBottom w:val="0"/>
      <w:divBdr>
        <w:top w:val="none" w:sz="0" w:space="0" w:color="auto"/>
        <w:left w:val="none" w:sz="0" w:space="0" w:color="auto"/>
        <w:bottom w:val="none" w:sz="0" w:space="0" w:color="auto"/>
        <w:right w:val="none" w:sz="0" w:space="0" w:color="auto"/>
      </w:divBdr>
    </w:div>
    <w:div w:id="371000072">
      <w:bodyDiv w:val="1"/>
      <w:marLeft w:val="0"/>
      <w:marRight w:val="0"/>
      <w:marTop w:val="0"/>
      <w:marBottom w:val="0"/>
      <w:divBdr>
        <w:top w:val="none" w:sz="0" w:space="0" w:color="auto"/>
        <w:left w:val="none" w:sz="0" w:space="0" w:color="auto"/>
        <w:bottom w:val="none" w:sz="0" w:space="0" w:color="auto"/>
        <w:right w:val="none" w:sz="0" w:space="0" w:color="auto"/>
      </w:divBdr>
    </w:div>
    <w:div w:id="430125423">
      <w:bodyDiv w:val="1"/>
      <w:marLeft w:val="0"/>
      <w:marRight w:val="0"/>
      <w:marTop w:val="0"/>
      <w:marBottom w:val="0"/>
      <w:divBdr>
        <w:top w:val="none" w:sz="0" w:space="0" w:color="auto"/>
        <w:left w:val="none" w:sz="0" w:space="0" w:color="auto"/>
        <w:bottom w:val="none" w:sz="0" w:space="0" w:color="auto"/>
        <w:right w:val="none" w:sz="0" w:space="0" w:color="auto"/>
      </w:divBdr>
    </w:div>
    <w:div w:id="449202536">
      <w:bodyDiv w:val="1"/>
      <w:marLeft w:val="0"/>
      <w:marRight w:val="0"/>
      <w:marTop w:val="0"/>
      <w:marBottom w:val="0"/>
      <w:divBdr>
        <w:top w:val="none" w:sz="0" w:space="0" w:color="auto"/>
        <w:left w:val="none" w:sz="0" w:space="0" w:color="auto"/>
        <w:bottom w:val="none" w:sz="0" w:space="0" w:color="auto"/>
        <w:right w:val="none" w:sz="0" w:space="0" w:color="auto"/>
      </w:divBdr>
    </w:div>
    <w:div w:id="465200454">
      <w:bodyDiv w:val="1"/>
      <w:marLeft w:val="0"/>
      <w:marRight w:val="0"/>
      <w:marTop w:val="0"/>
      <w:marBottom w:val="0"/>
      <w:divBdr>
        <w:top w:val="none" w:sz="0" w:space="0" w:color="auto"/>
        <w:left w:val="none" w:sz="0" w:space="0" w:color="auto"/>
        <w:bottom w:val="none" w:sz="0" w:space="0" w:color="auto"/>
        <w:right w:val="none" w:sz="0" w:space="0" w:color="auto"/>
      </w:divBdr>
    </w:div>
    <w:div w:id="472527854">
      <w:bodyDiv w:val="1"/>
      <w:marLeft w:val="0"/>
      <w:marRight w:val="0"/>
      <w:marTop w:val="0"/>
      <w:marBottom w:val="0"/>
      <w:divBdr>
        <w:top w:val="none" w:sz="0" w:space="0" w:color="auto"/>
        <w:left w:val="none" w:sz="0" w:space="0" w:color="auto"/>
        <w:bottom w:val="none" w:sz="0" w:space="0" w:color="auto"/>
        <w:right w:val="none" w:sz="0" w:space="0" w:color="auto"/>
      </w:divBdr>
    </w:div>
    <w:div w:id="524371681">
      <w:bodyDiv w:val="1"/>
      <w:marLeft w:val="0"/>
      <w:marRight w:val="0"/>
      <w:marTop w:val="0"/>
      <w:marBottom w:val="0"/>
      <w:divBdr>
        <w:top w:val="none" w:sz="0" w:space="0" w:color="auto"/>
        <w:left w:val="none" w:sz="0" w:space="0" w:color="auto"/>
        <w:bottom w:val="none" w:sz="0" w:space="0" w:color="auto"/>
        <w:right w:val="none" w:sz="0" w:space="0" w:color="auto"/>
      </w:divBdr>
    </w:div>
    <w:div w:id="565142938">
      <w:bodyDiv w:val="1"/>
      <w:marLeft w:val="0"/>
      <w:marRight w:val="0"/>
      <w:marTop w:val="0"/>
      <w:marBottom w:val="0"/>
      <w:divBdr>
        <w:top w:val="none" w:sz="0" w:space="0" w:color="auto"/>
        <w:left w:val="none" w:sz="0" w:space="0" w:color="auto"/>
        <w:bottom w:val="none" w:sz="0" w:space="0" w:color="auto"/>
        <w:right w:val="none" w:sz="0" w:space="0" w:color="auto"/>
      </w:divBdr>
    </w:div>
    <w:div w:id="580679308">
      <w:bodyDiv w:val="1"/>
      <w:marLeft w:val="0"/>
      <w:marRight w:val="0"/>
      <w:marTop w:val="0"/>
      <w:marBottom w:val="0"/>
      <w:divBdr>
        <w:top w:val="none" w:sz="0" w:space="0" w:color="auto"/>
        <w:left w:val="none" w:sz="0" w:space="0" w:color="auto"/>
        <w:bottom w:val="none" w:sz="0" w:space="0" w:color="auto"/>
        <w:right w:val="none" w:sz="0" w:space="0" w:color="auto"/>
      </w:divBdr>
    </w:div>
    <w:div w:id="589892012">
      <w:bodyDiv w:val="1"/>
      <w:marLeft w:val="0"/>
      <w:marRight w:val="0"/>
      <w:marTop w:val="0"/>
      <w:marBottom w:val="0"/>
      <w:divBdr>
        <w:top w:val="none" w:sz="0" w:space="0" w:color="auto"/>
        <w:left w:val="none" w:sz="0" w:space="0" w:color="auto"/>
        <w:bottom w:val="none" w:sz="0" w:space="0" w:color="auto"/>
        <w:right w:val="none" w:sz="0" w:space="0" w:color="auto"/>
      </w:divBdr>
    </w:div>
    <w:div w:id="596132210">
      <w:bodyDiv w:val="1"/>
      <w:marLeft w:val="0"/>
      <w:marRight w:val="0"/>
      <w:marTop w:val="0"/>
      <w:marBottom w:val="0"/>
      <w:divBdr>
        <w:top w:val="none" w:sz="0" w:space="0" w:color="auto"/>
        <w:left w:val="none" w:sz="0" w:space="0" w:color="auto"/>
        <w:bottom w:val="none" w:sz="0" w:space="0" w:color="auto"/>
        <w:right w:val="none" w:sz="0" w:space="0" w:color="auto"/>
      </w:divBdr>
    </w:div>
    <w:div w:id="600379408">
      <w:bodyDiv w:val="1"/>
      <w:marLeft w:val="0"/>
      <w:marRight w:val="0"/>
      <w:marTop w:val="0"/>
      <w:marBottom w:val="0"/>
      <w:divBdr>
        <w:top w:val="none" w:sz="0" w:space="0" w:color="auto"/>
        <w:left w:val="none" w:sz="0" w:space="0" w:color="auto"/>
        <w:bottom w:val="none" w:sz="0" w:space="0" w:color="auto"/>
        <w:right w:val="none" w:sz="0" w:space="0" w:color="auto"/>
      </w:divBdr>
    </w:div>
    <w:div w:id="600449630">
      <w:bodyDiv w:val="1"/>
      <w:marLeft w:val="0"/>
      <w:marRight w:val="0"/>
      <w:marTop w:val="0"/>
      <w:marBottom w:val="0"/>
      <w:divBdr>
        <w:top w:val="none" w:sz="0" w:space="0" w:color="auto"/>
        <w:left w:val="none" w:sz="0" w:space="0" w:color="auto"/>
        <w:bottom w:val="none" w:sz="0" w:space="0" w:color="auto"/>
        <w:right w:val="none" w:sz="0" w:space="0" w:color="auto"/>
      </w:divBdr>
    </w:div>
    <w:div w:id="628173899">
      <w:bodyDiv w:val="1"/>
      <w:marLeft w:val="0"/>
      <w:marRight w:val="0"/>
      <w:marTop w:val="0"/>
      <w:marBottom w:val="0"/>
      <w:divBdr>
        <w:top w:val="none" w:sz="0" w:space="0" w:color="auto"/>
        <w:left w:val="none" w:sz="0" w:space="0" w:color="auto"/>
        <w:bottom w:val="none" w:sz="0" w:space="0" w:color="auto"/>
        <w:right w:val="none" w:sz="0" w:space="0" w:color="auto"/>
      </w:divBdr>
    </w:div>
    <w:div w:id="663780522">
      <w:bodyDiv w:val="1"/>
      <w:marLeft w:val="0"/>
      <w:marRight w:val="0"/>
      <w:marTop w:val="0"/>
      <w:marBottom w:val="0"/>
      <w:divBdr>
        <w:top w:val="none" w:sz="0" w:space="0" w:color="auto"/>
        <w:left w:val="none" w:sz="0" w:space="0" w:color="auto"/>
        <w:bottom w:val="none" w:sz="0" w:space="0" w:color="auto"/>
        <w:right w:val="none" w:sz="0" w:space="0" w:color="auto"/>
      </w:divBdr>
    </w:div>
    <w:div w:id="669412221">
      <w:bodyDiv w:val="1"/>
      <w:marLeft w:val="0"/>
      <w:marRight w:val="0"/>
      <w:marTop w:val="0"/>
      <w:marBottom w:val="0"/>
      <w:divBdr>
        <w:top w:val="none" w:sz="0" w:space="0" w:color="auto"/>
        <w:left w:val="none" w:sz="0" w:space="0" w:color="auto"/>
        <w:bottom w:val="none" w:sz="0" w:space="0" w:color="auto"/>
        <w:right w:val="none" w:sz="0" w:space="0" w:color="auto"/>
      </w:divBdr>
    </w:div>
    <w:div w:id="737820995">
      <w:bodyDiv w:val="1"/>
      <w:marLeft w:val="0"/>
      <w:marRight w:val="0"/>
      <w:marTop w:val="0"/>
      <w:marBottom w:val="0"/>
      <w:divBdr>
        <w:top w:val="none" w:sz="0" w:space="0" w:color="auto"/>
        <w:left w:val="none" w:sz="0" w:space="0" w:color="auto"/>
        <w:bottom w:val="none" w:sz="0" w:space="0" w:color="auto"/>
        <w:right w:val="none" w:sz="0" w:space="0" w:color="auto"/>
      </w:divBdr>
    </w:div>
    <w:div w:id="746657072">
      <w:bodyDiv w:val="1"/>
      <w:marLeft w:val="0"/>
      <w:marRight w:val="0"/>
      <w:marTop w:val="0"/>
      <w:marBottom w:val="0"/>
      <w:divBdr>
        <w:top w:val="none" w:sz="0" w:space="0" w:color="auto"/>
        <w:left w:val="none" w:sz="0" w:space="0" w:color="auto"/>
        <w:bottom w:val="none" w:sz="0" w:space="0" w:color="auto"/>
        <w:right w:val="none" w:sz="0" w:space="0" w:color="auto"/>
      </w:divBdr>
    </w:div>
    <w:div w:id="772869449">
      <w:bodyDiv w:val="1"/>
      <w:marLeft w:val="0"/>
      <w:marRight w:val="0"/>
      <w:marTop w:val="0"/>
      <w:marBottom w:val="0"/>
      <w:divBdr>
        <w:top w:val="none" w:sz="0" w:space="0" w:color="auto"/>
        <w:left w:val="none" w:sz="0" w:space="0" w:color="auto"/>
        <w:bottom w:val="none" w:sz="0" w:space="0" w:color="auto"/>
        <w:right w:val="none" w:sz="0" w:space="0" w:color="auto"/>
      </w:divBdr>
    </w:div>
    <w:div w:id="791483463">
      <w:bodyDiv w:val="1"/>
      <w:marLeft w:val="0"/>
      <w:marRight w:val="0"/>
      <w:marTop w:val="0"/>
      <w:marBottom w:val="0"/>
      <w:divBdr>
        <w:top w:val="none" w:sz="0" w:space="0" w:color="auto"/>
        <w:left w:val="none" w:sz="0" w:space="0" w:color="auto"/>
        <w:bottom w:val="none" w:sz="0" w:space="0" w:color="auto"/>
        <w:right w:val="none" w:sz="0" w:space="0" w:color="auto"/>
      </w:divBdr>
    </w:div>
    <w:div w:id="801464864">
      <w:bodyDiv w:val="1"/>
      <w:marLeft w:val="0"/>
      <w:marRight w:val="0"/>
      <w:marTop w:val="0"/>
      <w:marBottom w:val="0"/>
      <w:divBdr>
        <w:top w:val="none" w:sz="0" w:space="0" w:color="auto"/>
        <w:left w:val="none" w:sz="0" w:space="0" w:color="auto"/>
        <w:bottom w:val="none" w:sz="0" w:space="0" w:color="auto"/>
        <w:right w:val="none" w:sz="0" w:space="0" w:color="auto"/>
      </w:divBdr>
    </w:div>
    <w:div w:id="808016263">
      <w:bodyDiv w:val="1"/>
      <w:marLeft w:val="0"/>
      <w:marRight w:val="0"/>
      <w:marTop w:val="0"/>
      <w:marBottom w:val="0"/>
      <w:divBdr>
        <w:top w:val="none" w:sz="0" w:space="0" w:color="auto"/>
        <w:left w:val="none" w:sz="0" w:space="0" w:color="auto"/>
        <w:bottom w:val="none" w:sz="0" w:space="0" w:color="auto"/>
        <w:right w:val="none" w:sz="0" w:space="0" w:color="auto"/>
      </w:divBdr>
    </w:div>
    <w:div w:id="816654063">
      <w:bodyDiv w:val="1"/>
      <w:marLeft w:val="0"/>
      <w:marRight w:val="0"/>
      <w:marTop w:val="0"/>
      <w:marBottom w:val="0"/>
      <w:divBdr>
        <w:top w:val="none" w:sz="0" w:space="0" w:color="auto"/>
        <w:left w:val="none" w:sz="0" w:space="0" w:color="auto"/>
        <w:bottom w:val="none" w:sz="0" w:space="0" w:color="auto"/>
        <w:right w:val="none" w:sz="0" w:space="0" w:color="auto"/>
      </w:divBdr>
    </w:div>
    <w:div w:id="872960813">
      <w:bodyDiv w:val="1"/>
      <w:marLeft w:val="0"/>
      <w:marRight w:val="0"/>
      <w:marTop w:val="0"/>
      <w:marBottom w:val="0"/>
      <w:divBdr>
        <w:top w:val="none" w:sz="0" w:space="0" w:color="auto"/>
        <w:left w:val="none" w:sz="0" w:space="0" w:color="auto"/>
        <w:bottom w:val="none" w:sz="0" w:space="0" w:color="auto"/>
        <w:right w:val="none" w:sz="0" w:space="0" w:color="auto"/>
      </w:divBdr>
    </w:div>
    <w:div w:id="918517416">
      <w:bodyDiv w:val="1"/>
      <w:marLeft w:val="0"/>
      <w:marRight w:val="0"/>
      <w:marTop w:val="0"/>
      <w:marBottom w:val="0"/>
      <w:divBdr>
        <w:top w:val="none" w:sz="0" w:space="0" w:color="auto"/>
        <w:left w:val="none" w:sz="0" w:space="0" w:color="auto"/>
        <w:bottom w:val="none" w:sz="0" w:space="0" w:color="auto"/>
        <w:right w:val="none" w:sz="0" w:space="0" w:color="auto"/>
      </w:divBdr>
    </w:div>
    <w:div w:id="920916208">
      <w:bodyDiv w:val="1"/>
      <w:marLeft w:val="0"/>
      <w:marRight w:val="0"/>
      <w:marTop w:val="0"/>
      <w:marBottom w:val="0"/>
      <w:divBdr>
        <w:top w:val="none" w:sz="0" w:space="0" w:color="auto"/>
        <w:left w:val="none" w:sz="0" w:space="0" w:color="auto"/>
        <w:bottom w:val="none" w:sz="0" w:space="0" w:color="auto"/>
        <w:right w:val="none" w:sz="0" w:space="0" w:color="auto"/>
      </w:divBdr>
    </w:div>
    <w:div w:id="944772200">
      <w:bodyDiv w:val="1"/>
      <w:marLeft w:val="0"/>
      <w:marRight w:val="0"/>
      <w:marTop w:val="0"/>
      <w:marBottom w:val="0"/>
      <w:divBdr>
        <w:top w:val="none" w:sz="0" w:space="0" w:color="auto"/>
        <w:left w:val="none" w:sz="0" w:space="0" w:color="auto"/>
        <w:bottom w:val="none" w:sz="0" w:space="0" w:color="auto"/>
        <w:right w:val="none" w:sz="0" w:space="0" w:color="auto"/>
      </w:divBdr>
    </w:div>
    <w:div w:id="971784831">
      <w:bodyDiv w:val="1"/>
      <w:marLeft w:val="0"/>
      <w:marRight w:val="0"/>
      <w:marTop w:val="0"/>
      <w:marBottom w:val="0"/>
      <w:divBdr>
        <w:top w:val="none" w:sz="0" w:space="0" w:color="auto"/>
        <w:left w:val="none" w:sz="0" w:space="0" w:color="auto"/>
        <w:bottom w:val="none" w:sz="0" w:space="0" w:color="auto"/>
        <w:right w:val="none" w:sz="0" w:space="0" w:color="auto"/>
      </w:divBdr>
    </w:div>
    <w:div w:id="997417575">
      <w:bodyDiv w:val="1"/>
      <w:marLeft w:val="0"/>
      <w:marRight w:val="0"/>
      <w:marTop w:val="0"/>
      <w:marBottom w:val="0"/>
      <w:divBdr>
        <w:top w:val="none" w:sz="0" w:space="0" w:color="auto"/>
        <w:left w:val="none" w:sz="0" w:space="0" w:color="auto"/>
        <w:bottom w:val="none" w:sz="0" w:space="0" w:color="auto"/>
        <w:right w:val="none" w:sz="0" w:space="0" w:color="auto"/>
      </w:divBdr>
    </w:div>
    <w:div w:id="1032533416">
      <w:bodyDiv w:val="1"/>
      <w:marLeft w:val="0"/>
      <w:marRight w:val="0"/>
      <w:marTop w:val="0"/>
      <w:marBottom w:val="0"/>
      <w:divBdr>
        <w:top w:val="none" w:sz="0" w:space="0" w:color="auto"/>
        <w:left w:val="none" w:sz="0" w:space="0" w:color="auto"/>
        <w:bottom w:val="none" w:sz="0" w:space="0" w:color="auto"/>
        <w:right w:val="none" w:sz="0" w:space="0" w:color="auto"/>
      </w:divBdr>
    </w:div>
    <w:div w:id="1103064309">
      <w:bodyDiv w:val="1"/>
      <w:marLeft w:val="0"/>
      <w:marRight w:val="0"/>
      <w:marTop w:val="0"/>
      <w:marBottom w:val="0"/>
      <w:divBdr>
        <w:top w:val="none" w:sz="0" w:space="0" w:color="auto"/>
        <w:left w:val="none" w:sz="0" w:space="0" w:color="auto"/>
        <w:bottom w:val="none" w:sz="0" w:space="0" w:color="auto"/>
        <w:right w:val="none" w:sz="0" w:space="0" w:color="auto"/>
      </w:divBdr>
    </w:div>
    <w:div w:id="1146239296">
      <w:bodyDiv w:val="1"/>
      <w:marLeft w:val="0"/>
      <w:marRight w:val="0"/>
      <w:marTop w:val="0"/>
      <w:marBottom w:val="0"/>
      <w:divBdr>
        <w:top w:val="none" w:sz="0" w:space="0" w:color="auto"/>
        <w:left w:val="none" w:sz="0" w:space="0" w:color="auto"/>
        <w:bottom w:val="none" w:sz="0" w:space="0" w:color="auto"/>
        <w:right w:val="none" w:sz="0" w:space="0" w:color="auto"/>
      </w:divBdr>
    </w:div>
    <w:div w:id="1146700955">
      <w:bodyDiv w:val="1"/>
      <w:marLeft w:val="0"/>
      <w:marRight w:val="0"/>
      <w:marTop w:val="0"/>
      <w:marBottom w:val="0"/>
      <w:divBdr>
        <w:top w:val="none" w:sz="0" w:space="0" w:color="auto"/>
        <w:left w:val="none" w:sz="0" w:space="0" w:color="auto"/>
        <w:bottom w:val="none" w:sz="0" w:space="0" w:color="auto"/>
        <w:right w:val="none" w:sz="0" w:space="0" w:color="auto"/>
      </w:divBdr>
    </w:div>
    <w:div w:id="1169061620">
      <w:bodyDiv w:val="1"/>
      <w:marLeft w:val="0"/>
      <w:marRight w:val="0"/>
      <w:marTop w:val="0"/>
      <w:marBottom w:val="0"/>
      <w:divBdr>
        <w:top w:val="none" w:sz="0" w:space="0" w:color="auto"/>
        <w:left w:val="none" w:sz="0" w:space="0" w:color="auto"/>
        <w:bottom w:val="none" w:sz="0" w:space="0" w:color="auto"/>
        <w:right w:val="none" w:sz="0" w:space="0" w:color="auto"/>
      </w:divBdr>
    </w:div>
    <w:div w:id="1174303802">
      <w:bodyDiv w:val="1"/>
      <w:marLeft w:val="0"/>
      <w:marRight w:val="0"/>
      <w:marTop w:val="0"/>
      <w:marBottom w:val="0"/>
      <w:divBdr>
        <w:top w:val="none" w:sz="0" w:space="0" w:color="auto"/>
        <w:left w:val="none" w:sz="0" w:space="0" w:color="auto"/>
        <w:bottom w:val="none" w:sz="0" w:space="0" w:color="auto"/>
        <w:right w:val="none" w:sz="0" w:space="0" w:color="auto"/>
      </w:divBdr>
    </w:div>
    <w:div w:id="1209687486">
      <w:bodyDiv w:val="1"/>
      <w:marLeft w:val="0"/>
      <w:marRight w:val="0"/>
      <w:marTop w:val="0"/>
      <w:marBottom w:val="0"/>
      <w:divBdr>
        <w:top w:val="none" w:sz="0" w:space="0" w:color="auto"/>
        <w:left w:val="none" w:sz="0" w:space="0" w:color="auto"/>
        <w:bottom w:val="none" w:sz="0" w:space="0" w:color="auto"/>
        <w:right w:val="none" w:sz="0" w:space="0" w:color="auto"/>
      </w:divBdr>
    </w:div>
    <w:div w:id="1217355577">
      <w:bodyDiv w:val="1"/>
      <w:marLeft w:val="0"/>
      <w:marRight w:val="0"/>
      <w:marTop w:val="0"/>
      <w:marBottom w:val="0"/>
      <w:divBdr>
        <w:top w:val="none" w:sz="0" w:space="0" w:color="auto"/>
        <w:left w:val="none" w:sz="0" w:space="0" w:color="auto"/>
        <w:bottom w:val="none" w:sz="0" w:space="0" w:color="auto"/>
        <w:right w:val="none" w:sz="0" w:space="0" w:color="auto"/>
      </w:divBdr>
    </w:div>
    <w:div w:id="1218933480">
      <w:bodyDiv w:val="1"/>
      <w:marLeft w:val="0"/>
      <w:marRight w:val="0"/>
      <w:marTop w:val="0"/>
      <w:marBottom w:val="0"/>
      <w:divBdr>
        <w:top w:val="none" w:sz="0" w:space="0" w:color="auto"/>
        <w:left w:val="none" w:sz="0" w:space="0" w:color="auto"/>
        <w:bottom w:val="none" w:sz="0" w:space="0" w:color="auto"/>
        <w:right w:val="none" w:sz="0" w:space="0" w:color="auto"/>
      </w:divBdr>
    </w:div>
    <w:div w:id="1237784861">
      <w:bodyDiv w:val="1"/>
      <w:marLeft w:val="0"/>
      <w:marRight w:val="0"/>
      <w:marTop w:val="0"/>
      <w:marBottom w:val="0"/>
      <w:divBdr>
        <w:top w:val="none" w:sz="0" w:space="0" w:color="auto"/>
        <w:left w:val="none" w:sz="0" w:space="0" w:color="auto"/>
        <w:bottom w:val="none" w:sz="0" w:space="0" w:color="auto"/>
        <w:right w:val="none" w:sz="0" w:space="0" w:color="auto"/>
      </w:divBdr>
    </w:div>
    <w:div w:id="1308363781">
      <w:bodyDiv w:val="1"/>
      <w:marLeft w:val="0"/>
      <w:marRight w:val="0"/>
      <w:marTop w:val="0"/>
      <w:marBottom w:val="0"/>
      <w:divBdr>
        <w:top w:val="none" w:sz="0" w:space="0" w:color="auto"/>
        <w:left w:val="none" w:sz="0" w:space="0" w:color="auto"/>
        <w:bottom w:val="none" w:sz="0" w:space="0" w:color="auto"/>
        <w:right w:val="none" w:sz="0" w:space="0" w:color="auto"/>
      </w:divBdr>
    </w:div>
    <w:div w:id="1392265363">
      <w:bodyDiv w:val="1"/>
      <w:marLeft w:val="0"/>
      <w:marRight w:val="0"/>
      <w:marTop w:val="0"/>
      <w:marBottom w:val="0"/>
      <w:divBdr>
        <w:top w:val="none" w:sz="0" w:space="0" w:color="auto"/>
        <w:left w:val="none" w:sz="0" w:space="0" w:color="auto"/>
        <w:bottom w:val="none" w:sz="0" w:space="0" w:color="auto"/>
        <w:right w:val="none" w:sz="0" w:space="0" w:color="auto"/>
      </w:divBdr>
    </w:div>
    <w:div w:id="1402369376">
      <w:bodyDiv w:val="1"/>
      <w:marLeft w:val="0"/>
      <w:marRight w:val="0"/>
      <w:marTop w:val="0"/>
      <w:marBottom w:val="0"/>
      <w:divBdr>
        <w:top w:val="none" w:sz="0" w:space="0" w:color="auto"/>
        <w:left w:val="none" w:sz="0" w:space="0" w:color="auto"/>
        <w:bottom w:val="none" w:sz="0" w:space="0" w:color="auto"/>
        <w:right w:val="none" w:sz="0" w:space="0" w:color="auto"/>
      </w:divBdr>
    </w:div>
    <w:div w:id="1402407506">
      <w:bodyDiv w:val="1"/>
      <w:marLeft w:val="0"/>
      <w:marRight w:val="0"/>
      <w:marTop w:val="0"/>
      <w:marBottom w:val="0"/>
      <w:divBdr>
        <w:top w:val="none" w:sz="0" w:space="0" w:color="auto"/>
        <w:left w:val="none" w:sz="0" w:space="0" w:color="auto"/>
        <w:bottom w:val="none" w:sz="0" w:space="0" w:color="auto"/>
        <w:right w:val="none" w:sz="0" w:space="0" w:color="auto"/>
      </w:divBdr>
    </w:div>
    <w:div w:id="1438255763">
      <w:bodyDiv w:val="1"/>
      <w:marLeft w:val="0"/>
      <w:marRight w:val="0"/>
      <w:marTop w:val="0"/>
      <w:marBottom w:val="0"/>
      <w:divBdr>
        <w:top w:val="none" w:sz="0" w:space="0" w:color="auto"/>
        <w:left w:val="none" w:sz="0" w:space="0" w:color="auto"/>
        <w:bottom w:val="none" w:sz="0" w:space="0" w:color="auto"/>
        <w:right w:val="none" w:sz="0" w:space="0" w:color="auto"/>
      </w:divBdr>
    </w:div>
    <w:div w:id="1489520719">
      <w:bodyDiv w:val="1"/>
      <w:marLeft w:val="0"/>
      <w:marRight w:val="0"/>
      <w:marTop w:val="0"/>
      <w:marBottom w:val="0"/>
      <w:divBdr>
        <w:top w:val="none" w:sz="0" w:space="0" w:color="auto"/>
        <w:left w:val="none" w:sz="0" w:space="0" w:color="auto"/>
        <w:bottom w:val="none" w:sz="0" w:space="0" w:color="auto"/>
        <w:right w:val="none" w:sz="0" w:space="0" w:color="auto"/>
      </w:divBdr>
    </w:div>
    <w:div w:id="1527909627">
      <w:bodyDiv w:val="1"/>
      <w:marLeft w:val="0"/>
      <w:marRight w:val="0"/>
      <w:marTop w:val="0"/>
      <w:marBottom w:val="0"/>
      <w:divBdr>
        <w:top w:val="none" w:sz="0" w:space="0" w:color="auto"/>
        <w:left w:val="none" w:sz="0" w:space="0" w:color="auto"/>
        <w:bottom w:val="none" w:sz="0" w:space="0" w:color="auto"/>
        <w:right w:val="none" w:sz="0" w:space="0" w:color="auto"/>
      </w:divBdr>
    </w:div>
    <w:div w:id="1530558591">
      <w:bodyDiv w:val="1"/>
      <w:marLeft w:val="0"/>
      <w:marRight w:val="0"/>
      <w:marTop w:val="0"/>
      <w:marBottom w:val="0"/>
      <w:divBdr>
        <w:top w:val="none" w:sz="0" w:space="0" w:color="auto"/>
        <w:left w:val="none" w:sz="0" w:space="0" w:color="auto"/>
        <w:bottom w:val="none" w:sz="0" w:space="0" w:color="auto"/>
        <w:right w:val="none" w:sz="0" w:space="0" w:color="auto"/>
      </w:divBdr>
    </w:div>
    <w:div w:id="1551182996">
      <w:bodyDiv w:val="1"/>
      <w:marLeft w:val="0"/>
      <w:marRight w:val="0"/>
      <w:marTop w:val="0"/>
      <w:marBottom w:val="0"/>
      <w:divBdr>
        <w:top w:val="none" w:sz="0" w:space="0" w:color="auto"/>
        <w:left w:val="none" w:sz="0" w:space="0" w:color="auto"/>
        <w:bottom w:val="none" w:sz="0" w:space="0" w:color="auto"/>
        <w:right w:val="none" w:sz="0" w:space="0" w:color="auto"/>
      </w:divBdr>
    </w:div>
    <w:div w:id="1564561538">
      <w:bodyDiv w:val="1"/>
      <w:marLeft w:val="0"/>
      <w:marRight w:val="0"/>
      <w:marTop w:val="0"/>
      <w:marBottom w:val="0"/>
      <w:divBdr>
        <w:top w:val="none" w:sz="0" w:space="0" w:color="auto"/>
        <w:left w:val="none" w:sz="0" w:space="0" w:color="auto"/>
        <w:bottom w:val="none" w:sz="0" w:space="0" w:color="auto"/>
        <w:right w:val="none" w:sz="0" w:space="0" w:color="auto"/>
      </w:divBdr>
    </w:div>
    <w:div w:id="1586648737">
      <w:bodyDiv w:val="1"/>
      <w:marLeft w:val="0"/>
      <w:marRight w:val="0"/>
      <w:marTop w:val="0"/>
      <w:marBottom w:val="0"/>
      <w:divBdr>
        <w:top w:val="none" w:sz="0" w:space="0" w:color="auto"/>
        <w:left w:val="none" w:sz="0" w:space="0" w:color="auto"/>
        <w:bottom w:val="none" w:sz="0" w:space="0" w:color="auto"/>
        <w:right w:val="none" w:sz="0" w:space="0" w:color="auto"/>
      </w:divBdr>
    </w:div>
    <w:div w:id="1588005041">
      <w:bodyDiv w:val="1"/>
      <w:marLeft w:val="0"/>
      <w:marRight w:val="0"/>
      <w:marTop w:val="0"/>
      <w:marBottom w:val="0"/>
      <w:divBdr>
        <w:top w:val="none" w:sz="0" w:space="0" w:color="auto"/>
        <w:left w:val="none" w:sz="0" w:space="0" w:color="auto"/>
        <w:bottom w:val="none" w:sz="0" w:space="0" w:color="auto"/>
        <w:right w:val="none" w:sz="0" w:space="0" w:color="auto"/>
      </w:divBdr>
    </w:div>
    <w:div w:id="1617369941">
      <w:bodyDiv w:val="1"/>
      <w:marLeft w:val="0"/>
      <w:marRight w:val="0"/>
      <w:marTop w:val="0"/>
      <w:marBottom w:val="0"/>
      <w:divBdr>
        <w:top w:val="none" w:sz="0" w:space="0" w:color="auto"/>
        <w:left w:val="none" w:sz="0" w:space="0" w:color="auto"/>
        <w:bottom w:val="none" w:sz="0" w:space="0" w:color="auto"/>
        <w:right w:val="none" w:sz="0" w:space="0" w:color="auto"/>
      </w:divBdr>
    </w:div>
    <w:div w:id="1655717116">
      <w:bodyDiv w:val="1"/>
      <w:marLeft w:val="0"/>
      <w:marRight w:val="0"/>
      <w:marTop w:val="0"/>
      <w:marBottom w:val="0"/>
      <w:divBdr>
        <w:top w:val="none" w:sz="0" w:space="0" w:color="auto"/>
        <w:left w:val="none" w:sz="0" w:space="0" w:color="auto"/>
        <w:bottom w:val="none" w:sz="0" w:space="0" w:color="auto"/>
        <w:right w:val="none" w:sz="0" w:space="0" w:color="auto"/>
      </w:divBdr>
    </w:div>
    <w:div w:id="1661808601">
      <w:bodyDiv w:val="1"/>
      <w:marLeft w:val="0"/>
      <w:marRight w:val="0"/>
      <w:marTop w:val="0"/>
      <w:marBottom w:val="0"/>
      <w:divBdr>
        <w:top w:val="none" w:sz="0" w:space="0" w:color="auto"/>
        <w:left w:val="none" w:sz="0" w:space="0" w:color="auto"/>
        <w:bottom w:val="none" w:sz="0" w:space="0" w:color="auto"/>
        <w:right w:val="none" w:sz="0" w:space="0" w:color="auto"/>
      </w:divBdr>
    </w:div>
    <w:div w:id="1696732616">
      <w:bodyDiv w:val="1"/>
      <w:marLeft w:val="0"/>
      <w:marRight w:val="0"/>
      <w:marTop w:val="0"/>
      <w:marBottom w:val="0"/>
      <w:divBdr>
        <w:top w:val="none" w:sz="0" w:space="0" w:color="auto"/>
        <w:left w:val="none" w:sz="0" w:space="0" w:color="auto"/>
        <w:bottom w:val="none" w:sz="0" w:space="0" w:color="auto"/>
        <w:right w:val="none" w:sz="0" w:space="0" w:color="auto"/>
      </w:divBdr>
    </w:div>
    <w:div w:id="1707178584">
      <w:bodyDiv w:val="1"/>
      <w:marLeft w:val="0"/>
      <w:marRight w:val="0"/>
      <w:marTop w:val="0"/>
      <w:marBottom w:val="0"/>
      <w:divBdr>
        <w:top w:val="none" w:sz="0" w:space="0" w:color="auto"/>
        <w:left w:val="none" w:sz="0" w:space="0" w:color="auto"/>
        <w:bottom w:val="none" w:sz="0" w:space="0" w:color="auto"/>
        <w:right w:val="none" w:sz="0" w:space="0" w:color="auto"/>
      </w:divBdr>
    </w:div>
    <w:div w:id="1743336560">
      <w:bodyDiv w:val="1"/>
      <w:marLeft w:val="0"/>
      <w:marRight w:val="0"/>
      <w:marTop w:val="0"/>
      <w:marBottom w:val="0"/>
      <w:divBdr>
        <w:top w:val="none" w:sz="0" w:space="0" w:color="auto"/>
        <w:left w:val="none" w:sz="0" w:space="0" w:color="auto"/>
        <w:bottom w:val="none" w:sz="0" w:space="0" w:color="auto"/>
        <w:right w:val="none" w:sz="0" w:space="0" w:color="auto"/>
      </w:divBdr>
    </w:div>
    <w:div w:id="1760760543">
      <w:bodyDiv w:val="1"/>
      <w:marLeft w:val="0"/>
      <w:marRight w:val="0"/>
      <w:marTop w:val="0"/>
      <w:marBottom w:val="0"/>
      <w:divBdr>
        <w:top w:val="none" w:sz="0" w:space="0" w:color="auto"/>
        <w:left w:val="none" w:sz="0" w:space="0" w:color="auto"/>
        <w:bottom w:val="none" w:sz="0" w:space="0" w:color="auto"/>
        <w:right w:val="none" w:sz="0" w:space="0" w:color="auto"/>
      </w:divBdr>
    </w:div>
    <w:div w:id="1790969124">
      <w:bodyDiv w:val="1"/>
      <w:marLeft w:val="0"/>
      <w:marRight w:val="0"/>
      <w:marTop w:val="0"/>
      <w:marBottom w:val="0"/>
      <w:divBdr>
        <w:top w:val="none" w:sz="0" w:space="0" w:color="auto"/>
        <w:left w:val="none" w:sz="0" w:space="0" w:color="auto"/>
        <w:bottom w:val="none" w:sz="0" w:space="0" w:color="auto"/>
        <w:right w:val="none" w:sz="0" w:space="0" w:color="auto"/>
      </w:divBdr>
    </w:div>
    <w:div w:id="1828857629">
      <w:bodyDiv w:val="1"/>
      <w:marLeft w:val="0"/>
      <w:marRight w:val="0"/>
      <w:marTop w:val="0"/>
      <w:marBottom w:val="0"/>
      <w:divBdr>
        <w:top w:val="none" w:sz="0" w:space="0" w:color="auto"/>
        <w:left w:val="none" w:sz="0" w:space="0" w:color="auto"/>
        <w:bottom w:val="none" w:sz="0" w:space="0" w:color="auto"/>
        <w:right w:val="none" w:sz="0" w:space="0" w:color="auto"/>
      </w:divBdr>
    </w:div>
    <w:div w:id="1874264404">
      <w:bodyDiv w:val="1"/>
      <w:marLeft w:val="0"/>
      <w:marRight w:val="0"/>
      <w:marTop w:val="0"/>
      <w:marBottom w:val="0"/>
      <w:divBdr>
        <w:top w:val="none" w:sz="0" w:space="0" w:color="auto"/>
        <w:left w:val="none" w:sz="0" w:space="0" w:color="auto"/>
        <w:bottom w:val="none" w:sz="0" w:space="0" w:color="auto"/>
        <w:right w:val="none" w:sz="0" w:space="0" w:color="auto"/>
      </w:divBdr>
    </w:div>
    <w:div w:id="1897009803">
      <w:bodyDiv w:val="1"/>
      <w:marLeft w:val="0"/>
      <w:marRight w:val="0"/>
      <w:marTop w:val="0"/>
      <w:marBottom w:val="0"/>
      <w:divBdr>
        <w:top w:val="none" w:sz="0" w:space="0" w:color="auto"/>
        <w:left w:val="none" w:sz="0" w:space="0" w:color="auto"/>
        <w:bottom w:val="none" w:sz="0" w:space="0" w:color="auto"/>
        <w:right w:val="none" w:sz="0" w:space="0" w:color="auto"/>
      </w:divBdr>
    </w:div>
    <w:div w:id="1906798917">
      <w:bodyDiv w:val="1"/>
      <w:marLeft w:val="0"/>
      <w:marRight w:val="0"/>
      <w:marTop w:val="0"/>
      <w:marBottom w:val="0"/>
      <w:divBdr>
        <w:top w:val="none" w:sz="0" w:space="0" w:color="auto"/>
        <w:left w:val="none" w:sz="0" w:space="0" w:color="auto"/>
        <w:bottom w:val="none" w:sz="0" w:space="0" w:color="auto"/>
        <w:right w:val="none" w:sz="0" w:space="0" w:color="auto"/>
      </w:divBdr>
    </w:div>
    <w:div w:id="1947957706">
      <w:bodyDiv w:val="1"/>
      <w:marLeft w:val="0"/>
      <w:marRight w:val="0"/>
      <w:marTop w:val="0"/>
      <w:marBottom w:val="0"/>
      <w:divBdr>
        <w:top w:val="none" w:sz="0" w:space="0" w:color="auto"/>
        <w:left w:val="none" w:sz="0" w:space="0" w:color="auto"/>
        <w:bottom w:val="none" w:sz="0" w:space="0" w:color="auto"/>
        <w:right w:val="none" w:sz="0" w:space="0" w:color="auto"/>
      </w:divBdr>
    </w:div>
    <w:div w:id="1984385263">
      <w:bodyDiv w:val="1"/>
      <w:marLeft w:val="0"/>
      <w:marRight w:val="0"/>
      <w:marTop w:val="0"/>
      <w:marBottom w:val="0"/>
      <w:divBdr>
        <w:top w:val="none" w:sz="0" w:space="0" w:color="auto"/>
        <w:left w:val="none" w:sz="0" w:space="0" w:color="auto"/>
        <w:bottom w:val="none" w:sz="0" w:space="0" w:color="auto"/>
        <w:right w:val="none" w:sz="0" w:space="0" w:color="auto"/>
      </w:divBdr>
    </w:div>
    <w:div w:id="2022777516">
      <w:bodyDiv w:val="1"/>
      <w:marLeft w:val="0"/>
      <w:marRight w:val="0"/>
      <w:marTop w:val="0"/>
      <w:marBottom w:val="0"/>
      <w:divBdr>
        <w:top w:val="none" w:sz="0" w:space="0" w:color="auto"/>
        <w:left w:val="none" w:sz="0" w:space="0" w:color="auto"/>
        <w:bottom w:val="none" w:sz="0" w:space="0" w:color="auto"/>
        <w:right w:val="none" w:sz="0" w:space="0" w:color="auto"/>
      </w:divBdr>
    </w:div>
    <w:div w:id="2053070584">
      <w:bodyDiv w:val="1"/>
      <w:marLeft w:val="0"/>
      <w:marRight w:val="0"/>
      <w:marTop w:val="0"/>
      <w:marBottom w:val="0"/>
      <w:divBdr>
        <w:top w:val="none" w:sz="0" w:space="0" w:color="auto"/>
        <w:left w:val="none" w:sz="0" w:space="0" w:color="auto"/>
        <w:bottom w:val="none" w:sz="0" w:space="0" w:color="auto"/>
        <w:right w:val="none" w:sz="0" w:space="0" w:color="auto"/>
      </w:divBdr>
    </w:div>
    <w:div w:id="2055300855">
      <w:bodyDiv w:val="1"/>
      <w:marLeft w:val="0"/>
      <w:marRight w:val="0"/>
      <w:marTop w:val="0"/>
      <w:marBottom w:val="0"/>
      <w:divBdr>
        <w:top w:val="none" w:sz="0" w:space="0" w:color="auto"/>
        <w:left w:val="none" w:sz="0" w:space="0" w:color="auto"/>
        <w:bottom w:val="none" w:sz="0" w:space="0" w:color="auto"/>
        <w:right w:val="none" w:sz="0" w:space="0" w:color="auto"/>
      </w:divBdr>
    </w:div>
    <w:div w:id="2058895435">
      <w:bodyDiv w:val="1"/>
      <w:marLeft w:val="0"/>
      <w:marRight w:val="0"/>
      <w:marTop w:val="0"/>
      <w:marBottom w:val="0"/>
      <w:divBdr>
        <w:top w:val="none" w:sz="0" w:space="0" w:color="auto"/>
        <w:left w:val="none" w:sz="0" w:space="0" w:color="auto"/>
        <w:bottom w:val="none" w:sz="0" w:space="0" w:color="auto"/>
        <w:right w:val="none" w:sz="0" w:space="0" w:color="auto"/>
      </w:divBdr>
    </w:div>
    <w:div w:id="2067870347">
      <w:bodyDiv w:val="1"/>
      <w:marLeft w:val="0"/>
      <w:marRight w:val="0"/>
      <w:marTop w:val="0"/>
      <w:marBottom w:val="0"/>
      <w:divBdr>
        <w:top w:val="none" w:sz="0" w:space="0" w:color="auto"/>
        <w:left w:val="none" w:sz="0" w:space="0" w:color="auto"/>
        <w:bottom w:val="none" w:sz="0" w:space="0" w:color="auto"/>
        <w:right w:val="none" w:sz="0" w:space="0" w:color="auto"/>
      </w:divBdr>
    </w:div>
    <w:div w:id="2083941672">
      <w:bodyDiv w:val="1"/>
      <w:marLeft w:val="0"/>
      <w:marRight w:val="0"/>
      <w:marTop w:val="0"/>
      <w:marBottom w:val="0"/>
      <w:divBdr>
        <w:top w:val="none" w:sz="0" w:space="0" w:color="auto"/>
        <w:left w:val="none" w:sz="0" w:space="0" w:color="auto"/>
        <w:bottom w:val="none" w:sz="0" w:space="0" w:color="auto"/>
        <w:right w:val="none" w:sz="0" w:space="0" w:color="auto"/>
      </w:divBdr>
    </w:div>
    <w:div w:id="2090030550">
      <w:bodyDiv w:val="1"/>
      <w:marLeft w:val="0"/>
      <w:marRight w:val="0"/>
      <w:marTop w:val="0"/>
      <w:marBottom w:val="0"/>
      <w:divBdr>
        <w:top w:val="none" w:sz="0" w:space="0" w:color="auto"/>
        <w:left w:val="none" w:sz="0" w:space="0" w:color="auto"/>
        <w:bottom w:val="none" w:sz="0" w:space="0" w:color="auto"/>
        <w:right w:val="none" w:sz="0" w:space="0" w:color="auto"/>
      </w:divBdr>
    </w:div>
    <w:div w:id="2111387306">
      <w:bodyDiv w:val="1"/>
      <w:marLeft w:val="0"/>
      <w:marRight w:val="0"/>
      <w:marTop w:val="0"/>
      <w:marBottom w:val="0"/>
      <w:divBdr>
        <w:top w:val="none" w:sz="0" w:space="0" w:color="auto"/>
        <w:left w:val="none" w:sz="0" w:space="0" w:color="auto"/>
        <w:bottom w:val="none" w:sz="0" w:space="0" w:color="auto"/>
        <w:right w:val="none" w:sz="0" w:space="0" w:color="auto"/>
      </w:divBdr>
    </w:div>
    <w:div w:id="213116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knowledge4policy/foresight_en" TargetMode="External"/><Relationship Id="rId13" Type="http://schemas.openxmlformats.org/officeDocument/2006/relationships/hyperlink" Target="https://ec.europa.eu/info/files/factual-summary-report-public-consultation-new-consumer-agenda_en" TargetMode="External"/><Relationship Id="rId18" Type="http://schemas.openxmlformats.org/officeDocument/2006/relationships/hyperlink" Target="http://eur-lex.europa.eu/legal-content/EN/TXT/?uri=uriserv:OJ.L_.2014.257.01.0073.01.ENG" TargetMode="External"/><Relationship Id="rId26" Type="http://schemas.openxmlformats.org/officeDocument/2006/relationships/hyperlink" Target="https://ec.europa.eu/social/main.jsp?catId=1482&amp;langId=lv" TargetMode="External"/><Relationship Id="rId3" Type="http://schemas.openxmlformats.org/officeDocument/2006/relationships/hyperlink" Target="https://ec.europa.eu/info/strategy/priorities-2019-2024/european-green-deal_en" TargetMode="External"/><Relationship Id="rId21" Type="http://schemas.openxmlformats.org/officeDocument/2006/relationships/hyperlink" Target="https://ec.europa.eu/info/live-work-travel-eu/consumers/enforcement-consumer-protection/sweeps_en" TargetMode="External"/><Relationship Id="rId7" Type="http://schemas.openxmlformats.org/officeDocument/2006/relationships/hyperlink" Target="https://ec.europa.eu/info/sites/info/files/waste_management_guidance_dg-env.pdf" TargetMode="External"/><Relationship Id="rId12" Type="http://schemas.openxmlformats.org/officeDocument/2006/relationships/hyperlink" Target="https://ec.europa.eu/growth/sectors/electrical-engineering/red-directive/common-charger_en" TargetMode="External"/><Relationship Id="rId17" Type="http://schemas.openxmlformats.org/officeDocument/2006/relationships/hyperlink" Target="https://eur-lex.europa.eu/legal-content/LV/TXT/?qid=1581501217257&amp;uri=CELEX:32001L0095" TargetMode="External"/><Relationship Id="rId25" Type="http://schemas.openxmlformats.org/officeDocument/2006/relationships/hyperlink" Target="https://www.europarl.europa.eu/news/lv/press-room/20200525IPR79717/eu-citizens-want-more-competences-for-the-eu-to-deal-with-crises-like-covid-19" TargetMode="External"/><Relationship Id="rId2" Type="http://schemas.openxmlformats.org/officeDocument/2006/relationships/hyperlink" Target="https://ec.europa.eu/eurostat/statistics-explained/index.php/Household_consumption_by_purpose" TargetMode="External"/><Relationship Id="rId16" Type="http://schemas.openxmlformats.org/officeDocument/2006/relationships/hyperlink" Target="https://ec.europa.eu/eurostat/statistics-explained/index.php/Digital_economy_and_society_statistics_-_households_and_individuals" TargetMode="External"/><Relationship Id="rId20" Type="http://schemas.openxmlformats.org/officeDocument/2006/relationships/hyperlink" Target="https://ec.europa.eu/info/publications/200924-digital-finance-proposals_en" TargetMode="External"/><Relationship Id="rId29" Type="http://schemas.openxmlformats.org/officeDocument/2006/relationships/hyperlink" Target="http://ec.europa.eu/consumers/consumer_evidence/market_studies/vulnerability/index_en.htm" TargetMode="External"/><Relationship Id="rId1" Type="http://schemas.openxmlformats.org/officeDocument/2006/relationships/hyperlink" Target="https://ec.europa.eu/info/law/law-topic/consumers/review-eu-consumer-law-new-deal-consumers_en" TargetMode="External"/><Relationship Id="rId6" Type="http://schemas.openxmlformats.org/officeDocument/2006/relationships/hyperlink" Target="https://ec.europa.eu/info/live-work-travel-eu/consumers/enforcement-consumer-protection/scams-related-covid-19_en" TargetMode="External"/><Relationship Id="rId11" Type="http://schemas.openxmlformats.org/officeDocument/2006/relationships/hyperlink" Target="https://eur-lex.europa.eu/legal-content/LV/TXT/?uri=CELEX:52020DC0067" TargetMode="External"/><Relationship Id="rId24" Type="http://schemas.openxmlformats.org/officeDocument/2006/relationships/hyperlink" Target="https://www.bi.team/publications/the-behavioural-science-of-online-harm-and-manipulation-and-what-to-do-about-it/" TargetMode="External"/><Relationship Id="rId5" Type="http://schemas.openxmlformats.org/officeDocument/2006/relationships/hyperlink" Target="https://ec.europa.eu/info/law/better-regulation/have-your-say/initiatives/12464-A-New-Consumer-Agenda" TargetMode="External"/><Relationship Id="rId15" Type="http://schemas.openxmlformats.org/officeDocument/2006/relationships/hyperlink" Target="https://eur-lex.europa.eu/legal-content/LV/AUTO/?uri=celex:32013H0179" TargetMode="External"/><Relationship Id="rId23" Type="http://schemas.openxmlformats.org/officeDocument/2006/relationships/hyperlink" Target="https://ec.europa.eu/info/sites/info/files/business_economy_euro/banking_and_finance/documents/200714-best-practices-mitigate-impact-pandemic_en.pdf" TargetMode="External"/><Relationship Id="rId28" Type="http://schemas.openxmlformats.org/officeDocument/2006/relationships/hyperlink" Target="https://www.vzbv.de/pressemitteilung/verbraucher-staerken-im-quartier" TargetMode="External"/><Relationship Id="rId10" Type="http://schemas.openxmlformats.org/officeDocument/2006/relationships/hyperlink" Target="https://ec.europa.eu/info/law/better-regulation/have-your-say/initiatives/12567-Sustainable-Products-Initiative" TargetMode="External"/><Relationship Id="rId19" Type="http://schemas.openxmlformats.org/officeDocument/2006/relationships/hyperlink" Target="http://eur-lex.europa.eu/legal-content/LV/TXT/?uri=uriserv:OJ.L_.2014.257.01.0073.01.ENG" TargetMode="External"/><Relationship Id="rId4" Type="http://schemas.openxmlformats.org/officeDocument/2006/relationships/hyperlink" Target="https://ec.europa.eu/info/publications/communication-shaping-europes-digital-future_en" TargetMode="External"/><Relationship Id="rId9" Type="http://schemas.openxmlformats.org/officeDocument/2006/relationships/hyperlink" Target="https://ec.europa.eu/info/live-work-travel-eu/consumers/sustainable-consumption_en" TargetMode="External"/><Relationship Id="rId14" Type="http://schemas.openxmlformats.org/officeDocument/2006/relationships/hyperlink" Target="https://eur-lex.europa.eu/legal-content/LV/TXT/?uri=celex:32020R0852" TargetMode="External"/><Relationship Id="rId22" Type="http://schemas.openxmlformats.org/officeDocument/2006/relationships/hyperlink" Target="https://ec.europa.eu/isa2/eif_en" TargetMode="External"/><Relationship Id="rId27" Type="http://schemas.openxmlformats.org/officeDocument/2006/relationships/hyperlink" Target="https://eur-lex.europa.eu/legal-content/LV/TXT/?uri=CELEX:32019L0882" TargetMode="External"/><Relationship Id="rId30" Type="http://schemas.openxmlformats.org/officeDocument/2006/relationships/hyperlink" Target="https://ec.europa.eu/eurostat/statistics-explained/index.php/E%20commerce_statistics_for_individu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DF8243EC-BFF2-4588-B0EB-C10F86D37F2A">EN</EC_Collab_DocumentLanguage>
    <_Status xmlns="http://schemas.microsoft.com/sharepoint/v3/fields">Not Started</_Status>
    <EC_Collab_Reference xmlns="DF8243EC-BFF2-4588-B0EB-C10F86D37F2A" xsi:nil="true"/>
    <EC_Collab_Status xmlns="DF8243EC-BFF2-4588-B0EB-C10F86D37F2A">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E5E4C227C497E14E96B6482B2A9EBCB3" ma:contentTypeVersion="0" ma:contentTypeDescription="Create a new document in this library." ma:contentTypeScope="" ma:versionID="d09ee8987e78b76d352195be92b7c49a">
  <xsd:schema xmlns:xsd="http://www.w3.org/2001/XMLSchema" xmlns:xs="http://www.w3.org/2001/XMLSchema" xmlns:p="http://schemas.microsoft.com/office/2006/metadata/properties" xmlns:ns2="http://schemas.microsoft.com/sharepoint/v3/fields" xmlns:ns3="DF8243EC-BFF2-4588-B0EB-C10F86D37F2A" targetNamespace="http://schemas.microsoft.com/office/2006/metadata/properties" ma:root="true" ma:fieldsID="970dc4a14b355271bc338e92ce757500" ns2:_="" ns3:_="">
    <xsd:import namespace="http://schemas.microsoft.com/sharepoint/v3/fields"/>
    <xsd:import namespace="DF8243EC-BFF2-4588-B0EB-C10F86D37F2A"/>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F8243EC-BFF2-4588-B0EB-C10F86D37F2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7DF25-D2F1-462F-89FB-B5D55B63EBE8}">
  <ds:schemaRefs>
    <ds:schemaRef ds:uri="http://schemas.microsoft.com/sharepoint/v3/contenttype/forms"/>
  </ds:schemaRefs>
</ds:datastoreItem>
</file>

<file path=customXml/itemProps2.xml><?xml version="1.0" encoding="utf-8"?>
<ds:datastoreItem xmlns:ds="http://schemas.openxmlformats.org/officeDocument/2006/customXml" ds:itemID="{5C6248C4-8BEA-4C13-971C-0EABED61F149}">
  <ds:schemaRefs>
    <ds:schemaRef ds:uri="http://schemas.microsoft.com/office/2006/metadata/properties"/>
    <ds:schemaRef ds:uri="http://schemas.microsoft.com/office/infopath/2007/PartnerControls"/>
    <ds:schemaRef ds:uri="DF8243EC-BFF2-4588-B0EB-C10F86D37F2A"/>
    <ds:schemaRef ds:uri="http://schemas.microsoft.com/sharepoint/v3/fields"/>
  </ds:schemaRefs>
</ds:datastoreItem>
</file>

<file path=customXml/itemProps3.xml><?xml version="1.0" encoding="utf-8"?>
<ds:datastoreItem xmlns:ds="http://schemas.openxmlformats.org/officeDocument/2006/customXml" ds:itemID="{A5153E7D-B7BC-4867-8589-9F4BD2C10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DF8243EC-BFF2-4588-B0EB-C10F86D37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0A4541-F5D6-400F-A671-A4A0ABBDD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22</Pages>
  <Words>6928</Words>
  <Characters>48707</Characters>
  <Application>Microsoft Office Word</Application>
  <DocSecurity>0</DocSecurity>
  <Lines>716</Lines>
  <Paragraphs>151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skeleton agenda consumer</cp:keywords>
  <dc:description/>
  <cp:lastModifiedBy>DIGIT/C6</cp:lastModifiedBy>
  <cp:revision>23</cp:revision>
  <cp:lastPrinted>2020-11-06T10:54:00Z</cp:lastPrinted>
  <dcterms:created xsi:type="dcterms:W3CDTF">2020-11-09T17:15:00Z</dcterms:created>
  <dcterms:modified xsi:type="dcterms:W3CDTF">2020-11-13T11:30:00Z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CP-012</vt:lpwstr>
  </property>
  <property fmtid="{D5CDD505-2E9C-101B-9397-08002B2CF9AE}" pid="7" name="Created using">
    <vt:lpwstr>LW 7.0, Build 20190717</vt:lpwstr>
  </property>
  <property fmtid="{D5CDD505-2E9C-101B-9397-08002B2CF9AE}" pid="8" name="Last edited using">
    <vt:lpwstr>LW 7.0, Build 20190717</vt:lpwstr>
  </property>
  <property fmtid="{D5CDD505-2E9C-101B-9397-08002B2CF9AE}" pid="9" name="_LW_INVALIDATED__LW_INVALIDATED__LW_INVALIDATED__LW_INVALIDATED__LW_INVALIDATED__LW_INVALIDATED__LW_INVALIDATED__LW_INVALIDATED__LW_INVALIDATED__LW_INVALIDATED__LW_INVALIDATED_ContentTypeId">
    <vt:lpwstr>0x010100258AA79CEB83498886A3A0868112325000E5E4C227C497E14E96B6482B2A9EBCB3</vt:lpwstr>
  </property>
  <property fmtid="{D5CDD505-2E9C-101B-9397-08002B2CF9AE}" pid="10" name="_LW_INVALIDATED__LW_INVALIDATED__LW_INVALIDATED__LW_INVALIDATED__LW_INVALIDATED__LW_INVALIDATED__LW_INVALIDATED__LW_INVALIDATED__LW_INVALIDATED__LW_INVALIDATED_ContentTypeId">
    <vt:lpwstr>0x010100258AA79CEB83498886A3A0868112325000E5E4C227C497E14E96B6482B2A9EBCB3</vt:lpwstr>
  </property>
  <property fmtid="{D5CDD505-2E9C-101B-9397-08002B2CF9AE}" pid="11" name="_LW_INVALIDATED__LW_INVALIDATED__LW_INVALIDATED__LW_INVALIDATED__LW_INVALIDATED__LW_INVALIDATED__LW_INVALIDATED_ContentTypeId">
    <vt:lpwstr>0x010100258AA79CEB83498886A3A0868112325000E5E4C227C497E14E96B6482B2A9EBCB3</vt:lpwstr>
  </property>
</Properties>
</file>