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B9FC9FDA-7219-46E0-8393-F9A79AE357E3" style="width:455.75pt;height:440.85pt">
            <v:imagedata r:id="rId11" o:title=""/>
          </v:shape>
        </w:pict>
      </w:r>
    </w:p>
    <w:bookmarkEnd w:id="0"/>
    <w:p>
      <w:pPr>
        <w:rPr>
          <w:noProof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after="24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Skeda tas-Sommarju Eżekuttiv</w:t>
            </w:r>
          </w:p>
        </w:tc>
      </w:tr>
      <w:t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Valutazzjoni tal-impatt li takkumpanja l-proposta għal Direttiva tal-Parlament Ewropew u tal-Kunsill li temenda d-Direttiva 2003/87/KE u d-Deċiżjoni (UE) 2015/1814 biex l-Iskema tal-UE għan-Negozjar ta’ Kwoti ta’ Emissjonijiet tissaħħaħ u tiġi estiża f’konformità mal-ambizzjoni klimatika miżjuda tal-Unjoni għall-2030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after="24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A. Ħtieġa li tittieħed azzjoni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0E0E0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X’inhi l-problema u għaliex hi problema fil-livell tal-UE?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Hemm tliet tipi ta’ problemi. L-ewwel nett, dawk li huma assoċjati mal-ħtieġa li l-Iskema eżistenti tal-UE għan-Negozjar ta’ Kwoti ta’ Emissjonijiet tissaħħaħ (ETS) b’mod proporzjonat mal-mira għat-tnaqqis fl-emissjonijiet netti ta’ gassijiet serra ta’ mill-inqas 55 % sal-2030, meta mqabbel mal-1990, filwaqt li jiġu evitati żbilanċi fil-provvista u d-domanda. It-tieni, ċertu setturi jikkontribwixxu b’mod insuffiċjenti għall-kisba tal-mira miżjuda. Fl-aħħar, kemm it-tisħiħ meħtieġ tal-ETS eżistenti kif ukoll l-espansjoni possibbli tan-negozjar ta’ kwoti ta’ emissjonijiet għal setturi addizzjonali se jeħtieġu żieda fl-investimenti u kapaċità akbar biex tiġi indirizzata d-distribuzzjoni tal-impatti tal-miżuri għat-tnaqqis tal-emissjonijiet, filwaqt li l-fondi jibqgħu limitati.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X’għandu jinkiseb?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L-objettiv huwa li l-ETS tiġi riveduta b’mod kosteffettiv u koerenti f’konformità mal-mira klimatika miżjuda, filwaqt li titqies il-ħtieġa għal tranżizzjoni ġusta u l-ħtieġa li s-setturi kollha jikkontribwixxu għall-isforzi klimatiċi tal-UE.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X’inhu l-valur miżjud ta’ azzjoni fil-livell tal-UE (sussidjarjetà)?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It-tibdil fil-klima huwa problema transkonfinali. Bħala suq tal-karbonju, l-ETS l-ewwel tinċentiva t-tnaqqis tal-emissjonijiet fost l-attivitajiet u l-pajjiżi li tkopri permezz tas-soluzzjonijiet l-aktar kosteffiċjenti, filwaqt li tikseb effiċjenza akbar bis-saħħa tal-iskala tagħha. L-implimentazzjoni ta’ miżura simili f’livell nazzjonali tirriżulta fi swieq tal-karbonju iżgħar u frammentati, u toħloq riskju ta’ distorsjonijiet tal-kompetizzjoni u x’aktarx twassal għal kostijiet kumplessivi ogħla ta’ tnaqqis. L-istess loġika tapplika għall-estensjoni tal-ipprezzar tal-karbonju għal setturi ġodda.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after="24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B. Soluzzjonijiet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X’inhuma l-għażliet differenti biex jinkisbu l-objettivi?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Hemm għażla ppreferuta? Jekk le, għaliex?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Element ewlieni huwa t-tisħiħ tal-ETS eżistenti biex l-ambizzjoni tagħha tiżdied f’konformità mal-mira netta ta’ tnaqqis ta’ mill-inqas 55 % sal-2030. L-għażliet ivarjaw meta l-fattur lineari ta’ tnaqqis jiġi ristrett u jekk ir-restrizzjoni tibda mit-trajettorja attwali tal-limitu massimu jew minn bażi ġdida. Kwalunkwe waħda mill-għażliet tkun effettiva u effiċjenti biex jintlaħaq l-objettiv tal-2030. Għalhekk, l-għażla bejn l-għażliet differenti għat-tisħiħ tal-ETS u l-pakketti relatati b’għażliet oħra, eż. dwar ir-Riżerva tal-istabbiltà tas-suq, tibqa’ waħda politika. Hemm bżonn ta’ protezzjoni aktar immirata kontra r-riskju ta’ rilokazzjoni tal-emissjonijiet tal-karbonju filwaqt li tiġi inċentivata l-innovazzjoni, li tista’ tieħu l-forma ta’ parametri referenzjarji msaħħa għall-allokazzjoni bla ħlas tal-kwoti. Hemm erba’ għażliet ewlenin biex il-qafas tal-politika dwar il-klima jiġi estiż għat-trasport marittimu: l-integrazzjoni fl-ETS eżistenti, li tista’ tiġi kkombinata wkoll ma’ standard ta’ intensità tal-karbonju, ETS separata u imposta fuq l-emissjonijiet. L-għażla ppreferuta hija l-integrazzjoni fl-ETS attwali, li, skont l-għażliet politiċi, tista’ tkopri l-emissjonijiet minn vjaġġi fiż-ŻEE jew tista’ testendi aktar, biex tinkludi nofs l-emissjonijiet minn vjaġġi barra miż-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ŻEE. Għall-estensjoni possibbli għal setturi oħra, it-twaqqif ta’ ETS separata għall-bini u t-trasport jew għall-emissjonijiet kollha mill-kombustjoni tal-fjuwils fossili huma ż-żewġ għażliet ewlenin li nżammu, li jikkomplementaw politiki oħra msaħħa tal-pakkett “Lesti għall-mira ta’ 55 %” , li huma mmirati lejn l-appoġġ tat-teknoloġija, l-ostakli mhux relatati mal-prezzijiet u l-inċentivi kontinwi għal azzjoni nazzjonali li tirrifletti ċ-ċirkostanzi nazzjonali. Il-benefiċċju ewlieni ta’ kamp ta’ applikazzjoni li jkopri biss il-bini u t-trasport bit-triq meta mqabbel ma’ estensjoni għall-kombustjoni tal-fjuwils fossili kollha huwa l-effiċjenza ekonomika, b’mod partikolari peress li jevita l-ħolqien ta’ sistema ġdida ta’ protezzjoni kontra r-riskju ta’ rilokazzjoni tal-emissjonijiet tal-karbonju. Hemm bżonn li jiġu appoġġati teknoloġiji b’livell baxx ta’ emissjonijiet tal-karbonju billi jiżdied il-Fond għall-Innovazzjoni. Madankollu, l-ammont magħżul fl-aħħar mill-aħħar huwa għażla politika li hija marbuta mad-deċiżjonijiet dwar l-ambizzjoni eżistenti tal-ETS u mad-deċiżjoni dwar l-estensjoni tan-negozjar ta’ kwoti ta’ emissjonijiet għal setturi ġodda. Id-dispożizzjonijiet ta’ solidarjetà biex jiġu indirizzati l-isfidi distributtivi bejn l-Istati Membri jistgħu jiġu żviluppati aktar, mingħajr preġudizzju għal kontribuzzjoni tal-ETS għal riżorsi proprji ġodda tal-UE. </w:t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L-indikazzjonijiet kollha tal-miżuri preferuti għandhom jitqiesu bħala indikattivi, mingħajr preġudizzju għall-aġġustamenti biex jiġu ppreservati l-effettività, l-effiċjenza u l-koerenza ġenerali tal-pakkett “Lesti għall-mira ta’ 55 %”.</w:t>
            </w:r>
          </w:p>
        </w:tc>
      </w:tr>
      <w:tr>
        <w:tc>
          <w:tcPr>
            <w:tcW w:w="10490" w:type="dxa"/>
            <w:shd w:val="clear" w:color="auto" w:fill="CCCCCC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 xml:space="preserve">X’inhi l-opinjoni tal-partijiet ikkonċernati differenti? Liema għażla u min jappoġġaha? </w:t>
            </w:r>
          </w:p>
        </w:tc>
      </w:tr>
      <w:tr>
        <w:tc>
          <w:tcPr>
            <w:tcW w:w="10490" w:type="dxa"/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Il-partijiet ikkonċernati li wieġbu għall-konsultazzjoni pubblika jappoġġaw it-tisħiħ tal-ETS eżistenti sabiex tiżdied l-ambizzjoni tagħha f’konformità mal-mira l-ġdida għall-2030. Maġġoranza kbira ta’ dawk li wieġbu jaqblu mar-Riżerva tal-Istabbiltà tas-Suq bħala strument u huma favur l-emendar tal-qafas tar-rilokazzjoni tal-emissjonijiet tal-karbonju, iżda ppreżentaw fehmiet imħallta dwar l-għażliet differenti ta’ politika. Fir-rigward ta’ estensjoni possibbli għal setturi oħra, hemm xi appoġġ biex it-trasport marittimu jiġi inkluż fl-ETS attwali, filwaqt li dawk li wieġbu, u b’mod partikolari l-atturi tas-settur privat, jippreferu l-istabbiliment ta’ ETS separata, ikkomplementata minn politiki oħra, jew għall-bini u t-trasport jew għall-emissjonijiet kollha mill-kombustjoni tal-fjuwils fossili. B’mod ġenerali, l-atturi tas-settur privat, it-trejdjunjins u l-NGOs huma pjuttost xettiċi dwar integrazzjoni fl-ETS eżistenti. L-organizzazzjonijiet umbrella tal-impjegaturi u tal-impjegati tal-UE wkoll urew xettiċiżmu rigward l-estensjoni tan-negozjar tal-emissjonijiet, filwaqt li ċ-ċittadini u l-akkademiċi jiffavorixxuha. Maġġoranza kbira ta’ dawk li wieġbu esprimew appoġġ għal żieda fil-Fond għall-Innovazzjoni.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after="24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C. Impatti tal-għażla ppreferuta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X’inhuma l-benefiċċji tal-għażla ppreferuta (jekk hemm, inkella x’inhuma dawk ewlenin)?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L-għażliet kollha jiżguraw li jinkiseb it-tnaqqis addizzjonali meħtieġ tal-emissjonijiet biex jinkiseb -55 % sal-2030 meta mqabbel mal-1990 b’mod kosteffiċjenti u b’aktar ċertezza minn strumenti oħra. Id-dħul annwali jista’ jintuża biex jiżdiedu l-Fondi għall-Innovazzjoni u l-Modernizzazzjoni, biex jitrawmu investimenti b’livell baxx ta’ karbonju inkluż fl-industrija, biex jiġu indirizzati l-impatt distributtiv bejn l-Istati Membri u l-impatti soċjali fuq l-unitajiet domestiċi, u biex jikkontribwixxi għar-riżorsi proprji tal-UE. L-ETS imsaħħa u estiża tikkontribwixxi biex jiġu evitati danni għas-saħħa ta’ bejn EUR 17.6 u 35.2 EUR biljun fl-2030 permezz ta’ tnaqqis fit-tniġġis tal-arja, u għal sigurtà mtejba tal-enerġija. Il-Valutazzjoni tal-Impatt għall-Komunikazzjoni dwar it-Tisħiħ tal-Ambizzjoni Klimatika tal-Ewropa għall-2030 (Valutazzjoni tal-Impatt tal-2030)</w:t>
            </w:r>
            <w:r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ikkwantifikat il-benefiċċji għat-tkabbir u l-impjiegi.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X’inhuma l-kostijiet tal-għażla ppreferuta (jekk hemm, inkella x’inhuma dawk ewlenin)?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Il-prezzijiet tal-karbonju previsti għall-2030 ivarjaw minn bejn EUR 50, jekk wieħed jassumi politiki komplementari b’saħħithom tal-Patt Ekoloġiku kif ukoll l-antiċipazzjoni sħiħa tar-rekwiżiti futuri tad-dekarbonizzazzjoni, u EUR 85 jekk jiġu implimentati politiki komplementari inqas b’saħħithom. Dawn iżidu l-prezzijiet medji tal-fjuwil għall-industrija, it-trasport u l-unitajiet domestiċi, b’żidiet relattivi aktar b’saħħithom għall-bini milli għat-trasport u l-industrija. Jekk jitwettqu investimenti kosteffiċjenti biex jinkiseb tnaqqis ta’ 55 %, is-sehem tal-ispejjeż tal-fjuwil għall-bini fin-nefqa tal-unitajiet domestiċi ma jiżdiedx u jista’ saħansitra jonqos b’aktar minn 0.1 punti perċentwali għal unitajiet domestiċi bi dħul baxx. Madankollu ż-żidiet fil-kostijiet kapitali annwali kosteffikaċi jistgħu jkunu d-doppju f’unitajiet domestiċi bi dħul aktar baxx, b’żieda li tasal sa 1.4 punti perċentwali tal-infiq tal-konsum. Għal unitajiet domestiċi vulnerabbli dan iqajjem kwistjoni ta’ affordabbiltà. L-analiżi fil-Valutazzjoni tal-Impatt tal-Pjan tal-Mira Klimatika għall-2030 uriet li dan jista’ jiġi kkumpensat permezz ta’ miżuri distributtivi. L-analiżi kkwantifikat ukoll l-impatti negattivi tal-attività settorjali u tal-impjiegi, b’mod partikolari fl-estrazzjoni tal-fjuwils fossili u, sa ċertu punt, f’xi industriji intensivi fl-użu tal-karburanti fossili.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X’inhuma l-impatti fuq l-SMEs u fuq il-kompetittività?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L-impatti fuq il-kompetittività għall-industrija jittaffew permezz ta’ allokazzjoni bla ħlas tal-kwoti aktar immirata. Għall-biċċa l-kbira tal-għażliet, il-ħtieġa għall-applikazzjoni tal-Fattur ta’ Korrezzjoni Transsettorjali li jnaqqas l-allokazzjoni bla ħlas tal-kwoti għall-benefiċjarji kollha hija limitata. Emittenti żgħar, li jibqgħu jaqgħu fil-kamp ta’ applikazzjoni tal-ETS (għalkemm mhux neċessarjament SMEs) xorta jistgħu jiġu eżentati mill-ETS eżistenti jekk jittieħdu miżuri ekwivalenti mill-Istat Membru rispettiv. L-estensjoni prevista għas-settur marittimu tibni fuq il-mekkaniżmi eżistenti ta’ monitoraġġ, rappurtar u verifika li jeżentaw bastimenti żgħar. L-ETS il-ġdida għal setturi oħra tapplika upstream, filwaqt li tibni fuq dispożizzjonijiet eżistenti li jirregolaw l-imħażen tat-taxxa jew il-fornituri tal-fjuwil. Il-kostijiet amministrattivi addizzjonali jkunu moderati għall-gass u ż-żejt. Għall-faħam, li jintuża biss fi ftit Stati Membri għat-tisħin, il-kostijiet amministrattivi jkunu ogħla, peress li ħafna drabi jkun inqas regolat u jkun hemm ħafna fornituri żgħar.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Se jkun hemm impatti sinifikanti fuq il-baġits u l-amministrazzjonijiet nazzjonali?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0490" w:type="dxa"/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Skont l-ETS eżistenti, il-biċċa l-kbira tad-dħul mill-irkantar jakkumula għall-Istati Membri. Ikun hemm impatti pożittivi potenzjalment sinifikanti fuq il-baġits nazzjonali f’każ li tinħoloq ETS ġdida għat-trasport bit-triq u l-bini. L-impatt dirett fuq il-baġits nazzjonali jiddependi wkoll fuq sa liema punt id-dħul addizzjonali se jiġi dirett lejn ir-riżorsi proprji tal-UE. Għall-ETS eżistenti, ma hemm l-ebda impatt amministrattiv addizzjonali fuq l-amministrazzjonijiet nazzjonali. L-impatti tal-estensjonijiet/tal-ETS il-ġdida jistgħu jiġu limitati billi jintużaw l-istess infrastrutturi amministrattivi.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Se jkun hemm impatti sinifikanti oħra?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Skont l-ambitu ġeografiku tagħha, estensjoni tal-politiki tal-UE dwar il-klima għat-trasport marittimu jista’ jkollha impatt fuq pajjiżi terzi u fuq il-flussi tal-kummerċ u tal-investiment.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D9D9D9"/>
          </w:tcPr>
          <w:p>
            <w:pPr>
              <w:spacing w:after="24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Proporzjonalità?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L-għażliet ta’ politika ewlenin kollha huma proporzjonali għal dak li huwa meħtieġ biex jintlaħaq l-objettiv għat-tnaqqis ta’ mill-inqas 55 % fl-emissjonijiet. Dan jagħmluh bl-aktar mod kosteffiċjenti possibbli.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C0C0C0"/>
          </w:tcPr>
          <w:p>
            <w:pPr>
              <w:spacing w:after="24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D. Segwitu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Meta se tiġi rieżaminata l-politika? </w:t>
            </w:r>
          </w:p>
        </w:tc>
      </w:tr>
      <w:t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Kif inhu l-każ bħalissa, huwa previst rieżami regolari fil-leġiżlazzjoni. Ir-rieżami huwa allinjat mar-rieżami ta’ leġiżlazzjoni oħra bħal fil-proposta għar-Regolament dwar il-Kondiviżjoni tal-Isforzi u l-istandards tas-CO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għall-karozzi u l-vannijiet. </w:t>
            </w:r>
          </w:p>
        </w:tc>
      </w:tr>
    </w:tbl>
    <w:p>
      <w:pPr>
        <w:rPr>
          <w:noProof/>
        </w:rPr>
      </w:pPr>
    </w:p>
    <w:sectPr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00745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SWD(2020)176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Li jakkumpanja d-dokument"/>
    <w:docVar w:name="LW_CORRIGENDUM" w:val="&lt;UNUSED&gt;"/>
    <w:docVar w:name="LW_COVERPAGE_EXISTS" w:val="True"/>
    <w:docVar w:name="LW_COVERPAGE_GUID" w:val="B9FC9FDA-7219-46E0-8393-F9A79AE357E3"/>
    <w:docVar w:name="LW_COVERPAGE_TYPE" w:val="1"/>
    <w:docVar w:name="LW_CROSSREFERENCE" w:val="{COM(2021) 551 final} - {SEC(2021) 551 final} - {SWD(2021) 557 final} - {SWD(2021) 601 final}"/>
    <w:docVar w:name="LW_DocType" w:val="NORMAL"/>
    <w:docVar w:name="LW_EMISSION" w:val="14.7.2021"/>
    <w:docVar w:name="LW_EMISSION_ISODATE" w:val="2021-07-14"/>
    <w:docVar w:name="LW_EMISSION_LOCATION" w:val="BRX"/>
    <w:docVar w:name="LW_EMISSION_PREFIX" w:val="Brussell, "/>
    <w:docVar w:name="LW_EMISSION_SUFFIX" w:val=" "/>
    <w:docVar w:name="LW_ID_DOCTYPE_NONLW" w:val="CP-027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OBJETACTEPRINCIPAL.CP" w:val="li temenda d-Direttiva 2003/87/KE li tistabbilixxi sistema g\u295?all-iskambju ta\u8217? kwoti ta\u8217? emissjonijiet ta\u8217? gassijiet serra \u289?ewwa l-Unjoni, id-De\u267?i\u380?joni (UE) 2015/1814 dwar l-istabbiliment u l-funzjonament ta\u8217? ri\u380?erva tal-istabbiltà tas-suq g\u295?all-iskema ta\u8217? negozjar tal-emissjonijiet tal-gassijiet serra tal-Unjoni u r-Regolament (UE) 2015/757"/>
    <w:docVar w:name="LW_PART_NBR" w:val="1"/>
    <w:docVar w:name="LW_PART_NBR_TOTAL" w:val="1"/>
    <w:docVar w:name="LW_REF.INST.NEW" w:val="SWD"/>
    <w:docVar w:name="LW_REF.INST.NEW_ADOPTED" w:val="final"/>
    <w:docVar w:name="LW_REF.INST.NEW_TEXT" w:val="(2021) 60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DOKUMENT TA\u8217? \u294?IDMA TAL-PERSUNAL TAL-KUMMISSJONI_x000b__x000b_SOMMARJU E\u379?EKUTTIV TAR-RAPPORT TAL-VALUTAZZJONI TAL-IMPATT _x000b_"/>
    <w:docVar w:name="LW_TYPEACTEPRINCIPAL.CP" w:val="DIRETTIVA TAL-PARLAMENT EWROPEW U TAL-KUNSILL"/>
    <w:docVar w:name="LwApiVersions" w:val="LW4CoDe 1.23.0.0; LW 8.0, Build 20210114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EA3FB06A7F14ABF9D730848A71E56" ma:contentTypeVersion="0" ma:contentTypeDescription="Create a new document." ma:contentTypeScope="" ma:versionID="caad48ab9697bf3a50f131c8a9434c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ca493951ab816a72697e5453fb2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F273-C26D-4013-9194-2FC05270B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496E36-0A78-4483-AF98-43FAC0553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DB01E-634B-456A-A1B7-2FFE3925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B46BC-2E03-45EC-B269-7550FB41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1381</Words>
  <Characters>10319</Characters>
  <Application>Microsoft Office Word</Application>
  <DocSecurity>0</DocSecurity>
  <Lines>128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WES PDFC Administrator</cp:lastModifiedBy>
  <cp:revision>41</cp:revision>
  <dcterms:created xsi:type="dcterms:W3CDTF">2021-06-29T15:01:00Z</dcterms:created>
  <dcterms:modified xsi:type="dcterms:W3CDTF">2021-09-10T13:06:00Z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Last edited using">
    <vt:lpwstr>LW 7.0.1, Build 20200226</vt:lpwstr>
  </property>
  <property fmtid="{D5CDD505-2E9C-101B-9397-08002B2CF9AE}" pid="8" name="Created using">
    <vt:lpwstr>LW 7.0.1, Build 20190916</vt:lpwstr>
  </property>
  <property fmtid="{D5CDD505-2E9C-101B-9397-08002B2CF9AE}" pid="9" name="TitusGUID">
    <vt:lpwstr>eeccdff7-14dd-4ed8-b548-1b2b59fe183f</vt:lpwstr>
  </property>
  <property fmtid="{D5CDD505-2E9C-101B-9397-08002B2CF9AE}" pid="10" name="IsMyDocuments">
    <vt:bool>true</vt:bool>
  </property>
  <property fmtid="{D5CDD505-2E9C-101B-9397-08002B2CF9AE}" pid="11" name="_LW_INVALIDATED__LW_INVALIDATED__LW_INVALIDATED__LW_INVALIDATED__LW_INVALIDATED__LW_INVALIDATED_ContentTypeId">
    <vt:lpwstr>0x010100120EA3FB06A7F14ABF9D730848A71E56</vt:lpwstr>
  </property>
</Properties>
</file>