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3F" w:rsidRDefault="00097E97" w:rsidP="00097E9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1AD3294-3460-4BD9-88ED-9D6E8A9A197B" style="width:455.25pt;height:384.75pt">
            <v:imagedata r:id="rId9" o:title=""/>
          </v:shape>
        </w:pict>
      </w:r>
    </w:p>
    <w:bookmarkEnd w:id="0"/>
    <w:p w:rsidR="0026613F" w:rsidRDefault="0026613F" w:rsidP="0026613F">
      <w:pPr>
        <w:rPr>
          <w:noProof/>
        </w:rPr>
        <w:sectPr w:rsidR="0026613F" w:rsidSect="00097E9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A7C2C" w:rsidRPr="0000636F" w:rsidTr="00F734C1">
        <w:trPr>
          <w:trHeight w:hRule="exact" w:val="397"/>
        </w:trPr>
        <w:tc>
          <w:tcPr>
            <w:tcW w:w="10490" w:type="dxa"/>
            <w:tcBorders>
              <w:bottom w:val="single" w:sz="4" w:space="0" w:color="auto"/>
            </w:tcBorders>
            <w:shd w:val="clear" w:color="auto" w:fill="CCCCCC"/>
          </w:tcPr>
          <w:p w:rsidR="009A7C2C" w:rsidRPr="0000636F" w:rsidRDefault="009A7C2C" w:rsidP="00F734C1">
            <w:pPr>
              <w:rPr>
                <w:b/>
                <w:noProof/>
              </w:rPr>
            </w:pPr>
            <w:bookmarkStart w:id="1" w:name="_GoBack"/>
            <w:bookmarkEnd w:id="1"/>
            <w:r w:rsidRPr="0000636F">
              <w:rPr>
                <w:b/>
                <w:noProof/>
              </w:rPr>
              <w:lastRenderedPageBreak/>
              <w:t xml:space="preserve">Executive Summary Sheet </w:t>
            </w:r>
          </w:p>
        </w:tc>
      </w:tr>
      <w:tr w:rsidR="009A7C2C" w:rsidRPr="0000636F" w:rsidTr="00F734C1">
        <w:trPr>
          <w:trHeight w:hRule="exact" w:val="397"/>
        </w:trPr>
        <w:tc>
          <w:tcPr>
            <w:tcW w:w="10490" w:type="dxa"/>
            <w:tcBorders>
              <w:top w:val="single" w:sz="4" w:space="0" w:color="auto"/>
              <w:left w:val="single" w:sz="4" w:space="0" w:color="auto"/>
              <w:bottom w:val="single" w:sz="4" w:space="0" w:color="auto"/>
              <w:right w:val="single" w:sz="4" w:space="0" w:color="auto"/>
            </w:tcBorders>
            <w:shd w:val="clear" w:color="auto" w:fill="4F81BD"/>
          </w:tcPr>
          <w:p w:rsidR="009A7C2C" w:rsidRPr="0000636F" w:rsidRDefault="009A7C2C" w:rsidP="00F734C1">
            <w:pPr>
              <w:rPr>
                <w:noProof/>
              </w:rPr>
            </w:pPr>
            <w:r w:rsidRPr="0000636F">
              <w:rPr>
                <w:noProof/>
              </w:rPr>
              <w:t xml:space="preserve">Impact assessment on </w:t>
            </w:r>
            <w:r>
              <w:rPr>
                <w:noProof/>
              </w:rPr>
              <w:t>a proposal for the revision of the</w:t>
            </w:r>
            <w:r w:rsidRPr="00F966DC">
              <w:rPr>
                <w:noProof/>
              </w:rPr>
              <w:t xml:space="preserve"> Energy Performance of Buildings Directive (2010/31/EU)</w:t>
            </w:r>
          </w:p>
        </w:tc>
      </w:tr>
      <w:tr w:rsidR="009A7C2C" w:rsidRPr="0000636F" w:rsidTr="00F734C1">
        <w:trPr>
          <w:trHeight w:hRule="exact" w:val="397"/>
        </w:trPr>
        <w:tc>
          <w:tcPr>
            <w:tcW w:w="10490" w:type="dxa"/>
            <w:tcBorders>
              <w:bottom w:val="single" w:sz="4" w:space="0" w:color="auto"/>
            </w:tcBorders>
            <w:shd w:val="clear" w:color="auto" w:fill="CCCCCC"/>
          </w:tcPr>
          <w:p w:rsidR="009A7C2C" w:rsidRPr="0000636F" w:rsidRDefault="009A7C2C" w:rsidP="00F734C1">
            <w:pPr>
              <w:rPr>
                <w:b/>
                <w:noProof/>
              </w:rPr>
            </w:pPr>
            <w:r w:rsidRPr="0000636F">
              <w:rPr>
                <w:b/>
                <w:noProof/>
              </w:rPr>
              <w:t>A. Need for action</w:t>
            </w:r>
          </w:p>
        </w:tc>
      </w:tr>
      <w:tr w:rsidR="009A7C2C" w:rsidRPr="0000636F" w:rsidTr="00F734C1">
        <w:trPr>
          <w:trHeight w:hRule="exact" w:val="397"/>
        </w:trPr>
        <w:tc>
          <w:tcPr>
            <w:tcW w:w="10490" w:type="dxa"/>
            <w:tcBorders>
              <w:bottom w:val="single" w:sz="4" w:space="0" w:color="auto"/>
            </w:tcBorders>
            <w:shd w:val="clear" w:color="auto" w:fill="E0E0E0"/>
          </w:tcPr>
          <w:p w:rsidR="009A7C2C" w:rsidRPr="0000636F" w:rsidRDefault="009A7C2C" w:rsidP="00F734C1">
            <w:pPr>
              <w:rPr>
                <w:noProof/>
              </w:rPr>
            </w:pPr>
            <w:r w:rsidRPr="0000636F">
              <w:rPr>
                <w:b/>
                <w:noProof/>
              </w:rPr>
              <w:t xml:space="preserve">What is the problem and why is it a problem at EU level? </w:t>
            </w:r>
          </w:p>
        </w:tc>
      </w:tr>
      <w:tr w:rsidR="009A7C2C" w:rsidRPr="0000636F" w:rsidTr="00F734C1">
        <w:tc>
          <w:tcPr>
            <w:tcW w:w="10490" w:type="dxa"/>
            <w:tcBorders>
              <w:bottom w:val="single" w:sz="4" w:space="0" w:color="auto"/>
            </w:tcBorders>
            <w:shd w:val="clear" w:color="auto" w:fill="auto"/>
          </w:tcPr>
          <w:p w:rsidR="009A7C2C" w:rsidRPr="0000636F" w:rsidRDefault="00E5120F" w:rsidP="00D43045">
            <w:pPr>
              <w:jc w:val="both"/>
              <w:rPr>
                <w:noProof/>
              </w:rPr>
            </w:pPr>
            <w:r>
              <w:rPr>
                <w:noProof/>
              </w:rPr>
              <w:t>As buildings are responsible for 40% of total energy consumption and 36% of energy-related greenhouse gas (GHG) emissions in the EU, t</w:t>
            </w:r>
            <w:r w:rsidR="009A7C2C">
              <w:rPr>
                <w:noProof/>
              </w:rPr>
              <w:t>he decarbonisation of the buildings sector is vital to deliver on the EU’s 2030 and 2050 climate and energy objectives established in the E</w:t>
            </w:r>
            <w:r w:rsidR="007A3CA3">
              <w:rPr>
                <w:noProof/>
              </w:rPr>
              <w:t xml:space="preserve">uropean Climate Law and in the </w:t>
            </w:r>
            <w:r w:rsidR="009A7C2C">
              <w:rPr>
                <w:noProof/>
              </w:rPr>
              <w:t>“Delivering the European Green Deal” proposals. The Climate Target Plan identifies the need for GHG emissions in buildings to decrease by around 60% in order to reach the overall 55% emission reduction target by 2030. This requires at least a doubling of renovation rates.</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What should be achieved?</w:t>
            </w:r>
          </w:p>
        </w:tc>
      </w:tr>
      <w:tr w:rsidR="009A7C2C" w:rsidRPr="0000636F" w:rsidTr="00F734C1">
        <w:tc>
          <w:tcPr>
            <w:tcW w:w="10490" w:type="dxa"/>
            <w:tcBorders>
              <w:bottom w:val="single" w:sz="4" w:space="0" w:color="auto"/>
            </w:tcBorders>
            <w:shd w:val="clear" w:color="auto" w:fill="auto"/>
          </w:tcPr>
          <w:p w:rsidR="009A7C2C" w:rsidRPr="00E77785" w:rsidRDefault="009A7C2C" w:rsidP="009527B9">
            <w:pPr>
              <w:jc w:val="both"/>
              <w:rPr>
                <w:noProof/>
              </w:rPr>
            </w:pPr>
            <w:r w:rsidRPr="005858A5">
              <w:rPr>
                <w:noProof/>
              </w:rPr>
              <w:t>The revision of th</w:t>
            </w:r>
            <w:r>
              <w:rPr>
                <w:noProof/>
              </w:rPr>
              <w:t xml:space="preserve">e EPBD has two main objectives: (1) contribute to </w:t>
            </w:r>
            <w:r w:rsidRPr="005858A5">
              <w:rPr>
                <w:noProof/>
              </w:rPr>
              <w:t xml:space="preserve">reducing </w:t>
            </w:r>
            <w:r>
              <w:rPr>
                <w:noProof/>
              </w:rPr>
              <w:t>GHG</w:t>
            </w:r>
            <w:r w:rsidRPr="005858A5">
              <w:rPr>
                <w:noProof/>
              </w:rPr>
              <w:t xml:space="preserve"> emissions</w:t>
            </w:r>
            <w:r w:rsidR="001564D9">
              <w:rPr>
                <w:noProof/>
              </w:rPr>
              <w:t xml:space="preserve"> of</w:t>
            </w:r>
            <w:r w:rsidRPr="005858A5">
              <w:rPr>
                <w:noProof/>
              </w:rPr>
              <w:t xml:space="preserve"> </w:t>
            </w:r>
            <w:r w:rsidR="001564D9" w:rsidRPr="005858A5">
              <w:rPr>
                <w:noProof/>
              </w:rPr>
              <w:t xml:space="preserve">buildings </w:t>
            </w:r>
            <w:r w:rsidRPr="005858A5">
              <w:rPr>
                <w:noProof/>
              </w:rPr>
              <w:t xml:space="preserve">and </w:t>
            </w:r>
            <w:r>
              <w:rPr>
                <w:noProof/>
              </w:rPr>
              <w:t xml:space="preserve">final </w:t>
            </w:r>
            <w:r w:rsidRPr="005858A5">
              <w:rPr>
                <w:noProof/>
              </w:rPr>
              <w:t>energy consumption by 2030</w:t>
            </w:r>
            <w:r>
              <w:rPr>
                <w:noProof/>
              </w:rPr>
              <w:t xml:space="preserve">; (2) </w:t>
            </w:r>
            <w:r w:rsidRPr="005858A5">
              <w:rPr>
                <w:noProof/>
              </w:rPr>
              <w:t xml:space="preserve">ensure that buildings make </w:t>
            </w:r>
            <w:r>
              <w:rPr>
                <w:noProof/>
              </w:rPr>
              <w:t>an adequate</w:t>
            </w:r>
            <w:r w:rsidRPr="005858A5">
              <w:rPr>
                <w:noProof/>
              </w:rPr>
              <w:t xml:space="preserve"> contribution to achieving climate neutrality </w:t>
            </w:r>
            <w:r w:rsidR="009527B9">
              <w:rPr>
                <w:noProof/>
              </w:rPr>
              <w:t>by</w:t>
            </w:r>
            <w:r w:rsidR="009527B9" w:rsidRPr="005858A5">
              <w:rPr>
                <w:noProof/>
              </w:rPr>
              <w:t xml:space="preserve"> </w:t>
            </w:r>
            <w:r w:rsidRPr="005858A5">
              <w:rPr>
                <w:noProof/>
              </w:rPr>
              <w:t>2050.</w:t>
            </w:r>
            <w:r>
              <w:rPr>
                <w:noProof/>
              </w:rPr>
              <w:t xml:space="preserve"> </w:t>
            </w:r>
            <w:r w:rsidRPr="00E77785">
              <w:rPr>
                <w:noProof/>
              </w:rPr>
              <w:t>The specific objectiv</w:t>
            </w:r>
            <w:bookmarkStart w:id="2" w:name="_Toc73654810"/>
            <w:bookmarkStart w:id="3" w:name="_Toc75700843"/>
            <w:bookmarkStart w:id="4" w:name="_Toc75701335"/>
            <w:bookmarkStart w:id="5" w:name="_Toc76854594"/>
            <w:r w:rsidRPr="00E77785">
              <w:rPr>
                <w:noProof/>
              </w:rPr>
              <w:t>es are</w:t>
            </w:r>
            <w:r w:rsidR="007A3CA3">
              <w:rPr>
                <w:noProof/>
              </w:rPr>
              <w:t>:</w:t>
            </w:r>
            <w:r w:rsidRPr="00E77785">
              <w:rPr>
                <w:noProof/>
              </w:rPr>
              <w:t xml:space="preserve"> to increase the rate and depth of building renovations</w:t>
            </w:r>
            <w:bookmarkEnd w:id="2"/>
            <w:bookmarkEnd w:id="3"/>
            <w:bookmarkEnd w:id="4"/>
            <w:bookmarkEnd w:id="5"/>
            <w:r>
              <w:rPr>
                <w:noProof/>
              </w:rPr>
              <w:t xml:space="preserve"> (policy area A)</w:t>
            </w:r>
            <w:r w:rsidR="001564D9">
              <w:rPr>
                <w:noProof/>
              </w:rPr>
              <w:t>;</w:t>
            </w:r>
            <w:r w:rsidRPr="00E77785">
              <w:rPr>
                <w:noProof/>
              </w:rPr>
              <w:t xml:space="preserve"> </w:t>
            </w:r>
            <w:r>
              <w:rPr>
                <w:noProof/>
              </w:rPr>
              <w:t>t</w:t>
            </w:r>
            <w:r w:rsidRPr="00E77785">
              <w:rPr>
                <w:noProof/>
              </w:rPr>
              <w:t xml:space="preserve">o improve information on energy performance </w:t>
            </w:r>
            <w:r>
              <w:rPr>
                <w:noProof/>
              </w:rPr>
              <w:t>and sustainability of buildings</w:t>
            </w:r>
            <w:r w:rsidRPr="00E77785">
              <w:rPr>
                <w:noProof/>
              </w:rPr>
              <w:t xml:space="preserve"> </w:t>
            </w:r>
            <w:r>
              <w:rPr>
                <w:noProof/>
              </w:rPr>
              <w:t xml:space="preserve">with </w:t>
            </w:r>
            <w:r w:rsidRPr="00E77785">
              <w:rPr>
                <w:noProof/>
              </w:rPr>
              <w:t>the use of digital tools</w:t>
            </w:r>
            <w:r>
              <w:rPr>
                <w:noProof/>
              </w:rPr>
              <w:t xml:space="preserve"> (across all policy areas)</w:t>
            </w:r>
            <w:r w:rsidR="001564D9">
              <w:rPr>
                <w:noProof/>
              </w:rPr>
              <w:t>;</w:t>
            </w:r>
            <w:r w:rsidRPr="00E77785">
              <w:rPr>
                <w:noProof/>
              </w:rPr>
              <w:t xml:space="preserve"> to ensure that new buildings are in line with </w:t>
            </w:r>
            <w:r>
              <w:rPr>
                <w:noProof/>
              </w:rPr>
              <w:t xml:space="preserve">the </w:t>
            </w:r>
            <w:r w:rsidRPr="00E77785">
              <w:rPr>
                <w:noProof/>
              </w:rPr>
              <w:t>2050 climate neutrality objective</w:t>
            </w:r>
            <w:r>
              <w:rPr>
                <w:noProof/>
              </w:rPr>
              <w:t xml:space="preserve"> (policy area B)</w:t>
            </w:r>
            <w:r w:rsidR="001564D9">
              <w:rPr>
                <w:noProof/>
              </w:rPr>
              <w:t>;</w:t>
            </w:r>
            <w:r w:rsidRPr="00E77785">
              <w:rPr>
                <w:noProof/>
              </w:rPr>
              <w:t xml:space="preserve"> and to integrate buildings into decarbonised and digitalised energy systems</w:t>
            </w:r>
            <w:r>
              <w:rPr>
                <w:noProof/>
              </w:rPr>
              <w:t xml:space="preserve"> (policy area C)</w:t>
            </w:r>
            <w:r w:rsidRPr="00E77785">
              <w:rPr>
                <w:noProof/>
              </w:rPr>
              <w:t>.</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What is the value added of action at the EU level (subsidiarity)?</w:t>
            </w:r>
            <w:r w:rsidRPr="0000636F">
              <w:rPr>
                <w:noProof/>
              </w:rPr>
              <w:t xml:space="preserve"> </w:t>
            </w:r>
          </w:p>
        </w:tc>
      </w:tr>
      <w:tr w:rsidR="009A7C2C" w:rsidRPr="0000636F" w:rsidTr="00F734C1">
        <w:tc>
          <w:tcPr>
            <w:tcW w:w="10490" w:type="dxa"/>
            <w:tcBorders>
              <w:bottom w:val="single" w:sz="4" w:space="0" w:color="auto"/>
            </w:tcBorders>
            <w:shd w:val="clear" w:color="auto" w:fill="auto"/>
          </w:tcPr>
          <w:p w:rsidR="009A7C2C" w:rsidRPr="0000636F" w:rsidRDefault="009A7C2C" w:rsidP="00ED2CF8">
            <w:pPr>
              <w:jc w:val="both"/>
              <w:rPr>
                <w:noProof/>
              </w:rPr>
            </w:pPr>
            <w:r w:rsidRPr="003B37DF">
              <w:rPr>
                <w:noProof/>
              </w:rPr>
              <w:t>S</w:t>
            </w:r>
            <w:r>
              <w:rPr>
                <w:noProof/>
              </w:rPr>
              <w:t xml:space="preserve">trengthening the </w:t>
            </w:r>
            <w:r w:rsidRPr="003B37DF">
              <w:rPr>
                <w:noProof/>
              </w:rPr>
              <w:t>common framework will</w:t>
            </w:r>
            <w:r>
              <w:rPr>
                <w:noProof/>
              </w:rPr>
              <w:t xml:space="preserve"> </w:t>
            </w:r>
            <w:r w:rsidRPr="003B37DF">
              <w:rPr>
                <w:noProof/>
              </w:rPr>
              <w:t xml:space="preserve">ensure that the buildings sector </w:t>
            </w:r>
            <w:r>
              <w:rPr>
                <w:noProof/>
              </w:rPr>
              <w:t xml:space="preserve">across the EU </w:t>
            </w:r>
            <w:r w:rsidRPr="003B37DF">
              <w:rPr>
                <w:noProof/>
              </w:rPr>
              <w:t xml:space="preserve">reduces its </w:t>
            </w:r>
            <w:r>
              <w:rPr>
                <w:noProof/>
              </w:rPr>
              <w:t>GHG</w:t>
            </w:r>
            <w:r w:rsidRPr="003B37DF">
              <w:rPr>
                <w:noProof/>
              </w:rPr>
              <w:t xml:space="preserve"> emissions at the </w:t>
            </w:r>
            <w:r>
              <w:rPr>
                <w:noProof/>
              </w:rPr>
              <w:t>necessary</w:t>
            </w:r>
            <w:r w:rsidRPr="003B37DF">
              <w:rPr>
                <w:noProof/>
              </w:rPr>
              <w:t xml:space="preserve"> scale.</w:t>
            </w:r>
            <w:r>
              <w:rPr>
                <w:noProof/>
              </w:rPr>
              <w:t xml:space="preserve"> If o</w:t>
            </w:r>
            <w:r w:rsidRPr="009F48FC">
              <w:rPr>
                <w:noProof/>
              </w:rPr>
              <w:t xml:space="preserve">ne or several Member States </w:t>
            </w:r>
            <w:r>
              <w:rPr>
                <w:noProof/>
              </w:rPr>
              <w:t xml:space="preserve">were </w:t>
            </w:r>
            <w:r w:rsidRPr="009F48FC">
              <w:rPr>
                <w:noProof/>
              </w:rPr>
              <w:t xml:space="preserve">not </w:t>
            </w:r>
            <w:r>
              <w:rPr>
                <w:noProof/>
              </w:rPr>
              <w:t xml:space="preserve">to </w:t>
            </w:r>
            <w:r w:rsidRPr="009F48FC">
              <w:rPr>
                <w:noProof/>
              </w:rPr>
              <w:t>act</w:t>
            </w:r>
            <w:r>
              <w:rPr>
                <w:noProof/>
              </w:rPr>
              <w:t>, this</w:t>
            </w:r>
            <w:r w:rsidRPr="009F48FC">
              <w:rPr>
                <w:noProof/>
              </w:rPr>
              <w:t xml:space="preserve"> would imply overall higher </w:t>
            </w:r>
            <w:r>
              <w:rPr>
                <w:noProof/>
              </w:rPr>
              <w:t>GHG</w:t>
            </w:r>
            <w:r w:rsidRPr="009F48FC">
              <w:rPr>
                <w:noProof/>
              </w:rPr>
              <w:t xml:space="preserve"> abatement costs for the EU as a whole.</w:t>
            </w:r>
            <w:r>
              <w:rPr>
                <w:noProof/>
              </w:rPr>
              <w:t xml:space="preserve"> </w:t>
            </w:r>
            <w:r w:rsidRPr="00E465EA">
              <w:rPr>
                <w:noProof/>
              </w:rPr>
              <w:t xml:space="preserve">Action at EU level </w:t>
            </w:r>
            <w:r>
              <w:rPr>
                <w:noProof/>
              </w:rPr>
              <w:t xml:space="preserve">also </w:t>
            </w:r>
            <w:r w:rsidRPr="00E465EA">
              <w:rPr>
                <w:noProof/>
              </w:rPr>
              <w:t xml:space="preserve">offers a leverage in mobilising the sector around a common ambition and leads to higher expected market outcomes. </w:t>
            </w:r>
            <w:r w:rsidR="009527B9">
              <w:rPr>
                <w:noProof/>
              </w:rPr>
              <w:t>It</w:t>
            </w:r>
            <w:r w:rsidRPr="00E465EA">
              <w:rPr>
                <w:noProof/>
              </w:rPr>
              <w:t xml:space="preserve"> will drive investment into renovation</w:t>
            </w:r>
            <w:r>
              <w:rPr>
                <w:noProof/>
              </w:rPr>
              <w:t>,</w:t>
            </w:r>
            <w:r w:rsidRPr="00E465EA">
              <w:rPr>
                <w:noProof/>
              </w:rPr>
              <w:t xml:space="preserve"> </w:t>
            </w:r>
            <w:r>
              <w:rPr>
                <w:noProof/>
              </w:rPr>
              <w:t xml:space="preserve">create jobs, </w:t>
            </w:r>
            <w:r w:rsidRPr="000234F2">
              <w:rPr>
                <w:noProof/>
              </w:rPr>
              <w:t>stimulate innovation</w:t>
            </w:r>
            <w:r w:rsidR="009527B9">
              <w:rPr>
                <w:noProof/>
              </w:rPr>
              <w:t xml:space="preserve"> and</w:t>
            </w:r>
            <w:r>
              <w:rPr>
                <w:noProof/>
              </w:rPr>
              <w:t xml:space="preserve"> </w:t>
            </w:r>
            <w:r w:rsidRPr="000234F2">
              <w:rPr>
                <w:noProof/>
              </w:rPr>
              <w:t>increase the benefits of the internal market for construction products and appliances</w:t>
            </w:r>
            <w:r w:rsidRPr="00E465EA">
              <w:rPr>
                <w:noProof/>
              </w:rPr>
              <w:t>.</w:t>
            </w:r>
            <w:r>
              <w:rPr>
                <w:noProof/>
              </w:rPr>
              <w:t xml:space="preserve"> </w:t>
            </w:r>
          </w:p>
        </w:tc>
      </w:tr>
      <w:tr w:rsidR="009A7C2C" w:rsidRPr="0000636F" w:rsidTr="00F734C1">
        <w:trPr>
          <w:trHeight w:hRule="exact" w:val="397"/>
        </w:trPr>
        <w:tc>
          <w:tcPr>
            <w:tcW w:w="10490" w:type="dxa"/>
            <w:tcBorders>
              <w:bottom w:val="single" w:sz="4" w:space="0" w:color="auto"/>
            </w:tcBorders>
            <w:shd w:val="clear" w:color="auto" w:fill="CCCCCC"/>
          </w:tcPr>
          <w:p w:rsidR="009A7C2C" w:rsidRPr="0000636F" w:rsidRDefault="009A7C2C" w:rsidP="00F734C1">
            <w:pPr>
              <w:rPr>
                <w:b/>
                <w:noProof/>
              </w:rPr>
            </w:pPr>
            <w:r w:rsidRPr="0000636F">
              <w:rPr>
                <w:b/>
                <w:noProof/>
              </w:rPr>
              <w:t>B. Solutions</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What are the various options to achieve the objectives?</w:t>
            </w:r>
            <w:r w:rsidRPr="0000636F">
              <w:rPr>
                <w:noProof/>
              </w:rPr>
              <w:t xml:space="preserve"> </w:t>
            </w:r>
            <w:r w:rsidRPr="0000636F">
              <w:rPr>
                <w:b/>
                <w:noProof/>
              </w:rPr>
              <w:t>Is there a preferred option or not? If not, why?</w:t>
            </w:r>
          </w:p>
        </w:tc>
      </w:tr>
      <w:tr w:rsidR="009A7C2C" w:rsidRPr="0000636F" w:rsidTr="00F734C1">
        <w:tc>
          <w:tcPr>
            <w:tcW w:w="10490" w:type="dxa"/>
            <w:tcBorders>
              <w:bottom w:val="single" w:sz="4" w:space="0" w:color="auto"/>
            </w:tcBorders>
            <w:shd w:val="clear" w:color="auto" w:fill="auto"/>
          </w:tcPr>
          <w:p w:rsidR="009A7C2C" w:rsidRPr="0000636F" w:rsidRDefault="0075480D" w:rsidP="00ED2CF8">
            <w:pPr>
              <w:jc w:val="both"/>
              <w:rPr>
                <w:noProof/>
              </w:rPr>
            </w:pPr>
            <w:r>
              <w:rPr>
                <w:noProof/>
              </w:rPr>
              <w:t>The main measure under p</w:t>
            </w:r>
            <w:r w:rsidR="009A7C2C">
              <w:rPr>
                <w:noProof/>
              </w:rPr>
              <w:t>olicy area A is to introduce m</w:t>
            </w:r>
            <w:r w:rsidR="009A7C2C" w:rsidRPr="003B37DF">
              <w:rPr>
                <w:noProof/>
              </w:rPr>
              <w:t>inimum energy performance standard</w:t>
            </w:r>
            <w:r w:rsidR="009A7C2C">
              <w:rPr>
                <w:noProof/>
              </w:rPr>
              <w:t>s (MEPS), complemented by stronger energy performance certificates</w:t>
            </w:r>
            <w:r w:rsidR="00481AE2">
              <w:rPr>
                <w:noProof/>
              </w:rPr>
              <w:t>,</w:t>
            </w:r>
            <w:r w:rsidR="009A7C2C">
              <w:rPr>
                <w:noProof/>
              </w:rPr>
              <w:t xml:space="preserve"> the introduction of building renovation passports and a definition of deep renovation. </w:t>
            </w:r>
            <w:r>
              <w:rPr>
                <w:noProof/>
              </w:rPr>
              <w:t xml:space="preserve">The main measure under </w:t>
            </w:r>
            <w:r w:rsidR="00ED2CF8">
              <w:rPr>
                <w:noProof/>
              </w:rPr>
              <w:t>p</w:t>
            </w:r>
            <w:r w:rsidR="009A7C2C">
              <w:rPr>
                <w:noProof/>
              </w:rPr>
              <w:t>olicy a</w:t>
            </w:r>
            <w:r w:rsidR="009A7C2C" w:rsidRPr="003E626F">
              <w:rPr>
                <w:noProof/>
              </w:rPr>
              <w:t>rea B</w:t>
            </w:r>
            <w:r w:rsidR="009A7C2C">
              <w:rPr>
                <w:noProof/>
              </w:rPr>
              <w:t xml:space="preserve"> is the i</w:t>
            </w:r>
            <w:r w:rsidR="009A7C2C" w:rsidRPr="0097621C">
              <w:rPr>
                <w:noProof/>
              </w:rPr>
              <w:t xml:space="preserve">ntroduction of a </w:t>
            </w:r>
            <w:r w:rsidR="009A7C2C">
              <w:rPr>
                <w:noProof/>
              </w:rPr>
              <w:t>standard for</w:t>
            </w:r>
            <w:r w:rsidR="009A7C2C" w:rsidRPr="0097621C">
              <w:rPr>
                <w:noProof/>
              </w:rPr>
              <w:t xml:space="preserve"> </w:t>
            </w:r>
            <w:r w:rsidR="009A7C2C">
              <w:rPr>
                <w:noProof/>
              </w:rPr>
              <w:t>‘</w:t>
            </w:r>
            <w:r w:rsidR="009A7C2C" w:rsidRPr="0097621C">
              <w:rPr>
                <w:noProof/>
              </w:rPr>
              <w:t>zero</w:t>
            </w:r>
            <w:r w:rsidR="009A7C2C">
              <w:rPr>
                <w:noProof/>
              </w:rPr>
              <w:t>-</w:t>
            </w:r>
            <w:r w:rsidR="009A7C2C" w:rsidRPr="0097621C">
              <w:rPr>
                <w:noProof/>
              </w:rPr>
              <w:t>emission buildings</w:t>
            </w:r>
            <w:r w:rsidR="009A7C2C">
              <w:rPr>
                <w:noProof/>
              </w:rPr>
              <w:t xml:space="preserve">’ (ZEBs). </w:t>
            </w:r>
            <w:r>
              <w:rPr>
                <w:noProof/>
              </w:rPr>
              <w:t xml:space="preserve">The main measure under </w:t>
            </w:r>
            <w:r w:rsidR="00ED2CF8">
              <w:rPr>
                <w:noProof/>
              </w:rPr>
              <w:t xml:space="preserve">policy </w:t>
            </w:r>
            <w:r w:rsidR="009A7C2C">
              <w:rPr>
                <w:noProof/>
              </w:rPr>
              <w:t xml:space="preserve">Area C </w:t>
            </w:r>
            <w:r w:rsidR="000B33BD">
              <w:rPr>
                <w:noProof/>
              </w:rPr>
              <w:t>is</w:t>
            </w:r>
            <w:r w:rsidR="009A7C2C">
              <w:rPr>
                <w:noProof/>
              </w:rPr>
              <w:t xml:space="preserve"> </w:t>
            </w:r>
            <w:r w:rsidR="009A7C2C" w:rsidRPr="00040918">
              <w:rPr>
                <w:noProof/>
              </w:rPr>
              <w:t>strengthen</w:t>
            </w:r>
            <w:r w:rsidR="009A7C2C">
              <w:rPr>
                <w:noProof/>
              </w:rPr>
              <w:t>ed</w:t>
            </w:r>
            <w:r w:rsidR="009A7C2C" w:rsidRPr="00040918">
              <w:rPr>
                <w:noProof/>
              </w:rPr>
              <w:t xml:space="preserve"> requirements </w:t>
            </w:r>
            <w:r w:rsidR="009A7C2C">
              <w:rPr>
                <w:noProof/>
              </w:rPr>
              <w:t xml:space="preserve">for </w:t>
            </w:r>
            <w:r w:rsidR="009A7C2C" w:rsidRPr="00040918">
              <w:rPr>
                <w:noProof/>
              </w:rPr>
              <w:t xml:space="preserve">recharging </w:t>
            </w:r>
            <w:r w:rsidR="009A7C2C">
              <w:rPr>
                <w:noProof/>
              </w:rPr>
              <w:t xml:space="preserve">infrastructure </w:t>
            </w:r>
            <w:r w:rsidR="009A7C2C" w:rsidRPr="00040918">
              <w:rPr>
                <w:noProof/>
              </w:rPr>
              <w:t>for electric vehicles in buildings</w:t>
            </w:r>
            <w:r w:rsidR="009A7C2C">
              <w:rPr>
                <w:noProof/>
              </w:rPr>
              <w:t xml:space="preserve">. The measures identified for each policy area are packaged in four options, representing an increased level of ambition: low, moderate and high ambition (with two variants, I - II). </w:t>
            </w:r>
            <w:r w:rsidR="009A7C2C" w:rsidRPr="00910412">
              <w:rPr>
                <w:noProof/>
              </w:rPr>
              <w:t xml:space="preserve">Option 3 </w:t>
            </w:r>
            <w:r w:rsidR="009A7C2C">
              <w:rPr>
                <w:noProof/>
              </w:rPr>
              <w:t>‘</w:t>
            </w:r>
            <w:r w:rsidR="009A7C2C" w:rsidRPr="00910412">
              <w:rPr>
                <w:noProof/>
              </w:rPr>
              <w:t xml:space="preserve">High </w:t>
            </w:r>
            <w:r w:rsidR="009A7C2C">
              <w:rPr>
                <w:noProof/>
              </w:rPr>
              <w:t xml:space="preserve">ambition I’ is the preferred option in the Impact </w:t>
            </w:r>
            <w:r w:rsidR="00ED2CF8">
              <w:rPr>
                <w:noProof/>
              </w:rPr>
              <w:t>a</w:t>
            </w:r>
            <w:r w:rsidR="009A7C2C">
              <w:rPr>
                <w:noProof/>
              </w:rPr>
              <w:t xml:space="preserve">ssessment. </w:t>
            </w:r>
            <w:r w:rsidR="009A7C2C" w:rsidRPr="0055107B">
              <w:rPr>
                <w:noProof/>
              </w:rPr>
              <w:t xml:space="preserve">This option </w:t>
            </w:r>
            <w:r w:rsidR="009A7C2C">
              <w:rPr>
                <w:noProof/>
              </w:rPr>
              <w:t xml:space="preserve">is a mix of strengthening existing measures and </w:t>
            </w:r>
            <w:r w:rsidR="00ED2CF8">
              <w:rPr>
                <w:noProof/>
              </w:rPr>
              <w:t xml:space="preserve">introducing </w:t>
            </w:r>
            <w:r w:rsidR="009A7C2C">
              <w:rPr>
                <w:noProof/>
              </w:rPr>
              <w:t xml:space="preserve">new ones with focus both on new buildings and on existing buildings. It </w:t>
            </w:r>
            <w:r w:rsidR="009A7C2C" w:rsidRPr="0055107B">
              <w:rPr>
                <w:noProof/>
              </w:rPr>
              <w:t xml:space="preserve">results notably in </w:t>
            </w:r>
            <w:r w:rsidR="009A7C2C">
              <w:rPr>
                <w:noProof/>
              </w:rPr>
              <w:t>propos</w:t>
            </w:r>
            <w:r w:rsidR="009A7C2C" w:rsidRPr="0055107B">
              <w:rPr>
                <w:noProof/>
              </w:rPr>
              <w:t xml:space="preserve">ing MEPSs that would </w:t>
            </w:r>
            <w:r w:rsidR="007A3CA3">
              <w:rPr>
                <w:noProof/>
              </w:rPr>
              <w:t>entail a combination of binding</w:t>
            </w:r>
            <w:r w:rsidR="009A7C2C">
              <w:rPr>
                <w:noProof/>
              </w:rPr>
              <w:t xml:space="preserve"> </w:t>
            </w:r>
            <w:r w:rsidR="009A7C2C" w:rsidRPr="0055107B">
              <w:rPr>
                <w:noProof/>
              </w:rPr>
              <w:t>standards for worst performing buildings</w:t>
            </w:r>
            <w:r w:rsidR="009A7C2C">
              <w:rPr>
                <w:noProof/>
              </w:rPr>
              <w:t xml:space="preserve"> set at EU level</w:t>
            </w:r>
            <w:r w:rsidR="009A7C2C" w:rsidRPr="0055107B">
              <w:rPr>
                <w:noProof/>
              </w:rPr>
              <w:t>, complemented by standards set at the national level</w:t>
            </w:r>
            <w:r w:rsidR="009A7C2C">
              <w:rPr>
                <w:noProof/>
              </w:rPr>
              <w:t xml:space="preserve">. Following the negative opinions of the Commission Regulatory Scrutiny Board on the </w:t>
            </w:r>
            <w:r w:rsidR="00ED2CF8">
              <w:rPr>
                <w:noProof/>
              </w:rPr>
              <w:t xml:space="preserve">Impact </w:t>
            </w:r>
            <w:r w:rsidR="009A7C2C">
              <w:rPr>
                <w:noProof/>
              </w:rPr>
              <w:t xml:space="preserve">assessment, raising concerns </w:t>
            </w:r>
            <w:r w:rsidR="00ED2CF8">
              <w:rPr>
                <w:noProof/>
              </w:rPr>
              <w:t>that it does</w:t>
            </w:r>
            <w:r w:rsidR="009A7C2C">
              <w:rPr>
                <w:noProof/>
              </w:rPr>
              <w:t xml:space="preserve"> not </w:t>
            </w:r>
            <w:r w:rsidR="00ED2CF8">
              <w:rPr>
                <w:noProof/>
              </w:rPr>
              <w:t xml:space="preserve">provide </w:t>
            </w:r>
            <w:r w:rsidR="009A7C2C">
              <w:rPr>
                <w:noProof/>
              </w:rPr>
              <w:t xml:space="preserve">sufficiently solid evidence supporting the preferred set of policy measures, notably as regards </w:t>
            </w:r>
            <w:r w:rsidR="009A7C2C" w:rsidRPr="00530DB4">
              <w:rPr>
                <w:noProof/>
              </w:rPr>
              <w:t xml:space="preserve">proportionality and the </w:t>
            </w:r>
            <w:r w:rsidR="009A7C2C">
              <w:rPr>
                <w:noProof/>
              </w:rPr>
              <w:t>degree</w:t>
            </w:r>
            <w:r w:rsidR="009A7C2C" w:rsidRPr="00530DB4">
              <w:rPr>
                <w:noProof/>
              </w:rPr>
              <w:t xml:space="preserve"> of EU harmonisation</w:t>
            </w:r>
            <w:r w:rsidR="009A7C2C">
              <w:rPr>
                <w:noProof/>
              </w:rPr>
              <w:t xml:space="preserve">, </w:t>
            </w:r>
            <w:r w:rsidR="009A7C2C" w:rsidRPr="00FE721E">
              <w:rPr>
                <w:noProof/>
              </w:rPr>
              <w:t xml:space="preserve">the </w:t>
            </w:r>
            <w:r w:rsidR="009A7C2C">
              <w:rPr>
                <w:noProof/>
              </w:rPr>
              <w:t>legislative</w:t>
            </w:r>
            <w:r w:rsidR="009A7C2C" w:rsidRPr="00FE721E">
              <w:rPr>
                <w:noProof/>
              </w:rPr>
              <w:t xml:space="preserve"> </w:t>
            </w:r>
            <w:r w:rsidR="009A7C2C">
              <w:rPr>
                <w:noProof/>
              </w:rPr>
              <w:t>proposal has been aligned with o</w:t>
            </w:r>
            <w:r w:rsidR="009A7C2C" w:rsidRPr="00FE721E">
              <w:rPr>
                <w:noProof/>
              </w:rPr>
              <w:t>ption 2 on moderate ambition for several aspects, including the renovation of exis</w:t>
            </w:r>
            <w:r w:rsidR="009A7C2C">
              <w:rPr>
                <w:noProof/>
              </w:rPr>
              <w:t>ting buildings, whilst keeping o</w:t>
            </w:r>
            <w:r w:rsidR="009A7C2C" w:rsidRPr="00FE721E">
              <w:rPr>
                <w:noProof/>
              </w:rPr>
              <w:t>ption 3 - high ambition I approach - for new buildings and their modernisation</w:t>
            </w:r>
            <w:r w:rsidR="00ED2CF8">
              <w:rPr>
                <w:noProof/>
              </w:rPr>
              <w:t>.</w:t>
            </w:r>
          </w:p>
        </w:tc>
      </w:tr>
      <w:tr w:rsidR="009A7C2C" w:rsidRPr="0000636F" w:rsidTr="00F734C1">
        <w:trPr>
          <w:trHeight w:hRule="exact" w:val="397"/>
        </w:trPr>
        <w:tc>
          <w:tcPr>
            <w:tcW w:w="10490" w:type="dxa"/>
            <w:shd w:val="clear" w:color="auto" w:fill="CCCCCC"/>
          </w:tcPr>
          <w:p w:rsidR="009A7C2C" w:rsidRPr="0000636F" w:rsidRDefault="009A7C2C" w:rsidP="00F734C1">
            <w:pPr>
              <w:rPr>
                <w:noProof/>
              </w:rPr>
            </w:pPr>
            <w:r w:rsidRPr="0000636F">
              <w:rPr>
                <w:b/>
                <w:noProof/>
              </w:rPr>
              <w:t xml:space="preserve">What are different stakeholders' views? Who supports which option? </w:t>
            </w:r>
          </w:p>
        </w:tc>
      </w:tr>
      <w:tr w:rsidR="009A7C2C" w:rsidRPr="0000636F" w:rsidTr="00F734C1">
        <w:tc>
          <w:tcPr>
            <w:tcW w:w="10490" w:type="dxa"/>
            <w:shd w:val="clear" w:color="auto" w:fill="auto"/>
          </w:tcPr>
          <w:p w:rsidR="009A7C2C" w:rsidRPr="0000636F" w:rsidRDefault="009A7C2C" w:rsidP="0090406A">
            <w:pPr>
              <w:jc w:val="both"/>
              <w:rPr>
                <w:noProof/>
              </w:rPr>
            </w:pPr>
            <w:r>
              <w:rPr>
                <w:noProof/>
              </w:rPr>
              <w:t xml:space="preserve">Stakeholders expressed widespread support </w:t>
            </w:r>
            <w:r w:rsidR="0090406A">
              <w:rPr>
                <w:noProof/>
              </w:rPr>
              <w:t xml:space="preserve">on </w:t>
            </w:r>
            <w:r>
              <w:rPr>
                <w:noProof/>
              </w:rPr>
              <w:t>strengthen</w:t>
            </w:r>
            <w:r w:rsidR="0090406A">
              <w:rPr>
                <w:noProof/>
              </w:rPr>
              <w:t>ing</w:t>
            </w:r>
            <w:r>
              <w:rPr>
                <w:noProof/>
              </w:rPr>
              <w:t xml:space="preserve"> the EPBD framework and </w:t>
            </w:r>
            <w:r w:rsidR="0090406A">
              <w:rPr>
                <w:noProof/>
              </w:rPr>
              <w:t xml:space="preserve">introducing </w:t>
            </w:r>
            <w:r>
              <w:rPr>
                <w:noProof/>
              </w:rPr>
              <w:t>the new policy measures proposed. Different views have</w:t>
            </w:r>
            <w:r w:rsidR="00F42ADD">
              <w:rPr>
                <w:noProof/>
              </w:rPr>
              <w:t>,</w:t>
            </w:r>
            <w:r>
              <w:rPr>
                <w:noProof/>
              </w:rPr>
              <w:t xml:space="preserve"> </w:t>
            </w:r>
            <w:r w:rsidR="00F42ADD">
              <w:rPr>
                <w:noProof/>
              </w:rPr>
              <w:t xml:space="preserve">however, </w:t>
            </w:r>
            <w:r>
              <w:rPr>
                <w:noProof/>
              </w:rPr>
              <w:t xml:space="preserve">been expressed on their precise design. </w:t>
            </w:r>
            <w:r w:rsidRPr="004E077F">
              <w:rPr>
                <w:noProof/>
              </w:rPr>
              <w:t>MEPS</w:t>
            </w:r>
            <w:r>
              <w:rPr>
                <w:noProof/>
              </w:rPr>
              <w:t xml:space="preserve"> are supported by 75% of the respondents to the public consultation (PC), 84% of respondents are in favour of defining ZEBs in</w:t>
            </w:r>
            <w:r w:rsidRPr="00F6551D">
              <w:rPr>
                <w:noProof/>
              </w:rPr>
              <w:t xml:space="preserve"> the</w:t>
            </w:r>
            <w:r w:rsidR="007A3CA3">
              <w:rPr>
                <w:noProof/>
              </w:rPr>
              <w:t xml:space="preserve"> EPBD. There is</w:t>
            </w:r>
            <w:r>
              <w:rPr>
                <w:noProof/>
              </w:rPr>
              <w:t xml:space="preserve"> strong support (89%) to strengthen the m</w:t>
            </w:r>
            <w:r w:rsidRPr="00F6551D">
              <w:rPr>
                <w:noProof/>
              </w:rPr>
              <w:t xml:space="preserve">onitoring of objectives identified by MSs in </w:t>
            </w:r>
            <w:r>
              <w:rPr>
                <w:noProof/>
              </w:rPr>
              <w:t>their long-term renovation strategies. More than two thirds (68% of respondents favour including</w:t>
            </w:r>
            <w:r w:rsidRPr="00F6551D">
              <w:rPr>
                <w:noProof/>
              </w:rPr>
              <w:t xml:space="preserve"> measures to report on whole life-cycle carbon emissions</w:t>
            </w:r>
            <w:r w:rsidR="0090406A">
              <w:rPr>
                <w:noProof/>
              </w:rPr>
              <w:t xml:space="preserve">. </w:t>
            </w:r>
            <w:r>
              <w:rPr>
                <w:noProof/>
              </w:rPr>
              <w:t>68%</w:t>
            </w:r>
            <w:r w:rsidR="0090406A">
              <w:rPr>
                <w:noProof/>
              </w:rPr>
              <w:t xml:space="preserve"> also</w:t>
            </w:r>
            <w:r>
              <w:rPr>
                <w:noProof/>
              </w:rPr>
              <w:t xml:space="preserve"> believe it w</w:t>
            </w:r>
            <w:r w:rsidRPr="00F6551D">
              <w:rPr>
                <w:noProof/>
              </w:rPr>
              <w:t xml:space="preserve">ould it be beneficial to provide </w:t>
            </w:r>
            <w:r>
              <w:rPr>
                <w:noProof/>
              </w:rPr>
              <w:t xml:space="preserve">a </w:t>
            </w:r>
            <w:r w:rsidRPr="00F6551D">
              <w:rPr>
                <w:noProof/>
              </w:rPr>
              <w:t xml:space="preserve">legal </w:t>
            </w:r>
            <w:r>
              <w:rPr>
                <w:noProof/>
              </w:rPr>
              <w:t xml:space="preserve">definition of “deep renovation”. </w:t>
            </w:r>
            <w:r w:rsidR="0090406A">
              <w:rPr>
                <w:noProof/>
              </w:rPr>
              <w:t>M</w:t>
            </w:r>
            <w:r>
              <w:rPr>
                <w:noProof/>
              </w:rPr>
              <w:t>ore than three quarters (76%) back the h</w:t>
            </w:r>
            <w:r w:rsidRPr="00F6551D">
              <w:rPr>
                <w:noProof/>
              </w:rPr>
              <w:t>armoni</w:t>
            </w:r>
            <w:r>
              <w:rPr>
                <w:noProof/>
              </w:rPr>
              <w:t>s</w:t>
            </w:r>
            <w:r w:rsidRPr="00F6551D">
              <w:rPr>
                <w:noProof/>
              </w:rPr>
              <w:t xml:space="preserve">ation of </w:t>
            </w:r>
            <w:r>
              <w:rPr>
                <w:noProof/>
              </w:rPr>
              <w:t xml:space="preserve">energy performance certificates (EPC). </w:t>
            </w:r>
          </w:p>
        </w:tc>
      </w:tr>
      <w:tr w:rsidR="009A7C2C" w:rsidRPr="0000636F" w:rsidTr="00F734C1">
        <w:trPr>
          <w:trHeight w:hRule="exact" w:val="397"/>
        </w:trPr>
        <w:tc>
          <w:tcPr>
            <w:tcW w:w="10490" w:type="dxa"/>
            <w:tcBorders>
              <w:bottom w:val="single" w:sz="4" w:space="0" w:color="auto"/>
            </w:tcBorders>
            <w:shd w:val="clear" w:color="auto" w:fill="CCCCCC"/>
          </w:tcPr>
          <w:p w:rsidR="009A7C2C" w:rsidRPr="0000636F" w:rsidRDefault="009A7C2C" w:rsidP="00F734C1">
            <w:pPr>
              <w:rPr>
                <w:b/>
                <w:noProof/>
              </w:rPr>
            </w:pPr>
            <w:r w:rsidRPr="0000636F">
              <w:rPr>
                <w:b/>
                <w:noProof/>
              </w:rPr>
              <w:t>C. Impacts of the preferred option</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What are the benefits</w:t>
            </w:r>
            <w:r w:rsidRPr="0000636F">
              <w:rPr>
                <w:noProof/>
              </w:rPr>
              <w:t xml:space="preserve"> </w:t>
            </w:r>
            <w:r w:rsidRPr="0000636F">
              <w:rPr>
                <w:b/>
                <w:noProof/>
              </w:rPr>
              <w:t>of the preferred option (if any, otherwise of main ones)?</w:t>
            </w:r>
            <w:r w:rsidRPr="0000636F">
              <w:rPr>
                <w:noProof/>
              </w:rPr>
              <w:t xml:space="preserve">                                    </w:t>
            </w:r>
          </w:p>
        </w:tc>
      </w:tr>
      <w:tr w:rsidR="009A7C2C" w:rsidRPr="0000636F" w:rsidTr="00F734C1">
        <w:tc>
          <w:tcPr>
            <w:tcW w:w="10490" w:type="dxa"/>
            <w:tcBorders>
              <w:bottom w:val="single" w:sz="4" w:space="0" w:color="auto"/>
            </w:tcBorders>
            <w:shd w:val="clear" w:color="auto" w:fill="auto"/>
          </w:tcPr>
          <w:p w:rsidR="009A7C2C" w:rsidRPr="00BE338F" w:rsidRDefault="008F4183" w:rsidP="007E072F">
            <w:pPr>
              <w:jc w:val="both"/>
              <w:rPr>
                <w:noProof/>
              </w:rPr>
            </w:pPr>
            <w:r>
              <w:rPr>
                <w:noProof/>
              </w:rPr>
              <w:t>P</w:t>
            </w:r>
            <w:r w:rsidR="009A7C2C" w:rsidRPr="0055107B">
              <w:rPr>
                <w:noProof/>
              </w:rPr>
              <w:t xml:space="preserve">olicy measures under </w:t>
            </w:r>
            <w:r w:rsidR="009A7C2C">
              <w:rPr>
                <w:noProof/>
              </w:rPr>
              <w:t xml:space="preserve">option 3 (‘high ambition I’) </w:t>
            </w:r>
            <w:r w:rsidR="009A7C2C" w:rsidRPr="0055107B">
              <w:rPr>
                <w:noProof/>
              </w:rPr>
              <w:t>will bring maximum benefits in comparison to curre</w:t>
            </w:r>
            <w:r w:rsidR="009A7C2C">
              <w:rPr>
                <w:noProof/>
              </w:rPr>
              <w:t xml:space="preserve">nt building renovation trends. </w:t>
            </w:r>
            <w:r>
              <w:rPr>
                <w:noProof/>
              </w:rPr>
              <w:t>Compared</w:t>
            </w:r>
            <w:r w:rsidR="009A7C2C">
              <w:rPr>
                <w:noProof/>
              </w:rPr>
              <w:t xml:space="preserve"> to the baseline, renovation rates are projected to be on average 1.35 % points higher in 2030 and energy consumption for heating, cooling and domestic hot water </w:t>
            </w:r>
            <w:r w:rsidR="009A7C2C" w:rsidRPr="00CB7312">
              <w:rPr>
                <w:noProof/>
              </w:rPr>
              <w:t xml:space="preserve">11.7% </w:t>
            </w:r>
            <w:r w:rsidR="009A7C2C">
              <w:rPr>
                <w:noProof/>
              </w:rPr>
              <w:t xml:space="preserve">lower </w:t>
            </w:r>
            <w:r w:rsidR="009A7C2C" w:rsidRPr="00CB7312">
              <w:rPr>
                <w:noProof/>
              </w:rPr>
              <w:t xml:space="preserve">by </w:t>
            </w:r>
            <w:r w:rsidR="009A7C2C">
              <w:rPr>
                <w:noProof/>
              </w:rPr>
              <w:t>2030 and</w:t>
            </w:r>
            <w:r w:rsidR="009A7C2C" w:rsidRPr="00CB7312">
              <w:rPr>
                <w:noProof/>
              </w:rPr>
              <w:t xml:space="preserve"> 34%</w:t>
            </w:r>
            <w:r w:rsidR="009A7C2C">
              <w:rPr>
                <w:noProof/>
              </w:rPr>
              <w:t xml:space="preserve"> lower</w:t>
            </w:r>
            <w:r w:rsidR="009A7C2C" w:rsidRPr="00CB7312">
              <w:rPr>
                <w:noProof/>
              </w:rPr>
              <w:t xml:space="preserve"> by 2050</w:t>
            </w:r>
            <w:r w:rsidR="009A7C2C">
              <w:rPr>
                <w:noProof/>
              </w:rPr>
              <w:t>. GHG emi</w:t>
            </w:r>
            <w:r w:rsidR="007A3CA3">
              <w:rPr>
                <w:noProof/>
              </w:rPr>
              <w:t>s</w:t>
            </w:r>
            <w:r w:rsidR="009A7C2C">
              <w:rPr>
                <w:noProof/>
              </w:rPr>
              <w:t xml:space="preserve">sions are projected to be </w:t>
            </w:r>
            <w:r w:rsidR="009A7C2C" w:rsidRPr="00CB7312">
              <w:rPr>
                <w:noProof/>
              </w:rPr>
              <w:t xml:space="preserve">23% </w:t>
            </w:r>
            <w:r w:rsidR="009A7C2C">
              <w:rPr>
                <w:noProof/>
              </w:rPr>
              <w:t xml:space="preserve">and </w:t>
            </w:r>
            <w:r w:rsidR="009A7C2C" w:rsidRPr="00CB7312">
              <w:rPr>
                <w:noProof/>
              </w:rPr>
              <w:t xml:space="preserve">53.5% </w:t>
            </w:r>
            <w:r w:rsidR="009A7C2C">
              <w:rPr>
                <w:noProof/>
              </w:rPr>
              <w:t>lower in</w:t>
            </w:r>
            <w:r w:rsidR="009A7C2C" w:rsidRPr="00CB7312">
              <w:rPr>
                <w:noProof/>
              </w:rPr>
              <w:t xml:space="preserve"> </w:t>
            </w:r>
            <w:r w:rsidR="009A7C2C">
              <w:rPr>
                <w:noProof/>
              </w:rPr>
              <w:t xml:space="preserve">2030 and </w:t>
            </w:r>
            <w:r w:rsidR="009A7C2C" w:rsidRPr="00CB7312">
              <w:rPr>
                <w:noProof/>
              </w:rPr>
              <w:t>2050</w:t>
            </w:r>
            <w:r w:rsidR="00681ABE">
              <w:rPr>
                <w:noProof/>
              </w:rPr>
              <w:t>,</w:t>
            </w:r>
            <w:r w:rsidR="009A7C2C">
              <w:rPr>
                <w:noProof/>
              </w:rPr>
              <w:t xml:space="preserve"> respectively, </w:t>
            </w:r>
            <w:r w:rsidR="00681ABE">
              <w:rPr>
                <w:noProof/>
              </w:rPr>
              <w:t xml:space="preserve">and </w:t>
            </w:r>
            <w:r w:rsidR="009A7C2C">
              <w:rPr>
                <w:noProof/>
              </w:rPr>
              <w:t xml:space="preserve">air pollution and water use will also be reduced. Compared to the baseline, energy costs for consumers are projected </w:t>
            </w:r>
            <w:r>
              <w:rPr>
                <w:noProof/>
              </w:rPr>
              <w:t>to be</w:t>
            </w:r>
            <w:r w:rsidR="009A7C2C" w:rsidRPr="00CB7312">
              <w:rPr>
                <w:noProof/>
              </w:rPr>
              <w:t xml:space="preserve"> 8% </w:t>
            </w:r>
            <w:r w:rsidR="009A7C2C">
              <w:rPr>
                <w:noProof/>
              </w:rPr>
              <w:t>lower in 2030</w:t>
            </w:r>
            <w:r w:rsidR="007E072F">
              <w:rPr>
                <w:noProof/>
              </w:rPr>
              <w:t xml:space="preserve"> </w:t>
            </w:r>
            <w:r>
              <w:rPr>
                <w:noProof/>
              </w:rPr>
              <w:t>and</w:t>
            </w:r>
            <w:r w:rsidR="009A7C2C" w:rsidRPr="00CB7312">
              <w:rPr>
                <w:noProof/>
              </w:rPr>
              <w:t xml:space="preserve"> 27.6% </w:t>
            </w:r>
            <w:r w:rsidR="009A7C2C">
              <w:rPr>
                <w:noProof/>
              </w:rPr>
              <w:t>lower in</w:t>
            </w:r>
            <w:r w:rsidR="009A7C2C" w:rsidRPr="00CB7312">
              <w:rPr>
                <w:noProof/>
              </w:rPr>
              <w:t xml:space="preserve"> 2050</w:t>
            </w:r>
            <w:r w:rsidR="009A7C2C">
              <w:rPr>
                <w:noProof/>
              </w:rPr>
              <w:t xml:space="preserve">. The measures will also </w:t>
            </w:r>
            <w:r>
              <w:rPr>
                <w:noProof/>
              </w:rPr>
              <w:t>generate jobs and value added</w:t>
            </w:r>
            <w:r w:rsidR="007E072F">
              <w:rPr>
                <w:noProof/>
              </w:rPr>
              <w:t xml:space="preserve"> </w:t>
            </w:r>
            <w:r w:rsidR="009A7C2C">
              <w:rPr>
                <w:noProof/>
              </w:rPr>
              <w:t xml:space="preserve">in the construction ecosystem. </w:t>
            </w:r>
            <w:r w:rsidR="007A3CA3">
              <w:rPr>
                <w:noProof/>
              </w:rPr>
              <w:t>C</w:t>
            </w:r>
            <w:r w:rsidR="009A7C2C">
              <w:rPr>
                <w:noProof/>
              </w:rPr>
              <w:t xml:space="preserve">hoosing </w:t>
            </w:r>
            <w:r w:rsidR="00ED7DC0">
              <w:rPr>
                <w:noProof/>
              </w:rPr>
              <w:t xml:space="preserve">the </w:t>
            </w:r>
            <w:r w:rsidR="009A7C2C">
              <w:rPr>
                <w:noProof/>
              </w:rPr>
              <w:t>moderate ambition in line with option 2 is estimated to lead to an average renovation rate of 0.2% points higher than in the baseline</w:t>
            </w:r>
            <w:r w:rsidR="00ED7DC0">
              <w:rPr>
                <w:noProof/>
              </w:rPr>
              <w:t xml:space="preserve"> scenario. Here, the</w:t>
            </w:r>
            <w:r w:rsidR="009A7C2C">
              <w:rPr>
                <w:noProof/>
              </w:rPr>
              <w:t xml:space="preserve"> final energy consumption will be reduced by 3.6% and by 16% in 2030 and 2050</w:t>
            </w:r>
            <w:r w:rsidR="00ED7DC0">
              <w:rPr>
                <w:noProof/>
              </w:rPr>
              <w:t>,</w:t>
            </w:r>
            <w:r w:rsidR="009A7C2C">
              <w:rPr>
                <w:noProof/>
              </w:rPr>
              <w:t xml:space="preserve"> respectively</w:t>
            </w:r>
            <w:r w:rsidR="00ED7DC0">
              <w:rPr>
                <w:noProof/>
              </w:rPr>
              <w:t>,</w:t>
            </w:r>
            <w:r w:rsidR="009A7C2C">
              <w:rPr>
                <w:noProof/>
              </w:rPr>
              <w:t xml:space="preserve"> and GHG emissions for heating, cooling and domestic hot water by 4.2% and by 21% in 2030 and 2050</w:t>
            </w:r>
            <w:r w:rsidR="00ED7DC0">
              <w:rPr>
                <w:noProof/>
              </w:rPr>
              <w:t>,</w:t>
            </w:r>
            <w:r w:rsidR="009A7C2C">
              <w:rPr>
                <w:noProof/>
              </w:rPr>
              <w:t xml:space="preserve"> respectively. Compared to </w:t>
            </w:r>
            <w:r w:rsidR="00ED7DC0">
              <w:rPr>
                <w:noProof/>
              </w:rPr>
              <w:t xml:space="preserve">the </w:t>
            </w:r>
            <w:r w:rsidR="009A7C2C">
              <w:rPr>
                <w:noProof/>
              </w:rPr>
              <w:t xml:space="preserve">baseline, the energy costs for consumers in the moderate ambition option are projected to be up </w:t>
            </w:r>
            <w:r>
              <w:rPr>
                <w:noProof/>
              </w:rPr>
              <w:t xml:space="preserve">by </w:t>
            </w:r>
            <w:r w:rsidR="009A7C2C">
              <w:rPr>
                <w:noProof/>
              </w:rPr>
              <w:t>2% and 12% lower by 2030 and 2050</w:t>
            </w:r>
            <w:r w:rsidR="00ED7DC0">
              <w:rPr>
                <w:noProof/>
              </w:rPr>
              <w:t>,</w:t>
            </w:r>
            <w:r w:rsidR="009A7C2C">
              <w:rPr>
                <w:noProof/>
              </w:rPr>
              <w:t xml:space="preserve"> respectively.  </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What are the costs of the preferred option (if any, otherwise of main ones)?</w:t>
            </w:r>
            <w:r w:rsidRPr="0000636F">
              <w:rPr>
                <w:noProof/>
              </w:rPr>
              <w:t xml:space="preserve">                                   </w:t>
            </w:r>
          </w:p>
        </w:tc>
      </w:tr>
      <w:tr w:rsidR="009A7C2C" w:rsidRPr="0000636F" w:rsidTr="00F734C1">
        <w:tc>
          <w:tcPr>
            <w:tcW w:w="10490" w:type="dxa"/>
            <w:tcBorders>
              <w:bottom w:val="single" w:sz="4" w:space="0" w:color="auto"/>
            </w:tcBorders>
            <w:shd w:val="clear" w:color="auto" w:fill="auto"/>
          </w:tcPr>
          <w:p w:rsidR="009A7C2C" w:rsidRPr="008B7FD6" w:rsidRDefault="009A7C2C" w:rsidP="00B7357A">
            <w:pPr>
              <w:jc w:val="both"/>
              <w:rPr>
                <w:noProof/>
              </w:rPr>
            </w:pPr>
            <w:r>
              <w:rPr>
                <w:noProof/>
              </w:rPr>
              <w:t>The main costs are related to investments in</w:t>
            </w:r>
            <w:r w:rsidRPr="00121336">
              <w:rPr>
                <w:noProof/>
              </w:rPr>
              <w:t xml:space="preserve"> </w:t>
            </w:r>
            <w:r>
              <w:rPr>
                <w:noProof/>
              </w:rPr>
              <w:t xml:space="preserve">energy </w:t>
            </w:r>
            <w:r w:rsidRPr="00121336">
              <w:rPr>
                <w:noProof/>
              </w:rPr>
              <w:t>renovation</w:t>
            </w:r>
            <w:r>
              <w:rPr>
                <w:noProof/>
              </w:rPr>
              <w:t xml:space="preserve">s triggered by MEPS and to compliance with the zero-emission requirements for new constructions. </w:t>
            </w:r>
            <w:r w:rsidRPr="00B51075">
              <w:rPr>
                <w:noProof/>
              </w:rPr>
              <w:t xml:space="preserve">In comparison to the baseline, the </w:t>
            </w:r>
            <w:r>
              <w:rPr>
                <w:noProof/>
              </w:rPr>
              <w:t xml:space="preserve">estimated </w:t>
            </w:r>
            <w:r w:rsidRPr="00B51075">
              <w:rPr>
                <w:noProof/>
              </w:rPr>
              <w:t xml:space="preserve">relative increase of investment </w:t>
            </w:r>
            <w:r>
              <w:rPr>
                <w:noProof/>
              </w:rPr>
              <w:t>is 80% by</w:t>
            </w:r>
            <w:r w:rsidRPr="00B51075">
              <w:rPr>
                <w:noProof/>
              </w:rPr>
              <w:t xml:space="preserve"> 2030 </w:t>
            </w:r>
            <w:r>
              <w:rPr>
                <w:noProof/>
              </w:rPr>
              <w:t>in the</w:t>
            </w:r>
            <w:r w:rsidRPr="00B51075">
              <w:rPr>
                <w:noProof/>
              </w:rPr>
              <w:t xml:space="preserve"> </w:t>
            </w:r>
            <w:r>
              <w:rPr>
                <w:noProof/>
              </w:rPr>
              <w:t>‘high ambition I’ scenario.</w:t>
            </w:r>
            <w:r w:rsidRPr="000F31CD">
              <w:rPr>
                <w:noProof/>
              </w:rPr>
              <w:t xml:space="preserve"> In contrast with the preferred option, choosing </w:t>
            </w:r>
            <w:r w:rsidR="004B34C8">
              <w:rPr>
                <w:noProof/>
              </w:rPr>
              <w:t xml:space="preserve">the </w:t>
            </w:r>
            <w:r w:rsidRPr="000F31CD">
              <w:rPr>
                <w:noProof/>
              </w:rPr>
              <w:t xml:space="preserve">moderate ambition for the renovation of existing buildings </w:t>
            </w:r>
            <w:r>
              <w:rPr>
                <w:noProof/>
              </w:rPr>
              <w:t>is estimated to require a lower relative increase of investment of 22.4% by 2030.</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 xml:space="preserve">What are the impacts on SMEs and competitiveness? </w:t>
            </w:r>
          </w:p>
        </w:tc>
      </w:tr>
      <w:tr w:rsidR="009A7C2C" w:rsidRPr="0000636F" w:rsidTr="00F734C1">
        <w:tc>
          <w:tcPr>
            <w:tcW w:w="10490" w:type="dxa"/>
            <w:tcBorders>
              <w:bottom w:val="single" w:sz="4" w:space="0" w:color="auto"/>
            </w:tcBorders>
            <w:shd w:val="clear" w:color="auto" w:fill="auto"/>
          </w:tcPr>
          <w:p w:rsidR="009A7C2C" w:rsidRPr="009F097B" w:rsidRDefault="009A7C2C" w:rsidP="009116DB">
            <w:pPr>
              <w:jc w:val="both"/>
              <w:rPr>
                <w:noProof/>
              </w:rPr>
            </w:pPr>
            <w:r w:rsidRPr="009F097B">
              <w:rPr>
                <w:noProof/>
              </w:rPr>
              <w:t>More than 90% of construction, architecture, and civil engineering firms are SMEs. In the preferred option</w:t>
            </w:r>
            <w:r w:rsidR="004B34C8">
              <w:rPr>
                <w:noProof/>
              </w:rPr>
              <w:t>, it</w:t>
            </w:r>
            <w:r w:rsidRPr="009F097B">
              <w:rPr>
                <w:noProof/>
              </w:rPr>
              <w:t xml:space="preserve"> is projected that activity </w:t>
            </w:r>
            <w:r w:rsidR="008D1CE0">
              <w:rPr>
                <w:noProof/>
              </w:rPr>
              <w:t>will</w:t>
            </w:r>
            <w:r w:rsidRPr="009F097B">
              <w:rPr>
                <w:noProof/>
              </w:rPr>
              <w:t xml:space="preserve"> significantly increase by 2030, leading to EUR 104 billion per year of additional value-added as compared to 2020. In the moderate option, it is projected that by 2030 about EUR 29 billion per year of additional value-added</w:t>
            </w:r>
            <w:r w:rsidR="004B34C8" w:rsidRPr="009F097B">
              <w:rPr>
                <w:noProof/>
              </w:rPr>
              <w:t xml:space="preserve"> will be generated</w:t>
            </w:r>
            <w:r w:rsidRPr="009F097B">
              <w:rPr>
                <w:noProof/>
              </w:rPr>
              <w:t>.</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9F097B" w:rsidRDefault="009A7C2C" w:rsidP="00F734C1">
            <w:pPr>
              <w:rPr>
                <w:b/>
                <w:i/>
                <w:noProof/>
              </w:rPr>
            </w:pPr>
            <w:r w:rsidRPr="009F097B">
              <w:rPr>
                <w:b/>
                <w:noProof/>
              </w:rPr>
              <w:t>Will there be significant impacts</w:t>
            </w:r>
            <w:r w:rsidRPr="009F097B">
              <w:rPr>
                <w:noProof/>
              </w:rPr>
              <w:t xml:space="preserve"> </w:t>
            </w:r>
            <w:r w:rsidRPr="009F097B">
              <w:rPr>
                <w:b/>
                <w:noProof/>
              </w:rPr>
              <w:t>on national budgets and administrations?</w:t>
            </w:r>
            <w:r w:rsidRPr="009F097B">
              <w:rPr>
                <w:noProof/>
              </w:rPr>
              <w:t xml:space="preserve"> </w:t>
            </w:r>
          </w:p>
        </w:tc>
      </w:tr>
      <w:tr w:rsidR="009A7C2C" w:rsidRPr="0000636F" w:rsidTr="00F734C1">
        <w:tc>
          <w:tcPr>
            <w:tcW w:w="10490" w:type="dxa"/>
            <w:shd w:val="clear" w:color="auto" w:fill="auto"/>
          </w:tcPr>
          <w:p w:rsidR="009A7C2C" w:rsidRPr="009F097B" w:rsidRDefault="009A7C2C" w:rsidP="009116DB">
            <w:pPr>
              <w:jc w:val="both"/>
              <w:rPr>
                <w:noProof/>
              </w:rPr>
            </w:pPr>
            <w:r w:rsidRPr="009F097B">
              <w:rPr>
                <w:noProof/>
              </w:rPr>
              <w:t>The proposal amends an existing Directive for the third time and largely relies on structures and rules that are already in place. Nevertheless, public authorities will face costs linked to national transposition, monitoring and enforcement, and certain administrative costs incurred to comply with obligations to provide information. On the latter, the digitalisation of Energy Performance Certificates and the new provisions on data exchange and databases are expected to reduce compliance costs and facilitate administrative procedures linked to renovations.</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jc w:val="both"/>
              <w:rPr>
                <w:noProof/>
              </w:rPr>
            </w:pPr>
            <w:r w:rsidRPr="0000636F">
              <w:rPr>
                <w:b/>
                <w:noProof/>
              </w:rPr>
              <w:t>Will there be other significant impacts?</w:t>
            </w:r>
            <w:r w:rsidRPr="0000636F">
              <w:rPr>
                <w:noProof/>
              </w:rPr>
              <w:t xml:space="preserve"> </w:t>
            </w:r>
          </w:p>
        </w:tc>
      </w:tr>
      <w:tr w:rsidR="009A7C2C" w:rsidRPr="0000636F" w:rsidTr="00F734C1">
        <w:tc>
          <w:tcPr>
            <w:tcW w:w="10490" w:type="dxa"/>
            <w:tcBorders>
              <w:bottom w:val="single" w:sz="4" w:space="0" w:color="auto"/>
            </w:tcBorders>
            <w:shd w:val="clear" w:color="auto" w:fill="auto"/>
          </w:tcPr>
          <w:p w:rsidR="009A7C2C" w:rsidRPr="0000636F" w:rsidRDefault="009A7C2C" w:rsidP="00572EF4">
            <w:pPr>
              <w:jc w:val="both"/>
              <w:rPr>
                <w:noProof/>
              </w:rPr>
            </w:pPr>
            <w:r>
              <w:rPr>
                <w:noProof/>
              </w:rPr>
              <w:t>R</w:t>
            </w:r>
            <w:r w:rsidRPr="00D067A0">
              <w:rPr>
                <w:noProof/>
              </w:rPr>
              <w:t>educed energy bills will help alleviate energy poverty</w:t>
            </w:r>
            <w:r>
              <w:rPr>
                <w:noProof/>
              </w:rPr>
              <w:t xml:space="preserve">. The </w:t>
            </w:r>
            <w:r w:rsidR="00572EF4">
              <w:rPr>
                <w:noProof/>
              </w:rPr>
              <w:t xml:space="preserve">estimated </w:t>
            </w:r>
            <w:r>
              <w:rPr>
                <w:noProof/>
              </w:rPr>
              <w:t xml:space="preserve">relative decrease </w:t>
            </w:r>
            <w:r w:rsidRPr="00D067A0">
              <w:rPr>
                <w:noProof/>
              </w:rPr>
              <w:t xml:space="preserve">of energy poverty </w:t>
            </w:r>
            <w:r>
              <w:rPr>
                <w:noProof/>
              </w:rPr>
              <w:t xml:space="preserve">will </w:t>
            </w:r>
            <w:r w:rsidRPr="00D067A0">
              <w:rPr>
                <w:noProof/>
              </w:rPr>
              <w:t xml:space="preserve">concern around </w:t>
            </w:r>
            <w:r>
              <w:rPr>
                <w:noProof/>
              </w:rPr>
              <w:t>3.5</w:t>
            </w:r>
            <w:r w:rsidRPr="00D067A0">
              <w:rPr>
                <w:noProof/>
              </w:rPr>
              <w:t xml:space="preserve"> </w:t>
            </w:r>
            <w:r>
              <w:rPr>
                <w:noProof/>
              </w:rPr>
              <w:t xml:space="preserve">million households </w:t>
            </w:r>
            <w:r w:rsidR="00572EF4">
              <w:rPr>
                <w:noProof/>
              </w:rPr>
              <w:t xml:space="preserve">for the preferred option and 2.3 million households for the moderation ambition </w:t>
            </w:r>
            <w:r>
              <w:rPr>
                <w:noProof/>
              </w:rPr>
              <w:t>by 2030</w:t>
            </w:r>
            <w:r w:rsidRPr="00D067A0">
              <w:rPr>
                <w:noProof/>
              </w:rPr>
              <w:t>.</w:t>
            </w:r>
            <w:r>
              <w:rPr>
                <w:noProof/>
              </w:rPr>
              <w:t xml:space="preserve"> In addition, reducing energy use will bring significant environmental and health benefits, and it will also decrease the EU’s dependenc</w:t>
            </w:r>
            <w:r w:rsidR="000D6842">
              <w:rPr>
                <w:noProof/>
              </w:rPr>
              <w:t>y</w:t>
            </w:r>
            <w:r>
              <w:rPr>
                <w:noProof/>
              </w:rPr>
              <w:t xml:space="preserve"> on energy imports.</w:t>
            </w:r>
          </w:p>
        </w:tc>
      </w:tr>
      <w:tr w:rsidR="009A7C2C" w:rsidRPr="0000636F" w:rsidTr="00F734C1">
        <w:trPr>
          <w:trHeight w:hRule="exact" w:val="397"/>
        </w:trPr>
        <w:tc>
          <w:tcPr>
            <w:tcW w:w="10490" w:type="dxa"/>
            <w:tcBorders>
              <w:bottom w:val="single" w:sz="4" w:space="0" w:color="auto"/>
            </w:tcBorders>
            <w:shd w:val="clear" w:color="auto" w:fill="D9D9D9"/>
          </w:tcPr>
          <w:p w:rsidR="009A7C2C" w:rsidRPr="0000636F" w:rsidRDefault="009A7C2C" w:rsidP="00F734C1">
            <w:pPr>
              <w:jc w:val="both"/>
              <w:rPr>
                <w:i/>
                <w:noProof/>
              </w:rPr>
            </w:pPr>
            <w:r w:rsidRPr="0000636F">
              <w:rPr>
                <w:b/>
                <w:noProof/>
              </w:rPr>
              <w:t>Proportionality?</w:t>
            </w:r>
            <w:r w:rsidRPr="0000636F">
              <w:rPr>
                <w:noProof/>
              </w:rPr>
              <w:t xml:space="preserve"> </w:t>
            </w:r>
            <w:r>
              <w:rPr>
                <w:noProof/>
              </w:rPr>
              <w:t xml:space="preserve"> </w:t>
            </w:r>
          </w:p>
        </w:tc>
      </w:tr>
      <w:tr w:rsidR="009A7C2C" w:rsidRPr="0000636F" w:rsidTr="00F734C1">
        <w:tc>
          <w:tcPr>
            <w:tcW w:w="10490" w:type="dxa"/>
            <w:tcBorders>
              <w:bottom w:val="single" w:sz="4" w:space="0" w:color="auto"/>
            </w:tcBorders>
            <w:shd w:val="clear" w:color="auto" w:fill="auto"/>
          </w:tcPr>
          <w:p w:rsidR="009A7C2C" w:rsidRPr="00197728" w:rsidRDefault="009A7C2C" w:rsidP="003B0A80">
            <w:pPr>
              <w:jc w:val="both"/>
              <w:rPr>
                <w:noProof/>
              </w:rPr>
            </w:pPr>
            <w:r>
              <w:rPr>
                <w:noProof/>
              </w:rPr>
              <w:t xml:space="preserve">The measures proposed do not go beyond what is necessary for the buildings sector to make its adequate contribution to the EU’s climate ambition for 2030 and 2050. </w:t>
            </w:r>
            <w:r w:rsidRPr="00447BC0">
              <w:rPr>
                <w:noProof/>
              </w:rPr>
              <w:t xml:space="preserve">The concerns expressed by the Regulatory Scrutiny Board have been addressed by modifying the </w:t>
            </w:r>
            <w:r>
              <w:rPr>
                <w:noProof/>
              </w:rPr>
              <w:t xml:space="preserve">legislative </w:t>
            </w:r>
            <w:r w:rsidRPr="00447BC0">
              <w:rPr>
                <w:noProof/>
              </w:rPr>
              <w:t>proposal</w:t>
            </w:r>
            <w:r>
              <w:rPr>
                <w:noProof/>
              </w:rPr>
              <w:t>.</w:t>
            </w:r>
          </w:p>
        </w:tc>
      </w:tr>
      <w:tr w:rsidR="009A7C2C" w:rsidRPr="0000636F" w:rsidTr="00F734C1">
        <w:trPr>
          <w:trHeight w:hRule="exact" w:val="397"/>
        </w:trPr>
        <w:tc>
          <w:tcPr>
            <w:tcW w:w="10490" w:type="dxa"/>
            <w:tcBorders>
              <w:bottom w:val="single" w:sz="4" w:space="0" w:color="auto"/>
            </w:tcBorders>
            <w:shd w:val="clear" w:color="auto" w:fill="C0C0C0"/>
          </w:tcPr>
          <w:p w:rsidR="009A7C2C" w:rsidRPr="0000636F" w:rsidRDefault="009A7C2C" w:rsidP="00F734C1">
            <w:pPr>
              <w:rPr>
                <w:b/>
                <w:noProof/>
              </w:rPr>
            </w:pPr>
            <w:r w:rsidRPr="0000636F">
              <w:rPr>
                <w:b/>
                <w:noProof/>
              </w:rPr>
              <w:t>D. Follow up</w:t>
            </w:r>
          </w:p>
        </w:tc>
      </w:tr>
      <w:tr w:rsidR="009A7C2C" w:rsidRPr="0000636F" w:rsidTr="00F734C1">
        <w:trPr>
          <w:trHeight w:hRule="exact" w:val="397"/>
        </w:trPr>
        <w:tc>
          <w:tcPr>
            <w:tcW w:w="10490" w:type="dxa"/>
            <w:tcBorders>
              <w:bottom w:val="single" w:sz="4" w:space="0" w:color="auto"/>
            </w:tcBorders>
            <w:shd w:val="clear" w:color="auto" w:fill="E6E6E6"/>
          </w:tcPr>
          <w:p w:rsidR="009A7C2C" w:rsidRPr="0000636F" w:rsidRDefault="009A7C2C" w:rsidP="00F734C1">
            <w:pPr>
              <w:rPr>
                <w:noProof/>
              </w:rPr>
            </w:pPr>
            <w:r w:rsidRPr="0000636F">
              <w:rPr>
                <w:b/>
                <w:noProof/>
              </w:rPr>
              <w:t xml:space="preserve">When will the policy be reviewed? </w:t>
            </w:r>
          </w:p>
        </w:tc>
      </w:tr>
      <w:tr w:rsidR="009A7C2C" w:rsidRPr="0000636F" w:rsidTr="00F734C1">
        <w:tc>
          <w:tcPr>
            <w:tcW w:w="10490" w:type="dxa"/>
            <w:tcBorders>
              <w:bottom w:val="single" w:sz="4" w:space="0" w:color="auto"/>
            </w:tcBorders>
            <w:shd w:val="clear" w:color="auto" w:fill="auto"/>
          </w:tcPr>
          <w:p w:rsidR="009A7C2C" w:rsidRPr="005C20CE" w:rsidRDefault="009A7C2C" w:rsidP="00D43045">
            <w:pPr>
              <w:jc w:val="both"/>
              <w:rPr>
                <w:noProof/>
                <w:highlight w:val="yellow"/>
              </w:rPr>
            </w:pPr>
            <w:r>
              <w:rPr>
                <w:noProof/>
              </w:rPr>
              <w:t xml:space="preserve">The Commission intends </w:t>
            </w:r>
            <w:r w:rsidRPr="00FD0EF8">
              <w:rPr>
                <w:noProof/>
              </w:rPr>
              <w:t xml:space="preserve">to review the </w:t>
            </w:r>
            <w:r>
              <w:rPr>
                <w:noProof/>
              </w:rPr>
              <w:t>EPBD by end 2027, at the latest.</w:t>
            </w:r>
            <w:r w:rsidRPr="00FD0EF8">
              <w:rPr>
                <w:noProof/>
              </w:rPr>
              <w:t xml:space="preserve"> </w:t>
            </w:r>
            <w:r w:rsidRPr="00447BC0">
              <w:rPr>
                <w:noProof/>
              </w:rPr>
              <w:t>The impacts of the revised EPBD will be monitored and progress evaluated based on the provisions in the current EPBD</w:t>
            </w:r>
            <w:r>
              <w:rPr>
                <w:noProof/>
              </w:rPr>
              <w:t xml:space="preserve">, on the Building Renovation Plans, </w:t>
            </w:r>
            <w:r w:rsidRPr="00447BC0">
              <w:rPr>
                <w:noProof/>
              </w:rPr>
              <w:t xml:space="preserve">and </w:t>
            </w:r>
            <w:r>
              <w:rPr>
                <w:noProof/>
              </w:rPr>
              <w:t>on progress in the context of</w:t>
            </w:r>
            <w:r w:rsidRPr="00447BC0">
              <w:rPr>
                <w:noProof/>
              </w:rPr>
              <w:t xml:space="preserve"> Regulation (EU) 2018/1999 on the Governance of the Energy Union and Climate Action. </w:t>
            </w:r>
            <w:r>
              <w:rPr>
                <w:noProof/>
              </w:rPr>
              <w:t>The Commission will assess whether measures</w:t>
            </w:r>
            <w:r w:rsidR="00D43045">
              <w:rPr>
                <w:noProof/>
              </w:rPr>
              <w:t xml:space="preserve"> in place</w:t>
            </w:r>
            <w:r>
              <w:rPr>
                <w:noProof/>
              </w:rPr>
              <w:t>, including carbon pricing, will bring sufficient improvements to deliver a fully decarbonised, zero-emission building stock by 2050, or whether further binding measures at Union level such as strengthened EU-wide minimum energy performance standards</w:t>
            </w:r>
            <w:r w:rsidR="00D43045">
              <w:rPr>
                <w:noProof/>
              </w:rPr>
              <w:t xml:space="preserve"> will</w:t>
            </w:r>
            <w:r>
              <w:rPr>
                <w:noProof/>
              </w:rPr>
              <w:t xml:space="preserve"> need to be introduced. </w:t>
            </w:r>
          </w:p>
        </w:tc>
      </w:tr>
    </w:tbl>
    <w:p w:rsidR="00F31280" w:rsidRDefault="00F31280">
      <w:pPr>
        <w:rPr>
          <w:noProof/>
        </w:rPr>
      </w:pPr>
    </w:p>
    <w:sectPr w:rsidR="00F31280" w:rsidSect="0026613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25" w:rsidRDefault="009B0425" w:rsidP="0026613F">
      <w:pPr>
        <w:spacing w:after="0" w:line="240" w:lineRule="auto"/>
      </w:pPr>
      <w:r>
        <w:separator/>
      </w:r>
    </w:p>
  </w:endnote>
  <w:endnote w:type="continuationSeparator" w:id="0">
    <w:p w:rsidR="009B0425" w:rsidRDefault="009B0425" w:rsidP="0026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97" w:rsidRPr="00097E97" w:rsidRDefault="00097E97" w:rsidP="00097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CD" w:rsidRPr="00097E97" w:rsidRDefault="00097E97" w:rsidP="00097E97">
    <w:pPr>
      <w:pStyle w:val="FooterCoverPage"/>
      <w:rPr>
        <w:rFonts w:ascii="Arial" w:hAnsi="Arial" w:cs="Arial"/>
        <w:b/>
        <w:sz w:val="48"/>
      </w:rPr>
    </w:pPr>
    <w:r w:rsidRPr="00097E97">
      <w:rPr>
        <w:rFonts w:ascii="Arial" w:hAnsi="Arial" w:cs="Arial"/>
        <w:b/>
        <w:sz w:val="48"/>
      </w:rPr>
      <w:t>EN</w:t>
    </w:r>
    <w:r w:rsidRPr="00097E97">
      <w:rPr>
        <w:rFonts w:ascii="Arial" w:hAnsi="Arial" w:cs="Arial"/>
        <w:b/>
        <w:sz w:val="48"/>
      </w:rPr>
      <w:tab/>
    </w:r>
    <w:r w:rsidRPr="00097E97">
      <w:rPr>
        <w:rFonts w:ascii="Arial" w:hAnsi="Arial" w:cs="Arial"/>
        <w:b/>
        <w:sz w:val="48"/>
      </w:rPr>
      <w:tab/>
    </w:r>
    <w:r w:rsidRPr="00097E97">
      <w:tab/>
    </w:r>
    <w:r w:rsidRPr="00097E9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97" w:rsidRPr="00097E97" w:rsidRDefault="00097E97" w:rsidP="00097E9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3F" w:rsidRDefault="002661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rPr>
        <w:noProof/>
      </w:rPr>
    </w:sdtEndPr>
    <w:sdtContent>
      <w:p w:rsidR="0026613F" w:rsidRDefault="0026613F">
        <w:pPr>
          <w:pStyle w:val="Footer"/>
          <w:jc w:val="center"/>
        </w:pPr>
        <w:r>
          <w:fldChar w:fldCharType="begin"/>
        </w:r>
        <w:r>
          <w:instrText xml:space="preserve"> PAGE   \* MERGEFORMAT </w:instrText>
        </w:r>
        <w:r>
          <w:fldChar w:fldCharType="separate"/>
        </w:r>
        <w:r w:rsidR="00097E97">
          <w:rPr>
            <w:noProof/>
          </w:rPr>
          <w:t>1</w:t>
        </w:r>
        <w:r>
          <w:rPr>
            <w:noProof/>
          </w:rPr>
          <w:fldChar w:fldCharType="end"/>
        </w:r>
      </w:p>
    </w:sdtContent>
  </w:sdt>
  <w:p w:rsidR="0026613F" w:rsidRDefault="002661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3F" w:rsidRDefault="0026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25" w:rsidRDefault="009B0425" w:rsidP="0026613F">
      <w:pPr>
        <w:spacing w:after="0" w:line="240" w:lineRule="auto"/>
      </w:pPr>
      <w:r>
        <w:separator/>
      </w:r>
    </w:p>
  </w:footnote>
  <w:footnote w:type="continuationSeparator" w:id="0">
    <w:p w:rsidR="009B0425" w:rsidRDefault="009B0425" w:rsidP="0026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97" w:rsidRPr="00097E97" w:rsidRDefault="00097E97" w:rsidP="00097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97" w:rsidRPr="00097E97" w:rsidRDefault="00097E97" w:rsidP="00097E9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97" w:rsidRPr="00097E97" w:rsidRDefault="00097E97" w:rsidP="00097E9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3F" w:rsidRPr="007757CD" w:rsidRDefault="0026613F" w:rsidP="007757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3F" w:rsidRPr="007757CD" w:rsidRDefault="0026613F" w:rsidP="007757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3F" w:rsidRPr="007757CD" w:rsidRDefault="0026613F" w:rsidP="00775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1AD3294-3460-4BD9-88ED-9D6E8A9A197B"/>
    <w:docVar w:name="LW_COVERPAGE_TYPE" w:val="1"/>
    <w:docVar w:name="LW_CROSSREFERENCE" w:val="{COM(2021) 802 final} - {SEC(2021) 430 final} - {SWD(2021) 453 final}"/>
    <w:docVar w:name="LW_DocType" w:val="NORMAL"/>
    <w:docVar w:name="LW_EMISSION" w:val="15.12.2021"/>
    <w:docVar w:name="LW_EMISSION_ISODATE" w:val="2021-12-15"/>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the energy performance of buildings (recast)"/>
    <w:docVar w:name="LW_PART_NBR" w:val="1"/>
    <w:docVar w:name="LW_PART_NBR_TOTAL" w:val="1"/>
    <w:docVar w:name="LW_REF.INST.NEW" w:val="SWD"/>
    <w:docVar w:name="LW_REF.INST.NEW_ADOPTED" w:val="final"/>
    <w:docVar w:name="LW_REF.INST.NEW_TEXT" w:val="(2021)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Directive of the European Parliament and of the Council"/>
    <w:docVar w:name="LwApiVersions" w:val="LW4CoDe 1.23.2.0; LW 8.0, Build 20211117"/>
  </w:docVars>
  <w:rsids>
    <w:rsidRoot w:val="0026613F"/>
    <w:rsid w:val="000804FF"/>
    <w:rsid w:val="00097E97"/>
    <w:rsid w:val="000B33BD"/>
    <w:rsid w:val="000C663A"/>
    <w:rsid w:val="000D6842"/>
    <w:rsid w:val="001006FD"/>
    <w:rsid w:val="00153530"/>
    <w:rsid w:val="001564D9"/>
    <w:rsid w:val="002529A1"/>
    <w:rsid w:val="00254112"/>
    <w:rsid w:val="0026613F"/>
    <w:rsid w:val="00277873"/>
    <w:rsid w:val="002B4F17"/>
    <w:rsid w:val="003B0A80"/>
    <w:rsid w:val="003D0B96"/>
    <w:rsid w:val="003D43A3"/>
    <w:rsid w:val="00481AE2"/>
    <w:rsid w:val="004A3979"/>
    <w:rsid w:val="004B34C8"/>
    <w:rsid w:val="004C192B"/>
    <w:rsid w:val="00572DA7"/>
    <w:rsid w:val="00572EF4"/>
    <w:rsid w:val="005D672C"/>
    <w:rsid w:val="00624693"/>
    <w:rsid w:val="00681ABE"/>
    <w:rsid w:val="006F782E"/>
    <w:rsid w:val="0075480D"/>
    <w:rsid w:val="007757CD"/>
    <w:rsid w:val="007A3CA3"/>
    <w:rsid w:val="007E072F"/>
    <w:rsid w:val="007F239E"/>
    <w:rsid w:val="008B093B"/>
    <w:rsid w:val="008D1CE0"/>
    <w:rsid w:val="008F4183"/>
    <w:rsid w:val="0090406A"/>
    <w:rsid w:val="009116DB"/>
    <w:rsid w:val="009527B9"/>
    <w:rsid w:val="009601DE"/>
    <w:rsid w:val="0098704B"/>
    <w:rsid w:val="009A74C6"/>
    <w:rsid w:val="009A7C2C"/>
    <w:rsid w:val="009B0425"/>
    <w:rsid w:val="009D4654"/>
    <w:rsid w:val="00A10051"/>
    <w:rsid w:val="00AC1C24"/>
    <w:rsid w:val="00AF711C"/>
    <w:rsid w:val="00B1566B"/>
    <w:rsid w:val="00B7357A"/>
    <w:rsid w:val="00BE46C6"/>
    <w:rsid w:val="00BE7B3F"/>
    <w:rsid w:val="00CB5C88"/>
    <w:rsid w:val="00CC2B8F"/>
    <w:rsid w:val="00D20FD1"/>
    <w:rsid w:val="00D43045"/>
    <w:rsid w:val="00D97C0C"/>
    <w:rsid w:val="00E45788"/>
    <w:rsid w:val="00E5120F"/>
    <w:rsid w:val="00ED2CF8"/>
    <w:rsid w:val="00ED7DC0"/>
    <w:rsid w:val="00F31280"/>
    <w:rsid w:val="00F42ADD"/>
    <w:rsid w:val="00F93A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06031B9-DAFF-4D24-8216-215BE15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paragraph" w:styleId="BalloonText">
    <w:name w:val="Balloon Text"/>
    <w:basedOn w:val="Normal"/>
    <w:link w:val="BalloonTextChar"/>
    <w:uiPriority w:val="99"/>
    <w:semiHidden/>
    <w:unhideWhenUsed/>
    <w:rsid w:val="00E51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20F"/>
    <w:rPr>
      <w:rFonts w:ascii="Segoe UI" w:hAnsi="Segoe UI" w:cs="Segoe UI"/>
      <w:sz w:val="18"/>
      <w:szCs w:val="18"/>
    </w:rPr>
  </w:style>
  <w:style w:type="character" w:styleId="CommentReference">
    <w:name w:val="annotation reference"/>
    <w:basedOn w:val="DefaultParagraphFont"/>
    <w:uiPriority w:val="99"/>
    <w:semiHidden/>
    <w:unhideWhenUsed/>
    <w:rsid w:val="009601DE"/>
    <w:rPr>
      <w:sz w:val="16"/>
      <w:szCs w:val="16"/>
    </w:rPr>
  </w:style>
  <w:style w:type="paragraph" w:styleId="CommentText">
    <w:name w:val="annotation text"/>
    <w:basedOn w:val="Normal"/>
    <w:link w:val="CommentTextChar"/>
    <w:uiPriority w:val="99"/>
    <w:semiHidden/>
    <w:unhideWhenUsed/>
    <w:rsid w:val="009601DE"/>
    <w:pPr>
      <w:spacing w:line="240" w:lineRule="auto"/>
    </w:pPr>
    <w:rPr>
      <w:sz w:val="20"/>
      <w:szCs w:val="20"/>
    </w:rPr>
  </w:style>
  <w:style w:type="character" w:customStyle="1" w:styleId="CommentTextChar">
    <w:name w:val="Comment Text Char"/>
    <w:basedOn w:val="DefaultParagraphFont"/>
    <w:link w:val="CommentText"/>
    <w:uiPriority w:val="99"/>
    <w:semiHidden/>
    <w:rsid w:val="009601DE"/>
    <w:rPr>
      <w:sz w:val="20"/>
      <w:szCs w:val="20"/>
    </w:rPr>
  </w:style>
  <w:style w:type="paragraph" w:styleId="CommentSubject">
    <w:name w:val="annotation subject"/>
    <w:basedOn w:val="CommentText"/>
    <w:next w:val="CommentText"/>
    <w:link w:val="CommentSubjectChar"/>
    <w:uiPriority w:val="99"/>
    <w:semiHidden/>
    <w:unhideWhenUsed/>
    <w:rsid w:val="009601DE"/>
    <w:rPr>
      <w:b/>
      <w:bCs/>
    </w:rPr>
  </w:style>
  <w:style w:type="character" w:customStyle="1" w:styleId="CommentSubjectChar">
    <w:name w:val="Comment Subject Char"/>
    <w:basedOn w:val="CommentTextChar"/>
    <w:link w:val="CommentSubject"/>
    <w:uiPriority w:val="99"/>
    <w:semiHidden/>
    <w:rsid w:val="009601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0" ma:contentTypeDescription="Create a new document." ma:contentTypeScope="" ma:versionID="b325f6ffac22de495129019a455f508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ADD4F-F658-4544-A3E9-ADD1FEAA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68801F-6CFB-40D9-8555-97F7F25274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B1BB55-B040-4127-A629-C2FF3815A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7778</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2021-12-09T11:31:00Z</dcterms:created>
  <dcterms:modified xsi:type="dcterms:W3CDTF">2021-12-14T17:49:00Z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ContentTypeId">
    <vt:lpwstr>0x010100E98322858357ED4DB8ACEC003F271AA8</vt:lpwstr>
  </property>
</Properties>
</file>