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408C" w14:textId="6957099F" w:rsidR="00DF010D" w:rsidRPr="003A55C4" w:rsidRDefault="00A1638D" w:rsidP="00A1638D">
      <w:pPr>
        <w:pStyle w:val="Pagedecouverture"/>
        <w:rPr>
          <w:noProof/>
        </w:rPr>
      </w:pPr>
      <w:r>
        <w:rPr>
          <w:noProof/>
        </w:rPr>
        <w:pict w14:anchorId="7D8EB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80FC06-E35F-4141-A77A-1B2B7B4B5D16" style="width:455.25pt;height:355.5pt">
            <v:imagedata r:id="rId15" o:title=""/>
          </v:shape>
        </w:pict>
      </w:r>
    </w:p>
    <w:p w14:paraId="08EEE9FE" w14:textId="77777777" w:rsidR="00DF010D" w:rsidRPr="003A55C4" w:rsidRDefault="00DF010D" w:rsidP="00DF010D">
      <w:pPr>
        <w:rPr>
          <w:noProof/>
        </w:rPr>
        <w:sectPr w:rsidR="00DF010D" w:rsidRPr="003A55C4" w:rsidSect="00A1638D">
          <w:footerReference w:type="default" r:id="rId16"/>
          <w:pgSz w:w="11907" w:h="16839"/>
          <w:pgMar w:top="1134" w:right="1417" w:bottom="1134" w:left="1417" w:header="709" w:footer="709" w:gutter="0"/>
          <w:pgNumType w:start="0"/>
          <w:cols w:space="720"/>
          <w:docGrid w:linePitch="360"/>
        </w:sectPr>
      </w:pPr>
    </w:p>
    <w:p w14:paraId="5093726A" w14:textId="77777777" w:rsidR="00DF010D" w:rsidRPr="003A55C4" w:rsidRDefault="00DF010D" w:rsidP="001E75DE">
      <w:pPr>
        <w:pStyle w:val="Exposdesmotifstitre"/>
        <w:rPr>
          <w:noProof/>
        </w:rPr>
      </w:pPr>
      <w:bookmarkStart w:id="0" w:name="_GoBack"/>
      <w:bookmarkEnd w:id="0"/>
      <w:r w:rsidRPr="003A55C4">
        <w:rPr>
          <w:noProof/>
        </w:rPr>
        <w:lastRenderedPageBreak/>
        <w:t>EXPLANATORY MEMORANDUM</w:t>
      </w:r>
    </w:p>
    <w:p w14:paraId="43992EBD" w14:textId="77777777" w:rsidR="005512E6" w:rsidRPr="003A55C4" w:rsidRDefault="005512E6" w:rsidP="005512E6">
      <w:pPr>
        <w:rPr>
          <w:noProof/>
        </w:rPr>
      </w:pPr>
    </w:p>
    <w:p w14:paraId="66A2E784" w14:textId="434EF1B7" w:rsidR="005512E6" w:rsidRPr="003A55C4" w:rsidRDefault="0007655F" w:rsidP="0007655F">
      <w:pPr>
        <w:pStyle w:val="ManualHeading1"/>
        <w:rPr>
          <w:noProof/>
        </w:rPr>
      </w:pPr>
      <w:r w:rsidRPr="0007655F">
        <w:t>1.</w:t>
      </w:r>
      <w:r w:rsidRPr="0007655F">
        <w:tab/>
      </w:r>
      <w:r w:rsidR="005512E6" w:rsidRPr="003A55C4">
        <w:rPr>
          <w:noProof/>
        </w:rPr>
        <w:t>CONTEXT OF THE PROPOSAL</w:t>
      </w:r>
    </w:p>
    <w:p w14:paraId="1298B183" w14:textId="77777777" w:rsidR="005512E6" w:rsidRPr="003A55C4" w:rsidRDefault="005512E6" w:rsidP="005512E6">
      <w:pPr>
        <w:spacing w:before="0" w:after="240" w:line="276" w:lineRule="auto"/>
        <w:rPr>
          <w:noProof/>
        </w:rPr>
      </w:pPr>
      <w:r w:rsidRPr="003A55C4">
        <w:rPr>
          <w:noProof/>
        </w:rPr>
        <w:t>The C</w:t>
      </w:r>
      <w:r w:rsidR="002A5ADF" w:rsidRPr="003A55C4">
        <w:rPr>
          <w:noProof/>
        </w:rPr>
        <w:t>OVID</w:t>
      </w:r>
      <w:r w:rsidRPr="003A55C4">
        <w:rPr>
          <w:noProof/>
        </w:rPr>
        <w:t>-19 pandemic has caused the deepest economic recession for many decades in the EU</w:t>
      </w:r>
      <w:r w:rsidRPr="003A55C4">
        <w:rPr>
          <w:rStyle w:val="FootnoteReference"/>
          <w:noProof/>
        </w:rPr>
        <w:footnoteReference w:id="2"/>
      </w:r>
      <w:r w:rsidRPr="003A55C4">
        <w:rPr>
          <w:noProof/>
        </w:rPr>
        <w:t xml:space="preserve">, </w:t>
      </w:r>
      <w:r w:rsidR="00BF55DC">
        <w:rPr>
          <w:noProof/>
        </w:rPr>
        <w:t>which</w:t>
      </w:r>
      <w:r w:rsidRPr="003A55C4">
        <w:rPr>
          <w:noProof/>
        </w:rPr>
        <w:t xml:space="preserve"> triggered a swift and resolute policy response at both national and EU level.</w:t>
      </w:r>
      <w:r w:rsidR="002A5ADF" w:rsidRPr="003A55C4">
        <w:rPr>
          <w:noProof/>
        </w:rPr>
        <w:t xml:space="preserve"> </w:t>
      </w:r>
      <w:r w:rsidRPr="003A55C4">
        <w:rPr>
          <w:noProof/>
        </w:rPr>
        <w:t xml:space="preserve">All Member States have adopted exceptional discretionary measures, in addition to </w:t>
      </w:r>
      <w:r w:rsidR="0027786C">
        <w:rPr>
          <w:noProof/>
        </w:rPr>
        <w:t>their</w:t>
      </w:r>
      <w:r w:rsidRPr="003A55C4">
        <w:rPr>
          <w:noProof/>
        </w:rPr>
        <w:t xml:space="preserve"> “automatic stabilisers” in order to support economic activity and mitigate social impacts. </w:t>
      </w:r>
    </w:p>
    <w:p w14:paraId="06DE9A0D" w14:textId="77777777" w:rsidR="005512E6" w:rsidRPr="003A55C4" w:rsidRDefault="005512E6" w:rsidP="005512E6">
      <w:pPr>
        <w:spacing w:before="0" w:after="240" w:line="276" w:lineRule="auto"/>
        <w:rPr>
          <w:noProof/>
        </w:rPr>
      </w:pPr>
      <w:r w:rsidRPr="003A55C4">
        <w:rPr>
          <w:noProof/>
        </w:rPr>
        <w:t>The EU also took unprecedented steps to address the crisis. With a total of EUR 1.8 tri</w:t>
      </w:r>
      <w:r w:rsidR="002A5ADF" w:rsidRPr="003A55C4">
        <w:rPr>
          <w:noProof/>
        </w:rPr>
        <w:t>llion in 2018 prices, the EU’s multitiannual financial f</w:t>
      </w:r>
      <w:r w:rsidRPr="003A55C4">
        <w:rPr>
          <w:noProof/>
        </w:rPr>
        <w:t>ramework, coupled with the European Union Recovery Instrument (NextGe</w:t>
      </w:r>
      <w:r w:rsidR="005F7441" w:rsidRPr="003A55C4">
        <w:rPr>
          <w:noProof/>
        </w:rPr>
        <w:t>nerationEU</w:t>
      </w:r>
      <w:r w:rsidRPr="003A55C4">
        <w:rPr>
          <w:noProof/>
        </w:rPr>
        <w:t xml:space="preserve">), is the largest stimulus package ever financed through the EU budget. </w:t>
      </w:r>
      <w:r w:rsidR="005F7441" w:rsidRPr="003A55C4">
        <w:rPr>
          <w:noProof/>
        </w:rPr>
        <w:t>NextGenerationEU</w:t>
      </w:r>
      <w:r w:rsidRPr="003A55C4">
        <w:rPr>
          <w:noProof/>
        </w:rPr>
        <w:t xml:space="preserve"> </w:t>
      </w:r>
      <w:r w:rsidR="00E77FE3" w:rsidRPr="00E77FE3">
        <w:rPr>
          <w:noProof/>
        </w:rPr>
        <w:t xml:space="preserve">was formally approved by </w:t>
      </w:r>
      <w:r w:rsidR="002D526E">
        <w:rPr>
          <w:noProof/>
        </w:rPr>
        <w:t>the Council on 14 December 2020</w:t>
      </w:r>
      <w:r w:rsidR="00CE7D8E">
        <w:rPr>
          <w:rStyle w:val="FootnoteReference"/>
          <w:noProof/>
        </w:rPr>
        <w:footnoteReference w:id="3"/>
      </w:r>
      <w:r w:rsidR="00E77FE3" w:rsidRPr="00E77FE3">
        <w:rPr>
          <w:noProof/>
        </w:rPr>
        <w:t xml:space="preserve"> with the support of the European Parliament and </w:t>
      </w:r>
      <w:r w:rsidRPr="003A55C4">
        <w:rPr>
          <w:noProof/>
        </w:rPr>
        <w:t xml:space="preserve">will deploy EUR 750 </w:t>
      </w:r>
      <w:r w:rsidRPr="001C6C99">
        <w:rPr>
          <w:noProof/>
        </w:rPr>
        <w:t>billion</w:t>
      </w:r>
      <w:r w:rsidR="00084A92" w:rsidRPr="001C6C99">
        <w:rPr>
          <w:noProof/>
        </w:rPr>
        <w:t xml:space="preserve"> (2018 prices)</w:t>
      </w:r>
      <w:r w:rsidRPr="001C6C99">
        <w:rPr>
          <w:noProof/>
        </w:rPr>
        <w:t>, raised</w:t>
      </w:r>
      <w:r w:rsidRPr="003A55C4">
        <w:rPr>
          <w:noProof/>
        </w:rPr>
        <w:t xml:space="preserve"> on capital markets, to fund specific recovery and resilience </w:t>
      </w:r>
      <w:r w:rsidR="000002C1">
        <w:rPr>
          <w:noProof/>
        </w:rPr>
        <w:t xml:space="preserve">actions </w:t>
      </w:r>
      <w:r w:rsidRPr="003A55C4">
        <w:rPr>
          <w:noProof/>
        </w:rPr>
        <w:t xml:space="preserve">in a limited period of time, in order to boost economic growth and invest in </w:t>
      </w:r>
      <w:r w:rsidR="00BF55DC">
        <w:rPr>
          <w:noProof/>
        </w:rPr>
        <w:t xml:space="preserve">resilience and </w:t>
      </w:r>
      <w:r w:rsidRPr="003A55C4">
        <w:rPr>
          <w:noProof/>
        </w:rPr>
        <w:t>a greener and digital future.</w:t>
      </w:r>
    </w:p>
    <w:p w14:paraId="24C8A5B0" w14:textId="77777777" w:rsidR="005512E6" w:rsidRPr="003A55C4" w:rsidRDefault="005512E6" w:rsidP="005512E6">
      <w:pPr>
        <w:spacing w:before="0" w:after="240" w:line="276" w:lineRule="auto"/>
        <w:rPr>
          <w:noProof/>
        </w:rPr>
      </w:pPr>
      <w:r w:rsidRPr="003A55C4">
        <w:rPr>
          <w:noProof/>
        </w:rPr>
        <w:t xml:space="preserve">Sufficient revenue is needed to cover the repayment of </w:t>
      </w:r>
      <w:r w:rsidR="00352B7F" w:rsidRPr="003A55C4">
        <w:rPr>
          <w:noProof/>
        </w:rPr>
        <w:t>financing costs of</w:t>
      </w:r>
      <w:r w:rsidRPr="003A55C4">
        <w:rPr>
          <w:noProof/>
        </w:rPr>
        <w:t xml:space="preserve"> </w:t>
      </w:r>
      <w:r w:rsidR="005F7441" w:rsidRPr="003A55C4">
        <w:rPr>
          <w:noProof/>
        </w:rPr>
        <w:t>NextGenerationEU</w:t>
      </w:r>
      <w:r w:rsidR="004D62D0" w:rsidRPr="003A55C4">
        <w:rPr>
          <w:noProof/>
        </w:rPr>
        <w:t xml:space="preserve"> borrowing</w:t>
      </w:r>
      <w:r w:rsidRPr="003A55C4">
        <w:rPr>
          <w:noProof/>
        </w:rPr>
        <w:t xml:space="preserve">, spread over three decades. </w:t>
      </w:r>
      <w:r w:rsidRPr="003A55C4">
        <w:rPr>
          <w:rFonts w:eastAsiaTheme="minorEastAsia"/>
          <w:noProof/>
        </w:rPr>
        <w:t xml:space="preserve">Repayment </w:t>
      </w:r>
      <w:r w:rsidR="00EA49DA">
        <w:rPr>
          <w:rFonts w:eastAsiaTheme="minorEastAsia"/>
          <w:noProof/>
        </w:rPr>
        <w:t xml:space="preserve">of the principal </w:t>
      </w:r>
      <w:r w:rsidRPr="003A55C4">
        <w:rPr>
          <w:rFonts w:eastAsiaTheme="minorEastAsia"/>
          <w:noProof/>
        </w:rPr>
        <w:t xml:space="preserve">may start before the end of the multiannual financial framework 2021-2027, if amounts not used for interest payments </w:t>
      </w:r>
      <w:r w:rsidR="00EA49DA">
        <w:rPr>
          <w:rFonts w:eastAsiaTheme="minorEastAsia"/>
          <w:noProof/>
        </w:rPr>
        <w:t>are lower than</w:t>
      </w:r>
      <w:r w:rsidRPr="003A55C4">
        <w:rPr>
          <w:rFonts w:eastAsiaTheme="minorEastAsia"/>
          <w:noProof/>
        </w:rPr>
        <w:t xml:space="preserve"> </w:t>
      </w:r>
      <w:r w:rsidR="002D526E">
        <w:rPr>
          <w:rFonts w:eastAsiaTheme="minorEastAsia"/>
          <w:noProof/>
        </w:rPr>
        <w:t>planned</w:t>
      </w:r>
      <w:r w:rsidR="002D526E" w:rsidRPr="003A55C4">
        <w:rPr>
          <w:rFonts w:eastAsiaTheme="minorEastAsia"/>
          <w:noProof/>
        </w:rPr>
        <w:t xml:space="preserve"> </w:t>
      </w:r>
      <w:r w:rsidRPr="003A55C4">
        <w:rPr>
          <w:rFonts w:eastAsiaTheme="minorEastAsia"/>
          <w:noProof/>
        </w:rPr>
        <w:t>and in case new own resources are introduced</w:t>
      </w:r>
      <w:r w:rsidR="006D7F2C">
        <w:rPr>
          <w:rStyle w:val="FootnoteReference"/>
          <w:rFonts w:eastAsiaTheme="minorEastAsia"/>
          <w:noProof/>
        </w:rPr>
        <w:footnoteReference w:id="4"/>
      </w:r>
      <w:r w:rsidRPr="003A55C4">
        <w:rPr>
          <w:rFonts w:eastAsiaTheme="minorEastAsia"/>
          <w:noProof/>
        </w:rPr>
        <w:t xml:space="preserve">, </w:t>
      </w:r>
      <w:r w:rsidRPr="003A55C4">
        <w:rPr>
          <w:noProof/>
        </w:rPr>
        <w:t>and must be concluded by the end of 2058</w:t>
      </w:r>
      <w:r w:rsidR="001C6C99">
        <w:rPr>
          <w:rStyle w:val="FootnoteReference"/>
          <w:noProof/>
        </w:rPr>
        <w:footnoteReference w:id="5"/>
      </w:r>
      <w:r w:rsidRPr="003A55C4">
        <w:rPr>
          <w:noProof/>
        </w:rPr>
        <w:t xml:space="preserve">. </w:t>
      </w:r>
    </w:p>
    <w:p w14:paraId="408916EC" w14:textId="77777777" w:rsidR="005512E6" w:rsidRPr="003A55C4" w:rsidRDefault="005512E6" w:rsidP="005512E6">
      <w:pPr>
        <w:spacing w:before="0" w:after="240" w:line="276" w:lineRule="auto"/>
        <w:rPr>
          <w:noProof/>
        </w:rPr>
      </w:pPr>
      <w:r w:rsidRPr="003A55C4">
        <w:rPr>
          <w:noProof/>
        </w:rPr>
        <w:t xml:space="preserve">In the framework of the </w:t>
      </w:r>
      <w:r w:rsidR="001B5241">
        <w:rPr>
          <w:noProof/>
        </w:rPr>
        <w:t>I</w:t>
      </w:r>
      <w:r w:rsidRPr="003A55C4">
        <w:rPr>
          <w:noProof/>
        </w:rPr>
        <w:t xml:space="preserve">nterinstitutional </w:t>
      </w:r>
      <w:r w:rsidR="001B5241">
        <w:rPr>
          <w:noProof/>
        </w:rPr>
        <w:t>A</w:t>
      </w:r>
      <w:r w:rsidRPr="003A55C4">
        <w:rPr>
          <w:noProof/>
        </w:rPr>
        <w:t xml:space="preserve">greement of 16 December </w:t>
      </w:r>
      <w:r w:rsidRPr="009623A2">
        <w:rPr>
          <w:noProof/>
        </w:rPr>
        <w:t>2020</w:t>
      </w:r>
      <w:r w:rsidRPr="009623A2">
        <w:rPr>
          <w:rStyle w:val="FootnoteReference"/>
          <w:noProof/>
        </w:rPr>
        <w:footnoteReference w:id="6"/>
      </w:r>
      <w:r w:rsidR="00692620" w:rsidRPr="009623A2">
        <w:rPr>
          <w:noProof/>
        </w:rPr>
        <w:t>,</w:t>
      </w:r>
      <w:r w:rsidRPr="003A55C4">
        <w:rPr>
          <w:noProof/>
        </w:rPr>
        <w:t xml:space="preserve"> the European Parliament</w:t>
      </w:r>
      <w:r w:rsidR="003C2240" w:rsidRPr="003A55C4">
        <w:rPr>
          <w:noProof/>
        </w:rPr>
        <w:t>, the Council</w:t>
      </w:r>
      <w:r w:rsidRPr="003A55C4">
        <w:rPr>
          <w:noProof/>
        </w:rPr>
        <w:t xml:space="preserve"> and the Commission </w:t>
      </w:r>
      <w:r w:rsidR="0083342C" w:rsidRPr="003A55C4">
        <w:rPr>
          <w:noProof/>
        </w:rPr>
        <w:t xml:space="preserve">stated that expenditure from the Union budget related to the repayment of the European Union Recovery Instrument should not lead to an undue reduction in programme expenditure or investment instruments under the </w:t>
      </w:r>
      <w:r w:rsidR="0027786C" w:rsidRPr="003A55C4">
        <w:rPr>
          <w:rFonts w:eastAsiaTheme="minorEastAsia"/>
          <w:noProof/>
        </w:rPr>
        <w:t>multiannual financial framework</w:t>
      </w:r>
      <w:r w:rsidR="0083342C" w:rsidRPr="003A55C4">
        <w:rPr>
          <w:noProof/>
        </w:rPr>
        <w:t>.</w:t>
      </w:r>
      <w:r w:rsidR="000346E0" w:rsidRPr="003A55C4">
        <w:rPr>
          <w:noProof/>
        </w:rPr>
        <w:t xml:space="preserve"> </w:t>
      </w:r>
      <w:r w:rsidR="005C3A1C">
        <w:rPr>
          <w:noProof/>
        </w:rPr>
        <w:t>According to this</w:t>
      </w:r>
      <w:r w:rsidR="000346E0" w:rsidRPr="003A55C4">
        <w:rPr>
          <w:noProof/>
        </w:rPr>
        <w:t xml:space="preserve"> </w:t>
      </w:r>
      <w:r w:rsidR="001B5241">
        <w:rPr>
          <w:noProof/>
        </w:rPr>
        <w:t>I</w:t>
      </w:r>
      <w:r w:rsidR="000346E0" w:rsidRPr="003A55C4">
        <w:rPr>
          <w:noProof/>
        </w:rPr>
        <w:t xml:space="preserve">nterinstitutional </w:t>
      </w:r>
      <w:r w:rsidR="001B5241">
        <w:rPr>
          <w:noProof/>
        </w:rPr>
        <w:t>A</w:t>
      </w:r>
      <w:r w:rsidR="000346E0" w:rsidRPr="003A55C4">
        <w:rPr>
          <w:noProof/>
        </w:rPr>
        <w:t>greement</w:t>
      </w:r>
      <w:r w:rsidR="005C3A1C">
        <w:rPr>
          <w:noProof/>
        </w:rPr>
        <w:t xml:space="preserve">, </w:t>
      </w:r>
      <w:r w:rsidR="000346E0" w:rsidRPr="003A55C4">
        <w:rPr>
          <w:noProof/>
        </w:rPr>
        <w:t xml:space="preserve">it is also desirable to mitigate the increases in the GNI-based own resource for the Member States. </w:t>
      </w:r>
      <w:r w:rsidR="00F90CCA">
        <w:rPr>
          <w:noProof/>
        </w:rPr>
        <w:t xml:space="preserve">The three institutions thus agreed to </w:t>
      </w:r>
      <w:r w:rsidR="00F90CCA" w:rsidRPr="009E127C">
        <w:rPr>
          <w:i/>
          <w:noProof/>
        </w:rPr>
        <w:t>“work towards introducing sufficient new own resources with a view to covering an amount corresponding to the expected expenditure related to the repayment.”</w:t>
      </w:r>
      <w:r w:rsidR="00C35842">
        <w:rPr>
          <w:rStyle w:val="FootnoteReference"/>
          <w:i/>
          <w:noProof/>
        </w:rPr>
        <w:footnoteReference w:id="7"/>
      </w:r>
      <w:r w:rsidR="00F90CCA">
        <w:rPr>
          <w:noProof/>
        </w:rPr>
        <w:t xml:space="preserve"> </w:t>
      </w:r>
      <w:r w:rsidRPr="003A55C4">
        <w:rPr>
          <w:noProof/>
        </w:rPr>
        <w:t xml:space="preserve">The Commission committed to </w:t>
      </w:r>
      <w:r w:rsidR="002D29AB" w:rsidRPr="003A55C4">
        <w:rPr>
          <w:noProof/>
        </w:rPr>
        <w:t xml:space="preserve">propose </w:t>
      </w:r>
      <w:r w:rsidRPr="003A55C4">
        <w:rPr>
          <w:noProof/>
        </w:rPr>
        <w:t xml:space="preserve">new own resources </w:t>
      </w:r>
      <w:r w:rsidR="00084A92" w:rsidRPr="003A55C4">
        <w:rPr>
          <w:noProof/>
        </w:rPr>
        <w:t xml:space="preserve">in </w:t>
      </w:r>
      <w:r w:rsidRPr="003A55C4">
        <w:rPr>
          <w:noProof/>
        </w:rPr>
        <w:t>2021</w:t>
      </w:r>
      <w:r w:rsidR="00851011" w:rsidRPr="003A55C4">
        <w:rPr>
          <w:noProof/>
        </w:rPr>
        <w:t xml:space="preserve"> with a view to</w:t>
      </w:r>
      <w:r w:rsidR="000C6658" w:rsidRPr="003A55C4">
        <w:rPr>
          <w:noProof/>
        </w:rPr>
        <w:t xml:space="preserve"> their introducti</w:t>
      </w:r>
      <w:r w:rsidR="00851011" w:rsidRPr="003A55C4">
        <w:rPr>
          <w:noProof/>
        </w:rPr>
        <w:t>on at the latest by 1 January 2023</w:t>
      </w:r>
      <w:r w:rsidR="00BF55DC">
        <w:rPr>
          <w:rStyle w:val="FootnoteReference"/>
          <w:noProof/>
        </w:rPr>
        <w:footnoteReference w:id="8"/>
      </w:r>
      <w:r w:rsidRPr="003A55C4">
        <w:rPr>
          <w:noProof/>
        </w:rPr>
        <w:t>.</w:t>
      </w:r>
      <w:r w:rsidR="00EA6122" w:rsidRPr="003A55C4">
        <w:rPr>
          <w:noProof/>
        </w:rPr>
        <w:t xml:space="preserve"> </w:t>
      </w:r>
    </w:p>
    <w:p w14:paraId="6641283C" w14:textId="304ADEB7" w:rsidR="005512E6" w:rsidRPr="003A55C4" w:rsidRDefault="0007655F" w:rsidP="0007655F">
      <w:pPr>
        <w:pStyle w:val="ManualHeading1"/>
        <w:rPr>
          <w:i/>
          <w:noProof/>
        </w:rPr>
      </w:pPr>
      <w:r w:rsidRPr="0007655F">
        <w:t>2.</w:t>
      </w:r>
      <w:r w:rsidRPr="0007655F">
        <w:tab/>
      </w:r>
      <w:r w:rsidR="00B227BB" w:rsidRPr="003A55C4">
        <w:rPr>
          <w:noProof/>
        </w:rPr>
        <w:t>CONTENT OF THE AMENDING</w:t>
      </w:r>
      <w:r w:rsidR="005512E6" w:rsidRPr="003A55C4">
        <w:rPr>
          <w:noProof/>
        </w:rPr>
        <w:t xml:space="preserve"> PROPOSAL</w:t>
      </w:r>
    </w:p>
    <w:p w14:paraId="6CB17117" w14:textId="77777777" w:rsidR="005512E6" w:rsidRPr="003A55C4" w:rsidRDefault="005512E6" w:rsidP="005512E6">
      <w:pPr>
        <w:spacing w:before="0" w:after="240" w:line="276" w:lineRule="auto"/>
        <w:rPr>
          <w:noProof/>
        </w:rPr>
      </w:pPr>
      <w:r w:rsidRPr="003A55C4">
        <w:rPr>
          <w:noProof/>
        </w:rPr>
        <w:t>The Commission proposes to introduce new own resources</w:t>
      </w:r>
      <w:r w:rsidR="00692620" w:rsidRPr="003A55C4">
        <w:rPr>
          <w:noProof/>
        </w:rPr>
        <w:t xml:space="preserve">, </w:t>
      </w:r>
      <w:r w:rsidR="003045CC" w:rsidRPr="003A55C4">
        <w:rPr>
          <w:noProof/>
        </w:rPr>
        <w:t>vesting the</w:t>
      </w:r>
      <w:r w:rsidR="00692620" w:rsidRPr="003A55C4">
        <w:rPr>
          <w:noProof/>
        </w:rPr>
        <w:t xml:space="preserve"> EU </w:t>
      </w:r>
      <w:r w:rsidR="003045CC" w:rsidRPr="003A55C4">
        <w:rPr>
          <w:noProof/>
        </w:rPr>
        <w:t xml:space="preserve">with </w:t>
      </w:r>
      <w:r w:rsidR="00692620" w:rsidRPr="003A55C4">
        <w:rPr>
          <w:noProof/>
        </w:rPr>
        <w:t xml:space="preserve">the necessary resources, in particular in view of new budgetary expenditure for </w:t>
      </w:r>
      <w:r w:rsidRPr="003A55C4">
        <w:rPr>
          <w:noProof/>
        </w:rPr>
        <w:t xml:space="preserve">the repayment of </w:t>
      </w:r>
      <w:r w:rsidR="00F4391A">
        <w:rPr>
          <w:noProof/>
        </w:rPr>
        <w:t xml:space="preserve">the </w:t>
      </w:r>
      <w:r w:rsidR="00E03934" w:rsidRPr="003A55C4">
        <w:rPr>
          <w:noProof/>
        </w:rPr>
        <w:t xml:space="preserve">financing costs of </w:t>
      </w:r>
      <w:r w:rsidR="005F7441" w:rsidRPr="003A55C4">
        <w:rPr>
          <w:noProof/>
        </w:rPr>
        <w:t>NextGenerationEU</w:t>
      </w:r>
      <w:r w:rsidR="00CA6C39" w:rsidRPr="003A55C4">
        <w:rPr>
          <w:noProof/>
        </w:rPr>
        <w:t xml:space="preserve"> borrowing</w:t>
      </w:r>
      <w:r w:rsidRPr="003A55C4">
        <w:rPr>
          <w:noProof/>
        </w:rPr>
        <w:t xml:space="preserve"> and </w:t>
      </w:r>
      <w:r w:rsidR="003045CC" w:rsidRPr="003A55C4">
        <w:rPr>
          <w:noProof/>
        </w:rPr>
        <w:t>for</w:t>
      </w:r>
      <w:r w:rsidRPr="003A55C4">
        <w:rPr>
          <w:noProof/>
        </w:rPr>
        <w:t xml:space="preserve"> the </w:t>
      </w:r>
      <w:r w:rsidR="005F7441" w:rsidRPr="003A55C4">
        <w:rPr>
          <w:noProof/>
        </w:rPr>
        <w:t xml:space="preserve">Social </w:t>
      </w:r>
      <w:r w:rsidR="00D305C2" w:rsidRPr="003A55C4">
        <w:rPr>
          <w:noProof/>
        </w:rPr>
        <w:t>Climate Fund</w:t>
      </w:r>
      <w:r w:rsidR="001A1FC4">
        <w:rPr>
          <w:rStyle w:val="FootnoteReference"/>
          <w:noProof/>
        </w:rPr>
        <w:footnoteReference w:id="9"/>
      </w:r>
      <w:r w:rsidRPr="003A55C4">
        <w:rPr>
          <w:noProof/>
        </w:rPr>
        <w:t xml:space="preserve">. </w:t>
      </w:r>
    </w:p>
    <w:p w14:paraId="6E4C83C0" w14:textId="6153126F" w:rsidR="00F06D0A" w:rsidRDefault="005512E6" w:rsidP="00C01EFE">
      <w:pPr>
        <w:spacing w:before="0" w:after="240" w:line="276" w:lineRule="auto"/>
        <w:rPr>
          <w:noProof/>
        </w:rPr>
      </w:pPr>
      <w:r w:rsidRPr="003A55C4">
        <w:rPr>
          <w:noProof/>
        </w:rPr>
        <w:t xml:space="preserve">The amended proposal specifies that </w:t>
      </w:r>
      <w:r w:rsidR="00DB2A6B">
        <w:rPr>
          <w:noProof/>
        </w:rPr>
        <w:t>25</w:t>
      </w:r>
      <w:r w:rsidR="007A5168" w:rsidRPr="003A55C4">
        <w:rPr>
          <w:noProof/>
        </w:rPr>
        <w:t>%</w:t>
      </w:r>
      <w:r w:rsidRPr="003A55C4">
        <w:rPr>
          <w:noProof/>
        </w:rPr>
        <w:t xml:space="preserve"> of </w:t>
      </w:r>
      <w:r w:rsidR="00544A27">
        <w:rPr>
          <w:noProof/>
        </w:rPr>
        <w:t xml:space="preserve">most </w:t>
      </w:r>
      <w:r w:rsidR="009C519F" w:rsidRPr="00453D88">
        <w:rPr>
          <w:noProof/>
        </w:rPr>
        <w:t>r</w:t>
      </w:r>
      <w:r w:rsidRPr="003A55C4">
        <w:rPr>
          <w:noProof/>
        </w:rPr>
        <w:t>evenue</w:t>
      </w:r>
      <w:r w:rsidR="00FE68A9">
        <w:rPr>
          <w:noProof/>
        </w:rPr>
        <w:t>s</w:t>
      </w:r>
      <w:r w:rsidRPr="003A55C4">
        <w:rPr>
          <w:noProof/>
        </w:rPr>
        <w:t xml:space="preserve"> generated from allowances</w:t>
      </w:r>
      <w:r w:rsidR="001E1394">
        <w:rPr>
          <w:noProof/>
        </w:rPr>
        <w:t xml:space="preserve"> to be auctioned</w:t>
      </w:r>
      <w:r w:rsidRPr="003A55C4">
        <w:rPr>
          <w:noProof/>
        </w:rPr>
        <w:t xml:space="preserve"> from the </w:t>
      </w:r>
      <w:r w:rsidR="009709BA" w:rsidRPr="003A55C4">
        <w:rPr>
          <w:noProof/>
        </w:rPr>
        <w:t>e</w:t>
      </w:r>
      <w:r w:rsidRPr="003A55C4">
        <w:rPr>
          <w:noProof/>
        </w:rPr>
        <w:t>mission</w:t>
      </w:r>
      <w:r w:rsidR="00EA2912" w:rsidRPr="003A55C4">
        <w:rPr>
          <w:noProof/>
        </w:rPr>
        <w:t>s</w:t>
      </w:r>
      <w:r w:rsidRPr="003A55C4">
        <w:rPr>
          <w:noProof/>
        </w:rPr>
        <w:t xml:space="preserve"> </w:t>
      </w:r>
      <w:r w:rsidR="009709BA" w:rsidRPr="003A55C4">
        <w:rPr>
          <w:noProof/>
        </w:rPr>
        <w:t>t</w:t>
      </w:r>
      <w:r w:rsidRPr="003A55C4">
        <w:rPr>
          <w:noProof/>
        </w:rPr>
        <w:t xml:space="preserve">rading will accrue to the EU budget. This includes revenues from the current </w:t>
      </w:r>
      <w:r w:rsidR="003C2240" w:rsidRPr="003A55C4">
        <w:rPr>
          <w:noProof/>
        </w:rPr>
        <w:t>Emission</w:t>
      </w:r>
      <w:r w:rsidR="00EA2912" w:rsidRPr="003A55C4">
        <w:rPr>
          <w:noProof/>
        </w:rPr>
        <w:t>s</w:t>
      </w:r>
      <w:r w:rsidR="003C2240" w:rsidRPr="003A55C4">
        <w:rPr>
          <w:noProof/>
        </w:rPr>
        <w:t xml:space="preserve"> Trading System</w:t>
      </w:r>
      <w:r w:rsidR="00692620" w:rsidRPr="003A55C4">
        <w:rPr>
          <w:noProof/>
        </w:rPr>
        <w:t xml:space="preserve"> for stationary installations and aviation</w:t>
      </w:r>
      <w:r w:rsidR="009709BA" w:rsidRPr="003A55C4">
        <w:rPr>
          <w:noProof/>
        </w:rPr>
        <w:t xml:space="preserve"> </w:t>
      </w:r>
      <w:r w:rsidR="00F425ED" w:rsidRPr="003A55C4">
        <w:rPr>
          <w:noProof/>
        </w:rPr>
        <w:t xml:space="preserve">for which additional allowances would be auctioned </w:t>
      </w:r>
      <w:r w:rsidR="009709BA" w:rsidRPr="003A55C4">
        <w:rPr>
          <w:noProof/>
        </w:rPr>
        <w:t xml:space="preserve">as well as its extension to maritime transport and </w:t>
      </w:r>
      <w:r w:rsidRPr="003A55C4">
        <w:rPr>
          <w:noProof/>
        </w:rPr>
        <w:t xml:space="preserve">the </w:t>
      </w:r>
      <w:r w:rsidR="001D0CD5" w:rsidRPr="003A55C4">
        <w:rPr>
          <w:noProof/>
        </w:rPr>
        <w:t xml:space="preserve">introduction </w:t>
      </w:r>
      <w:r w:rsidR="009709BA" w:rsidRPr="003A55C4">
        <w:rPr>
          <w:noProof/>
        </w:rPr>
        <w:t xml:space="preserve">of </w:t>
      </w:r>
      <w:r w:rsidR="00515241" w:rsidRPr="00267F3C">
        <w:rPr>
          <w:noProof/>
        </w:rPr>
        <w:t xml:space="preserve">a separate </w:t>
      </w:r>
      <w:r w:rsidR="009709BA" w:rsidRPr="003A55C4">
        <w:rPr>
          <w:noProof/>
        </w:rPr>
        <w:t xml:space="preserve">emission trading </w:t>
      </w:r>
      <w:r w:rsidR="00013684" w:rsidRPr="003A55C4">
        <w:rPr>
          <w:noProof/>
        </w:rPr>
        <w:t>for</w:t>
      </w:r>
      <w:r w:rsidRPr="003A55C4">
        <w:rPr>
          <w:noProof/>
        </w:rPr>
        <w:t xml:space="preserve"> road transport and </w:t>
      </w:r>
      <w:r w:rsidR="003C2240" w:rsidRPr="003A55C4">
        <w:rPr>
          <w:noProof/>
        </w:rPr>
        <w:t>buildings</w:t>
      </w:r>
      <w:r w:rsidR="00744FAF">
        <w:rPr>
          <w:noProof/>
        </w:rPr>
        <w:t>,</w:t>
      </w:r>
      <w:r w:rsidR="00744FAF" w:rsidRPr="00744FAF">
        <w:rPr>
          <w:noProof/>
        </w:rPr>
        <w:t xml:space="preserve"> in line with the proposal for an amendment of Directive 2003/87/EC</w:t>
      </w:r>
      <w:r w:rsidR="00744FAF">
        <w:rPr>
          <w:rStyle w:val="FootnoteReference"/>
          <w:noProof/>
        </w:rPr>
        <w:footnoteReference w:id="10"/>
      </w:r>
      <w:r w:rsidRPr="003A55C4">
        <w:rPr>
          <w:noProof/>
        </w:rPr>
        <w:t xml:space="preserve">. </w:t>
      </w:r>
    </w:p>
    <w:p w14:paraId="08675B75" w14:textId="77777777" w:rsidR="00C01EFE" w:rsidRPr="003A55C4" w:rsidRDefault="00354730" w:rsidP="00C01EFE">
      <w:pPr>
        <w:spacing w:before="0" w:after="240" w:line="276" w:lineRule="auto"/>
        <w:rPr>
          <w:noProof/>
        </w:rPr>
      </w:pPr>
      <w:r w:rsidRPr="00354730">
        <w:rPr>
          <w:noProof/>
        </w:rPr>
        <w:t xml:space="preserve">Allowances auctioned by the European Investment Bank for the Innovation Fund and the initial endowment of the Modernisation Fund are excluded. </w:t>
      </w:r>
      <w:r w:rsidR="00C01EFE" w:rsidRPr="003A55C4">
        <w:rPr>
          <w:noProof/>
        </w:rPr>
        <w:t xml:space="preserve">In order to remain neutral, the own resource scope also includes allowances in principle dedicated for auctioning by Member States, which based on discretion exercised by Member States are transferred free of charge to the power sector, used for compliance by effort sharing sectors, or auctioned by the European Investment Bank for the Modernisation Fund. </w:t>
      </w:r>
    </w:p>
    <w:p w14:paraId="002C50FA" w14:textId="4AF704F7" w:rsidR="004F2948" w:rsidRDefault="008C6D1B" w:rsidP="004F2948">
      <w:pPr>
        <w:spacing w:before="0" w:after="240" w:line="276" w:lineRule="auto"/>
        <w:rPr>
          <w:noProof/>
        </w:rPr>
      </w:pPr>
      <w:r w:rsidRPr="003A55C4">
        <w:rPr>
          <w:noProof/>
        </w:rPr>
        <w:t xml:space="preserve">To address possible </w:t>
      </w:r>
      <w:r w:rsidRPr="003A55C4">
        <w:rPr>
          <w:rFonts w:eastAsia="Arial Unicode MS" w:cs="Arial Unicode MS"/>
          <w:noProof/>
          <w:color w:val="000000"/>
          <w:bdr w:val="none" w:sz="0" w:space="0" w:color="auto" w:frame="1"/>
          <w:lang w:eastAsia="en-GB"/>
          <w14:textOutline w14:w="0" w14:cap="flat" w14:cmpd="sng" w14:algn="ctr">
            <w14:noFill/>
            <w14:prstDash w14:val="solid"/>
            <w14:bevel/>
          </w14:textOutline>
        </w:rPr>
        <w:t>social impacts in relation to the introduction of emissions trading for road transport and buildings</w:t>
      </w:r>
      <w:r w:rsidRPr="003A55C4">
        <w:rPr>
          <w:noProof/>
        </w:rPr>
        <w:t>, the Commission has proposed to establish a Social Climate Fund. The Fund will benefit vulnerable households, micro-enterprises and transport users.</w:t>
      </w:r>
      <w:r w:rsidR="006A06C8" w:rsidRPr="003A55C4">
        <w:rPr>
          <w:noProof/>
        </w:rPr>
        <w:t xml:space="preserve"> For </w:t>
      </w:r>
      <w:r w:rsidR="677D610F" w:rsidRPr="003A55C4">
        <w:rPr>
          <w:noProof/>
        </w:rPr>
        <w:t>its duration</w:t>
      </w:r>
      <w:r w:rsidR="006A06C8" w:rsidRPr="003A55C4">
        <w:rPr>
          <w:noProof/>
        </w:rPr>
        <w:t xml:space="preserve"> the Fund will </w:t>
      </w:r>
      <w:r w:rsidR="0F69E27B" w:rsidRPr="003A55C4">
        <w:rPr>
          <w:noProof/>
        </w:rPr>
        <w:t>b</w:t>
      </w:r>
      <w:r w:rsidR="006A06C8" w:rsidRPr="003A55C4">
        <w:rPr>
          <w:noProof/>
        </w:rPr>
        <w:t>e financed by the own resources of the Union budget, including as of 2026 the revenues from the emission trading for road transport</w:t>
      </w:r>
      <w:r w:rsidR="00DA1975">
        <w:rPr>
          <w:noProof/>
        </w:rPr>
        <w:t xml:space="preserve"> and buildings</w:t>
      </w:r>
      <w:r w:rsidR="006A06C8" w:rsidRPr="003A55C4">
        <w:rPr>
          <w:noProof/>
        </w:rPr>
        <w:t>.</w:t>
      </w:r>
      <w:r w:rsidR="004F2948" w:rsidRPr="004F2948">
        <w:rPr>
          <w:noProof/>
        </w:rPr>
        <w:t xml:space="preserve"> </w:t>
      </w:r>
      <w:r w:rsidR="00C754BF" w:rsidRPr="00C754BF">
        <w:rPr>
          <w:noProof/>
        </w:rPr>
        <w:t xml:space="preserve">The total financial envelope of the Fund for the 2025-32 period will be EUR 72.2 billion in current prices, corresponding in principle to </w:t>
      </w:r>
      <w:r w:rsidR="00C22762" w:rsidRPr="00C22762">
        <w:rPr>
          <w:noProof/>
        </w:rPr>
        <w:t xml:space="preserve">an amount equivalent to </w:t>
      </w:r>
      <w:r w:rsidR="006E3C85">
        <w:rPr>
          <w:noProof/>
        </w:rPr>
        <w:t xml:space="preserve">around </w:t>
      </w:r>
      <w:r w:rsidR="00C754BF" w:rsidRPr="00C754BF">
        <w:rPr>
          <w:noProof/>
        </w:rPr>
        <w:t xml:space="preserve">25% of the expected revenue from the new emissions trading system for buildings and road transport for the period 2026-2032.  </w:t>
      </w:r>
    </w:p>
    <w:p w14:paraId="3F2B4682" w14:textId="77777777" w:rsidR="004F2948" w:rsidRPr="003A55C4" w:rsidRDefault="004F2948" w:rsidP="004F2948">
      <w:pPr>
        <w:spacing w:before="0" w:after="240" w:line="276" w:lineRule="auto"/>
        <w:rPr>
          <w:noProof/>
        </w:rPr>
      </w:pPr>
      <w:r w:rsidRPr="004F2948">
        <w:rPr>
          <w:noProof/>
        </w:rPr>
        <w:t xml:space="preserve">A temporary </w:t>
      </w:r>
      <w:r w:rsidR="00D668C8">
        <w:rPr>
          <w:noProof/>
        </w:rPr>
        <w:t xml:space="preserve">solidarity adjustment </w:t>
      </w:r>
      <w:r w:rsidRPr="004F2948">
        <w:rPr>
          <w:noProof/>
        </w:rPr>
        <w:t xml:space="preserve">mechanism is proposed to mitigate the regressive distributional impacts of the emissions trading-based own resource, introducing a maximum contribution for lower-income and carbon-intensive Member States and a minimum contribution for </w:t>
      </w:r>
      <w:r w:rsidR="008852FA" w:rsidRPr="00B02458">
        <w:rPr>
          <w:noProof/>
        </w:rPr>
        <w:t xml:space="preserve">typically </w:t>
      </w:r>
      <w:r w:rsidR="00FB689E" w:rsidRPr="00B02458">
        <w:rPr>
          <w:noProof/>
        </w:rPr>
        <w:t xml:space="preserve">higher-income and </w:t>
      </w:r>
      <w:r w:rsidRPr="004F2948">
        <w:rPr>
          <w:noProof/>
        </w:rPr>
        <w:t>low-carbon Member States.</w:t>
      </w:r>
      <w:r w:rsidRPr="00D33B88">
        <w:rPr>
          <w:noProof/>
        </w:rPr>
        <w:t xml:space="preserve"> </w:t>
      </w:r>
      <w:r w:rsidR="009E77AA" w:rsidRPr="009E77AA">
        <w:rPr>
          <w:noProof/>
        </w:rPr>
        <w:t>This will avoid that some Member States contribute disproportionally to the EU budget in comparison to the size of their economy, during the period of transition to more sustainable economies and societies, and ensures a just contribution from all.</w:t>
      </w:r>
    </w:p>
    <w:p w14:paraId="7A3CD233" w14:textId="77777777" w:rsidR="009C42DC" w:rsidRDefault="005512E6" w:rsidP="00E57F65">
      <w:pPr>
        <w:spacing w:before="0" w:after="240" w:line="276" w:lineRule="auto"/>
        <w:rPr>
          <w:noProof/>
        </w:rPr>
      </w:pPr>
      <w:r w:rsidRPr="003A55C4">
        <w:rPr>
          <w:noProof/>
        </w:rPr>
        <w:t>Th</w:t>
      </w:r>
      <w:r w:rsidR="009E77AA">
        <w:rPr>
          <w:noProof/>
        </w:rPr>
        <w:t>is</w:t>
      </w:r>
      <w:r w:rsidRPr="003A55C4">
        <w:rPr>
          <w:noProof/>
        </w:rPr>
        <w:t xml:space="preserve"> proposal establishes </w:t>
      </w:r>
      <w:r w:rsidR="002D5EDE">
        <w:rPr>
          <w:noProof/>
        </w:rPr>
        <w:t xml:space="preserve">that </w:t>
      </w:r>
      <w:r w:rsidR="008C6D1B" w:rsidRPr="003A55C4">
        <w:rPr>
          <w:noProof/>
        </w:rPr>
        <w:t xml:space="preserve">a share of </w:t>
      </w:r>
      <w:r w:rsidRPr="003A55C4">
        <w:rPr>
          <w:noProof/>
        </w:rPr>
        <w:t xml:space="preserve">the revenues from the sale of </w:t>
      </w:r>
      <w:r w:rsidR="00EA6122" w:rsidRPr="003A55C4">
        <w:rPr>
          <w:noProof/>
        </w:rPr>
        <w:t>c</w:t>
      </w:r>
      <w:r w:rsidRPr="003A55C4">
        <w:rPr>
          <w:noProof/>
        </w:rPr>
        <w:t xml:space="preserve">arbon </w:t>
      </w:r>
      <w:r w:rsidR="00EA6122" w:rsidRPr="003A55C4">
        <w:rPr>
          <w:noProof/>
        </w:rPr>
        <w:t>b</w:t>
      </w:r>
      <w:r w:rsidRPr="003A55C4">
        <w:rPr>
          <w:noProof/>
        </w:rPr>
        <w:t xml:space="preserve">order </w:t>
      </w:r>
      <w:r w:rsidR="00EA6122" w:rsidRPr="003A55C4">
        <w:rPr>
          <w:noProof/>
        </w:rPr>
        <w:t>a</w:t>
      </w:r>
      <w:r w:rsidRPr="003A55C4">
        <w:rPr>
          <w:noProof/>
        </w:rPr>
        <w:t xml:space="preserve">djustment </w:t>
      </w:r>
      <w:r w:rsidR="00EA6122" w:rsidRPr="003A55C4">
        <w:rPr>
          <w:noProof/>
        </w:rPr>
        <w:t>m</w:t>
      </w:r>
      <w:r w:rsidRPr="003A55C4">
        <w:rPr>
          <w:noProof/>
        </w:rPr>
        <w:t xml:space="preserve">echanism certificates </w:t>
      </w:r>
      <w:r w:rsidR="008C6D1B" w:rsidRPr="003A55C4">
        <w:rPr>
          <w:noProof/>
        </w:rPr>
        <w:t xml:space="preserve">will be </w:t>
      </w:r>
      <w:r w:rsidR="00DA1975">
        <w:rPr>
          <w:noProof/>
        </w:rPr>
        <w:t>transferred</w:t>
      </w:r>
      <w:r w:rsidR="008C6D1B" w:rsidRPr="003A55C4">
        <w:rPr>
          <w:noProof/>
        </w:rPr>
        <w:t xml:space="preserve"> to the</w:t>
      </w:r>
      <w:r w:rsidR="009E77AA">
        <w:rPr>
          <w:noProof/>
        </w:rPr>
        <w:t xml:space="preserve"> EU</w:t>
      </w:r>
      <w:r w:rsidR="008C6D1B" w:rsidRPr="003A55C4">
        <w:rPr>
          <w:noProof/>
        </w:rPr>
        <w:t xml:space="preserve"> budget </w:t>
      </w:r>
      <w:r w:rsidRPr="003A55C4">
        <w:rPr>
          <w:noProof/>
        </w:rPr>
        <w:t>as own resources</w:t>
      </w:r>
      <w:r w:rsidR="009E77AA">
        <w:rPr>
          <w:noProof/>
        </w:rPr>
        <w:t xml:space="preserve"> in the form of a national contribution</w:t>
      </w:r>
      <w:r w:rsidRPr="003A55C4">
        <w:rPr>
          <w:noProof/>
        </w:rPr>
        <w:t xml:space="preserve">. </w:t>
      </w:r>
    </w:p>
    <w:p w14:paraId="0A58E91D" w14:textId="77777777" w:rsidR="009649E2" w:rsidRDefault="008C6D1B" w:rsidP="00E57F65">
      <w:pPr>
        <w:spacing w:before="0" w:after="240" w:line="276" w:lineRule="auto"/>
        <w:rPr>
          <w:noProof/>
          <w:lang w:val="en-IE"/>
        </w:rPr>
      </w:pPr>
      <w:r w:rsidRPr="003A55C4">
        <w:rPr>
          <w:noProof/>
        </w:rPr>
        <w:t>Finally, th</w:t>
      </w:r>
      <w:r w:rsidR="00D407F8">
        <w:rPr>
          <w:noProof/>
        </w:rPr>
        <w:t>is</w:t>
      </w:r>
      <w:r w:rsidRPr="003A55C4">
        <w:rPr>
          <w:noProof/>
        </w:rPr>
        <w:t xml:space="preserve"> proposal </w:t>
      </w:r>
      <w:r w:rsidR="00D56F08">
        <w:rPr>
          <w:noProof/>
        </w:rPr>
        <w:t xml:space="preserve">provides </w:t>
      </w:r>
      <w:r w:rsidRPr="003A55C4">
        <w:rPr>
          <w:noProof/>
        </w:rPr>
        <w:t xml:space="preserve">that </w:t>
      </w:r>
      <w:r w:rsidR="00110936" w:rsidRPr="003A55C4">
        <w:rPr>
          <w:noProof/>
        </w:rPr>
        <w:t xml:space="preserve">Member States will </w:t>
      </w:r>
      <w:r w:rsidR="00D56F08">
        <w:rPr>
          <w:noProof/>
        </w:rPr>
        <w:t>make</w:t>
      </w:r>
      <w:r w:rsidR="00110936" w:rsidRPr="003A55C4">
        <w:rPr>
          <w:noProof/>
        </w:rPr>
        <w:t xml:space="preserve"> </w:t>
      </w:r>
      <w:r w:rsidRPr="003A55C4">
        <w:rPr>
          <w:noProof/>
        </w:rPr>
        <w:t xml:space="preserve">a </w:t>
      </w:r>
      <w:r w:rsidR="00110936" w:rsidRPr="003A55C4">
        <w:rPr>
          <w:noProof/>
        </w:rPr>
        <w:t xml:space="preserve">national contribution to the EU budget </w:t>
      </w:r>
      <w:r w:rsidR="0030547A" w:rsidRPr="003A55C4">
        <w:rPr>
          <w:noProof/>
        </w:rPr>
        <w:t>based on</w:t>
      </w:r>
      <w:r w:rsidR="00110936" w:rsidRPr="003A55C4">
        <w:rPr>
          <w:noProof/>
        </w:rPr>
        <w:t xml:space="preserve"> the </w:t>
      </w:r>
      <w:r w:rsidRPr="003A55C4">
        <w:rPr>
          <w:noProof/>
        </w:rPr>
        <w:t xml:space="preserve">share of the </w:t>
      </w:r>
      <w:r w:rsidR="00D56F08">
        <w:rPr>
          <w:noProof/>
        </w:rPr>
        <w:t>residual</w:t>
      </w:r>
      <w:r w:rsidRPr="003A55C4">
        <w:rPr>
          <w:noProof/>
        </w:rPr>
        <w:t xml:space="preserve"> profits</w:t>
      </w:r>
      <w:r w:rsidR="00D56F08">
        <w:rPr>
          <w:noProof/>
        </w:rPr>
        <w:t xml:space="preserve"> of the largest and most profitable</w:t>
      </w:r>
      <w:r w:rsidRPr="003A55C4">
        <w:rPr>
          <w:noProof/>
        </w:rPr>
        <w:t xml:space="preserve"> multinational enterprises</w:t>
      </w:r>
      <w:r w:rsidR="00D56F08">
        <w:rPr>
          <w:noProof/>
        </w:rPr>
        <w:t xml:space="preserve"> re</w:t>
      </w:r>
      <w:r w:rsidR="008B0876">
        <w:rPr>
          <w:noProof/>
        </w:rPr>
        <w:t>-</w:t>
      </w:r>
      <w:r w:rsidR="00D56F08">
        <w:rPr>
          <w:noProof/>
        </w:rPr>
        <w:t>allocated to Member State</w:t>
      </w:r>
      <w:r w:rsidR="007C2D59">
        <w:rPr>
          <w:noProof/>
        </w:rPr>
        <w:t>s</w:t>
      </w:r>
      <w:r w:rsidR="00D56F08">
        <w:rPr>
          <w:noProof/>
        </w:rPr>
        <w:t xml:space="preserve"> </w:t>
      </w:r>
      <w:r w:rsidR="00711651">
        <w:rPr>
          <w:noProof/>
        </w:rPr>
        <w:t>in case they are end market jurisdictions</w:t>
      </w:r>
      <w:r w:rsidR="00711651" w:rsidRPr="00F74A3E">
        <w:rPr>
          <w:noProof/>
        </w:rPr>
        <w:t xml:space="preserve"> where goods or services are used or consumed</w:t>
      </w:r>
      <w:r w:rsidR="00D56F08">
        <w:rPr>
          <w:noProof/>
        </w:rPr>
        <w:t xml:space="preserve"> under the OECD</w:t>
      </w:r>
      <w:r w:rsidR="00AC752F">
        <w:rPr>
          <w:noProof/>
        </w:rPr>
        <w:t>/G20</w:t>
      </w:r>
      <w:r w:rsidR="00D56F08">
        <w:rPr>
          <w:noProof/>
        </w:rPr>
        <w:t xml:space="preserve"> </w:t>
      </w:r>
      <w:r w:rsidR="00AC752F" w:rsidRPr="00AC752F">
        <w:rPr>
          <w:noProof/>
        </w:rPr>
        <w:t>Inclusive Framework on Base Erosion and Profit Shifting</w:t>
      </w:r>
      <w:r w:rsidR="00AC752F">
        <w:rPr>
          <w:noProof/>
        </w:rPr>
        <w:t xml:space="preserve"> </w:t>
      </w:r>
      <w:r w:rsidR="00D56F08">
        <w:rPr>
          <w:noProof/>
        </w:rPr>
        <w:t>agreement</w:t>
      </w:r>
      <w:r w:rsidR="00B369C9">
        <w:rPr>
          <w:rStyle w:val="FootnoteReference"/>
          <w:noProof/>
        </w:rPr>
        <w:footnoteReference w:id="11"/>
      </w:r>
      <w:r w:rsidR="00D56F08">
        <w:rPr>
          <w:noProof/>
        </w:rPr>
        <w:t xml:space="preserve"> on a reform of the international tax framework.</w:t>
      </w:r>
      <w:r w:rsidRPr="003A55C4">
        <w:rPr>
          <w:noProof/>
        </w:rPr>
        <w:t xml:space="preserve"> </w:t>
      </w:r>
      <w:r w:rsidR="004E5D96" w:rsidRPr="003A55C4">
        <w:rPr>
          <w:noProof/>
        </w:rPr>
        <w:t xml:space="preserve">While </w:t>
      </w:r>
      <w:r w:rsidR="00D52764" w:rsidRPr="003A55C4">
        <w:rPr>
          <w:noProof/>
        </w:rPr>
        <w:t>work on</w:t>
      </w:r>
      <w:r w:rsidR="004E5D96" w:rsidRPr="003A55C4">
        <w:rPr>
          <w:noProof/>
        </w:rPr>
        <w:t xml:space="preserve"> </w:t>
      </w:r>
      <w:r w:rsidR="00504FC5">
        <w:rPr>
          <w:noProof/>
        </w:rPr>
        <w:t>a</w:t>
      </w:r>
      <w:r w:rsidR="00504FC5" w:rsidRPr="003A55C4">
        <w:rPr>
          <w:noProof/>
        </w:rPr>
        <w:t xml:space="preserve"> </w:t>
      </w:r>
      <w:r w:rsidR="004C2979">
        <w:rPr>
          <w:noProof/>
        </w:rPr>
        <w:t>M</w:t>
      </w:r>
      <w:r w:rsidR="00D407F8">
        <w:rPr>
          <w:noProof/>
        </w:rPr>
        <w:t xml:space="preserve">ultilateral </w:t>
      </w:r>
      <w:r w:rsidR="004C2979">
        <w:rPr>
          <w:noProof/>
        </w:rPr>
        <w:t>C</w:t>
      </w:r>
      <w:r w:rsidR="00D407F8">
        <w:rPr>
          <w:noProof/>
        </w:rPr>
        <w:t>onvention</w:t>
      </w:r>
      <w:r w:rsidR="00D407F8" w:rsidRPr="003A55C4">
        <w:rPr>
          <w:noProof/>
        </w:rPr>
        <w:t xml:space="preserve"> </w:t>
      </w:r>
      <w:r w:rsidR="004E5D96" w:rsidRPr="003A55C4">
        <w:rPr>
          <w:noProof/>
        </w:rPr>
        <w:t>is still ongoing</w:t>
      </w:r>
      <w:r w:rsidR="00D52764" w:rsidRPr="003A55C4">
        <w:rPr>
          <w:noProof/>
        </w:rPr>
        <w:t xml:space="preserve"> at the international level</w:t>
      </w:r>
      <w:r w:rsidR="004E5D96" w:rsidRPr="003A55C4">
        <w:rPr>
          <w:noProof/>
        </w:rPr>
        <w:t xml:space="preserve">, </w:t>
      </w:r>
      <w:r w:rsidR="004E5D96" w:rsidRPr="003A55C4">
        <w:rPr>
          <w:noProof/>
          <w:lang w:val="en-IE"/>
        </w:rPr>
        <w:t>t</w:t>
      </w:r>
      <w:r w:rsidRPr="003A55C4">
        <w:rPr>
          <w:noProof/>
          <w:lang w:val="en-IE"/>
        </w:rPr>
        <w:t xml:space="preserve">he Commission has announced that it would </w:t>
      </w:r>
      <w:r w:rsidR="00504FC5">
        <w:rPr>
          <w:noProof/>
          <w:lang w:val="en-IE"/>
        </w:rPr>
        <w:t>table a proposal for a Council</w:t>
      </w:r>
      <w:r w:rsidRPr="003A55C4">
        <w:rPr>
          <w:noProof/>
          <w:lang w:val="en-IE"/>
        </w:rPr>
        <w:t xml:space="preserve"> directive </w:t>
      </w:r>
      <w:r w:rsidR="00343280">
        <w:rPr>
          <w:noProof/>
          <w:lang w:val="en-IE"/>
        </w:rPr>
        <w:t xml:space="preserve">in 2022 </w:t>
      </w:r>
      <w:r w:rsidRPr="003A55C4">
        <w:rPr>
          <w:noProof/>
          <w:lang w:val="en-IE"/>
        </w:rPr>
        <w:t xml:space="preserve">ensuring a consistent implementation of </w:t>
      </w:r>
      <w:r w:rsidR="00FA4DD6">
        <w:rPr>
          <w:noProof/>
          <w:lang w:val="en-IE"/>
        </w:rPr>
        <w:t>the Multilateral C</w:t>
      </w:r>
      <w:r w:rsidR="00504FC5">
        <w:rPr>
          <w:noProof/>
          <w:lang w:val="en-IE"/>
        </w:rPr>
        <w:t>onvention</w:t>
      </w:r>
      <w:r w:rsidR="009769CC">
        <w:rPr>
          <w:noProof/>
          <w:lang w:val="en-IE"/>
        </w:rPr>
        <w:t xml:space="preserve"> on </w:t>
      </w:r>
      <w:r w:rsidR="007E5E2A">
        <w:rPr>
          <w:noProof/>
          <w:lang w:val="en-IE"/>
        </w:rPr>
        <w:t>a partial</w:t>
      </w:r>
      <w:r w:rsidR="009769CC">
        <w:rPr>
          <w:noProof/>
          <w:lang w:val="en-IE"/>
        </w:rPr>
        <w:t xml:space="preserve"> re</w:t>
      </w:r>
      <w:r w:rsidR="008B0876">
        <w:rPr>
          <w:noProof/>
          <w:lang w:val="en-IE"/>
        </w:rPr>
        <w:t>-</w:t>
      </w:r>
      <w:r w:rsidR="009769CC">
        <w:rPr>
          <w:noProof/>
          <w:lang w:val="en-IE"/>
        </w:rPr>
        <w:t>allocation of taxing rights</w:t>
      </w:r>
      <w:r w:rsidR="00D77B8C">
        <w:rPr>
          <w:noProof/>
          <w:lang w:val="en-IE"/>
        </w:rPr>
        <w:t>.</w:t>
      </w:r>
      <w:r w:rsidR="0078484F" w:rsidRPr="0078484F">
        <w:rPr>
          <w:noProof/>
          <w:color w:val="1F497D"/>
        </w:rPr>
        <w:t xml:space="preserve"> </w:t>
      </w:r>
    </w:p>
    <w:p w14:paraId="0FF3B74F" w14:textId="24176358" w:rsidR="005512E6" w:rsidRPr="003A55C4" w:rsidRDefault="0007655F" w:rsidP="0007655F">
      <w:pPr>
        <w:pStyle w:val="ManualHeading1"/>
        <w:rPr>
          <w:noProof/>
        </w:rPr>
      </w:pPr>
      <w:r w:rsidRPr="0007655F">
        <w:t>3.</w:t>
      </w:r>
      <w:r w:rsidRPr="0007655F">
        <w:tab/>
      </w:r>
      <w:r w:rsidR="005512E6" w:rsidRPr="003A55C4">
        <w:rPr>
          <w:noProof/>
        </w:rPr>
        <w:t>LEGAL FRAMEWORK</w:t>
      </w:r>
    </w:p>
    <w:p w14:paraId="13CC06E7" w14:textId="667B5276" w:rsidR="005512E6" w:rsidRPr="003A55C4" w:rsidRDefault="0007655F" w:rsidP="0007655F">
      <w:pPr>
        <w:pStyle w:val="ManualHeading2"/>
        <w:rPr>
          <w:noProof/>
        </w:rPr>
      </w:pPr>
      <w:r w:rsidRPr="0007655F">
        <w:t>3.1.</w:t>
      </w:r>
      <w:r w:rsidRPr="0007655F">
        <w:tab/>
      </w:r>
      <w:r w:rsidR="003C2240" w:rsidRPr="003A55C4">
        <w:rPr>
          <w:noProof/>
        </w:rPr>
        <w:t>Own Resource</w:t>
      </w:r>
      <w:r w:rsidR="00B369C9">
        <w:rPr>
          <w:noProof/>
        </w:rPr>
        <w:t>s</w:t>
      </w:r>
      <w:r w:rsidR="003C2240" w:rsidRPr="003A55C4">
        <w:rPr>
          <w:noProof/>
        </w:rPr>
        <w:t xml:space="preserve"> Decision </w:t>
      </w:r>
    </w:p>
    <w:p w14:paraId="15317E0C" w14:textId="77777777" w:rsidR="005512E6" w:rsidRPr="003A55C4" w:rsidRDefault="005512E6" w:rsidP="005512E6">
      <w:pPr>
        <w:spacing w:before="0" w:after="240" w:line="276" w:lineRule="auto"/>
        <w:rPr>
          <w:noProof/>
        </w:rPr>
      </w:pPr>
      <w:r w:rsidRPr="003A55C4">
        <w:rPr>
          <w:noProof/>
        </w:rPr>
        <w:t>Pursuant to Article 311(3)</w:t>
      </w:r>
      <w:r w:rsidR="003C2240" w:rsidRPr="003A55C4">
        <w:rPr>
          <w:noProof/>
        </w:rPr>
        <w:t xml:space="preserve"> of the Treaty on the Functioning of the European Union</w:t>
      </w:r>
      <w:r w:rsidRPr="003A55C4">
        <w:rPr>
          <w:noProof/>
        </w:rPr>
        <w:t>, the Council, after consulting the European Parliament "m</w:t>
      </w:r>
      <w:r w:rsidR="00326414" w:rsidRPr="003A55C4">
        <w:rPr>
          <w:noProof/>
        </w:rPr>
        <w:t>ay establish new categories of own r</w:t>
      </w:r>
      <w:r w:rsidRPr="003A55C4">
        <w:rPr>
          <w:noProof/>
        </w:rPr>
        <w:t>esources or abolish an existing category". This provision explicitly allows for amending the Own Resource</w:t>
      </w:r>
      <w:r w:rsidR="00326414" w:rsidRPr="003A55C4">
        <w:rPr>
          <w:noProof/>
        </w:rPr>
        <w:t>s</w:t>
      </w:r>
      <w:r w:rsidRPr="003A55C4">
        <w:rPr>
          <w:noProof/>
        </w:rPr>
        <w:t xml:space="preserve"> Decision to add new own resources as </w:t>
      </w:r>
      <w:r w:rsidR="00692620" w:rsidRPr="003A55C4">
        <w:rPr>
          <w:noProof/>
        </w:rPr>
        <w:t>agreed in</w:t>
      </w:r>
      <w:r w:rsidRPr="003A55C4">
        <w:rPr>
          <w:noProof/>
        </w:rPr>
        <w:t xml:space="preserve"> the </w:t>
      </w:r>
      <w:r w:rsidR="003C7AE6">
        <w:rPr>
          <w:noProof/>
        </w:rPr>
        <w:t>I</w:t>
      </w:r>
      <w:r w:rsidR="0025075A">
        <w:rPr>
          <w:noProof/>
        </w:rPr>
        <w:t xml:space="preserve">nterinstitutional </w:t>
      </w:r>
      <w:r w:rsidR="003C7AE6">
        <w:rPr>
          <w:noProof/>
        </w:rPr>
        <w:t>A</w:t>
      </w:r>
      <w:r w:rsidR="0025075A">
        <w:rPr>
          <w:noProof/>
        </w:rPr>
        <w:t>greement</w:t>
      </w:r>
      <w:r w:rsidR="00F425ED" w:rsidRPr="003A55C4">
        <w:rPr>
          <w:noProof/>
        </w:rPr>
        <w:t>.</w:t>
      </w:r>
    </w:p>
    <w:p w14:paraId="26BD59B1" w14:textId="77777777" w:rsidR="005512E6" w:rsidRPr="003A55C4" w:rsidRDefault="005512E6" w:rsidP="005512E6">
      <w:pPr>
        <w:spacing w:before="0" w:after="240" w:line="276" w:lineRule="auto"/>
        <w:rPr>
          <w:noProof/>
        </w:rPr>
      </w:pPr>
      <w:r w:rsidRPr="003A55C4">
        <w:rPr>
          <w:noProof/>
        </w:rPr>
        <w:t>In accordance with the special legislative procedure set out in Article 311</w:t>
      </w:r>
      <w:r w:rsidR="00B369C9">
        <w:rPr>
          <w:noProof/>
        </w:rPr>
        <w:t xml:space="preserve">(3) </w:t>
      </w:r>
      <w:r w:rsidR="00B369C9" w:rsidRPr="003A55C4">
        <w:rPr>
          <w:noProof/>
        </w:rPr>
        <w:t>Treaty on the Functioning of the European Union</w:t>
      </w:r>
      <w:r w:rsidRPr="003A55C4">
        <w:rPr>
          <w:noProof/>
        </w:rPr>
        <w:t xml:space="preserve">, the </w:t>
      </w:r>
      <w:r w:rsidR="00326414" w:rsidRPr="003A55C4">
        <w:rPr>
          <w:noProof/>
        </w:rPr>
        <w:t>Council adopts the revised d</w:t>
      </w:r>
      <w:r w:rsidRPr="003A55C4">
        <w:rPr>
          <w:noProof/>
        </w:rPr>
        <w:t xml:space="preserve">ecision by unanimity after consulting the European Parliament. The </w:t>
      </w:r>
      <w:r w:rsidR="00D1749E">
        <w:rPr>
          <w:noProof/>
        </w:rPr>
        <w:t>d</w:t>
      </w:r>
      <w:r w:rsidR="00B15514" w:rsidRPr="003A55C4">
        <w:rPr>
          <w:noProof/>
        </w:rPr>
        <w:t xml:space="preserve">ecision </w:t>
      </w:r>
      <w:r w:rsidRPr="003A55C4">
        <w:rPr>
          <w:noProof/>
        </w:rPr>
        <w:t xml:space="preserve">will enter into force once it is approved by the Member States in accordance with their </w:t>
      </w:r>
      <w:r w:rsidR="00692620" w:rsidRPr="003A55C4">
        <w:rPr>
          <w:noProof/>
        </w:rPr>
        <w:t>constitutional requirements</w:t>
      </w:r>
      <w:r w:rsidRPr="003A55C4">
        <w:rPr>
          <w:noProof/>
        </w:rPr>
        <w:t xml:space="preserve">. </w:t>
      </w:r>
    </w:p>
    <w:p w14:paraId="4926B224" w14:textId="16D4382A" w:rsidR="005512E6" w:rsidRPr="003A55C4" w:rsidRDefault="0007655F" w:rsidP="0007655F">
      <w:pPr>
        <w:pStyle w:val="ManualHeading2"/>
        <w:rPr>
          <w:noProof/>
        </w:rPr>
      </w:pPr>
      <w:r w:rsidRPr="0007655F">
        <w:t>3.2.</w:t>
      </w:r>
      <w:r w:rsidRPr="0007655F">
        <w:tab/>
      </w:r>
      <w:r w:rsidR="005512E6" w:rsidRPr="003A55C4">
        <w:rPr>
          <w:noProof/>
        </w:rPr>
        <w:t>Implementing legislation</w:t>
      </w:r>
    </w:p>
    <w:p w14:paraId="6C8CFCEC" w14:textId="77777777" w:rsidR="0067523E" w:rsidRDefault="005512E6" w:rsidP="00244826">
      <w:pPr>
        <w:spacing w:before="0" w:after="240" w:line="276" w:lineRule="auto"/>
        <w:rPr>
          <w:noProof/>
          <w:color w:val="008000"/>
          <w:lang w:val="en-US"/>
        </w:rPr>
      </w:pPr>
      <w:r w:rsidRPr="003A55C4">
        <w:rPr>
          <w:noProof/>
        </w:rPr>
        <w:t>In parallel, the Council needs to amend the implementing measures related to the own resource</w:t>
      </w:r>
      <w:r w:rsidR="00B369C9">
        <w:rPr>
          <w:noProof/>
        </w:rPr>
        <w:t>s</w:t>
      </w:r>
      <w:r w:rsidRPr="003A55C4">
        <w:rPr>
          <w:noProof/>
        </w:rPr>
        <w:t xml:space="preserve"> system to ensure that they remain fit for purpose. Additionally, new making available provisions are required for all new own resources.</w:t>
      </w:r>
      <w:r w:rsidR="001C4DF3" w:rsidRPr="003A55C4">
        <w:rPr>
          <w:noProof/>
        </w:rPr>
        <w:t xml:space="preserve"> The Commission will table the necessary proposals in the first </w:t>
      </w:r>
      <w:r w:rsidR="00A46BF1" w:rsidRPr="003A55C4">
        <w:rPr>
          <w:noProof/>
        </w:rPr>
        <w:t>half</w:t>
      </w:r>
      <w:r w:rsidR="001C4DF3" w:rsidRPr="003A55C4">
        <w:rPr>
          <w:noProof/>
        </w:rPr>
        <w:t xml:space="preserve"> of 2022.</w:t>
      </w:r>
      <w:r w:rsidRPr="003A55C4">
        <w:rPr>
          <w:noProof/>
        </w:rPr>
        <w:t xml:space="preserve"> </w:t>
      </w:r>
      <w:r w:rsidRPr="003A55C4" w:rsidDel="005512E6">
        <w:rPr>
          <w:noProof/>
          <w:color w:val="008000"/>
          <w:lang w:val="en-US"/>
        </w:rPr>
        <w:t xml:space="preserve"> </w:t>
      </w:r>
    </w:p>
    <w:p w14:paraId="77CFCE83" w14:textId="77777777" w:rsidR="0067523E" w:rsidRDefault="0067523E">
      <w:pPr>
        <w:spacing w:before="0" w:after="200" w:line="276" w:lineRule="auto"/>
        <w:jc w:val="left"/>
        <w:rPr>
          <w:noProof/>
          <w:color w:val="008000"/>
          <w:lang w:val="en-US"/>
        </w:rPr>
      </w:pPr>
      <w:r>
        <w:rPr>
          <w:noProof/>
          <w:color w:val="008000"/>
          <w:lang w:val="en-US"/>
        </w:rPr>
        <w:br w:type="page"/>
      </w:r>
    </w:p>
    <w:p w14:paraId="593BAD70" w14:textId="27EEB0D4" w:rsidR="00B24726" w:rsidRDefault="00C16BBE" w:rsidP="00C16BBE">
      <w:pPr>
        <w:pStyle w:val="Rfrenceinterinstitutionnelle"/>
        <w:rPr>
          <w:noProof/>
        </w:rPr>
      </w:pPr>
      <w:r w:rsidRPr="00C16BBE">
        <w:t>2021/0430 (CNS)</w:t>
      </w:r>
    </w:p>
    <w:p w14:paraId="7A325D44" w14:textId="6AAEF6BD" w:rsidR="00DF010D" w:rsidRPr="003A55C4" w:rsidRDefault="00B24726" w:rsidP="00B24726">
      <w:pPr>
        <w:pStyle w:val="Statut"/>
        <w:rPr>
          <w:noProof/>
        </w:rPr>
      </w:pPr>
      <w:r w:rsidRPr="00B24726">
        <w:rPr>
          <w:noProof/>
        </w:rPr>
        <w:t>Proposal for a</w:t>
      </w:r>
    </w:p>
    <w:p w14:paraId="7930E645" w14:textId="129E749F" w:rsidR="00DF010D" w:rsidRPr="003A55C4" w:rsidRDefault="00B24726" w:rsidP="00B24726">
      <w:pPr>
        <w:pStyle w:val="Typedudocument"/>
        <w:rPr>
          <w:noProof/>
        </w:rPr>
      </w:pPr>
      <w:r w:rsidRPr="00B24726">
        <w:rPr>
          <w:noProof/>
        </w:rPr>
        <w:t>COUNCIL DECISION</w:t>
      </w:r>
    </w:p>
    <w:p w14:paraId="63FEECE9" w14:textId="42F7C2AB" w:rsidR="00DF010D" w:rsidRPr="003A55C4" w:rsidRDefault="00B24726" w:rsidP="00B24726">
      <w:pPr>
        <w:pStyle w:val="Titreobjet"/>
        <w:rPr>
          <w:noProof/>
        </w:rPr>
      </w:pPr>
      <w:r w:rsidRPr="00B24726">
        <w:rPr>
          <w:noProof/>
        </w:rPr>
        <w:t>amending Decision (EU, Euratom) 2020/2053 on the system of own resources of the European Union</w:t>
      </w:r>
    </w:p>
    <w:p w14:paraId="45D38C9F" w14:textId="77777777" w:rsidR="00DF010D" w:rsidRPr="003A55C4" w:rsidRDefault="00DF010D" w:rsidP="001E75DE">
      <w:pPr>
        <w:pStyle w:val="Institutionquiagit"/>
        <w:rPr>
          <w:noProof/>
        </w:rPr>
      </w:pPr>
      <w:r w:rsidRPr="003A55C4">
        <w:rPr>
          <w:noProof/>
        </w:rPr>
        <w:t xml:space="preserve">THE COUNCIL OF THE EUROPEAN </w:t>
      </w:r>
      <w:smartTag w:uri="urn:schemas-microsoft-com:office:smarttags" w:element="place">
        <w:r w:rsidRPr="003A55C4">
          <w:rPr>
            <w:noProof/>
          </w:rPr>
          <w:t>UNION</w:t>
        </w:r>
      </w:smartTag>
      <w:r w:rsidRPr="003A55C4">
        <w:rPr>
          <w:noProof/>
        </w:rPr>
        <w:t>,</w:t>
      </w:r>
    </w:p>
    <w:p w14:paraId="5FC691C4" w14:textId="77777777" w:rsidR="00DF010D" w:rsidRPr="003A55C4" w:rsidRDefault="00DF010D" w:rsidP="001E75DE">
      <w:pPr>
        <w:rPr>
          <w:noProof/>
        </w:rPr>
      </w:pPr>
      <w:r w:rsidRPr="003A55C4">
        <w:rPr>
          <w:noProof/>
        </w:rPr>
        <w:t xml:space="preserve">Having regard to the Treaty on the Functioning of the European Union, and in particular </w:t>
      </w:r>
      <w:r w:rsidR="00B369C9" w:rsidRPr="003A55C4">
        <w:rPr>
          <w:noProof/>
        </w:rPr>
        <w:t>Article 311</w:t>
      </w:r>
      <w:r w:rsidR="00B369C9">
        <w:rPr>
          <w:noProof/>
        </w:rPr>
        <w:t>,</w:t>
      </w:r>
      <w:r w:rsidR="00174B94" w:rsidRPr="003A55C4">
        <w:rPr>
          <w:noProof/>
        </w:rPr>
        <w:t xml:space="preserve"> third paragraph </w:t>
      </w:r>
      <w:r w:rsidRPr="003A55C4">
        <w:rPr>
          <w:noProof/>
        </w:rPr>
        <w:t>thereof,</w:t>
      </w:r>
    </w:p>
    <w:p w14:paraId="5FD2FC85" w14:textId="77777777" w:rsidR="00DF010D" w:rsidRPr="003A55C4" w:rsidRDefault="00DF010D" w:rsidP="00DF010D">
      <w:pPr>
        <w:rPr>
          <w:noProof/>
        </w:rPr>
      </w:pPr>
      <w:r w:rsidRPr="003A55C4">
        <w:rPr>
          <w:noProof/>
        </w:rPr>
        <w:t>Having regard to the Treaty establishing the European Atomic Energy Community, and in particular Article 106a thereof,</w:t>
      </w:r>
    </w:p>
    <w:p w14:paraId="3C2E5EDF" w14:textId="77777777" w:rsidR="00DF010D" w:rsidRPr="003A55C4" w:rsidRDefault="00DF010D" w:rsidP="001E75DE">
      <w:pPr>
        <w:rPr>
          <w:noProof/>
        </w:rPr>
      </w:pPr>
      <w:r w:rsidRPr="003A55C4">
        <w:rPr>
          <w:noProof/>
        </w:rPr>
        <w:t>Having regard to the proposal from the European Commission,</w:t>
      </w:r>
    </w:p>
    <w:p w14:paraId="59FA61B5" w14:textId="77777777" w:rsidR="00DF010D" w:rsidRPr="003A55C4" w:rsidRDefault="00DF010D" w:rsidP="001E75DE">
      <w:pPr>
        <w:rPr>
          <w:noProof/>
        </w:rPr>
      </w:pPr>
      <w:r w:rsidRPr="003A55C4">
        <w:rPr>
          <w:noProof/>
        </w:rPr>
        <w:t xml:space="preserve">After transmission of the draft legislative act to the national parliaments, </w:t>
      </w:r>
    </w:p>
    <w:p w14:paraId="75834EA4" w14:textId="77777777" w:rsidR="00DF010D" w:rsidRPr="003A55C4" w:rsidRDefault="00DF010D" w:rsidP="001E75DE">
      <w:pPr>
        <w:rPr>
          <w:noProof/>
        </w:rPr>
      </w:pPr>
      <w:r w:rsidRPr="003A55C4">
        <w:rPr>
          <w:noProof/>
        </w:rPr>
        <w:t xml:space="preserve">Having regard to the opinion of the European Parliament, </w:t>
      </w:r>
    </w:p>
    <w:p w14:paraId="496CED60" w14:textId="77777777" w:rsidR="00DF010D" w:rsidRPr="003A55C4" w:rsidRDefault="00DF010D" w:rsidP="001E75DE">
      <w:pPr>
        <w:rPr>
          <w:noProof/>
        </w:rPr>
      </w:pPr>
      <w:r w:rsidRPr="003A55C4">
        <w:rPr>
          <w:noProof/>
        </w:rPr>
        <w:t xml:space="preserve">Acting in accordance with a special legislative procedure, </w:t>
      </w:r>
    </w:p>
    <w:p w14:paraId="72DB6931" w14:textId="77777777" w:rsidR="00DF010D" w:rsidRPr="003A55C4" w:rsidRDefault="00DF010D" w:rsidP="001E75DE">
      <w:pPr>
        <w:rPr>
          <w:noProof/>
        </w:rPr>
      </w:pPr>
      <w:r w:rsidRPr="003A55C4">
        <w:rPr>
          <w:noProof/>
        </w:rPr>
        <w:t>Whereas:</w:t>
      </w:r>
    </w:p>
    <w:p w14:paraId="665F7D87" w14:textId="32D0FF05" w:rsidR="00D52764" w:rsidRPr="003A55C4" w:rsidRDefault="0007655F" w:rsidP="0007655F">
      <w:pPr>
        <w:pStyle w:val="ManualConsidrant"/>
        <w:rPr>
          <w:noProof/>
        </w:rPr>
      </w:pPr>
      <w:r w:rsidRPr="0007655F">
        <w:t>(1)</w:t>
      </w:r>
      <w:r w:rsidRPr="0007655F">
        <w:tab/>
      </w:r>
      <w:r w:rsidR="002E0F14" w:rsidRPr="003A55C4">
        <w:rPr>
          <w:noProof/>
        </w:rPr>
        <w:t>NextGenerationEU</w:t>
      </w:r>
      <w:r w:rsidR="007F2E46" w:rsidRPr="003A55C4">
        <w:rPr>
          <w:noProof/>
        </w:rPr>
        <w:t>, established by Council Regulation (EU) 2020/2094</w:t>
      </w:r>
      <w:r w:rsidR="00D26AC1">
        <w:rPr>
          <w:rStyle w:val="FootnoteReference"/>
          <w:noProof/>
        </w:rPr>
        <w:footnoteReference w:id="12"/>
      </w:r>
      <w:r w:rsidR="007F2E46" w:rsidRPr="003A55C4">
        <w:rPr>
          <w:noProof/>
        </w:rPr>
        <w:t xml:space="preserve">, </w:t>
      </w:r>
      <w:r w:rsidR="0067523E">
        <w:rPr>
          <w:noProof/>
        </w:rPr>
        <w:t xml:space="preserve">will deploy EUR 750 </w:t>
      </w:r>
      <w:r w:rsidR="002E0F14" w:rsidRPr="003A55C4">
        <w:rPr>
          <w:noProof/>
        </w:rPr>
        <w:t xml:space="preserve">billion </w:t>
      </w:r>
      <w:r w:rsidR="005A1953" w:rsidRPr="003A55C4">
        <w:rPr>
          <w:noProof/>
        </w:rPr>
        <w:t>in 2018 prices</w:t>
      </w:r>
      <w:r w:rsidR="00B369C9">
        <w:rPr>
          <w:noProof/>
        </w:rPr>
        <w:t>, raised on financial</w:t>
      </w:r>
      <w:r w:rsidR="00B369C9" w:rsidRPr="003A55C4">
        <w:rPr>
          <w:noProof/>
        </w:rPr>
        <w:t xml:space="preserve"> </w:t>
      </w:r>
      <w:r w:rsidR="00B369C9">
        <w:rPr>
          <w:noProof/>
        </w:rPr>
        <w:t>markets</w:t>
      </w:r>
      <w:r w:rsidR="005A1953" w:rsidRPr="003A55C4">
        <w:rPr>
          <w:noProof/>
        </w:rPr>
        <w:t xml:space="preserve"> </w:t>
      </w:r>
      <w:r w:rsidR="002E0F14" w:rsidRPr="003A55C4">
        <w:rPr>
          <w:noProof/>
        </w:rPr>
        <w:t xml:space="preserve">as </w:t>
      </w:r>
      <w:r w:rsidR="00864729" w:rsidRPr="003A55C4">
        <w:rPr>
          <w:noProof/>
        </w:rPr>
        <w:t xml:space="preserve">a </w:t>
      </w:r>
      <w:r w:rsidR="002E0F14" w:rsidRPr="003A55C4">
        <w:rPr>
          <w:noProof/>
        </w:rPr>
        <w:t xml:space="preserve">temporary recovery instrument to </w:t>
      </w:r>
      <w:r w:rsidR="00E0159C" w:rsidRPr="003A55C4">
        <w:rPr>
          <w:noProof/>
        </w:rPr>
        <w:t>ensure a sustainable and resilient recovery throughout the Union and facilitate the imp</w:t>
      </w:r>
      <w:r w:rsidR="0067523E">
        <w:rPr>
          <w:noProof/>
        </w:rPr>
        <w:t>lementation of economic support</w:t>
      </w:r>
      <w:r w:rsidR="00E0159C" w:rsidRPr="003A55C4">
        <w:rPr>
          <w:noProof/>
        </w:rPr>
        <w:t xml:space="preserve"> in the exceptional situation caused </w:t>
      </w:r>
      <w:r w:rsidR="00B369C9">
        <w:rPr>
          <w:noProof/>
        </w:rPr>
        <w:t>the</w:t>
      </w:r>
      <w:r w:rsidR="00B369C9" w:rsidRPr="003A55C4">
        <w:rPr>
          <w:noProof/>
        </w:rPr>
        <w:t xml:space="preserve"> </w:t>
      </w:r>
      <w:r w:rsidR="00E0159C" w:rsidRPr="003A55C4">
        <w:rPr>
          <w:noProof/>
        </w:rPr>
        <w:t>COVID-19</w:t>
      </w:r>
      <w:r w:rsidR="00B369C9">
        <w:rPr>
          <w:noProof/>
        </w:rPr>
        <w:t xml:space="preserve"> pandemic</w:t>
      </w:r>
      <w:r w:rsidR="00E0159C" w:rsidRPr="003A55C4">
        <w:rPr>
          <w:noProof/>
        </w:rPr>
        <w:t>,</w:t>
      </w:r>
      <w:r w:rsidR="002E0F14" w:rsidRPr="003A55C4">
        <w:rPr>
          <w:noProof/>
        </w:rPr>
        <w:t xml:space="preserve"> and promote the green and digital transition.</w:t>
      </w:r>
      <w:r w:rsidR="00B857CC" w:rsidRPr="003A55C4">
        <w:rPr>
          <w:noProof/>
        </w:rPr>
        <w:t xml:space="preserve"> </w:t>
      </w:r>
    </w:p>
    <w:p w14:paraId="785F8047" w14:textId="654568C3" w:rsidR="00A8715F" w:rsidRPr="003A55C4" w:rsidRDefault="0007655F" w:rsidP="0007655F">
      <w:pPr>
        <w:pStyle w:val="ManualConsidrant"/>
        <w:rPr>
          <w:noProof/>
        </w:rPr>
      </w:pPr>
      <w:r w:rsidRPr="0007655F">
        <w:t>(2)</w:t>
      </w:r>
      <w:r w:rsidRPr="0007655F">
        <w:tab/>
      </w:r>
      <w:r w:rsidR="007E5E75">
        <w:rPr>
          <w:noProof/>
        </w:rPr>
        <w:t>The repayment of the principal of such funds to be used for expenditure under the European Union Recovery Instrument and the related interest due will have to be financed by the general budget of the Union, including by sufficient proceeds from new own resources introduced after 2021.</w:t>
      </w:r>
      <w:r w:rsidR="00C93E02" w:rsidRPr="003A55C4">
        <w:rPr>
          <w:noProof/>
        </w:rPr>
        <w:t xml:space="preserve"> </w:t>
      </w:r>
      <w:r w:rsidR="000A18B3" w:rsidRPr="003A55C4">
        <w:rPr>
          <w:noProof/>
        </w:rPr>
        <w:t xml:space="preserve">In the framework of the </w:t>
      </w:r>
      <w:r w:rsidR="00D1749E">
        <w:rPr>
          <w:noProof/>
        </w:rPr>
        <w:t>I</w:t>
      </w:r>
      <w:r w:rsidR="000A18B3" w:rsidRPr="003A55C4">
        <w:rPr>
          <w:noProof/>
        </w:rPr>
        <w:t xml:space="preserve">nterinstitutional </w:t>
      </w:r>
      <w:r w:rsidR="00D1749E">
        <w:rPr>
          <w:noProof/>
        </w:rPr>
        <w:t>A</w:t>
      </w:r>
      <w:r w:rsidR="000A18B3" w:rsidRPr="003A55C4">
        <w:rPr>
          <w:noProof/>
        </w:rPr>
        <w:t>greement of 16 December 2020</w:t>
      </w:r>
      <w:r w:rsidR="00D26AC1">
        <w:rPr>
          <w:rStyle w:val="FootnoteReference"/>
          <w:noProof/>
        </w:rPr>
        <w:footnoteReference w:id="13"/>
      </w:r>
      <w:r w:rsidR="000A18B3" w:rsidRPr="003A55C4">
        <w:rPr>
          <w:noProof/>
        </w:rPr>
        <w:t>, the European Parliament</w:t>
      </w:r>
      <w:r w:rsidR="005F7441" w:rsidRPr="003A55C4">
        <w:rPr>
          <w:noProof/>
        </w:rPr>
        <w:t>,</w:t>
      </w:r>
      <w:r w:rsidR="000A18B3" w:rsidRPr="003A55C4">
        <w:rPr>
          <w:noProof/>
        </w:rPr>
        <w:t xml:space="preserve"> </w:t>
      </w:r>
      <w:r w:rsidR="005F7441" w:rsidRPr="003A55C4">
        <w:rPr>
          <w:noProof/>
        </w:rPr>
        <w:t xml:space="preserve">the Council </w:t>
      </w:r>
      <w:r w:rsidR="000A18B3" w:rsidRPr="003A55C4">
        <w:rPr>
          <w:noProof/>
        </w:rPr>
        <w:t xml:space="preserve">and the Commission recognised </w:t>
      </w:r>
      <w:r w:rsidR="00D52764" w:rsidRPr="003A55C4">
        <w:rPr>
          <w:noProof/>
        </w:rPr>
        <w:t>the importance of the context of the European Union Recovery Instrument</w:t>
      </w:r>
      <w:r w:rsidR="007E5E75">
        <w:rPr>
          <w:noProof/>
        </w:rPr>
        <w:t xml:space="preserve"> </w:t>
      </w:r>
      <w:r w:rsidR="00D52764" w:rsidRPr="003A55C4">
        <w:rPr>
          <w:noProof/>
        </w:rPr>
        <w:t xml:space="preserve">and </w:t>
      </w:r>
      <w:r w:rsidR="00595890">
        <w:rPr>
          <w:noProof/>
        </w:rPr>
        <w:t>acknolwedged</w:t>
      </w:r>
      <w:r w:rsidR="00595890" w:rsidRPr="003A55C4">
        <w:rPr>
          <w:noProof/>
        </w:rPr>
        <w:t xml:space="preserve"> </w:t>
      </w:r>
      <w:r w:rsidR="00D52764" w:rsidRPr="003A55C4">
        <w:rPr>
          <w:noProof/>
        </w:rPr>
        <w:t xml:space="preserve">that </w:t>
      </w:r>
      <w:r w:rsidR="00050C0E">
        <w:rPr>
          <w:noProof/>
        </w:rPr>
        <w:t>‘</w:t>
      </w:r>
      <w:r w:rsidR="00D52764" w:rsidRPr="003A55C4">
        <w:rPr>
          <w:noProof/>
        </w:rPr>
        <w:t>expenditure from the Union budget related to the repayment of the European Union Recovery Instrument should not lead to an undue reduction in programme expenditure or investment instruments under the MFF</w:t>
      </w:r>
      <w:r w:rsidR="00050C0E">
        <w:rPr>
          <w:noProof/>
        </w:rPr>
        <w:t>’</w:t>
      </w:r>
      <w:r w:rsidR="00B21D7F" w:rsidRPr="003A55C4">
        <w:rPr>
          <w:noProof/>
        </w:rPr>
        <w:t>.</w:t>
      </w:r>
      <w:r w:rsidR="00174B94" w:rsidRPr="003A55C4">
        <w:rPr>
          <w:noProof/>
        </w:rPr>
        <w:t xml:space="preserve"> </w:t>
      </w:r>
      <w:r w:rsidR="001C4DF3" w:rsidRPr="003A55C4">
        <w:rPr>
          <w:noProof/>
        </w:rPr>
        <w:t xml:space="preserve">The </w:t>
      </w:r>
      <w:r w:rsidR="00B21F58">
        <w:rPr>
          <w:noProof/>
        </w:rPr>
        <w:t>I</w:t>
      </w:r>
      <w:r w:rsidR="001C4DF3" w:rsidRPr="003A55C4">
        <w:rPr>
          <w:noProof/>
        </w:rPr>
        <w:t xml:space="preserve">nterinstitutional </w:t>
      </w:r>
      <w:r w:rsidR="00B21F58">
        <w:rPr>
          <w:noProof/>
        </w:rPr>
        <w:t>A</w:t>
      </w:r>
      <w:r w:rsidR="001C4DF3" w:rsidRPr="003A55C4">
        <w:rPr>
          <w:noProof/>
        </w:rPr>
        <w:t xml:space="preserve">greement also stated that </w:t>
      </w:r>
      <w:r w:rsidR="00050C0E">
        <w:rPr>
          <w:noProof/>
        </w:rPr>
        <w:t>‘</w:t>
      </w:r>
      <w:r w:rsidR="001C4DF3" w:rsidRPr="003A55C4">
        <w:rPr>
          <w:noProof/>
        </w:rPr>
        <w:t>it is also desirable to mitigate the increases in the GNI-based own resource for the Member States</w:t>
      </w:r>
      <w:r w:rsidR="00050C0E">
        <w:rPr>
          <w:noProof/>
        </w:rPr>
        <w:t>’</w:t>
      </w:r>
      <w:r w:rsidR="001C4DF3" w:rsidRPr="003A55C4">
        <w:rPr>
          <w:noProof/>
        </w:rPr>
        <w:t xml:space="preserve">. </w:t>
      </w:r>
    </w:p>
    <w:p w14:paraId="02C914A4" w14:textId="143F8E5E" w:rsidR="00E8330A" w:rsidRPr="003A55C4" w:rsidRDefault="0007655F" w:rsidP="0007655F">
      <w:pPr>
        <w:pStyle w:val="ManualConsidrant"/>
        <w:rPr>
          <w:noProof/>
        </w:rPr>
      </w:pPr>
      <w:r w:rsidRPr="0007655F">
        <w:t>(3)</w:t>
      </w:r>
      <w:r w:rsidRPr="0007655F">
        <w:tab/>
      </w:r>
      <w:r w:rsidR="008D19FE" w:rsidRPr="003A55C4">
        <w:rPr>
          <w:noProof/>
        </w:rPr>
        <w:t>T</w:t>
      </w:r>
      <w:r w:rsidR="0085791B" w:rsidRPr="003A55C4">
        <w:rPr>
          <w:noProof/>
        </w:rPr>
        <w:t xml:space="preserve">he </w:t>
      </w:r>
      <w:r w:rsidR="008D19FE" w:rsidRPr="003A55C4">
        <w:rPr>
          <w:noProof/>
        </w:rPr>
        <w:t xml:space="preserve">EU </w:t>
      </w:r>
      <w:r w:rsidR="0085791B" w:rsidRPr="003A55C4">
        <w:rPr>
          <w:noProof/>
        </w:rPr>
        <w:t>Emissions Trading System</w:t>
      </w:r>
      <w:r w:rsidR="00E8330A" w:rsidRPr="003A55C4">
        <w:rPr>
          <w:noProof/>
        </w:rPr>
        <w:t>, established by Directive</w:t>
      </w:r>
      <w:r w:rsidR="00E8330A" w:rsidRPr="003A55C4">
        <w:rPr>
          <w:noProof/>
          <w:lang w:val="en-IE"/>
        </w:rPr>
        <w:t xml:space="preserve"> 2003/87/EC of the European Parliament and of the Council</w:t>
      </w:r>
      <w:r w:rsidR="00E8330A" w:rsidRPr="003A55C4">
        <w:rPr>
          <w:rStyle w:val="FootnoteReference"/>
          <w:noProof/>
          <w:lang w:val="en-IE"/>
        </w:rPr>
        <w:footnoteReference w:id="14"/>
      </w:r>
      <w:r w:rsidR="00E8330A" w:rsidRPr="003A55C4">
        <w:rPr>
          <w:noProof/>
        </w:rPr>
        <w:t>,</w:t>
      </w:r>
      <w:r w:rsidR="00F75E25" w:rsidRPr="003A55C4">
        <w:rPr>
          <w:noProof/>
        </w:rPr>
        <w:t xml:space="preserve"> </w:t>
      </w:r>
      <w:r w:rsidR="008D19FE" w:rsidRPr="003A55C4">
        <w:rPr>
          <w:noProof/>
        </w:rPr>
        <w:t>is a central part of the climate policy</w:t>
      </w:r>
      <w:r w:rsidR="00E8330A" w:rsidRPr="003A55C4">
        <w:rPr>
          <w:noProof/>
        </w:rPr>
        <w:t xml:space="preserve"> of the Union</w:t>
      </w:r>
      <w:r w:rsidR="008D19FE" w:rsidRPr="003A55C4">
        <w:rPr>
          <w:noProof/>
        </w:rPr>
        <w:t xml:space="preserve">. </w:t>
      </w:r>
      <w:r w:rsidR="005F7441" w:rsidRPr="003A55C4">
        <w:rPr>
          <w:noProof/>
        </w:rPr>
        <w:t>Considering</w:t>
      </w:r>
      <w:r w:rsidR="008D19FE" w:rsidRPr="003A55C4">
        <w:rPr>
          <w:noProof/>
        </w:rPr>
        <w:t xml:space="preserve"> the close link of </w:t>
      </w:r>
      <w:r w:rsidR="002808AA" w:rsidRPr="003C64F1">
        <w:rPr>
          <w:noProof/>
        </w:rPr>
        <w:t>emission</w:t>
      </w:r>
      <w:r w:rsidR="005C7749" w:rsidRPr="003C64F1">
        <w:rPr>
          <w:noProof/>
        </w:rPr>
        <w:t>s</w:t>
      </w:r>
      <w:r w:rsidR="002808AA" w:rsidRPr="003A55C4">
        <w:rPr>
          <w:noProof/>
        </w:rPr>
        <w:t xml:space="preserve"> trading</w:t>
      </w:r>
      <w:r w:rsidR="008D19FE" w:rsidRPr="003A55C4">
        <w:rPr>
          <w:noProof/>
        </w:rPr>
        <w:t xml:space="preserve"> to </w:t>
      </w:r>
      <w:r w:rsidR="00E8330A" w:rsidRPr="003A55C4">
        <w:rPr>
          <w:noProof/>
        </w:rPr>
        <w:t xml:space="preserve">the </w:t>
      </w:r>
      <w:r w:rsidR="00C93E02" w:rsidRPr="003A55C4">
        <w:rPr>
          <w:noProof/>
        </w:rPr>
        <w:t xml:space="preserve">climate </w:t>
      </w:r>
      <w:r w:rsidR="00174B94" w:rsidRPr="003A55C4">
        <w:rPr>
          <w:noProof/>
        </w:rPr>
        <w:t>policy</w:t>
      </w:r>
      <w:r w:rsidR="006914A1" w:rsidRPr="003A55C4">
        <w:rPr>
          <w:noProof/>
        </w:rPr>
        <w:t xml:space="preserve"> </w:t>
      </w:r>
      <w:r w:rsidR="00174B94" w:rsidRPr="003A55C4">
        <w:rPr>
          <w:noProof/>
        </w:rPr>
        <w:t>objectives</w:t>
      </w:r>
      <w:r w:rsidR="00E8330A" w:rsidRPr="003A55C4">
        <w:rPr>
          <w:noProof/>
        </w:rPr>
        <w:t xml:space="preserve"> of the Union</w:t>
      </w:r>
      <w:r w:rsidR="00F75E25" w:rsidRPr="003A55C4">
        <w:rPr>
          <w:noProof/>
        </w:rPr>
        <w:t xml:space="preserve">, it is appropriate </w:t>
      </w:r>
      <w:r w:rsidR="00E2014F" w:rsidRPr="003A55C4">
        <w:rPr>
          <w:noProof/>
        </w:rPr>
        <w:t xml:space="preserve">to allocate </w:t>
      </w:r>
      <w:r w:rsidR="00F75E25" w:rsidRPr="003A55C4">
        <w:rPr>
          <w:noProof/>
        </w:rPr>
        <w:t>a share of the</w:t>
      </w:r>
      <w:r w:rsidR="002808AA" w:rsidRPr="003A55C4">
        <w:rPr>
          <w:noProof/>
        </w:rPr>
        <w:t xml:space="preserve"> </w:t>
      </w:r>
      <w:r w:rsidR="00F75E25" w:rsidRPr="003A55C4">
        <w:rPr>
          <w:noProof/>
        </w:rPr>
        <w:t xml:space="preserve">revenues </w:t>
      </w:r>
      <w:r w:rsidR="00595890">
        <w:rPr>
          <w:noProof/>
        </w:rPr>
        <w:t xml:space="preserve">concerned </w:t>
      </w:r>
      <w:r w:rsidR="00F75E25" w:rsidRPr="003A55C4">
        <w:rPr>
          <w:noProof/>
        </w:rPr>
        <w:t xml:space="preserve">to the </w:t>
      </w:r>
      <w:r w:rsidR="00E8330A" w:rsidRPr="003A55C4">
        <w:rPr>
          <w:noProof/>
        </w:rPr>
        <w:t>Union</w:t>
      </w:r>
      <w:r w:rsidR="00F75E25" w:rsidRPr="003A55C4">
        <w:rPr>
          <w:noProof/>
        </w:rPr>
        <w:t xml:space="preserve"> budget</w:t>
      </w:r>
      <w:r w:rsidR="00B857CC" w:rsidRPr="003A55C4">
        <w:rPr>
          <w:noProof/>
        </w:rPr>
        <w:t>.</w:t>
      </w:r>
    </w:p>
    <w:p w14:paraId="772979F8" w14:textId="19FCD9E3" w:rsidR="000D3F76" w:rsidRPr="003A55C4" w:rsidRDefault="0007655F" w:rsidP="0007655F">
      <w:pPr>
        <w:pStyle w:val="ManualConsidrant"/>
        <w:rPr>
          <w:noProof/>
        </w:rPr>
      </w:pPr>
      <w:r w:rsidRPr="0007655F">
        <w:t>(4)</w:t>
      </w:r>
      <w:r w:rsidRPr="0007655F">
        <w:tab/>
      </w:r>
      <w:r w:rsidR="0095531D">
        <w:rPr>
          <w:noProof/>
        </w:rPr>
        <w:t>The emissions t</w:t>
      </w:r>
      <w:r w:rsidR="00453D88">
        <w:rPr>
          <w:noProof/>
        </w:rPr>
        <w:t>rading o</w:t>
      </w:r>
      <w:r w:rsidR="00595890">
        <w:rPr>
          <w:noProof/>
        </w:rPr>
        <w:t>wn resources include</w:t>
      </w:r>
      <w:r w:rsidR="00453D88">
        <w:rPr>
          <w:noProof/>
        </w:rPr>
        <w:t>s</w:t>
      </w:r>
      <w:r w:rsidR="00D9713F" w:rsidRPr="003A55C4">
        <w:rPr>
          <w:noProof/>
        </w:rPr>
        <w:t xml:space="preserve"> </w:t>
      </w:r>
      <w:r w:rsidR="001420A7" w:rsidRPr="003A55C4">
        <w:rPr>
          <w:noProof/>
        </w:rPr>
        <w:t>a</w:t>
      </w:r>
      <w:r w:rsidR="00C52E56" w:rsidRPr="003A55C4">
        <w:rPr>
          <w:noProof/>
        </w:rPr>
        <w:t xml:space="preserve"> </w:t>
      </w:r>
      <w:r w:rsidR="001420A7" w:rsidRPr="003A55C4">
        <w:rPr>
          <w:noProof/>
        </w:rPr>
        <w:t xml:space="preserve">share of revenues </w:t>
      </w:r>
      <w:r w:rsidR="00595890">
        <w:rPr>
          <w:noProof/>
        </w:rPr>
        <w:t xml:space="preserve">generated </w:t>
      </w:r>
      <w:r w:rsidR="001420A7" w:rsidRPr="003A55C4">
        <w:rPr>
          <w:noProof/>
        </w:rPr>
        <w:t xml:space="preserve">from the auctioning of </w:t>
      </w:r>
      <w:r w:rsidR="00D9713F" w:rsidRPr="003A55C4">
        <w:rPr>
          <w:noProof/>
        </w:rPr>
        <w:t xml:space="preserve">allowances in all sectors </w:t>
      </w:r>
      <w:r w:rsidR="001420A7" w:rsidRPr="003A55C4">
        <w:rPr>
          <w:noProof/>
        </w:rPr>
        <w:t>falling under</w:t>
      </w:r>
      <w:r w:rsidR="00D9713F" w:rsidRPr="003A55C4">
        <w:rPr>
          <w:noProof/>
        </w:rPr>
        <w:t xml:space="preserve"> </w:t>
      </w:r>
      <w:r w:rsidR="00595890">
        <w:rPr>
          <w:noProof/>
        </w:rPr>
        <w:t xml:space="preserve">the </w:t>
      </w:r>
      <w:r w:rsidR="004C2979">
        <w:rPr>
          <w:noProof/>
        </w:rPr>
        <w:t>scope of</w:t>
      </w:r>
      <w:r w:rsidR="00595890">
        <w:rPr>
          <w:noProof/>
        </w:rPr>
        <w:t xml:space="preserve"> </w:t>
      </w:r>
      <w:r w:rsidR="00D9713F" w:rsidRPr="003A55C4">
        <w:rPr>
          <w:noProof/>
        </w:rPr>
        <w:t xml:space="preserve">Directive 2003/87/EC. </w:t>
      </w:r>
      <w:r w:rsidR="00595890">
        <w:rPr>
          <w:noProof/>
        </w:rPr>
        <w:t xml:space="preserve">Under </w:t>
      </w:r>
      <w:r w:rsidR="00D9713F" w:rsidRPr="003A55C4">
        <w:rPr>
          <w:noProof/>
        </w:rPr>
        <w:t>Directive 2003/87/EC and Regulation (EU) 2018/842</w:t>
      </w:r>
      <w:r w:rsidR="00E8330A" w:rsidRPr="003A55C4">
        <w:rPr>
          <w:noProof/>
        </w:rPr>
        <w:t xml:space="preserve"> of the European Parliament and of the Council</w:t>
      </w:r>
      <w:r w:rsidR="00163031" w:rsidRPr="003A55C4">
        <w:rPr>
          <w:rStyle w:val="FootnoteReference"/>
          <w:noProof/>
        </w:rPr>
        <w:footnoteReference w:id="15"/>
      </w:r>
      <w:r w:rsidR="00595890">
        <w:rPr>
          <w:noProof/>
        </w:rPr>
        <w:t>,</w:t>
      </w:r>
      <w:r w:rsidR="00D9713F" w:rsidRPr="003A55C4">
        <w:rPr>
          <w:noProof/>
        </w:rPr>
        <w:t xml:space="preserve"> Member States </w:t>
      </w:r>
      <w:r w:rsidR="00595890">
        <w:rPr>
          <w:noProof/>
        </w:rPr>
        <w:t>may</w:t>
      </w:r>
      <w:r w:rsidR="00D9713F" w:rsidRPr="003A55C4">
        <w:rPr>
          <w:noProof/>
        </w:rPr>
        <w:t xml:space="preserve"> decide not to auction some of the </w:t>
      </w:r>
      <w:r w:rsidR="008B7A58" w:rsidRPr="003A55C4">
        <w:rPr>
          <w:noProof/>
        </w:rPr>
        <w:t xml:space="preserve">total quantity of allowances specified </w:t>
      </w:r>
      <w:r w:rsidR="001420A7" w:rsidRPr="003A55C4">
        <w:rPr>
          <w:noProof/>
        </w:rPr>
        <w:t>under</w:t>
      </w:r>
      <w:r w:rsidR="00D9713F" w:rsidRPr="003A55C4">
        <w:rPr>
          <w:noProof/>
        </w:rPr>
        <w:t xml:space="preserve"> Directive 2003/87/EC or </w:t>
      </w:r>
      <w:r w:rsidR="00595890">
        <w:rPr>
          <w:noProof/>
        </w:rPr>
        <w:t xml:space="preserve">to </w:t>
      </w:r>
      <w:r w:rsidR="00D9713F" w:rsidRPr="003A55C4">
        <w:rPr>
          <w:noProof/>
        </w:rPr>
        <w:t>have it transferred and auctioned for the Modernisation Fund</w:t>
      </w:r>
      <w:r w:rsidR="008B7A58" w:rsidRPr="003A55C4">
        <w:rPr>
          <w:noProof/>
        </w:rPr>
        <w:t xml:space="preserve"> established by that Directive</w:t>
      </w:r>
      <w:r w:rsidR="00595890">
        <w:rPr>
          <w:noProof/>
        </w:rPr>
        <w:t>.</w:t>
      </w:r>
      <w:r w:rsidR="00D9713F" w:rsidRPr="003A55C4">
        <w:rPr>
          <w:noProof/>
        </w:rPr>
        <w:t xml:space="preserve"> </w:t>
      </w:r>
      <w:r w:rsidR="00595890">
        <w:rPr>
          <w:noProof/>
        </w:rPr>
        <w:t>T</w:t>
      </w:r>
      <w:r w:rsidR="00D9713F" w:rsidRPr="003A55C4">
        <w:rPr>
          <w:noProof/>
        </w:rPr>
        <w:t>h</w:t>
      </w:r>
      <w:r w:rsidR="008B7A58" w:rsidRPr="003A55C4">
        <w:rPr>
          <w:noProof/>
        </w:rPr>
        <w:t>o</w:t>
      </w:r>
      <w:r w:rsidR="00D9713F" w:rsidRPr="003A55C4">
        <w:rPr>
          <w:noProof/>
        </w:rPr>
        <w:t xml:space="preserve">se allowances </w:t>
      </w:r>
      <w:r w:rsidR="00595890">
        <w:rPr>
          <w:noProof/>
        </w:rPr>
        <w:t>should also be used to calculate the amount of own resources based on emission trading</w:t>
      </w:r>
      <w:r w:rsidR="00D520CE" w:rsidRPr="003A55C4">
        <w:rPr>
          <w:noProof/>
        </w:rPr>
        <w:t xml:space="preserve">. </w:t>
      </w:r>
      <w:r w:rsidR="008B7A58" w:rsidRPr="003A55C4">
        <w:rPr>
          <w:noProof/>
        </w:rPr>
        <w:t>It is appropriate to</w:t>
      </w:r>
      <w:r w:rsidR="00D9713F" w:rsidRPr="003A55C4">
        <w:rPr>
          <w:noProof/>
        </w:rPr>
        <w:t xml:space="preserve"> exclude allowances for the initial endowment of the Modernisation Fund as well as allowances for the Innovation Fund</w:t>
      </w:r>
      <w:r w:rsidR="00752F7E" w:rsidRPr="003A55C4">
        <w:rPr>
          <w:noProof/>
        </w:rPr>
        <w:t>.</w:t>
      </w:r>
      <w:r w:rsidR="000D3F76" w:rsidRPr="003A55C4">
        <w:rPr>
          <w:noProof/>
        </w:rPr>
        <w:t xml:space="preserve"> </w:t>
      </w:r>
    </w:p>
    <w:p w14:paraId="0D390740" w14:textId="5B5D0104" w:rsidR="00353FD6" w:rsidRPr="003A55C4" w:rsidRDefault="0007655F" w:rsidP="0007655F">
      <w:pPr>
        <w:pStyle w:val="ManualConsidrant"/>
        <w:rPr>
          <w:noProof/>
        </w:rPr>
      </w:pPr>
      <w:r w:rsidRPr="0007655F">
        <w:t>(5)</w:t>
      </w:r>
      <w:r w:rsidRPr="0007655F">
        <w:tab/>
      </w:r>
      <w:r w:rsidR="004F36D0" w:rsidRPr="004F2948">
        <w:rPr>
          <w:noProof/>
        </w:rPr>
        <w:t xml:space="preserve">To </w:t>
      </w:r>
      <w:r w:rsidR="00BA21EE" w:rsidRPr="004F2948">
        <w:rPr>
          <w:noProof/>
        </w:rPr>
        <w:t xml:space="preserve">avoid </w:t>
      </w:r>
      <w:r w:rsidR="00D33B88" w:rsidRPr="004F2948">
        <w:rPr>
          <w:noProof/>
        </w:rPr>
        <w:t>a</w:t>
      </w:r>
      <w:r w:rsidR="006C7443">
        <w:rPr>
          <w:noProof/>
        </w:rPr>
        <w:t>n excessive</w:t>
      </w:r>
      <w:r w:rsidR="00A25BF1">
        <w:rPr>
          <w:noProof/>
        </w:rPr>
        <w:t>ly</w:t>
      </w:r>
      <w:r w:rsidR="00D33B88" w:rsidRPr="004F2948">
        <w:rPr>
          <w:noProof/>
        </w:rPr>
        <w:t xml:space="preserve"> </w:t>
      </w:r>
      <w:r w:rsidR="00BA21EE" w:rsidRPr="004F2948">
        <w:rPr>
          <w:noProof/>
        </w:rPr>
        <w:t xml:space="preserve">regressive </w:t>
      </w:r>
      <w:r w:rsidR="00D33B88" w:rsidRPr="004F2948">
        <w:rPr>
          <w:noProof/>
        </w:rPr>
        <w:t>impact on contributions</w:t>
      </w:r>
      <w:r w:rsidR="009608C1">
        <w:rPr>
          <w:noProof/>
        </w:rPr>
        <w:t xml:space="preserve"> from the emissions trading</w:t>
      </w:r>
      <w:r w:rsidR="004F36D0" w:rsidRPr="004F2948">
        <w:rPr>
          <w:noProof/>
        </w:rPr>
        <w:t>,</w:t>
      </w:r>
      <w:r w:rsidR="004F36D0" w:rsidRPr="003A55C4">
        <w:rPr>
          <w:noProof/>
        </w:rPr>
        <w:t xml:space="preserve"> </w:t>
      </w:r>
      <w:r w:rsidR="007928CE" w:rsidRPr="003A55C4">
        <w:rPr>
          <w:noProof/>
        </w:rPr>
        <w:t>a maximum</w:t>
      </w:r>
      <w:r w:rsidR="004F36D0" w:rsidRPr="003A55C4">
        <w:rPr>
          <w:noProof/>
        </w:rPr>
        <w:t xml:space="preserve"> contribution </w:t>
      </w:r>
      <w:r w:rsidR="00303D3E">
        <w:rPr>
          <w:noProof/>
        </w:rPr>
        <w:t xml:space="preserve">should be </w:t>
      </w:r>
      <w:r w:rsidR="009608C1">
        <w:rPr>
          <w:noProof/>
        </w:rPr>
        <w:t xml:space="preserve">established </w:t>
      </w:r>
      <w:r w:rsidR="007928CE" w:rsidRPr="003A55C4">
        <w:rPr>
          <w:noProof/>
        </w:rPr>
        <w:t>for eligible</w:t>
      </w:r>
      <w:r w:rsidR="004F36D0" w:rsidRPr="003A55C4">
        <w:rPr>
          <w:noProof/>
        </w:rPr>
        <w:t xml:space="preserve"> </w:t>
      </w:r>
      <w:r w:rsidR="007928CE" w:rsidRPr="003A55C4">
        <w:rPr>
          <w:noProof/>
        </w:rPr>
        <w:t>Member States</w:t>
      </w:r>
      <w:r w:rsidR="00AD1BA3" w:rsidRPr="003A55C4">
        <w:rPr>
          <w:noProof/>
        </w:rPr>
        <w:t xml:space="preserve">. </w:t>
      </w:r>
      <w:r w:rsidR="003514B8" w:rsidRPr="003A55C4">
        <w:rPr>
          <w:noProof/>
        </w:rPr>
        <w:t xml:space="preserve">For the period </w:t>
      </w:r>
      <w:r w:rsidR="00303D3E">
        <w:rPr>
          <w:noProof/>
        </w:rPr>
        <w:t xml:space="preserve">from </w:t>
      </w:r>
      <w:r w:rsidR="003514B8" w:rsidRPr="003A55C4">
        <w:rPr>
          <w:noProof/>
        </w:rPr>
        <w:t>2023</w:t>
      </w:r>
      <w:r w:rsidR="00303D3E">
        <w:rPr>
          <w:noProof/>
        </w:rPr>
        <w:t xml:space="preserve"> to</w:t>
      </w:r>
      <w:r w:rsidR="00FA612B">
        <w:rPr>
          <w:noProof/>
        </w:rPr>
        <w:t xml:space="preserve"> </w:t>
      </w:r>
      <w:r w:rsidR="003514B8" w:rsidRPr="003A55C4">
        <w:rPr>
          <w:noProof/>
        </w:rPr>
        <w:t xml:space="preserve">2027, </w:t>
      </w:r>
      <w:r w:rsidR="00C83C9B" w:rsidRPr="003A55C4">
        <w:rPr>
          <w:noProof/>
        </w:rPr>
        <w:t xml:space="preserve">Member </w:t>
      </w:r>
      <w:r w:rsidR="00862EEB" w:rsidRPr="003A55C4">
        <w:rPr>
          <w:noProof/>
        </w:rPr>
        <w:t xml:space="preserve">States </w:t>
      </w:r>
      <w:r w:rsidR="003514B8" w:rsidRPr="003A55C4">
        <w:rPr>
          <w:noProof/>
        </w:rPr>
        <w:t xml:space="preserve">are eligible if the </w:t>
      </w:r>
      <w:r w:rsidR="00093BA1" w:rsidRPr="003A55C4">
        <w:rPr>
          <w:noProof/>
        </w:rPr>
        <w:t>gross national i</w:t>
      </w:r>
      <w:r w:rsidR="005F7441" w:rsidRPr="003A55C4">
        <w:rPr>
          <w:noProof/>
        </w:rPr>
        <w:t>ncome</w:t>
      </w:r>
      <w:r w:rsidR="004F36D0" w:rsidRPr="003A55C4">
        <w:rPr>
          <w:noProof/>
        </w:rPr>
        <w:t xml:space="preserve"> per capita</w:t>
      </w:r>
      <w:r w:rsidR="003E4A78" w:rsidRPr="003A55C4">
        <w:rPr>
          <w:noProof/>
        </w:rPr>
        <w:t xml:space="preserve">, measured </w:t>
      </w:r>
      <w:r w:rsidR="004F36D0" w:rsidRPr="003A55C4">
        <w:rPr>
          <w:noProof/>
        </w:rPr>
        <w:t>in purchasing power</w:t>
      </w:r>
      <w:r w:rsidR="003514B8" w:rsidRPr="003A55C4">
        <w:rPr>
          <w:noProof/>
        </w:rPr>
        <w:t xml:space="preserve"> standard </w:t>
      </w:r>
      <w:r w:rsidR="003E4A78" w:rsidRPr="003A55C4">
        <w:rPr>
          <w:noProof/>
        </w:rPr>
        <w:t xml:space="preserve">and calculated on the basis of Union figures for </w:t>
      </w:r>
      <w:r w:rsidR="003514B8" w:rsidRPr="003A55C4">
        <w:rPr>
          <w:noProof/>
        </w:rPr>
        <w:t xml:space="preserve">2020 is below </w:t>
      </w:r>
      <w:r w:rsidR="005C7B61">
        <w:rPr>
          <w:noProof/>
        </w:rPr>
        <w:t>90</w:t>
      </w:r>
      <w:r w:rsidR="003514B8" w:rsidRPr="003A55C4">
        <w:rPr>
          <w:noProof/>
        </w:rPr>
        <w:t xml:space="preserve">% of the EU average. For the period </w:t>
      </w:r>
      <w:r w:rsidR="00303D3E">
        <w:rPr>
          <w:noProof/>
        </w:rPr>
        <w:t xml:space="preserve">from </w:t>
      </w:r>
      <w:r w:rsidR="003514B8" w:rsidRPr="003A55C4">
        <w:rPr>
          <w:noProof/>
        </w:rPr>
        <w:t>202</w:t>
      </w:r>
      <w:r w:rsidR="00976400" w:rsidRPr="003A55C4">
        <w:rPr>
          <w:noProof/>
        </w:rPr>
        <w:t>8</w:t>
      </w:r>
      <w:r w:rsidR="00303D3E">
        <w:rPr>
          <w:noProof/>
        </w:rPr>
        <w:t xml:space="preserve"> to</w:t>
      </w:r>
      <w:r w:rsidR="00C54657">
        <w:rPr>
          <w:noProof/>
        </w:rPr>
        <w:t xml:space="preserve"> </w:t>
      </w:r>
      <w:r w:rsidR="00976400" w:rsidRPr="003A55C4">
        <w:rPr>
          <w:noProof/>
        </w:rPr>
        <w:t>2030</w:t>
      </w:r>
      <w:r w:rsidR="003514B8" w:rsidRPr="003A55C4">
        <w:rPr>
          <w:noProof/>
        </w:rPr>
        <w:t xml:space="preserve">, the gross national income per capita in 2025 </w:t>
      </w:r>
      <w:r w:rsidR="00303D3E">
        <w:rPr>
          <w:noProof/>
        </w:rPr>
        <w:t>should</w:t>
      </w:r>
      <w:r w:rsidR="00303D3E" w:rsidRPr="003A55C4">
        <w:rPr>
          <w:noProof/>
        </w:rPr>
        <w:t xml:space="preserve"> </w:t>
      </w:r>
      <w:r w:rsidR="003514B8" w:rsidRPr="003A55C4">
        <w:rPr>
          <w:noProof/>
        </w:rPr>
        <w:t>be used.</w:t>
      </w:r>
      <w:r w:rsidR="004F36D0" w:rsidRPr="003A55C4">
        <w:rPr>
          <w:noProof/>
        </w:rPr>
        <w:t xml:space="preserve"> The maximum contribution </w:t>
      </w:r>
      <w:r w:rsidR="00543901" w:rsidRPr="003A55C4">
        <w:rPr>
          <w:noProof/>
        </w:rPr>
        <w:t>should be</w:t>
      </w:r>
      <w:r w:rsidR="007928CE" w:rsidRPr="003A55C4">
        <w:rPr>
          <w:noProof/>
        </w:rPr>
        <w:t xml:space="preserve"> established by comparing</w:t>
      </w:r>
      <w:r w:rsidR="004F36D0" w:rsidRPr="003A55C4">
        <w:rPr>
          <w:noProof/>
        </w:rPr>
        <w:t xml:space="preserve"> Member States’ shares in the total </w:t>
      </w:r>
      <w:r w:rsidR="002808AA" w:rsidRPr="003A55C4">
        <w:rPr>
          <w:noProof/>
        </w:rPr>
        <w:t>emission trading</w:t>
      </w:r>
      <w:r w:rsidR="004F36D0" w:rsidRPr="003A55C4">
        <w:rPr>
          <w:noProof/>
        </w:rPr>
        <w:t xml:space="preserve"> based own resource with the shares of th</w:t>
      </w:r>
      <w:r w:rsidR="00303D3E">
        <w:rPr>
          <w:noProof/>
        </w:rPr>
        <w:t>o</w:t>
      </w:r>
      <w:r w:rsidR="004F36D0" w:rsidRPr="003A55C4">
        <w:rPr>
          <w:noProof/>
        </w:rPr>
        <w:t xml:space="preserve">se Member States in </w:t>
      </w:r>
      <w:r w:rsidR="00ED79C9" w:rsidRPr="003A55C4">
        <w:rPr>
          <w:noProof/>
        </w:rPr>
        <w:t xml:space="preserve">the </w:t>
      </w:r>
      <w:r w:rsidR="00B84DF8" w:rsidRPr="003A55C4">
        <w:rPr>
          <w:noProof/>
        </w:rPr>
        <w:t>Union</w:t>
      </w:r>
      <w:r w:rsidR="004F36D0" w:rsidRPr="003A55C4">
        <w:rPr>
          <w:noProof/>
        </w:rPr>
        <w:t xml:space="preserve"> </w:t>
      </w:r>
      <w:r w:rsidR="00093BA1" w:rsidRPr="003A55C4">
        <w:rPr>
          <w:noProof/>
        </w:rPr>
        <w:t>gross national i</w:t>
      </w:r>
      <w:r w:rsidR="005F7441" w:rsidRPr="003A55C4">
        <w:rPr>
          <w:noProof/>
        </w:rPr>
        <w:t>ncome</w:t>
      </w:r>
      <w:r w:rsidR="004F36D0" w:rsidRPr="003A55C4">
        <w:rPr>
          <w:noProof/>
        </w:rPr>
        <w:t xml:space="preserve">. </w:t>
      </w:r>
      <w:r w:rsidR="00303D3E">
        <w:rPr>
          <w:noProof/>
        </w:rPr>
        <w:t>A</w:t>
      </w:r>
      <w:r w:rsidR="00353FD6" w:rsidRPr="003A55C4">
        <w:rPr>
          <w:noProof/>
        </w:rPr>
        <w:t xml:space="preserve"> minimum contribution should be established </w:t>
      </w:r>
      <w:r w:rsidR="00DF3F88">
        <w:rPr>
          <w:noProof/>
        </w:rPr>
        <w:t xml:space="preserve">for all Member States </w:t>
      </w:r>
      <w:r w:rsidR="009608C1">
        <w:rPr>
          <w:noProof/>
        </w:rPr>
        <w:t>if their share of the total amount of ETS-based own resources is lower than</w:t>
      </w:r>
      <w:r w:rsidR="00353FD6" w:rsidRPr="003A55C4">
        <w:rPr>
          <w:noProof/>
        </w:rPr>
        <w:t xml:space="preserve"> </w:t>
      </w:r>
      <w:r w:rsidR="005C7B61">
        <w:rPr>
          <w:noProof/>
        </w:rPr>
        <w:t>75</w:t>
      </w:r>
      <w:r w:rsidR="00353FD6" w:rsidRPr="003A55C4">
        <w:rPr>
          <w:noProof/>
        </w:rPr>
        <w:t xml:space="preserve">% of their share in </w:t>
      </w:r>
      <w:r w:rsidR="001F5E4F" w:rsidRPr="003A55C4">
        <w:rPr>
          <w:noProof/>
        </w:rPr>
        <w:t xml:space="preserve">the Union </w:t>
      </w:r>
      <w:r w:rsidR="00353FD6" w:rsidRPr="003A55C4">
        <w:rPr>
          <w:noProof/>
        </w:rPr>
        <w:t xml:space="preserve">gross national </w:t>
      </w:r>
      <w:r w:rsidR="00353FD6" w:rsidRPr="00303D3E">
        <w:rPr>
          <w:noProof/>
        </w:rPr>
        <w:t>income.</w:t>
      </w:r>
    </w:p>
    <w:p w14:paraId="5FD7D8DF" w14:textId="51E8644F" w:rsidR="009C42DC" w:rsidRPr="003A55C4" w:rsidRDefault="0007655F" w:rsidP="0007655F">
      <w:pPr>
        <w:pStyle w:val="ManualConsidrant"/>
        <w:rPr>
          <w:noProof/>
        </w:rPr>
      </w:pPr>
      <w:r w:rsidRPr="0007655F">
        <w:t>(6)</w:t>
      </w:r>
      <w:r w:rsidRPr="0007655F">
        <w:tab/>
      </w:r>
      <w:r w:rsidR="007A5168" w:rsidRPr="003A55C4">
        <w:rPr>
          <w:noProof/>
        </w:rPr>
        <w:t xml:space="preserve">Regulation </w:t>
      </w:r>
      <w:r w:rsidR="00E87478">
        <w:rPr>
          <w:noProof/>
        </w:rPr>
        <w:t>(EU) [XXX]</w:t>
      </w:r>
      <w:r w:rsidR="006A06C8" w:rsidRPr="003A55C4">
        <w:rPr>
          <w:noProof/>
          <w:lang w:val="en-IE"/>
        </w:rPr>
        <w:t xml:space="preserve"> </w:t>
      </w:r>
      <w:r w:rsidR="00B84DF8" w:rsidRPr="003A55C4">
        <w:rPr>
          <w:noProof/>
        </w:rPr>
        <w:t>of the European Parliament and of the Council</w:t>
      </w:r>
      <w:r w:rsidR="00B84DF8" w:rsidRPr="003A55C4">
        <w:rPr>
          <w:rStyle w:val="FootnoteReference"/>
          <w:noProof/>
        </w:rPr>
        <w:footnoteReference w:id="16"/>
      </w:r>
      <w:r w:rsidR="00056D29" w:rsidRPr="003A55C4">
        <w:rPr>
          <w:noProof/>
        </w:rPr>
        <w:t xml:space="preserve"> </w:t>
      </w:r>
      <w:r w:rsidR="00023CE6" w:rsidRPr="003A55C4">
        <w:rPr>
          <w:noProof/>
        </w:rPr>
        <w:t>establishes</w:t>
      </w:r>
      <w:r w:rsidR="000C1946" w:rsidRPr="003A55C4">
        <w:rPr>
          <w:noProof/>
        </w:rPr>
        <w:t xml:space="preserve"> a </w:t>
      </w:r>
      <w:r w:rsidR="00752F7E" w:rsidRPr="003A55C4">
        <w:rPr>
          <w:noProof/>
        </w:rPr>
        <w:t>c</w:t>
      </w:r>
      <w:r w:rsidR="000C1946" w:rsidRPr="003A55C4">
        <w:rPr>
          <w:noProof/>
        </w:rPr>
        <w:t xml:space="preserve">arbon </w:t>
      </w:r>
      <w:r w:rsidR="00752F7E" w:rsidRPr="003A55C4">
        <w:rPr>
          <w:noProof/>
        </w:rPr>
        <w:t>b</w:t>
      </w:r>
      <w:r w:rsidR="000C1946" w:rsidRPr="003A55C4">
        <w:rPr>
          <w:noProof/>
        </w:rPr>
        <w:t xml:space="preserve">order </w:t>
      </w:r>
      <w:r w:rsidR="00752F7E" w:rsidRPr="003A55C4">
        <w:rPr>
          <w:noProof/>
        </w:rPr>
        <w:t>a</w:t>
      </w:r>
      <w:r w:rsidR="000C1946" w:rsidRPr="003A55C4">
        <w:rPr>
          <w:noProof/>
        </w:rPr>
        <w:t xml:space="preserve">djustment </w:t>
      </w:r>
      <w:r w:rsidR="00752F7E" w:rsidRPr="003A55C4">
        <w:rPr>
          <w:noProof/>
        </w:rPr>
        <w:t>m</w:t>
      </w:r>
      <w:r w:rsidR="000C1946" w:rsidRPr="003A55C4">
        <w:rPr>
          <w:noProof/>
        </w:rPr>
        <w:t>echanism</w:t>
      </w:r>
      <w:r w:rsidR="00B84DF8" w:rsidRPr="003A55C4">
        <w:rPr>
          <w:noProof/>
        </w:rPr>
        <w:t xml:space="preserve"> </w:t>
      </w:r>
      <w:r w:rsidR="008D19FE" w:rsidRPr="003A55C4">
        <w:rPr>
          <w:noProof/>
        </w:rPr>
        <w:t xml:space="preserve">to complement the EU </w:t>
      </w:r>
      <w:r w:rsidR="00B84DF8" w:rsidRPr="003A55C4">
        <w:rPr>
          <w:noProof/>
        </w:rPr>
        <w:t>E</w:t>
      </w:r>
      <w:r w:rsidR="00752F7E" w:rsidRPr="003A55C4">
        <w:rPr>
          <w:noProof/>
        </w:rPr>
        <w:t xml:space="preserve">missions </w:t>
      </w:r>
      <w:r w:rsidR="00B84DF8" w:rsidRPr="003A55C4">
        <w:rPr>
          <w:noProof/>
        </w:rPr>
        <w:t>T</w:t>
      </w:r>
      <w:r w:rsidR="00752F7E" w:rsidRPr="003A55C4">
        <w:rPr>
          <w:noProof/>
        </w:rPr>
        <w:t xml:space="preserve">rading </w:t>
      </w:r>
      <w:r w:rsidR="00B84DF8" w:rsidRPr="003A55C4">
        <w:rPr>
          <w:noProof/>
        </w:rPr>
        <w:t>S</w:t>
      </w:r>
      <w:r w:rsidR="00752F7E" w:rsidRPr="003A55C4">
        <w:rPr>
          <w:noProof/>
        </w:rPr>
        <w:t>ystem</w:t>
      </w:r>
      <w:r w:rsidR="008D19FE" w:rsidRPr="003A55C4">
        <w:rPr>
          <w:noProof/>
        </w:rPr>
        <w:t xml:space="preserve"> and to ensure the effectiveness of the climate policy</w:t>
      </w:r>
      <w:r w:rsidR="00B84DF8" w:rsidRPr="003A55C4">
        <w:rPr>
          <w:noProof/>
        </w:rPr>
        <w:t xml:space="preserve"> of the Union</w:t>
      </w:r>
      <w:r w:rsidR="009A3743" w:rsidRPr="003A55C4">
        <w:rPr>
          <w:noProof/>
        </w:rPr>
        <w:t>.</w:t>
      </w:r>
      <w:r w:rsidR="0032421F" w:rsidRPr="003A55C4">
        <w:rPr>
          <w:noProof/>
        </w:rPr>
        <w:t xml:space="preserve"> </w:t>
      </w:r>
      <w:r w:rsidR="00023CE6" w:rsidRPr="003A55C4">
        <w:rPr>
          <w:noProof/>
        </w:rPr>
        <w:t>Considering</w:t>
      </w:r>
      <w:r w:rsidR="008D19FE" w:rsidRPr="003A55C4">
        <w:rPr>
          <w:noProof/>
        </w:rPr>
        <w:t xml:space="preserve"> the close link of </w:t>
      </w:r>
      <w:r w:rsidR="00B84DF8" w:rsidRPr="003A55C4">
        <w:rPr>
          <w:noProof/>
        </w:rPr>
        <w:t xml:space="preserve">the </w:t>
      </w:r>
      <w:r w:rsidR="00752F7E" w:rsidRPr="003A55C4">
        <w:rPr>
          <w:noProof/>
        </w:rPr>
        <w:t>carbon border adjustment mechanism</w:t>
      </w:r>
      <w:r w:rsidR="008D19FE" w:rsidRPr="003A55C4">
        <w:rPr>
          <w:noProof/>
        </w:rPr>
        <w:t xml:space="preserve"> to </w:t>
      </w:r>
      <w:r w:rsidR="00EB5A9B" w:rsidRPr="003A55C4">
        <w:rPr>
          <w:noProof/>
        </w:rPr>
        <w:t xml:space="preserve">the </w:t>
      </w:r>
      <w:r w:rsidR="00B84DF8" w:rsidRPr="003A55C4">
        <w:rPr>
          <w:noProof/>
        </w:rPr>
        <w:t>Union</w:t>
      </w:r>
      <w:r w:rsidR="00EB5A9B" w:rsidRPr="003A55C4">
        <w:rPr>
          <w:noProof/>
        </w:rPr>
        <w:t>’s</w:t>
      </w:r>
      <w:r w:rsidR="008D19FE" w:rsidRPr="003A55C4">
        <w:rPr>
          <w:noProof/>
        </w:rPr>
        <w:t xml:space="preserve"> </w:t>
      </w:r>
      <w:r w:rsidR="00C93E02" w:rsidRPr="003A55C4">
        <w:rPr>
          <w:noProof/>
        </w:rPr>
        <w:t xml:space="preserve">climate </w:t>
      </w:r>
      <w:r w:rsidR="008D19FE" w:rsidRPr="003A55C4">
        <w:rPr>
          <w:noProof/>
        </w:rPr>
        <w:t xml:space="preserve">policy, </w:t>
      </w:r>
      <w:r w:rsidR="009649E2">
        <w:rPr>
          <w:noProof/>
        </w:rPr>
        <w:t xml:space="preserve">a share of the </w:t>
      </w:r>
      <w:r w:rsidR="008D19FE" w:rsidRPr="003A55C4">
        <w:rPr>
          <w:noProof/>
        </w:rPr>
        <w:t>revenues</w:t>
      </w:r>
      <w:r w:rsidR="0069494B" w:rsidRPr="003A55C4">
        <w:rPr>
          <w:noProof/>
        </w:rPr>
        <w:t xml:space="preserve"> from the sale of certificates</w:t>
      </w:r>
      <w:r w:rsidR="008D19FE" w:rsidRPr="003A55C4">
        <w:rPr>
          <w:noProof/>
        </w:rPr>
        <w:t xml:space="preserve"> should </w:t>
      </w:r>
      <w:r w:rsidR="0032421F" w:rsidRPr="003A55C4">
        <w:rPr>
          <w:noProof/>
        </w:rPr>
        <w:t xml:space="preserve">be </w:t>
      </w:r>
      <w:r w:rsidR="00D46AFB" w:rsidRPr="003A55C4">
        <w:rPr>
          <w:noProof/>
        </w:rPr>
        <w:t>transferred</w:t>
      </w:r>
      <w:r w:rsidR="0032421F" w:rsidRPr="003A55C4">
        <w:rPr>
          <w:noProof/>
        </w:rPr>
        <w:t xml:space="preserve"> to t</w:t>
      </w:r>
      <w:r w:rsidR="0090373D" w:rsidRPr="003A55C4">
        <w:rPr>
          <w:noProof/>
        </w:rPr>
        <w:t xml:space="preserve">he </w:t>
      </w:r>
      <w:r w:rsidR="00B84DF8" w:rsidRPr="003A55C4">
        <w:rPr>
          <w:noProof/>
        </w:rPr>
        <w:t>Union</w:t>
      </w:r>
      <w:r w:rsidR="0090373D" w:rsidRPr="003A55C4">
        <w:rPr>
          <w:noProof/>
        </w:rPr>
        <w:t xml:space="preserve"> budget as an own resource</w:t>
      </w:r>
      <w:r w:rsidR="000555BD" w:rsidRPr="003A55C4">
        <w:rPr>
          <w:noProof/>
        </w:rPr>
        <w:t>.</w:t>
      </w:r>
      <w:r w:rsidR="009A3743" w:rsidRPr="003A55C4">
        <w:rPr>
          <w:noProof/>
        </w:rPr>
        <w:t xml:space="preserve"> </w:t>
      </w:r>
    </w:p>
    <w:p w14:paraId="76A7CCCF" w14:textId="264576B9" w:rsidR="004E5D96" w:rsidRDefault="0007655F" w:rsidP="0007655F">
      <w:pPr>
        <w:pStyle w:val="ManualConsidrant"/>
        <w:rPr>
          <w:noProof/>
        </w:rPr>
      </w:pPr>
      <w:r w:rsidRPr="0007655F">
        <w:t>(7)</w:t>
      </w:r>
      <w:r w:rsidRPr="0007655F">
        <w:tab/>
      </w:r>
      <w:r w:rsidR="00D46AFB" w:rsidRPr="003A55C4">
        <w:rPr>
          <w:noProof/>
        </w:rPr>
        <w:t xml:space="preserve">In October 2021, </w:t>
      </w:r>
      <w:r w:rsidR="004E5D96" w:rsidRPr="003A55C4">
        <w:rPr>
          <w:noProof/>
        </w:rPr>
        <w:t xml:space="preserve">the Organisation for Economic Co-operation and Development </w:t>
      </w:r>
      <w:r w:rsidR="0087071D">
        <w:rPr>
          <w:noProof/>
        </w:rPr>
        <w:t xml:space="preserve">and the G20 </w:t>
      </w:r>
      <w:r w:rsidR="00017707" w:rsidRPr="00017707">
        <w:rPr>
          <w:noProof/>
        </w:rPr>
        <w:t xml:space="preserve">Inclusive Framework on Base Erosion and Profit Shifting </w:t>
      </w:r>
      <w:r w:rsidR="00303D3E">
        <w:rPr>
          <w:noProof/>
        </w:rPr>
        <w:t xml:space="preserve">reached an agreement </w:t>
      </w:r>
      <w:r w:rsidR="004E5D96" w:rsidRPr="003A55C4">
        <w:rPr>
          <w:noProof/>
        </w:rPr>
        <w:t xml:space="preserve">on </w:t>
      </w:r>
      <w:r w:rsidR="003E4A78" w:rsidRPr="003A55C4">
        <w:rPr>
          <w:noProof/>
        </w:rPr>
        <w:t xml:space="preserve">the allocation </w:t>
      </w:r>
      <w:r w:rsidR="00CD3703">
        <w:rPr>
          <w:noProof/>
        </w:rPr>
        <w:t>to</w:t>
      </w:r>
      <w:r w:rsidR="00CD3703" w:rsidRPr="003A55C4">
        <w:rPr>
          <w:noProof/>
        </w:rPr>
        <w:t xml:space="preserve"> </w:t>
      </w:r>
      <w:r w:rsidR="003E4A78" w:rsidRPr="003A55C4">
        <w:rPr>
          <w:noProof/>
        </w:rPr>
        <w:t xml:space="preserve">participating </w:t>
      </w:r>
      <w:r w:rsidR="00017707">
        <w:rPr>
          <w:noProof/>
        </w:rPr>
        <w:t>market</w:t>
      </w:r>
      <w:r w:rsidR="00017707" w:rsidRPr="003A55C4">
        <w:rPr>
          <w:noProof/>
        </w:rPr>
        <w:t xml:space="preserve"> </w:t>
      </w:r>
      <w:r w:rsidR="00017707">
        <w:rPr>
          <w:noProof/>
        </w:rPr>
        <w:t xml:space="preserve">jurisdictions </w:t>
      </w:r>
      <w:r w:rsidR="003E4A78" w:rsidRPr="003A55C4">
        <w:rPr>
          <w:noProof/>
        </w:rPr>
        <w:t>of</w:t>
      </w:r>
      <w:r w:rsidR="004E5D96" w:rsidRPr="003A55C4">
        <w:rPr>
          <w:noProof/>
        </w:rPr>
        <w:t xml:space="preserve"> </w:t>
      </w:r>
      <w:r w:rsidR="00BB1363" w:rsidRPr="003A55C4">
        <w:rPr>
          <w:noProof/>
        </w:rPr>
        <w:t xml:space="preserve">25% of </w:t>
      </w:r>
      <w:r w:rsidR="00173884" w:rsidRPr="003A55C4">
        <w:rPr>
          <w:noProof/>
        </w:rPr>
        <w:t xml:space="preserve">residual </w:t>
      </w:r>
      <w:r w:rsidR="004E5D96" w:rsidRPr="003A55C4">
        <w:rPr>
          <w:noProof/>
        </w:rPr>
        <w:t>profit</w:t>
      </w:r>
      <w:r w:rsidR="00176C87" w:rsidRPr="003A55C4">
        <w:rPr>
          <w:noProof/>
        </w:rPr>
        <w:t>s</w:t>
      </w:r>
      <w:r w:rsidR="00BB1363" w:rsidRPr="003A55C4">
        <w:rPr>
          <w:noProof/>
        </w:rPr>
        <w:t xml:space="preserve"> of large multinational enterprises</w:t>
      </w:r>
      <w:r w:rsidR="004E5D96" w:rsidRPr="003A55C4">
        <w:rPr>
          <w:noProof/>
        </w:rPr>
        <w:t xml:space="preserve"> </w:t>
      </w:r>
      <w:r w:rsidR="00394786" w:rsidRPr="003A55C4">
        <w:rPr>
          <w:noProof/>
        </w:rPr>
        <w:t>above the profitabil</w:t>
      </w:r>
      <w:r w:rsidR="00303D3E">
        <w:rPr>
          <w:noProof/>
        </w:rPr>
        <w:t>it</w:t>
      </w:r>
      <w:r w:rsidR="00394786" w:rsidRPr="003A55C4">
        <w:rPr>
          <w:noProof/>
        </w:rPr>
        <w:t>y threshold of 10%</w:t>
      </w:r>
      <w:r w:rsidR="00017707">
        <w:rPr>
          <w:noProof/>
        </w:rPr>
        <w:t xml:space="preserve"> </w:t>
      </w:r>
      <w:r w:rsidR="00017707" w:rsidRPr="00221FD4">
        <w:rPr>
          <w:noProof/>
        </w:rPr>
        <w:t>(‘OECD</w:t>
      </w:r>
      <w:r w:rsidR="005709FF">
        <w:rPr>
          <w:noProof/>
        </w:rPr>
        <w:t>/G20</w:t>
      </w:r>
      <w:r w:rsidR="00017707" w:rsidRPr="00221FD4">
        <w:rPr>
          <w:noProof/>
        </w:rPr>
        <w:t xml:space="preserve"> </w:t>
      </w:r>
      <w:r w:rsidR="00DA6F7D">
        <w:rPr>
          <w:noProof/>
        </w:rPr>
        <w:t xml:space="preserve">IF </w:t>
      </w:r>
      <w:r w:rsidR="00017707" w:rsidRPr="00221FD4">
        <w:rPr>
          <w:noProof/>
        </w:rPr>
        <w:t>Pillar 1 Agreement’)</w:t>
      </w:r>
      <w:r w:rsidR="009800BB" w:rsidRPr="003A55C4">
        <w:rPr>
          <w:noProof/>
        </w:rPr>
        <w:t>.</w:t>
      </w:r>
      <w:r w:rsidR="004E5D96" w:rsidRPr="003A55C4">
        <w:rPr>
          <w:noProof/>
        </w:rPr>
        <w:t xml:space="preserve"> The own resource should consist in applying a uniform call rate to the </w:t>
      </w:r>
      <w:r w:rsidR="0073228C" w:rsidRPr="003A55C4">
        <w:rPr>
          <w:noProof/>
        </w:rPr>
        <w:t xml:space="preserve">share of </w:t>
      </w:r>
      <w:r w:rsidR="00534413">
        <w:rPr>
          <w:noProof/>
        </w:rPr>
        <w:t>residual</w:t>
      </w:r>
      <w:r w:rsidR="00534413" w:rsidRPr="003A55C4">
        <w:rPr>
          <w:noProof/>
        </w:rPr>
        <w:t xml:space="preserve"> </w:t>
      </w:r>
      <w:r w:rsidR="004E5D96" w:rsidRPr="003A55C4">
        <w:rPr>
          <w:noProof/>
        </w:rPr>
        <w:t xml:space="preserve">profits </w:t>
      </w:r>
      <w:r w:rsidR="000F002E" w:rsidRPr="003A55C4">
        <w:rPr>
          <w:noProof/>
        </w:rPr>
        <w:t xml:space="preserve">of the multinational enterprises, </w:t>
      </w:r>
      <w:r w:rsidR="00221FD4">
        <w:rPr>
          <w:noProof/>
        </w:rPr>
        <w:t>re</w:t>
      </w:r>
      <w:r w:rsidR="00125DDB">
        <w:rPr>
          <w:noProof/>
        </w:rPr>
        <w:t>-</w:t>
      </w:r>
      <w:r w:rsidR="00221FD4">
        <w:rPr>
          <w:noProof/>
        </w:rPr>
        <w:t xml:space="preserve">allocated </w:t>
      </w:r>
      <w:r w:rsidR="004E5D96" w:rsidRPr="003A55C4">
        <w:rPr>
          <w:noProof/>
        </w:rPr>
        <w:t>to Member States</w:t>
      </w:r>
      <w:r w:rsidR="00FC0FFC">
        <w:rPr>
          <w:noProof/>
        </w:rPr>
        <w:t xml:space="preserve"> </w:t>
      </w:r>
      <w:r w:rsidR="0027786C">
        <w:rPr>
          <w:noProof/>
        </w:rPr>
        <w:t>[</w:t>
      </w:r>
      <w:r w:rsidR="00FC0FFC" w:rsidRPr="00673E1F">
        <w:rPr>
          <w:noProof/>
        </w:rPr>
        <w:t xml:space="preserve">pursuant to the Directive </w:t>
      </w:r>
      <w:r w:rsidR="00DC0969" w:rsidRPr="00DC0969">
        <w:rPr>
          <w:noProof/>
        </w:rPr>
        <w:t>on implementation of the global agreement on re-allocation of taxing rights</w:t>
      </w:r>
      <w:r w:rsidR="00DC0969">
        <w:rPr>
          <w:noProof/>
        </w:rPr>
        <w:t>.</w:t>
      </w:r>
      <w:r w:rsidR="004E5D96" w:rsidRPr="003A55C4">
        <w:rPr>
          <w:noProof/>
        </w:rPr>
        <w:t>]</w:t>
      </w:r>
      <w:r w:rsidR="0078484F" w:rsidRPr="0078484F">
        <w:rPr>
          <w:noProof/>
          <w:color w:val="1F497D"/>
        </w:rPr>
        <w:t xml:space="preserve"> </w:t>
      </w:r>
    </w:p>
    <w:p w14:paraId="1E690D53" w14:textId="6440D558" w:rsidR="0078484F" w:rsidRDefault="0007655F" w:rsidP="0007655F">
      <w:pPr>
        <w:pStyle w:val="ManualConsidrant"/>
        <w:rPr>
          <w:noProof/>
        </w:rPr>
      </w:pPr>
      <w:r w:rsidRPr="0007655F">
        <w:t>(8)</w:t>
      </w:r>
      <w:r w:rsidRPr="0007655F">
        <w:tab/>
      </w:r>
      <w:r w:rsidR="00835E3A">
        <w:rPr>
          <w:noProof/>
        </w:rPr>
        <w:t>The provisions</w:t>
      </w:r>
      <w:r w:rsidR="00E573C5">
        <w:rPr>
          <w:noProof/>
        </w:rPr>
        <w:t xml:space="preserve"> </w:t>
      </w:r>
      <w:r w:rsidR="00835E3A">
        <w:rPr>
          <w:noProof/>
        </w:rPr>
        <w:t xml:space="preserve">concerning </w:t>
      </w:r>
      <w:r w:rsidR="00E573C5">
        <w:rPr>
          <w:noProof/>
        </w:rPr>
        <w:t xml:space="preserve">the contribution from the auctioning of allowances under the current </w:t>
      </w:r>
      <w:r w:rsidR="00835E3A">
        <w:rPr>
          <w:noProof/>
        </w:rPr>
        <w:t>Emissions Trading System sh</w:t>
      </w:r>
      <w:r w:rsidR="00E573C5">
        <w:rPr>
          <w:noProof/>
        </w:rPr>
        <w:t>ould</w:t>
      </w:r>
      <w:r w:rsidR="00835E3A">
        <w:rPr>
          <w:noProof/>
        </w:rPr>
        <w:t xml:space="preserve"> apply as of 1 January 2023. Once </w:t>
      </w:r>
      <w:r w:rsidR="00835E3A" w:rsidRPr="003A55C4">
        <w:rPr>
          <w:noProof/>
        </w:rPr>
        <w:t>Directive 2003/87/EC</w:t>
      </w:r>
      <w:r w:rsidR="00835E3A">
        <w:rPr>
          <w:noProof/>
        </w:rPr>
        <w:t xml:space="preserve"> </w:t>
      </w:r>
      <w:r w:rsidR="00E573C5">
        <w:rPr>
          <w:noProof/>
        </w:rPr>
        <w:t>has been amended</w:t>
      </w:r>
      <w:r w:rsidR="00835E3A">
        <w:rPr>
          <w:noProof/>
        </w:rPr>
        <w:t xml:space="preserve">, the provisions </w:t>
      </w:r>
      <w:r w:rsidR="00E573C5">
        <w:rPr>
          <w:noProof/>
        </w:rPr>
        <w:t>concerning the contribution from the auctioning of allowances under the revised Emissions Trading System should</w:t>
      </w:r>
      <w:r w:rsidR="00835E3A">
        <w:rPr>
          <w:noProof/>
        </w:rPr>
        <w:t xml:space="preserve"> apply </w:t>
      </w:r>
      <w:r w:rsidR="00E573C5" w:rsidRPr="003A55C4">
        <w:rPr>
          <w:noProof/>
        </w:rPr>
        <w:t>from the first day following the last day of the period for transposing</w:t>
      </w:r>
      <w:r w:rsidR="00E573C5">
        <w:rPr>
          <w:noProof/>
        </w:rPr>
        <w:t xml:space="preserve"> that amendment</w:t>
      </w:r>
      <w:r w:rsidR="00835E3A">
        <w:rPr>
          <w:noProof/>
        </w:rPr>
        <w:t xml:space="preserve">. </w:t>
      </w:r>
      <w:r w:rsidR="00EC2A52">
        <w:rPr>
          <w:noProof/>
        </w:rPr>
        <w:t xml:space="preserve">The provisions </w:t>
      </w:r>
      <w:r w:rsidR="00E573C5">
        <w:rPr>
          <w:noProof/>
        </w:rPr>
        <w:t>concerning the contribution from</w:t>
      </w:r>
      <w:r w:rsidR="00EC2A52">
        <w:rPr>
          <w:noProof/>
        </w:rPr>
        <w:t xml:space="preserve"> the carbon border adjustment mechanism sh</w:t>
      </w:r>
      <w:r w:rsidR="004C2979">
        <w:rPr>
          <w:noProof/>
        </w:rPr>
        <w:t xml:space="preserve">ould </w:t>
      </w:r>
      <w:r w:rsidR="00EC2A52">
        <w:rPr>
          <w:noProof/>
        </w:rPr>
        <w:t>apply</w:t>
      </w:r>
      <w:r w:rsidR="004C2979">
        <w:rPr>
          <w:noProof/>
        </w:rPr>
        <w:t xml:space="preserve"> from the date of application of the</w:t>
      </w:r>
      <w:r w:rsidR="00EC2A52">
        <w:rPr>
          <w:noProof/>
        </w:rPr>
        <w:t xml:space="preserve"> </w:t>
      </w:r>
      <w:r w:rsidR="004C2979">
        <w:rPr>
          <w:noProof/>
        </w:rPr>
        <w:t>R</w:t>
      </w:r>
      <w:r w:rsidR="00EC2A52">
        <w:rPr>
          <w:noProof/>
        </w:rPr>
        <w:t xml:space="preserve">egulation. </w:t>
      </w:r>
      <w:r w:rsidR="007E3B3B" w:rsidRPr="00741757">
        <w:rPr>
          <w:noProof/>
        </w:rPr>
        <w:t>[The provisions</w:t>
      </w:r>
      <w:r w:rsidR="000226DB" w:rsidRPr="00741757">
        <w:rPr>
          <w:noProof/>
        </w:rPr>
        <w:t xml:space="preserve"> </w:t>
      </w:r>
      <w:r w:rsidR="0078484F" w:rsidRPr="00741757">
        <w:rPr>
          <w:noProof/>
        </w:rPr>
        <w:t>on</w:t>
      </w:r>
      <w:r w:rsidR="004C2979" w:rsidRPr="00741757">
        <w:rPr>
          <w:noProof/>
        </w:rPr>
        <w:t xml:space="preserve"> </w:t>
      </w:r>
      <w:r w:rsidR="000226DB">
        <w:rPr>
          <w:noProof/>
        </w:rPr>
        <w:t>the</w:t>
      </w:r>
      <w:r w:rsidR="007E3B3B">
        <w:rPr>
          <w:noProof/>
        </w:rPr>
        <w:t xml:space="preserve"> </w:t>
      </w:r>
      <w:r w:rsidR="000226DB" w:rsidRPr="000463CF">
        <w:rPr>
          <w:noProof/>
        </w:rPr>
        <w:t>OECD</w:t>
      </w:r>
      <w:r w:rsidR="005D0383">
        <w:rPr>
          <w:noProof/>
        </w:rPr>
        <w:t xml:space="preserve">/G20 </w:t>
      </w:r>
      <w:r w:rsidR="00DA6F7D">
        <w:rPr>
          <w:noProof/>
        </w:rPr>
        <w:t xml:space="preserve">IF </w:t>
      </w:r>
      <w:r w:rsidR="000226DB" w:rsidRPr="000463CF">
        <w:rPr>
          <w:noProof/>
        </w:rPr>
        <w:t>Pillar 1 Agreement</w:t>
      </w:r>
      <w:r w:rsidR="000226DB">
        <w:rPr>
          <w:noProof/>
        </w:rPr>
        <w:t xml:space="preserve"> </w:t>
      </w:r>
      <w:r w:rsidR="000226DB" w:rsidRPr="00741757">
        <w:rPr>
          <w:noProof/>
        </w:rPr>
        <w:t>shall</w:t>
      </w:r>
      <w:r w:rsidR="000226DB" w:rsidRPr="004C2979">
        <w:rPr>
          <w:noProof/>
        </w:rPr>
        <w:t xml:space="preserve"> enter into </w:t>
      </w:r>
      <w:r w:rsidR="000226DB">
        <w:rPr>
          <w:noProof/>
        </w:rPr>
        <w:t xml:space="preserve">force once the Directive </w:t>
      </w:r>
      <w:r w:rsidR="00DC0969" w:rsidRPr="00DC0969">
        <w:rPr>
          <w:noProof/>
        </w:rPr>
        <w:t>on implementation of the global agreement on re-allocation of taxing rights</w:t>
      </w:r>
      <w:r w:rsidR="00EE0030" w:rsidRPr="00C54657" w:rsidDel="00AB7048">
        <w:rPr>
          <w:noProof/>
        </w:rPr>
        <w:t xml:space="preserve"> </w:t>
      </w:r>
      <w:r w:rsidR="00EE0030" w:rsidRPr="00C54657">
        <w:rPr>
          <w:noProof/>
        </w:rPr>
        <w:t>applies</w:t>
      </w:r>
      <w:r w:rsidR="00EE0030" w:rsidRPr="00741757">
        <w:rPr>
          <w:noProof/>
        </w:rPr>
        <w:t xml:space="preserve"> and the </w:t>
      </w:r>
      <w:r w:rsidR="000226DB">
        <w:rPr>
          <w:noProof/>
        </w:rPr>
        <w:t xml:space="preserve">Multilateral Convention </w:t>
      </w:r>
      <w:r w:rsidR="00EE0030" w:rsidRPr="00741757">
        <w:rPr>
          <w:noProof/>
        </w:rPr>
        <w:t>entered into effect</w:t>
      </w:r>
      <w:r w:rsidR="000226DB" w:rsidRPr="00741757">
        <w:rPr>
          <w:noProof/>
        </w:rPr>
        <w:t>.</w:t>
      </w:r>
      <w:r w:rsidR="007E3B3B" w:rsidRPr="00741757">
        <w:rPr>
          <w:noProof/>
        </w:rPr>
        <w:t>]</w:t>
      </w:r>
      <w:r w:rsidR="0078484F" w:rsidRPr="0078484F">
        <w:rPr>
          <w:noProof/>
        </w:rPr>
        <w:t xml:space="preserve"> </w:t>
      </w:r>
    </w:p>
    <w:p w14:paraId="3F30E0D3" w14:textId="77777777" w:rsidR="00DF010D" w:rsidRPr="003A55C4" w:rsidRDefault="00DF010D" w:rsidP="001E75DE">
      <w:pPr>
        <w:pStyle w:val="Formuledadoption"/>
        <w:rPr>
          <w:noProof/>
        </w:rPr>
      </w:pPr>
      <w:r w:rsidRPr="003A55C4">
        <w:rPr>
          <w:noProof/>
        </w:rPr>
        <w:t xml:space="preserve">HAS ADOPTED THIS DECISION: </w:t>
      </w:r>
    </w:p>
    <w:p w14:paraId="512DD6EB" w14:textId="77777777" w:rsidR="00DF010D" w:rsidRDefault="00DF010D" w:rsidP="00156C23">
      <w:pPr>
        <w:pStyle w:val="Titrearticle"/>
        <w:rPr>
          <w:noProof/>
        </w:rPr>
      </w:pPr>
      <w:r w:rsidRPr="003A55C4">
        <w:rPr>
          <w:noProof/>
        </w:rPr>
        <w:t>Article 1</w:t>
      </w:r>
    </w:p>
    <w:p w14:paraId="669ACE29" w14:textId="77777777" w:rsidR="004C2979" w:rsidRPr="00CF05C3" w:rsidRDefault="004C2979" w:rsidP="004C2979">
      <w:pPr>
        <w:jc w:val="center"/>
        <w:rPr>
          <w:b/>
          <w:noProof/>
        </w:rPr>
      </w:pPr>
      <w:r w:rsidRPr="00CF05C3">
        <w:rPr>
          <w:b/>
          <w:noProof/>
        </w:rPr>
        <w:t>Amendments to Decision (EU, Euratom) 2020/2053</w:t>
      </w:r>
    </w:p>
    <w:p w14:paraId="5BE3DE19" w14:textId="77777777" w:rsidR="004C2979" w:rsidRPr="004C2979" w:rsidRDefault="004C2979" w:rsidP="00C54657">
      <w:pPr>
        <w:rPr>
          <w:noProof/>
        </w:rPr>
      </w:pPr>
    </w:p>
    <w:p w14:paraId="4FCC51CD" w14:textId="77777777" w:rsidR="00174B94" w:rsidRPr="003A55C4" w:rsidRDefault="00174B94" w:rsidP="00174B94">
      <w:pPr>
        <w:rPr>
          <w:noProof/>
        </w:rPr>
      </w:pPr>
      <w:r w:rsidRPr="003A55C4">
        <w:rPr>
          <w:noProof/>
        </w:rPr>
        <w:t xml:space="preserve">Decision (EU, Euratom) 2020/2053 is amended as follows: </w:t>
      </w:r>
    </w:p>
    <w:p w14:paraId="6C6B14D0" w14:textId="77777777" w:rsidR="006914A1" w:rsidRPr="003A55C4" w:rsidRDefault="006914A1" w:rsidP="00174B94">
      <w:pPr>
        <w:rPr>
          <w:noProof/>
        </w:rPr>
      </w:pPr>
    </w:p>
    <w:p w14:paraId="630A6C9E" w14:textId="1E2749A4" w:rsidR="00ED79C9" w:rsidRPr="003A55C4" w:rsidRDefault="0007655F" w:rsidP="0007655F">
      <w:pPr>
        <w:pStyle w:val="Point0"/>
        <w:rPr>
          <w:noProof/>
        </w:rPr>
      </w:pPr>
      <w:r w:rsidRPr="0007655F">
        <w:t>(1)</w:t>
      </w:r>
      <w:r w:rsidRPr="0007655F">
        <w:tab/>
      </w:r>
      <w:r w:rsidR="00F86546" w:rsidRPr="003A55C4">
        <w:rPr>
          <w:noProof/>
        </w:rPr>
        <w:t>Article 2 is amended as follows</w:t>
      </w:r>
      <w:r w:rsidR="004C1D5C" w:rsidRPr="003A55C4">
        <w:rPr>
          <w:noProof/>
        </w:rPr>
        <w:t>:</w:t>
      </w:r>
    </w:p>
    <w:p w14:paraId="21F5C962" w14:textId="324863BE" w:rsidR="00192B51" w:rsidRPr="003A55C4" w:rsidRDefault="0007655F" w:rsidP="0007655F">
      <w:pPr>
        <w:pStyle w:val="Point0"/>
        <w:rPr>
          <w:noProof/>
        </w:rPr>
      </w:pPr>
      <w:r w:rsidRPr="0007655F">
        <w:t>(a)</w:t>
      </w:r>
      <w:r w:rsidRPr="0007655F">
        <w:tab/>
      </w:r>
      <w:r w:rsidR="00F86546" w:rsidRPr="003A55C4">
        <w:rPr>
          <w:noProof/>
        </w:rPr>
        <w:t xml:space="preserve">in paragraph 1, the following point </w:t>
      </w:r>
      <w:r w:rsidR="00AF2DFB" w:rsidRPr="003A55C4">
        <w:rPr>
          <w:noProof/>
        </w:rPr>
        <w:t xml:space="preserve">(e) is </w:t>
      </w:r>
      <w:r w:rsidR="00174B94" w:rsidRPr="003A55C4">
        <w:rPr>
          <w:noProof/>
        </w:rPr>
        <w:t>added</w:t>
      </w:r>
      <w:r w:rsidR="00E61FA4" w:rsidRPr="003A55C4">
        <w:rPr>
          <w:noProof/>
        </w:rPr>
        <w:t>:</w:t>
      </w:r>
    </w:p>
    <w:p w14:paraId="6D3B823A" w14:textId="17ADD296" w:rsidR="000E366D" w:rsidRPr="003A55C4" w:rsidRDefault="00E61FA4" w:rsidP="00B57087">
      <w:pPr>
        <w:rPr>
          <w:noProof/>
        </w:rPr>
      </w:pPr>
      <w:r w:rsidRPr="003A55C4">
        <w:rPr>
          <w:noProof/>
        </w:rPr>
        <w:t>“</w:t>
      </w:r>
      <w:r w:rsidR="000E366D" w:rsidRPr="003A55C4">
        <w:rPr>
          <w:noProof/>
        </w:rPr>
        <w:t xml:space="preserve">(e) </w:t>
      </w:r>
      <w:r w:rsidR="00174B94" w:rsidRPr="003A55C4">
        <w:rPr>
          <w:noProof/>
        </w:rPr>
        <w:t xml:space="preserve">the </w:t>
      </w:r>
      <w:r w:rsidR="00174B94" w:rsidRPr="00B57087">
        <w:rPr>
          <w:noProof/>
          <w:lang w:val="en-IE"/>
        </w:rPr>
        <w:t>application</w:t>
      </w:r>
      <w:r w:rsidR="00174B94" w:rsidRPr="003A55C4">
        <w:rPr>
          <w:noProof/>
        </w:rPr>
        <w:t xml:space="preserve"> of a uniform rate of</w:t>
      </w:r>
      <w:r w:rsidR="00555348" w:rsidRPr="003A55C4">
        <w:rPr>
          <w:noProof/>
        </w:rPr>
        <w:t xml:space="preserve"> </w:t>
      </w:r>
      <w:r w:rsidR="00C01131">
        <w:rPr>
          <w:noProof/>
        </w:rPr>
        <w:t>25</w:t>
      </w:r>
      <w:r w:rsidR="00555348" w:rsidRPr="003A55C4">
        <w:rPr>
          <w:noProof/>
        </w:rPr>
        <w:t>% to</w:t>
      </w:r>
      <w:r w:rsidR="00812747" w:rsidRPr="003A55C4">
        <w:rPr>
          <w:noProof/>
        </w:rPr>
        <w:t>:</w:t>
      </w:r>
      <w:r w:rsidR="00174B94" w:rsidRPr="003A55C4">
        <w:rPr>
          <w:noProof/>
        </w:rPr>
        <w:t xml:space="preserve"> </w:t>
      </w:r>
    </w:p>
    <w:p w14:paraId="1EFFCBCE" w14:textId="4A6C2807" w:rsidR="001C1AE1" w:rsidRPr="003A55C4" w:rsidRDefault="0007655F" w:rsidP="0007655F">
      <w:pPr>
        <w:pStyle w:val="Point1"/>
        <w:rPr>
          <w:noProof/>
        </w:rPr>
      </w:pPr>
      <w:r w:rsidRPr="0007655F">
        <w:t>(1)</w:t>
      </w:r>
      <w:r w:rsidRPr="0007655F">
        <w:tab/>
      </w:r>
      <w:r w:rsidR="00C721F0" w:rsidRPr="003A55C4">
        <w:rPr>
          <w:noProof/>
        </w:rPr>
        <w:t xml:space="preserve">the revenues generated from </w:t>
      </w:r>
      <w:r w:rsidR="000C6F68">
        <w:rPr>
          <w:noProof/>
        </w:rPr>
        <w:t xml:space="preserve">the </w:t>
      </w:r>
      <w:r w:rsidR="00C721F0" w:rsidRPr="003A55C4">
        <w:rPr>
          <w:noProof/>
        </w:rPr>
        <w:t>auctioning of allowances</w:t>
      </w:r>
      <w:r w:rsidR="00A17FE9" w:rsidRPr="003A55C4">
        <w:rPr>
          <w:noProof/>
        </w:rPr>
        <w:t xml:space="preserve"> by the Member States</w:t>
      </w:r>
      <w:r w:rsidR="00C721F0" w:rsidRPr="003A55C4">
        <w:rPr>
          <w:noProof/>
        </w:rPr>
        <w:t xml:space="preserve"> pursuant to Article</w:t>
      </w:r>
      <w:r w:rsidR="00F86546" w:rsidRPr="003A55C4">
        <w:rPr>
          <w:noProof/>
        </w:rPr>
        <w:t>s</w:t>
      </w:r>
      <w:r w:rsidR="00C721F0" w:rsidRPr="003A55C4">
        <w:rPr>
          <w:noProof/>
        </w:rPr>
        <w:t xml:space="preserve"> 3d</w:t>
      </w:r>
      <w:r w:rsidR="00D902BE" w:rsidRPr="003A55C4">
        <w:rPr>
          <w:noProof/>
        </w:rPr>
        <w:t>,</w:t>
      </w:r>
      <w:r w:rsidR="00C721F0" w:rsidRPr="003A55C4">
        <w:rPr>
          <w:noProof/>
        </w:rPr>
        <w:t xml:space="preserve"> 10</w:t>
      </w:r>
      <w:r w:rsidR="00321B40" w:rsidRPr="003A55C4">
        <w:rPr>
          <w:noProof/>
        </w:rPr>
        <w:t xml:space="preserve"> and 30</w:t>
      </w:r>
      <w:r w:rsidR="00326414" w:rsidRPr="003A55C4">
        <w:rPr>
          <w:noProof/>
        </w:rPr>
        <w:t>d</w:t>
      </w:r>
      <w:r w:rsidR="00C721F0" w:rsidRPr="003A55C4">
        <w:rPr>
          <w:noProof/>
        </w:rPr>
        <w:t xml:space="preserve"> of Directive 2003/87/EC</w:t>
      </w:r>
      <w:r w:rsidR="000C6F68">
        <w:rPr>
          <w:noProof/>
        </w:rPr>
        <w:t xml:space="preserve"> of the European Parliament and of the Council</w:t>
      </w:r>
      <w:r w:rsidR="000C6F68">
        <w:rPr>
          <w:rStyle w:val="FootnoteReference"/>
          <w:noProof/>
        </w:rPr>
        <w:footnoteReference w:customMarkFollows="1" w:id="17"/>
        <w:t>1</w:t>
      </w:r>
      <w:r w:rsidR="00E85B62" w:rsidRPr="003A55C4">
        <w:rPr>
          <w:noProof/>
        </w:rPr>
        <w:t>;</w:t>
      </w:r>
      <w:r w:rsidR="00C2168D" w:rsidRPr="003A55C4">
        <w:rPr>
          <w:noProof/>
        </w:rPr>
        <w:t xml:space="preserve"> </w:t>
      </w:r>
    </w:p>
    <w:p w14:paraId="563A647E" w14:textId="5C7D3521" w:rsidR="00C2168D" w:rsidRPr="003A55C4" w:rsidRDefault="0007655F" w:rsidP="0007655F">
      <w:pPr>
        <w:pStyle w:val="Point1"/>
        <w:rPr>
          <w:noProof/>
        </w:rPr>
      </w:pPr>
      <w:r w:rsidRPr="0007655F">
        <w:t>(2)</w:t>
      </w:r>
      <w:r w:rsidRPr="0007655F">
        <w:tab/>
      </w:r>
      <w:r w:rsidR="00F405BC" w:rsidRPr="003A55C4">
        <w:rPr>
          <w:noProof/>
        </w:rPr>
        <w:t xml:space="preserve">the </w:t>
      </w:r>
      <w:r w:rsidR="00173884" w:rsidRPr="003A55C4">
        <w:rPr>
          <w:noProof/>
        </w:rPr>
        <w:t xml:space="preserve">amount calculated by multiplying the annual amount of allowances in respect of which the relevant Member State </w:t>
      </w:r>
      <w:r w:rsidR="000C6F68">
        <w:rPr>
          <w:noProof/>
        </w:rPr>
        <w:t xml:space="preserve">applies </w:t>
      </w:r>
      <w:r w:rsidR="00173884" w:rsidRPr="003A55C4">
        <w:rPr>
          <w:noProof/>
        </w:rPr>
        <w:t>any of the following</w:t>
      </w:r>
      <w:r w:rsidR="00C2168D" w:rsidRPr="003A55C4">
        <w:rPr>
          <w:noProof/>
        </w:rPr>
        <w:t xml:space="preserve">: </w:t>
      </w:r>
    </w:p>
    <w:p w14:paraId="192E1AA1" w14:textId="2EB47870" w:rsidR="00C2168D" w:rsidRPr="003A55C4" w:rsidRDefault="0007655F" w:rsidP="0007655F">
      <w:pPr>
        <w:pStyle w:val="Point2"/>
        <w:rPr>
          <w:noProof/>
        </w:rPr>
      </w:pPr>
      <w:r w:rsidRPr="0007655F">
        <w:t>(a)</w:t>
      </w:r>
      <w:r w:rsidRPr="0007655F">
        <w:tab/>
      </w:r>
      <w:r w:rsidR="000C6F68">
        <w:rPr>
          <w:noProof/>
        </w:rPr>
        <w:t xml:space="preserve">the </w:t>
      </w:r>
      <w:r w:rsidR="00A02C82">
        <w:rPr>
          <w:noProof/>
        </w:rPr>
        <w:t xml:space="preserve">option for </w:t>
      </w:r>
      <w:r w:rsidR="00C2168D" w:rsidRPr="003A55C4">
        <w:rPr>
          <w:noProof/>
        </w:rPr>
        <w:t xml:space="preserve">transitional free allocation </w:t>
      </w:r>
      <w:r w:rsidR="000C6F68">
        <w:rPr>
          <w:noProof/>
        </w:rPr>
        <w:t xml:space="preserve">referred </w:t>
      </w:r>
      <w:r w:rsidR="00C2168D" w:rsidRPr="003A55C4">
        <w:rPr>
          <w:noProof/>
        </w:rPr>
        <w:t xml:space="preserve"> to </w:t>
      </w:r>
      <w:r w:rsidR="000C6F68">
        <w:rPr>
          <w:noProof/>
        </w:rPr>
        <w:t xml:space="preserve">in </w:t>
      </w:r>
      <w:r w:rsidR="00C2168D" w:rsidRPr="003A55C4">
        <w:rPr>
          <w:noProof/>
        </w:rPr>
        <w:t>Article 10c of Directive 2003/87/EC;</w:t>
      </w:r>
    </w:p>
    <w:p w14:paraId="18C058B3" w14:textId="17DDAFF8" w:rsidR="00C2168D" w:rsidRPr="003A55C4" w:rsidRDefault="0007655F" w:rsidP="0007655F">
      <w:pPr>
        <w:pStyle w:val="Point2"/>
        <w:rPr>
          <w:noProof/>
        </w:rPr>
      </w:pPr>
      <w:r w:rsidRPr="0007655F">
        <w:t>(b)</w:t>
      </w:r>
      <w:r w:rsidRPr="0007655F">
        <w:tab/>
      </w:r>
      <w:r w:rsidR="000C6F68">
        <w:rPr>
          <w:noProof/>
        </w:rPr>
        <w:t xml:space="preserve">the possibility of </w:t>
      </w:r>
      <w:r w:rsidR="00EB1438">
        <w:rPr>
          <w:noProof/>
        </w:rPr>
        <w:t xml:space="preserve">limited </w:t>
      </w:r>
      <w:r w:rsidR="00C2168D" w:rsidRPr="003A55C4">
        <w:rPr>
          <w:noProof/>
        </w:rPr>
        <w:t xml:space="preserve">cancellation </w:t>
      </w:r>
      <w:r w:rsidR="000C6F68">
        <w:rPr>
          <w:noProof/>
        </w:rPr>
        <w:t>referred</w:t>
      </w:r>
      <w:r w:rsidR="000C6F68" w:rsidRPr="003A55C4">
        <w:rPr>
          <w:noProof/>
        </w:rPr>
        <w:t xml:space="preserve"> </w:t>
      </w:r>
      <w:r w:rsidR="00C2168D" w:rsidRPr="003A55C4">
        <w:rPr>
          <w:noProof/>
        </w:rPr>
        <w:t xml:space="preserve">to </w:t>
      </w:r>
      <w:r w:rsidR="00645629">
        <w:rPr>
          <w:noProof/>
        </w:rPr>
        <w:t xml:space="preserve">in </w:t>
      </w:r>
      <w:r w:rsidR="00C2168D" w:rsidRPr="003A55C4">
        <w:rPr>
          <w:noProof/>
        </w:rPr>
        <w:t>Article 6</w:t>
      </w:r>
      <w:r w:rsidR="00A02C82">
        <w:rPr>
          <w:noProof/>
        </w:rPr>
        <w:t>(</w:t>
      </w:r>
      <w:r w:rsidR="00A04349">
        <w:rPr>
          <w:noProof/>
        </w:rPr>
        <w:t>1</w:t>
      </w:r>
      <w:r w:rsidR="00A02C82">
        <w:rPr>
          <w:noProof/>
        </w:rPr>
        <w:t xml:space="preserve">) </w:t>
      </w:r>
      <w:r w:rsidR="00C2168D" w:rsidRPr="003A55C4">
        <w:rPr>
          <w:noProof/>
        </w:rPr>
        <w:t>of Regulation (EU) 2018/842</w:t>
      </w:r>
      <w:r w:rsidR="00A02C82">
        <w:rPr>
          <w:noProof/>
        </w:rPr>
        <w:t xml:space="preserve"> of the European Parliament and of the Council</w:t>
      </w:r>
      <w:r w:rsidR="00A02C82">
        <w:rPr>
          <w:rStyle w:val="FootnoteReference"/>
          <w:noProof/>
        </w:rPr>
        <w:footnoteReference w:customMarkFollows="1" w:id="18"/>
        <w:t>2</w:t>
      </w:r>
      <w:r w:rsidR="00C2168D" w:rsidRPr="003A55C4">
        <w:rPr>
          <w:noProof/>
        </w:rPr>
        <w:t>;</w:t>
      </w:r>
    </w:p>
    <w:p w14:paraId="26178613" w14:textId="33E5F466" w:rsidR="00745746" w:rsidRPr="003A55C4" w:rsidRDefault="0007655F" w:rsidP="0007655F">
      <w:pPr>
        <w:pStyle w:val="Point2"/>
        <w:rPr>
          <w:noProof/>
        </w:rPr>
      </w:pPr>
      <w:r w:rsidRPr="0007655F">
        <w:t>(c)</w:t>
      </w:r>
      <w:r w:rsidRPr="0007655F">
        <w:tab/>
      </w:r>
      <w:r w:rsidR="00A02C82">
        <w:rPr>
          <w:noProof/>
        </w:rPr>
        <w:t xml:space="preserve">the </w:t>
      </w:r>
      <w:r w:rsidR="004750C7">
        <w:rPr>
          <w:noProof/>
        </w:rPr>
        <w:t xml:space="preserve">use </w:t>
      </w:r>
      <w:r w:rsidR="00125DDB">
        <w:rPr>
          <w:noProof/>
        </w:rPr>
        <w:t xml:space="preserve">of </w:t>
      </w:r>
      <w:r w:rsidR="00C2168D" w:rsidRPr="003A55C4">
        <w:rPr>
          <w:noProof/>
        </w:rPr>
        <w:t>allowances</w:t>
      </w:r>
      <w:r w:rsidR="00A04349">
        <w:rPr>
          <w:noProof/>
        </w:rPr>
        <w:t xml:space="preserve"> referred </w:t>
      </w:r>
      <w:r w:rsidR="00C2168D" w:rsidRPr="003A55C4">
        <w:rPr>
          <w:noProof/>
        </w:rPr>
        <w:t xml:space="preserve"> to</w:t>
      </w:r>
      <w:r w:rsidR="004C6A9A">
        <w:rPr>
          <w:noProof/>
        </w:rPr>
        <w:t xml:space="preserve"> in</w:t>
      </w:r>
      <w:r w:rsidR="00C2168D" w:rsidRPr="003A55C4">
        <w:rPr>
          <w:noProof/>
        </w:rPr>
        <w:t xml:space="preserve"> Article </w:t>
      </w:r>
      <w:r w:rsidR="00087786" w:rsidRPr="00087786">
        <w:rPr>
          <w:noProof/>
        </w:rPr>
        <w:t xml:space="preserve">10d(4) </w:t>
      </w:r>
      <w:r w:rsidR="00C2168D" w:rsidRPr="003A55C4">
        <w:rPr>
          <w:noProof/>
        </w:rPr>
        <w:t xml:space="preserve">of Directive 2003/87/EC to auctioning for the Modernisation Fund </w:t>
      </w:r>
      <w:r w:rsidR="00A02C82">
        <w:rPr>
          <w:noProof/>
        </w:rPr>
        <w:t xml:space="preserve">referred </w:t>
      </w:r>
      <w:r w:rsidR="00C2168D" w:rsidRPr="003A55C4">
        <w:rPr>
          <w:noProof/>
        </w:rPr>
        <w:t xml:space="preserve">to </w:t>
      </w:r>
      <w:r w:rsidR="00A02C82">
        <w:rPr>
          <w:noProof/>
        </w:rPr>
        <w:t xml:space="preserve">in </w:t>
      </w:r>
      <w:r w:rsidR="00C2168D" w:rsidRPr="003A55C4">
        <w:rPr>
          <w:noProof/>
        </w:rPr>
        <w:t xml:space="preserve">Article </w:t>
      </w:r>
      <w:r w:rsidR="00087786" w:rsidRPr="00087786">
        <w:rPr>
          <w:noProof/>
        </w:rPr>
        <w:t>10d(3)</w:t>
      </w:r>
      <w:r w:rsidR="00C2168D" w:rsidRPr="003A55C4">
        <w:rPr>
          <w:noProof/>
        </w:rPr>
        <w:t xml:space="preserve"> of that Directive</w:t>
      </w:r>
      <w:r w:rsidR="007441DA">
        <w:rPr>
          <w:noProof/>
        </w:rPr>
        <w:t>;</w:t>
      </w:r>
      <w:r w:rsidR="003C61B0" w:rsidRPr="003A55C4">
        <w:rPr>
          <w:noProof/>
        </w:rPr>
        <w:t xml:space="preserve"> </w:t>
      </w:r>
    </w:p>
    <w:p w14:paraId="6F7F3F78" w14:textId="77777777" w:rsidR="009B5240" w:rsidRPr="003A55C4" w:rsidRDefault="00745746" w:rsidP="003970AF">
      <w:pPr>
        <w:ind w:left="1440"/>
        <w:rPr>
          <w:noProof/>
        </w:rPr>
      </w:pPr>
      <w:r w:rsidRPr="003A55C4">
        <w:rPr>
          <w:noProof/>
        </w:rPr>
        <w:t xml:space="preserve">with the average </w:t>
      </w:r>
      <w:r w:rsidR="002A4F5D" w:rsidRPr="003A55C4">
        <w:rPr>
          <w:noProof/>
        </w:rPr>
        <w:t xml:space="preserve">weighted </w:t>
      </w:r>
      <w:r w:rsidRPr="003A55C4">
        <w:rPr>
          <w:noProof/>
        </w:rPr>
        <w:t>price of allowances auctioned on the common auction platform in the year in which these allowances would have been auctioned.</w:t>
      </w:r>
      <w:r w:rsidR="007441DA">
        <w:rPr>
          <w:noProof/>
        </w:rPr>
        <w:t>”</w:t>
      </w:r>
    </w:p>
    <w:p w14:paraId="7FB2E41D" w14:textId="591C75F4" w:rsidR="00BB4CF8" w:rsidRPr="003A55C4" w:rsidRDefault="0007655F" w:rsidP="0007655F">
      <w:pPr>
        <w:pStyle w:val="Point0"/>
        <w:rPr>
          <w:noProof/>
        </w:rPr>
      </w:pPr>
      <w:r w:rsidRPr="0007655F">
        <w:t>(b)</w:t>
      </w:r>
      <w:r w:rsidRPr="0007655F">
        <w:tab/>
      </w:r>
      <w:r w:rsidR="00565EED" w:rsidRPr="003A55C4">
        <w:rPr>
          <w:noProof/>
        </w:rPr>
        <w:t>in paragraph 1, the following point (f) is added:</w:t>
      </w:r>
    </w:p>
    <w:p w14:paraId="0CE620C1" w14:textId="02748F89" w:rsidR="00DD3BF3" w:rsidRDefault="00CA6FD3" w:rsidP="00B57087">
      <w:pPr>
        <w:rPr>
          <w:noProof/>
          <w:lang w:val="en-IE"/>
        </w:rPr>
      </w:pPr>
      <w:r>
        <w:rPr>
          <w:noProof/>
          <w:lang w:val="en-IE"/>
        </w:rPr>
        <w:t>“</w:t>
      </w:r>
      <w:r w:rsidR="00565EED" w:rsidRPr="003A55C4">
        <w:rPr>
          <w:noProof/>
          <w:lang w:val="en-IE"/>
        </w:rPr>
        <w:t xml:space="preserve">(f) </w:t>
      </w:r>
      <w:r w:rsidR="00714DF3" w:rsidRPr="003A55C4">
        <w:rPr>
          <w:noProof/>
        </w:rPr>
        <w:t xml:space="preserve">the application of a uniform call rate equal to </w:t>
      </w:r>
      <w:r w:rsidR="005C7B61">
        <w:rPr>
          <w:noProof/>
        </w:rPr>
        <w:t>75</w:t>
      </w:r>
      <w:r w:rsidR="00714DF3" w:rsidRPr="003A55C4">
        <w:rPr>
          <w:noProof/>
        </w:rPr>
        <w:t xml:space="preserve">% </w:t>
      </w:r>
      <w:r w:rsidR="00645629">
        <w:rPr>
          <w:noProof/>
        </w:rPr>
        <w:t>of</w:t>
      </w:r>
      <w:r w:rsidR="00714DF3" w:rsidRPr="003A55C4">
        <w:rPr>
          <w:noProof/>
        </w:rPr>
        <w:t xml:space="preserve"> the revenues from the sale of certificates of the</w:t>
      </w:r>
      <w:r w:rsidR="00714DF3" w:rsidRPr="003A55C4">
        <w:rPr>
          <w:noProof/>
          <w:lang w:val="en-IE"/>
        </w:rPr>
        <w:t xml:space="preserve"> </w:t>
      </w:r>
      <w:r w:rsidR="00752F7E" w:rsidRPr="003A55C4">
        <w:rPr>
          <w:noProof/>
          <w:lang w:val="en-IE"/>
        </w:rPr>
        <w:t>c</w:t>
      </w:r>
      <w:r w:rsidR="00565EED" w:rsidRPr="003A55C4">
        <w:rPr>
          <w:noProof/>
          <w:lang w:val="en-IE"/>
        </w:rPr>
        <w:t xml:space="preserve">arbon </w:t>
      </w:r>
      <w:r w:rsidR="00752F7E" w:rsidRPr="003A55C4">
        <w:rPr>
          <w:noProof/>
          <w:lang w:val="en-IE"/>
        </w:rPr>
        <w:t>b</w:t>
      </w:r>
      <w:r w:rsidR="00565EED" w:rsidRPr="003A55C4">
        <w:rPr>
          <w:noProof/>
          <w:lang w:val="en-IE"/>
        </w:rPr>
        <w:t xml:space="preserve">order </w:t>
      </w:r>
      <w:r w:rsidR="00752F7E" w:rsidRPr="003A55C4">
        <w:rPr>
          <w:noProof/>
          <w:lang w:val="en-IE"/>
        </w:rPr>
        <w:t>a</w:t>
      </w:r>
      <w:r w:rsidR="00565EED" w:rsidRPr="003A55C4">
        <w:rPr>
          <w:noProof/>
          <w:lang w:val="en-IE"/>
        </w:rPr>
        <w:t xml:space="preserve">djustment </w:t>
      </w:r>
      <w:r w:rsidR="00752F7E" w:rsidRPr="003A55C4">
        <w:rPr>
          <w:noProof/>
          <w:lang w:val="en-IE"/>
        </w:rPr>
        <w:t>m</w:t>
      </w:r>
      <w:r w:rsidR="00565EED" w:rsidRPr="003A55C4">
        <w:rPr>
          <w:noProof/>
          <w:lang w:val="en-IE"/>
        </w:rPr>
        <w:t xml:space="preserve">echanism </w:t>
      </w:r>
      <w:r w:rsidR="003A55C4" w:rsidRPr="003A55C4">
        <w:rPr>
          <w:noProof/>
          <w:lang w:val="en-IE"/>
        </w:rPr>
        <w:t>established by</w:t>
      </w:r>
      <w:r w:rsidR="00334669" w:rsidRPr="003A55C4">
        <w:rPr>
          <w:noProof/>
          <w:lang w:val="en-IE"/>
        </w:rPr>
        <w:t xml:space="preserve"> </w:t>
      </w:r>
      <w:r w:rsidR="00A14FD8">
        <w:rPr>
          <w:noProof/>
          <w:lang w:val="en-IE"/>
        </w:rPr>
        <w:t xml:space="preserve">Regulation </w:t>
      </w:r>
      <w:r w:rsidR="003A4749">
        <w:rPr>
          <w:noProof/>
          <w:lang w:val="en-IE"/>
        </w:rPr>
        <w:t>(EU) [XXX]</w:t>
      </w:r>
      <w:r w:rsidR="00DB43E5" w:rsidRPr="003A55C4">
        <w:rPr>
          <w:noProof/>
          <w:lang w:val="en-IE"/>
        </w:rPr>
        <w:t xml:space="preserve"> of the European Parliament and of the Council</w:t>
      </w:r>
      <w:r w:rsidR="007441DA">
        <w:rPr>
          <w:rStyle w:val="FootnoteReference"/>
          <w:noProof/>
          <w:lang w:val="en-IE"/>
        </w:rPr>
        <w:footnoteReference w:customMarkFollows="1" w:id="19"/>
        <w:t>3</w:t>
      </w:r>
      <w:r w:rsidR="00D87AF4" w:rsidRPr="003A55C4">
        <w:rPr>
          <w:noProof/>
          <w:lang w:val="en-IE"/>
        </w:rPr>
        <w:t>.”</w:t>
      </w:r>
    </w:p>
    <w:p w14:paraId="73833519" w14:textId="4C8D0598" w:rsidR="00CA6FD3" w:rsidRDefault="0007655F" w:rsidP="0007655F">
      <w:pPr>
        <w:pStyle w:val="Point0"/>
        <w:rPr>
          <w:noProof/>
        </w:rPr>
      </w:pPr>
      <w:r w:rsidRPr="0007655F">
        <w:t>(c)</w:t>
      </w:r>
      <w:r w:rsidRPr="0007655F">
        <w:tab/>
      </w:r>
      <w:r w:rsidR="00CA6FD3">
        <w:rPr>
          <w:noProof/>
        </w:rPr>
        <w:t>i</w:t>
      </w:r>
      <w:r w:rsidR="00FA4013" w:rsidRPr="003A55C4">
        <w:rPr>
          <w:noProof/>
        </w:rPr>
        <w:t>n paragraph 1, the following point (g) is added:</w:t>
      </w:r>
    </w:p>
    <w:p w14:paraId="0B98E7A3" w14:textId="4CB33E18" w:rsidR="0018602D" w:rsidRPr="00CA6FD3" w:rsidRDefault="00745746" w:rsidP="00B57087">
      <w:pPr>
        <w:rPr>
          <w:noProof/>
          <w:lang w:val="en-IE"/>
        </w:rPr>
      </w:pPr>
      <w:r w:rsidRPr="003A55C4">
        <w:rPr>
          <w:noProof/>
        </w:rPr>
        <w:t>“</w:t>
      </w:r>
      <w:r w:rsidR="0018602D" w:rsidRPr="003A55C4">
        <w:rPr>
          <w:noProof/>
        </w:rPr>
        <w:t xml:space="preserve">(g) the application of a uniform call rate of </w:t>
      </w:r>
      <w:r w:rsidR="005C7B61">
        <w:rPr>
          <w:noProof/>
        </w:rPr>
        <w:t>15</w:t>
      </w:r>
      <w:r w:rsidR="0018602D" w:rsidRPr="003A55C4">
        <w:rPr>
          <w:noProof/>
        </w:rPr>
        <w:t xml:space="preserve">% to the share of </w:t>
      </w:r>
      <w:r w:rsidR="0018602D" w:rsidRPr="00FE22D4">
        <w:rPr>
          <w:noProof/>
        </w:rPr>
        <w:t>residual</w:t>
      </w:r>
      <w:r w:rsidR="009649E2" w:rsidRPr="00FE22D4">
        <w:rPr>
          <w:noProof/>
        </w:rPr>
        <w:t xml:space="preserve"> </w:t>
      </w:r>
      <w:r w:rsidR="0018602D" w:rsidRPr="00FE22D4">
        <w:rPr>
          <w:noProof/>
        </w:rPr>
        <w:t xml:space="preserve">profit of multinational enterprises </w:t>
      </w:r>
      <w:r w:rsidR="00221FD4">
        <w:rPr>
          <w:noProof/>
        </w:rPr>
        <w:t>re</w:t>
      </w:r>
      <w:r w:rsidR="0018602D" w:rsidRPr="00FE22D4">
        <w:rPr>
          <w:noProof/>
        </w:rPr>
        <w:t>allocated to Member States</w:t>
      </w:r>
      <w:r w:rsidR="000463CF">
        <w:rPr>
          <w:noProof/>
        </w:rPr>
        <w:t xml:space="preserve"> </w:t>
      </w:r>
      <w:r w:rsidR="000463CF" w:rsidRPr="000463CF">
        <w:rPr>
          <w:noProof/>
        </w:rPr>
        <w:t xml:space="preserve">pursuant to </w:t>
      </w:r>
      <w:r w:rsidR="0027786C">
        <w:rPr>
          <w:noProof/>
        </w:rPr>
        <w:t>[</w:t>
      </w:r>
      <w:r w:rsidR="005D03BF" w:rsidRPr="00C54657">
        <w:rPr>
          <w:noProof/>
        </w:rPr>
        <w:t xml:space="preserve">the </w:t>
      </w:r>
      <w:r w:rsidR="005D03BF">
        <w:rPr>
          <w:noProof/>
        </w:rPr>
        <w:t xml:space="preserve">Directive </w:t>
      </w:r>
      <w:r w:rsidR="005D03BF" w:rsidRPr="00C54657">
        <w:rPr>
          <w:noProof/>
        </w:rPr>
        <w:t>on</w:t>
      </w:r>
      <w:r w:rsidR="00DC0969" w:rsidRPr="00DC0969">
        <w:rPr>
          <w:noProof/>
        </w:rPr>
        <w:t xml:space="preserve"> implementation of the global agreement on re-allocation of taxing rights</w:t>
      </w:r>
      <w:r w:rsidR="007441DA">
        <w:rPr>
          <w:rStyle w:val="FootnoteReference"/>
          <w:noProof/>
        </w:rPr>
        <w:footnoteReference w:customMarkFollows="1" w:id="20"/>
        <w:t>4</w:t>
      </w:r>
      <w:r w:rsidR="00DC0969">
        <w:rPr>
          <w:rStyle w:val="FootnoteReference"/>
          <w:noProof/>
        </w:rPr>
        <w:t>.</w:t>
      </w:r>
      <w:r w:rsidR="007441DA">
        <w:rPr>
          <w:noProof/>
        </w:rPr>
        <w:t>]</w:t>
      </w:r>
      <w:r w:rsidR="0018602D" w:rsidRPr="003A55C4">
        <w:rPr>
          <w:noProof/>
        </w:rPr>
        <w:t>”</w:t>
      </w:r>
    </w:p>
    <w:p w14:paraId="03FB0CE5" w14:textId="2A710301" w:rsidR="005F7D73" w:rsidRPr="003A55C4" w:rsidRDefault="0007655F" w:rsidP="0007655F">
      <w:pPr>
        <w:pStyle w:val="Point0"/>
        <w:rPr>
          <w:noProof/>
        </w:rPr>
      </w:pPr>
      <w:r w:rsidRPr="0007655F">
        <w:t>(d)</w:t>
      </w:r>
      <w:r w:rsidRPr="0007655F">
        <w:tab/>
      </w:r>
      <w:r w:rsidR="0069670E" w:rsidRPr="003A55C4">
        <w:rPr>
          <w:noProof/>
        </w:rPr>
        <w:t>t</w:t>
      </w:r>
      <w:r w:rsidR="005F7D73" w:rsidRPr="003A55C4">
        <w:rPr>
          <w:noProof/>
        </w:rPr>
        <w:t>he following paragraph 2</w:t>
      </w:r>
      <w:r w:rsidR="0069670E" w:rsidRPr="003A55C4">
        <w:rPr>
          <w:noProof/>
        </w:rPr>
        <w:t>a</w:t>
      </w:r>
      <w:r w:rsidR="005F7D73" w:rsidRPr="003A55C4">
        <w:rPr>
          <w:noProof/>
        </w:rPr>
        <w:t xml:space="preserve"> is </w:t>
      </w:r>
      <w:r w:rsidR="007441DA">
        <w:rPr>
          <w:noProof/>
        </w:rPr>
        <w:t>inserted</w:t>
      </w:r>
      <w:r w:rsidR="005F7D73" w:rsidRPr="003A55C4">
        <w:rPr>
          <w:noProof/>
        </w:rPr>
        <w:t>:</w:t>
      </w:r>
    </w:p>
    <w:p w14:paraId="512A54E7" w14:textId="77777777" w:rsidR="005F5B56" w:rsidRPr="003A55C4" w:rsidRDefault="00AF2DFB" w:rsidP="00AD69AF">
      <w:pPr>
        <w:rPr>
          <w:noProof/>
        </w:rPr>
      </w:pPr>
      <w:r w:rsidRPr="003A55C4">
        <w:rPr>
          <w:noProof/>
        </w:rPr>
        <w:t>“</w:t>
      </w:r>
      <w:r w:rsidR="0069670E" w:rsidRPr="003A55C4">
        <w:rPr>
          <w:noProof/>
        </w:rPr>
        <w:t>2a.</w:t>
      </w:r>
      <w:r w:rsidR="0069670E" w:rsidRPr="003A55C4">
        <w:rPr>
          <w:noProof/>
        </w:rPr>
        <w:tab/>
      </w:r>
      <w:r w:rsidR="006A2057" w:rsidRPr="003A55C4">
        <w:rPr>
          <w:noProof/>
        </w:rPr>
        <w:t xml:space="preserve">By </w:t>
      </w:r>
      <w:r w:rsidR="007441DA">
        <w:rPr>
          <w:noProof/>
        </w:rPr>
        <w:t xml:space="preserve">way of </w:t>
      </w:r>
      <w:r w:rsidR="006A2057" w:rsidRPr="003A55C4">
        <w:rPr>
          <w:noProof/>
        </w:rPr>
        <w:t xml:space="preserve">derogation from </w:t>
      </w:r>
      <w:r w:rsidR="006618DF" w:rsidRPr="003A55C4">
        <w:rPr>
          <w:noProof/>
        </w:rPr>
        <w:t>paragraph</w:t>
      </w:r>
      <w:r w:rsidR="006A2057" w:rsidRPr="003A55C4">
        <w:rPr>
          <w:noProof/>
        </w:rPr>
        <w:t xml:space="preserve"> 1</w:t>
      </w:r>
      <w:r w:rsidR="006618DF" w:rsidRPr="003A55C4">
        <w:rPr>
          <w:noProof/>
        </w:rPr>
        <w:t xml:space="preserve">, point </w:t>
      </w:r>
      <w:r w:rsidR="006A2057" w:rsidRPr="003A55C4">
        <w:rPr>
          <w:noProof/>
        </w:rPr>
        <w:t>(</w:t>
      </w:r>
      <w:r w:rsidR="00C71BCE" w:rsidRPr="003A55C4">
        <w:rPr>
          <w:noProof/>
        </w:rPr>
        <w:t>e</w:t>
      </w:r>
      <w:r w:rsidR="006A2057" w:rsidRPr="003A55C4">
        <w:rPr>
          <w:noProof/>
        </w:rPr>
        <w:t>)</w:t>
      </w:r>
      <w:r w:rsidR="006618DF" w:rsidRPr="003A55C4">
        <w:rPr>
          <w:noProof/>
        </w:rPr>
        <w:t>,</w:t>
      </w:r>
      <w:r w:rsidR="006A2057" w:rsidRPr="003A55C4">
        <w:rPr>
          <w:noProof/>
        </w:rPr>
        <w:t xml:space="preserve"> the following shall apply until </w:t>
      </w:r>
      <w:r w:rsidR="0047671B" w:rsidRPr="003A55C4">
        <w:rPr>
          <w:noProof/>
        </w:rPr>
        <w:t xml:space="preserve">the financial year </w:t>
      </w:r>
      <w:r w:rsidR="006A2057" w:rsidRPr="003A55C4">
        <w:rPr>
          <w:noProof/>
        </w:rPr>
        <w:t>2030</w:t>
      </w:r>
      <w:r w:rsidR="009F5135" w:rsidRPr="003A55C4">
        <w:rPr>
          <w:noProof/>
        </w:rPr>
        <w:t xml:space="preserve">: </w:t>
      </w:r>
    </w:p>
    <w:p w14:paraId="60080618" w14:textId="2FAA1193" w:rsidR="002A795F" w:rsidRPr="003A55C4" w:rsidRDefault="0007655F" w:rsidP="0007655F">
      <w:pPr>
        <w:pStyle w:val="Point1"/>
        <w:rPr>
          <w:noProof/>
        </w:rPr>
      </w:pPr>
      <w:r w:rsidRPr="0007655F">
        <w:t>(a)</w:t>
      </w:r>
      <w:r w:rsidRPr="0007655F">
        <w:tab/>
      </w:r>
      <w:r w:rsidR="007441DA">
        <w:rPr>
          <w:noProof/>
        </w:rPr>
        <w:t>w</w:t>
      </w:r>
      <w:r w:rsidR="006D14B3" w:rsidRPr="003A55C4">
        <w:rPr>
          <w:noProof/>
        </w:rPr>
        <w:t xml:space="preserve">here </w:t>
      </w:r>
      <w:r w:rsidR="00E94534" w:rsidRPr="003A55C4">
        <w:rPr>
          <w:noProof/>
        </w:rPr>
        <w:t>a</w:t>
      </w:r>
      <w:r w:rsidR="006D14B3" w:rsidRPr="003A55C4">
        <w:rPr>
          <w:noProof/>
        </w:rPr>
        <w:t xml:space="preserve"> </w:t>
      </w:r>
      <w:r w:rsidR="00E94534" w:rsidRPr="003A55C4">
        <w:rPr>
          <w:noProof/>
        </w:rPr>
        <w:t>Member State</w:t>
      </w:r>
      <w:r w:rsidR="00692620" w:rsidRPr="003A55C4">
        <w:rPr>
          <w:noProof/>
        </w:rPr>
        <w:t>’</w:t>
      </w:r>
      <w:r w:rsidR="00E94534" w:rsidRPr="003A55C4">
        <w:rPr>
          <w:noProof/>
        </w:rPr>
        <w:t xml:space="preserve">s share in </w:t>
      </w:r>
      <w:r w:rsidR="007441DA">
        <w:rPr>
          <w:noProof/>
        </w:rPr>
        <w:t xml:space="preserve">the </w:t>
      </w:r>
      <w:r w:rsidR="006D14B3" w:rsidRPr="003A55C4">
        <w:rPr>
          <w:noProof/>
        </w:rPr>
        <w:t>total</w:t>
      </w:r>
      <w:r w:rsidR="00340208" w:rsidRPr="003A55C4">
        <w:rPr>
          <w:noProof/>
        </w:rPr>
        <w:t xml:space="preserve"> amount of </w:t>
      </w:r>
      <w:r w:rsidR="006D14B3" w:rsidRPr="003A55C4">
        <w:rPr>
          <w:noProof/>
        </w:rPr>
        <w:t xml:space="preserve">revenue resulting from the application of </w:t>
      </w:r>
      <w:r w:rsidR="006618DF" w:rsidRPr="003A55C4">
        <w:rPr>
          <w:noProof/>
        </w:rPr>
        <w:t xml:space="preserve">paragraph </w:t>
      </w:r>
      <w:r w:rsidR="00C01C31" w:rsidRPr="003A55C4">
        <w:rPr>
          <w:noProof/>
        </w:rPr>
        <w:t>1</w:t>
      </w:r>
      <w:r w:rsidR="006618DF" w:rsidRPr="003A55C4">
        <w:rPr>
          <w:noProof/>
        </w:rPr>
        <w:t xml:space="preserve">, point </w:t>
      </w:r>
      <w:r w:rsidR="00C01C31" w:rsidRPr="003A55C4">
        <w:rPr>
          <w:noProof/>
        </w:rPr>
        <w:t>(</w:t>
      </w:r>
      <w:r w:rsidR="00C52E56" w:rsidRPr="003A55C4">
        <w:rPr>
          <w:noProof/>
        </w:rPr>
        <w:t>e</w:t>
      </w:r>
      <w:r w:rsidR="00C01C31" w:rsidRPr="003A55C4">
        <w:rPr>
          <w:noProof/>
        </w:rPr>
        <w:t>)</w:t>
      </w:r>
      <w:r w:rsidR="006618DF" w:rsidRPr="003A55C4">
        <w:rPr>
          <w:noProof/>
        </w:rPr>
        <w:t>,</w:t>
      </w:r>
      <w:r w:rsidR="00EE4923" w:rsidRPr="003A55C4">
        <w:rPr>
          <w:noProof/>
        </w:rPr>
        <w:t xml:space="preserve"> is lower than </w:t>
      </w:r>
      <w:r w:rsidR="005C7B61">
        <w:rPr>
          <w:noProof/>
        </w:rPr>
        <w:t>75</w:t>
      </w:r>
      <w:r w:rsidR="00336347" w:rsidRPr="003A55C4">
        <w:rPr>
          <w:noProof/>
        </w:rPr>
        <w:t>%</w:t>
      </w:r>
      <w:r w:rsidR="006D14B3" w:rsidRPr="003A55C4">
        <w:rPr>
          <w:noProof/>
        </w:rPr>
        <w:t xml:space="preserve"> of </w:t>
      </w:r>
      <w:r w:rsidR="003226F7" w:rsidRPr="003A55C4">
        <w:rPr>
          <w:noProof/>
        </w:rPr>
        <w:t xml:space="preserve">its </w:t>
      </w:r>
      <w:r w:rsidR="006D14B3" w:rsidRPr="003A55C4">
        <w:rPr>
          <w:noProof/>
        </w:rPr>
        <w:t xml:space="preserve">share </w:t>
      </w:r>
      <w:r w:rsidR="00A0324E" w:rsidRPr="003A55C4">
        <w:rPr>
          <w:noProof/>
        </w:rPr>
        <w:t>in</w:t>
      </w:r>
      <w:r w:rsidR="007441DA">
        <w:rPr>
          <w:noProof/>
        </w:rPr>
        <w:t xml:space="preserve"> the</w:t>
      </w:r>
      <w:r w:rsidR="00666984" w:rsidRPr="003A55C4">
        <w:rPr>
          <w:noProof/>
        </w:rPr>
        <w:t xml:space="preserve"> </w:t>
      </w:r>
      <w:r w:rsidR="006618DF" w:rsidRPr="003A55C4">
        <w:rPr>
          <w:noProof/>
        </w:rPr>
        <w:t>Union</w:t>
      </w:r>
      <w:r w:rsidR="00E94534" w:rsidRPr="003A55C4">
        <w:rPr>
          <w:noProof/>
        </w:rPr>
        <w:t xml:space="preserve"> </w:t>
      </w:r>
      <w:r w:rsidR="00093BA1" w:rsidRPr="003A55C4">
        <w:rPr>
          <w:noProof/>
        </w:rPr>
        <w:t>gross national i</w:t>
      </w:r>
      <w:r w:rsidR="005F7441" w:rsidRPr="003A55C4">
        <w:rPr>
          <w:noProof/>
        </w:rPr>
        <w:t>ncome</w:t>
      </w:r>
      <w:r w:rsidR="006D14B3" w:rsidRPr="003A55C4">
        <w:rPr>
          <w:noProof/>
        </w:rPr>
        <w:t>, th</w:t>
      </w:r>
      <w:r w:rsidR="007441DA">
        <w:rPr>
          <w:noProof/>
        </w:rPr>
        <w:t>at</w:t>
      </w:r>
      <w:r w:rsidR="006D14B3" w:rsidRPr="003A55C4">
        <w:rPr>
          <w:noProof/>
        </w:rPr>
        <w:t xml:space="preserve"> Member State</w:t>
      </w:r>
      <w:r w:rsidR="008E4D5C" w:rsidRPr="003A55C4">
        <w:rPr>
          <w:noProof/>
        </w:rPr>
        <w:t xml:space="preserve"> </w:t>
      </w:r>
      <w:r w:rsidR="006D14B3" w:rsidRPr="003A55C4">
        <w:rPr>
          <w:noProof/>
        </w:rPr>
        <w:t xml:space="preserve">shall make available </w:t>
      </w:r>
      <w:r w:rsidR="004545DF" w:rsidRPr="003A55C4">
        <w:rPr>
          <w:noProof/>
        </w:rPr>
        <w:t>a</w:t>
      </w:r>
      <w:r w:rsidR="00340208" w:rsidRPr="003A55C4">
        <w:rPr>
          <w:noProof/>
        </w:rPr>
        <w:t xml:space="preserve">n </w:t>
      </w:r>
      <w:r w:rsidR="006D14B3" w:rsidRPr="003A55C4">
        <w:rPr>
          <w:noProof/>
        </w:rPr>
        <w:t>amount</w:t>
      </w:r>
      <w:r w:rsidR="002A795F" w:rsidRPr="003A55C4">
        <w:rPr>
          <w:noProof/>
        </w:rPr>
        <w:t xml:space="preserve"> </w:t>
      </w:r>
      <w:r w:rsidR="007441DA">
        <w:rPr>
          <w:noProof/>
        </w:rPr>
        <w:t>that</w:t>
      </w:r>
      <w:r w:rsidR="00340208" w:rsidRPr="003A55C4">
        <w:rPr>
          <w:noProof/>
        </w:rPr>
        <w:t xml:space="preserve"> is </w:t>
      </w:r>
      <w:r w:rsidR="002A795F" w:rsidRPr="003A55C4">
        <w:rPr>
          <w:noProof/>
        </w:rPr>
        <w:t xml:space="preserve">equal to </w:t>
      </w:r>
      <w:r w:rsidR="005C7B61">
        <w:rPr>
          <w:noProof/>
        </w:rPr>
        <w:t>75</w:t>
      </w:r>
      <w:r w:rsidR="007A5168" w:rsidRPr="003A55C4">
        <w:rPr>
          <w:noProof/>
        </w:rPr>
        <w:t>%</w:t>
      </w:r>
      <w:r w:rsidR="002A795F" w:rsidRPr="003A55C4">
        <w:rPr>
          <w:noProof/>
        </w:rPr>
        <w:t xml:space="preserve"> of th</w:t>
      </w:r>
      <w:r w:rsidR="009A2151" w:rsidRPr="003A55C4">
        <w:rPr>
          <w:noProof/>
        </w:rPr>
        <w:t>at</w:t>
      </w:r>
      <w:r w:rsidR="002A795F" w:rsidRPr="003A55C4">
        <w:rPr>
          <w:noProof/>
        </w:rPr>
        <w:t xml:space="preserve"> </w:t>
      </w:r>
      <w:r w:rsidR="00093BA1" w:rsidRPr="003A55C4">
        <w:rPr>
          <w:noProof/>
        </w:rPr>
        <w:t>gross national i</w:t>
      </w:r>
      <w:r w:rsidR="005F7441" w:rsidRPr="003A55C4">
        <w:rPr>
          <w:noProof/>
        </w:rPr>
        <w:t xml:space="preserve">ncome </w:t>
      </w:r>
      <w:r w:rsidR="002A795F" w:rsidRPr="003A55C4">
        <w:rPr>
          <w:noProof/>
        </w:rPr>
        <w:t>share</w:t>
      </w:r>
      <w:r w:rsidR="00FA612B">
        <w:rPr>
          <w:noProof/>
        </w:rPr>
        <w:t>,</w:t>
      </w:r>
      <w:r w:rsidR="002A795F" w:rsidRPr="003A55C4">
        <w:rPr>
          <w:noProof/>
        </w:rPr>
        <w:t xml:space="preserve"> multiplied by the total amount of revenue resulting from the application of </w:t>
      </w:r>
      <w:r w:rsidR="006618DF" w:rsidRPr="003A55C4">
        <w:rPr>
          <w:noProof/>
        </w:rPr>
        <w:t xml:space="preserve">paragraph </w:t>
      </w:r>
      <w:r w:rsidR="00C01C31" w:rsidRPr="003A55C4">
        <w:rPr>
          <w:noProof/>
        </w:rPr>
        <w:t>1</w:t>
      </w:r>
      <w:r w:rsidR="006618DF" w:rsidRPr="003A55C4">
        <w:rPr>
          <w:noProof/>
        </w:rPr>
        <w:t xml:space="preserve">, point </w:t>
      </w:r>
      <w:r w:rsidR="002A3D53" w:rsidRPr="003A55C4">
        <w:rPr>
          <w:noProof/>
        </w:rPr>
        <w:t>(</w:t>
      </w:r>
      <w:r w:rsidR="00C52E56" w:rsidRPr="003A55C4">
        <w:rPr>
          <w:noProof/>
        </w:rPr>
        <w:t>e</w:t>
      </w:r>
      <w:r w:rsidR="00C01C31" w:rsidRPr="003A55C4">
        <w:rPr>
          <w:noProof/>
        </w:rPr>
        <w:t>)</w:t>
      </w:r>
      <w:r w:rsidR="002A795F" w:rsidRPr="003A55C4">
        <w:rPr>
          <w:noProof/>
        </w:rPr>
        <w:t>.</w:t>
      </w:r>
      <w:r w:rsidR="006D14B3" w:rsidRPr="003A55C4">
        <w:rPr>
          <w:noProof/>
        </w:rPr>
        <w:t xml:space="preserve"> </w:t>
      </w:r>
    </w:p>
    <w:p w14:paraId="2EDEC14E" w14:textId="42180CA6" w:rsidR="002A795F" w:rsidRPr="003A55C4" w:rsidRDefault="0007655F" w:rsidP="0007655F">
      <w:pPr>
        <w:pStyle w:val="Point1"/>
        <w:rPr>
          <w:noProof/>
        </w:rPr>
      </w:pPr>
      <w:r w:rsidRPr="0007655F">
        <w:t>(b)</w:t>
      </w:r>
      <w:r w:rsidRPr="0007655F">
        <w:tab/>
      </w:r>
      <w:r w:rsidR="007441DA">
        <w:rPr>
          <w:noProof/>
        </w:rPr>
        <w:t>a</w:t>
      </w:r>
      <w:r w:rsidR="00340208" w:rsidRPr="003A55C4">
        <w:rPr>
          <w:noProof/>
        </w:rPr>
        <w:t xml:space="preserve"> Member State’s share in</w:t>
      </w:r>
      <w:r w:rsidR="002A795F" w:rsidRPr="003A55C4">
        <w:rPr>
          <w:noProof/>
        </w:rPr>
        <w:t xml:space="preserve"> </w:t>
      </w:r>
      <w:r w:rsidR="00095A2B" w:rsidRPr="003A55C4">
        <w:rPr>
          <w:noProof/>
        </w:rPr>
        <w:t>the</w:t>
      </w:r>
      <w:r w:rsidR="007441DA">
        <w:rPr>
          <w:noProof/>
        </w:rPr>
        <w:t xml:space="preserve"> </w:t>
      </w:r>
      <w:r w:rsidR="00095A2B" w:rsidRPr="003A55C4">
        <w:rPr>
          <w:noProof/>
        </w:rPr>
        <w:t xml:space="preserve">total amount of revenue resulting from the application of </w:t>
      </w:r>
      <w:r w:rsidR="006618DF" w:rsidRPr="003A55C4">
        <w:rPr>
          <w:noProof/>
        </w:rPr>
        <w:t xml:space="preserve">paragraph </w:t>
      </w:r>
      <w:r w:rsidR="00C01C31" w:rsidRPr="003A55C4">
        <w:rPr>
          <w:noProof/>
        </w:rPr>
        <w:t>1</w:t>
      </w:r>
      <w:r w:rsidR="006618DF" w:rsidRPr="003A55C4">
        <w:rPr>
          <w:noProof/>
        </w:rPr>
        <w:t xml:space="preserve">, point </w:t>
      </w:r>
      <w:r w:rsidR="00C01C31" w:rsidRPr="003A55C4">
        <w:rPr>
          <w:noProof/>
        </w:rPr>
        <w:t>(</w:t>
      </w:r>
      <w:r w:rsidR="00C52E56" w:rsidRPr="003A55C4">
        <w:rPr>
          <w:noProof/>
        </w:rPr>
        <w:t>e</w:t>
      </w:r>
      <w:r w:rsidR="00C01C31" w:rsidRPr="003A55C4">
        <w:rPr>
          <w:noProof/>
        </w:rPr>
        <w:t>)</w:t>
      </w:r>
      <w:r w:rsidR="006618DF" w:rsidRPr="003A55C4">
        <w:rPr>
          <w:noProof/>
        </w:rPr>
        <w:t>,</w:t>
      </w:r>
      <w:r w:rsidR="00095A2B" w:rsidRPr="003A55C4">
        <w:rPr>
          <w:noProof/>
        </w:rPr>
        <w:t xml:space="preserve"> </w:t>
      </w:r>
      <w:r w:rsidR="00C01C31" w:rsidRPr="003A55C4">
        <w:rPr>
          <w:noProof/>
        </w:rPr>
        <w:t>shall not be</w:t>
      </w:r>
      <w:r w:rsidR="006A5C85" w:rsidRPr="003A55C4">
        <w:rPr>
          <w:noProof/>
        </w:rPr>
        <w:t xml:space="preserve"> </w:t>
      </w:r>
      <w:r w:rsidR="004659F9" w:rsidRPr="003A55C4">
        <w:rPr>
          <w:noProof/>
        </w:rPr>
        <w:t>higher</w:t>
      </w:r>
      <w:r w:rsidR="002A795F" w:rsidRPr="003A55C4">
        <w:rPr>
          <w:noProof/>
        </w:rPr>
        <w:t xml:space="preserve"> than </w:t>
      </w:r>
      <w:r w:rsidR="005C7B61">
        <w:rPr>
          <w:noProof/>
        </w:rPr>
        <w:t>150</w:t>
      </w:r>
      <w:r w:rsidR="007A5168" w:rsidRPr="003A55C4">
        <w:rPr>
          <w:noProof/>
        </w:rPr>
        <w:t>%</w:t>
      </w:r>
      <w:r w:rsidR="002A795F" w:rsidRPr="003A55C4">
        <w:rPr>
          <w:noProof/>
        </w:rPr>
        <w:t xml:space="preserve"> of </w:t>
      </w:r>
      <w:r w:rsidR="007441DA">
        <w:rPr>
          <w:noProof/>
        </w:rPr>
        <w:t>that Member State’s</w:t>
      </w:r>
      <w:r w:rsidR="002A795F" w:rsidRPr="003A55C4">
        <w:rPr>
          <w:noProof/>
        </w:rPr>
        <w:t xml:space="preserve"> share </w:t>
      </w:r>
      <w:r w:rsidR="005F7D73" w:rsidRPr="003A55C4">
        <w:rPr>
          <w:noProof/>
        </w:rPr>
        <w:t xml:space="preserve">in the </w:t>
      </w:r>
      <w:r w:rsidR="006618DF" w:rsidRPr="003A55C4">
        <w:rPr>
          <w:noProof/>
        </w:rPr>
        <w:t>Union</w:t>
      </w:r>
      <w:r w:rsidR="005745F9" w:rsidRPr="003A55C4">
        <w:rPr>
          <w:noProof/>
        </w:rPr>
        <w:t xml:space="preserve"> </w:t>
      </w:r>
      <w:r w:rsidR="00093BA1" w:rsidRPr="003A55C4">
        <w:rPr>
          <w:noProof/>
        </w:rPr>
        <w:t>gross national i</w:t>
      </w:r>
      <w:r w:rsidR="005F7441" w:rsidRPr="003A55C4">
        <w:rPr>
          <w:noProof/>
        </w:rPr>
        <w:t>ncome</w:t>
      </w:r>
      <w:r w:rsidR="00C01C31" w:rsidRPr="003A55C4">
        <w:rPr>
          <w:noProof/>
        </w:rPr>
        <w:t xml:space="preserve"> </w:t>
      </w:r>
      <w:r w:rsidR="007441DA">
        <w:rPr>
          <w:noProof/>
        </w:rPr>
        <w:t>for</w:t>
      </w:r>
      <w:r w:rsidR="002A795F" w:rsidRPr="003A55C4">
        <w:rPr>
          <w:noProof/>
        </w:rPr>
        <w:t xml:space="preserve"> Member State</w:t>
      </w:r>
      <w:r w:rsidR="00710635" w:rsidRPr="003A55C4">
        <w:rPr>
          <w:noProof/>
        </w:rPr>
        <w:t>s</w:t>
      </w:r>
      <w:r w:rsidR="008E4D5C" w:rsidRPr="003A55C4">
        <w:rPr>
          <w:noProof/>
        </w:rPr>
        <w:t xml:space="preserve"> </w:t>
      </w:r>
      <w:r w:rsidR="00710635" w:rsidRPr="003A55C4">
        <w:rPr>
          <w:noProof/>
        </w:rPr>
        <w:t xml:space="preserve">with a </w:t>
      </w:r>
      <w:r w:rsidR="00093BA1" w:rsidRPr="003A55C4">
        <w:rPr>
          <w:noProof/>
        </w:rPr>
        <w:t>gross national i</w:t>
      </w:r>
      <w:r w:rsidR="005F7441" w:rsidRPr="003A55C4">
        <w:rPr>
          <w:noProof/>
        </w:rPr>
        <w:t>ncome</w:t>
      </w:r>
      <w:r w:rsidR="00710635" w:rsidRPr="003A55C4">
        <w:rPr>
          <w:noProof/>
        </w:rPr>
        <w:t xml:space="preserve"> per capita</w:t>
      </w:r>
      <w:r w:rsidR="00C52E56" w:rsidRPr="003A55C4">
        <w:rPr>
          <w:noProof/>
        </w:rPr>
        <w:t xml:space="preserve"> below </w:t>
      </w:r>
      <w:r w:rsidR="005C7B61">
        <w:rPr>
          <w:noProof/>
        </w:rPr>
        <w:t>90</w:t>
      </w:r>
      <w:r w:rsidR="00C52E56" w:rsidRPr="003A55C4">
        <w:rPr>
          <w:noProof/>
        </w:rPr>
        <w:t>% of the Union’s average, measured</w:t>
      </w:r>
      <w:r w:rsidR="00710635" w:rsidRPr="003A55C4">
        <w:rPr>
          <w:noProof/>
        </w:rPr>
        <w:t xml:space="preserve"> in pu</w:t>
      </w:r>
      <w:r w:rsidR="007A5168" w:rsidRPr="003A55C4">
        <w:rPr>
          <w:noProof/>
        </w:rPr>
        <w:t>rchasing power standard</w:t>
      </w:r>
      <w:r w:rsidR="00C52E56" w:rsidRPr="003A55C4">
        <w:rPr>
          <w:noProof/>
        </w:rPr>
        <w:t xml:space="preserve"> and calculated on the basis of </w:t>
      </w:r>
      <w:r w:rsidR="007441DA">
        <w:rPr>
          <w:noProof/>
        </w:rPr>
        <w:t xml:space="preserve">the </w:t>
      </w:r>
      <w:r w:rsidR="00C52E56" w:rsidRPr="003A55C4">
        <w:rPr>
          <w:noProof/>
        </w:rPr>
        <w:t xml:space="preserve">figures for 2020, for </w:t>
      </w:r>
      <w:r w:rsidR="00E267DD" w:rsidRPr="003A55C4">
        <w:rPr>
          <w:noProof/>
        </w:rPr>
        <w:t xml:space="preserve">the period </w:t>
      </w:r>
      <w:r w:rsidR="00303D3E">
        <w:rPr>
          <w:noProof/>
        </w:rPr>
        <w:t xml:space="preserve">from </w:t>
      </w:r>
      <w:r w:rsidR="00E267DD" w:rsidRPr="003A55C4">
        <w:rPr>
          <w:noProof/>
        </w:rPr>
        <w:t>2023</w:t>
      </w:r>
      <w:r w:rsidR="00303D3E">
        <w:rPr>
          <w:noProof/>
        </w:rPr>
        <w:t xml:space="preserve"> to</w:t>
      </w:r>
      <w:r w:rsidR="00FA612B">
        <w:rPr>
          <w:noProof/>
        </w:rPr>
        <w:t xml:space="preserve"> </w:t>
      </w:r>
      <w:r w:rsidR="00E267DD" w:rsidRPr="003A55C4">
        <w:rPr>
          <w:noProof/>
        </w:rPr>
        <w:t>2027</w:t>
      </w:r>
      <w:r w:rsidR="006618DF" w:rsidRPr="003A55C4">
        <w:rPr>
          <w:noProof/>
        </w:rPr>
        <w:t>,</w:t>
      </w:r>
      <w:r w:rsidR="00710635" w:rsidRPr="003A55C4">
        <w:rPr>
          <w:noProof/>
        </w:rPr>
        <w:t xml:space="preserve"> </w:t>
      </w:r>
      <w:r w:rsidR="00C52E56" w:rsidRPr="003A55C4">
        <w:rPr>
          <w:noProof/>
        </w:rPr>
        <w:t xml:space="preserve">and </w:t>
      </w:r>
      <w:r w:rsidR="007441DA">
        <w:rPr>
          <w:noProof/>
        </w:rPr>
        <w:t xml:space="preserve">on the basis of the </w:t>
      </w:r>
      <w:r w:rsidR="00C52E56" w:rsidRPr="003A55C4">
        <w:rPr>
          <w:noProof/>
        </w:rPr>
        <w:t xml:space="preserve">figures for </w:t>
      </w:r>
      <w:r w:rsidR="00710635" w:rsidRPr="003A55C4">
        <w:rPr>
          <w:noProof/>
        </w:rPr>
        <w:t>202</w:t>
      </w:r>
      <w:r w:rsidR="00545B84" w:rsidRPr="003A55C4">
        <w:rPr>
          <w:noProof/>
        </w:rPr>
        <w:t>5</w:t>
      </w:r>
      <w:r w:rsidR="00C52E56" w:rsidRPr="003A55C4">
        <w:rPr>
          <w:noProof/>
        </w:rPr>
        <w:t>,</w:t>
      </w:r>
      <w:r w:rsidR="00710635" w:rsidRPr="003A55C4">
        <w:rPr>
          <w:noProof/>
        </w:rPr>
        <w:t xml:space="preserve"> </w:t>
      </w:r>
      <w:r w:rsidR="00C52E56" w:rsidRPr="003A55C4">
        <w:rPr>
          <w:noProof/>
        </w:rPr>
        <w:t xml:space="preserve">for the period </w:t>
      </w:r>
      <w:r w:rsidR="00303D3E">
        <w:rPr>
          <w:noProof/>
        </w:rPr>
        <w:t xml:space="preserve">from </w:t>
      </w:r>
      <w:r w:rsidR="00C52E56" w:rsidRPr="003A55C4">
        <w:rPr>
          <w:noProof/>
        </w:rPr>
        <w:t xml:space="preserve">2028 </w:t>
      </w:r>
      <w:r w:rsidR="00303D3E">
        <w:rPr>
          <w:noProof/>
        </w:rPr>
        <w:t>to</w:t>
      </w:r>
      <w:r w:rsidR="00C52E56" w:rsidRPr="003A55C4">
        <w:rPr>
          <w:noProof/>
        </w:rPr>
        <w:t xml:space="preserve"> 2030. </w:t>
      </w:r>
    </w:p>
    <w:p w14:paraId="32AA871B" w14:textId="3131B94C" w:rsidR="002A795F" w:rsidRPr="003A55C4" w:rsidRDefault="002A795F" w:rsidP="009D4233">
      <w:pPr>
        <w:pStyle w:val="ListParagraph"/>
        <w:ind w:left="502"/>
        <w:rPr>
          <w:noProof/>
        </w:rPr>
      </w:pPr>
    </w:p>
    <w:p w14:paraId="530DF25F" w14:textId="77777777" w:rsidR="00603FBA" w:rsidRPr="003A55C4" w:rsidRDefault="00093BA1" w:rsidP="00AF2DFB">
      <w:pPr>
        <w:rPr>
          <w:noProof/>
        </w:rPr>
      </w:pPr>
      <w:r w:rsidRPr="003A55C4">
        <w:rPr>
          <w:noProof/>
        </w:rPr>
        <w:t>Gross national i</w:t>
      </w:r>
      <w:r w:rsidR="005F7441" w:rsidRPr="003A55C4">
        <w:rPr>
          <w:noProof/>
        </w:rPr>
        <w:t>ncome</w:t>
      </w:r>
      <w:r w:rsidR="00AF2DFB" w:rsidRPr="003A55C4">
        <w:rPr>
          <w:noProof/>
        </w:rPr>
        <w:t xml:space="preserve"> as </w:t>
      </w:r>
      <w:r w:rsidR="007441DA">
        <w:rPr>
          <w:noProof/>
        </w:rPr>
        <w:t>referred to</w:t>
      </w:r>
      <w:r w:rsidR="00AF2DFB" w:rsidRPr="003A55C4">
        <w:rPr>
          <w:noProof/>
        </w:rPr>
        <w:t xml:space="preserve"> in points (a) and (b</w:t>
      </w:r>
      <w:r w:rsidR="000C3BA1" w:rsidRPr="003A55C4">
        <w:rPr>
          <w:noProof/>
        </w:rPr>
        <w:t xml:space="preserve">) </w:t>
      </w:r>
      <w:r w:rsidR="007441DA">
        <w:rPr>
          <w:noProof/>
        </w:rPr>
        <w:t xml:space="preserve">shall mean the </w:t>
      </w:r>
      <w:r w:rsidRPr="003A55C4">
        <w:rPr>
          <w:noProof/>
        </w:rPr>
        <w:t>gross national i</w:t>
      </w:r>
      <w:r w:rsidR="005F7441" w:rsidRPr="003A55C4">
        <w:rPr>
          <w:noProof/>
        </w:rPr>
        <w:t>ncome</w:t>
      </w:r>
      <w:r w:rsidR="000C3BA1" w:rsidRPr="003A55C4">
        <w:rPr>
          <w:noProof/>
        </w:rPr>
        <w:t xml:space="preserve"> </w:t>
      </w:r>
      <w:r w:rsidR="005F7D73" w:rsidRPr="003A55C4">
        <w:rPr>
          <w:noProof/>
        </w:rPr>
        <w:t>at market prices</w:t>
      </w:r>
      <w:r w:rsidR="000C3BA1" w:rsidRPr="003A55C4">
        <w:rPr>
          <w:noProof/>
        </w:rPr>
        <w:t xml:space="preserve"> </w:t>
      </w:r>
      <w:r w:rsidR="007441DA">
        <w:rPr>
          <w:noProof/>
        </w:rPr>
        <w:t>as referred to in Article 1(1) of</w:t>
      </w:r>
      <w:r w:rsidR="006618DF" w:rsidRPr="003A55C4">
        <w:rPr>
          <w:noProof/>
        </w:rPr>
        <w:t xml:space="preserve"> </w:t>
      </w:r>
      <w:r w:rsidR="000C3BA1" w:rsidRPr="003A55C4">
        <w:rPr>
          <w:noProof/>
        </w:rPr>
        <w:t xml:space="preserve">Regulation </w:t>
      </w:r>
      <w:r w:rsidR="004E7366" w:rsidRPr="003A55C4">
        <w:rPr>
          <w:noProof/>
        </w:rPr>
        <w:t>(EU)</w:t>
      </w:r>
      <w:r w:rsidR="000C3BA1" w:rsidRPr="003A55C4">
        <w:rPr>
          <w:noProof/>
        </w:rPr>
        <w:t xml:space="preserve"> 2019/516</w:t>
      </w:r>
      <w:r w:rsidR="007441DA">
        <w:rPr>
          <w:noProof/>
        </w:rPr>
        <w:t xml:space="preserve"> of the European Parliament and of the Council</w:t>
      </w:r>
      <w:r w:rsidR="007441DA">
        <w:rPr>
          <w:rStyle w:val="FootnoteReference"/>
          <w:noProof/>
        </w:rPr>
        <w:footnoteReference w:customMarkFollows="1" w:id="21"/>
        <w:t>5</w:t>
      </w:r>
      <w:r w:rsidR="005B6D98" w:rsidRPr="003A55C4">
        <w:rPr>
          <w:noProof/>
        </w:rPr>
        <w:t>.</w:t>
      </w:r>
      <w:r w:rsidR="00AF2DFB" w:rsidRPr="003A55C4">
        <w:rPr>
          <w:noProof/>
        </w:rPr>
        <w:t>”</w:t>
      </w:r>
    </w:p>
    <w:p w14:paraId="5917FF00" w14:textId="77777777" w:rsidR="00DF010D" w:rsidRDefault="00DF010D" w:rsidP="00934157">
      <w:pPr>
        <w:pStyle w:val="Titrearticle"/>
        <w:keepNext w:val="0"/>
        <w:rPr>
          <w:noProof/>
        </w:rPr>
      </w:pPr>
      <w:r w:rsidRPr="003A55C4">
        <w:rPr>
          <w:noProof/>
        </w:rPr>
        <w:t xml:space="preserve">Article </w:t>
      </w:r>
      <w:r w:rsidR="00490BB3" w:rsidRPr="003A55C4">
        <w:rPr>
          <w:noProof/>
        </w:rPr>
        <w:t>2</w:t>
      </w:r>
    </w:p>
    <w:p w14:paraId="089E90B3" w14:textId="77777777" w:rsidR="00852D35" w:rsidRPr="006D7F2C" w:rsidRDefault="00852D35" w:rsidP="00D042CC">
      <w:pPr>
        <w:jc w:val="center"/>
        <w:rPr>
          <w:b/>
          <w:noProof/>
        </w:rPr>
      </w:pPr>
      <w:r w:rsidRPr="006D7F2C">
        <w:rPr>
          <w:b/>
          <w:noProof/>
        </w:rPr>
        <w:t>Entry into force</w:t>
      </w:r>
      <w:r w:rsidR="00443C82">
        <w:rPr>
          <w:b/>
          <w:noProof/>
        </w:rPr>
        <w:t xml:space="preserve"> and application</w:t>
      </w:r>
    </w:p>
    <w:p w14:paraId="4621D382" w14:textId="77777777" w:rsidR="00490BB3" w:rsidRPr="003A55C4" w:rsidRDefault="007A6916" w:rsidP="00143EB1">
      <w:pPr>
        <w:rPr>
          <w:noProof/>
        </w:rPr>
      </w:pPr>
      <w:r w:rsidRPr="003A55C4">
        <w:rPr>
          <w:noProof/>
        </w:rPr>
        <w:t xml:space="preserve">The Secretary-General of the Council shall notify the </w:t>
      </w:r>
      <w:r w:rsidR="00490BB3" w:rsidRPr="003A55C4">
        <w:rPr>
          <w:noProof/>
        </w:rPr>
        <w:t>Member States</w:t>
      </w:r>
      <w:r w:rsidRPr="003A55C4">
        <w:rPr>
          <w:noProof/>
        </w:rPr>
        <w:t xml:space="preserve"> of this Decision.</w:t>
      </w:r>
    </w:p>
    <w:p w14:paraId="1ABBE9B6" w14:textId="77777777" w:rsidR="00490BB3" w:rsidRPr="003A55C4" w:rsidRDefault="00490BB3" w:rsidP="00490BB3">
      <w:pPr>
        <w:rPr>
          <w:noProof/>
        </w:rPr>
      </w:pPr>
      <w:r w:rsidRPr="003A55C4">
        <w:rPr>
          <w:noProof/>
        </w:rPr>
        <w:t xml:space="preserve">Member States shall notify the Secretary-General of the Council without delay of the completion of the procedures for the </w:t>
      </w:r>
      <w:r w:rsidR="00852D35">
        <w:rPr>
          <w:noProof/>
        </w:rPr>
        <w:t>approval</w:t>
      </w:r>
      <w:r w:rsidRPr="003A55C4">
        <w:rPr>
          <w:noProof/>
        </w:rPr>
        <w:t xml:space="preserve"> of this Decision in accordance with their respective constitutional requirements.</w:t>
      </w:r>
    </w:p>
    <w:p w14:paraId="3601A989" w14:textId="77777777" w:rsidR="00490BB3" w:rsidRPr="003A55C4" w:rsidRDefault="00490BB3" w:rsidP="00490BB3">
      <w:pPr>
        <w:rPr>
          <w:noProof/>
        </w:rPr>
      </w:pPr>
      <w:r w:rsidRPr="003A55C4">
        <w:rPr>
          <w:noProof/>
        </w:rPr>
        <w:t xml:space="preserve">This Decision shall enter into force on the first day of the </w:t>
      </w:r>
      <w:r w:rsidR="007A6916" w:rsidRPr="003A55C4">
        <w:rPr>
          <w:noProof/>
        </w:rPr>
        <w:t xml:space="preserve">first </w:t>
      </w:r>
      <w:r w:rsidRPr="003A55C4">
        <w:rPr>
          <w:noProof/>
        </w:rPr>
        <w:t>month following receipt of the last of the notifications referred to in the second paragraph.</w:t>
      </w:r>
    </w:p>
    <w:p w14:paraId="78D1AC02" w14:textId="77777777" w:rsidR="004F24E2" w:rsidRPr="003A55C4" w:rsidRDefault="004F24E2">
      <w:pPr>
        <w:rPr>
          <w:noProof/>
        </w:rPr>
      </w:pPr>
      <w:r w:rsidRPr="003A55C4">
        <w:rPr>
          <w:noProof/>
        </w:rPr>
        <w:t xml:space="preserve">Article </w:t>
      </w:r>
      <w:r w:rsidR="00565EED" w:rsidRPr="003A55C4">
        <w:rPr>
          <w:noProof/>
        </w:rPr>
        <w:t>1</w:t>
      </w:r>
      <w:r w:rsidRPr="003A55C4">
        <w:rPr>
          <w:noProof/>
        </w:rPr>
        <w:t>(1)</w:t>
      </w:r>
      <w:r w:rsidR="00373B2E" w:rsidRPr="003A55C4">
        <w:rPr>
          <w:noProof/>
        </w:rPr>
        <w:t xml:space="preserve">, point </w:t>
      </w:r>
      <w:r w:rsidRPr="003A55C4">
        <w:rPr>
          <w:noProof/>
        </w:rPr>
        <w:t>(</w:t>
      </w:r>
      <w:r w:rsidR="00565EED" w:rsidRPr="003A55C4">
        <w:rPr>
          <w:noProof/>
        </w:rPr>
        <w:t>a</w:t>
      </w:r>
      <w:r w:rsidRPr="003A55C4">
        <w:rPr>
          <w:noProof/>
        </w:rPr>
        <w:t>)</w:t>
      </w:r>
      <w:r w:rsidR="00373B2E" w:rsidRPr="003A55C4">
        <w:rPr>
          <w:noProof/>
        </w:rPr>
        <w:t>,</w:t>
      </w:r>
      <w:r w:rsidRPr="003A55C4">
        <w:rPr>
          <w:noProof/>
        </w:rPr>
        <w:t xml:space="preserve"> shall apply from 1 January </w:t>
      </w:r>
      <w:r w:rsidR="61384891">
        <w:rPr>
          <w:noProof/>
        </w:rPr>
        <w:t xml:space="preserve">2023 </w:t>
      </w:r>
      <w:r w:rsidR="00443C82">
        <w:rPr>
          <w:noProof/>
        </w:rPr>
        <w:t>for the</w:t>
      </w:r>
      <w:r w:rsidRPr="003A55C4">
        <w:rPr>
          <w:noProof/>
        </w:rPr>
        <w:t xml:space="preserve"> revenues pursuant to Article 3d and 10 of Directive 2003/87/EC</w:t>
      </w:r>
      <w:r w:rsidR="0008482D" w:rsidRPr="003A55C4">
        <w:rPr>
          <w:noProof/>
        </w:rPr>
        <w:t xml:space="preserve">, and </w:t>
      </w:r>
      <w:r w:rsidRPr="003A55C4">
        <w:rPr>
          <w:noProof/>
        </w:rPr>
        <w:t xml:space="preserve">from the day </w:t>
      </w:r>
      <w:r w:rsidR="000F4CC5" w:rsidRPr="003A55C4">
        <w:rPr>
          <w:noProof/>
        </w:rPr>
        <w:t xml:space="preserve">following </w:t>
      </w:r>
      <w:r w:rsidRPr="003A55C4">
        <w:rPr>
          <w:noProof/>
        </w:rPr>
        <w:t xml:space="preserve">the last day of the period for transposing Directive </w:t>
      </w:r>
      <w:r w:rsidR="00852D35">
        <w:rPr>
          <w:noProof/>
        </w:rPr>
        <w:t>(EU) [XXX]</w:t>
      </w:r>
      <w:r w:rsidR="00443C82" w:rsidRPr="00443C82">
        <w:rPr>
          <w:noProof/>
        </w:rPr>
        <w:t xml:space="preserve"> </w:t>
      </w:r>
      <w:r w:rsidR="00443C82">
        <w:rPr>
          <w:noProof/>
        </w:rPr>
        <w:t>of the European Parliament and of the Council</w:t>
      </w:r>
      <w:r w:rsidR="00443C82">
        <w:rPr>
          <w:rStyle w:val="FootnoteReference"/>
          <w:noProof/>
        </w:rPr>
        <w:footnoteReference w:customMarkFollows="1" w:id="22"/>
        <w:t>6</w:t>
      </w:r>
      <w:r w:rsidR="00F405BC" w:rsidRPr="003A55C4">
        <w:rPr>
          <w:noProof/>
        </w:rPr>
        <w:t xml:space="preserve"> </w:t>
      </w:r>
      <w:r w:rsidRPr="003A55C4">
        <w:rPr>
          <w:noProof/>
        </w:rPr>
        <w:t xml:space="preserve">amending Directive 2003/87/EC </w:t>
      </w:r>
      <w:r w:rsidR="00443C82">
        <w:rPr>
          <w:noProof/>
        </w:rPr>
        <w:t xml:space="preserve">for the </w:t>
      </w:r>
      <w:r w:rsidRPr="003A55C4">
        <w:rPr>
          <w:noProof/>
        </w:rPr>
        <w:t xml:space="preserve">revenues pursuant to Article </w:t>
      </w:r>
      <w:r w:rsidR="00AD3829" w:rsidRPr="003A55C4">
        <w:rPr>
          <w:noProof/>
        </w:rPr>
        <w:t xml:space="preserve">30d </w:t>
      </w:r>
      <w:r w:rsidRPr="003A55C4">
        <w:rPr>
          <w:noProof/>
        </w:rPr>
        <w:t xml:space="preserve">of Directive 2003/87/EC.  </w:t>
      </w:r>
    </w:p>
    <w:p w14:paraId="1EC0AE42" w14:textId="77777777" w:rsidR="00307641" w:rsidRPr="003A55C4" w:rsidRDefault="004F24E2" w:rsidP="007B513E">
      <w:pPr>
        <w:rPr>
          <w:noProof/>
        </w:rPr>
      </w:pPr>
      <w:r w:rsidRPr="003A55C4">
        <w:rPr>
          <w:noProof/>
        </w:rPr>
        <w:t xml:space="preserve">Article </w:t>
      </w:r>
      <w:r w:rsidR="00DC3D96" w:rsidRPr="003A55C4">
        <w:rPr>
          <w:noProof/>
        </w:rPr>
        <w:t>1</w:t>
      </w:r>
      <w:r w:rsidRPr="003A55C4">
        <w:rPr>
          <w:noProof/>
        </w:rPr>
        <w:t>(1)</w:t>
      </w:r>
      <w:r w:rsidR="00E85BBF" w:rsidRPr="003A55C4">
        <w:rPr>
          <w:noProof/>
        </w:rPr>
        <w:t xml:space="preserve">, point </w:t>
      </w:r>
      <w:r w:rsidRPr="003A55C4">
        <w:rPr>
          <w:noProof/>
        </w:rPr>
        <w:t>(</w:t>
      </w:r>
      <w:r w:rsidR="00DC3D96" w:rsidRPr="003A55C4">
        <w:rPr>
          <w:noProof/>
        </w:rPr>
        <w:t>b</w:t>
      </w:r>
      <w:r w:rsidRPr="003A55C4">
        <w:rPr>
          <w:noProof/>
        </w:rPr>
        <w:t>)</w:t>
      </w:r>
      <w:r w:rsidR="00E85BBF" w:rsidRPr="003A55C4">
        <w:rPr>
          <w:noProof/>
        </w:rPr>
        <w:t>,</w:t>
      </w:r>
      <w:r w:rsidRPr="003A55C4">
        <w:rPr>
          <w:noProof/>
        </w:rPr>
        <w:t xml:space="preserve"> shall apply from the </w:t>
      </w:r>
      <w:r w:rsidR="00443C82">
        <w:rPr>
          <w:noProof/>
        </w:rPr>
        <w:t>date</w:t>
      </w:r>
      <w:r w:rsidR="00443C82" w:rsidRPr="003A55C4">
        <w:rPr>
          <w:noProof/>
        </w:rPr>
        <w:t xml:space="preserve"> </w:t>
      </w:r>
      <w:r w:rsidR="00443C82">
        <w:rPr>
          <w:noProof/>
        </w:rPr>
        <w:t>of</w:t>
      </w:r>
      <w:r w:rsidRPr="003A55C4">
        <w:rPr>
          <w:noProof/>
        </w:rPr>
        <w:t xml:space="preserve"> </w:t>
      </w:r>
      <w:r w:rsidR="00745746" w:rsidRPr="003A55C4">
        <w:rPr>
          <w:noProof/>
        </w:rPr>
        <w:t>application</w:t>
      </w:r>
      <w:r w:rsidRPr="003A55C4">
        <w:rPr>
          <w:noProof/>
        </w:rPr>
        <w:t xml:space="preserve"> of Regulation </w:t>
      </w:r>
      <w:r w:rsidR="00852D35">
        <w:rPr>
          <w:noProof/>
        </w:rPr>
        <w:t>(EU) [XXX]</w:t>
      </w:r>
      <w:r w:rsidR="000274BA" w:rsidRPr="003A55C4" w:rsidDel="000274BA">
        <w:rPr>
          <w:noProof/>
        </w:rPr>
        <w:t xml:space="preserve"> </w:t>
      </w:r>
      <w:r w:rsidR="001B0F51">
        <w:rPr>
          <w:noProof/>
        </w:rPr>
        <w:t>establishing a carbon border adjustment m</w:t>
      </w:r>
      <w:r w:rsidRPr="003A55C4">
        <w:rPr>
          <w:noProof/>
        </w:rPr>
        <w:t xml:space="preserve">echanism. </w:t>
      </w:r>
    </w:p>
    <w:p w14:paraId="60E9D23F" w14:textId="77777777" w:rsidR="0078484F" w:rsidRDefault="005B2B0E" w:rsidP="005B2B0E">
      <w:pPr>
        <w:rPr>
          <w:noProof/>
        </w:rPr>
      </w:pPr>
      <w:r w:rsidRPr="003A55C4">
        <w:rPr>
          <w:noProof/>
        </w:rPr>
        <w:t>Article 1(1), point (c), shall apply</w:t>
      </w:r>
      <w:r w:rsidR="007422BB" w:rsidRPr="003A55C4">
        <w:rPr>
          <w:noProof/>
        </w:rPr>
        <w:t xml:space="preserve"> </w:t>
      </w:r>
      <w:r w:rsidR="00FA4DD6" w:rsidRPr="00FA4DD6">
        <w:rPr>
          <w:noProof/>
        </w:rPr>
        <w:t xml:space="preserve">from </w:t>
      </w:r>
    </w:p>
    <w:p w14:paraId="0533A48A" w14:textId="77777777" w:rsidR="0078484F" w:rsidRDefault="00FA4DD6" w:rsidP="005B2B0E">
      <w:pPr>
        <w:rPr>
          <w:noProof/>
        </w:rPr>
      </w:pPr>
      <w:r w:rsidRPr="00FA4DD6">
        <w:rPr>
          <w:noProof/>
        </w:rPr>
        <w:t xml:space="preserve">the first day of the date of application of the [Directive </w:t>
      </w:r>
      <w:r w:rsidR="00DC0969" w:rsidRPr="00DC0969">
        <w:rPr>
          <w:noProof/>
        </w:rPr>
        <w:t>on implementation of the global agreement on re-allocation of taxing rights</w:t>
      </w:r>
      <w:r w:rsidRPr="00FA4DD6">
        <w:rPr>
          <w:noProof/>
        </w:rPr>
        <w:t xml:space="preserve">] or </w:t>
      </w:r>
    </w:p>
    <w:p w14:paraId="293BF9F5" w14:textId="77777777" w:rsidR="005B2B0E" w:rsidRPr="003A55C4" w:rsidRDefault="0078484F" w:rsidP="007B513E">
      <w:pPr>
        <w:rPr>
          <w:noProof/>
        </w:rPr>
      </w:pPr>
      <w:r w:rsidRPr="00FA4DD6">
        <w:rPr>
          <w:noProof/>
        </w:rPr>
        <w:t xml:space="preserve">the day of the entry into force and effect of the </w:t>
      </w:r>
      <w:r w:rsidR="00741757">
        <w:rPr>
          <w:noProof/>
        </w:rPr>
        <w:t>M</w:t>
      </w:r>
      <w:r w:rsidRPr="00FA4DD6">
        <w:rPr>
          <w:noProof/>
        </w:rPr>
        <w:t xml:space="preserve">ultilateral </w:t>
      </w:r>
      <w:r w:rsidR="00741757">
        <w:rPr>
          <w:noProof/>
        </w:rPr>
        <w:t>C</w:t>
      </w:r>
      <w:r w:rsidRPr="00FA4DD6">
        <w:rPr>
          <w:noProof/>
        </w:rPr>
        <w:t>onvention</w:t>
      </w:r>
      <w:r w:rsidRPr="00C54657">
        <w:rPr>
          <w:noProof/>
        </w:rPr>
        <w:t>,</w:t>
      </w:r>
      <w:r w:rsidRPr="00FA4DD6">
        <w:rPr>
          <w:noProof/>
        </w:rPr>
        <w:t xml:space="preserve"> whichever is the later.</w:t>
      </w:r>
    </w:p>
    <w:p w14:paraId="7CF0EBD7" w14:textId="77777777" w:rsidR="00786FDC" w:rsidRDefault="00786FDC" w:rsidP="00786FDC">
      <w:pPr>
        <w:pStyle w:val="Titrearticle"/>
        <w:keepNext w:val="0"/>
        <w:rPr>
          <w:noProof/>
        </w:rPr>
      </w:pPr>
      <w:r w:rsidRPr="003A55C4">
        <w:rPr>
          <w:noProof/>
        </w:rPr>
        <w:t>Article 3</w:t>
      </w:r>
    </w:p>
    <w:p w14:paraId="41948E04" w14:textId="77777777" w:rsidR="00852D35" w:rsidRPr="006D7F2C" w:rsidRDefault="00852D35" w:rsidP="00852D35">
      <w:pPr>
        <w:jc w:val="center"/>
        <w:rPr>
          <w:b/>
          <w:noProof/>
        </w:rPr>
      </w:pPr>
      <w:r w:rsidRPr="006D7F2C">
        <w:rPr>
          <w:b/>
          <w:noProof/>
        </w:rPr>
        <w:t>Addressees</w:t>
      </w:r>
    </w:p>
    <w:p w14:paraId="7B19137B" w14:textId="77777777" w:rsidR="00786FDC" w:rsidRPr="003A55C4" w:rsidRDefault="00786FDC" w:rsidP="00786FDC">
      <w:pPr>
        <w:rPr>
          <w:noProof/>
        </w:rPr>
      </w:pPr>
      <w:r w:rsidRPr="003A55C4">
        <w:rPr>
          <w:noProof/>
        </w:rPr>
        <w:t>This Decision is addressed to the Member States.</w:t>
      </w:r>
    </w:p>
    <w:p w14:paraId="0C0D4255" w14:textId="204530C5" w:rsidR="00786FDC" w:rsidRPr="003A55C4" w:rsidRDefault="002E21D1" w:rsidP="001F374E">
      <w:pPr>
        <w:pStyle w:val="Fait"/>
        <w:rPr>
          <w:noProof/>
        </w:rPr>
      </w:pPr>
      <w:r w:rsidRPr="002E21D1">
        <w:t>Done at Brussels,</w:t>
      </w:r>
    </w:p>
    <w:p w14:paraId="73B6790A" w14:textId="77777777" w:rsidR="00786FDC" w:rsidRPr="003A55C4" w:rsidRDefault="00786FDC" w:rsidP="001F374E">
      <w:pPr>
        <w:pStyle w:val="Institutionquisigne"/>
        <w:rPr>
          <w:noProof/>
        </w:rPr>
      </w:pPr>
      <w:r w:rsidRPr="003A55C4">
        <w:rPr>
          <w:noProof/>
        </w:rPr>
        <w:tab/>
        <w:t>For the Council</w:t>
      </w:r>
    </w:p>
    <w:p w14:paraId="3A4E5D62" w14:textId="77777777" w:rsidR="00786FDC" w:rsidRPr="003B0272" w:rsidRDefault="00786FDC" w:rsidP="00786FDC">
      <w:pPr>
        <w:pStyle w:val="Personnequisigne"/>
        <w:rPr>
          <w:noProof/>
        </w:rPr>
      </w:pPr>
      <w:r w:rsidRPr="003A55C4">
        <w:rPr>
          <w:noProof/>
        </w:rPr>
        <w:tab/>
        <w:t>The President</w:t>
      </w:r>
    </w:p>
    <w:sectPr w:rsidR="00786FDC" w:rsidRPr="003B0272" w:rsidSect="00A1638D">
      <w:footerReference w:type="default" r:id="rId17"/>
      <w:footerReference w:type="first" r:id="rId1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CDC8" w14:textId="77777777" w:rsidR="00DD741D" w:rsidRDefault="00DD741D" w:rsidP="00DF010D">
      <w:pPr>
        <w:spacing w:before="0" w:after="0"/>
      </w:pPr>
      <w:r>
        <w:separator/>
      </w:r>
    </w:p>
  </w:endnote>
  <w:endnote w:type="continuationSeparator" w:id="0">
    <w:p w14:paraId="1178D581" w14:textId="77777777" w:rsidR="00DD741D" w:rsidRDefault="00DD741D" w:rsidP="00DF010D">
      <w:pPr>
        <w:spacing w:before="0" w:after="0"/>
      </w:pPr>
      <w:r>
        <w:continuationSeparator/>
      </w:r>
    </w:p>
  </w:endnote>
  <w:endnote w:type="continuationNotice" w:id="1">
    <w:p w14:paraId="12DB7470" w14:textId="77777777" w:rsidR="00DD741D" w:rsidRDefault="00DD7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D96D" w14:textId="4103161A" w:rsidR="00B24726" w:rsidRPr="00A1638D" w:rsidRDefault="00A1638D" w:rsidP="00A1638D">
    <w:pPr>
      <w:pStyle w:val="Footer"/>
      <w:rPr>
        <w:rFonts w:ascii="Arial" w:hAnsi="Arial" w:cs="Arial"/>
        <w:b/>
        <w:sz w:val="48"/>
      </w:rPr>
    </w:pPr>
    <w:r w:rsidRPr="00A1638D">
      <w:rPr>
        <w:rFonts w:ascii="Arial" w:hAnsi="Arial" w:cs="Arial"/>
        <w:b/>
        <w:sz w:val="48"/>
      </w:rPr>
      <w:t>EN</w:t>
    </w:r>
    <w:r w:rsidRPr="00A1638D">
      <w:rPr>
        <w:rFonts w:ascii="Arial" w:hAnsi="Arial" w:cs="Arial"/>
        <w:b/>
        <w:sz w:val="48"/>
      </w:rPr>
      <w:tab/>
    </w:r>
    <w:r w:rsidRPr="00A1638D">
      <w:rPr>
        <w:rFonts w:ascii="Arial" w:hAnsi="Arial" w:cs="Arial"/>
        <w:b/>
        <w:sz w:val="48"/>
      </w:rPr>
      <w:tab/>
    </w:r>
    <w:r w:rsidRPr="00A1638D">
      <w:tab/>
    </w:r>
    <w:r w:rsidRPr="00A1638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36A9" w14:textId="723596F4" w:rsidR="00A1638D" w:rsidRPr="00A1638D" w:rsidRDefault="00A1638D" w:rsidP="00A1638D">
    <w:pPr>
      <w:pStyle w:val="Footer"/>
      <w:rPr>
        <w:rFonts w:ascii="Arial" w:hAnsi="Arial" w:cs="Arial"/>
        <w:b/>
        <w:sz w:val="48"/>
      </w:rPr>
    </w:pPr>
    <w:r w:rsidRPr="00A1638D">
      <w:rPr>
        <w:rFonts w:ascii="Arial" w:hAnsi="Arial" w:cs="Arial"/>
        <w:b/>
        <w:sz w:val="48"/>
      </w:rPr>
      <w:t>EN</w:t>
    </w:r>
    <w:r w:rsidRPr="00A1638D">
      <w:rPr>
        <w:rFonts w:ascii="Arial" w:hAnsi="Arial" w:cs="Arial"/>
        <w:b/>
        <w:sz w:val="48"/>
      </w:rPr>
      <w:tab/>
    </w:r>
    <w:r>
      <w:fldChar w:fldCharType="begin"/>
    </w:r>
    <w:r>
      <w:instrText xml:space="preserve"> PAGE  \* MERGEFORMAT </w:instrText>
    </w:r>
    <w:r>
      <w:fldChar w:fldCharType="separate"/>
    </w:r>
    <w:r w:rsidR="001F374E">
      <w:rPr>
        <w:noProof/>
      </w:rPr>
      <w:t>8</w:t>
    </w:r>
    <w:r>
      <w:fldChar w:fldCharType="end"/>
    </w:r>
    <w:r>
      <w:tab/>
    </w:r>
    <w:r w:rsidRPr="00A1638D">
      <w:tab/>
    </w:r>
    <w:r w:rsidRPr="00A1638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603E" w14:textId="77777777" w:rsidR="00A1638D" w:rsidRPr="00A1638D" w:rsidRDefault="00A1638D" w:rsidP="00A1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C763" w14:textId="77777777" w:rsidR="00DD741D" w:rsidRDefault="00DD741D" w:rsidP="00DF010D">
      <w:pPr>
        <w:spacing w:before="0" w:after="0"/>
      </w:pPr>
      <w:r>
        <w:separator/>
      </w:r>
    </w:p>
  </w:footnote>
  <w:footnote w:type="continuationSeparator" w:id="0">
    <w:p w14:paraId="13FC0C49" w14:textId="77777777" w:rsidR="00DD741D" w:rsidRDefault="00DD741D" w:rsidP="00DF010D">
      <w:pPr>
        <w:spacing w:before="0" w:after="0"/>
      </w:pPr>
      <w:r>
        <w:continuationSeparator/>
      </w:r>
    </w:p>
  </w:footnote>
  <w:footnote w:type="continuationNotice" w:id="1">
    <w:p w14:paraId="2F150F55" w14:textId="77777777" w:rsidR="00DD741D" w:rsidRDefault="00DD741D">
      <w:pPr>
        <w:spacing w:before="0" w:after="0"/>
      </w:pPr>
    </w:p>
  </w:footnote>
  <w:footnote w:id="2">
    <w:p w14:paraId="3D6899DE" w14:textId="77777777" w:rsidR="00B13728" w:rsidRDefault="00B13728" w:rsidP="005938B3">
      <w:pPr>
        <w:pStyle w:val="FootnoteText"/>
      </w:pPr>
      <w:r w:rsidRPr="00AD69AF">
        <w:rPr>
          <w:rStyle w:val="FootnoteReference"/>
        </w:rPr>
        <w:footnoteRef/>
      </w:r>
      <w:r>
        <w:tab/>
      </w:r>
      <w:r w:rsidRPr="00D042CC">
        <w:t xml:space="preserve">The EU’s Gross </w:t>
      </w:r>
      <w:r w:rsidRPr="005938B3">
        <w:rPr>
          <w:lang w:val="en-IE"/>
        </w:rPr>
        <w:t>Domestic</w:t>
      </w:r>
      <w:r w:rsidRPr="00D042CC">
        <w:t xml:space="preserve"> Product contracted by about 5.9% in 2020 according to Eurostat data.</w:t>
      </w:r>
    </w:p>
  </w:footnote>
  <w:footnote w:id="3">
    <w:p w14:paraId="70E39B95" w14:textId="77777777" w:rsidR="00B13728" w:rsidRPr="00CE7D8E" w:rsidRDefault="00B13728">
      <w:pPr>
        <w:pStyle w:val="FootnoteText"/>
      </w:pPr>
      <w:r>
        <w:rPr>
          <w:rStyle w:val="FootnoteReference"/>
        </w:rPr>
        <w:footnoteRef/>
      </w:r>
      <w:r>
        <w:rPr>
          <w:lang w:val="en-IE"/>
        </w:rPr>
        <w:tab/>
      </w:r>
      <w:r w:rsidRPr="00CE7D8E">
        <w:rPr>
          <w:lang w:val="en-IE"/>
        </w:rPr>
        <w:t>Council Regulation (EU) 2020/2094 of 14 December 2020 establishing a European Union Recovery Instrument to support the recovery in the aftermath of the COVID-19 crisis, OJ L 433I , 22.12.2020, p. 23.</w:t>
      </w:r>
    </w:p>
  </w:footnote>
  <w:footnote w:id="4">
    <w:p w14:paraId="66D49D56" w14:textId="77777777" w:rsidR="00B13728" w:rsidRPr="00547210" w:rsidRDefault="00B13728" w:rsidP="005938B3">
      <w:pPr>
        <w:pStyle w:val="FootnoteText"/>
        <w:rPr>
          <w:lang w:val="en-IE"/>
        </w:rPr>
      </w:pPr>
      <w:r>
        <w:rPr>
          <w:rStyle w:val="FootnoteReference"/>
        </w:rPr>
        <w:footnoteRef/>
      </w:r>
      <w:r w:rsidRPr="001F0A80">
        <w:rPr>
          <w:lang w:val="en-IE"/>
        </w:rPr>
        <w:tab/>
      </w:r>
      <w:r w:rsidRPr="00547210">
        <w:rPr>
          <w:lang w:val="en-IE"/>
        </w:rPr>
        <w:t xml:space="preserve">The </w:t>
      </w:r>
      <w:r w:rsidRPr="00EA49DA">
        <w:rPr>
          <w:lang w:val="en-IE"/>
        </w:rPr>
        <w:t xml:space="preserve">conclusions of the </w:t>
      </w:r>
      <w:r w:rsidRPr="001F0A80">
        <w:t>European</w:t>
      </w:r>
      <w:r w:rsidRPr="00547210">
        <w:rPr>
          <w:lang w:val="en-IE"/>
        </w:rPr>
        <w:t xml:space="preserve"> Council of July 2020 also stated under Point 150 that ‘the proceeds of the new own resources introduced after 2021 will be used for early repayment of Next Generation EU borrowing’.</w:t>
      </w:r>
    </w:p>
  </w:footnote>
  <w:footnote w:id="5">
    <w:p w14:paraId="05A4CFFA" w14:textId="77777777" w:rsidR="00B13728" w:rsidRPr="001C6C99" w:rsidRDefault="00B13728">
      <w:pPr>
        <w:pStyle w:val="FootnoteText"/>
        <w:rPr>
          <w:lang w:val="en-IE"/>
        </w:rPr>
      </w:pPr>
      <w:r>
        <w:rPr>
          <w:rStyle w:val="FootnoteReference"/>
        </w:rPr>
        <w:footnoteRef/>
      </w:r>
      <w:r>
        <w:rPr>
          <w:lang w:val="en-IE"/>
        </w:rPr>
        <w:tab/>
      </w:r>
      <w:r w:rsidRPr="001C6C99">
        <w:rPr>
          <w:lang w:val="en-IE"/>
        </w:rPr>
        <w:t xml:space="preserve">According to Article 5(2) </w:t>
      </w:r>
      <w:r w:rsidRPr="00EA49DA">
        <w:rPr>
          <w:lang w:val="en-IE"/>
        </w:rPr>
        <w:t xml:space="preserve">of Council Decision (EU, Euratom) 2020/2053 of 14 December 2020 on the system of own resources of the European Union (‘Own Resources Decision’), </w:t>
      </w:r>
      <w:r w:rsidRPr="001C6C99">
        <w:rPr>
          <w:lang w:val="en-IE"/>
        </w:rPr>
        <w:t>repayment of non-repayable grants cannot exceed EUR 29,25 billion per year (in 2018 prices).</w:t>
      </w:r>
    </w:p>
  </w:footnote>
  <w:footnote w:id="6">
    <w:p w14:paraId="1ECB543B" w14:textId="77777777" w:rsidR="00B13728" w:rsidRPr="00800380" w:rsidRDefault="00B13728" w:rsidP="005938B3">
      <w:pPr>
        <w:pStyle w:val="FootnoteText"/>
        <w:rPr>
          <w:lang w:val="en-IE"/>
        </w:rPr>
      </w:pPr>
      <w:r w:rsidRPr="00AD69AF">
        <w:rPr>
          <w:rStyle w:val="FootnoteReference"/>
        </w:rPr>
        <w:footnoteRef/>
      </w:r>
      <w:r>
        <w:tab/>
        <w:t xml:space="preserve">Interinstitutional Agreement between the European Parliament, the Council and the European Commission on budgetary </w:t>
      </w:r>
      <w:r w:rsidRPr="005938B3">
        <w:rPr>
          <w:lang w:val="en-IE"/>
        </w:rPr>
        <w:t>discipline</w:t>
      </w:r>
      <w:r>
        <w:t xml:space="preserve">, on cooperation in budgetary matters and on sound financial management, as well as on new own resources, including a roadmap for the introduction of new own resources, </w:t>
      </w:r>
      <w:r w:rsidRPr="00A46BF1">
        <w:t>OJ L 433I , 22.12.2020, p. 28–46.</w:t>
      </w:r>
    </w:p>
  </w:footnote>
  <w:footnote w:id="7">
    <w:p w14:paraId="796B2DED" w14:textId="77777777" w:rsidR="00B13728" w:rsidRPr="009623A2" w:rsidRDefault="00B13728">
      <w:pPr>
        <w:pStyle w:val="FootnoteText"/>
        <w:rPr>
          <w:lang w:val="en-IE"/>
        </w:rPr>
      </w:pPr>
      <w:r>
        <w:rPr>
          <w:rStyle w:val="FootnoteReference"/>
        </w:rPr>
        <w:footnoteRef/>
      </w:r>
      <w:r>
        <w:rPr>
          <w:lang w:val="en-IE"/>
        </w:rPr>
        <w:tab/>
        <w:t>Annex II, point F.</w:t>
      </w:r>
    </w:p>
  </w:footnote>
  <w:footnote w:id="8">
    <w:p w14:paraId="1FCDDCC7" w14:textId="77777777" w:rsidR="00B13728" w:rsidRPr="009623A2" w:rsidRDefault="00B13728">
      <w:pPr>
        <w:pStyle w:val="FootnoteText"/>
        <w:rPr>
          <w:lang w:val="en-IE"/>
        </w:rPr>
      </w:pPr>
      <w:r>
        <w:rPr>
          <w:rStyle w:val="FootnoteReference"/>
        </w:rPr>
        <w:footnoteRef/>
      </w:r>
      <w:r>
        <w:rPr>
          <w:lang w:val="en-IE"/>
        </w:rPr>
        <w:tab/>
        <w:t>Commission Work Programme 2021, COM (2020) 690 final.</w:t>
      </w:r>
    </w:p>
  </w:footnote>
  <w:footnote w:id="9">
    <w:p w14:paraId="379B858D" w14:textId="77777777" w:rsidR="00B13728" w:rsidRPr="00C54657" w:rsidRDefault="00B13728">
      <w:pPr>
        <w:pStyle w:val="FootnoteText"/>
        <w:rPr>
          <w:lang w:val="en-IE"/>
        </w:rPr>
      </w:pPr>
      <w:r>
        <w:rPr>
          <w:rStyle w:val="FootnoteReference"/>
        </w:rPr>
        <w:footnoteRef/>
      </w:r>
      <w:r>
        <w:rPr>
          <w:lang w:val="en-IE"/>
        </w:rPr>
        <w:tab/>
      </w:r>
      <w:r w:rsidRPr="00C54657">
        <w:t>Proposal for a Regulation of the European Parliament and the Council establishing a Social Climate Fund, COM(2021) 568 final.</w:t>
      </w:r>
    </w:p>
  </w:footnote>
  <w:footnote w:id="10">
    <w:p w14:paraId="645F4218" w14:textId="77777777" w:rsidR="00B13728" w:rsidRPr="00D042CC" w:rsidRDefault="00B13728">
      <w:pPr>
        <w:pStyle w:val="FootnoteText"/>
        <w:rPr>
          <w:lang w:val="en-IE"/>
        </w:rPr>
      </w:pPr>
      <w:r>
        <w:rPr>
          <w:rStyle w:val="FootnoteReference"/>
        </w:rPr>
        <w:footnoteRef/>
      </w:r>
      <w:r w:rsidRPr="00D042CC">
        <w:rPr>
          <w:lang w:val="en-IE"/>
        </w:rPr>
        <w:tab/>
        <w:t>Proposal for a Directive of the European Parliament and of the Council 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 COM/2021/551 final</w:t>
      </w:r>
      <w:r>
        <w:rPr>
          <w:lang w:val="en-IE"/>
        </w:rPr>
        <w:t>.</w:t>
      </w:r>
    </w:p>
  </w:footnote>
  <w:footnote w:id="11">
    <w:p w14:paraId="357784B0" w14:textId="77777777" w:rsidR="00B13728" w:rsidRPr="00C54657" w:rsidRDefault="00B13728">
      <w:pPr>
        <w:pStyle w:val="FootnoteText"/>
        <w:rPr>
          <w:lang w:val="en-IE"/>
        </w:rPr>
      </w:pPr>
      <w:r>
        <w:rPr>
          <w:rStyle w:val="FootnoteReference"/>
        </w:rPr>
        <w:footnoteRef/>
      </w:r>
      <w:r>
        <w:rPr>
          <w:lang w:val="en-IE"/>
        </w:rPr>
        <w:tab/>
      </w:r>
      <w:r w:rsidRPr="00C54657">
        <w:rPr>
          <w:sz w:val="18"/>
          <w:szCs w:val="18"/>
        </w:rPr>
        <w:t>Statement on a Two-Pillar Solution to Address the Tax Challenges Arising from the Digitalisation of the Economy</w:t>
      </w:r>
      <w:r w:rsidRPr="00B369C9">
        <w:rPr>
          <w:sz w:val="18"/>
          <w:szCs w:val="18"/>
        </w:rPr>
        <w:t>, OECD/G20 Base Erosion and Profit Shifting Project, 8 October 2021.</w:t>
      </w:r>
    </w:p>
  </w:footnote>
  <w:footnote w:id="12">
    <w:p w14:paraId="452A11FA" w14:textId="77777777" w:rsidR="00B13728" w:rsidRPr="00D26AC1" w:rsidRDefault="00B13728">
      <w:pPr>
        <w:pStyle w:val="FootnoteText"/>
      </w:pPr>
      <w:r w:rsidRPr="003970AF">
        <w:rPr>
          <w:rStyle w:val="FootnoteReference"/>
        </w:rPr>
        <w:footnoteRef/>
      </w:r>
      <w:r>
        <w:tab/>
      </w:r>
      <w:r w:rsidRPr="00244826">
        <w:rPr>
          <w:lang w:val="en-IE"/>
        </w:rPr>
        <w:t>Council Regulation (EU) 2020/2094 of 14 December 2020 establishing a European Union Recovery Instrument to support the recovery in the aftermath of the COVID-19 crisis (OJ L 433I, 22.12.2020, p. 23).</w:t>
      </w:r>
    </w:p>
  </w:footnote>
  <w:footnote w:id="13">
    <w:p w14:paraId="7A008CF1" w14:textId="77777777" w:rsidR="00B13728" w:rsidRPr="00D26AC1" w:rsidRDefault="00B13728">
      <w:pPr>
        <w:pStyle w:val="FootnoteText"/>
        <w:rPr>
          <w:lang w:val="en-IE"/>
        </w:rPr>
      </w:pPr>
      <w:r w:rsidRPr="003970AF">
        <w:rPr>
          <w:rStyle w:val="FootnoteReference"/>
        </w:rPr>
        <w:footnoteRef/>
      </w:r>
      <w:r>
        <w:tab/>
        <w:t>Interinstitutional Agreement between the European Parliament, the Council and the European Commission of 16 December 2020 on budgetary discipline, on cooperation in budgetary matters and on sound financial management, as well as on new own resources, including a roadmap for the introduction of new own resources (</w:t>
      </w:r>
      <w:r w:rsidRPr="00A46BF1">
        <w:t>OJ L 433I , 22.12.2020, p. 28</w:t>
      </w:r>
      <w:r>
        <w:t>)</w:t>
      </w:r>
      <w:r w:rsidRPr="00A46BF1">
        <w:t>.</w:t>
      </w:r>
    </w:p>
  </w:footnote>
  <w:footnote w:id="14">
    <w:p w14:paraId="022BF3B0" w14:textId="77777777" w:rsidR="00B13728" w:rsidRDefault="00B13728">
      <w:pPr>
        <w:pStyle w:val="FootnoteText"/>
      </w:pPr>
      <w:r w:rsidRPr="00244826">
        <w:rPr>
          <w:rStyle w:val="FootnoteReference"/>
        </w:rPr>
        <w:footnoteRef/>
      </w:r>
      <w:r>
        <w:tab/>
      </w:r>
      <w:r w:rsidRPr="00E8330A">
        <w:t>Directive 2003/87/EC of the European Parliament and of the Council of 13 October 2003 establishing a system for greenhouse gas emission allowance trading within the Union and amending Council Directive 96/61/EC</w:t>
      </w:r>
      <w:r>
        <w:t xml:space="preserve"> (</w:t>
      </w:r>
      <w:r w:rsidRPr="00E8330A">
        <w:t>OJ L 275, 25.10.2003, p. 32</w:t>
      </w:r>
      <w:r>
        <w:t>).</w:t>
      </w:r>
    </w:p>
  </w:footnote>
  <w:footnote w:id="15">
    <w:p w14:paraId="6B305D68" w14:textId="77777777" w:rsidR="00B13728" w:rsidRPr="009800BB" w:rsidRDefault="00B13728">
      <w:pPr>
        <w:pStyle w:val="FootnoteText"/>
        <w:rPr>
          <w:lang w:val="en-IE"/>
        </w:rPr>
      </w:pPr>
      <w:r w:rsidRPr="003970AF">
        <w:rPr>
          <w:rStyle w:val="FootnoteReference"/>
        </w:rPr>
        <w:footnoteRef/>
      </w:r>
      <w:r>
        <w:tab/>
      </w:r>
      <w:r w:rsidRPr="00163031">
        <w:t>Regulation (EU) 2018/842 of the European Parliament and of the Council</w:t>
      </w:r>
      <w:r>
        <w:t xml:space="preserve"> of </w:t>
      </w:r>
      <w:r w:rsidRPr="009800BB">
        <w:t>30 May 2018 on binding annual greenhouse gas emission reductions by Member States from 2021 to 2030 contributing to climate action to meet commitments under the Paris Agreement and amending Regulation (EU) No 525/2013</w:t>
      </w:r>
      <w:r>
        <w:t xml:space="preserve"> (</w:t>
      </w:r>
      <w:r w:rsidRPr="009800BB">
        <w:t>OJ L 156</w:t>
      </w:r>
      <w:r>
        <w:t>, 19.06.2018,</w:t>
      </w:r>
      <w:r w:rsidRPr="009800BB">
        <w:t xml:space="preserve"> p. 26</w:t>
      </w:r>
      <w:r>
        <w:t>)</w:t>
      </w:r>
    </w:p>
  </w:footnote>
  <w:footnote w:id="16">
    <w:p w14:paraId="397C6102" w14:textId="77777777" w:rsidR="00B13728" w:rsidRPr="00E76B33" w:rsidRDefault="00B13728">
      <w:pPr>
        <w:pStyle w:val="FootnoteText"/>
        <w:rPr>
          <w:lang w:val="en-IE"/>
        </w:rPr>
      </w:pPr>
      <w:r w:rsidRPr="00244826">
        <w:rPr>
          <w:rStyle w:val="FootnoteReference"/>
        </w:rPr>
        <w:footnoteRef/>
      </w:r>
      <w:r w:rsidRPr="00E76B33">
        <w:rPr>
          <w:lang w:val="en-IE"/>
        </w:rPr>
        <w:tab/>
      </w:r>
      <w:r w:rsidRPr="00A61B04">
        <w:rPr>
          <w:lang w:val="en-IE"/>
        </w:rPr>
        <w:t xml:space="preserve">Regulation (EU) [XXX] of the European Parliament and of the Council </w:t>
      </w:r>
      <w:r w:rsidRPr="00277CE2">
        <w:rPr>
          <w:lang w:val="en-IE"/>
        </w:rPr>
        <w:t>establishing a carbon border adjustment mechanism</w:t>
      </w:r>
      <w:r>
        <w:rPr>
          <w:lang w:val="en-IE"/>
        </w:rPr>
        <w:t xml:space="preserve"> (OJ L […], […], p. […]).</w:t>
      </w:r>
    </w:p>
  </w:footnote>
  <w:footnote w:id="17">
    <w:p w14:paraId="73A26ECD" w14:textId="77777777" w:rsidR="00B13728" w:rsidRPr="00C54657" w:rsidRDefault="00B13728">
      <w:pPr>
        <w:pStyle w:val="FootnoteText"/>
        <w:rPr>
          <w:lang w:val="en-IE"/>
        </w:rPr>
      </w:pPr>
      <w:r>
        <w:rPr>
          <w:rStyle w:val="FootnoteReference"/>
        </w:rPr>
        <w:t>1</w:t>
      </w:r>
      <w:r>
        <w:tab/>
      </w:r>
      <w:r w:rsidRPr="00B82E33">
        <w:rPr>
          <w:color w:val="444444"/>
          <w:shd w:val="clear" w:color="auto" w:fill="FFFFFF"/>
        </w:rPr>
        <w:t>Directive 2003/87/EC of the European Parliament and of the Council of 13 October 2003 establishing a scheme for greenhouse gas emission allowance trading within the Community and amending Council Directive 96/61/EC (OJ L 275, 25.10.2003, p. 32).</w:t>
      </w:r>
    </w:p>
  </w:footnote>
  <w:footnote w:id="18">
    <w:p w14:paraId="3981AFF3" w14:textId="77777777" w:rsidR="00B13728" w:rsidRPr="00C54657" w:rsidRDefault="00B13728">
      <w:pPr>
        <w:pStyle w:val="FootnoteText"/>
        <w:rPr>
          <w:lang w:val="en-IE"/>
        </w:rPr>
      </w:pPr>
      <w:r>
        <w:rPr>
          <w:rStyle w:val="FootnoteReference"/>
        </w:rPr>
        <w:t>2</w:t>
      </w:r>
      <w:r>
        <w:tab/>
      </w:r>
      <w:r w:rsidRPr="00B82E33">
        <w:rPr>
          <w:color w:val="444444"/>
          <w:shd w:val="clear" w:color="auto" w:fill="FFFFFF"/>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r>
        <w:rPr>
          <w:color w:val="444444"/>
          <w:shd w:val="clear" w:color="auto" w:fill="FFFFFF"/>
        </w:rPr>
        <w:t>).</w:t>
      </w:r>
    </w:p>
  </w:footnote>
  <w:footnote w:id="19">
    <w:p w14:paraId="3F47D252" w14:textId="77777777" w:rsidR="00B13728" w:rsidRPr="00C54657" w:rsidRDefault="00B13728">
      <w:pPr>
        <w:pStyle w:val="FootnoteText"/>
        <w:rPr>
          <w:lang w:val="en-IE"/>
        </w:rPr>
      </w:pPr>
      <w:r>
        <w:rPr>
          <w:rStyle w:val="FootnoteReference"/>
        </w:rPr>
        <w:t>3</w:t>
      </w:r>
      <w:r>
        <w:tab/>
      </w:r>
      <w:r w:rsidRPr="00466ACD">
        <w:t xml:space="preserve">Regulation (EU) [XXX] of the European Parliament </w:t>
      </w:r>
      <w:r w:rsidRPr="00097DA0">
        <w:t xml:space="preserve">and of the Council </w:t>
      </w:r>
      <w:r w:rsidRPr="00097DA0">
        <w:rPr>
          <w:iCs/>
        </w:rPr>
        <w:t>on the carbon border adjustment mechanism.</w:t>
      </w:r>
    </w:p>
  </w:footnote>
  <w:footnote w:id="20">
    <w:p w14:paraId="415C73D9" w14:textId="77777777" w:rsidR="00B13728" w:rsidRPr="00C54657" w:rsidRDefault="00B13728">
      <w:pPr>
        <w:pStyle w:val="FootnoteText"/>
        <w:rPr>
          <w:lang w:val="en-IE"/>
        </w:rPr>
      </w:pPr>
      <w:r>
        <w:rPr>
          <w:rStyle w:val="FootnoteReference"/>
        </w:rPr>
        <w:t>4</w:t>
      </w:r>
      <w:r>
        <w:tab/>
      </w:r>
      <w:r w:rsidRPr="00097DA0">
        <w:rPr>
          <w:iCs/>
        </w:rPr>
        <w:t xml:space="preserve">[Directive </w:t>
      </w:r>
      <w:r w:rsidRPr="00C068C1">
        <w:t>(EU) XXX</w:t>
      </w:r>
      <w:r w:rsidRPr="00097DA0">
        <w:rPr>
          <w:iCs/>
        </w:rPr>
        <w:t xml:space="preserve"> giving effect to the OECD</w:t>
      </w:r>
      <w:r>
        <w:rPr>
          <w:iCs/>
        </w:rPr>
        <w:t>/G20 IF</w:t>
      </w:r>
      <w:r w:rsidRPr="00097DA0">
        <w:rPr>
          <w:iCs/>
        </w:rPr>
        <w:t xml:space="preserve"> Pillar </w:t>
      </w:r>
      <w:r>
        <w:rPr>
          <w:iCs/>
        </w:rPr>
        <w:t>1</w:t>
      </w:r>
      <w:r w:rsidRPr="00097DA0">
        <w:rPr>
          <w:iCs/>
        </w:rPr>
        <w:t xml:space="preserve"> Agreement].</w:t>
      </w:r>
    </w:p>
  </w:footnote>
  <w:footnote w:id="21">
    <w:p w14:paraId="12D5206E" w14:textId="77777777" w:rsidR="00B13728" w:rsidRPr="00950991" w:rsidRDefault="00B13728">
      <w:pPr>
        <w:pStyle w:val="FootnoteText"/>
        <w:rPr>
          <w:color w:val="444444"/>
          <w:shd w:val="clear" w:color="auto" w:fill="FFFFFF"/>
        </w:rPr>
      </w:pPr>
      <w:r>
        <w:rPr>
          <w:rStyle w:val="FootnoteReference"/>
        </w:rPr>
        <w:t>5</w:t>
      </w:r>
      <w:r>
        <w:tab/>
      </w:r>
      <w:r w:rsidRPr="00B82E33">
        <w:rPr>
          <w:color w:val="444444"/>
          <w:shd w:val="clear" w:color="auto" w:fill="FFFFFF"/>
        </w:rPr>
        <w:t xml:space="preserve">Regulation (EU) 2019/516 of the European Parliament and of the Council of 19 March 2019 on the harmonisation of gross national income at market prices and repealing Council Directive 89/130/EEC, Euratom and Council Regulation (EC, Euratom) </w:t>
      </w:r>
      <w:r w:rsidRPr="00096A9F">
        <w:rPr>
          <w:color w:val="444444"/>
          <w:shd w:val="clear" w:color="auto" w:fill="FFFFFF"/>
        </w:rPr>
        <w:t>No 1287/2003 (GNI Regulation) (</w:t>
      </w:r>
      <w:hyperlink r:id="rId1" w:history="1">
        <w:r w:rsidRPr="00950991">
          <w:rPr>
            <w:color w:val="444444"/>
            <w:shd w:val="clear" w:color="auto" w:fill="FFFFFF"/>
          </w:rPr>
          <w:t>OJ L 91, 29.3.2019, p. 19</w:t>
        </w:r>
      </w:hyperlink>
      <w:r w:rsidRPr="00096A9F">
        <w:rPr>
          <w:color w:val="444444"/>
          <w:shd w:val="clear" w:color="auto" w:fill="FFFFFF"/>
        </w:rPr>
        <w:t>).</w:t>
      </w:r>
    </w:p>
  </w:footnote>
  <w:footnote w:id="22">
    <w:p w14:paraId="1549D236" w14:textId="77777777" w:rsidR="00B13728" w:rsidRPr="00C54657" w:rsidRDefault="00B13728">
      <w:pPr>
        <w:pStyle w:val="FootnoteText"/>
        <w:rPr>
          <w:lang w:val="en-IE"/>
        </w:rPr>
      </w:pPr>
      <w:r>
        <w:rPr>
          <w:rStyle w:val="FootnoteReference"/>
        </w:rPr>
        <w:t>6</w:t>
      </w:r>
      <w:r>
        <w:tab/>
      </w:r>
      <w:r w:rsidRPr="00D56872">
        <w:t>Directive (EU) XXX/XXXX of the European Parliament and of the Council of dd/mm/yy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C38B622"/>
    <w:lvl w:ilvl="0">
      <w:start w:val="1"/>
      <w:numFmt w:val="decimal"/>
      <w:pStyle w:val="ListNumber4"/>
      <w:lvlText w:val="%1."/>
      <w:lvlJc w:val="left"/>
      <w:pPr>
        <w:tabs>
          <w:tab w:val="num" w:pos="2060"/>
        </w:tabs>
        <w:ind w:left="2060" w:hanging="360"/>
      </w:pPr>
    </w:lvl>
  </w:abstractNum>
  <w:abstractNum w:abstractNumId="1" w15:restartNumberingAfterBreak="0">
    <w:nsid w:val="FFFFFF7E"/>
    <w:multiLevelType w:val="singleLevel"/>
    <w:tmpl w:val="2C7018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0083D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600F9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8E8A6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76282D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98C09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C1448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 w:numId="27">
    <w:abstractNumId w:val="20"/>
  </w:num>
  <w:num w:numId="28">
    <w:abstractNumId w:val="20"/>
  </w:num>
  <w:num w:numId="29">
    <w:abstractNumId w:val="20"/>
  </w:num>
  <w:num w:numId="30">
    <w:abstractNumId w:val="14"/>
  </w:num>
  <w:num w:numId="31">
    <w:abstractNumId w:val="9"/>
  </w:num>
  <w:num w:numId="32">
    <w:abstractNumId w:val="9"/>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0 13:48:02"/>
    <w:docVar w:name="DQCResult_Distribution" w:val="0;0"/>
    <w:docVar w:name="DQCResult_DocumentContent" w:val="0;0"/>
    <w:docVar w:name="DQCResult_DocumentSize" w:val="0;0"/>
    <w:docVar w:name="DQCResult_DocumentVersions" w:val="0;0"/>
    <w:docVar w:name="DQCResult_InvalidFootnotes" w:val="0;6"/>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5B80FC06-E35F-4141-A77A-1B2B7B4B5D16"/>
    <w:docVar w:name="LW_COVERPAGE_TYPE" w:val="1"/>
    <w:docVar w:name="LW_CROSSREFERENCE" w:val="&lt;UNUSED&gt;"/>
    <w:docVar w:name="LW_DocType" w:val="COM"/>
    <w:docVar w:name="LW_EMISSION" w:val="22.12.2021"/>
    <w:docVar w:name="LW_EMISSION_ISODATE" w:val="2021-12-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430"/>
    <w:docVar w:name="LW_REF.II.NEW.CP_YEAR" w:val="2021"/>
    <w:docVar w:name="LW_REF.INST.NEW" w:val="COM"/>
    <w:docVar w:name="LW_REF.INST.NEW_ADOPTED" w:val="final"/>
    <w:docVar w:name="LW_REF.INST.NEW_TEXT" w:val="(2021)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EU, Euratom) 2020/2053 on the system of own resources of the European Union"/>
    <w:docVar w:name="LW_TYPE.DOC.CP" w:val="COUNCIL DECISION"/>
    <w:docVar w:name="LwApiVersions" w:val="LW4CoDe 1.23.2.0; LW 8.0, Build 20211117"/>
  </w:docVars>
  <w:rsids>
    <w:rsidRoot w:val="00DF010D"/>
    <w:rsid w:val="000002C1"/>
    <w:rsid w:val="00006895"/>
    <w:rsid w:val="00007049"/>
    <w:rsid w:val="000115F8"/>
    <w:rsid w:val="00013684"/>
    <w:rsid w:val="00014551"/>
    <w:rsid w:val="00017707"/>
    <w:rsid w:val="00020F5B"/>
    <w:rsid w:val="000226DB"/>
    <w:rsid w:val="00023CE6"/>
    <w:rsid w:val="00023E20"/>
    <w:rsid w:val="00023E9D"/>
    <w:rsid w:val="00027333"/>
    <w:rsid w:val="000274BA"/>
    <w:rsid w:val="00030362"/>
    <w:rsid w:val="000306EB"/>
    <w:rsid w:val="00030E8F"/>
    <w:rsid w:val="00031091"/>
    <w:rsid w:val="00032A44"/>
    <w:rsid w:val="000346E0"/>
    <w:rsid w:val="000408F9"/>
    <w:rsid w:val="00044E22"/>
    <w:rsid w:val="000451B9"/>
    <w:rsid w:val="000463CF"/>
    <w:rsid w:val="00046AC6"/>
    <w:rsid w:val="00050C0E"/>
    <w:rsid w:val="00052EC7"/>
    <w:rsid w:val="00052ECB"/>
    <w:rsid w:val="00054A21"/>
    <w:rsid w:val="00054C01"/>
    <w:rsid w:val="000554B4"/>
    <w:rsid w:val="000555BD"/>
    <w:rsid w:val="00055856"/>
    <w:rsid w:val="00056D29"/>
    <w:rsid w:val="00057BDC"/>
    <w:rsid w:val="00061EA8"/>
    <w:rsid w:val="00063960"/>
    <w:rsid w:val="000654AC"/>
    <w:rsid w:val="00067E2C"/>
    <w:rsid w:val="00073A0D"/>
    <w:rsid w:val="000745D5"/>
    <w:rsid w:val="00074CDA"/>
    <w:rsid w:val="000756C5"/>
    <w:rsid w:val="000761EE"/>
    <w:rsid w:val="0007655F"/>
    <w:rsid w:val="00077754"/>
    <w:rsid w:val="000806A7"/>
    <w:rsid w:val="000813EC"/>
    <w:rsid w:val="00081C58"/>
    <w:rsid w:val="0008210B"/>
    <w:rsid w:val="0008299A"/>
    <w:rsid w:val="00082A35"/>
    <w:rsid w:val="0008482D"/>
    <w:rsid w:val="00084A92"/>
    <w:rsid w:val="00087423"/>
    <w:rsid w:val="00087786"/>
    <w:rsid w:val="00087BD1"/>
    <w:rsid w:val="00090314"/>
    <w:rsid w:val="00091620"/>
    <w:rsid w:val="00093BA1"/>
    <w:rsid w:val="00095562"/>
    <w:rsid w:val="000957AB"/>
    <w:rsid w:val="000959D3"/>
    <w:rsid w:val="00095A2B"/>
    <w:rsid w:val="00095FA6"/>
    <w:rsid w:val="00096A9F"/>
    <w:rsid w:val="0009779D"/>
    <w:rsid w:val="000A0BB2"/>
    <w:rsid w:val="000A18B3"/>
    <w:rsid w:val="000A2694"/>
    <w:rsid w:val="000A2E50"/>
    <w:rsid w:val="000A715F"/>
    <w:rsid w:val="000A7517"/>
    <w:rsid w:val="000A7605"/>
    <w:rsid w:val="000B207A"/>
    <w:rsid w:val="000B223B"/>
    <w:rsid w:val="000B2D6F"/>
    <w:rsid w:val="000B5B3B"/>
    <w:rsid w:val="000B5D2A"/>
    <w:rsid w:val="000B6133"/>
    <w:rsid w:val="000B63DE"/>
    <w:rsid w:val="000B66A7"/>
    <w:rsid w:val="000B6ED2"/>
    <w:rsid w:val="000C000E"/>
    <w:rsid w:val="000C1946"/>
    <w:rsid w:val="000C3BA1"/>
    <w:rsid w:val="000C46C4"/>
    <w:rsid w:val="000C65A9"/>
    <w:rsid w:val="000C6658"/>
    <w:rsid w:val="000C6F68"/>
    <w:rsid w:val="000C7228"/>
    <w:rsid w:val="000D1C77"/>
    <w:rsid w:val="000D20C9"/>
    <w:rsid w:val="000D3915"/>
    <w:rsid w:val="000D3F76"/>
    <w:rsid w:val="000D66AD"/>
    <w:rsid w:val="000E198E"/>
    <w:rsid w:val="000E3577"/>
    <w:rsid w:val="000E366D"/>
    <w:rsid w:val="000E378F"/>
    <w:rsid w:val="000E402D"/>
    <w:rsid w:val="000E5B2F"/>
    <w:rsid w:val="000F002E"/>
    <w:rsid w:val="000F3A2B"/>
    <w:rsid w:val="000F47B7"/>
    <w:rsid w:val="000F4CC5"/>
    <w:rsid w:val="00103AF5"/>
    <w:rsid w:val="001056CB"/>
    <w:rsid w:val="00106C03"/>
    <w:rsid w:val="00110936"/>
    <w:rsid w:val="00111018"/>
    <w:rsid w:val="00112EC9"/>
    <w:rsid w:val="00114B07"/>
    <w:rsid w:val="00116CEB"/>
    <w:rsid w:val="00117FDE"/>
    <w:rsid w:val="00122A0F"/>
    <w:rsid w:val="0012567F"/>
    <w:rsid w:val="00125C43"/>
    <w:rsid w:val="00125DDB"/>
    <w:rsid w:val="001261F6"/>
    <w:rsid w:val="001363DD"/>
    <w:rsid w:val="00137DCC"/>
    <w:rsid w:val="001420A7"/>
    <w:rsid w:val="001424F0"/>
    <w:rsid w:val="00142E92"/>
    <w:rsid w:val="00143EB1"/>
    <w:rsid w:val="00153A58"/>
    <w:rsid w:val="001542E1"/>
    <w:rsid w:val="00154908"/>
    <w:rsid w:val="00155373"/>
    <w:rsid w:val="00156C23"/>
    <w:rsid w:val="001572B9"/>
    <w:rsid w:val="00161FD8"/>
    <w:rsid w:val="001628BF"/>
    <w:rsid w:val="00163031"/>
    <w:rsid w:val="00163744"/>
    <w:rsid w:val="00165AC0"/>
    <w:rsid w:val="00165F62"/>
    <w:rsid w:val="00167020"/>
    <w:rsid w:val="0017080B"/>
    <w:rsid w:val="0017118C"/>
    <w:rsid w:val="00171AE5"/>
    <w:rsid w:val="001729FB"/>
    <w:rsid w:val="00173884"/>
    <w:rsid w:val="00173AE6"/>
    <w:rsid w:val="00174B94"/>
    <w:rsid w:val="00176C87"/>
    <w:rsid w:val="00176D3D"/>
    <w:rsid w:val="00181853"/>
    <w:rsid w:val="00181C55"/>
    <w:rsid w:val="0018295A"/>
    <w:rsid w:val="001829D8"/>
    <w:rsid w:val="001844E2"/>
    <w:rsid w:val="001853E0"/>
    <w:rsid w:val="0018546D"/>
    <w:rsid w:val="00185A32"/>
    <w:rsid w:val="0018602D"/>
    <w:rsid w:val="00192B51"/>
    <w:rsid w:val="001962B2"/>
    <w:rsid w:val="001A1FC4"/>
    <w:rsid w:val="001A25C3"/>
    <w:rsid w:val="001B0F51"/>
    <w:rsid w:val="001B1699"/>
    <w:rsid w:val="001B1BA7"/>
    <w:rsid w:val="001B4CFF"/>
    <w:rsid w:val="001B5241"/>
    <w:rsid w:val="001B5C1C"/>
    <w:rsid w:val="001B64D5"/>
    <w:rsid w:val="001B6B77"/>
    <w:rsid w:val="001B6D60"/>
    <w:rsid w:val="001B6DAE"/>
    <w:rsid w:val="001B6F13"/>
    <w:rsid w:val="001C04F1"/>
    <w:rsid w:val="001C1974"/>
    <w:rsid w:val="001C1AD5"/>
    <w:rsid w:val="001C1AE1"/>
    <w:rsid w:val="001C2816"/>
    <w:rsid w:val="001C32AF"/>
    <w:rsid w:val="001C4056"/>
    <w:rsid w:val="001C4DF3"/>
    <w:rsid w:val="001C6C99"/>
    <w:rsid w:val="001C6FF3"/>
    <w:rsid w:val="001C7C91"/>
    <w:rsid w:val="001D0CD5"/>
    <w:rsid w:val="001D1F48"/>
    <w:rsid w:val="001D38D2"/>
    <w:rsid w:val="001D3F92"/>
    <w:rsid w:val="001D5027"/>
    <w:rsid w:val="001D68D1"/>
    <w:rsid w:val="001E12FD"/>
    <w:rsid w:val="001E1394"/>
    <w:rsid w:val="001E200D"/>
    <w:rsid w:val="001E3AB0"/>
    <w:rsid w:val="001E61E5"/>
    <w:rsid w:val="001E66D2"/>
    <w:rsid w:val="001E6B14"/>
    <w:rsid w:val="001E6CCF"/>
    <w:rsid w:val="001E75DE"/>
    <w:rsid w:val="001E76C0"/>
    <w:rsid w:val="001F0A80"/>
    <w:rsid w:val="001F2896"/>
    <w:rsid w:val="001F374E"/>
    <w:rsid w:val="001F4FF2"/>
    <w:rsid w:val="001F5E4F"/>
    <w:rsid w:val="001F6DDD"/>
    <w:rsid w:val="00201C77"/>
    <w:rsid w:val="00205D3B"/>
    <w:rsid w:val="00205E87"/>
    <w:rsid w:val="00206A99"/>
    <w:rsid w:val="0020701D"/>
    <w:rsid w:val="00212C95"/>
    <w:rsid w:val="00212F2B"/>
    <w:rsid w:val="00217FE6"/>
    <w:rsid w:val="00221E8B"/>
    <w:rsid w:val="00221FD4"/>
    <w:rsid w:val="00222C11"/>
    <w:rsid w:val="0022523D"/>
    <w:rsid w:val="0022677E"/>
    <w:rsid w:val="00226DDC"/>
    <w:rsid w:val="00232E98"/>
    <w:rsid w:val="00233EE8"/>
    <w:rsid w:val="0023501D"/>
    <w:rsid w:val="0023782D"/>
    <w:rsid w:val="002402DD"/>
    <w:rsid w:val="00244826"/>
    <w:rsid w:val="00245DB9"/>
    <w:rsid w:val="0024690C"/>
    <w:rsid w:val="0025075A"/>
    <w:rsid w:val="00253AB2"/>
    <w:rsid w:val="00253DCF"/>
    <w:rsid w:val="00255E19"/>
    <w:rsid w:val="00257EE2"/>
    <w:rsid w:val="00260A2D"/>
    <w:rsid w:val="0026128D"/>
    <w:rsid w:val="002633BF"/>
    <w:rsid w:val="00266214"/>
    <w:rsid w:val="00266592"/>
    <w:rsid w:val="00267D0E"/>
    <w:rsid w:val="00267E20"/>
    <w:rsid w:val="00267F3C"/>
    <w:rsid w:val="00270CB0"/>
    <w:rsid w:val="00274B36"/>
    <w:rsid w:val="00275438"/>
    <w:rsid w:val="0027786C"/>
    <w:rsid w:val="00277A32"/>
    <w:rsid w:val="00277CE2"/>
    <w:rsid w:val="002808AA"/>
    <w:rsid w:val="002808D4"/>
    <w:rsid w:val="00280938"/>
    <w:rsid w:val="00281040"/>
    <w:rsid w:val="0028126A"/>
    <w:rsid w:val="002813AC"/>
    <w:rsid w:val="002868FE"/>
    <w:rsid w:val="00286BB4"/>
    <w:rsid w:val="00286CBF"/>
    <w:rsid w:val="00287A66"/>
    <w:rsid w:val="00287ED0"/>
    <w:rsid w:val="002976DC"/>
    <w:rsid w:val="00297BC0"/>
    <w:rsid w:val="002A0FE9"/>
    <w:rsid w:val="002A116E"/>
    <w:rsid w:val="002A1949"/>
    <w:rsid w:val="002A3478"/>
    <w:rsid w:val="002A3D53"/>
    <w:rsid w:val="002A4E55"/>
    <w:rsid w:val="002A4F5D"/>
    <w:rsid w:val="002A5ADF"/>
    <w:rsid w:val="002A795F"/>
    <w:rsid w:val="002A79AE"/>
    <w:rsid w:val="002B0EAC"/>
    <w:rsid w:val="002B2F6E"/>
    <w:rsid w:val="002B3156"/>
    <w:rsid w:val="002B699B"/>
    <w:rsid w:val="002B75AD"/>
    <w:rsid w:val="002C1723"/>
    <w:rsid w:val="002C20DA"/>
    <w:rsid w:val="002C4512"/>
    <w:rsid w:val="002C5205"/>
    <w:rsid w:val="002C545E"/>
    <w:rsid w:val="002C581C"/>
    <w:rsid w:val="002C68FA"/>
    <w:rsid w:val="002D07C1"/>
    <w:rsid w:val="002D21F9"/>
    <w:rsid w:val="002D29AB"/>
    <w:rsid w:val="002D3AF2"/>
    <w:rsid w:val="002D3CCA"/>
    <w:rsid w:val="002D425E"/>
    <w:rsid w:val="002D42EE"/>
    <w:rsid w:val="002D4C4D"/>
    <w:rsid w:val="002D5254"/>
    <w:rsid w:val="002D526E"/>
    <w:rsid w:val="002D556A"/>
    <w:rsid w:val="002D5EDE"/>
    <w:rsid w:val="002D6DC5"/>
    <w:rsid w:val="002D765F"/>
    <w:rsid w:val="002D7726"/>
    <w:rsid w:val="002D7E75"/>
    <w:rsid w:val="002E0F14"/>
    <w:rsid w:val="002E21D1"/>
    <w:rsid w:val="002E27A5"/>
    <w:rsid w:val="002E6425"/>
    <w:rsid w:val="002F081F"/>
    <w:rsid w:val="002F161D"/>
    <w:rsid w:val="002F37C0"/>
    <w:rsid w:val="002F3C4E"/>
    <w:rsid w:val="002F41AF"/>
    <w:rsid w:val="002F6455"/>
    <w:rsid w:val="003005E1"/>
    <w:rsid w:val="00303D3E"/>
    <w:rsid w:val="003045CC"/>
    <w:rsid w:val="00304B7B"/>
    <w:rsid w:val="0030547A"/>
    <w:rsid w:val="003054AB"/>
    <w:rsid w:val="0030594E"/>
    <w:rsid w:val="00307641"/>
    <w:rsid w:val="00307752"/>
    <w:rsid w:val="00310FA5"/>
    <w:rsid w:val="0031106D"/>
    <w:rsid w:val="003149E9"/>
    <w:rsid w:val="00314FD5"/>
    <w:rsid w:val="0031589F"/>
    <w:rsid w:val="00316A06"/>
    <w:rsid w:val="00321B40"/>
    <w:rsid w:val="003226F7"/>
    <w:rsid w:val="0032421F"/>
    <w:rsid w:val="003245F4"/>
    <w:rsid w:val="00326414"/>
    <w:rsid w:val="003277D4"/>
    <w:rsid w:val="003302ED"/>
    <w:rsid w:val="00334669"/>
    <w:rsid w:val="0033474B"/>
    <w:rsid w:val="00334908"/>
    <w:rsid w:val="003354E4"/>
    <w:rsid w:val="00336347"/>
    <w:rsid w:val="00340208"/>
    <w:rsid w:val="003419A5"/>
    <w:rsid w:val="00343280"/>
    <w:rsid w:val="00345912"/>
    <w:rsid w:val="003514B8"/>
    <w:rsid w:val="00352B7F"/>
    <w:rsid w:val="00353FD6"/>
    <w:rsid w:val="00354411"/>
    <w:rsid w:val="00354730"/>
    <w:rsid w:val="00361D5D"/>
    <w:rsid w:val="0036531C"/>
    <w:rsid w:val="003674DD"/>
    <w:rsid w:val="00370D1E"/>
    <w:rsid w:val="003711E9"/>
    <w:rsid w:val="003736EB"/>
    <w:rsid w:val="00373B2E"/>
    <w:rsid w:val="003746BE"/>
    <w:rsid w:val="00375710"/>
    <w:rsid w:val="00375870"/>
    <w:rsid w:val="003771FE"/>
    <w:rsid w:val="00377D35"/>
    <w:rsid w:val="00380634"/>
    <w:rsid w:val="00387615"/>
    <w:rsid w:val="003914F2"/>
    <w:rsid w:val="003934B1"/>
    <w:rsid w:val="00394786"/>
    <w:rsid w:val="0039501F"/>
    <w:rsid w:val="003970AF"/>
    <w:rsid w:val="00397AC3"/>
    <w:rsid w:val="003A2F1B"/>
    <w:rsid w:val="003A4073"/>
    <w:rsid w:val="003A4749"/>
    <w:rsid w:val="003A55C4"/>
    <w:rsid w:val="003A6250"/>
    <w:rsid w:val="003A674A"/>
    <w:rsid w:val="003B05D8"/>
    <w:rsid w:val="003B37DD"/>
    <w:rsid w:val="003B53C0"/>
    <w:rsid w:val="003B6728"/>
    <w:rsid w:val="003C1FA0"/>
    <w:rsid w:val="003C2240"/>
    <w:rsid w:val="003C2334"/>
    <w:rsid w:val="003C38EE"/>
    <w:rsid w:val="003C4FD3"/>
    <w:rsid w:val="003C61B0"/>
    <w:rsid w:val="003C64F1"/>
    <w:rsid w:val="003C6640"/>
    <w:rsid w:val="003C66CA"/>
    <w:rsid w:val="003C6EF1"/>
    <w:rsid w:val="003C7352"/>
    <w:rsid w:val="003C7AE6"/>
    <w:rsid w:val="003D07DA"/>
    <w:rsid w:val="003D1BAD"/>
    <w:rsid w:val="003D4CF4"/>
    <w:rsid w:val="003D51E9"/>
    <w:rsid w:val="003E1061"/>
    <w:rsid w:val="003E1928"/>
    <w:rsid w:val="003E35B8"/>
    <w:rsid w:val="003E3F78"/>
    <w:rsid w:val="003E4037"/>
    <w:rsid w:val="003E4A78"/>
    <w:rsid w:val="003E57A6"/>
    <w:rsid w:val="003F3BDC"/>
    <w:rsid w:val="003F4FD4"/>
    <w:rsid w:val="003F5224"/>
    <w:rsid w:val="00400F0F"/>
    <w:rsid w:val="00401108"/>
    <w:rsid w:val="00401182"/>
    <w:rsid w:val="00403BAF"/>
    <w:rsid w:val="00404789"/>
    <w:rsid w:val="00405290"/>
    <w:rsid w:val="00412AB5"/>
    <w:rsid w:val="00413B48"/>
    <w:rsid w:val="00416B0A"/>
    <w:rsid w:val="00417CE4"/>
    <w:rsid w:val="00420129"/>
    <w:rsid w:val="004214E7"/>
    <w:rsid w:val="00422129"/>
    <w:rsid w:val="00422445"/>
    <w:rsid w:val="004231EE"/>
    <w:rsid w:val="00426B58"/>
    <w:rsid w:val="00427376"/>
    <w:rsid w:val="00427F92"/>
    <w:rsid w:val="00430191"/>
    <w:rsid w:val="00430FE6"/>
    <w:rsid w:val="00432465"/>
    <w:rsid w:val="0043308A"/>
    <w:rsid w:val="004336B3"/>
    <w:rsid w:val="004344EE"/>
    <w:rsid w:val="00434E0C"/>
    <w:rsid w:val="00437C58"/>
    <w:rsid w:val="00437E2F"/>
    <w:rsid w:val="00440EF5"/>
    <w:rsid w:val="00443C82"/>
    <w:rsid w:val="00445F39"/>
    <w:rsid w:val="004470E6"/>
    <w:rsid w:val="00447622"/>
    <w:rsid w:val="00450D32"/>
    <w:rsid w:val="00453D88"/>
    <w:rsid w:val="004545DF"/>
    <w:rsid w:val="0045522F"/>
    <w:rsid w:val="00455F64"/>
    <w:rsid w:val="00456B4E"/>
    <w:rsid w:val="00457890"/>
    <w:rsid w:val="00457C21"/>
    <w:rsid w:val="00460265"/>
    <w:rsid w:val="004619B8"/>
    <w:rsid w:val="004647DB"/>
    <w:rsid w:val="004659F9"/>
    <w:rsid w:val="004662F0"/>
    <w:rsid w:val="00467066"/>
    <w:rsid w:val="00467F71"/>
    <w:rsid w:val="00470B5B"/>
    <w:rsid w:val="00471FE8"/>
    <w:rsid w:val="00472958"/>
    <w:rsid w:val="0047303A"/>
    <w:rsid w:val="00474EAE"/>
    <w:rsid w:val="004750C7"/>
    <w:rsid w:val="0047535F"/>
    <w:rsid w:val="004754CA"/>
    <w:rsid w:val="00475EDD"/>
    <w:rsid w:val="0047671B"/>
    <w:rsid w:val="0047735E"/>
    <w:rsid w:val="00477A44"/>
    <w:rsid w:val="00482A74"/>
    <w:rsid w:val="004857EF"/>
    <w:rsid w:val="00486DD3"/>
    <w:rsid w:val="00490A45"/>
    <w:rsid w:val="00490BB3"/>
    <w:rsid w:val="00490C33"/>
    <w:rsid w:val="00494001"/>
    <w:rsid w:val="00496FE7"/>
    <w:rsid w:val="004A2C19"/>
    <w:rsid w:val="004A2DE1"/>
    <w:rsid w:val="004A3566"/>
    <w:rsid w:val="004A4E1A"/>
    <w:rsid w:val="004A68AD"/>
    <w:rsid w:val="004B22F9"/>
    <w:rsid w:val="004B3CC4"/>
    <w:rsid w:val="004B4149"/>
    <w:rsid w:val="004B4A5B"/>
    <w:rsid w:val="004B4C23"/>
    <w:rsid w:val="004B7D51"/>
    <w:rsid w:val="004C0E94"/>
    <w:rsid w:val="004C1926"/>
    <w:rsid w:val="004C1D5C"/>
    <w:rsid w:val="004C252A"/>
    <w:rsid w:val="004C2979"/>
    <w:rsid w:val="004C2BEF"/>
    <w:rsid w:val="004C4CDA"/>
    <w:rsid w:val="004C5426"/>
    <w:rsid w:val="004C6A9A"/>
    <w:rsid w:val="004D5CC0"/>
    <w:rsid w:val="004D62D0"/>
    <w:rsid w:val="004D772A"/>
    <w:rsid w:val="004E0F42"/>
    <w:rsid w:val="004E22E6"/>
    <w:rsid w:val="004E2DCD"/>
    <w:rsid w:val="004E5D96"/>
    <w:rsid w:val="004E65F0"/>
    <w:rsid w:val="004E7366"/>
    <w:rsid w:val="004F1437"/>
    <w:rsid w:val="004F1D1F"/>
    <w:rsid w:val="004F24E2"/>
    <w:rsid w:val="004F2948"/>
    <w:rsid w:val="004F36D0"/>
    <w:rsid w:val="004F3BEE"/>
    <w:rsid w:val="004F4AF5"/>
    <w:rsid w:val="004F6C05"/>
    <w:rsid w:val="00501E0F"/>
    <w:rsid w:val="00501F42"/>
    <w:rsid w:val="00503749"/>
    <w:rsid w:val="00503BCD"/>
    <w:rsid w:val="00504FC5"/>
    <w:rsid w:val="00506922"/>
    <w:rsid w:val="00512CDC"/>
    <w:rsid w:val="00515241"/>
    <w:rsid w:val="00517145"/>
    <w:rsid w:val="005173E6"/>
    <w:rsid w:val="0052369D"/>
    <w:rsid w:val="00526121"/>
    <w:rsid w:val="0052635E"/>
    <w:rsid w:val="005279B5"/>
    <w:rsid w:val="005309E8"/>
    <w:rsid w:val="00530CB6"/>
    <w:rsid w:val="00533489"/>
    <w:rsid w:val="00534360"/>
    <w:rsid w:val="00534413"/>
    <w:rsid w:val="0054171F"/>
    <w:rsid w:val="00543901"/>
    <w:rsid w:val="00544554"/>
    <w:rsid w:val="005447D5"/>
    <w:rsid w:val="00544A27"/>
    <w:rsid w:val="00545B84"/>
    <w:rsid w:val="00546BEE"/>
    <w:rsid w:val="00547210"/>
    <w:rsid w:val="005473E0"/>
    <w:rsid w:val="0054775B"/>
    <w:rsid w:val="00550001"/>
    <w:rsid w:val="005508AB"/>
    <w:rsid w:val="00550ECB"/>
    <w:rsid w:val="005512E6"/>
    <w:rsid w:val="0055318C"/>
    <w:rsid w:val="00555348"/>
    <w:rsid w:val="005564A3"/>
    <w:rsid w:val="0055666A"/>
    <w:rsid w:val="005567F8"/>
    <w:rsid w:val="0055793A"/>
    <w:rsid w:val="00557BC2"/>
    <w:rsid w:val="00560712"/>
    <w:rsid w:val="00560E95"/>
    <w:rsid w:val="00563BD5"/>
    <w:rsid w:val="00565D85"/>
    <w:rsid w:val="00565EED"/>
    <w:rsid w:val="00566E9E"/>
    <w:rsid w:val="00567358"/>
    <w:rsid w:val="00567CD7"/>
    <w:rsid w:val="005707DB"/>
    <w:rsid w:val="005709FF"/>
    <w:rsid w:val="00571A1C"/>
    <w:rsid w:val="00573A89"/>
    <w:rsid w:val="005745F9"/>
    <w:rsid w:val="00574650"/>
    <w:rsid w:val="00577262"/>
    <w:rsid w:val="005809ED"/>
    <w:rsid w:val="0058245B"/>
    <w:rsid w:val="0058500E"/>
    <w:rsid w:val="0058606E"/>
    <w:rsid w:val="00590E1F"/>
    <w:rsid w:val="00591395"/>
    <w:rsid w:val="005923A8"/>
    <w:rsid w:val="005938B3"/>
    <w:rsid w:val="00593A4B"/>
    <w:rsid w:val="00595890"/>
    <w:rsid w:val="005A1953"/>
    <w:rsid w:val="005A6467"/>
    <w:rsid w:val="005A6F8A"/>
    <w:rsid w:val="005B0DBE"/>
    <w:rsid w:val="005B104A"/>
    <w:rsid w:val="005B1EB0"/>
    <w:rsid w:val="005B2B0E"/>
    <w:rsid w:val="005B62F6"/>
    <w:rsid w:val="005B6A3C"/>
    <w:rsid w:val="005B6D98"/>
    <w:rsid w:val="005C0AE7"/>
    <w:rsid w:val="005C0C5F"/>
    <w:rsid w:val="005C2052"/>
    <w:rsid w:val="005C3A1C"/>
    <w:rsid w:val="005C436C"/>
    <w:rsid w:val="005C4668"/>
    <w:rsid w:val="005C47C3"/>
    <w:rsid w:val="005C5E0E"/>
    <w:rsid w:val="005C7257"/>
    <w:rsid w:val="005C7749"/>
    <w:rsid w:val="005C7B61"/>
    <w:rsid w:val="005D0383"/>
    <w:rsid w:val="005D03BF"/>
    <w:rsid w:val="005D1A32"/>
    <w:rsid w:val="005D2880"/>
    <w:rsid w:val="005D2E69"/>
    <w:rsid w:val="005D57A3"/>
    <w:rsid w:val="005D6142"/>
    <w:rsid w:val="005E03C4"/>
    <w:rsid w:val="005E046C"/>
    <w:rsid w:val="005E05F8"/>
    <w:rsid w:val="005E060B"/>
    <w:rsid w:val="005E123D"/>
    <w:rsid w:val="005E160B"/>
    <w:rsid w:val="005E354D"/>
    <w:rsid w:val="005E7AA0"/>
    <w:rsid w:val="005F0598"/>
    <w:rsid w:val="005F0B36"/>
    <w:rsid w:val="005F5B56"/>
    <w:rsid w:val="005F6204"/>
    <w:rsid w:val="005F6D44"/>
    <w:rsid w:val="005F7441"/>
    <w:rsid w:val="005F7C87"/>
    <w:rsid w:val="005F7D73"/>
    <w:rsid w:val="005F7D74"/>
    <w:rsid w:val="0060051C"/>
    <w:rsid w:val="0060173D"/>
    <w:rsid w:val="00601BC8"/>
    <w:rsid w:val="00601F3C"/>
    <w:rsid w:val="00603A61"/>
    <w:rsid w:val="00603FBA"/>
    <w:rsid w:val="006047FB"/>
    <w:rsid w:val="006114F3"/>
    <w:rsid w:val="00613116"/>
    <w:rsid w:val="00613A85"/>
    <w:rsid w:val="00620F97"/>
    <w:rsid w:val="0062116D"/>
    <w:rsid w:val="00626238"/>
    <w:rsid w:val="00630B77"/>
    <w:rsid w:val="006335EC"/>
    <w:rsid w:val="0063408D"/>
    <w:rsid w:val="00637B29"/>
    <w:rsid w:val="0064101E"/>
    <w:rsid w:val="00641154"/>
    <w:rsid w:val="0064341A"/>
    <w:rsid w:val="00643C48"/>
    <w:rsid w:val="00644845"/>
    <w:rsid w:val="0064488B"/>
    <w:rsid w:val="00645629"/>
    <w:rsid w:val="00650261"/>
    <w:rsid w:val="006502C8"/>
    <w:rsid w:val="00650726"/>
    <w:rsid w:val="00650D88"/>
    <w:rsid w:val="006522DD"/>
    <w:rsid w:val="0065232A"/>
    <w:rsid w:val="00653E56"/>
    <w:rsid w:val="006541A5"/>
    <w:rsid w:val="006618DF"/>
    <w:rsid w:val="00666984"/>
    <w:rsid w:val="00666C88"/>
    <w:rsid w:val="00670684"/>
    <w:rsid w:val="006723E9"/>
    <w:rsid w:val="00672BFB"/>
    <w:rsid w:val="0067481B"/>
    <w:rsid w:val="0067523E"/>
    <w:rsid w:val="006755CF"/>
    <w:rsid w:val="00675E23"/>
    <w:rsid w:val="00676B93"/>
    <w:rsid w:val="00682B8C"/>
    <w:rsid w:val="00684203"/>
    <w:rsid w:val="00687C4A"/>
    <w:rsid w:val="006909D4"/>
    <w:rsid w:val="006914A1"/>
    <w:rsid w:val="00691E32"/>
    <w:rsid w:val="00692181"/>
    <w:rsid w:val="00692620"/>
    <w:rsid w:val="0069494B"/>
    <w:rsid w:val="0069670E"/>
    <w:rsid w:val="00697186"/>
    <w:rsid w:val="006A06C8"/>
    <w:rsid w:val="006A131F"/>
    <w:rsid w:val="006A1B41"/>
    <w:rsid w:val="006A1DDF"/>
    <w:rsid w:val="006A2057"/>
    <w:rsid w:val="006A2A5E"/>
    <w:rsid w:val="006A31B7"/>
    <w:rsid w:val="006A35AF"/>
    <w:rsid w:val="006A5C85"/>
    <w:rsid w:val="006A6353"/>
    <w:rsid w:val="006A7F9B"/>
    <w:rsid w:val="006B5802"/>
    <w:rsid w:val="006B6A13"/>
    <w:rsid w:val="006C2880"/>
    <w:rsid w:val="006C5D73"/>
    <w:rsid w:val="006C7443"/>
    <w:rsid w:val="006D142E"/>
    <w:rsid w:val="006D14B3"/>
    <w:rsid w:val="006D1907"/>
    <w:rsid w:val="006D42F5"/>
    <w:rsid w:val="006D5D57"/>
    <w:rsid w:val="006D649C"/>
    <w:rsid w:val="006D7C9E"/>
    <w:rsid w:val="006D7F2C"/>
    <w:rsid w:val="006E20E5"/>
    <w:rsid w:val="006E20F3"/>
    <w:rsid w:val="006E243B"/>
    <w:rsid w:val="006E3292"/>
    <w:rsid w:val="006E3C85"/>
    <w:rsid w:val="006E43CA"/>
    <w:rsid w:val="006E4BFD"/>
    <w:rsid w:val="006E6B18"/>
    <w:rsid w:val="006E7C7C"/>
    <w:rsid w:val="006F1E86"/>
    <w:rsid w:val="006F28C2"/>
    <w:rsid w:val="006F2EEB"/>
    <w:rsid w:val="006F35F2"/>
    <w:rsid w:val="006F3974"/>
    <w:rsid w:val="006F3E5E"/>
    <w:rsid w:val="006F4CC0"/>
    <w:rsid w:val="006F5C02"/>
    <w:rsid w:val="006F70FC"/>
    <w:rsid w:val="0070128F"/>
    <w:rsid w:val="00701D38"/>
    <w:rsid w:val="00710635"/>
    <w:rsid w:val="00710BD5"/>
    <w:rsid w:val="00711651"/>
    <w:rsid w:val="00711CD7"/>
    <w:rsid w:val="00711F7A"/>
    <w:rsid w:val="00714DF3"/>
    <w:rsid w:val="00715AC9"/>
    <w:rsid w:val="0072088F"/>
    <w:rsid w:val="00720978"/>
    <w:rsid w:val="00721610"/>
    <w:rsid w:val="00722E91"/>
    <w:rsid w:val="00724168"/>
    <w:rsid w:val="007319C0"/>
    <w:rsid w:val="00731D83"/>
    <w:rsid w:val="0073228C"/>
    <w:rsid w:val="007323A2"/>
    <w:rsid w:val="0073592D"/>
    <w:rsid w:val="00737428"/>
    <w:rsid w:val="007375C2"/>
    <w:rsid w:val="007379FC"/>
    <w:rsid w:val="00737D89"/>
    <w:rsid w:val="00741757"/>
    <w:rsid w:val="00741894"/>
    <w:rsid w:val="00741F33"/>
    <w:rsid w:val="007422BB"/>
    <w:rsid w:val="007433E4"/>
    <w:rsid w:val="007441DA"/>
    <w:rsid w:val="00744713"/>
    <w:rsid w:val="007448AE"/>
    <w:rsid w:val="00744FAF"/>
    <w:rsid w:val="00745746"/>
    <w:rsid w:val="00746315"/>
    <w:rsid w:val="00746B62"/>
    <w:rsid w:val="007472C0"/>
    <w:rsid w:val="00751ED9"/>
    <w:rsid w:val="00752C73"/>
    <w:rsid w:val="00752F7E"/>
    <w:rsid w:val="00753E17"/>
    <w:rsid w:val="0075591E"/>
    <w:rsid w:val="00757CF6"/>
    <w:rsid w:val="00761429"/>
    <w:rsid w:val="00761AFA"/>
    <w:rsid w:val="00762165"/>
    <w:rsid w:val="00765B2B"/>
    <w:rsid w:val="00771EA9"/>
    <w:rsid w:val="007730B3"/>
    <w:rsid w:val="00773FF0"/>
    <w:rsid w:val="007741BF"/>
    <w:rsid w:val="00774337"/>
    <w:rsid w:val="00780F00"/>
    <w:rsid w:val="00781E88"/>
    <w:rsid w:val="0078484F"/>
    <w:rsid w:val="00784E40"/>
    <w:rsid w:val="00786FDC"/>
    <w:rsid w:val="00787776"/>
    <w:rsid w:val="00790D2E"/>
    <w:rsid w:val="007928CE"/>
    <w:rsid w:val="00793DBB"/>
    <w:rsid w:val="0079516D"/>
    <w:rsid w:val="00795660"/>
    <w:rsid w:val="007A0EF3"/>
    <w:rsid w:val="007A13F3"/>
    <w:rsid w:val="007A1A08"/>
    <w:rsid w:val="007A39F9"/>
    <w:rsid w:val="007A43BB"/>
    <w:rsid w:val="007A5168"/>
    <w:rsid w:val="007A5A51"/>
    <w:rsid w:val="007A5E04"/>
    <w:rsid w:val="007A6916"/>
    <w:rsid w:val="007A7B69"/>
    <w:rsid w:val="007A7E61"/>
    <w:rsid w:val="007B0A59"/>
    <w:rsid w:val="007B0D4D"/>
    <w:rsid w:val="007B16AD"/>
    <w:rsid w:val="007B2F34"/>
    <w:rsid w:val="007B4678"/>
    <w:rsid w:val="007B513E"/>
    <w:rsid w:val="007B57CA"/>
    <w:rsid w:val="007C06F6"/>
    <w:rsid w:val="007C0B1F"/>
    <w:rsid w:val="007C1BD0"/>
    <w:rsid w:val="007C2D59"/>
    <w:rsid w:val="007C340E"/>
    <w:rsid w:val="007C383F"/>
    <w:rsid w:val="007C47E8"/>
    <w:rsid w:val="007C517A"/>
    <w:rsid w:val="007C5189"/>
    <w:rsid w:val="007C624B"/>
    <w:rsid w:val="007C6C94"/>
    <w:rsid w:val="007C77DC"/>
    <w:rsid w:val="007C7998"/>
    <w:rsid w:val="007D04B9"/>
    <w:rsid w:val="007D0A61"/>
    <w:rsid w:val="007D16FE"/>
    <w:rsid w:val="007D1DAE"/>
    <w:rsid w:val="007E0B68"/>
    <w:rsid w:val="007E1084"/>
    <w:rsid w:val="007E2582"/>
    <w:rsid w:val="007E2680"/>
    <w:rsid w:val="007E2C7C"/>
    <w:rsid w:val="007E31C9"/>
    <w:rsid w:val="007E3B3B"/>
    <w:rsid w:val="007E5C15"/>
    <w:rsid w:val="007E5E2A"/>
    <w:rsid w:val="007E5E75"/>
    <w:rsid w:val="007E6CEF"/>
    <w:rsid w:val="007E79B6"/>
    <w:rsid w:val="007F21F2"/>
    <w:rsid w:val="007F2E46"/>
    <w:rsid w:val="007F3462"/>
    <w:rsid w:val="007F36A1"/>
    <w:rsid w:val="00800380"/>
    <w:rsid w:val="008005B0"/>
    <w:rsid w:val="00801E82"/>
    <w:rsid w:val="00802422"/>
    <w:rsid w:val="0080327A"/>
    <w:rsid w:val="00803342"/>
    <w:rsid w:val="008033D4"/>
    <w:rsid w:val="00810A7E"/>
    <w:rsid w:val="00812747"/>
    <w:rsid w:val="00812EAC"/>
    <w:rsid w:val="00821690"/>
    <w:rsid w:val="008216F9"/>
    <w:rsid w:val="0082182B"/>
    <w:rsid w:val="008247FF"/>
    <w:rsid w:val="00824C25"/>
    <w:rsid w:val="008262ED"/>
    <w:rsid w:val="00826651"/>
    <w:rsid w:val="00827776"/>
    <w:rsid w:val="0083120B"/>
    <w:rsid w:val="00832AD5"/>
    <w:rsid w:val="0083342C"/>
    <w:rsid w:val="0083520E"/>
    <w:rsid w:val="00835E3A"/>
    <w:rsid w:val="00836389"/>
    <w:rsid w:val="0084277E"/>
    <w:rsid w:val="00851011"/>
    <w:rsid w:val="00851420"/>
    <w:rsid w:val="00852D35"/>
    <w:rsid w:val="00853C45"/>
    <w:rsid w:val="008572AF"/>
    <w:rsid w:val="0085747A"/>
    <w:rsid w:val="0085791B"/>
    <w:rsid w:val="00860256"/>
    <w:rsid w:val="008615F6"/>
    <w:rsid w:val="00862EEB"/>
    <w:rsid w:val="00864396"/>
    <w:rsid w:val="00864729"/>
    <w:rsid w:val="008649FC"/>
    <w:rsid w:val="00864DC7"/>
    <w:rsid w:val="00866BCB"/>
    <w:rsid w:val="00867B20"/>
    <w:rsid w:val="0087007A"/>
    <w:rsid w:val="0087071D"/>
    <w:rsid w:val="00872F14"/>
    <w:rsid w:val="00875E5D"/>
    <w:rsid w:val="008762A4"/>
    <w:rsid w:val="00877744"/>
    <w:rsid w:val="008828DB"/>
    <w:rsid w:val="00882A3C"/>
    <w:rsid w:val="008846F6"/>
    <w:rsid w:val="008852FA"/>
    <w:rsid w:val="00886F66"/>
    <w:rsid w:val="008925EA"/>
    <w:rsid w:val="00892993"/>
    <w:rsid w:val="00894D67"/>
    <w:rsid w:val="008A149F"/>
    <w:rsid w:val="008A38AC"/>
    <w:rsid w:val="008A4558"/>
    <w:rsid w:val="008A558B"/>
    <w:rsid w:val="008A5D1E"/>
    <w:rsid w:val="008A60F9"/>
    <w:rsid w:val="008B067E"/>
    <w:rsid w:val="008B0876"/>
    <w:rsid w:val="008B7A58"/>
    <w:rsid w:val="008C1F25"/>
    <w:rsid w:val="008C6D1B"/>
    <w:rsid w:val="008D130C"/>
    <w:rsid w:val="008D19FE"/>
    <w:rsid w:val="008D2075"/>
    <w:rsid w:val="008D261F"/>
    <w:rsid w:val="008D2F2B"/>
    <w:rsid w:val="008D74B8"/>
    <w:rsid w:val="008E1C8E"/>
    <w:rsid w:val="008E1E58"/>
    <w:rsid w:val="008E2F44"/>
    <w:rsid w:val="008E4D5C"/>
    <w:rsid w:val="008E5C6E"/>
    <w:rsid w:val="008E7BD1"/>
    <w:rsid w:val="008F0D03"/>
    <w:rsid w:val="008F1A2D"/>
    <w:rsid w:val="008F4C24"/>
    <w:rsid w:val="0090107A"/>
    <w:rsid w:val="009010CB"/>
    <w:rsid w:val="00901815"/>
    <w:rsid w:val="0090373D"/>
    <w:rsid w:val="009037FA"/>
    <w:rsid w:val="009046B2"/>
    <w:rsid w:val="009075A9"/>
    <w:rsid w:val="00910281"/>
    <w:rsid w:val="00911C09"/>
    <w:rsid w:val="009138A7"/>
    <w:rsid w:val="009202F7"/>
    <w:rsid w:val="009217C6"/>
    <w:rsid w:val="00927B05"/>
    <w:rsid w:val="00932585"/>
    <w:rsid w:val="00932596"/>
    <w:rsid w:val="00934157"/>
    <w:rsid w:val="00935F0D"/>
    <w:rsid w:val="00936355"/>
    <w:rsid w:val="00941816"/>
    <w:rsid w:val="00944448"/>
    <w:rsid w:val="009507B9"/>
    <w:rsid w:val="00950991"/>
    <w:rsid w:val="00953D6F"/>
    <w:rsid w:val="00954B93"/>
    <w:rsid w:val="009551A2"/>
    <w:rsid w:val="0095531D"/>
    <w:rsid w:val="0095561B"/>
    <w:rsid w:val="00956026"/>
    <w:rsid w:val="009608C1"/>
    <w:rsid w:val="009623A2"/>
    <w:rsid w:val="009649E2"/>
    <w:rsid w:val="0096616B"/>
    <w:rsid w:val="00967602"/>
    <w:rsid w:val="00970215"/>
    <w:rsid w:val="009709BA"/>
    <w:rsid w:val="00976400"/>
    <w:rsid w:val="009769CC"/>
    <w:rsid w:val="009770F4"/>
    <w:rsid w:val="00977BAE"/>
    <w:rsid w:val="00977EC5"/>
    <w:rsid w:val="009800BB"/>
    <w:rsid w:val="00980B65"/>
    <w:rsid w:val="00981853"/>
    <w:rsid w:val="00981ED4"/>
    <w:rsid w:val="00983F99"/>
    <w:rsid w:val="00986B33"/>
    <w:rsid w:val="00987AD5"/>
    <w:rsid w:val="009901A1"/>
    <w:rsid w:val="00993096"/>
    <w:rsid w:val="009930B7"/>
    <w:rsid w:val="0099701F"/>
    <w:rsid w:val="009A2151"/>
    <w:rsid w:val="009A2198"/>
    <w:rsid w:val="009A3743"/>
    <w:rsid w:val="009A555D"/>
    <w:rsid w:val="009A5968"/>
    <w:rsid w:val="009A6694"/>
    <w:rsid w:val="009B0286"/>
    <w:rsid w:val="009B108F"/>
    <w:rsid w:val="009B1690"/>
    <w:rsid w:val="009B1ED2"/>
    <w:rsid w:val="009B365B"/>
    <w:rsid w:val="009B4FEF"/>
    <w:rsid w:val="009B5187"/>
    <w:rsid w:val="009B5240"/>
    <w:rsid w:val="009B5860"/>
    <w:rsid w:val="009B7138"/>
    <w:rsid w:val="009C0E05"/>
    <w:rsid w:val="009C34CE"/>
    <w:rsid w:val="009C3B33"/>
    <w:rsid w:val="009C42DC"/>
    <w:rsid w:val="009C519F"/>
    <w:rsid w:val="009C5857"/>
    <w:rsid w:val="009C5F31"/>
    <w:rsid w:val="009D06AD"/>
    <w:rsid w:val="009D2551"/>
    <w:rsid w:val="009D4233"/>
    <w:rsid w:val="009D632B"/>
    <w:rsid w:val="009D6FD6"/>
    <w:rsid w:val="009D714A"/>
    <w:rsid w:val="009E11BF"/>
    <w:rsid w:val="009E127C"/>
    <w:rsid w:val="009E3094"/>
    <w:rsid w:val="009E4420"/>
    <w:rsid w:val="009E664C"/>
    <w:rsid w:val="009E77AA"/>
    <w:rsid w:val="009F0464"/>
    <w:rsid w:val="009F11EF"/>
    <w:rsid w:val="009F12F0"/>
    <w:rsid w:val="009F1C46"/>
    <w:rsid w:val="009F292E"/>
    <w:rsid w:val="009F31B9"/>
    <w:rsid w:val="009F5135"/>
    <w:rsid w:val="009F6E94"/>
    <w:rsid w:val="00A0043B"/>
    <w:rsid w:val="00A02C82"/>
    <w:rsid w:val="00A0324E"/>
    <w:rsid w:val="00A03516"/>
    <w:rsid w:val="00A04071"/>
    <w:rsid w:val="00A04349"/>
    <w:rsid w:val="00A04B85"/>
    <w:rsid w:val="00A060D5"/>
    <w:rsid w:val="00A10F29"/>
    <w:rsid w:val="00A14FD8"/>
    <w:rsid w:val="00A1638D"/>
    <w:rsid w:val="00A17351"/>
    <w:rsid w:val="00A17FE9"/>
    <w:rsid w:val="00A20AE1"/>
    <w:rsid w:val="00A22215"/>
    <w:rsid w:val="00A2402D"/>
    <w:rsid w:val="00A2483E"/>
    <w:rsid w:val="00A2578A"/>
    <w:rsid w:val="00A25912"/>
    <w:rsid w:val="00A25A11"/>
    <w:rsid w:val="00A25BF1"/>
    <w:rsid w:val="00A2612F"/>
    <w:rsid w:val="00A267E4"/>
    <w:rsid w:val="00A311DE"/>
    <w:rsid w:val="00A313FC"/>
    <w:rsid w:val="00A322E3"/>
    <w:rsid w:val="00A32B0B"/>
    <w:rsid w:val="00A36124"/>
    <w:rsid w:val="00A365C6"/>
    <w:rsid w:val="00A45B6B"/>
    <w:rsid w:val="00A46BF1"/>
    <w:rsid w:val="00A47020"/>
    <w:rsid w:val="00A50A75"/>
    <w:rsid w:val="00A51899"/>
    <w:rsid w:val="00A52127"/>
    <w:rsid w:val="00A52214"/>
    <w:rsid w:val="00A52CB5"/>
    <w:rsid w:val="00A5335E"/>
    <w:rsid w:val="00A53475"/>
    <w:rsid w:val="00A54E2B"/>
    <w:rsid w:val="00A55FE5"/>
    <w:rsid w:val="00A56B6A"/>
    <w:rsid w:val="00A60033"/>
    <w:rsid w:val="00A61B04"/>
    <w:rsid w:val="00A62173"/>
    <w:rsid w:val="00A63881"/>
    <w:rsid w:val="00A64177"/>
    <w:rsid w:val="00A64E50"/>
    <w:rsid w:val="00A66153"/>
    <w:rsid w:val="00A66203"/>
    <w:rsid w:val="00A7117E"/>
    <w:rsid w:val="00A71FB6"/>
    <w:rsid w:val="00A76251"/>
    <w:rsid w:val="00A77519"/>
    <w:rsid w:val="00A7780B"/>
    <w:rsid w:val="00A806B5"/>
    <w:rsid w:val="00A806D3"/>
    <w:rsid w:val="00A829FA"/>
    <w:rsid w:val="00A82FFC"/>
    <w:rsid w:val="00A85ADB"/>
    <w:rsid w:val="00A87133"/>
    <w:rsid w:val="00A8715F"/>
    <w:rsid w:val="00A87EFE"/>
    <w:rsid w:val="00A90E35"/>
    <w:rsid w:val="00A913D5"/>
    <w:rsid w:val="00A9145A"/>
    <w:rsid w:val="00A96E09"/>
    <w:rsid w:val="00A97AB1"/>
    <w:rsid w:val="00AA142F"/>
    <w:rsid w:val="00AA2B19"/>
    <w:rsid w:val="00AA36EE"/>
    <w:rsid w:val="00AB0CB8"/>
    <w:rsid w:val="00AB1B4B"/>
    <w:rsid w:val="00AB52DD"/>
    <w:rsid w:val="00AB68F4"/>
    <w:rsid w:val="00AB7380"/>
    <w:rsid w:val="00AC1340"/>
    <w:rsid w:val="00AC752F"/>
    <w:rsid w:val="00AD032D"/>
    <w:rsid w:val="00AD0CF0"/>
    <w:rsid w:val="00AD1BA3"/>
    <w:rsid w:val="00AD3829"/>
    <w:rsid w:val="00AD69AF"/>
    <w:rsid w:val="00AE094E"/>
    <w:rsid w:val="00AE1081"/>
    <w:rsid w:val="00AE1CB3"/>
    <w:rsid w:val="00AE2016"/>
    <w:rsid w:val="00AE5446"/>
    <w:rsid w:val="00AE7CE5"/>
    <w:rsid w:val="00AF0413"/>
    <w:rsid w:val="00AF2DFB"/>
    <w:rsid w:val="00AF56DB"/>
    <w:rsid w:val="00AF62F2"/>
    <w:rsid w:val="00B000D2"/>
    <w:rsid w:val="00B01A5C"/>
    <w:rsid w:val="00B0231C"/>
    <w:rsid w:val="00B02458"/>
    <w:rsid w:val="00B036E8"/>
    <w:rsid w:val="00B039CF"/>
    <w:rsid w:val="00B04FDC"/>
    <w:rsid w:val="00B124AF"/>
    <w:rsid w:val="00B13728"/>
    <w:rsid w:val="00B1396F"/>
    <w:rsid w:val="00B15514"/>
    <w:rsid w:val="00B15AB1"/>
    <w:rsid w:val="00B1732C"/>
    <w:rsid w:val="00B17F36"/>
    <w:rsid w:val="00B20EB0"/>
    <w:rsid w:val="00B21D7F"/>
    <w:rsid w:val="00B21F58"/>
    <w:rsid w:val="00B22306"/>
    <w:rsid w:val="00B227BB"/>
    <w:rsid w:val="00B24726"/>
    <w:rsid w:val="00B24DF5"/>
    <w:rsid w:val="00B24E60"/>
    <w:rsid w:val="00B26929"/>
    <w:rsid w:val="00B3316C"/>
    <w:rsid w:val="00B35D2D"/>
    <w:rsid w:val="00B36177"/>
    <w:rsid w:val="00B369C9"/>
    <w:rsid w:val="00B417F8"/>
    <w:rsid w:val="00B41E6E"/>
    <w:rsid w:val="00B5350C"/>
    <w:rsid w:val="00B56B5E"/>
    <w:rsid w:val="00B57087"/>
    <w:rsid w:val="00B57534"/>
    <w:rsid w:val="00B6101E"/>
    <w:rsid w:val="00B62EB4"/>
    <w:rsid w:val="00B64035"/>
    <w:rsid w:val="00B73E9F"/>
    <w:rsid w:val="00B745D1"/>
    <w:rsid w:val="00B74857"/>
    <w:rsid w:val="00B75B4A"/>
    <w:rsid w:val="00B76328"/>
    <w:rsid w:val="00B816AC"/>
    <w:rsid w:val="00B81A0A"/>
    <w:rsid w:val="00B84DF8"/>
    <w:rsid w:val="00B857CC"/>
    <w:rsid w:val="00B8732C"/>
    <w:rsid w:val="00B90764"/>
    <w:rsid w:val="00B97AE8"/>
    <w:rsid w:val="00B97B17"/>
    <w:rsid w:val="00BA21EE"/>
    <w:rsid w:val="00BA2E77"/>
    <w:rsid w:val="00BA2FBC"/>
    <w:rsid w:val="00BA329B"/>
    <w:rsid w:val="00BA6036"/>
    <w:rsid w:val="00BA69FD"/>
    <w:rsid w:val="00BB03FF"/>
    <w:rsid w:val="00BB0863"/>
    <w:rsid w:val="00BB1363"/>
    <w:rsid w:val="00BB2BA2"/>
    <w:rsid w:val="00BB3172"/>
    <w:rsid w:val="00BB4530"/>
    <w:rsid w:val="00BB4CF8"/>
    <w:rsid w:val="00BB760F"/>
    <w:rsid w:val="00BB770D"/>
    <w:rsid w:val="00BC41AE"/>
    <w:rsid w:val="00BC577B"/>
    <w:rsid w:val="00BC6DCD"/>
    <w:rsid w:val="00BC7233"/>
    <w:rsid w:val="00BD0BB5"/>
    <w:rsid w:val="00BD14B1"/>
    <w:rsid w:val="00BD378B"/>
    <w:rsid w:val="00BD5198"/>
    <w:rsid w:val="00BD5BBB"/>
    <w:rsid w:val="00BD5E02"/>
    <w:rsid w:val="00BD7049"/>
    <w:rsid w:val="00BE0E2F"/>
    <w:rsid w:val="00BE1956"/>
    <w:rsid w:val="00BE246D"/>
    <w:rsid w:val="00BE66AB"/>
    <w:rsid w:val="00BE7852"/>
    <w:rsid w:val="00BE7A0C"/>
    <w:rsid w:val="00BF17AA"/>
    <w:rsid w:val="00BF17B3"/>
    <w:rsid w:val="00BF5546"/>
    <w:rsid w:val="00BF55DC"/>
    <w:rsid w:val="00BF7180"/>
    <w:rsid w:val="00BF7B0B"/>
    <w:rsid w:val="00BF7E44"/>
    <w:rsid w:val="00C01131"/>
    <w:rsid w:val="00C01C31"/>
    <w:rsid w:val="00C01EFE"/>
    <w:rsid w:val="00C02664"/>
    <w:rsid w:val="00C02A41"/>
    <w:rsid w:val="00C0302B"/>
    <w:rsid w:val="00C03660"/>
    <w:rsid w:val="00C07946"/>
    <w:rsid w:val="00C07A21"/>
    <w:rsid w:val="00C1133A"/>
    <w:rsid w:val="00C14BA2"/>
    <w:rsid w:val="00C16BBE"/>
    <w:rsid w:val="00C17165"/>
    <w:rsid w:val="00C20E88"/>
    <w:rsid w:val="00C20FBB"/>
    <w:rsid w:val="00C2168D"/>
    <w:rsid w:val="00C21C33"/>
    <w:rsid w:val="00C21E58"/>
    <w:rsid w:val="00C22762"/>
    <w:rsid w:val="00C24556"/>
    <w:rsid w:val="00C2582C"/>
    <w:rsid w:val="00C25BFE"/>
    <w:rsid w:val="00C30315"/>
    <w:rsid w:val="00C3190A"/>
    <w:rsid w:val="00C328D7"/>
    <w:rsid w:val="00C32A10"/>
    <w:rsid w:val="00C32CDB"/>
    <w:rsid w:val="00C33C0D"/>
    <w:rsid w:val="00C35842"/>
    <w:rsid w:val="00C359C4"/>
    <w:rsid w:val="00C360C2"/>
    <w:rsid w:val="00C4026F"/>
    <w:rsid w:val="00C4070D"/>
    <w:rsid w:val="00C51824"/>
    <w:rsid w:val="00C52B54"/>
    <w:rsid w:val="00C52E56"/>
    <w:rsid w:val="00C54657"/>
    <w:rsid w:val="00C61369"/>
    <w:rsid w:val="00C65BFC"/>
    <w:rsid w:val="00C6709D"/>
    <w:rsid w:val="00C716A7"/>
    <w:rsid w:val="00C71BCE"/>
    <w:rsid w:val="00C721F0"/>
    <w:rsid w:val="00C73450"/>
    <w:rsid w:val="00C74323"/>
    <w:rsid w:val="00C74A88"/>
    <w:rsid w:val="00C74E91"/>
    <w:rsid w:val="00C754BF"/>
    <w:rsid w:val="00C76C2F"/>
    <w:rsid w:val="00C7794D"/>
    <w:rsid w:val="00C8004B"/>
    <w:rsid w:val="00C831C8"/>
    <w:rsid w:val="00C83C9B"/>
    <w:rsid w:val="00C875C7"/>
    <w:rsid w:val="00C91A96"/>
    <w:rsid w:val="00C9311D"/>
    <w:rsid w:val="00C933B9"/>
    <w:rsid w:val="00C93E02"/>
    <w:rsid w:val="00C94445"/>
    <w:rsid w:val="00C94FFF"/>
    <w:rsid w:val="00C967B1"/>
    <w:rsid w:val="00C96B1C"/>
    <w:rsid w:val="00CA104A"/>
    <w:rsid w:val="00CA12E1"/>
    <w:rsid w:val="00CA166D"/>
    <w:rsid w:val="00CA34E8"/>
    <w:rsid w:val="00CA5459"/>
    <w:rsid w:val="00CA6C39"/>
    <w:rsid w:val="00CA6FD3"/>
    <w:rsid w:val="00CA7F78"/>
    <w:rsid w:val="00CB185A"/>
    <w:rsid w:val="00CB2A4E"/>
    <w:rsid w:val="00CB310A"/>
    <w:rsid w:val="00CB4FDA"/>
    <w:rsid w:val="00CB62A2"/>
    <w:rsid w:val="00CB6D03"/>
    <w:rsid w:val="00CB6D29"/>
    <w:rsid w:val="00CB7BDD"/>
    <w:rsid w:val="00CC0878"/>
    <w:rsid w:val="00CC146E"/>
    <w:rsid w:val="00CC19FC"/>
    <w:rsid w:val="00CC2D98"/>
    <w:rsid w:val="00CC3661"/>
    <w:rsid w:val="00CC5306"/>
    <w:rsid w:val="00CC5E85"/>
    <w:rsid w:val="00CC5F7D"/>
    <w:rsid w:val="00CC7390"/>
    <w:rsid w:val="00CD01B4"/>
    <w:rsid w:val="00CD3703"/>
    <w:rsid w:val="00CD5C38"/>
    <w:rsid w:val="00CD61C0"/>
    <w:rsid w:val="00CE002B"/>
    <w:rsid w:val="00CE21F5"/>
    <w:rsid w:val="00CE2991"/>
    <w:rsid w:val="00CE395E"/>
    <w:rsid w:val="00CE39D0"/>
    <w:rsid w:val="00CE461A"/>
    <w:rsid w:val="00CE71A8"/>
    <w:rsid w:val="00CE7D8E"/>
    <w:rsid w:val="00CF13CA"/>
    <w:rsid w:val="00CF298E"/>
    <w:rsid w:val="00CF422A"/>
    <w:rsid w:val="00CF5078"/>
    <w:rsid w:val="00CF549F"/>
    <w:rsid w:val="00D042CC"/>
    <w:rsid w:val="00D04A74"/>
    <w:rsid w:val="00D06812"/>
    <w:rsid w:val="00D07A70"/>
    <w:rsid w:val="00D105FA"/>
    <w:rsid w:val="00D119D8"/>
    <w:rsid w:val="00D137D4"/>
    <w:rsid w:val="00D14058"/>
    <w:rsid w:val="00D140B0"/>
    <w:rsid w:val="00D14CA2"/>
    <w:rsid w:val="00D16A6F"/>
    <w:rsid w:val="00D1749E"/>
    <w:rsid w:val="00D237F9"/>
    <w:rsid w:val="00D23BCF"/>
    <w:rsid w:val="00D23C0E"/>
    <w:rsid w:val="00D25B29"/>
    <w:rsid w:val="00D25D3A"/>
    <w:rsid w:val="00D2670E"/>
    <w:rsid w:val="00D26AC1"/>
    <w:rsid w:val="00D305C2"/>
    <w:rsid w:val="00D319DA"/>
    <w:rsid w:val="00D328BB"/>
    <w:rsid w:val="00D33453"/>
    <w:rsid w:val="00D33B88"/>
    <w:rsid w:val="00D35AA6"/>
    <w:rsid w:val="00D37868"/>
    <w:rsid w:val="00D407F8"/>
    <w:rsid w:val="00D4166C"/>
    <w:rsid w:val="00D42DE2"/>
    <w:rsid w:val="00D45737"/>
    <w:rsid w:val="00D46331"/>
    <w:rsid w:val="00D46AFB"/>
    <w:rsid w:val="00D50839"/>
    <w:rsid w:val="00D520CE"/>
    <w:rsid w:val="00D52764"/>
    <w:rsid w:val="00D53260"/>
    <w:rsid w:val="00D539F0"/>
    <w:rsid w:val="00D54152"/>
    <w:rsid w:val="00D5657F"/>
    <w:rsid w:val="00D56F08"/>
    <w:rsid w:val="00D63D14"/>
    <w:rsid w:val="00D64654"/>
    <w:rsid w:val="00D65088"/>
    <w:rsid w:val="00D65A5C"/>
    <w:rsid w:val="00D668C8"/>
    <w:rsid w:val="00D71E9F"/>
    <w:rsid w:val="00D7402C"/>
    <w:rsid w:val="00D77308"/>
    <w:rsid w:val="00D77577"/>
    <w:rsid w:val="00D775BF"/>
    <w:rsid w:val="00D77B8C"/>
    <w:rsid w:val="00D77F01"/>
    <w:rsid w:val="00D81E2D"/>
    <w:rsid w:val="00D82300"/>
    <w:rsid w:val="00D83EFF"/>
    <w:rsid w:val="00D8418C"/>
    <w:rsid w:val="00D841BB"/>
    <w:rsid w:val="00D84C18"/>
    <w:rsid w:val="00D85163"/>
    <w:rsid w:val="00D8771A"/>
    <w:rsid w:val="00D87AF4"/>
    <w:rsid w:val="00D87B16"/>
    <w:rsid w:val="00D902BE"/>
    <w:rsid w:val="00D9073F"/>
    <w:rsid w:val="00D94B24"/>
    <w:rsid w:val="00D94EB8"/>
    <w:rsid w:val="00D95218"/>
    <w:rsid w:val="00D9570B"/>
    <w:rsid w:val="00D95795"/>
    <w:rsid w:val="00D9609E"/>
    <w:rsid w:val="00D96C96"/>
    <w:rsid w:val="00D970F4"/>
    <w:rsid w:val="00D9713F"/>
    <w:rsid w:val="00DA0541"/>
    <w:rsid w:val="00DA1975"/>
    <w:rsid w:val="00DA354C"/>
    <w:rsid w:val="00DA3E29"/>
    <w:rsid w:val="00DA62B5"/>
    <w:rsid w:val="00DA6F7D"/>
    <w:rsid w:val="00DA7CF5"/>
    <w:rsid w:val="00DB0ABA"/>
    <w:rsid w:val="00DB0F00"/>
    <w:rsid w:val="00DB2A6B"/>
    <w:rsid w:val="00DB43C1"/>
    <w:rsid w:val="00DB43E5"/>
    <w:rsid w:val="00DB6A4D"/>
    <w:rsid w:val="00DC0969"/>
    <w:rsid w:val="00DC16B4"/>
    <w:rsid w:val="00DC24A5"/>
    <w:rsid w:val="00DC3D96"/>
    <w:rsid w:val="00DC7E5C"/>
    <w:rsid w:val="00DD1B23"/>
    <w:rsid w:val="00DD3BF3"/>
    <w:rsid w:val="00DD471B"/>
    <w:rsid w:val="00DD4A32"/>
    <w:rsid w:val="00DD5C83"/>
    <w:rsid w:val="00DD71DB"/>
    <w:rsid w:val="00DD741D"/>
    <w:rsid w:val="00DE180A"/>
    <w:rsid w:val="00DE21FE"/>
    <w:rsid w:val="00DE2ACE"/>
    <w:rsid w:val="00DE2B1D"/>
    <w:rsid w:val="00DE2BC0"/>
    <w:rsid w:val="00DE43D8"/>
    <w:rsid w:val="00DE5ACF"/>
    <w:rsid w:val="00DE723B"/>
    <w:rsid w:val="00DE7E9B"/>
    <w:rsid w:val="00DF010D"/>
    <w:rsid w:val="00DF0C83"/>
    <w:rsid w:val="00DF1F30"/>
    <w:rsid w:val="00DF3F88"/>
    <w:rsid w:val="00DF41A3"/>
    <w:rsid w:val="00DF5ED6"/>
    <w:rsid w:val="00DF6CA3"/>
    <w:rsid w:val="00DF75ED"/>
    <w:rsid w:val="00E00E4B"/>
    <w:rsid w:val="00E0159C"/>
    <w:rsid w:val="00E01C8B"/>
    <w:rsid w:val="00E034DF"/>
    <w:rsid w:val="00E03535"/>
    <w:rsid w:val="00E03934"/>
    <w:rsid w:val="00E040A6"/>
    <w:rsid w:val="00E0483A"/>
    <w:rsid w:val="00E04EF6"/>
    <w:rsid w:val="00E06CF9"/>
    <w:rsid w:val="00E11198"/>
    <w:rsid w:val="00E12121"/>
    <w:rsid w:val="00E13AD8"/>
    <w:rsid w:val="00E1456F"/>
    <w:rsid w:val="00E1667B"/>
    <w:rsid w:val="00E2014F"/>
    <w:rsid w:val="00E20619"/>
    <w:rsid w:val="00E24BB1"/>
    <w:rsid w:val="00E24DC8"/>
    <w:rsid w:val="00E267DD"/>
    <w:rsid w:val="00E278AC"/>
    <w:rsid w:val="00E30C98"/>
    <w:rsid w:val="00E31BE2"/>
    <w:rsid w:val="00E41371"/>
    <w:rsid w:val="00E45271"/>
    <w:rsid w:val="00E4592D"/>
    <w:rsid w:val="00E47D6E"/>
    <w:rsid w:val="00E50925"/>
    <w:rsid w:val="00E523CB"/>
    <w:rsid w:val="00E545D6"/>
    <w:rsid w:val="00E55235"/>
    <w:rsid w:val="00E56144"/>
    <w:rsid w:val="00E573C5"/>
    <w:rsid w:val="00E57F65"/>
    <w:rsid w:val="00E60956"/>
    <w:rsid w:val="00E61FA4"/>
    <w:rsid w:val="00E64912"/>
    <w:rsid w:val="00E67FE7"/>
    <w:rsid w:val="00E73DB3"/>
    <w:rsid w:val="00E73EAE"/>
    <w:rsid w:val="00E76B33"/>
    <w:rsid w:val="00E77FE3"/>
    <w:rsid w:val="00E81B60"/>
    <w:rsid w:val="00E82053"/>
    <w:rsid w:val="00E82784"/>
    <w:rsid w:val="00E82C4F"/>
    <w:rsid w:val="00E8330A"/>
    <w:rsid w:val="00E83406"/>
    <w:rsid w:val="00E85B62"/>
    <w:rsid w:val="00E85BBF"/>
    <w:rsid w:val="00E871FC"/>
    <w:rsid w:val="00E87478"/>
    <w:rsid w:val="00E9430E"/>
    <w:rsid w:val="00E94534"/>
    <w:rsid w:val="00E958D5"/>
    <w:rsid w:val="00E95A67"/>
    <w:rsid w:val="00E96D43"/>
    <w:rsid w:val="00E97516"/>
    <w:rsid w:val="00EA1D9C"/>
    <w:rsid w:val="00EA2912"/>
    <w:rsid w:val="00EA49DA"/>
    <w:rsid w:val="00EA5E7A"/>
    <w:rsid w:val="00EA6122"/>
    <w:rsid w:val="00EA7553"/>
    <w:rsid w:val="00EB0431"/>
    <w:rsid w:val="00EB0E39"/>
    <w:rsid w:val="00EB0ED1"/>
    <w:rsid w:val="00EB1438"/>
    <w:rsid w:val="00EB2FB7"/>
    <w:rsid w:val="00EB3604"/>
    <w:rsid w:val="00EB3D4B"/>
    <w:rsid w:val="00EB5A9B"/>
    <w:rsid w:val="00EB65C9"/>
    <w:rsid w:val="00EB66E0"/>
    <w:rsid w:val="00EC0FFD"/>
    <w:rsid w:val="00EC2A52"/>
    <w:rsid w:val="00EC3E4C"/>
    <w:rsid w:val="00EC451C"/>
    <w:rsid w:val="00EC6621"/>
    <w:rsid w:val="00EC7695"/>
    <w:rsid w:val="00ED0E73"/>
    <w:rsid w:val="00ED1FBB"/>
    <w:rsid w:val="00ED51BF"/>
    <w:rsid w:val="00ED6CF8"/>
    <w:rsid w:val="00ED79C9"/>
    <w:rsid w:val="00ED7D44"/>
    <w:rsid w:val="00EE0030"/>
    <w:rsid w:val="00EE1232"/>
    <w:rsid w:val="00EE1F9B"/>
    <w:rsid w:val="00EE2C63"/>
    <w:rsid w:val="00EE4923"/>
    <w:rsid w:val="00EE5BAC"/>
    <w:rsid w:val="00EE5DA2"/>
    <w:rsid w:val="00EF0651"/>
    <w:rsid w:val="00EF1EAB"/>
    <w:rsid w:val="00EF52F5"/>
    <w:rsid w:val="00EF6CE3"/>
    <w:rsid w:val="00F0029B"/>
    <w:rsid w:val="00F00575"/>
    <w:rsid w:val="00F00D88"/>
    <w:rsid w:val="00F021B3"/>
    <w:rsid w:val="00F035CC"/>
    <w:rsid w:val="00F06D0A"/>
    <w:rsid w:val="00F0751C"/>
    <w:rsid w:val="00F142B7"/>
    <w:rsid w:val="00F16BAB"/>
    <w:rsid w:val="00F16F09"/>
    <w:rsid w:val="00F17442"/>
    <w:rsid w:val="00F20062"/>
    <w:rsid w:val="00F230A3"/>
    <w:rsid w:val="00F23280"/>
    <w:rsid w:val="00F27178"/>
    <w:rsid w:val="00F311AF"/>
    <w:rsid w:val="00F3166D"/>
    <w:rsid w:val="00F328B1"/>
    <w:rsid w:val="00F345FE"/>
    <w:rsid w:val="00F34800"/>
    <w:rsid w:val="00F3512F"/>
    <w:rsid w:val="00F355EF"/>
    <w:rsid w:val="00F40200"/>
    <w:rsid w:val="00F405BC"/>
    <w:rsid w:val="00F40FF9"/>
    <w:rsid w:val="00F425ED"/>
    <w:rsid w:val="00F42D7D"/>
    <w:rsid w:val="00F4391A"/>
    <w:rsid w:val="00F44599"/>
    <w:rsid w:val="00F46300"/>
    <w:rsid w:val="00F47BD4"/>
    <w:rsid w:val="00F506C3"/>
    <w:rsid w:val="00F50782"/>
    <w:rsid w:val="00F51831"/>
    <w:rsid w:val="00F51DCF"/>
    <w:rsid w:val="00F51F21"/>
    <w:rsid w:val="00F5238E"/>
    <w:rsid w:val="00F52F04"/>
    <w:rsid w:val="00F52F36"/>
    <w:rsid w:val="00F55958"/>
    <w:rsid w:val="00F559E1"/>
    <w:rsid w:val="00F564AF"/>
    <w:rsid w:val="00F572A7"/>
    <w:rsid w:val="00F6042E"/>
    <w:rsid w:val="00F61D22"/>
    <w:rsid w:val="00F62931"/>
    <w:rsid w:val="00F62E54"/>
    <w:rsid w:val="00F633BD"/>
    <w:rsid w:val="00F648ED"/>
    <w:rsid w:val="00F64EC3"/>
    <w:rsid w:val="00F70726"/>
    <w:rsid w:val="00F716DA"/>
    <w:rsid w:val="00F73EB2"/>
    <w:rsid w:val="00F75E25"/>
    <w:rsid w:val="00F76DB5"/>
    <w:rsid w:val="00F801D7"/>
    <w:rsid w:val="00F85618"/>
    <w:rsid w:val="00F85C0B"/>
    <w:rsid w:val="00F86546"/>
    <w:rsid w:val="00F90CCA"/>
    <w:rsid w:val="00F94213"/>
    <w:rsid w:val="00F944CB"/>
    <w:rsid w:val="00F94BCE"/>
    <w:rsid w:val="00F96EFA"/>
    <w:rsid w:val="00FA0899"/>
    <w:rsid w:val="00FA10E7"/>
    <w:rsid w:val="00FA159A"/>
    <w:rsid w:val="00FA3674"/>
    <w:rsid w:val="00FA4013"/>
    <w:rsid w:val="00FA4DD6"/>
    <w:rsid w:val="00FA612B"/>
    <w:rsid w:val="00FA765C"/>
    <w:rsid w:val="00FA7F3C"/>
    <w:rsid w:val="00FB056A"/>
    <w:rsid w:val="00FB4938"/>
    <w:rsid w:val="00FB5A78"/>
    <w:rsid w:val="00FB689E"/>
    <w:rsid w:val="00FB7544"/>
    <w:rsid w:val="00FC057A"/>
    <w:rsid w:val="00FC0FFC"/>
    <w:rsid w:val="00FC3AA9"/>
    <w:rsid w:val="00FC7917"/>
    <w:rsid w:val="00FD125E"/>
    <w:rsid w:val="00FD3284"/>
    <w:rsid w:val="00FD464E"/>
    <w:rsid w:val="00FD6522"/>
    <w:rsid w:val="00FE22D4"/>
    <w:rsid w:val="00FE3A97"/>
    <w:rsid w:val="00FE553B"/>
    <w:rsid w:val="00FE66F3"/>
    <w:rsid w:val="00FE68A9"/>
    <w:rsid w:val="00FE6F78"/>
    <w:rsid w:val="00FF07E5"/>
    <w:rsid w:val="00FF0CD6"/>
    <w:rsid w:val="00FF20F3"/>
    <w:rsid w:val="00FF3AC1"/>
    <w:rsid w:val="00FF3B8B"/>
    <w:rsid w:val="00FF4AB7"/>
    <w:rsid w:val="00FF52C7"/>
    <w:rsid w:val="00FF66BF"/>
    <w:rsid w:val="00FF6DC6"/>
    <w:rsid w:val="00FF7372"/>
    <w:rsid w:val="00FF7935"/>
    <w:rsid w:val="08EF07BB"/>
    <w:rsid w:val="0B51D7F9"/>
    <w:rsid w:val="0F69E27B"/>
    <w:rsid w:val="16612B94"/>
    <w:rsid w:val="203ACCD8"/>
    <w:rsid w:val="23B0414C"/>
    <w:rsid w:val="273203FC"/>
    <w:rsid w:val="44CD600C"/>
    <w:rsid w:val="5079E7C8"/>
    <w:rsid w:val="61384891"/>
    <w:rsid w:val="65CBF009"/>
    <w:rsid w:val="677D610F"/>
    <w:rsid w:val="76CF7103"/>
    <w:rsid w:val="795BA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0B44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47535F"/>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47535F"/>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47535F"/>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6403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64035"/>
    <w:pPr>
      <w:spacing w:after="0"/>
    </w:pPr>
  </w:style>
  <w:style w:type="paragraph" w:styleId="ListBullet">
    <w:name w:val="List Bullet"/>
    <w:basedOn w:val="Normal"/>
    <w:uiPriority w:val="99"/>
    <w:semiHidden/>
    <w:unhideWhenUsed/>
    <w:rsid w:val="00B64035"/>
    <w:pPr>
      <w:numPr>
        <w:numId w:val="1"/>
      </w:numPr>
      <w:contextualSpacing/>
    </w:pPr>
  </w:style>
  <w:style w:type="paragraph" w:styleId="ListBullet2">
    <w:name w:val="List Bullet 2"/>
    <w:basedOn w:val="Normal"/>
    <w:uiPriority w:val="99"/>
    <w:semiHidden/>
    <w:unhideWhenUsed/>
    <w:rsid w:val="00B64035"/>
    <w:pPr>
      <w:numPr>
        <w:numId w:val="2"/>
      </w:numPr>
      <w:contextualSpacing/>
    </w:pPr>
  </w:style>
  <w:style w:type="paragraph" w:styleId="ListBullet3">
    <w:name w:val="List Bullet 3"/>
    <w:basedOn w:val="Normal"/>
    <w:uiPriority w:val="99"/>
    <w:semiHidden/>
    <w:unhideWhenUsed/>
    <w:rsid w:val="00B64035"/>
    <w:pPr>
      <w:numPr>
        <w:numId w:val="3"/>
      </w:numPr>
      <w:contextualSpacing/>
    </w:pPr>
  </w:style>
  <w:style w:type="paragraph" w:styleId="ListBullet4">
    <w:name w:val="List Bullet 4"/>
    <w:basedOn w:val="Normal"/>
    <w:uiPriority w:val="99"/>
    <w:semiHidden/>
    <w:unhideWhenUsed/>
    <w:rsid w:val="00B64035"/>
    <w:pPr>
      <w:numPr>
        <w:numId w:val="4"/>
      </w:numPr>
      <w:contextualSpacing/>
    </w:pPr>
  </w:style>
  <w:style w:type="paragraph" w:styleId="ListNumber">
    <w:name w:val="List Number"/>
    <w:basedOn w:val="Normal"/>
    <w:uiPriority w:val="99"/>
    <w:semiHidden/>
    <w:unhideWhenUsed/>
    <w:rsid w:val="00B64035"/>
    <w:pPr>
      <w:numPr>
        <w:numId w:val="5"/>
      </w:numPr>
      <w:contextualSpacing/>
    </w:pPr>
  </w:style>
  <w:style w:type="paragraph" w:styleId="ListNumber2">
    <w:name w:val="List Number 2"/>
    <w:basedOn w:val="Normal"/>
    <w:uiPriority w:val="99"/>
    <w:semiHidden/>
    <w:unhideWhenUsed/>
    <w:rsid w:val="00B64035"/>
    <w:pPr>
      <w:numPr>
        <w:numId w:val="6"/>
      </w:numPr>
      <w:contextualSpacing/>
    </w:pPr>
  </w:style>
  <w:style w:type="paragraph" w:styleId="ListNumber3">
    <w:name w:val="List Number 3"/>
    <w:basedOn w:val="Normal"/>
    <w:uiPriority w:val="99"/>
    <w:semiHidden/>
    <w:unhideWhenUsed/>
    <w:rsid w:val="00B64035"/>
    <w:pPr>
      <w:numPr>
        <w:numId w:val="7"/>
      </w:numPr>
      <w:contextualSpacing/>
    </w:pPr>
  </w:style>
  <w:style w:type="paragraph" w:styleId="ListNumber4">
    <w:name w:val="List Number 4"/>
    <w:basedOn w:val="Normal"/>
    <w:uiPriority w:val="99"/>
    <w:semiHidden/>
    <w:unhideWhenUsed/>
    <w:rsid w:val="00B64035"/>
    <w:pPr>
      <w:numPr>
        <w:numId w:val="8"/>
      </w:numPr>
      <w:contextualSpacing/>
    </w:pPr>
  </w:style>
  <w:style w:type="table" w:styleId="TableGrid">
    <w:name w:val="Table Grid"/>
    <w:basedOn w:val="TableNormal"/>
    <w:uiPriority w:val="59"/>
    <w:rsid w:val="006A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D21F9"/>
    <w:rPr>
      <w:sz w:val="16"/>
      <w:szCs w:val="16"/>
    </w:rPr>
  </w:style>
  <w:style w:type="paragraph" w:styleId="CommentText">
    <w:name w:val="annotation text"/>
    <w:basedOn w:val="Normal"/>
    <w:link w:val="CommentTextChar"/>
    <w:uiPriority w:val="99"/>
    <w:unhideWhenUsed/>
    <w:rsid w:val="002D21F9"/>
    <w:rPr>
      <w:sz w:val="20"/>
      <w:szCs w:val="20"/>
    </w:rPr>
  </w:style>
  <w:style w:type="character" w:customStyle="1" w:styleId="CommentTextChar">
    <w:name w:val="Comment Text Char"/>
    <w:basedOn w:val="DefaultParagraphFont"/>
    <w:link w:val="CommentText"/>
    <w:uiPriority w:val="99"/>
    <w:rsid w:val="002D21F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21F9"/>
    <w:rPr>
      <w:b/>
      <w:bCs/>
    </w:rPr>
  </w:style>
  <w:style w:type="character" w:customStyle="1" w:styleId="CommentSubjectChar">
    <w:name w:val="Comment Subject Char"/>
    <w:basedOn w:val="CommentTextChar"/>
    <w:link w:val="CommentSubject"/>
    <w:uiPriority w:val="99"/>
    <w:semiHidden/>
    <w:rsid w:val="002D21F9"/>
    <w:rPr>
      <w:rFonts w:ascii="Times New Roman" w:hAnsi="Times New Roman" w:cs="Times New Roman"/>
      <w:b/>
      <w:bCs/>
      <w:sz w:val="20"/>
      <w:szCs w:val="20"/>
      <w:lang w:val="en-GB"/>
    </w:rPr>
  </w:style>
  <w:style w:type="character" w:styleId="Hyperlink">
    <w:name w:val="Hyperlink"/>
    <w:basedOn w:val="DefaultParagraphFont"/>
    <w:uiPriority w:val="99"/>
    <w:unhideWhenUsed/>
    <w:rsid w:val="002D21F9"/>
    <w:rPr>
      <w:color w:val="0000FF" w:themeColor="hyperlink"/>
      <w:u w:val="single"/>
    </w:rPr>
  </w:style>
  <w:style w:type="paragraph" w:styleId="BalloonText">
    <w:name w:val="Balloon Text"/>
    <w:basedOn w:val="Normal"/>
    <w:link w:val="BalloonTextChar"/>
    <w:uiPriority w:val="99"/>
    <w:semiHidden/>
    <w:unhideWhenUsed/>
    <w:rsid w:val="001F6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DD"/>
    <w:rPr>
      <w:rFonts w:ascii="Segoe UI" w:hAnsi="Segoe UI" w:cs="Segoe UI"/>
      <w:sz w:val="18"/>
      <w:szCs w:val="18"/>
      <w:lang w:val="en-GB"/>
    </w:rPr>
  </w:style>
  <w:style w:type="paragraph" w:customStyle="1" w:styleId="AnnexTitle">
    <w:name w:val="AnnexTitle"/>
    <w:basedOn w:val="Normal"/>
    <w:next w:val="Normal"/>
    <w:uiPriority w:val="90"/>
    <w:qFormat/>
    <w:rsid w:val="00E67FE7"/>
    <w:pPr>
      <w:pageBreakBefore/>
      <w:numPr>
        <w:numId w:val="9"/>
      </w:numPr>
      <w:spacing w:before="0" w:after="480"/>
      <w:outlineLvl w:val="0"/>
    </w:pPr>
    <w:rPr>
      <w:rFonts w:eastAsia="Times New Roman"/>
      <w:b/>
      <w:sz w:val="32"/>
      <w:szCs w:val="20"/>
    </w:rPr>
  </w:style>
  <w:style w:type="character" w:styleId="Emphasis">
    <w:name w:val="Emphasis"/>
    <w:basedOn w:val="DefaultParagraphFont"/>
    <w:uiPriority w:val="20"/>
    <w:qFormat/>
    <w:rsid w:val="009B1ED2"/>
    <w:rPr>
      <w:i/>
      <w:iCs/>
    </w:rPr>
  </w:style>
  <w:style w:type="paragraph" w:styleId="ListParagraph">
    <w:name w:val="List Paragraph"/>
    <w:basedOn w:val="Normal"/>
    <w:uiPriority w:val="34"/>
    <w:qFormat/>
    <w:rsid w:val="000E366D"/>
    <w:pPr>
      <w:ind w:left="720"/>
      <w:contextualSpacing/>
    </w:pPr>
  </w:style>
  <w:style w:type="paragraph" w:styleId="Revision">
    <w:name w:val="Revision"/>
    <w:hidden/>
    <w:uiPriority w:val="99"/>
    <w:semiHidden/>
    <w:rsid w:val="00F62E54"/>
    <w:pPr>
      <w:spacing w:after="0" w:line="240" w:lineRule="auto"/>
    </w:pPr>
    <w:rPr>
      <w:rFonts w:ascii="Times New Roman" w:hAnsi="Times New Roman" w:cs="Times New Roman"/>
      <w:sz w:val="24"/>
      <w:lang w:val="en-GB"/>
    </w:rPr>
  </w:style>
  <w:style w:type="paragraph" w:customStyle="1" w:styleId="Default">
    <w:name w:val="Default"/>
    <w:rsid w:val="00E56144"/>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BE66AB"/>
    <w:rPr>
      <w:szCs w:val="24"/>
    </w:rPr>
  </w:style>
  <w:style w:type="paragraph" w:styleId="Header">
    <w:name w:val="header"/>
    <w:basedOn w:val="Normal"/>
    <w:link w:val="HeaderChar"/>
    <w:uiPriority w:val="99"/>
    <w:unhideWhenUsed/>
    <w:rsid w:val="00A1638D"/>
    <w:pPr>
      <w:tabs>
        <w:tab w:val="center" w:pos="4535"/>
        <w:tab w:val="right" w:pos="9071"/>
      </w:tabs>
      <w:spacing w:before="0"/>
    </w:pPr>
  </w:style>
  <w:style w:type="character" w:customStyle="1" w:styleId="HeaderChar">
    <w:name w:val="Header Char"/>
    <w:basedOn w:val="DefaultParagraphFont"/>
    <w:link w:val="Header"/>
    <w:uiPriority w:val="99"/>
    <w:rsid w:val="00A1638D"/>
    <w:rPr>
      <w:rFonts w:ascii="Times New Roman" w:hAnsi="Times New Roman" w:cs="Times New Roman"/>
      <w:sz w:val="24"/>
      <w:lang w:val="en-GB"/>
    </w:rPr>
  </w:style>
  <w:style w:type="paragraph" w:styleId="Footer">
    <w:name w:val="footer"/>
    <w:basedOn w:val="Normal"/>
    <w:link w:val="FooterChar"/>
    <w:uiPriority w:val="99"/>
    <w:unhideWhenUsed/>
    <w:rsid w:val="00A1638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1638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1638D"/>
    <w:pPr>
      <w:tabs>
        <w:tab w:val="center" w:pos="7285"/>
        <w:tab w:val="right" w:pos="14003"/>
      </w:tabs>
      <w:spacing w:before="0"/>
    </w:pPr>
  </w:style>
  <w:style w:type="paragraph" w:customStyle="1" w:styleId="FooterLandscape">
    <w:name w:val="FooterLandscape"/>
    <w:basedOn w:val="Normal"/>
    <w:rsid w:val="00A1638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1638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1638D"/>
    <w:pPr>
      <w:spacing w:before="0"/>
      <w:jc w:val="right"/>
    </w:pPr>
    <w:rPr>
      <w:sz w:val="28"/>
    </w:rPr>
  </w:style>
  <w:style w:type="paragraph" w:customStyle="1" w:styleId="FooterSensitivity">
    <w:name w:val="Footer Sensitivity"/>
    <w:basedOn w:val="Normal"/>
    <w:rsid w:val="00A1638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3"/>
      </w:numPr>
    </w:pPr>
  </w:style>
  <w:style w:type="paragraph" w:customStyle="1" w:styleId="Tiret1">
    <w:name w:val="Tiret 1"/>
    <w:basedOn w:val="Point1"/>
    <w:rsid w:val="009B7138"/>
    <w:pPr>
      <w:numPr>
        <w:numId w:val="14"/>
      </w:numPr>
    </w:pPr>
  </w:style>
  <w:style w:type="paragraph" w:customStyle="1" w:styleId="Tiret2">
    <w:name w:val="Tiret 2"/>
    <w:basedOn w:val="Point2"/>
    <w:rsid w:val="009B7138"/>
    <w:pPr>
      <w:numPr>
        <w:numId w:val="15"/>
      </w:numPr>
    </w:pPr>
  </w:style>
  <w:style w:type="paragraph" w:customStyle="1" w:styleId="Tiret3">
    <w:name w:val="Tiret 3"/>
    <w:basedOn w:val="Point3"/>
    <w:rsid w:val="009B7138"/>
    <w:pPr>
      <w:numPr>
        <w:numId w:val="16"/>
      </w:numPr>
    </w:pPr>
  </w:style>
  <w:style w:type="paragraph" w:customStyle="1" w:styleId="Tiret4">
    <w:name w:val="Tiret 4"/>
    <w:basedOn w:val="Point4"/>
    <w:rsid w:val="009B7138"/>
    <w:pPr>
      <w:numPr>
        <w:numId w:val="1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3"/>
      </w:numPr>
    </w:pPr>
  </w:style>
  <w:style w:type="paragraph" w:customStyle="1" w:styleId="NumPar2">
    <w:name w:val="NumPar 2"/>
    <w:basedOn w:val="Normal"/>
    <w:next w:val="Text1"/>
    <w:rsid w:val="009B7138"/>
    <w:pPr>
      <w:numPr>
        <w:ilvl w:val="1"/>
        <w:numId w:val="33"/>
      </w:numPr>
    </w:pPr>
  </w:style>
  <w:style w:type="paragraph" w:customStyle="1" w:styleId="NumPar3">
    <w:name w:val="NumPar 3"/>
    <w:basedOn w:val="Normal"/>
    <w:next w:val="Text1"/>
    <w:rsid w:val="009B7138"/>
    <w:pPr>
      <w:numPr>
        <w:ilvl w:val="2"/>
        <w:numId w:val="33"/>
      </w:numPr>
    </w:pPr>
  </w:style>
  <w:style w:type="paragraph" w:customStyle="1" w:styleId="NumPar4">
    <w:name w:val="NumPar 4"/>
    <w:basedOn w:val="Normal"/>
    <w:next w:val="Text1"/>
    <w:rsid w:val="009B7138"/>
    <w:pPr>
      <w:numPr>
        <w:ilvl w:val="3"/>
        <w:numId w:val="3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0"/>
      </w:numPr>
    </w:pPr>
  </w:style>
  <w:style w:type="paragraph" w:customStyle="1" w:styleId="Point1number">
    <w:name w:val="Point 1 (number)"/>
    <w:basedOn w:val="Normal"/>
    <w:rsid w:val="009B7138"/>
    <w:pPr>
      <w:numPr>
        <w:ilvl w:val="2"/>
        <w:numId w:val="20"/>
      </w:numPr>
    </w:pPr>
  </w:style>
  <w:style w:type="paragraph" w:customStyle="1" w:styleId="Point2number">
    <w:name w:val="Point 2 (number)"/>
    <w:basedOn w:val="Normal"/>
    <w:rsid w:val="009B7138"/>
    <w:pPr>
      <w:numPr>
        <w:ilvl w:val="4"/>
        <w:numId w:val="20"/>
      </w:numPr>
    </w:pPr>
  </w:style>
  <w:style w:type="paragraph" w:customStyle="1" w:styleId="Point3number">
    <w:name w:val="Point 3 (number)"/>
    <w:basedOn w:val="Normal"/>
    <w:rsid w:val="009B7138"/>
    <w:pPr>
      <w:numPr>
        <w:ilvl w:val="6"/>
        <w:numId w:val="20"/>
      </w:numPr>
    </w:pPr>
  </w:style>
  <w:style w:type="paragraph" w:customStyle="1" w:styleId="Point0letter">
    <w:name w:val="Point 0 (letter)"/>
    <w:basedOn w:val="Normal"/>
    <w:rsid w:val="009B7138"/>
    <w:pPr>
      <w:numPr>
        <w:ilvl w:val="1"/>
        <w:numId w:val="20"/>
      </w:numPr>
    </w:pPr>
  </w:style>
  <w:style w:type="paragraph" w:customStyle="1" w:styleId="Point1letter">
    <w:name w:val="Point 1 (letter)"/>
    <w:basedOn w:val="Normal"/>
    <w:rsid w:val="009B7138"/>
    <w:pPr>
      <w:numPr>
        <w:ilvl w:val="3"/>
        <w:numId w:val="20"/>
      </w:numPr>
    </w:pPr>
  </w:style>
  <w:style w:type="paragraph" w:customStyle="1" w:styleId="Point2letter">
    <w:name w:val="Point 2 (letter)"/>
    <w:basedOn w:val="Normal"/>
    <w:rsid w:val="009B7138"/>
    <w:pPr>
      <w:numPr>
        <w:ilvl w:val="5"/>
        <w:numId w:val="20"/>
      </w:numPr>
    </w:pPr>
  </w:style>
  <w:style w:type="paragraph" w:customStyle="1" w:styleId="Point3letter">
    <w:name w:val="Point 3 (letter)"/>
    <w:basedOn w:val="Normal"/>
    <w:rsid w:val="009B7138"/>
    <w:pPr>
      <w:numPr>
        <w:ilvl w:val="7"/>
        <w:numId w:val="20"/>
      </w:numPr>
    </w:pPr>
  </w:style>
  <w:style w:type="paragraph" w:customStyle="1" w:styleId="Point4letter">
    <w:name w:val="Point 4 (letter)"/>
    <w:basedOn w:val="Normal"/>
    <w:rsid w:val="009B7138"/>
    <w:pPr>
      <w:numPr>
        <w:ilvl w:val="8"/>
        <w:numId w:val="20"/>
      </w:numPr>
    </w:pPr>
  </w:style>
  <w:style w:type="paragraph" w:customStyle="1" w:styleId="Bullet0">
    <w:name w:val="Bullet 0"/>
    <w:basedOn w:val="Normal"/>
    <w:rsid w:val="009B7138"/>
    <w:pPr>
      <w:numPr>
        <w:numId w:val="21"/>
      </w:numPr>
    </w:pPr>
  </w:style>
  <w:style w:type="paragraph" w:customStyle="1" w:styleId="Bullet1">
    <w:name w:val="Bullet 1"/>
    <w:basedOn w:val="Normal"/>
    <w:rsid w:val="009B7138"/>
    <w:pPr>
      <w:numPr>
        <w:numId w:val="22"/>
      </w:numPr>
    </w:pPr>
  </w:style>
  <w:style w:type="paragraph" w:customStyle="1" w:styleId="Bullet2">
    <w:name w:val="Bullet 2"/>
    <w:basedOn w:val="Normal"/>
    <w:rsid w:val="009B7138"/>
    <w:pPr>
      <w:numPr>
        <w:numId w:val="23"/>
      </w:numPr>
    </w:pPr>
  </w:style>
  <w:style w:type="paragraph" w:customStyle="1" w:styleId="Bullet3">
    <w:name w:val="Bullet 3"/>
    <w:basedOn w:val="Normal"/>
    <w:rsid w:val="009B7138"/>
    <w:pPr>
      <w:numPr>
        <w:numId w:val="24"/>
      </w:numPr>
    </w:pPr>
  </w:style>
  <w:style w:type="paragraph" w:customStyle="1" w:styleId="Bullet4">
    <w:name w:val="Bullet 4"/>
    <w:basedOn w:val="Normal"/>
    <w:rsid w:val="009B7138"/>
    <w:pPr>
      <w:numPr>
        <w:numId w:val="25"/>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6"/>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47535F"/>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47535F"/>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47535F"/>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47535F"/>
    <w:pPr>
      <w:keepNext/>
      <w:tabs>
        <w:tab w:val="left" w:pos="1417"/>
      </w:tabs>
      <w:ind w:left="1417" w:hanging="1417"/>
      <w:outlineLvl w:val="4"/>
    </w:pPr>
  </w:style>
  <w:style w:type="paragraph" w:customStyle="1" w:styleId="ManualHeading6">
    <w:name w:val="Manual Heading 6"/>
    <w:basedOn w:val="Normal"/>
    <w:next w:val="Text2"/>
    <w:rsid w:val="0047535F"/>
    <w:pPr>
      <w:keepNext/>
      <w:tabs>
        <w:tab w:val="left" w:pos="1417"/>
      </w:tabs>
      <w:ind w:left="1417" w:hanging="1417"/>
      <w:outlineLvl w:val="5"/>
    </w:pPr>
  </w:style>
  <w:style w:type="paragraph" w:customStyle="1" w:styleId="ManualHeading7">
    <w:name w:val="Manual Heading 7"/>
    <w:basedOn w:val="Normal"/>
    <w:next w:val="Text2"/>
    <w:rsid w:val="0047535F"/>
    <w:pPr>
      <w:keepNext/>
      <w:tabs>
        <w:tab w:val="left" w:pos="1417"/>
      </w:tabs>
      <w:ind w:left="1417" w:hanging="1417"/>
      <w:outlineLvl w:val="6"/>
    </w:pPr>
  </w:style>
  <w:style w:type="paragraph" w:customStyle="1" w:styleId="Text5">
    <w:name w:val="Text 5"/>
    <w:basedOn w:val="Normal"/>
    <w:rsid w:val="0047535F"/>
    <w:pPr>
      <w:ind w:left="3118"/>
    </w:pPr>
  </w:style>
  <w:style w:type="paragraph" w:customStyle="1" w:styleId="Text6">
    <w:name w:val="Text 6"/>
    <w:basedOn w:val="Normal"/>
    <w:rsid w:val="0047535F"/>
    <w:pPr>
      <w:ind w:left="3685"/>
    </w:pPr>
  </w:style>
  <w:style w:type="paragraph" w:customStyle="1" w:styleId="Point5">
    <w:name w:val="Point 5"/>
    <w:basedOn w:val="Normal"/>
    <w:rsid w:val="0047535F"/>
    <w:pPr>
      <w:ind w:left="3685" w:hanging="567"/>
    </w:pPr>
  </w:style>
  <w:style w:type="paragraph" w:customStyle="1" w:styleId="Tiret5">
    <w:name w:val="Tiret 5"/>
    <w:basedOn w:val="Point5"/>
    <w:rsid w:val="0047535F"/>
    <w:pPr>
      <w:numPr>
        <w:numId w:val="30"/>
      </w:numPr>
    </w:pPr>
  </w:style>
  <w:style w:type="paragraph" w:customStyle="1" w:styleId="NumPar5">
    <w:name w:val="NumPar 5"/>
    <w:basedOn w:val="Normal"/>
    <w:next w:val="Text2"/>
    <w:rsid w:val="0047535F"/>
    <w:pPr>
      <w:numPr>
        <w:ilvl w:val="4"/>
        <w:numId w:val="33"/>
      </w:numPr>
    </w:pPr>
  </w:style>
  <w:style w:type="paragraph" w:customStyle="1" w:styleId="NumPar6">
    <w:name w:val="NumPar 6"/>
    <w:basedOn w:val="Normal"/>
    <w:next w:val="Text2"/>
    <w:rsid w:val="0047535F"/>
    <w:pPr>
      <w:numPr>
        <w:ilvl w:val="5"/>
        <w:numId w:val="33"/>
      </w:numPr>
    </w:pPr>
  </w:style>
  <w:style w:type="paragraph" w:customStyle="1" w:styleId="NumPar7">
    <w:name w:val="NumPar 7"/>
    <w:basedOn w:val="Normal"/>
    <w:next w:val="Text2"/>
    <w:rsid w:val="0047535F"/>
    <w:pPr>
      <w:numPr>
        <w:ilvl w:val="6"/>
        <w:numId w:val="33"/>
      </w:numPr>
    </w:pPr>
  </w:style>
  <w:style w:type="paragraph" w:customStyle="1" w:styleId="ManualNumPar5">
    <w:name w:val="Manual NumPar 5"/>
    <w:basedOn w:val="Normal"/>
    <w:next w:val="Text2"/>
    <w:rsid w:val="0047535F"/>
    <w:pPr>
      <w:ind w:left="1417" w:hanging="1417"/>
    </w:pPr>
  </w:style>
  <w:style w:type="paragraph" w:customStyle="1" w:styleId="ManualNumPar6">
    <w:name w:val="Manual NumPar 6"/>
    <w:basedOn w:val="Normal"/>
    <w:next w:val="Text2"/>
    <w:rsid w:val="0047535F"/>
    <w:pPr>
      <w:ind w:left="1417" w:hanging="1417"/>
    </w:pPr>
  </w:style>
  <w:style w:type="paragraph" w:customStyle="1" w:styleId="ManualNumPar7">
    <w:name w:val="Manual NumPar 7"/>
    <w:basedOn w:val="Normal"/>
    <w:next w:val="Text2"/>
    <w:rsid w:val="0047535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4659">
      <w:bodyDiv w:val="1"/>
      <w:marLeft w:val="0"/>
      <w:marRight w:val="0"/>
      <w:marTop w:val="0"/>
      <w:marBottom w:val="0"/>
      <w:divBdr>
        <w:top w:val="none" w:sz="0" w:space="0" w:color="auto"/>
        <w:left w:val="none" w:sz="0" w:space="0" w:color="auto"/>
        <w:bottom w:val="none" w:sz="0" w:space="0" w:color="auto"/>
        <w:right w:val="none" w:sz="0" w:space="0" w:color="auto"/>
      </w:divBdr>
    </w:div>
    <w:div w:id="421343457">
      <w:bodyDiv w:val="1"/>
      <w:marLeft w:val="0"/>
      <w:marRight w:val="0"/>
      <w:marTop w:val="0"/>
      <w:marBottom w:val="0"/>
      <w:divBdr>
        <w:top w:val="none" w:sz="0" w:space="0" w:color="auto"/>
        <w:left w:val="none" w:sz="0" w:space="0" w:color="auto"/>
        <w:bottom w:val="none" w:sz="0" w:space="0" w:color="auto"/>
        <w:right w:val="none" w:sz="0" w:space="0" w:color="auto"/>
      </w:divBdr>
    </w:div>
    <w:div w:id="1174032732">
      <w:bodyDiv w:val="1"/>
      <w:marLeft w:val="0"/>
      <w:marRight w:val="0"/>
      <w:marTop w:val="0"/>
      <w:marBottom w:val="0"/>
      <w:divBdr>
        <w:top w:val="none" w:sz="0" w:space="0" w:color="auto"/>
        <w:left w:val="none" w:sz="0" w:space="0" w:color="auto"/>
        <w:bottom w:val="none" w:sz="0" w:space="0" w:color="auto"/>
        <w:right w:val="none" w:sz="0" w:space="0" w:color="auto"/>
      </w:divBdr>
    </w:div>
    <w:div w:id="1208298230">
      <w:bodyDiv w:val="1"/>
      <w:marLeft w:val="0"/>
      <w:marRight w:val="0"/>
      <w:marTop w:val="0"/>
      <w:marBottom w:val="0"/>
      <w:divBdr>
        <w:top w:val="none" w:sz="0" w:space="0" w:color="auto"/>
        <w:left w:val="none" w:sz="0" w:space="0" w:color="auto"/>
        <w:bottom w:val="none" w:sz="0" w:space="0" w:color="auto"/>
        <w:right w:val="none" w:sz="0" w:space="0" w:color="auto"/>
      </w:divBdr>
    </w:div>
    <w:div w:id="1701735715">
      <w:bodyDiv w:val="1"/>
      <w:marLeft w:val="0"/>
      <w:marRight w:val="0"/>
      <w:marTop w:val="0"/>
      <w:marBottom w:val="0"/>
      <w:divBdr>
        <w:top w:val="none" w:sz="0" w:space="0" w:color="auto"/>
        <w:left w:val="none" w:sz="0" w:space="0" w:color="auto"/>
        <w:bottom w:val="none" w:sz="0" w:space="0" w:color="auto"/>
        <w:right w:val="none" w:sz="0" w:space="0" w:color="auto"/>
      </w:divBdr>
    </w:div>
    <w:div w:id="1727993368">
      <w:bodyDiv w:val="1"/>
      <w:marLeft w:val="0"/>
      <w:marRight w:val="0"/>
      <w:marTop w:val="0"/>
      <w:marBottom w:val="0"/>
      <w:divBdr>
        <w:top w:val="none" w:sz="0" w:space="0" w:color="auto"/>
        <w:left w:val="none" w:sz="0" w:space="0" w:color="auto"/>
        <w:bottom w:val="none" w:sz="0" w:space="0" w:color="auto"/>
        <w:right w:val="none" w:sz="0" w:space="0" w:color="auto"/>
      </w:divBdr>
    </w:div>
    <w:div w:id="1752001989">
      <w:bodyDiv w:val="1"/>
      <w:marLeft w:val="0"/>
      <w:marRight w:val="0"/>
      <w:marTop w:val="0"/>
      <w:marBottom w:val="0"/>
      <w:divBdr>
        <w:top w:val="none" w:sz="0" w:space="0" w:color="auto"/>
        <w:left w:val="none" w:sz="0" w:space="0" w:color="auto"/>
        <w:bottom w:val="none" w:sz="0" w:space="0" w:color="auto"/>
        <w:right w:val="none" w:sz="0" w:space="0" w:color="auto"/>
      </w:divBdr>
    </w:div>
    <w:div w:id="1990622570">
      <w:bodyDiv w:val="1"/>
      <w:marLeft w:val="0"/>
      <w:marRight w:val="0"/>
      <w:marTop w:val="0"/>
      <w:marBottom w:val="0"/>
      <w:divBdr>
        <w:top w:val="none" w:sz="0" w:space="0" w:color="auto"/>
        <w:left w:val="none" w:sz="0" w:space="0" w:color="auto"/>
        <w:bottom w:val="none" w:sz="0" w:space="0" w:color="auto"/>
        <w:right w:val="none" w:sz="0" w:space="0" w:color="auto"/>
      </w:divBdr>
    </w:div>
    <w:div w:id="2001732565">
      <w:bodyDiv w:val="1"/>
      <w:marLeft w:val="0"/>
      <w:marRight w:val="0"/>
      <w:marTop w:val="0"/>
      <w:marBottom w:val="0"/>
      <w:divBdr>
        <w:top w:val="none" w:sz="0" w:space="0" w:color="auto"/>
        <w:left w:val="none" w:sz="0" w:space="0" w:color="auto"/>
        <w:bottom w:val="none" w:sz="0" w:space="0" w:color="auto"/>
        <w:right w:val="none" w:sz="0" w:space="0" w:color="auto"/>
      </w:divBdr>
    </w:div>
    <w:div w:id="2027511047">
      <w:bodyDiv w:val="1"/>
      <w:marLeft w:val="0"/>
      <w:marRight w:val="0"/>
      <w:marTop w:val="0"/>
      <w:marBottom w:val="0"/>
      <w:divBdr>
        <w:top w:val="none" w:sz="0" w:space="0" w:color="auto"/>
        <w:left w:val="none" w:sz="0" w:space="0" w:color="auto"/>
        <w:bottom w:val="none" w:sz="0" w:space="0" w:color="auto"/>
        <w:right w:val="none" w:sz="0" w:space="0" w:color="auto"/>
      </w:divBdr>
    </w:div>
    <w:div w:id="20791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9:09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NHRUTF4F6DR2-326283604-1398</_dlc_DocId>
    <_dlc_DocIdUrl xmlns="b9a1bbf4-3872-40cb-a1a3-b88a292b9176">
      <Url>https://myintracomm-collab.ec.europa.eu/dg/budg/unit-B2-site/_layouts/15/DocIdRedir.aspx?ID=NHRUTF4F6DR2-326283604-1398</Url>
      <Description>NHRUTF4F6DR2-326283604-1398</Description>
    </_dlc_DocIdUrl>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NHRUTF4F6DR2-326283604-1420</_dlc_DocId>
    <_dlc_DocIdUrl xmlns="b9a1bbf4-3872-40cb-a1a3-b88a292b9176">
      <Url>https://myintracomm-collab.ec.europa.eu/dg/budg/unit-B2-site/_layouts/15/DocIdRedir.aspx?ID=NHRUTF4F6DR2-326283604-1420</Url>
      <Description>NHRUTF4F6DR2-326283604-1420</Description>
    </_dlc_DocIdUrl>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AEB4-DDA1-48B5-A4EB-65FE92F45C10}">
  <ds:schemaRefs>
    <ds:schemaRef ds:uri="http://schemas.microsoft.com/sharepoint/v3/contenttype/forms"/>
  </ds:schemaRefs>
</ds:datastoreItem>
</file>

<file path=customXml/itemProps2.xml><?xml version="1.0" encoding="utf-8"?>
<ds:datastoreItem xmlns:ds="http://schemas.openxmlformats.org/officeDocument/2006/customXml" ds:itemID="{FE9308C8-4ABD-47D8-A73E-210BF749D490}">
  <ds:schemaRefs>
    <ds:schemaRef ds:uri="1449cb01-ac7f-4105-a4f6-aace6d33820e"/>
    <ds:schemaRef ds:uri="http://schemas.microsoft.com/office/infopath/2007/PartnerControls"/>
    <ds:schemaRef ds:uri="http://purl.org/dc/terms/"/>
    <ds:schemaRef ds:uri="http://schemas.microsoft.com/office/2006/documentManagement/types"/>
    <ds:schemaRef ds:uri="b9a1bbf4-3872-40cb-a1a3-b88a292b917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190384-0369-4C10-8F0A-4D562AB8CBDC}">
  <ds:schemaRefs>
    <ds:schemaRef ds:uri="http://schemas.microsoft.com/office/2006/metadata/properties"/>
    <ds:schemaRef ds:uri="http://schemas.microsoft.com/office/infopath/2007/PartnerControls"/>
    <ds:schemaRef ds:uri="b9a1bbf4-3872-40cb-a1a3-b88a292b9176"/>
    <ds:schemaRef ds:uri="1449cb01-ac7f-4105-a4f6-aace6d33820e"/>
  </ds:schemaRefs>
</ds:datastoreItem>
</file>

<file path=customXml/itemProps4.xml><?xml version="1.0" encoding="utf-8"?>
<ds:datastoreItem xmlns:ds="http://schemas.openxmlformats.org/officeDocument/2006/customXml" ds:itemID="{B38C7085-BD81-4219-BD10-399EE91F9D3F}">
  <ds:schemaRefs>
    <ds:schemaRef ds:uri="http://schemas.microsoft.com/sharepoint/events"/>
  </ds:schemaRefs>
</ds:datastoreItem>
</file>

<file path=customXml/itemProps5.xml><?xml version="1.0" encoding="utf-8"?>
<ds:datastoreItem xmlns:ds="http://schemas.openxmlformats.org/officeDocument/2006/customXml" ds:itemID="{6B6EA543-7E08-4398-A2CC-9E7DC16C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B22819-1964-4104-9FE5-E001F89B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8160C5-FDDB-4229-A286-6BB0A34A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4EDA68B-48F7-4C0C-A20E-1253E317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2719</Words>
  <Characters>14629</Characters>
  <Application>Microsoft Office Word</Application>
  <DocSecurity>0</DocSecurity>
  <Lines>256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2021-12-21T10:17:00Z</dcterms:created>
  <dcterms:modified xsi:type="dcterms:W3CDTF">2021-12-21T19:19:00Z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ContentTypeId">
    <vt:lpwstr>0x010100258AA79CEB83498886A3A086811232500003712021FDB5874F9699F85B57306198</vt:lpwstr>
  </property>
  <property fmtid="{D5CDD505-2E9C-101B-9397-08002B2CF9AE}" pid="6" name="_dlc_DocIdItemGuid">
    <vt:lpwstr>e58dfa3c-c744-454c-9588-ece256c4c753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