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5F8E7" w14:textId="09676B09" w:rsidR="00EC044F" w:rsidRPr="006B0F72" w:rsidRDefault="00D77511" w:rsidP="00D77511">
      <w:pPr>
        <w:pStyle w:val="Pagedecouverture"/>
        <w:rPr>
          <w:noProof/>
        </w:rPr>
      </w:pPr>
      <w:r>
        <w:rPr>
          <w:noProof/>
        </w:rPr>
        <w:pict w14:anchorId="1030D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0E23FA3-4836-4188-82D5-E034380FBCD8" style="width:455.25pt;height:399pt">
            <v:imagedata r:id="rId11" o:title=""/>
          </v:shape>
        </w:pict>
      </w:r>
    </w:p>
    <w:p w14:paraId="1DFA6D71" w14:textId="77777777" w:rsidR="001A7B88" w:rsidRPr="006B0F72" w:rsidRDefault="001A7B88" w:rsidP="001A7B88">
      <w:pPr>
        <w:rPr>
          <w:noProof/>
        </w:rPr>
        <w:sectPr w:rsidR="001A7B88" w:rsidRPr="006B0F72" w:rsidSect="00D77511">
          <w:footerReference w:type="default" r:id="rId12"/>
          <w:pgSz w:w="11907" w:h="16839"/>
          <w:pgMar w:top="1134" w:right="1417" w:bottom="1134" w:left="1417" w:header="709" w:footer="709" w:gutter="0"/>
          <w:pgNumType w:start="1"/>
          <w:cols w:space="720"/>
          <w:docGrid w:linePitch="360"/>
        </w:sectPr>
      </w:pPr>
    </w:p>
    <w:p w14:paraId="2B455262" w14:textId="77777777" w:rsidR="001A7B88" w:rsidRPr="006B0F72" w:rsidRDefault="001A7B88" w:rsidP="001A7B88">
      <w:pPr>
        <w:pStyle w:val="Exposdesmotifstitre"/>
        <w:rPr>
          <w:noProof/>
        </w:rPr>
      </w:pPr>
      <w:bookmarkStart w:id="0" w:name="_GoBack"/>
      <w:bookmarkEnd w:id="0"/>
      <w:r w:rsidRPr="006B0F72">
        <w:rPr>
          <w:noProof/>
        </w:rPr>
        <w:lastRenderedPageBreak/>
        <w:t>OBRAZLOŽITVENI MEMORANDUM</w:t>
      </w:r>
    </w:p>
    <w:p w14:paraId="1D763446" w14:textId="77777777" w:rsidR="00CD623F" w:rsidRPr="006B0F72" w:rsidRDefault="00CD623F" w:rsidP="002E61AD">
      <w:pPr>
        <w:pStyle w:val="ManualHeading1"/>
        <w:rPr>
          <w:noProof/>
        </w:rPr>
      </w:pPr>
      <w:r w:rsidRPr="006B0F72">
        <w:rPr>
          <w:noProof/>
        </w:rPr>
        <w:t>OZADJE PREDLOGA</w:t>
      </w:r>
    </w:p>
    <w:p w14:paraId="5AC01D85" w14:textId="77777777" w:rsidR="00CD623F" w:rsidRPr="006B0F72" w:rsidRDefault="00CD623F" w:rsidP="002E61AD">
      <w:pPr>
        <w:pStyle w:val="ManualHeading2"/>
        <w:rPr>
          <w:noProof/>
        </w:rPr>
      </w:pPr>
      <w:r w:rsidRPr="006B0F72">
        <w:rPr>
          <w:noProof/>
        </w:rPr>
        <w:t>Razlogi za predlog in njegovi cilji</w:t>
      </w:r>
    </w:p>
    <w:p w14:paraId="17396B15" w14:textId="77777777" w:rsidR="00CD623F" w:rsidRPr="006B0F72" w:rsidRDefault="00CD623F" w:rsidP="00CD623F">
      <w:pPr>
        <w:rPr>
          <w:noProof/>
        </w:rPr>
      </w:pPr>
      <w:r w:rsidRPr="006B0F72">
        <w:rPr>
          <w:noProof/>
        </w:rPr>
        <w:t>Kljub prizadevanjem EU in mednarodne skupnosti se izguba biotske raznovrstnosti in degradacija ekosistemov nadaljujeta z zaskrbljujočo hitrostjo, kar škodi ljudem, gospodarstvu in podnebju. To je dobro dokumentirano, zlasti v poročilih Medvladnega panela za podnebne spremembe (IPCC)</w:t>
      </w:r>
      <w:r w:rsidRPr="006B0F72">
        <w:rPr>
          <w:rStyle w:val="FootnoteReference"/>
          <w:rFonts w:eastAsia="Times New Roman"/>
          <w:noProof/>
        </w:rPr>
        <w:footnoteReference w:id="2"/>
      </w:r>
      <w:r w:rsidRPr="006B0F72">
        <w:rPr>
          <w:noProof/>
        </w:rPr>
        <w:t xml:space="preserve"> in Medvladne znanstveno-politične platforme o biotski raznovrstnosti in ekosistemskih storitvah</w:t>
      </w:r>
      <w:r w:rsidRPr="006B0F72">
        <w:rPr>
          <w:rStyle w:val="FootnoteReference"/>
          <w:rFonts w:eastAsia="Times New Roman"/>
          <w:noProof/>
        </w:rPr>
        <w:footnoteReference w:id="3"/>
      </w:r>
      <w:r w:rsidRPr="006B0F72">
        <w:rPr>
          <w:noProof/>
        </w:rPr>
        <w:t>, poročilu o napredku v zvezi z aičijskimi cilji</w:t>
      </w:r>
      <w:r w:rsidRPr="006B0F72">
        <w:rPr>
          <w:rStyle w:val="FootnoteReference"/>
          <w:rFonts w:eastAsia="Times New Roman"/>
          <w:noProof/>
        </w:rPr>
        <w:footnoteReference w:id="4"/>
      </w:r>
      <w:r w:rsidRPr="006B0F72">
        <w:rPr>
          <w:noProof/>
        </w:rPr>
        <w:t xml:space="preserve"> in poročilu Economics of Biodiversity: The Dasgupta Review (Ekonomika biotske raznovrstnosti: Dasguptin pregled)</w:t>
      </w:r>
      <w:r w:rsidRPr="006B0F72">
        <w:rPr>
          <w:rStyle w:val="FootnoteReference"/>
          <w:rFonts w:eastAsia="Times New Roman"/>
          <w:noProof/>
        </w:rPr>
        <w:footnoteReference w:id="5"/>
      </w:r>
      <w:r w:rsidRPr="006B0F72">
        <w:rPr>
          <w:noProof/>
        </w:rPr>
        <w:t xml:space="preserve">. Zdravi ekosistemi zagotavljajo hrano in prehransko varnost, čisto vodo, ponore ogljika in zaščito pred naravnimi nesrečami, ki jih povzročajo podnebne spremembe. Bistveni so za naše dolgoročno preživetje, dobrobit, blaginjo in varnost, saj so osnova za odpornost Evrope. </w:t>
      </w:r>
    </w:p>
    <w:p w14:paraId="10CDD076" w14:textId="77777777" w:rsidR="00546D2E" w:rsidRPr="006B0F72" w:rsidRDefault="00546D2E" w:rsidP="00CC66C2">
      <w:pPr>
        <w:rPr>
          <w:rFonts w:eastAsia="Times New Roman"/>
          <w:noProof/>
        </w:rPr>
      </w:pPr>
      <w:r w:rsidRPr="006B0F72">
        <w:rPr>
          <w:noProof/>
        </w:rPr>
        <w:t>Obnova ekosistemov bo skupaj s prizadevanji za zmanjšanje trgovine s prostoživečimi vrstami in z njo povezane potrošnje pripomogla tudi k preprečevanju in krepitvi odpornosti na morebitne prihodnje nalezljive bolezni z zoonotskim potencialom, s čimer se bodo zmanjšala tveganja izbruhov in pandemij, ter prispevala k podpori prizadevanjem na globalni ravni kot tudi na ravni EU za uporabo pristopa „eno zdravje“, ki priznava neločljivo povezavo med zdravjem ljudi, zdravjem živali ter zdravo in odporno naravo.</w:t>
      </w:r>
    </w:p>
    <w:p w14:paraId="42C2EB73" w14:textId="77777777" w:rsidR="00CC66C2" w:rsidRPr="006B0F72" w:rsidRDefault="00CC66C2" w:rsidP="00CC66C2">
      <w:pPr>
        <w:rPr>
          <w:rFonts w:eastAsia="Times New Roman"/>
          <w:noProof/>
        </w:rPr>
      </w:pPr>
      <w:r w:rsidRPr="006B0F72">
        <w:rPr>
          <w:noProof/>
        </w:rPr>
        <w:t>V poročilu IPCC za leto 2022 je bilo zlasti poudarjeno, da imata svet in Evropa na voljo kratko in hitro iztekajoče se obdobje za zagotovitev prihodnosti, ki bo primerna za življenje, saj so vse pogostejši vremenski in podnebni skrajni pojavi povzročili nekatere nepopravljive posledice, naravni in človeški sistemi pa so potisnjeni prek svojih zmožnosti prilagajanja. Poročilo poziva k uvedbi nujnih ukrepov za obnovo degradiranih ekosistemov v naslednjem desetletju, da bi se ublažile posledice podnebnih sprememb, zlasti z obnovo degradiranih mokrišč, rek, gozdov in kmetijskih ekosistemov.</w:t>
      </w:r>
    </w:p>
    <w:p w14:paraId="4ACF778A" w14:textId="77777777" w:rsidR="009503BE" w:rsidRPr="006B0F72" w:rsidRDefault="009503BE" w:rsidP="00CC66C2">
      <w:pPr>
        <w:rPr>
          <w:noProof/>
        </w:rPr>
      </w:pPr>
      <w:r w:rsidRPr="006B0F72">
        <w:rPr>
          <w:noProof/>
        </w:rPr>
        <w:t>Nedavni geopolitični dogodki so dodatno poudarili potrebo po zagotavljanju prehranske varnosti in odpornosti prehranskih sistemov. Zaradi zvišanja cen primarnih surovin in zaskrbljenosti glede svetovne prehranske varnosti je treba obravnavati ranljivosti, kot je odvisnost od uvoza, ter pospešiti prehod na trajnostne in odporne prehranske sisteme</w:t>
      </w:r>
      <w:r w:rsidRPr="006B0F72">
        <w:rPr>
          <w:rStyle w:val="FootnoteReference"/>
          <w:rFonts w:eastAsia="Times New Roman"/>
          <w:noProof/>
        </w:rPr>
        <w:footnoteReference w:id="6"/>
      </w:r>
      <w:r w:rsidRPr="006B0F72">
        <w:rPr>
          <w:noProof/>
        </w:rPr>
        <w:t>. Obnovitev kmetijskih ekosistemov dokazano dolgoročno pozitivno vpliva na proizvodnjo hrane, obnova narave pa zagotavlja dolgoročno trajnostnost in odpornost EU.</w:t>
      </w:r>
    </w:p>
    <w:p w14:paraId="1429BE08" w14:textId="77777777" w:rsidR="003208C0" w:rsidRPr="006B0F72" w:rsidRDefault="008557A1" w:rsidP="00CD623F">
      <w:pPr>
        <w:rPr>
          <w:rFonts w:eastAsia="Times New Roman"/>
          <w:noProof/>
        </w:rPr>
      </w:pPr>
      <w:r w:rsidRPr="006B0F72">
        <w:rPr>
          <w:noProof/>
        </w:rPr>
        <w:t xml:space="preserve">V končnem poročilu </w:t>
      </w:r>
      <w:r w:rsidRPr="006B0F72">
        <w:rPr>
          <w:noProof/>
          <w:shd w:val="clear" w:color="auto" w:fill="FFFFFF"/>
        </w:rPr>
        <w:t>Konference o prihodnosti Evrope, objavljenem 9. maja 2022</w:t>
      </w:r>
      <w:r w:rsidRPr="006B0F72">
        <w:rPr>
          <w:rStyle w:val="FootnoteReference"/>
          <w:noProof/>
        </w:rPr>
        <w:footnoteReference w:id="7"/>
      </w:r>
      <w:r w:rsidRPr="006B0F72">
        <w:rPr>
          <w:noProof/>
          <w:shd w:val="clear" w:color="auto" w:fill="FFFFFF"/>
        </w:rPr>
        <w:t xml:space="preserve">, so državljani v svojih predlogih o </w:t>
      </w:r>
      <w:r w:rsidRPr="006B0F72">
        <w:rPr>
          <w:noProof/>
        </w:rPr>
        <w:t>kmetijstvu, proizvodnji hrane, biotski raznovrstnosti in ekosistemih ter onesnaževanju</w:t>
      </w:r>
      <w:r w:rsidRPr="006B0F72">
        <w:rPr>
          <w:noProof/>
          <w:shd w:val="clear" w:color="auto" w:fill="FFFFFF"/>
        </w:rPr>
        <w:t xml:space="preserve"> pozvali zlasti k „ustvarjanju, obnovi, boljšemu upravljanju in razširitvi zavarovanih območij za ohranjanje biotske raznovrstnosti“;</w:t>
      </w:r>
      <w:r w:rsidRPr="006B0F72">
        <w:rPr>
          <w:noProof/>
        </w:rPr>
        <w:cr/>
      </w:r>
      <w:r w:rsidRPr="006B0F72">
        <w:rPr>
          <w:noProof/>
        </w:rPr>
        <w:br/>
      </w:r>
      <w:r w:rsidRPr="006B0F72">
        <w:rPr>
          <w:noProof/>
          <w:shd w:val="clear" w:color="auto" w:fill="FFFFFF"/>
        </w:rPr>
        <w:t xml:space="preserve"> k „zaščiti žuželk, zlasti avtohtonih žuželk in žuželk opraševalk, vključno z zaščito pred invazivnimi vrstami in boljšim izvrševanjem obstoječe zakonodaje“; ter k „določitvi zavezujočih nacionalnih ciljev za države članice EU za ponovno pogozdovanje z domorodnimi drevesi in zasajanje lokalnega rastlinstva, ob upoštevanju različnih nacionalnih razmer in posebnosti“. Kar zadeva njihove predloge o </w:t>
      </w:r>
      <w:r w:rsidRPr="006B0F72">
        <w:rPr>
          <w:noProof/>
        </w:rPr>
        <w:t>informiranju, ozaveščanju, dialogu in življenjskem slogu, so državljani zlasti pozvali</w:t>
      </w:r>
      <w:r w:rsidRPr="006B0F72">
        <w:rPr>
          <w:noProof/>
          <w:shd w:val="clear" w:color="auto" w:fill="FFFFFF"/>
        </w:rPr>
        <w:t xml:space="preserve"> k „vključitvi proizvodnje hrane in zaščite biotske raznovrstnosti v izobraževanje, vključno s prednostmi nepredelane hrane v primerjavi s predelano, ter spodbujanju šolskih vrtov, subvencioniranju projektov mestnega vrtičkarstva in vertikalnega kmetovanja“ kot tudi k „razmisleku o tem, da bi biotska raznovrstnost postala obvezen predmet v šolah, in ozaveščanju o biotski raznovrstnosti z uporabo medijskih kampanj in spodbudnimi ‚natečaji‘ po vsej EU</w:t>
      </w:r>
      <w:r w:rsidRPr="006B0F72">
        <w:rPr>
          <w:rStyle w:val="FootnoteReference"/>
          <w:noProof/>
        </w:rPr>
        <w:footnoteReference w:id="8"/>
      </w:r>
      <w:r w:rsidRPr="006B0F72">
        <w:rPr>
          <w:noProof/>
          <w:shd w:val="clear" w:color="auto" w:fill="FFFFFF"/>
        </w:rPr>
        <w:t>.</w:t>
      </w:r>
      <w:r w:rsidRPr="006B0F72">
        <w:rPr>
          <w:noProof/>
        </w:rPr>
        <w:t xml:space="preserve"> Zato so potrebni odločnejši ukrepi, da bi dosegli cilje EU na področju podnebja in biotske raznovrstnosti za leti 2030 in 2050 ter zagotovili odpornost prehranskih sistemov. </w:t>
      </w:r>
    </w:p>
    <w:p w14:paraId="206BE4AB" w14:textId="77777777" w:rsidR="00CD623F" w:rsidRPr="006B0F72" w:rsidRDefault="0086670D" w:rsidP="00CD623F">
      <w:pPr>
        <w:rPr>
          <w:noProof/>
        </w:rPr>
      </w:pPr>
      <w:r w:rsidRPr="006B0F72">
        <w:rPr>
          <w:noProof/>
          <w:color w:val="FF0000"/>
        </w:rPr>
        <w:t xml:space="preserve">Zato so potrebni odločnejši ukrepi za doseganje ciljev EU na področju podnebja in biotske raznovrstnosti za leti 2030 in 2050 ter za zagotovitev odpornosti prehranskih sistemov. </w:t>
      </w:r>
      <w:r w:rsidRPr="006B0F72">
        <w:rPr>
          <w:rStyle w:val="Hyperlink"/>
          <w:noProof/>
          <w:color w:val="auto"/>
          <w:u w:val="none"/>
        </w:rPr>
        <w:t>Evropski zeleni dogovor</w:t>
      </w:r>
      <w:r w:rsidRPr="006B0F72">
        <w:rPr>
          <w:rStyle w:val="FootnoteReference"/>
          <w:noProof/>
        </w:rPr>
        <w:footnoteReference w:id="9"/>
      </w:r>
      <w:r w:rsidRPr="006B0F72">
        <w:rPr>
          <w:noProof/>
        </w:rPr>
        <w:t xml:space="preserve"> akterje zavezuje k varovanju in obnovi narave. Navaja, da bo Komisija opredelila ukrepe, vključno s pravnimi, za pomoč državam članicam pri izboljšanju in obnovi poškodovanih in z ogljikom bogatih ekosistemov, da se jih povrne v dobro ekološko stanje. V zelenem dogovoru je poudarjeno tudi, da bi morali vsi ukrepi in politike EU skupaj pomagati EU pri doseganju uspešnega in pravičnega prehoda v trajnostno prihodnost. </w:t>
      </w:r>
    </w:p>
    <w:p w14:paraId="66302A98" w14:textId="77777777" w:rsidR="00CD623F" w:rsidRPr="006B0F72" w:rsidRDefault="00CD623F" w:rsidP="00CD623F">
      <w:pPr>
        <w:rPr>
          <w:noProof/>
          <w:color w:val="000000" w:themeColor="text1"/>
        </w:rPr>
      </w:pPr>
      <w:r w:rsidRPr="006B0F72">
        <w:rPr>
          <w:noProof/>
        </w:rPr>
        <w:t>Strategija EU za biotsko raznovrstnost do leta 2030</w:t>
      </w:r>
      <w:r w:rsidRPr="006B0F72">
        <w:rPr>
          <w:rStyle w:val="FootnoteReference"/>
          <w:noProof/>
        </w:rPr>
        <w:footnoteReference w:id="10"/>
      </w:r>
      <w:r w:rsidRPr="006B0F72">
        <w:rPr>
          <w:noProof/>
        </w:rPr>
        <w:t xml:space="preserve"> določa cilje za nadaljnje varstvo narave v EU. Vendar pa poudarja, da samo varstvo ni dovolj: da bi se obrnil trend izgube biotske raznovrstnosti, so potrebna večja prizadevanja za povrnitev zdravja narave po vsej EU, in sicer na zavarovanih območjih in zunaj njih. Zato se je Komisija zavezala, da bo predlagala pravno zavezujoče cilje za obnovo degradiranih ekosistemov EU, zlasti tistih z največjim potencialom za odvzemanje in shranjevanje ogljika ter za preprečevanje naravnih nesreč in zmanjševanje njihovega vpliva. </w:t>
      </w:r>
    </w:p>
    <w:p w14:paraId="60DEE514" w14:textId="77777777" w:rsidR="00CD623F" w:rsidRPr="006B0F72" w:rsidRDefault="00CD623F" w:rsidP="00CD623F">
      <w:pPr>
        <w:rPr>
          <w:noProof/>
        </w:rPr>
      </w:pPr>
      <w:r w:rsidRPr="006B0F72">
        <w:rPr>
          <w:noProof/>
        </w:rPr>
        <w:t>EU do zdaj ni uspela ustaviti izgube biotske raznovrstnosti. Nedavna študija</w:t>
      </w:r>
      <w:r w:rsidRPr="006B0F72">
        <w:rPr>
          <w:rStyle w:val="FootnoteReference"/>
          <w:noProof/>
        </w:rPr>
        <w:footnoteReference w:id="11"/>
      </w:r>
      <w:r w:rsidRPr="006B0F72">
        <w:rPr>
          <w:noProof/>
        </w:rPr>
        <w:t>, opravljena v okviru ocene strategije EU za biotsko raznovrstnost do leta 2020</w:t>
      </w:r>
      <w:r w:rsidRPr="006B0F72">
        <w:rPr>
          <w:rStyle w:val="FootnoteReference"/>
          <w:noProof/>
        </w:rPr>
        <w:footnoteReference w:id="12"/>
      </w:r>
      <w:r w:rsidRPr="006B0F72">
        <w:rPr>
          <w:noProof/>
        </w:rPr>
        <w:t>, kaže, da EU ni uspela ustaviti izgube biotske raznovrstnosti med letoma 2011 in 2020. Ni dosegla prostovoljnega cilja za obnovo vsaj 15 % degradiranih ekosistemov do leta 2020 (v skladu z aičijskim ciljem št. 15, določenem na Konvenciji o biološki raznovrstnosti</w:t>
      </w:r>
      <w:r w:rsidRPr="006B0F72">
        <w:rPr>
          <w:rStyle w:val="FootnoteReference"/>
          <w:noProof/>
        </w:rPr>
        <w:footnoteReference w:id="13"/>
      </w:r>
      <w:r w:rsidRPr="006B0F72">
        <w:rPr>
          <w:noProof/>
        </w:rPr>
        <w:t xml:space="preserve">). Obeti za biotsko raznovrstnost in ekosisteme so mračni ter kažejo, da trenutni pristop ne deluje. </w:t>
      </w:r>
    </w:p>
    <w:p w14:paraId="620724A1" w14:textId="77777777" w:rsidR="00CD623F" w:rsidRPr="006B0F72" w:rsidRDefault="00CD623F" w:rsidP="00CD623F">
      <w:pPr>
        <w:rPr>
          <w:noProof/>
        </w:rPr>
      </w:pPr>
      <w:r w:rsidRPr="006B0F72">
        <w:rPr>
          <w:noProof/>
        </w:rPr>
        <w:t>Evropski parlament in Svet sta vztrajala tudi pri okrepitvi prizadevanj za obnovo ekosistemov, kot je navedeno v sklepih Sveta iz decembra 2019</w:t>
      </w:r>
      <w:r w:rsidRPr="006B0F72">
        <w:rPr>
          <w:rStyle w:val="FootnoteReference"/>
          <w:rFonts w:eastAsia="Times New Roman"/>
          <w:noProof/>
        </w:rPr>
        <w:footnoteReference w:id="14"/>
      </w:r>
      <w:r w:rsidRPr="006B0F72">
        <w:rPr>
          <w:noProof/>
        </w:rPr>
        <w:t xml:space="preserve"> in resoluciji Evropskega parlamenta iz januarja 2020</w:t>
      </w:r>
      <w:r w:rsidRPr="006B0F72">
        <w:rPr>
          <w:rStyle w:val="FootnoteReference"/>
          <w:rFonts w:eastAsia="Times New Roman"/>
          <w:noProof/>
        </w:rPr>
        <w:footnoteReference w:id="15"/>
      </w:r>
      <w:r w:rsidRPr="006B0F72">
        <w:rPr>
          <w:noProof/>
        </w:rPr>
        <w:t>. Parlament je v resoluciji pozval Komisijo, naj „ne sprejema prostovoljnih zavez ter naj predlaga velikopotezno in vključujočo strategijo [...], ki bo določala pravno zavezujoče [in posledično izvršljive] cilje za EU in države članice“. Evropski parlament je v svoji resoluciji z dne 9. junija 2021</w:t>
      </w:r>
      <w:r w:rsidRPr="006B0F72">
        <w:rPr>
          <w:rStyle w:val="FootnoteReference"/>
          <w:noProof/>
        </w:rPr>
        <w:footnoteReference w:id="16"/>
      </w:r>
      <w:r w:rsidRPr="006B0F72">
        <w:rPr>
          <w:noProof/>
        </w:rPr>
        <w:t xml:space="preserve"> toplo pozdravil zavezanost Komisije k pripravi zakonodajnega predloga o obnovi narave, vključno z zavezujočimi cilji za obnovo. </w:t>
      </w:r>
    </w:p>
    <w:p w14:paraId="471511B3" w14:textId="77777777" w:rsidR="00CD623F" w:rsidRPr="006B0F72" w:rsidRDefault="00CD623F" w:rsidP="00CD623F">
      <w:pPr>
        <w:rPr>
          <w:noProof/>
          <w:color w:val="000000" w:themeColor="text1"/>
        </w:rPr>
      </w:pPr>
      <w:r w:rsidRPr="006B0F72">
        <w:rPr>
          <w:noProof/>
          <w:color w:val="000000" w:themeColor="text1"/>
        </w:rPr>
        <w:t xml:space="preserve">Obnova ekosistemov je pomembno vprašanje tudi na mednarodni ravni. </w:t>
      </w:r>
      <w:r w:rsidRPr="006B0F72">
        <w:rPr>
          <w:noProof/>
        </w:rPr>
        <w:t>Vizija za leto 2050 v okviru Konvencije o biološki raznovrstnosti</w:t>
      </w:r>
      <w:r w:rsidRPr="006B0F72">
        <w:rPr>
          <w:rStyle w:val="FootnoteReference"/>
          <w:noProof/>
        </w:rPr>
        <w:footnoteReference w:id="17"/>
      </w:r>
      <w:r w:rsidRPr="006B0F72">
        <w:rPr>
          <w:noProof/>
        </w:rPr>
        <w:t>, Konvencija Združenih narodov o boju proti dezertifikaciji (UNCCD)</w:t>
      </w:r>
      <w:r w:rsidRPr="006B0F72">
        <w:rPr>
          <w:rStyle w:val="FootnoteReference"/>
          <w:noProof/>
        </w:rPr>
        <w:footnoteReference w:id="18"/>
      </w:r>
      <w:r w:rsidRPr="006B0F72">
        <w:rPr>
          <w:noProof/>
        </w:rPr>
        <w:t>, agenda za trajnostni razvoj do leta 2030 (cilji trajnostnega razvoja)</w:t>
      </w:r>
      <w:r w:rsidRPr="006B0F72">
        <w:rPr>
          <w:rStyle w:val="FootnoteReference"/>
          <w:noProof/>
        </w:rPr>
        <w:footnoteReference w:id="19"/>
      </w:r>
      <w:r w:rsidRPr="006B0F72">
        <w:rPr>
          <w:noProof/>
        </w:rPr>
        <w:t xml:space="preserve"> in desetletje ZN za obnovo ekosistemov</w:t>
      </w:r>
      <w:r w:rsidRPr="006B0F72">
        <w:rPr>
          <w:rStyle w:val="FootnoteReference"/>
          <w:noProof/>
        </w:rPr>
        <w:footnoteReference w:id="20"/>
      </w:r>
      <w:r w:rsidRPr="006B0F72">
        <w:rPr>
          <w:noProof/>
        </w:rPr>
        <w:t xml:space="preserve"> pozivajo k varovanju in obnovi ekosistemov.</w:t>
      </w:r>
      <w:r w:rsidRPr="006B0F72">
        <w:rPr>
          <w:noProof/>
          <w:color w:val="000000" w:themeColor="text1"/>
        </w:rPr>
        <w:t xml:space="preserve"> </w:t>
      </w:r>
      <w:r w:rsidRPr="006B0F72">
        <w:rPr>
          <w:noProof/>
        </w:rPr>
        <w:t>Obnova bo potrebna tudi, da bo EU izpolnila svoje zaveze iz Okvirne konvencije Združenih narodov o spremembi podnebja in Pariškega sporazuma</w:t>
      </w:r>
      <w:r w:rsidRPr="006B0F72">
        <w:rPr>
          <w:rStyle w:val="FootnoteReference"/>
          <w:noProof/>
        </w:rPr>
        <w:footnoteReference w:id="21"/>
      </w:r>
      <w:r w:rsidRPr="006B0F72">
        <w:rPr>
          <w:noProof/>
        </w:rPr>
        <w:t>.</w:t>
      </w:r>
      <w:r w:rsidRPr="006B0F72">
        <w:rPr>
          <w:noProof/>
          <w:color w:val="000000" w:themeColor="text1"/>
        </w:rPr>
        <w:t xml:space="preserve"> Ekosistemi, kot so šotišča, mokrišča, oceani in gozdovi, lahko – če so v dobrem stanju – odvzamejo in shranijo velike količine ogljikovega dioksida ter precej prispevajo k zmanjšanju vpliva podnebnih sprememb. </w:t>
      </w:r>
    </w:p>
    <w:p w14:paraId="0E54D85F" w14:textId="77777777" w:rsidR="00CD623F" w:rsidRPr="006B0F72" w:rsidRDefault="00CD623F" w:rsidP="00CD623F">
      <w:pPr>
        <w:rPr>
          <w:rFonts w:eastAsia="Times New Roman"/>
          <w:noProof/>
          <w:color w:val="242424"/>
        </w:rPr>
      </w:pPr>
      <w:r w:rsidRPr="006B0F72">
        <w:rPr>
          <w:noProof/>
        </w:rPr>
        <w:t>Predlog uredbe o obnovi narave določa splošni cilj: prispevati k nenehni, dolgoročni in trajni obnovi biotsko raznovrstne in odporne narave na kopenskih in morskih območjih EU z obnovo ekosistemov, prispevati k doseganju ciljev Unije na področju blažitve podnebja in prilagajanja podnebju ter izpolnjevati njene mednarodne zaveze.</w:t>
      </w:r>
      <w:r w:rsidRPr="006B0F72">
        <w:rPr>
          <w:noProof/>
          <w:color w:val="242424"/>
        </w:rPr>
        <w:t xml:space="preserve"> </w:t>
      </w:r>
    </w:p>
    <w:p w14:paraId="67FD6DE8" w14:textId="77777777" w:rsidR="00CD623F" w:rsidRPr="006B0F72" w:rsidRDefault="00CD623F" w:rsidP="00CD623F">
      <w:pPr>
        <w:rPr>
          <w:rFonts w:eastAsia="Times New Roman"/>
          <w:noProof/>
          <w:color w:val="242424"/>
          <w:szCs w:val="24"/>
        </w:rPr>
      </w:pPr>
      <w:r w:rsidRPr="006B0F72">
        <w:rPr>
          <w:noProof/>
        </w:rPr>
        <w:t>Da bi se dosegli ti cilji, predlog določa več zavezujočih ciljev in obveznosti za obnovo v širokem naboru ekosistemov. Ti ukrepi bi morali do leta 2030 zajeti vsaj 20 % kopenskih in morskih območij EU, do leta 2050 pa vse ekosisteme, ki jih je treba obnoviti.</w:t>
      </w:r>
      <w:r w:rsidRPr="006B0F72">
        <w:rPr>
          <w:noProof/>
          <w:color w:val="242424"/>
        </w:rPr>
        <w:t xml:space="preserve"> </w:t>
      </w:r>
      <w:r w:rsidRPr="006B0F72">
        <w:rPr>
          <w:noProof/>
        </w:rPr>
        <w:t xml:space="preserve">Predlog je nadalje podprt z izvedbenim okvirom za preoblikovanje ciljev v dejanja s pripravo in izvajanjem nacionalnih načrtov za obnovo. </w:t>
      </w:r>
    </w:p>
    <w:p w14:paraId="006E3C5F" w14:textId="77777777" w:rsidR="00CD623F" w:rsidRPr="006B0F72" w:rsidRDefault="00CD623F" w:rsidP="00CD623F">
      <w:pPr>
        <w:rPr>
          <w:rFonts w:eastAsia="Times New Roman"/>
          <w:noProof/>
        </w:rPr>
      </w:pPr>
      <w:r w:rsidRPr="006B0F72">
        <w:rPr>
          <w:noProof/>
        </w:rPr>
        <w:t xml:space="preserve">Cilj predloga je omogočiti EU, da takoj ukrepa ter začne obnavljati ekosisteme na podlagi zavezujočih ciljev in obveznosti, ki jih je že mogoče meriti in spremljati. S tem se bo zagotovilo, da bodo lahko države članice nemudoma začele obnovo. V poznejših fazah se lahko s spremembami uredbe vključi več ekosistemov, tako da se razvijejo skupne metode za določitev nadaljnjih ciljev. </w:t>
      </w:r>
    </w:p>
    <w:p w14:paraId="200EA8E2" w14:textId="77777777" w:rsidR="00CD623F" w:rsidRPr="006B0F72" w:rsidRDefault="00CD623F" w:rsidP="00CD623F">
      <w:pPr>
        <w:rPr>
          <w:rStyle w:val="normaltextrun"/>
          <w:rFonts w:asciiTheme="minorHAnsi" w:hAnsiTheme="minorHAnsi"/>
          <w:noProof/>
          <w:color w:val="000000" w:themeColor="text1"/>
          <w:sz w:val="22"/>
        </w:rPr>
      </w:pPr>
      <w:r w:rsidRPr="006B0F72">
        <w:rPr>
          <w:noProof/>
        </w:rPr>
        <w:t>Predlog tako utira pot za obnovo in vzdrževanje širokega spektra ekosistemov v EU do leta 2050 z merljivimi rezultati do let 2030 in 2040. EU omogoča, da prispeva k zaustavitvi izgube biotske raznovrstnosti in povrnitvi zdravja narave. Prav</w:t>
      </w:r>
      <w:r w:rsidRPr="006B0F72">
        <w:rPr>
          <w:rStyle w:val="normaltextrun"/>
          <w:noProof/>
          <w:color w:val="000000" w:themeColor="text1"/>
        </w:rPr>
        <w:t xml:space="preserve"> </w:t>
      </w:r>
      <w:r w:rsidRPr="006B0F72">
        <w:rPr>
          <w:noProof/>
        </w:rPr>
        <w:t xml:space="preserve">tako ji omogoča, da </w:t>
      </w:r>
      <w:r w:rsidRPr="006B0F72">
        <w:rPr>
          <w:rStyle w:val="normaltextrun"/>
          <w:noProof/>
          <w:color w:val="000000" w:themeColor="text1"/>
        </w:rPr>
        <w:t xml:space="preserve">dokaže vodilno vlogo v svetu pri varovanju narave, zlasti na Konferenci pogodbenic </w:t>
      </w:r>
      <w:r w:rsidRPr="006B0F72">
        <w:rPr>
          <w:noProof/>
        </w:rPr>
        <w:t xml:space="preserve">Konvencije o biološki raznovrstnosti, ki bo potekala pozneje v letu 2022. </w:t>
      </w:r>
    </w:p>
    <w:p w14:paraId="6D71AB8F" w14:textId="77777777" w:rsidR="00CD623F" w:rsidRPr="006B0F72" w:rsidRDefault="00CD623F" w:rsidP="00B16B21">
      <w:pPr>
        <w:pStyle w:val="ManualHeading2"/>
        <w:rPr>
          <w:noProof/>
          <w:color w:val="000000"/>
          <w:u w:color="000000"/>
          <w:bdr w:val="nil"/>
        </w:rPr>
      </w:pPr>
      <w:r w:rsidRPr="006B0F72">
        <w:rPr>
          <w:noProof/>
          <w:color w:val="000000"/>
          <w:bdr w:val="nil"/>
        </w:rPr>
        <w:t>•</w:t>
      </w:r>
      <w:r w:rsidRPr="006B0F72">
        <w:rPr>
          <w:noProof/>
        </w:rPr>
        <w:tab/>
        <w:t xml:space="preserve">Skladnost z veljavnimi predpisi s področja zadevne politike </w:t>
      </w:r>
    </w:p>
    <w:p w14:paraId="3CCF80E7" w14:textId="77777777" w:rsidR="00CD623F" w:rsidRPr="006B0F72" w:rsidRDefault="00CD623F" w:rsidP="002E61AD">
      <w:pPr>
        <w:rPr>
          <w:noProof/>
        </w:rPr>
      </w:pPr>
      <w:r w:rsidRPr="006B0F72">
        <w:rPr>
          <w:noProof/>
        </w:rPr>
        <w:t xml:space="preserve">Namen predloga je dopolniti obstoječo okoljsko politiko. Zasnovan je tako, da bo učinkovito deloval v sinergiji z okoljskim pravom EU. Spodbudil bo tudi boljše usklajevanje in izvajanje te zakonodaje. </w:t>
      </w:r>
    </w:p>
    <w:p w14:paraId="7F90E805" w14:textId="77777777" w:rsidR="00CD623F" w:rsidRPr="006B0F72" w:rsidRDefault="00CD623F" w:rsidP="002E61AD">
      <w:pPr>
        <w:rPr>
          <w:noProof/>
        </w:rPr>
      </w:pPr>
      <w:r w:rsidRPr="006B0F72">
        <w:rPr>
          <w:noProof/>
        </w:rPr>
        <w:t xml:space="preserve">Natančneje, predlog bo dopolnjeval: </w:t>
      </w:r>
    </w:p>
    <w:p w14:paraId="7521FA4E" w14:textId="77777777" w:rsidR="00CD623F" w:rsidRPr="006B0F72" w:rsidRDefault="00CD623F" w:rsidP="002E61AD">
      <w:pPr>
        <w:rPr>
          <w:noProof/>
        </w:rPr>
      </w:pPr>
      <w:r w:rsidRPr="006B0F72">
        <w:rPr>
          <w:noProof/>
        </w:rPr>
        <w:t>direktivi o pticah</w:t>
      </w:r>
      <w:r w:rsidRPr="006B0F72">
        <w:rPr>
          <w:rStyle w:val="FootnoteReference"/>
          <w:rFonts w:eastAsia="Arial Unicode MS"/>
          <w:noProof/>
        </w:rPr>
        <w:footnoteReference w:id="22"/>
      </w:r>
      <w:r w:rsidRPr="006B0F72">
        <w:rPr>
          <w:noProof/>
        </w:rPr>
        <w:t xml:space="preserve"> in habitatih</w:t>
      </w:r>
      <w:r w:rsidRPr="006B0F72">
        <w:rPr>
          <w:rStyle w:val="FootnoteReference"/>
          <w:rFonts w:eastAsia="Arial Unicode MS"/>
          <w:noProof/>
        </w:rPr>
        <w:footnoteReference w:id="23"/>
      </w:r>
      <w:r w:rsidRPr="006B0F72">
        <w:rPr>
          <w:noProof/>
        </w:rPr>
        <w:t xml:space="preserve"> z določitvijo rokov za izpolnitev ciljev in zahtevanjem od držav članic, da obnovijo ekosisteme tudi zunaj omrežja Natura 2000; </w:t>
      </w:r>
    </w:p>
    <w:p w14:paraId="338C7128" w14:textId="77777777" w:rsidR="00CD623F" w:rsidRPr="006B0F72" w:rsidRDefault="00B91421" w:rsidP="002E61AD">
      <w:pPr>
        <w:rPr>
          <w:bCs/>
          <w:noProof/>
        </w:rPr>
      </w:pPr>
      <w:r w:rsidRPr="006B0F72">
        <w:rPr>
          <w:noProof/>
        </w:rPr>
        <w:t>okvirno direktivo o vodah</w:t>
      </w:r>
      <w:r w:rsidRPr="006B0F72">
        <w:rPr>
          <w:rStyle w:val="FootnoteReference"/>
          <w:rFonts w:eastAsia="Arial Unicode MS"/>
          <w:noProof/>
        </w:rPr>
        <w:footnoteReference w:id="24"/>
      </w:r>
      <w:r w:rsidRPr="006B0F72">
        <w:rPr>
          <w:noProof/>
        </w:rPr>
        <w:t xml:space="preserve"> z določitvijo dodatnih zahtev v zvezi z obnovo za kontinuiteto toka in zagotovitev dobrih razmer na poplavnih območjih; </w:t>
      </w:r>
    </w:p>
    <w:p w14:paraId="2DDDD7E2" w14:textId="77777777" w:rsidR="00CD623F" w:rsidRPr="006B0F72" w:rsidRDefault="00B91421" w:rsidP="002E61AD">
      <w:pPr>
        <w:rPr>
          <w:noProof/>
        </w:rPr>
      </w:pPr>
      <w:r w:rsidRPr="006B0F72">
        <w:rPr>
          <w:noProof/>
        </w:rPr>
        <w:t>okvirno direktivo o morski strategiji</w:t>
      </w:r>
      <w:r w:rsidRPr="006B0F72">
        <w:rPr>
          <w:rStyle w:val="FootnoteReference"/>
          <w:rFonts w:eastAsia="Arial Unicode MS"/>
          <w:noProof/>
        </w:rPr>
        <w:footnoteReference w:id="25"/>
      </w:r>
      <w:r w:rsidRPr="006B0F72">
        <w:rPr>
          <w:noProof/>
        </w:rPr>
        <w:t xml:space="preserve"> s posebnimi ukrepi in podrobnimi cilji za specifične morske habitate, ki jih je treba obnoviti;</w:t>
      </w:r>
    </w:p>
    <w:p w14:paraId="32AFD677" w14:textId="77777777" w:rsidR="00CD623F" w:rsidRPr="006B0F72" w:rsidRDefault="00B91421" w:rsidP="002E61AD">
      <w:pPr>
        <w:rPr>
          <w:noProof/>
        </w:rPr>
      </w:pPr>
      <w:r w:rsidRPr="006B0F72">
        <w:rPr>
          <w:noProof/>
        </w:rPr>
        <w:t>uredbo o invazivnih tujerodnih vrstah</w:t>
      </w:r>
      <w:r w:rsidRPr="006B0F72">
        <w:rPr>
          <w:rStyle w:val="FootnoteReference"/>
          <w:rFonts w:eastAsia="Arial Unicode MS"/>
          <w:noProof/>
        </w:rPr>
        <w:footnoteReference w:id="26"/>
      </w:r>
      <w:r w:rsidRPr="006B0F72">
        <w:rPr>
          <w:noProof/>
        </w:rPr>
        <w:t xml:space="preserve">. </w:t>
      </w:r>
    </w:p>
    <w:p w14:paraId="1EC35326" w14:textId="77777777" w:rsidR="00CD623F" w:rsidRPr="006B0F72" w:rsidRDefault="00CD623F" w:rsidP="00B0251E">
      <w:pPr>
        <w:rPr>
          <w:rFonts w:eastAsiaTheme="minorEastAsia"/>
          <w:bCs/>
          <w:noProof/>
          <w:color w:val="FF0000"/>
        </w:rPr>
      </w:pPr>
      <w:r w:rsidRPr="006B0F72">
        <w:rPr>
          <w:noProof/>
        </w:rPr>
        <w:t xml:space="preserve">Prav tako bo na podrobni ravni tesno sodeloval s skupno ribiško politiko ter po potrebi zagotovil skladnost in dopolnjevanje. </w:t>
      </w:r>
    </w:p>
    <w:p w14:paraId="465989F5" w14:textId="77777777" w:rsidR="00CD623F" w:rsidRPr="006B0F72" w:rsidRDefault="00CD623F" w:rsidP="002E61AD">
      <w:pPr>
        <w:rPr>
          <w:noProof/>
        </w:rPr>
      </w:pPr>
      <w:r w:rsidRPr="006B0F72">
        <w:rPr>
          <w:noProof/>
        </w:rPr>
        <w:t>Predlog je neposredno povezan z novo strategijo EU za gozdove do leta 2030</w:t>
      </w:r>
      <w:r w:rsidRPr="006B0F72">
        <w:rPr>
          <w:rStyle w:val="FootnoteReference"/>
          <w:noProof/>
        </w:rPr>
        <w:footnoteReference w:id="27"/>
      </w:r>
      <w:r w:rsidRPr="006B0F72">
        <w:rPr>
          <w:noProof/>
        </w:rPr>
        <w:t xml:space="preserve"> ter prispeva k njej z ukrepi za obnovo, ki bodo s specifičnimi cilji in obveznostmi za gozdne habitate izboljšali biotsko raznovrstnost in odpornost gozdov.</w:t>
      </w:r>
    </w:p>
    <w:p w14:paraId="740E5BD6" w14:textId="77777777" w:rsidR="00CD623F" w:rsidRPr="006B0F72" w:rsidRDefault="00025835" w:rsidP="002E61AD">
      <w:pPr>
        <w:rPr>
          <w:noProof/>
        </w:rPr>
      </w:pPr>
      <w:r w:rsidRPr="006B0F72">
        <w:rPr>
          <w:noProof/>
        </w:rPr>
        <w:t xml:space="preserve">Kar zadeva skupno kmetijsko politiko, predlog temelji na specifičnih ciljih za traviščne habitate, ki spadajo na področje uporabe Direktive 92/43/EGS, in splošneje za kmetijske ekosisteme EU na podlagi dokazov o izboljšanju niza kazalnikov, ki krepijo biotsko raznovrstnost. Predlog je jasno povezan s strategijo EU za tla, ker je veliko kopenskih ekosistemov odvisnih od tal pod njimi in vzajemno delujejo z njimi. Vsi drugi cilji, povezani s tlemi, bodo vključeni v prihodnjo zakonodajo, ki ureja tla. </w:t>
      </w:r>
    </w:p>
    <w:p w14:paraId="65E606CB" w14:textId="77777777" w:rsidR="00CD623F" w:rsidRPr="006B0F72" w:rsidRDefault="00CD623F" w:rsidP="00B0251E">
      <w:pPr>
        <w:rPr>
          <w:noProof/>
        </w:rPr>
      </w:pPr>
      <w:r w:rsidRPr="006B0F72">
        <w:rPr>
          <w:noProof/>
        </w:rPr>
        <w:t>Poleg tega bo predlagani cilj za obrnitev trenda zmanjševanja števila opraševalcev pomagal doseči cilje pobude EU za opraševalce</w:t>
      </w:r>
      <w:r w:rsidRPr="006B0F72">
        <w:rPr>
          <w:rStyle w:val="FootnoteReference"/>
          <w:noProof/>
        </w:rPr>
        <w:footnoteReference w:id="28"/>
      </w:r>
      <w:r w:rsidRPr="006B0F72">
        <w:rPr>
          <w:noProof/>
        </w:rPr>
        <w:t>. Cilji predloga za povečanje zelenega prostora na urbanih območjih bodo neposredno povezani s strategijo o zeleni infrastrukturi</w:t>
      </w:r>
      <w:r w:rsidRPr="006B0F72">
        <w:rPr>
          <w:rStyle w:val="FootnoteReference"/>
          <w:noProof/>
        </w:rPr>
        <w:footnoteReference w:id="29"/>
      </w:r>
      <w:r w:rsidRPr="006B0F72">
        <w:rPr>
          <w:noProof/>
        </w:rPr>
        <w:t xml:space="preserve">. </w:t>
      </w:r>
    </w:p>
    <w:p w14:paraId="449F82DF" w14:textId="77777777" w:rsidR="00CD623F" w:rsidRPr="006B0F72" w:rsidRDefault="00CD623F" w:rsidP="002E61AD">
      <w:pPr>
        <w:rPr>
          <w:noProof/>
        </w:rPr>
      </w:pPr>
      <w:r w:rsidRPr="006B0F72">
        <w:rPr>
          <w:noProof/>
        </w:rPr>
        <w:t>Ukrepi politike v okviru drugih okoljskih strategij, kot sta akcijski načrt za krožno gospodarstvo za čistejšo in konkurenčnejšo Evropo</w:t>
      </w:r>
      <w:r w:rsidRPr="006B0F72">
        <w:rPr>
          <w:rStyle w:val="FootnoteReference"/>
          <w:noProof/>
        </w:rPr>
        <w:footnoteReference w:id="30"/>
      </w:r>
      <w:r w:rsidRPr="006B0F72">
        <w:rPr>
          <w:noProof/>
        </w:rPr>
        <w:t xml:space="preserve"> ter akcijski načrt za ničelno onesnaževanje zraka, vode in tal</w:t>
      </w:r>
      <w:r w:rsidRPr="006B0F72">
        <w:rPr>
          <w:rStyle w:val="FootnoteReference"/>
          <w:noProof/>
        </w:rPr>
        <w:footnoteReference w:id="31"/>
      </w:r>
      <w:r w:rsidRPr="006B0F72">
        <w:rPr>
          <w:noProof/>
        </w:rPr>
        <w:t>, bodo pomagali zmanjšati pritisk na ekosisteme z zmanjšanjem različnih oblik onesnaževal. Ukrepi, kot je Priporočilo Sveta o učenju za zeleni prehod in trajnostni razvoj (ki naj bi ga Svet sprejel 16. junija 2022)</w:t>
      </w:r>
      <w:r w:rsidRPr="006B0F72">
        <w:rPr>
          <w:rStyle w:val="FootnoteReference"/>
          <w:noProof/>
        </w:rPr>
        <w:footnoteReference w:id="32"/>
      </w:r>
      <w:r w:rsidRPr="006B0F72">
        <w:rPr>
          <w:noProof/>
        </w:rPr>
        <w:t>, lahko prispevajo k ustvarjanju potrebnega znanja, spretnosti in nazorov v zvezi z okoljsko trajnostnostjo, tudi v podporo obnovi narave.</w:t>
      </w:r>
    </w:p>
    <w:p w14:paraId="366C78C8" w14:textId="77777777" w:rsidR="00CD623F" w:rsidRPr="006B0F72" w:rsidRDefault="00CD623F" w:rsidP="002E61AD">
      <w:pPr>
        <w:rPr>
          <w:noProof/>
        </w:rPr>
      </w:pPr>
      <w:r w:rsidRPr="006B0F72">
        <w:rPr>
          <w:noProof/>
        </w:rPr>
        <w:t xml:space="preserve"> </w:t>
      </w:r>
    </w:p>
    <w:p w14:paraId="7A626D57" w14:textId="77777777" w:rsidR="00CD623F" w:rsidRPr="006B0F72" w:rsidRDefault="00CD623F" w:rsidP="002E61AD">
      <w:pPr>
        <w:pStyle w:val="ManualHeading2"/>
        <w:rPr>
          <w:noProof/>
        </w:rPr>
      </w:pPr>
      <w:r w:rsidRPr="006B0F72">
        <w:rPr>
          <w:noProof/>
        </w:rPr>
        <w:t>Skladnost z drugimi politikami Unije</w:t>
      </w:r>
    </w:p>
    <w:p w14:paraId="2D0996E5" w14:textId="77777777" w:rsidR="00CD623F" w:rsidRPr="006B0F72" w:rsidRDefault="00CD623F" w:rsidP="00B0251E">
      <w:pPr>
        <w:rPr>
          <w:noProof/>
        </w:rPr>
      </w:pPr>
      <w:r w:rsidRPr="006B0F72">
        <w:rPr>
          <w:noProof/>
        </w:rPr>
        <w:t>Obnova ekosistemov in krepitev biotske raznovrstnosti sta temelj evropskega zelenega dogovora. Zagotavljanje zdravih ekosistemov in boj proti podnebnim spremembam sta neločljivo povezana. Globalno segrevanje neposredno vpliva na ekosisteme z dolgotrajnimi ali nepopravljivimi učinki, kot je izguba ekosistemov. Podnebne politike EU, kot so evropska podnebna pravila</w:t>
      </w:r>
      <w:r w:rsidRPr="006B0F72">
        <w:rPr>
          <w:rStyle w:val="FootnoteReference"/>
          <w:noProof/>
        </w:rPr>
        <w:footnoteReference w:id="33"/>
      </w:r>
      <w:r w:rsidRPr="006B0F72">
        <w:rPr>
          <w:noProof/>
        </w:rPr>
        <w:t>, predlogi v okviru svežnja „Pripravljeni na 55“ (zlasti predlog uredbe o rabi zemljišč, spremembi rabe zemljišč in gozdarstvu</w:t>
      </w:r>
      <w:r w:rsidRPr="006B0F72">
        <w:rPr>
          <w:rStyle w:val="FootnoteReference"/>
          <w:noProof/>
        </w:rPr>
        <w:footnoteReference w:id="34"/>
      </w:r>
      <w:r w:rsidRPr="006B0F72">
        <w:rPr>
          <w:noProof/>
        </w:rPr>
        <w:t>), poudarjajo ključni pomen naravnih ponorov za zajemanje in shranjevanje ogljika. Da bi to delali učinkovito, morajo biti ekosistemi, kot so mokrišča in gozdovi, v dobrem stanju. Zato je mogoče pričakovati, da bo ta uredba znatno prispevala k podnebnim politikam.</w:t>
      </w:r>
    </w:p>
    <w:p w14:paraId="63EEA56F" w14:textId="77777777" w:rsidR="00CD623F" w:rsidRPr="006B0F72" w:rsidRDefault="00CD623F" w:rsidP="00B0251E">
      <w:pPr>
        <w:rPr>
          <w:noProof/>
        </w:rPr>
      </w:pPr>
      <w:r w:rsidRPr="006B0F72">
        <w:rPr>
          <w:noProof/>
        </w:rPr>
        <w:t>Z obnovo ekosistemov v dobro stanje se zagotavljajo sonaravne rešitve, ki pomagajo blažiti podnebne spremembe in slediti ciljem strategije EU za prilagajanje podnebnim spremembam</w:t>
      </w:r>
      <w:r w:rsidRPr="006B0F72">
        <w:rPr>
          <w:rStyle w:val="FootnoteReference"/>
          <w:noProof/>
        </w:rPr>
        <w:footnoteReference w:id="35"/>
      </w:r>
      <w:r w:rsidRPr="006B0F72">
        <w:rPr>
          <w:noProof/>
        </w:rPr>
        <w:t>. Biološko raznovrstnejši in bolj zdravi ekosistemi so odpornejši na podnebne spremembe, poleg tega pa uspešno preprečujejo nesreče in zmanjšujejo njihova tveganja. V skladu z evropskimi podnebnimi pravili bodo države članice sprejele in izvajale nacionalne strategije za prilagajanje, ki bodo spodbujale sonaravne rešitve, in ekosistemsko prilagajanje. Nacionalni načrti za obnovo v okviru tega predloga bodo tesno povezani z nacionalnimi strategijami za prilagajanje v skladu z evropskimi podnebnimi pravili in zakonodajo EU o civilni zaščiti</w:t>
      </w:r>
      <w:r w:rsidRPr="006B0F72">
        <w:rPr>
          <w:rStyle w:val="FootnoteReference"/>
          <w:noProof/>
        </w:rPr>
        <w:footnoteReference w:id="36"/>
      </w:r>
      <w:r w:rsidRPr="006B0F72">
        <w:rPr>
          <w:noProof/>
        </w:rPr>
        <w:t>. Ti načrti in strategije se bodo medsebojno krepili.</w:t>
      </w:r>
    </w:p>
    <w:p w14:paraId="554D6FC9" w14:textId="77777777" w:rsidR="00CD623F" w:rsidRPr="006B0F72" w:rsidRDefault="00CD623F" w:rsidP="002E61AD">
      <w:pPr>
        <w:rPr>
          <w:noProof/>
          <w:color w:val="000000" w:themeColor="text1"/>
        </w:rPr>
      </w:pPr>
      <w:r w:rsidRPr="006B0F72">
        <w:rPr>
          <w:noProof/>
        </w:rPr>
        <w:t>Kmetijstvo, gozdarstvo in ribištvo so sektorji, odvisni od ekosistemov v dobrem stanju. Kmetijski ekosistemi v dobrem stanju zagotavljajo varno, trajnostno, hranljivo in cenovno dostopno hrano. Zaradi njih je kmetijstvo odpornejše na podnebne spremembe in okoljska tveganja, hkrati pa se ustvarjajo delovna mesta (npr. v ekološkem kmetovanju, podeželskem turizmu in rekreaciji). Gozdni ekosistemi v dobrem stanju nudijo številne prednosti. Zagotavljajo na primer les in hrano, zajemajo in shranjujejo ogljik, stabilizirajo tla, čistijo zrak in vodo ter zmanjšujejo vpliv naravnih nesreč, kot so požari v naravi in bolezni škodljivih organizmov. Ohranjanje morskih ekosistemov v dobrem stanju bistveno pripomore k biotski raznovrstnosti z zagotavljanjem pomembnih drstitvenih območij in območij odraščanja mladic ter zdrave hrane iz morij in oceanov.</w:t>
      </w:r>
      <w:r w:rsidRPr="006B0F72">
        <w:rPr>
          <w:noProof/>
          <w:color w:val="000000" w:themeColor="text1"/>
        </w:rPr>
        <w:t xml:space="preserve"> Zdravi morski ekosistemi tudi blažijo podnebne spremembe z zmanjšanjem vpliva naravnih nesreč ob obalah.  </w:t>
      </w:r>
    </w:p>
    <w:p w14:paraId="16C65168" w14:textId="77777777" w:rsidR="00CD623F" w:rsidRPr="006B0F72" w:rsidRDefault="00CD623F" w:rsidP="00B0251E">
      <w:pPr>
        <w:rPr>
          <w:noProof/>
        </w:rPr>
      </w:pPr>
      <w:r w:rsidRPr="006B0F72">
        <w:rPr>
          <w:noProof/>
        </w:rPr>
        <w:t>Nekateri cilji in kazalniki, določeni v tem predlogu, so namenjeni boljši povezanosti ukrepov na področju biotske raznovrstnosti in drugih politik EU. Te politike vključujejo novo skupno kmetijsko politiko (SKP)</w:t>
      </w:r>
      <w:r w:rsidRPr="006B0F72">
        <w:rPr>
          <w:rStyle w:val="FootnoteReference"/>
          <w:noProof/>
        </w:rPr>
        <w:footnoteReference w:id="37"/>
      </w:r>
      <w:r w:rsidRPr="006B0F72">
        <w:rPr>
          <w:noProof/>
        </w:rPr>
        <w:t xml:space="preserve"> (s pravili za izboljšanje okolja v kmetijstvu ter možnostmi financiranja, ki so na voljo v okviru strateških načrtov SKP za obdobje 2023–2027), strategijo „od vil do vilic“ za pravičen, zdrav in okolju prijazen prehranski sistem</w:t>
      </w:r>
      <w:r w:rsidRPr="006B0F72">
        <w:rPr>
          <w:rStyle w:val="FootnoteReference"/>
          <w:noProof/>
        </w:rPr>
        <w:footnoteReference w:id="38"/>
      </w:r>
      <w:r w:rsidRPr="006B0F72">
        <w:rPr>
          <w:noProof/>
        </w:rPr>
        <w:t xml:space="preserve"> ter skupno ribiško politiko. Predlog se navezuje tudi na regionalno politiko EU, ki lahko financira obnovo ekosistemov prek </w:t>
      </w:r>
      <w:r w:rsidRPr="006B0F72">
        <w:rPr>
          <w:rStyle w:val="normaltextrun"/>
          <w:noProof/>
          <w:color w:val="000000"/>
          <w:bdr w:val="none" w:sz="0" w:space="0" w:color="auto" w:frame="1"/>
        </w:rPr>
        <w:t>Evropskega sklada za regionalni razvoj</w:t>
      </w:r>
      <w:r w:rsidRPr="006B0F72">
        <w:rPr>
          <w:rStyle w:val="FootnoteReference"/>
          <w:noProof/>
        </w:rPr>
        <w:footnoteReference w:id="39"/>
      </w:r>
      <w:r w:rsidRPr="006B0F72">
        <w:rPr>
          <w:noProof/>
        </w:rPr>
        <w:t>, in na program Obzorje Evropa</w:t>
      </w:r>
      <w:r w:rsidRPr="006B0F72">
        <w:rPr>
          <w:rStyle w:val="FootnoteReference"/>
          <w:noProof/>
        </w:rPr>
        <w:footnoteReference w:id="40"/>
      </w:r>
      <w:r w:rsidRPr="006B0F72">
        <w:rPr>
          <w:noProof/>
        </w:rPr>
        <w:t xml:space="preserve">, ki podpira naložbe v raziskave in inovacije na področju biotske raznovrstnosti in ekosistemov. </w:t>
      </w:r>
    </w:p>
    <w:p w14:paraId="512DBF06" w14:textId="77777777" w:rsidR="00CD623F" w:rsidRPr="006B0F72" w:rsidRDefault="00CD623F" w:rsidP="00B0251E">
      <w:pPr>
        <w:rPr>
          <w:noProof/>
        </w:rPr>
      </w:pPr>
      <w:r w:rsidRPr="006B0F72">
        <w:rPr>
          <w:noProof/>
        </w:rPr>
        <w:t>Poleg tega lahko predlog pomaga EU dokazati vodilno vlogo v svetu, mobilizirati mednarodno skupnost in ukrepati za zaustavitev izgube biotske raznovrstnosti po vsem svetu. Pričakuje se, da bo Konferenca pogodbenic (COP15) Konvencije o biološki raznovrstnosti vzpostavila nov globalni okvir biotske raznovrstnosti, ki bo vključeval ambiciozne cilje za obnovo. Strategija EU za biotsko raznovrstnost do leta 2030 je načrt, da se v EU to uresniči in da se pokaže zavezanost EU na svetovni ravni. Predlog bo poslal jasno sporočilo svetovni skupnosti, da EU svojo zavezo jemlje resno  in namerava uzakoniti cilje za obnovo ekosistemov, ter bi lahko služil kot navdih za druge države, da sprejmejo podobne ambiciozne politike o obnovi narave in varstvu biotske raznovrstnosti.</w:t>
      </w:r>
    </w:p>
    <w:p w14:paraId="63062484" w14:textId="77777777" w:rsidR="00CD623F" w:rsidRPr="006B0F72" w:rsidRDefault="00CD623F" w:rsidP="00CD623F">
      <w:pPr>
        <w:pStyle w:val="ManualHeading1"/>
        <w:rPr>
          <w:noProof/>
        </w:rPr>
      </w:pPr>
      <w:r w:rsidRPr="006B0F72">
        <w:rPr>
          <w:noProof/>
        </w:rPr>
        <w:t>2.</w:t>
      </w:r>
      <w:r w:rsidRPr="006B0F72">
        <w:rPr>
          <w:noProof/>
        </w:rPr>
        <w:tab/>
        <w:t>PRAVNA PODLAGA, SUBSIDIARNOST IN SORAZMERNOST</w:t>
      </w:r>
    </w:p>
    <w:p w14:paraId="7DB3C5E6" w14:textId="77777777" w:rsidR="002E61AD" w:rsidRPr="006B0F72" w:rsidRDefault="002E61AD" w:rsidP="002E61AD">
      <w:pPr>
        <w:pStyle w:val="ManualHeading2"/>
        <w:rPr>
          <w:noProof/>
        </w:rPr>
      </w:pPr>
      <w:r w:rsidRPr="006B0F72">
        <w:rPr>
          <w:noProof/>
        </w:rPr>
        <w:t>Pravna podlaga</w:t>
      </w:r>
    </w:p>
    <w:p w14:paraId="74BC029C" w14:textId="77777777" w:rsidR="00CD623F" w:rsidRPr="006B0F72" w:rsidRDefault="00CD623F" w:rsidP="00CD623F">
      <w:pPr>
        <w:rPr>
          <w:rFonts w:eastAsia="Times New Roman"/>
          <w:noProof/>
          <w:szCs w:val="24"/>
        </w:rPr>
      </w:pPr>
      <w:r w:rsidRPr="006B0F72">
        <w:rPr>
          <w:noProof/>
        </w:rPr>
        <w:t xml:space="preserve">Pravna podlaga tega predloga je člen 192(1) Pogodbe o delovanju Evropske unije, ki določa, kako bi bilo treba izvajati člen 191 Pogodbe. Člen 191 Pogodbe določa cilje okoljske politike EU: </w:t>
      </w:r>
    </w:p>
    <w:p w14:paraId="6BBD16D3" w14:textId="77777777" w:rsidR="00CD623F" w:rsidRPr="006B0F72" w:rsidRDefault="00CD623F" w:rsidP="003A7774">
      <w:pPr>
        <w:pStyle w:val="Tiret0"/>
        <w:numPr>
          <w:ilvl w:val="0"/>
          <w:numId w:val="21"/>
        </w:numPr>
        <w:rPr>
          <w:noProof/>
        </w:rPr>
      </w:pPr>
      <w:r w:rsidRPr="006B0F72">
        <w:rPr>
          <w:noProof/>
        </w:rPr>
        <w:t>ohranjanje, varstvo in izboljšanje kakovosti okolja;</w:t>
      </w:r>
    </w:p>
    <w:p w14:paraId="50219C1B" w14:textId="77777777" w:rsidR="00CD623F" w:rsidRPr="006B0F72" w:rsidRDefault="00CD623F" w:rsidP="00B16B21">
      <w:pPr>
        <w:pStyle w:val="Tiret0"/>
        <w:rPr>
          <w:noProof/>
        </w:rPr>
      </w:pPr>
      <w:r w:rsidRPr="006B0F72">
        <w:rPr>
          <w:noProof/>
        </w:rPr>
        <w:t>varovanje človekovega zdravja;</w:t>
      </w:r>
    </w:p>
    <w:p w14:paraId="346E909A" w14:textId="77777777" w:rsidR="00CD623F" w:rsidRPr="006B0F72" w:rsidRDefault="00CD623F" w:rsidP="00B16B21">
      <w:pPr>
        <w:pStyle w:val="Tiret0"/>
        <w:rPr>
          <w:noProof/>
        </w:rPr>
      </w:pPr>
      <w:r w:rsidRPr="006B0F72">
        <w:rPr>
          <w:noProof/>
        </w:rPr>
        <w:t>skrbna in preudarna raba naravnih virov;</w:t>
      </w:r>
    </w:p>
    <w:p w14:paraId="10AE20CA" w14:textId="77777777" w:rsidR="00CD623F" w:rsidRPr="006B0F72" w:rsidRDefault="00CD623F" w:rsidP="00B16B21">
      <w:pPr>
        <w:pStyle w:val="Tiret0"/>
        <w:rPr>
          <w:noProof/>
        </w:rPr>
      </w:pPr>
      <w:r w:rsidRPr="006B0F72">
        <w:rPr>
          <w:noProof/>
        </w:rPr>
        <w:t>spodbujanje ukrepov na mednarodni ravni za reševanje regionalnih ali globalnih okoljskih problemov, zlasti v boju proti podnebnim spremembam.</w:t>
      </w:r>
    </w:p>
    <w:p w14:paraId="032CABBF" w14:textId="77777777" w:rsidR="00CD623F" w:rsidRPr="006B0F72" w:rsidRDefault="00CD623F" w:rsidP="002E61AD">
      <w:pPr>
        <w:pStyle w:val="ManualHeading2"/>
        <w:rPr>
          <w:noProof/>
          <w:u w:color="000000"/>
          <w:bdr w:val="nil"/>
        </w:rPr>
      </w:pPr>
      <w:r w:rsidRPr="006B0F72">
        <w:rPr>
          <w:noProof/>
          <w:u w:color="000000"/>
          <w:bdr w:val="nil"/>
        </w:rPr>
        <w:t xml:space="preserve">Subsidiarnost (za neizključno pristojnost) </w:t>
      </w:r>
    </w:p>
    <w:p w14:paraId="63C56100" w14:textId="77777777" w:rsidR="00CD623F" w:rsidRPr="006B0F72" w:rsidRDefault="00CD623F" w:rsidP="00CD623F">
      <w:pPr>
        <w:spacing w:after="0"/>
        <w:textAlignment w:val="baseline"/>
        <w:rPr>
          <w:noProof/>
          <w:color w:val="000000"/>
          <w:position w:val="2"/>
        </w:rPr>
      </w:pPr>
      <w:r w:rsidRPr="006B0F72">
        <w:rPr>
          <w:noProof/>
          <w:color w:val="000000"/>
        </w:rPr>
        <w:t xml:space="preserve">Ukrepi na ravni EU so upravičeni zaradi obsega in čezmejne narave izgube biotske raznovrstnosti in degradacije ekosistemov, njenega vpliva na javnost in gospodarskih tveganj. Za znatno obnovo biotske raznovrstnosti in ekosistemov so potrebna pravila in obveznosti na ravni EU. Pomanjkanje napredka pri strategiji za biotsko raznovrstnost do leta 2020 kaže, da prostovoljne zaveze držav članic ne zadoščajo za dosego ciljev EU za obnovo ekosistemov. </w:t>
      </w:r>
    </w:p>
    <w:p w14:paraId="26273A0F" w14:textId="77777777" w:rsidR="00CD623F" w:rsidRPr="006B0F72" w:rsidRDefault="00CD623F" w:rsidP="008D6A36">
      <w:pPr>
        <w:rPr>
          <w:rFonts w:eastAsia="Times New Roman"/>
          <w:noProof/>
        </w:rPr>
      </w:pPr>
      <w:r w:rsidRPr="006B0F72">
        <w:rPr>
          <w:noProof/>
          <w:color w:val="000000" w:themeColor="text1"/>
        </w:rPr>
        <w:t xml:space="preserve">Za obravnavo izgube in degradacije biotske raznovrstnosti ter za ustvarjanje ekonomije obsega so potrebni obsežni usklajeni ukrepi. </w:t>
      </w:r>
      <w:r w:rsidRPr="006B0F72">
        <w:rPr>
          <w:noProof/>
        </w:rPr>
        <w:t>Prizadevanja na ravni EU so na primer bistvena za okrevanje opraševalcev: gre za težavo v vsej EU, ki je ni mogoče rešiti, če se je loti le nekaj držav članic. Ukrepi EU so potrebni tudi glede na mobilnost številnih kopenskih in morskih vrst.</w:t>
      </w:r>
    </w:p>
    <w:p w14:paraId="49EB21FF" w14:textId="77777777" w:rsidR="00CD623F" w:rsidRPr="006B0F72" w:rsidRDefault="00CD623F" w:rsidP="00B16B21">
      <w:pPr>
        <w:rPr>
          <w:noProof/>
        </w:rPr>
      </w:pPr>
      <w:r w:rsidRPr="006B0F72">
        <w:rPr>
          <w:noProof/>
        </w:rPr>
        <w:t xml:space="preserve">Obnova enega ekosistema pomaga drugim sosednjim ali povezanim ekosistemom in njihovi biotski raznovrstnosti, saj številne vrste uspevajo v povezanih mrežah ekosistemov v velikem geografskem obsegu. </w:t>
      </w:r>
      <w:r w:rsidRPr="006B0F72">
        <w:rPr>
          <w:noProof/>
          <w:color w:val="000000" w:themeColor="text1"/>
        </w:rPr>
        <w:t xml:space="preserve">Ukrepi EU so potrebni tudi za dopolnitev obstoječih pravnih zahtev in pomoč EU pri doseganju njenih ciljev v okviru drugih okoljskih in podnebnih zakonodajnih aktov EU. </w:t>
      </w:r>
    </w:p>
    <w:p w14:paraId="5C841797" w14:textId="77777777" w:rsidR="00CD623F" w:rsidRPr="006B0F72" w:rsidRDefault="00CD623F" w:rsidP="002E61AD">
      <w:pPr>
        <w:pStyle w:val="ManualHeading2"/>
        <w:rPr>
          <w:noProof/>
          <w:u w:color="000000"/>
          <w:bdr w:val="nil"/>
        </w:rPr>
      </w:pPr>
      <w:r w:rsidRPr="006B0F72">
        <w:rPr>
          <w:noProof/>
          <w:u w:color="000000"/>
          <w:bdr w:val="nil"/>
        </w:rPr>
        <w:t>Sorazmernost</w:t>
      </w:r>
    </w:p>
    <w:p w14:paraId="5289E188" w14:textId="77777777" w:rsidR="00CD623F" w:rsidRPr="006B0F72" w:rsidRDefault="00CD623F" w:rsidP="00CD623F">
      <w:pPr>
        <w:rPr>
          <w:noProof/>
          <w:color w:val="000000" w:themeColor="text1"/>
        </w:rPr>
      </w:pPr>
      <w:r w:rsidRPr="006B0F72">
        <w:rPr>
          <w:noProof/>
        </w:rPr>
        <w:t>Predlog je v skladu z načelom sorazmernosti, ker ne presega tistega, kar je potrebno za doseganje cilja, tj. da se v EU do leta 2030 zagotovi trend okrevanja biotske raznovrstnosti.</w:t>
      </w:r>
      <w:r w:rsidRPr="006B0F72">
        <w:rPr>
          <w:noProof/>
          <w:color w:val="000000" w:themeColor="text1"/>
        </w:rPr>
        <w:t xml:space="preserve"> </w:t>
      </w:r>
    </w:p>
    <w:p w14:paraId="0E9E0AE8" w14:textId="77777777" w:rsidR="00CD623F" w:rsidRPr="006B0F72" w:rsidRDefault="00CD623F" w:rsidP="00CD623F">
      <w:pPr>
        <w:rPr>
          <w:rFonts w:eastAsia="Times New Roman"/>
          <w:noProof/>
        </w:rPr>
      </w:pPr>
      <w:r w:rsidRPr="006B0F72">
        <w:rPr>
          <w:noProof/>
        </w:rPr>
        <w:t xml:space="preserve">Določanje pravno zavezujočih ciljev in obveznosti za obnovo ekosistemov na ravni EU bi zagotovilo doslednost ukrepov, potrebnih po EU za doseganje splošnega cilja. Spremljanje napredka in poročanje o njem s strani Komisije bo zagotovilo dodatne koristi ter učinkovitejše skupno ukrepanje EU in držav članic. </w:t>
      </w:r>
    </w:p>
    <w:p w14:paraId="60151A5B" w14:textId="77777777" w:rsidR="00CD623F" w:rsidRPr="006B0F72" w:rsidRDefault="00CD623F" w:rsidP="00CD623F">
      <w:pPr>
        <w:rPr>
          <w:rFonts w:eastAsia="Times New Roman"/>
          <w:noProof/>
          <w:color w:val="000000" w:themeColor="text1"/>
        </w:rPr>
      </w:pPr>
      <w:r w:rsidRPr="006B0F72">
        <w:rPr>
          <w:noProof/>
          <w:color w:val="000000" w:themeColor="text1"/>
        </w:rPr>
        <w:t>Skratka, predlog določa splošni cilj ter cilje in obveznosti, specifične za določen ekosistem, ki so v skladu z obsegom ciljev. Predlog določa izvedbene ukrepe, ocene in preglede za zagotovitev, da bo EU dosegla te cilje.</w:t>
      </w:r>
    </w:p>
    <w:p w14:paraId="24A0F81E" w14:textId="77777777" w:rsidR="00CD623F" w:rsidRPr="006B0F72" w:rsidRDefault="00CD623F" w:rsidP="002E61AD">
      <w:pPr>
        <w:pStyle w:val="ManualHeading2"/>
        <w:rPr>
          <w:noProof/>
          <w:u w:color="000000"/>
          <w:bdr w:val="nil"/>
        </w:rPr>
      </w:pPr>
      <w:r w:rsidRPr="006B0F72">
        <w:rPr>
          <w:noProof/>
          <w:u w:color="000000"/>
          <w:bdr w:val="nil"/>
        </w:rPr>
        <w:t>Izbira instrumenta</w:t>
      </w:r>
    </w:p>
    <w:p w14:paraId="4E5B4F52"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Za zagotovitev dolgoročnega cilja je potreben zakonodajni in ne nezakonodajni pristop. Cilji tega predloga se lahko najbolje dosežejo z uredbo, ki zagotavlja neposredno uporabo zakonodaje. Države članice morajo prispevati k dolgoročnemu cilju z vzpostavitvijo nacionalnih načrtov za obnovo, ki določajo ukrepe za obnovo, potrebne za izpolnjevanje ciljev in obveznosti, specifičnih za določen ekosistem. Ker uredbe ni treba spremeniti v nacionalno zakonodajo, se lahko ukrepi za obnovo na terenu začnejo prej, kot bi se v primeru direktive.</w:t>
      </w:r>
    </w:p>
    <w:p w14:paraId="1FFECE03"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Uredba natančneje in podrobneje opisuje ukrepe, ki jih morajo sprejeti države članice, in bi tako veliko natančneje zasnovala ukrepe, ki jih morajo sprejeti države članice, s čimer bi zagotovila večjo doslednost in skladnost po vsej EU.  Uredbe za razliko od direktiv ne navajajo le cilja, ki ga morajo doseči države članice, temveč tudi natančneje določajo pravne zahteve in načine za dosego navedenega cilja.</w:t>
      </w:r>
    </w:p>
    <w:p w14:paraId="0D321F09" w14:textId="77777777" w:rsidR="00CD623F" w:rsidRPr="006B0F72" w:rsidRDefault="00CD623F" w:rsidP="00CD623F">
      <w:pPr>
        <w:pStyle w:val="ManualHeading1"/>
        <w:rPr>
          <w:noProof/>
        </w:rPr>
      </w:pPr>
      <w:r w:rsidRPr="006B0F72">
        <w:rPr>
          <w:noProof/>
        </w:rPr>
        <w:t>3.</w:t>
      </w:r>
      <w:r w:rsidRPr="006B0F72">
        <w:rPr>
          <w:noProof/>
        </w:rPr>
        <w:tab/>
        <w:t>REZULTATI NAKNADNIH OCEN, POSVETOVANJ Z DELEŽNIKI IN OCEN UČINKA</w:t>
      </w:r>
    </w:p>
    <w:p w14:paraId="56DD5CDB" w14:textId="77777777" w:rsidR="00CD623F" w:rsidRPr="006B0F72" w:rsidRDefault="00CD623F" w:rsidP="00662A1F">
      <w:pPr>
        <w:pStyle w:val="ManualHeading2"/>
        <w:rPr>
          <w:noProof/>
          <w:u w:color="000000"/>
          <w:bdr w:val="nil"/>
        </w:rPr>
      </w:pPr>
      <w:r w:rsidRPr="006B0F72">
        <w:rPr>
          <w:noProof/>
          <w:u w:color="000000"/>
          <w:bdr w:val="nil"/>
        </w:rPr>
        <w:t>Naknadne ocene/preverjanja ustreznosti obstoječe zakonodaje</w:t>
      </w:r>
    </w:p>
    <w:p w14:paraId="05402D6E" w14:textId="77777777" w:rsidR="00CD623F" w:rsidRPr="006B0F72" w:rsidRDefault="00CD623F" w:rsidP="00CD623F">
      <w:pPr>
        <w:pBdr>
          <w:top w:val="nil"/>
          <w:left w:val="nil"/>
          <w:bottom w:val="nil"/>
          <w:right w:val="nil"/>
          <w:between w:val="nil"/>
          <w:bar w:val="nil"/>
        </w:pBdr>
        <w:rPr>
          <w:noProof/>
          <w:color w:val="000000"/>
          <w:szCs w:val="24"/>
          <w:bdr w:val="none" w:sz="0" w:space="0" w:color="auto" w:frame="1"/>
          <w:shd w:val="clear" w:color="auto" w:fill="FFFFFF"/>
        </w:rPr>
      </w:pPr>
      <w:r w:rsidRPr="006B0F72">
        <w:rPr>
          <w:noProof/>
        </w:rPr>
        <w:t>V oceni strategije za biotsko raznovrstnost do leta 2020 so bili prostovoljni cilji namesto pravno zavezujočih opredeljeni kot eden od razlogov za neuspešno obnovo ekosistemov. Posledična nezavezanost in neprednostna politična obravnava sta glavni oviri pri dodeljevanju finančnih sredstev in virov za obnovitvena dela.</w:t>
      </w:r>
    </w:p>
    <w:p w14:paraId="0A1B8FB5" w14:textId="77777777" w:rsidR="00CD623F" w:rsidRPr="006B0F72" w:rsidRDefault="00CD623F" w:rsidP="00CD623F">
      <w:pPr>
        <w:pBdr>
          <w:top w:val="nil"/>
          <w:left w:val="nil"/>
          <w:bottom w:val="nil"/>
          <w:right w:val="nil"/>
          <w:between w:val="nil"/>
          <w:bar w:val="nil"/>
        </w:pBdr>
        <w:rPr>
          <w:rFonts w:eastAsia="Arial Unicode MS"/>
          <w:noProof/>
        </w:rPr>
      </w:pPr>
      <w:r w:rsidRPr="006B0F72">
        <w:rPr>
          <w:noProof/>
        </w:rPr>
        <w:t>Poleg tega direktivi o pticah in habitatih ne določata rokov za ohranjanje naravnih habitatov in vrst v ugodnem stanju ohranjenosti ali njihovo povrnitev vanj. Prav tako direktivi ne vsebujeta posebnih zahtev za obnovo ekosistemov, ki ležijo zunaj omrežja Natura 2000. Ta predlog za odpravo teh pomanjkljivosti nalaga obvezno obnovo določenih vrst in habitatov znotraj in zunaj omrežja Natura 2000 z jasnimi roki.</w:t>
      </w:r>
    </w:p>
    <w:p w14:paraId="5E64D5D0" w14:textId="77777777" w:rsidR="00CD623F" w:rsidRPr="006B0F72" w:rsidRDefault="00CD623F" w:rsidP="00CD623F">
      <w:pPr>
        <w:pBdr>
          <w:top w:val="nil"/>
          <w:left w:val="nil"/>
          <w:bottom w:val="nil"/>
          <w:right w:val="nil"/>
          <w:between w:val="nil"/>
          <w:bar w:val="nil"/>
        </w:pBdr>
        <w:rPr>
          <w:rFonts w:eastAsia="Arial Unicode MS"/>
          <w:noProof/>
        </w:rPr>
      </w:pPr>
      <w:r w:rsidRPr="006B0F72">
        <w:rPr>
          <w:noProof/>
        </w:rPr>
        <w:t>Kar zadeva okvirno direktivo o morski strategiji, je Komisija v poročilu iz leta 2020 o prvem ciklu izvajanja direktive</w:t>
      </w:r>
      <w:r w:rsidRPr="006B0F72">
        <w:rPr>
          <w:rStyle w:val="FootnoteReference"/>
          <w:rFonts w:eastAsia="Arial Unicode MS"/>
          <w:noProof/>
        </w:rPr>
        <w:footnoteReference w:id="41"/>
      </w:r>
      <w:r w:rsidRPr="006B0F72">
        <w:rPr>
          <w:noProof/>
        </w:rPr>
        <w:t xml:space="preserve"> ugotovila, da je njen splošni cilj zelo težko dosegljiv. Razlogi za to so neobstoj specifičnih ukrepov, ne dovolj natančno spremljanje specifičnih habitatov ali vrst in neobstoj specifičnih ciljev. Opredelitev ciljev za obnovo v tej uredbi bo podprla cilje okvirne direktive o morski strategiji in njeno izvajanje.</w:t>
      </w:r>
    </w:p>
    <w:p w14:paraId="5D6B7C34" w14:textId="77777777" w:rsidR="00CD623F" w:rsidRPr="006B0F72" w:rsidRDefault="00CD623F" w:rsidP="00CD623F">
      <w:pPr>
        <w:pBdr>
          <w:top w:val="nil"/>
          <w:left w:val="nil"/>
          <w:bottom w:val="nil"/>
          <w:right w:val="nil"/>
          <w:between w:val="nil"/>
          <w:bar w:val="nil"/>
        </w:pBdr>
        <w:rPr>
          <w:noProof/>
          <w:szCs w:val="24"/>
        </w:rPr>
      </w:pPr>
      <w:r w:rsidRPr="006B0F72">
        <w:rPr>
          <w:noProof/>
        </w:rPr>
        <w:t xml:space="preserve">Pri preverjanju ustreznosti okvirne direktive o vodah je bilo ugotovljeno, da so težave, ugotovljene pri njenem izvajanju, deloma posledica dejstva, da na stanje vodnega telesa vpliva razpršeno onesnaževanje, ki prihaja iz okoliških habitatov. Okvirna direktiva o vodah od držav članic ne zahteva nujno, da odstranijo ovire, ki bi lahko motile naravno povezljivost rečnega/jezerskega sistema. Vendar pa je veliko kopenskih ekosistemov ter več habitatov in vrst, zaščitenih z direktivama o pticah in habitatih, neposredno odvisnih od tega, da so vodni ekosistemi v skoraj naravnem stanju. </w:t>
      </w:r>
      <w:r w:rsidRPr="006B0F72">
        <w:rPr>
          <w:noProof/>
          <w:color w:val="000000"/>
          <w:bdr w:val="none" w:sz="0" w:space="0" w:color="auto" w:frame="1"/>
          <w:shd w:val="clear" w:color="auto" w:fill="FFFFFF"/>
        </w:rPr>
        <w:t xml:space="preserve">Ta predlog dopolnjuje okvirno direktivo o vodah z oblikovanjem ciljev za obnovo in drugih posebnih zahtev za reke in poplavna območja. Poleg tega je zahteva tega predloga glede neslabšanja stanja v skladu z obstoječo zahtevo Direktive glede sprejetja ukrepov za preprečevanje slabšanja stanja vseh vodnih teles. </w:t>
      </w:r>
    </w:p>
    <w:p w14:paraId="7F88C974" w14:textId="77777777" w:rsidR="00CD623F" w:rsidRPr="006B0F72" w:rsidRDefault="00CD623F" w:rsidP="00662A1F">
      <w:pPr>
        <w:pStyle w:val="ManualHeading2"/>
        <w:rPr>
          <w:noProof/>
          <w:u w:color="000000"/>
          <w:bdr w:val="nil"/>
        </w:rPr>
      </w:pPr>
      <w:r w:rsidRPr="006B0F72">
        <w:rPr>
          <w:noProof/>
          <w:u w:color="000000"/>
          <w:bdr w:val="nil"/>
        </w:rPr>
        <w:t>Posvetovanja z deležniki</w:t>
      </w:r>
    </w:p>
    <w:p w14:paraId="3DA55CEE" w14:textId="77777777" w:rsidR="0009048A" w:rsidRPr="006B0F72" w:rsidRDefault="00CD623F" w:rsidP="00B16B21">
      <w:pPr>
        <w:spacing w:before="0" w:after="40"/>
        <w:rPr>
          <w:rFonts w:eastAsia="Calibri"/>
          <w:noProof/>
        </w:rPr>
      </w:pPr>
      <w:r w:rsidRPr="006B0F72">
        <w:rPr>
          <w:noProof/>
        </w:rPr>
        <w:t>V skladu s smernicami za boljše pravno urejanje sta ta uredba in spremljajoča ocena učinka podprti z obsežnim posvetovalnim postopkom. Komisija je zbrala mnenja številnih deležnikov, zlasti predstavnikov držav članic, okoljskih organizacij, raziskovalnih inštitutov, kmetijskih in gozdarskih združenj ter podjetij. Posvetovanja so bila izvedena v okviru odprtega javnega posvetovanja na petih delavnicah za deležnike ter na srečanjih z deležniki in državami članicami. Različna stališča so zagotovila dragocene informacije in vpoglede, ki so pomagali pri pripravi ocene učinka in predloga.</w:t>
      </w:r>
    </w:p>
    <w:p w14:paraId="0BEADE9F" w14:textId="77777777" w:rsidR="00CD623F" w:rsidRPr="006B0F72" w:rsidRDefault="00CD623F" w:rsidP="00B0251E">
      <w:pPr>
        <w:pStyle w:val="ManualHeading2"/>
        <w:rPr>
          <w:noProof/>
        </w:rPr>
      </w:pPr>
      <w:r w:rsidRPr="006B0F72">
        <w:rPr>
          <w:noProof/>
        </w:rPr>
        <w:t>Začetna ocena učinka</w:t>
      </w:r>
    </w:p>
    <w:p w14:paraId="4C6B2A2A" w14:textId="77777777" w:rsidR="00CD623F" w:rsidRPr="006B0F72" w:rsidRDefault="00CD623F" w:rsidP="001F3EC3">
      <w:pPr>
        <w:spacing w:after="80"/>
        <w:rPr>
          <w:rFonts w:eastAsia="Calibri"/>
          <w:noProof/>
        </w:rPr>
      </w:pPr>
      <w:r w:rsidRPr="006B0F72">
        <w:rPr>
          <w:noProof/>
        </w:rPr>
        <w:t xml:space="preserve">Začetna ocena učinka za predlagano uredbo je bila objavljena 4. novembra 2020. Deležniki in javnost so lahko posredovali povratne informacije o pobudi do 2. decembra 2020. Prispevkov je bilo 132, predvsem od nevladnih organizacij, poslovnih združenj in organizacij, okoljskih organizacij in javnosti. </w:t>
      </w:r>
    </w:p>
    <w:p w14:paraId="463D7422" w14:textId="77777777" w:rsidR="00CD623F" w:rsidRPr="006B0F72" w:rsidRDefault="00CD623F" w:rsidP="00B0251E">
      <w:pPr>
        <w:pStyle w:val="ManualHeading2"/>
        <w:rPr>
          <w:noProof/>
        </w:rPr>
      </w:pPr>
      <w:r w:rsidRPr="006B0F72">
        <w:rPr>
          <w:noProof/>
        </w:rPr>
        <w:t>Javno posvetovanje</w:t>
      </w:r>
    </w:p>
    <w:p w14:paraId="3E9D2540" w14:textId="77777777" w:rsidR="0009048A" w:rsidRPr="006B0F72" w:rsidRDefault="00CD623F" w:rsidP="0009048A">
      <w:pPr>
        <w:spacing w:after="80"/>
        <w:rPr>
          <w:noProof/>
        </w:rPr>
      </w:pPr>
      <w:r w:rsidRPr="006B0F72">
        <w:rPr>
          <w:noProof/>
        </w:rPr>
        <w:t xml:space="preserve">Komisija je med 11. januarjem in 5. aprilom 2021 organizirala spletno javno posvetovanje ter prejela </w:t>
      </w:r>
      <w:r w:rsidRPr="006B0F72">
        <w:rPr>
          <w:rStyle w:val="normaltextrun"/>
          <w:noProof/>
          <w:shd w:val="clear" w:color="auto" w:fill="FFFFFF"/>
        </w:rPr>
        <w:t>111 842</w:t>
      </w:r>
      <w:r w:rsidRPr="006B0F72">
        <w:rPr>
          <w:noProof/>
        </w:rPr>
        <w:t xml:space="preserve"> odgovorov. V okviru posvetovanja so bila zbrana stališča o glavnih vidikih in pristopu k pripravi predloga Komisije za zavezujoče cilje za obnovo. Rezultati kažejo izjemno podporo pravno zavezujočim ciljem za obnovo: 97 % za splošne cilje EU za obnovo v vseh ekosistemih, 96 % za cilje glede na ekosistem ali habitat. To kaže na skoraj popolno podporo splošnemu cilju za obnovo in tudi specifičnim ciljem EU za ekosisteme. </w:t>
      </w:r>
    </w:p>
    <w:p w14:paraId="2DAAED7B" w14:textId="77777777" w:rsidR="00CD623F" w:rsidRPr="006B0F72" w:rsidRDefault="00CD623F" w:rsidP="00B0251E">
      <w:pPr>
        <w:pStyle w:val="ManualHeading2"/>
        <w:rPr>
          <w:noProof/>
        </w:rPr>
      </w:pPr>
      <w:r w:rsidRPr="006B0F72">
        <w:rPr>
          <w:noProof/>
        </w:rPr>
        <w:t>Delavnice za deležnike</w:t>
      </w:r>
    </w:p>
    <w:p w14:paraId="11654A5F"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Med koncem leta 2020 in septembrom 2021 je bilo izvedenih pet ločenih delavnic s predstavniki držav članic in deležnikov. Razpravljali so o možnosti politike ter zbirali stališča o možnostih glede ciljev za obnovo in o tem, kako bi bilo treba izvajati te cilje. Na delavnicah so se obravnavali morebitni družbeni, gospodarski in širši okoljski vplivi ter predhodne ugotovitve podporne študije o oceni učinka.</w:t>
      </w:r>
    </w:p>
    <w:p w14:paraId="75E2EB4F" w14:textId="77777777" w:rsidR="00CD623F" w:rsidRPr="006B0F72" w:rsidRDefault="00CD623F" w:rsidP="00662A1F">
      <w:pPr>
        <w:pStyle w:val="ManualHeading2"/>
        <w:rPr>
          <w:noProof/>
          <w:u w:color="000000"/>
          <w:bdr w:val="nil"/>
        </w:rPr>
      </w:pPr>
      <w:r w:rsidRPr="006B0F72">
        <w:rPr>
          <w:noProof/>
          <w:u w:color="000000"/>
          <w:bdr w:val="nil"/>
        </w:rPr>
        <w:t>Zbiranje in uporaba strokovnega znanja</w:t>
      </w:r>
    </w:p>
    <w:p w14:paraId="1D6A3CDF" w14:textId="77777777" w:rsidR="00052C4D" w:rsidRPr="006B0F72" w:rsidRDefault="00CD623F" w:rsidP="00BE0A2F">
      <w:pPr>
        <w:pBdr>
          <w:top w:val="nil"/>
          <w:left w:val="nil"/>
          <w:bottom w:val="nil"/>
          <w:right w:val="nil"/>
          <w:between w:val="nil"/>
          <w:bar w:val="nil"/>
        </w:pBdr>
        <w:spacing w:before="0" w:after="240"/>
        <w:rPr>
          <w:noProof/>
        </w:rPr>
      </w:pPr>
      <w:r w:rsidRPr="006B0F72">
        <w:rPr>
          <w:noProof/>
        </w:rPr>
        <w:t>Predlog temelji na najnovejših znanstvenih dokazih. Ocena učinka, priložena temu predlogu, je podprta s študijo, ki jo je pripravila skupina zunanjih strokovnjakov. Skupina strokovnjakov je delovala v tesnem posvetovanju s Komisijo v različnih fazah študije. Komisija je za pripravo tega predloga uporabila tudi številne druge vire informacij, zlasti rezultate raziskovalnih in inovacijskih projektov EU ter priznana mednarodna poročila (kot so tista, navedena v oddelku 1).</w:t>
      </w:r>
    </w:p>
    <w:p w14:paraId="0FAE0491" w14:textId="77777777" w:rsidR="00CD623F" w:rsidRPr="006B0F72" w:rsidRDefault="00834343" w:rsidP="00BE0A2F">
      <w:pPr>
        <w:pBdr>
          <w:top w:val="nil"/>
          <w:left w:val="nil"/>
          <w:bottom w:val="nil"/>
          <w:right w:val="nil"/>
          <w:between w:val="nil"/>
          <w:bar w:val="nil"/>
        </w:pBdr>
        <w:spacing w:before="0" w:after="240"/>
        <w:rPr>
          <w:noProof/>
        </w:rPr>
      </w:pPr>
      <w:r w:rsidRPr="006B0F72">
        <w:rPr>
          <w:noProof/>
        </w:rPr>
        <w:t>Evropska agencija za okolje in Skupno raziskovalno središče sta zagotovila posebno strokovno znanje in bila tesno vključena v pripravo tega pravnega predloga in njegove ocene učinka. Agencija je na primer pripravila informacije o potrebah po obnovi na podlagi uradnih podatkov, ki so jih sporočile države članice v skladu s členom 17 direktive o habitatih.</w:t>
      </w:r>
      <w:r w:rsidRPr="006B0F72">
        <w:rPr>
          <w:rStyle w:val="normaltextrun"/>
          <w:noProof/>
        </w:rPr>
        <w:t xml:space="preserve"> </w:t>
      </w:r>
    </w:p>
    <w:p w14:paraId="21F1E214" w14:textId="77777777" w:rsidR="00CD623F" w:rsidRPr="006B0F72" w:rsidRDefault="00CD623F" w:rsidP="00662A1F">
      <w:pPr>
        <w:pStyle w:val="ManualHeading2"/>
        <w:rPr>
          <w:noProof/>
          <w:u w:color="000000"/>
          <w:bdr w:val="nil"/>
        </w:rPr>
      </w:pPr>
      <w:r w:rsidRPr="006B0F72">
        <w:rPr>
          <w:noProof/>
          <w:u w:color="000000"/>
          <w:bdr w:val="nil"/>
        </w:rPr>
        <w:t>Ocena učinka</w:t>
      </w:r>
    </w:p>
    <w:p w14:paraId="577AE3F8"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Predlog temelji na oceni učinka. Po rešitvi težav, opredeljenih v negativnem mnenju Odbora za regulativni nadzor, objavljenem 16. julija 2021, je bilo v zvezi z oceno učinka 28. oktobra 2021 predloženo pozitivno mnenje (s pridržki, ki so bili vzeti v obzir).</w:t>
      </w:r>
    </w:p>
    <w:p w14:paraId="20887E9B"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V oceni učinka so bile obravnavane naslednje možnosti politike:</w:t>
      </w:r>
    </w:p>
    <w:p w14:paraId="2F6DCE29" w14:textId="68D1E865" w:rsidR="00CD623F" w:rsidRPr="006B0F72" w:rsidRDefault="00652A97" w:rsidP="00652A97">
      <w:pPr>
        <w:pStyle w:val="Point0"/>
        <w:rPr>
          <w:noProof/>
        </w:rPr>
      </w:pPr>
      <w:r w:rsidRPr="00652A97">
        <w:rPr>
          <w:noProof/>
        </w:rPr>
        <w:t>(1)</w:t>
      </w:r>
      <w:r w:rsidRPr="00652A97">
        <w:rPr>
          <w:noProof/>
        </w:rPr>
        <w:tab/>
      </w:r>
      <w:r w:rsidR="00CD623F" w:rsidRPr="006B0F72">
        <w:rPr>
          <w:noProof/>
        </w:rPr>
        <w:t>Izhodiščni scenarij: ta možnost politike predpostavlja realistično izvajanje politik iz evropskega zelenega dogovora in strategije EU za biotsko raznovrstnost do leta 2030 ter drugih ustreznih obstoječih politik – z izjemo pravno zavezujočih ciljev za obnovo.</w:t>
      </w:r>
    </w:p>
    <w:p w14:paraId="228ACA2C" w14:textId="09B7BCC8" w:rsidR="005D13F1" w:rsidRPr="006B0F72" w:rsidRDefault="00652A97" w:rsidP="00652A97">
      <w:pPr>
        <w:pStyle w:val="Point0"/>
        <w:rPr>
          <w:noProof/>
        </w:rPr>
      </w:pPr>
      <w:r w:rsidRPr="00652A97">
        <w:rPr>
          <w:noProof/>
        </w:rPr>
        <w:t>(2)</w:t>
      </w:r>
      <w:r w:rsidRPr="00652A97">
        <w:rPr>
          <w:noProof/>
        </w:rPr>
        <w:tab/>
      </w:r>
      <w:r w:rsidR="00CD623F" w:rsidRPr="006B0F72">
        <w:rPr>
          <w:noProof/>
        </w:rPr>
        <w:t>Določanje splošnega pravno zavezujočega cilja za obnovo ekosistemov: ta možnost določa jasno opredeljen in pravno zavezujoč splošni cilj za obnovo ekosistemov. Ta cilj je opredeljen na naslednji način: do leta 2050 se obnovi in vzdržuje dobro stanje deleža ekosistemov v EU. Določa tudi pravno zavezujoče mejnike za leti 2030 in 2040.</w:t>
      </w:r>
    </w:p>
    <w:p w14:paraId="417AB434" w14:textId="54D85167" w:rsidR="00CD623F" w:rsidRPr="006B0F72" w:rsidRDefault="00652A97" w:rsidP="00652A97">
      <w:pPr>
        <w:pStyle w:val="Point0"/>
        <w:rPr>
          <w:noProof/>
        </w:rPr>
      </w:pPr>
      <w:r w:rsidRPr="00652A97">
        <w:rPr>
          <w:noProof/>
        </w:rPr>
        <w:t>(3)</w:t>
      </w:r>
      <w:r w:rsidRPr="00652A97">
        <w:rPr>
          <w:noProof/>
        </w:rPr>
        <w:tab/>
      </w:r>
      <w:r w:rsidR="00CD623F" w:rsidRPr="006B0F72">
        <w:rPr>
          <w:noProof/>
        </w:rPr>
        <w:t xml:space="preserve">Določanje pravno zavezujočih ciljev, specifičnih za določen ekosistem: ta možnost določa cilje in obveznosti za več ekosistemov, habitatov in skupin vrst, ki bi jih bilo treba obnoviti do let 2030, 2040 in 2050. Cilji in obveznosti so določeni za vsako od glavnih vrst ekosistemov v EU ter bi se neposredno uporabljali na ravni držav članic. </w:t>
      </w:r>
    </w:p>
    <w:p w14:paraId="1B600DE7" w14:textId="279D33C8" w:rsidR="00CD623F" w:rsidRPr="006B0F72" w:rsidRDefault="00652A97" w:rsidP="00652A97">
      <w:pPr>
        <w:pStyle w:val="Point0"/>
        <w:rPr>
          <w:noProof/>
        </w:rPr>
      </w:pPr>
      <w:r w:rsidRPr="00652A97">
        <w:rPr>
          <w:noProof/>
        </w:rPr>
        <w:t>(4)</w:t>
      </w:r>
      <w:r w:rsidRPr="00652A97">
        <w:rPr>
          <w:noProof/>
        </w:rPr>
        <w:tab/>
      </w:r>
      <w:r w:rsidR="00CD623F" w:rsidRPr="006B0F72">
        <w:rPr>
          <w:noProof/>
        </w:rPr>
        <w:t xml:space="preserve">Pravno zavezujoči cilji, specifični za določen ekosistem, v kombinaciji s splošnim ciljem: ta možnost je kombinacija ciljev, specifičnih za določen ekosistem, iz možnosti 3 in različice možnosti 2, tj. splošnega cilja prispevati k nenehni, dolgoročni in trajni obnovi biotsko raznovrstne in odporne narave na kopenskih in morskih območjih EU z obnovo ekosistemov in cilja, da bodo ukrepi za obnovo do leta 2030 skupaj zajeli vsaj 20 % kopenskih in morskih območij Unije, do leta 2050 pa vse ekosisteme, ki jih je treba obnoviti. S tem se zagotovi splošni cilj, za katerega bi si morala prizadevati EU, skupaj z nizom ciljev in obveznosti držav članic, specifičnih za določen ekosistem. </w:t>
      </w:r>
    </w:p>
    <w:p w14:paraId="4F0216AE" w14:textId="77777777" w:rsidR="00CD623F" w:rsidRPr="006B0F72" w:rsidRDefault="00CD623F" w:rsidP="00CD623F">
      <w:pPr>
        <w:pBdr>
          <w:top w:val="nil"/>
          <w:left w:val="nil"/>
          <w:bottom w:val="nil"/>
          <w:right w:val="nil"/>
          <w:between w:val="nil"/>
          <w:bar w:val="nil"/>
        </w:pBdr>
        <w:spacing w:after="240"/>
        <w:rPr>
          <w:rFonts w:eastAsia="Times New Roman"/>
          <w:noProof/>
          <w:color w:val="000000" w:themeColor="text1"/>
        </w:rPr>
      </w:pPr>
      <w:r w:rsidRPr="006B0F72">
        <w:rPr>
          <w:noProof/>
        </w:rPr>
        <w:t xml:space="preserve">Možnost 4 se je izkazala za najboljšo možnost politike, saj je najuspešnejša, najučinkovitejša in politično najbolj usklajena možnost. Zaradi obstoja splošnega cilja so specifični cilji bolj dosegljivi, pa tudi tveganje za neukrepanje je pri tej možnosti najmanjše. Poleg tega ta možnost zmanjšuje tveganje prepoznega ukrepanja v vseh vrstah ekosistemov s takojšnjim sprejetjem čim večjega števila ukrepov, kjer je to mogoče. </w:t>
      </w:r>
      <w:r w:rsidRPr="006B0F72">
        <w:rPr>
          <w:noProof/>
          <w:color w:val="000000" w:themeColor="text1"/>
        </w:rPr>
        <w:t xml:space="preserve">S tem se zmanjša tveganje za odlašanje z ukrepi, kar bi škodilo okolju, gospodarstvu in družbi. </w:t>
      </w:r>
    </w:p>
    <w:p w14:paraId="1E2D0128" w14:textId="77777777" w:rsidR="00CD623F" w:rsidRPr="006B0F72" w:rsidRDefault="00CD623F" w:rsidP="00CD623F">
      <w:pPr>
        <w:pBdr>
          <w:top w:val="nil"/>
          <w:left w:val="nil"/>
          <w:bottom w:val="nil"/>
          <w:right w:val="nil"/>
          <w:between w:val="nil"/>
          <w:bar w:val="nil"/>
        </w:pBdr>
        <w:spacing w:after="240"/>
        <w:rPr>
          <w:noProof/>
        </w:rPr>
      </w:pPr>
      <w:r w:rsidRPr="006B0F72">
        <w:rPr>
          <w:noProof/>
        </w:rPr>
        <w:t>Prednostna možnost tako omogoča EU, da takoj ukrepa in začne obnavljati ekosisteme na podlagi ciljev, ki jih je že mogoče meriti in spremljati. V prihodnosti, ko bodo razvite skupne metode za ocenjevanje dobrega stanja ekosistemov v EU, se lahko s spremembo uredbe določijo dodatni cilji na podlagi teh skupnih metod.</w:t>
      </w:r>
    </w:p>
    <w:p w14:paraId="3F921D3E" w14:textId="77777777" w:rsidR="00CD623F" w:rsidRPr="006B0F72" w:rsidRDefault="00CD623F" w:rsidP="00CD623F">
      <w:pPr>
        <w:pBdr>
          <w:top w:val="nil"/>
          <w:left w:val="nil"/>
          <w:bottom w:val="nil"/>
          <w:right w:val="nil"/>
          <w:between w:val="nil"/>
          <w:bar w:val="nil"/>
        </w:pBdr>
        <w:spacing w:before="0" w:after="240"/>
        <w:rPr>
          <w:rStyle w:val="normaltextrun"/>
          <w:bCs/>
          <w:noProof/>
          <w:color w:val="000000" w:themeColor="text1"/>
        </w:rPr>
      </w:pPr>
      <w:r w:rsidRPr="006B0F72">
        <w:rPr>
          <w:noProof/>
        </w:rPr>
        <w:t xml:space="preserve">Ta prednostna možnost za pravni predlog bo zagotovila, da bo EU lahko dosegla svoje cilje za obnovo ekosistemov v predlaganem času in na stroškovno učinkovit način. Koristi so večje od stroškov za vsako od glavnih vrst ekosistemov. </w:t>
      </w:r>
      <w:r w:rsidRPr="006B0F72">
        <w:rPr>
          <w:rStyle w:val="normaltextrun"/>
          <w:noProof/>
          <w:color w:val="000000"/>
          <w:shd w:val="clear" w:color="auto" w:fill="FFFFFF"/>
        </w:rPr>
        <w:t xml:space="preserve">Na primer, za celinska in obalna mokrišča se ocenjuje, da monetizirane koristi samega shranjevanja ogljika že presegajo ocenjene stroške obnove ekosistemov. Če se vključijo ocene drugih ekosistemskih storitev, je razmerje med koristmi in stroški še višje. </w:t>
      </w:r>
      <w:r w:rsidRPr="006B0F72">
        <w:rPr>
          <w:rStyle w:val="normaltextrun"/>
          <w:noProof/>
        </w:rPr>
        <w:t>Na splošno</w:t>
      </w:r>
      <w:r w:rsidRPr="006B0F72">
        <w:rPr>
          <w:noProof/>
        </w:rPr>
        <w:t xml:space="preserve"> je mogoče </w:t>
      </w:r>
      <w:r w:rsidRPr="006B0F72">
        <w:rPr>
          <w:rStyle w:val="normaltextrun"/>
          <w:noProof/>
        </w:rPr>
        <w:t xml:space="preserve">koristi, ki jih prinaša obnova šotišč, močvirij, gozdov, resav in grmičevja, travišč, rek, jezer in aluvialnih habitatov ter obalnih mokrišč iz Priloge I, oceniti </w:t>
      </w:r>
      <w:r w:rsidRPr="006B0F72">
        <w:rPr>
          <w:rStyle w:val="normaltextrun"/>
          <w:noProof/>
          <w:color w:val="000000"/>
          <w:shd w:val="clear" w:color="auto" w:fill="FFFFFF"/>
        </w:rPr>
        <w:t>na</w:t>
      </w:r>
      <w:r w:rsidRPr="006B0F72">
        <w:rPr>
          <w:rStyle w:val="normaltextrun"/>
          <w:noProof/>
        </w:rPr>
        <w:t xml:space="preserve"> približno 1 860 milijard EUR (pri čemer so stroški ocenjeni na približno 154 milijard EUR).</w:t>
      </w:r>
      <w:r w:rsidRPr="006B0F72">
        <w:rPr>
          <w:rStyle w:val="normaltextrun"/>
          <w:noProof/>
          <w:color w:val="000000" w:themeColor="text1"/>
        </w:rPr>
        <w:t xml:space="preserve"> </w:t>
      </w:r>
    </w:p>
    <w:p w14:paraId="6378B8D3" w14:textId="77777777" w:rsidR="00CD623F" w:rsidRPr="006B0F72" w:rsidRDefault="00CD623F" w:rsidP="00CD623F">
      <w:pPr>
        <w:pBdr>
          <w:top w:val="nil"/>
          <w:left w:val="nil"/>
          <w:bottom w:val="nil"/>
          <w:right w:val="nil"/>
          <w:between w:val="nil"/>
          <w:bar w:val="nil"/>
        </w:pBdr>
        <w:spacing w:before="0" w:after="240"/>
        <w:rPr>
          <w:rStyle w:val="normaltextrun"/>
          <w:noProof/>
          <w:color w:val="000000"/>
          <w:shd w:val="clear" w:color="auto" w:fill="FFFFFF"/>
        </w:rPr>
      </w:pPr>
      <w:r w:rsidRPr="006B0F72">
        <w:rPr>
          <w:rStyle w:val="normaltextrun"/>
          <w:noProof/>
          <w:color w:val="000000" w:themeColor="text1"/>
        </w:rPr>
        <w:t xml:space="preserve">Pomembne koristi se ocenjujejo tudi za morske in urbane ekosisteme, gozdove, kmetijske ekosisteme in obnovo opraševalcev. </w:t>
      </w:r>
      <w:r w:rsidRPr="006B0F72">
        <w:rPr>
          <w:rStyle w:val="normaltextrun"/>
          <w:noProof/>
          <w:color w:val="000000"/>
          <w:shd w:val="clear" w:color="auto" w:fill="FFFFFF"/>
        </w:rPr>
        <w:t>Na primer, vrednost opraševanja kmetijskih rastlin z žuželkami je bila</w:t>
      </w:r>
      <w:r w:rsidRPr="006B0F72">
        <w:rPr>
          <w:rStyle w:val="normaltextrun"/>
          <w:noProof/>
        </w:rPr>
        <w:t xml:space="preserve"> v EU ocenjena na približno </w:t>
      </w:r>
      <w:r w:rsidRPr="006B0F72">
        <w:rPr>
          <w:rStyle w:val="normaltextrun"/>
          <w:noProof/>
          <w:color w:val="000000"/>
          <w:shd w:val="clear" w:color="auto" w:fill="FFFFFF"/>
        </w:rPr>
        <w:t>5 milijard EUR na leto</w:t>
      </w:r>
      <w:r w:rsidRPr="006B0F72">
        <w:rPr>
          <w:rStyle w:val="normaltextrun"/>
          <w:noProof/>
        </w:rPr>
        <w:t>.</w:t>
      </w:r>
      <w:r w:rsidRPr="006B0F72">
        <w:rPr>
          <w:rStyle w:val="normaltextrun"/>
          <w:noProof/>
          <w:color w:val="000000"/>
          <w:shd w:val="clear" w:color="auto" w:fill="FFFFFF"/>
        </w:rPr>
        <w:t xml:space="preserve"> Poleg tega obstajajo številne druge prednosti, vključno z biotičnim varstvom rastlin in splošnim izboljšanjem biotske raznovrstnosti. </w:t>
      </w:r>
    </w:p>
    <w:p w14:paraId="295766AC" w14:textId="77777777" w:rsidR="00CD623F" w:rsidRPr="006B0F72" w:rsidRDefault="00CD623F" w:rsidP="00CD623F">
      <w:pPr>
        <w:pBdr>
          <w:top w:val="nil"/>
          <w:left w:val="nil"/>
          <w:bottom w:val="nil"/>
          <w:right w:val="nil"/>
          <w:between w:val="nil"/>
          <w:bar w:val="nil"/>
        </w:pBdr>
        <w:spacing w:before="0" w:after="240"/>
        <w:rPr>
          <w:noProof/>
        </w:rPr>
      </w:pPr>
      <w:r w:rsidRPr="006B0F72">
        <w:rPr>
          <w:rStyle w:val="normaltextrun"/>
          <w:noProof/>
          <w:color w:val="000000" w:themeColor="text1"/>
        </w:rPr>
        <w:t xml:space="preserve">Na podlagi ocene okoljskih, družbenih in gospodarskih vplivov je mogoče sklepati, da bodo nekatere skupine deležnikov na začetku morda bolj prizadete kot druge.  Uredba zato zahteva, da države članice v okviru svojih nacionalnih načrtov za obnovo zagotovijo </w:t>
      </w:r>
      <w:r w:rsidRPr="006B0F72">
        <w:rPr>
          <w:noProof/>
        </w:rPr>
        <w:t xml:space="preserve">sodelovanje javnosti ter določijo način, kako bodo potrebe lokalnih skupnosti in deležnikov upoštevane. </w:t>
      </w:r>
    </w:p>
    <w:p w14:paraId="190A9D2B" w14:textId="77777777" w:rsidR="00CD623F" w:rsidRPr="006B0F72" w:rsidRDefault="00CD623F" w:rsidP="00662A1F">
      <w:pPr>
        <w:rPr>
          <w:noProof/>
        </w:rPr>
      </w:pPr>
      <w:r w:rsidRPr="006B0F72">
        <w:rPr>
          <w:noProof/>
        </w:rPr>
        <w:t>Sredstva, ki jih skušajo pridobiti države članice za dosego svojih ciljev za obnovo, lahko izvirajo iz sredstev EU, nacionalnega financiranja in zasebnih virov. Učinek na proračun držav članic bo odvisen od potreb po obnovi in od izvajanja povezanih ukrepov za obnovo. Te stroške je mogoče zmanjšati s pridobitvijo sredstev od EU ali zasebnih virov. Za obnovo je na primer na voljo širok nabor sredstev EU, poleg tega se pričakuje, da bo uredba o taksonomiji</w:t>
      </w:r>
      <w:r w:rsidRPr="006B0F72">
        <w:rPr>
          <w:rStyle w:val="FootnoteReference"/>
          <w:noProof/>
        </w:rPr>
        <w:footnoteReference w:id="42"/>
      </w:r>
      <w:r w:rsidRPr="006B0F72">
        <w:rPr>
          <w:noProof/>
        </w:rPr>
        <w:t xml:space="preserve"> olajšala večjo uporabo zasebnih sredstev. Sredstva bodo potrebna tudi za razvoj nacionalnih načrtov za obnovo, vključno s fazami posvetovanja in spremljanjem. </w:t>
      </w:r>
    </w:p>
    <w:p w14:paraId="473C3571" w14:textId="77777777" w:rsidR="00CD623F" w:rsidRPr="006B0F72" w:rsidRDefault="00CD623F" w:rsidP="00662A1F">
      <w:pPr>
        <w:rPr>
          <w:noProof/>
        </w:rPr>
      </w:pPr>
      <w:r w:rsidRPr="006B0F72">
        <w:rPr>
          <w:noProof/>
        </w:rPr>
        <w:t xml:space="preserve">Kar zadeva poročanje, predlog zmanjšuje upravno breme, saj v celoti izkorišča obstoječe zahteve glede poročanja in možnosti za digitalizacijo teh postopkov. Poleg tega je mogoče znatno izboljšati učinkovitost in znižanje stroškov s kar največjo uporabo novih tehnologij, kot so daljinsko zaznavanje, satelitske storitve in proizvodi programa Copernicus, geografski informacijski sistemi, senzorji in naprave </w:t>
      </w:r>
      <w:r w:rsidRPr="006B0F72">
        <w:rPr>
          <w:i/>
          <w:noProof/>
        </w:rPr>
        <w:t>in situ</w:t>
      </w:r>
      <w:r w:rsidRPr="006B0F72">
        <w:rPr>
          <w:noProof/>
        </w:rPr>
        <w:t xml:space="preserve">, analiza in obdelava podatkov ter umetna inteligenca. Te tehnologije povečujejo hitrost, učinkovitost in skladnost več postopkov spremljanja in poročanja. </w:t>
      </w:r>
    </w:p>
    <w:p w14:paraId="6BDAFA14"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 xml:space="preserve">Predlog nekoliko odstopa od možnosti 4, saj bodo nekateri morebitni cilji za tla pozneje zajeti v ločeni zakonodaji, kot je napovedano v strategiji EU za tla.  </w:t>
      </w:r>
    </w:p>
    <w:p w14:paraId="4AB8BCCA" w14:textId="77777777" w:rsidR="00CD623F" w:rsidRPr="006B0F72" w:rsidRDefault="00CD623F" w:rsidP="00662A1F">
      <w:pPr>
        <w:pStyle w:val="ManualHeading2"/>
        <w:rPr>
          <w:noProof/>
          <w:u w:color="000000"/>
          <w:bdr w:val="nil"/>
        </w:rPr>
      </w:pPr>
      <w:r w:rsidRPr="006B0F72">
        <w:rPr>
          <w:noProof/>
          <w:u w:color="000000"/>
          <w:bdr w:val="nil"/>
        </w:rPr>
        <w:t>Primernost in poenostavitev ureditve</w:t>
      </w:r>
    </w:p>
    <w:p w14:paraId="2C2F5E09" w14:textId="77777777" w:rsidR="00CD623F" w:rsidRPr="006B0F72" w:rsidRDefault="00CD623F" w:rsidP="00CD623F">
      <w:pPr>
        <w:rPr>
          <w:rStyle w:val="eop"/>
          <w:noProof/>
        </w:rPr>
      </w:pPr>
      <w:r w:rsidRPr="006B0F72">
        <w:rPr>
          <w:noProof/>
          <w:color w:val="000000"/>
          <w:shd w:val="clear" w:color="auto" w:fill="FFFFFF"/>
        </w:rPr>
        <w:t xml:space="preserve">Predlog je bil v skladu z zavezanostjo Komisije boljšemu pravnemu urejanju pripravljen vključujoče, na podlagi preglednosti in stalnega vključevanja deležnikov. </w:t>
      </w:r>
      <w:r w:rsidRPr="006B0F72">
        <w:rPr>
          <w:noProof/>
        </w:rPr>
        <w:t>V skladu s pristopom „za enega sprejetega se eden odpravi“ so bili analizirani upravni učinki. Upravne stroške bodo imele predvsem EU in javne uprave v državah članicah. To bi vključevalo stroške za raziskovanje ekosistemov, razvoj nacionalnih načrtov za obnovo, upravljanje in spremljanje ekosistemov, izbranih za obnovo, ter poročanje.</w:t>
      </w:r>
      <w:r w:rsidRPr="006B0F72">
        <w:rPr>
          <w:rStyle w:val="eop"/>
          <w:noProof/>
        </w:rPr>
        <w:t xml:space="preserve"> V oceni učinka so bili navedeni upravni stroški ocenjeni na približno 14 milijard EUR do leta 2050. </w:t>
      </w:r>
    </w:p>
    <w:p w14:paraId="30375224" w14:textId="77777777" w:rsidR="00CD623F" w:rsidRPr="006B0F72" w:rsidRDefault="00CD623F" w:rsidP="00CD623F">
      <w:pPr>
        <w:rPr>
          <w:noProof/>
        </w:rPr>
      </w:pPr>
    </w:p>
    <w:p w14:paraId="555704DF" w14:textId="77777777" w:rsidR="00CD623F" w:rsidRPr="006B0F72" w:rsidRDefault="00CD623F" w:rsidP="00662A1F">
      <w:pPr>
        <w:pStyle w:val="ManualHeading2"/>
        <w:rPr>
          <w:noProof/>
          <w:u w:color="000000"/>
          <w:bdr w:val="nil"/>
        </w:rPr>
      </w:pPr>
      <w:r w:rsidRPr="006B0F72">
        <w:rPr>
          <w:noProof/>
          <w:u w:color="000000"/>
          <w:bdr w:val="nil"/>
        </w:rPr>
        <w:t>Temeljne pravice</w:t>
      </w:r>
    </w:p>
    <w:p w14:paraId="0662B808" w14:textId="77777777" w:rsidR="00CD623F" w:rsidRPr="006B0F72" w:rsidRDefault="00CD623F" w:rsidP="00CD623F">
      <w:pPr>
        <w:pBdr>
          <w:top w:val="nil"/>
          <w:left w:val="nil"/>
          <w:bottom w:val="nil"/>
          <w:right w:val="nil"/>
          <w:between w:val="nil"/>
          <w:bar w:val="nil"/>
        </w:pBdr>
        <w:spacing w:before="0" w:after="240"/>
        <w:rPr>
          <w:rFonts w:eastAsia="Arial Unicode MS"/>
          <w:noProof/>
          <w:color w:val="000000" w:themeColor="text1"/>
        </w:rPr>
      </w:pPr>
      <w:r w:rsidRPr="006B0F72">
        <w:rPr>
          <w:noProof/>
        </w:rPr>
        <w:t>V predlogu se spoštujejo temeljne pravice in zlasti upoštevajo načela, ki jih priznava Listina Evropske unije o temeljnih pravicah. Predlog prispeva k pravici zagotavljanja visoke ravni varstva okolja in k izboljšanju kakovosti okolja v skladu z načelom trajnostnega razvoja iz člena 37 Listine.</w:t>
      </w:r>
      <w:r w:rsidRPr="006B0F72">
        <w:rPr>
          <w:noProof/>
          <w:color w:val="000000" w:themeColor="text1"/>
          <w:sz w:val="27"/>
          <w:shd w:val="clear" w:color="auto" w:fill="FFFFFF"/>
        </w:rPr>
        <w:t xml:space="preserve"> </w:t>
      </w:r>
    </w:p>
    <w:p w14:paraId="143AB64B" w14:textId="77777777" w:rsidR="00CD623F" w:rsidRPr="006B0F72" w:rsidRDefault="00CD623F" w:rsidP="00CD623F">
      <w:pPr>
        <w:pStyle w:val="ManualHeading1"/>
        <w:rPr>
          <w:noProof/>
        </w:rPr>
      </w:pPr>
      <w:r w:rsidRPr="006B0F72">
        <w:rPr>
          <w:noProof/>
        </w:rPr>
        <w:t>4.</w:t>
      </w:r>
      <w:r w:rsidRPr="006B0F72">
        <w:rPr>
          <w:noProof/>
        </w:rPr>
        <w:tab/>
        <w:t>PRORAČUNSKE POSLEDICE</w:t>
      </w:r>
    </w:p>
    <w:p w14:paraId="2B70153E" w14:textId="77777777" w:rsidR="00CD623F" w:rsidRPr="006B0F72" w:rsidRDefault="00CD623F" w:rsidP="00CD623F">
      <w:pPr>
        <w:pStyle w:val="Normal2"/>
        <w:jc w:val="both"/>
        <w:rPr>
          <w:rFonts w:eastAsia="Arial Unicode MS"/>
          <w:noProof/>
        </w:rPr>
      </w:pPr>
      <w:r w:rsidRPr="006B0F72">
        <w:rPr>
          <w:noProof/>
        </w:rPr>
        <w:t xml:space="preserve">Za izvajanje predloga bodo potrebni človeški viri v Komisiji, kot je navedeno v priloženi oceni finančnih posledic zakonodajnega predloga. Potrebe po človeških virih za Komisijo naj bi se izvajale v okviru njenih obstoječih dodelitev. </w:t>
      </w:r>
    </w:p>
    <w:p w14:paraId="05EBB5A2" w14:textId="77777777" w:rsidR="00CD623F" w:rsidRPr="006B0F72" w:rsidRDefault="00CD623F" w:rsidP="00CD623F">
      <w:pPr>
        <w:pStyle w:val="Normal2"/>
        <w:jc w:val="both"/>
        <w:rPr>
          <w:rFonts w:eastAsia="Arial Unicode MS"/>
          <w:noProof/>
        </w:rPr>
      </w:pPr>
      <w:r w:rsidRPr="006B0F72">
        <w:rPr>
          <w:noProof/>
        </w:rPr>
        <w:t xml:space="preserve">Pri izvajanju bo potrebna tudi podpora Evropske agencije za okolje, za kar bodo potrebna dodatna sredstva, kot je navedeno v oceni finančnih posledic.  </w:t>
      </w:r>
    </w:p>
    <w:p w14:paraId="3EA3AD9E" w14:textId="77777777" w:rsidR="00CD623F" w:rsidRPr="006B0F72" w:rsidRDefault="00CD623F" w:rsidP="00CD623F">
      <w:pPr>
        <w:pStyle w:val="Normal2"/>
        <w:jc w:val="both"/>
        <w:rPr>
          <w:noProof/>
        </w:rPr>
      </w:pPr>
      <w:r w:rsidRPr="006B0F72">
        <w:rPr>
          <w:noProof/>
        </w:rPr>
        <w:t xml:space="preserve">Ta predlog vključuje člene, ki navajajo podrobnosti o nadaljnjem delu, potrebnem za izvajanje uredbe, vključno s pooblastilom za sprejemanje delegiranih ali izvedbenih aktov (na primer za razvoj enotne oblike za nacionalne načrte za obnovo ali za revizijo prilog). </w:t>
      </w:r>
    </w:p>
    <w:p w14:paraId="28484EDB" w14:textId="77777777" w:rsidR="00CD623F" w:rsidRPr="006B0F72" w:rsidRDefault="00CD623F" w:rsidP="00CD623F">
      <w:pPr>
        <w:pStyle w:val="Normal2"/>
        <w:jc w:val="both"/>
        <w:rPr>
          <w:rFonts w:eastAsia="Arial Unicode MS"/>
          <w:noProof/>
        </w:rPr>
      </w:pPr>
      <w:r w:rsidRPr="006B0F72">
        <w:rPr>
          <w:noProof/>
        </w:rPr>
        <w:t>Ocena finančnih posledic, vključena v ta predlog, navaja podrobne proračunske posledice ter potrebne človeške in upravne vire.</w:t>
      </w:r>
    </w:p>
    <w:p w14:paraId="7905F3D5" w14:textId="77777777" w:rsidR="00CD623F" w:rsidRPr="006B0F72" w:rsidRDefault="00CD623F" w:rsidP="00CD623F">
      <w:pPr>
        <w:pStyle w:val="ManualHeading1"/>
        <w:rPr>
          <w:noProof/>
        </w:rPr>
      </w:pPr>
      <w:r w:rsidRPr="006B0F72">
        <w:rPr>
          <w:noProof/>
        </w:rPr>
        <w:t>5.</w:t>
      </w:r>
      <w:r w:rsidRPr="006B0F72">
        <w:rPr>
          <w:noProof/>
        </w:rPr>
        <w:tab/>
        <w:t>DRUGI ELEMENTI</w:t>
      </w:r>
    </w:p>
    <w:p w14:paraId="74682F22" w14:textId="77777777" w:rsidR="00CD623F" w:rsidRPr="006B0F72" w:rsidRDefault="00CD623F" w:rsidP="00662A1F">
      <w:pPr>
        <w:pStyle w:val="ManualHeading2"/>
        <w:rPr>
          <w:noProof/>
          <w:u w:color="000000"/>
          <w:bdr w:val="nil"/>
        </w:rPr>
      </w:pPr>
      <w:r w:rsidRPr="006B0F72">
        <w:rPr>
          <w:noProof/>
          <w:u w:color="000000"/>
          <w:bdr w:val="nil"/>
        </w:rPr>
        <w:t>Izvedbeni načrti ter ureditve spremljanja, ocenjevanja in poročanja</w:t>
      </w:r>
    </w:p>
    <w:p w14:paraId="5BE515D3"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Skladnost in izvrševanje se bosta spremljala z:</w:t>
      </w:r>
    </w:p>
    <w:p w14:paraId="7E831DD5" w14:textId="77777777" w:rsidR="00CD623F" w:rsidRPr="006B0F72" w:rsidRDefault="00CD623F" w:rsidP="00032C27">
      <w:pPr>
        <w:pStyle w:val="Tiret0"/>
        <w:rPr>
          <w:noProof/>
        </w:rPr>
      </w:pPr>
      <w:r w:rsidRPr="006B0F72">
        <w:rPr>
          <w:noProof/>
        </w:rPr>
        <w:t xml:space="preserve">informacijami, ki jih zagotovijo države članice o svojem napredku pri izpolnjevanju ciljev in obveznosti, določenih v predlogu; </w:t>
      </w:r>
    </w:p>
    <w:p w14:paraId="071C80F3" w14:textId="77777777" w:rsidR="00CD623F" w:rsidRPr="006B0F72" w:rsidRDefault="00CD623F" w:rsidP="00032C27">
      <w:pPr>
        <w:pStyle w:val="Tiret0"/>
        <w:rPr>
          <w:noProof/>
        </w:rPr>
      </w:pPr>
      <w:r w:rsidRPr="006B0F72">
        <w:rPr>
          <w:noProof/>
        </w:rPr>
        <w:t xml:space="preserve">izvajanjem ukrepov za obnovo, določenih v nacionalnih načrtih za obnovo držav članic; </w:t>
      </w:r>
    </w:p>
    <w:p w14:paraId="6B8B9476" w14:textId="77777777" w:rsidR="00CD623F" w:rsidRPr="006B0F72" w:rsidRDefault="00CD623F" w:rsidP="00032C27">
      <w:pPr>
        <w:pStyle w:val="Tiret0"/>
        <w:rPr>
          <w:noProof/>
        </w:rPr>
      </w:pPr>
      <w:r w:rsidRPr="006B0F72">
        <w:rPr>
          <w:noProof/>
        </w:rPr>
        <w:t xml:space="preserve">trendi na obnovljenih območjih. </w:t>
      </w:r>
    </w:p>
    <w:p w14:paraId="64CB56D2"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 xml:space="preserve">Komisija bo pripravila poročila o napredku na podlagi informacij držav članic in drugih podatkov, ki jih zbere (npr. prek satelitskih storitev programa Copernicus). </w:t>
      </w:r>
    </w:p>
    <w:p w14:paraId="67CE9C1D" w14:textId="77777777" w:rsidR="00CD623F" w:rsidRPr="006B0F72" w:rsidRDefault="00CD623F" w:rsidP="00CD623F">
      <w:pPr>
        <w:pBdr>
          <w:top w:val="nil"/>
          <w:left w:val="nil"/>
          <w:bottom w:val="nil"/>
          <w:right w:val="nil"/>
          <w:between w:val="nil"/>
          <w:bar w:val="nil"/>
        </w:pBdr>
        <w:spacing w:before="0" w:after="240"/>
        <w:rPr>
          <w:noProof/>
        </w:rPr>
      </w:pPr>
      <w:r w:rsidRPr="006B0F72">
        <w:rPr>
          <w:noProof/>
        </w:rPr>
        <w:t xml:space="preserve">Uporaba uredbe bo pregledana do leta 2035 za zagotovitev, da se njeni cilji izpolnjujejo in da ima predviden učinek. </w:t>
      </w:r>
    </w:p>
    <w:p w14:paraId="7C47FEF7" w14:textId="77777777" w:rsidR="00CD623F" w:rsidRPr="006B0F72" w:rsidRDefault="00CD623F" w:rsidP="00CD623F">
      <w:pPr>
        <w:pBdr>
          <w:top w:val="nil"/>
          <w:left w:val="nil"/>
          <w:bottom w:val="nil"/>
          <w:right w:val="nil"/>
          <w:between w:val="nil"/>
          <w:bar w:val="nil"/>
        </w:pBdr>
        <w:spacing w:before="0" w:after="240"/>
        <w:rPr>
          <w:rFonts w:eastAsia="Arial Unicode MS"/>
          <w:noProof/>
          <w:color w:val="000000" w:themeColor="text1"/>
        </w:rPr>
      </w:pPr>
      <w:r w:rsidRPr="006B0F72">
        <w:rPr>
          <w:noProof/>
        </w:rPr>
        <w:t xml:space="preserve">Uredba bo po potrebi spremenjena, na primer z uvedbo dodatnih pravno zavezujočih ciljev za obnovo ekosistemov na podlagi novih metod za oceno stanja navedenih ekosistemov. </w:t>
      </w:r>
    </w:p>
    <w:p w14:paraId="710D424A" w14:textId="77777777" w:rsidR="00CD623F" w:rsidRPr="006B0F72" w:rsidRDefault="00CD623F" w:rsidP="00B16B21">
      <w:pPr>
        <w:pStyle w:val="ManualHeading2"/>
        <w:rPr>
          <w:noProof/>
          <w:bdr w:val="nil"/>
        </w:rPr>
      </w:pPr>
      <w:r w:rsidRPr="006B0F72">
        <w:rPr>
          <w:noProof/>
          <w:bdr w:val="nil"/>
        </w:rPr>
        <w:t>Natančnejša pojasnitev posameznih določb predloga</w:t>
      </w:r>
    </w:p>
    <w:p w14:paraId="24B4F4C4" w14:textId="77777777" w:rsidR="00CD623F" w:rsidRPr="006B0F72" w:rsidRDefault="00CD623F" w:rsidP="00CD623F">
      <w:pPr>
        <w:pStyle w:val="Normal2"/>
        <w:jc w:val="both"/>
        <w:rPr>
          <w:noProof/>
        </w:rPr>
      </w:pPr>
      <w:r w:rsidRPr="006B0F72">
        <w:rPr>
          <w:noProof/>
        </w:rPr>
        <w:t xml:space="preserve">Splošni cilj je opisan v </w:t>
      </w:r>
      <w:r w:rsidRPr="006B0F72">
        <w:rPr>
          <w:b/>
          <w:noProof/>
        </w:rPr>
        <w:t>členu 1</w:t>
      </w:r>
      <w:r w:rsidRPr="006B0F72">
        <w:rPr>
          <w:noProof/>
        </w:rPr>
        <w:t xml:space="preserve">: prispevati k nenehni, dolgoročni in trajni obnovi biotsko raznovrstne in odporne narave na kopenskih in morskih območjih EU z obnovo ekosistemov. S tem se vzpostavlja okvir, v katerem bodo države članice uvedle ukrepe za obnovo, ki bodo do leta 2030 skupaj zajeli najmanj 20 % kopenskih in morskih območij EU, do leta 2050 pa vse ekosisteme, ki jih je treba obnoviti. To temelji na glavni ambiciji iz strategije za biotsko raznovrstnost, da bodo do leta 2050 vsi ekosistemi obnovljeni, odporni in ustrezno zavarovani ter da se do leta 2030 kot mejnik zagotovi trend okrevanja evropske biotske raznovrstnosti. Znano je, da bo obnova narave močno prispevala k ciljem EU v zvezi z blažitvijo podnebja in prilagajanjem podnebnim spremembam, k preprečevanju naravnih nesreč in blažitvi njihovega vpliva ter mednarodnim zavezam EU. </w:t>
      </w:r>
    </w:p>
    <w:p w14:paraId="4D1EBBA0" w14:textId="77777777" w:rsidR="00CD623F" w:rsidRPr="006B0F72" w:rsidRDefault="00CD623F" w:rsidP="00CD623F">
      <w:pPr>
        <w:pStyle w:val="Normal2"/>
        <w:jc w:val="both"/>
        <w:rPr>
          <w:noProof/>
        </w:rPr>
      </w:pPr>
      <w:r w:rsidRPr="006B0F72">
        <w:rPr>
          <w:noProof/>
        </w:rPr>
        <w:t xml:space="preserve">Pristop, uporabljen za okvir, opisan v členu 1, je najprej nadgraditi habitatne tipe, zavarovane v skladu z direktivo o habitatih, za katere že obstajajo metode za ugotavljanje dobrega stanja. Zato je na podlagi navedenih metod mogoče določiti cilje za obnovo takih habitatov. </w:t>
      </w:r>
    </w:p>
    <w:p w14:paraId="2F10BA59" w14:textId="77777777" w:rsidR="00CD623F" w:rsidRPr="006B0F72" w:rsidRDefault="00CD623F" w:rsidP="00CD623F">
      <w:pPr>
        <w:pStyle w:val="Normal2"/>
        <w:jc w:val="both"/>
        <w:rPr>
          <w:noProof/>
        </w:rPr>
      </w:pPr>
      <w:r w:rsidRPr="006B0F72">
        <w:rPr>
          <w:noProof/>
        </w:rPr>
        <w:t xml:space="preserve">V </w:t>
      </w:r>
      <w:r w:rsidRPr="006B0F72">
        <w:rPr>
          <w:b/>
          <w:noProof/>
        </w:rPr>
        <w:t>členu 4</w:t>
      </w:r>
      <w:r w:rsidRPr="006B0F72">
        <w:rPr>
          <w:noProof/>
        </w:rPr>
        <w:t xml:space="preserve"> so določeni cilji za obnovo kopenskih, obalnih in sladkovodnih ekosistemov, v </w:t>
      </w:r>
      <w:r w:rsidRPr="006B0F72">
        <w:rPr>
          <w:b/>
          <w:noProof/>
        </w:rPr>
        <w:t>členu 5</w:t>
      </w:r>
      <w:r w:rsidRPr="006B0F72">
        <w:rPr>
          <w:noProof/>
        </w:rPr>
        <w:t xml:space="preserve"> pa so cilji za obnovo morskih ekosistemov (ki poleg območij, zajetih v direktivi o habitatih, vključujejo tudi druga morska območja). Navedeni cilji obravnavajo obnovo in ponovno vzpostavitev območij ter obnovo habitatov vrst. Obnova je tesno povezana z varstvom in vzdrževanjem, zato je v členih 4 in 5 določena obveznost zagotovitve, da se stanje ekosistemov pred obnovo ali po njej ne poslabša. </w:t>
      </w:r>
    </w:p>
    <w:p w14:paraId="2FC9BE47" w14:textId="77777777" w:rsidR="00CD623F" w:rsidRPr="006B0F72" w:rsidRDefault="00CD623F" w:rsidP="00CD623F">
      <w:pPr>
        <w:pStyle w:val="Normal2"/>
        <w:jc w:val="both"/>
        <w:rPr>
          <w:noProof/>
        </w:rPr>
      </w:pPr>
      <w:r w:rsidRPr="006B0F72">
        <w:rPr>
          <w:noProof/>
        </w:rPr>
        <w:t xml:space="preserve">Za habitatne tipe ali ekosisteme, ki niso zajeti v direktivi o habitatih, dobro stanje še ni opredeljeno. Vendar pa so v </w:t>
      </w:r>
      <w:r w:rsidRPr="006B0F72">
        <w:rPr>
          <w:b/>
          <w:noProof/>
        </w:rPr>
        <w:t>členih 6 do 10</w:t>
      </w:r>
      <w:r w:rsidRPr="006B0F72">
        <w:rPr>
          <w:noProof/>
        </w:rPr>
        <w:t xml:space="preserve"> določeni nadaljnji specifični cilji in obveznosti, za katere bodo potrebni dodatni ukrepi za obnovo. </w:t>
      </w:r>
    </w:p>
    <w:p w14:paraId="69956A61" w14:textId="77777777" w:rsidR="00CD623F" w:rsidRPr="006B0F72" w:rsidRDefault="00CD623F" w:rsidP="00CD623F">
      <w:pPr>
        <w:pStyle w:val="Normal2"/>
        <w:jc w:val="both"/>
        <w:rPr>
          <w:noProof/>
        </w:rPr>
      </w:pPr>
      <w:r w:rsidRPr="006B0F72">
        <w:rPr>
          <w:b/>
          <w:noProof/>
        </w:rPr>
        <w:t>Člen 6</w:t>
      </w:r>
      <w:r w:rsidRPr="006B0F72">
        <w:rPr>
          <w:noProof/>
        </w:rPr>
        <w:t xml:space="preserve"> določa cilje za zagotovitev, da ne pride do neto izgub, ter za povečanje urbanega zelenega prostora v mestih, manjših mestih in predmestjih.</w:t>
      </w:r>
      <w:r w:rsidRPr="006B0F72">
        <w:rPr>
          <w:noProof/>
          <w:color w:val="000000" w:themeColor="text1"/>
        </w:rPr>
        <w:t xml:space="preserve"> </w:t>
      </w:r>
      <w:r w:rsidRPr="006B0F72">
        <w:rPr>
          <w:noProof/>
        </w:rPr>
        <w:t xml:space="preserve">Zagotavljanje minimalne ravni pokritosti z drevesi in zagotavljanje, da je zeleni prostor vključen v nove in obstoječe stavbe ter razvoj infrastrukture, prispevata k tem ciljem. Zeleni prostor in pokritost z drevesi sta bistvena elementa urbane zelene infrastrukture ter ekološko, družbeno in gospodarsko koristita ljudem, ki živijo v mestih, manjših mestih in predmestjih. </w:t>
      </w:r>
    </w:p>
    <w:p w14:paraId="241EFB1C" w14:textId="77777777" w:rsidR="00CD623F" w:rsidRPr="006B0F72" w:rsidRDefault="00CD623F" w:rsidP="00CD623F">
      <w:pPr>
        <w:pStyle w:val="Normal2"/>
        <w:jc w:val="both"/>
        <w:rPr>
          <w:noProof/>
        </w:rPr>
      </w:pPr>
      <w:r w:rsidRPr="006B0F72">
        <w:rPr>
          <w:b/>
          <w:noProof/>
        </w:rPr>
        <w:t>Člen 7</w:t>
      </w:r>
      <w:r w:rsidRPr="006B0F72">
        <w:rPr>
          <w:noProof/>
        </w:rPr>
        <w:t xml:space="preserve"> določa obveznosti odstranitve rečnih ovir. To bo prispevalo k naravni vzdolžni in prečni rečni povezljivosti ter k cilju EU, da vzpostavi vsaj 25 000 km nereguliranih rek. Pomagalo bo tudi pri obnovi rečnih in poplavnih območij. </w:t>
      </w:r>
    </w:p>
    <w:p w14:paraId="53941BEA" w14:textId="77777777" w:rsidR="00CD623F" w:rsidRPr="006B0F72" w:rsidRDefault="00CD623F" w:rsidP="00CD623F">
      <w:pPr>
        <w:pStyle w:val="Normal2"/>
        <w:jc w:val="both"/>
        <w:rPr>
          <w:noProof/>
        </w:rPr>
      </w:pPr>
      <w:r w:rsidRPr="006B0F72">
        <w:rPr>
          <w:b/>
          <w:noProof/>
        </w:rPr>
        <w:t>Člen 8</w:t>
      </w:r>
      <w:r w:rsidRPr="006B0F72">
        <w:rPr>
          <w:noProof/>
        </w:rPr>
        <w:t xml:space="preserve"> določa obveznost, da se obrne trend zmanjševanja števila opraševalcev in doseže trend povečanja opraševalskih populacij, dokler se ne dosežejo zadovoljive ravni. To bo temeljilo na metodi za spremljanje opraševalcev, ki bo vzpostavljena.</w:t>
      </w:r>
    </w:p>
    <w:p w14:paraId="73FFC96E" w14:textId="77777777" w:rsidR="00CD623F" w:rsidRPr="006B0F72" w:rsidRDefault="00CD623F" w:rsidP="00CD623F">
      <w:pPr>
        <w:pStyle w:val="Normal2"/>
        <w:jc w:val="both"/>
        <w:rPr>
          <w:noProof/>
        </w:rPr>
      </w:pPr>
      <w:r w:rsidRPr="006B0F72">
        <w:rPr>
          <w:noProof/>
        </w:rPr>
        <w:t xml:space="preserve">Da bi se izboljšala biotska raznovrstnost kmetijskih in gozdnih ekosistemov, </w:t>
      </w:r>
      <w:r w:rsidRPr="006B0F72">
        <w:rPr>
          <w:b/>
          <w:noProof/>
        </w:rPr>
        <w:t>člena 9 in 10</w:t>
      </w:r>
      <w:r w:rsidRPr="006B0F72">
        <w:rPr>
          <w:noProof/>
        </w:rPr>
        <w:t xml:space="preserve"> določata obveznosti za posamezne države članice, da dosežejo trend povečanja za niz kazalnikov, ki so še zlasti pomembni za biotsko raznovrstnost navedenih ekosistemov. </w:t>
      </w:r>
    </w:p>
    <w:p w14:paraId="36DF709B" w14:textId="77777777" w:rsidR="00CD623F" w:rsidRPr="006B0F72" w:rsidRDefault="00CD623F" w:rsidP="00CD623F">
      <w:pPr>
        <w:pStyle w:val="Normal2"/>
        <w:jc w:val="both"/>
        <w:rPr>
          <w:noProof/>
        </w:rPr>
      </w:pPr>
      <w:r w:rsidRPr="006B0F72">
        <w:rPr>
          <w:noProof/>
        </w:rPr>
        <w:t xml:space="preserve">Cilji in obveznosti za obnovo iz členov 6 do 10 dopolnjujejo cilje iz členov 4 in 5, zato bodo vplivali tudi na območja, ki jih zajemajo habitatni tipi, zavarovani v skladu z direktivo o habitatih. </w:t>
      </w:r>
    </w:p>
    <w:p w14:paraId="34EFB6A9" w14:textId="77777777" w:rsidR="00CD623F" w:rsidRPr="006B0F72" w:rsidRDefault="00CD623F" w:rsidP="00CD623F">
      <w:pPr>
        <w:pStyle w:val="Normal2"/>
        <w:jc w:val="both"/>
        <w:rPr>
          <w:noProof/>
        </w:rPr>
      </w:pPr>
      <w:r w:rsidRPr="006B0F72">
        <w:rPr>
          <w:b/>
          <w:noProof/>
        </w:rPr>
        <w:t>Člena 11 in 12</w:t>
      </w:r>
      <w:r w:rsidRPr="006B0F72">
        <w:rPr>
          <w:noProof/>
        </w:rPr>
        <w:t xml:space="preserve"> opisujeta zahteve za nacionalne načrte za obnovo držav članic. Ukrepe za obnovo bi bilo treba načrtovati strateško, da bodo čim učinkoviteje prispevali k obnovi narave po vsej EU ter k blažitvi podnebnih sprememb in prilagajanju podnebnim spremembam. Pomembno je, da države članice pripravijo svoje nacionalne načrte za obnovo na podlagi najboljših in najnovejših razpoložljivih znanstvenih dokazov. </w:t>
      </w:r>
    </w:p>
    <w:p w14:paraId="6B3F4EC1" w14:textId="77777777" w:rsidR="00834343" w:rsidRPr="006B0F72" w:rsidRDefault="00CD623F" w:rsidP="00CD623F">
      <w:pPr>
        <w:pStyle w:val="Normal2"/>
        <w:jc w:val="both"/>
        <w:rPr>
          <w:noProof/>
        </w:rPr>
      </w:pPr>
      <w:r w:rsidRPr="006B0F72">
        <w:rPr>
          <w:noProof/>
        </w:rPr>
        <w:t xml:space="preserve">V </w:t>
      </w:r>
      <w:r w:rsidRPr="006B0F72">
        <w:rPr>
          <w:b/>
          <w:noProof/>
        </w:rPr>
        <w:t>členih 13, 14 in 15</w:t>
      </w:r>
      <w:r w:rsidRPr="006B0F72">
        <w:rPr>
          <w:noProof/>
        </w:rPr>
        <w:t xml:space="preserve"> je določeno, da morajo države članice svoje nacionalne načrte za obnovo predložiti Komisiji v presojo in da se morajo pred sprejetjem navedenih načrtov odzvati na pripombe Komisije. Opisan je tudi postopek za pregled in redno revizijo nacionalnih načrtov za obnovo. </w:t>
      </w:r>
    </w:p>
    <w:p w14:paraId="76BD2863" w14:textId="77777777" w:rsidR="00CD623F" w:rsidRPr="006B0F72" w:rsidRDefault="00CD623F" w:rsidP="00CD623F">
      <w:pPr>
        <w:pStyle w:val="Normal2"/>
        <w:jc w:val="both"/>
        <w:rPr>
          <w:b/>
          <w:noProof/>
        </w:rPr>
      </w:pPr>
      <w:r w:rsidRPr="006B0F72">
        <w:rPr>
          <w:b/>
          <w:noProof/>
        </w:rPr>
        <w:t>Člena 17 in 18</w:t>
      </w:r>
      <w:r w:rsidRPr="006B0F72">
        <w:rPr>
          <w:noProof/>
        </w:rPr>
        <w:t xml:space="preserve"> vsebujeta zahteve za spremljanje in poročanje.</w:t>
      </w:r>
    </w:p>
    <w:p w14:paraId="51C35BEB" w14:textId="77777777" w:rsidR="00CD623F" w:rsidRPr="006B0F72" w:rsidRDefault="00CD623F" w:rsidP="00CD623F">
      <w:pPr>
        <w:pStyle w:val="Normal2"/>
        <w:jc w:val="both"/>
        <w:rPr>
          <w:noProof/>
          <w:color w:val="000000" w:themeColor="text1"/>
        </w:rPr>
      </w:pPr>
      <w:r w:rsidRPr="006B0F72">
        <w:rPr>
          <w:b/>
          <w:noProof/>
          <w:color w:val="000000" w:themeColor="text1"/>
        </w:rPr>
        <w:t>Člen 19</w:t>
      </w:r>
      <w:r w:rsidRPr="006B0F72">
        <w:rPr>
          <w:noProof/>
          <w:color w:val="000000" w:themeColor="text1"/>
        </w:rPr>
        <w:t xml:space="preserve"> vsebuje določbe za spreminjanje prilog k uredbi. </w:t>
      </w:r>
    </w:p>
    <w:p w14:paraId="4EAA2D3F" w14:textId="77777777" w:rsidR="00CD623F" w:rsidRPr="006B0F72" w:rsidRDefault="00CD623F" w:rsidP="00CD623F">
      <w:pPr>
        <w:pStyle w:val="Normal2"/>
        <w:jc w:val="both"/>
        <w:rPr>
          <w:noProof/>
          <w:color w:val="000000" w:themeColor="text1"/>
        </w:rPr>
      </w:pPr>
      <w:r w:rsidRPr="006B0F72">
        <w:rPr>
          <w:b/>
          <w:noProof/>
          <w:color w:val="000000" w:themeColor="text1"/>
        </w:rPr>
        <w:t>Člena 20 in 21</w:t>
      </w:r>
      <w:r w:rsidRPr="006B0F72">
        <w:rPr>
          <w:noProof/>
          <w:color w:val="000000" w:themeColor="text1"/>
        </w:rPr>
        <w:t xml:space="preserve"> določata pogoje za to, da Komisija sprejme delegirane in izvedbene akte. </w:t>
      </w:r>
    </w:p>
    <w:p w14:paraId="7196B2C9" w14:textId="77777777" w:rsidR="00CD623F" w:rsidRPr="006B0F72" w:rsidRDefault="00CD623F" w:rsidP="00CD623F">
      <w:pPr>
        <w:pStyle w:val="Normal2"/>
        <w:jc w:val="both"/>
        <w:rPr>
          <w:noProof/>
          <w:color w:val="000000" w:themeColor="text1"/>
        </w:rPr>
      </w:pPr>
      <w:r w:rsidRPr="006B0F72">
        <w:rPr>
          <w:b/>
          <w:noProof/>
          <w:color w:val="000000" w:themeColor="text1"/>
        </w:rPr>
        <w:t>Člen 22</w:t>
      </w:r>
      <w:r w:rsidRPr="006B0F72">
        <w:rPr>
          <w:noProof/>
          <w:color w:val="000000" w:themeColor="text1"/>
        </w:rPr>
        <w:t xml:space="preserve"> določa pregled te uredbe do 31. decembra 2035.</w:t>
      </w:r>
    </w:p>
    <w:p w14:paraId="3D55AE40" w14:textId="77777777" w:rsidR="001A7B88" w:rsidRPr="006B0F72" w:rsidRDefault="00CD623F" w:rsidP="00CD623F">
      <w:pPr>
        <w:pStyle w:val="Normal2"/>
        <w:jc w:val="both"/>
        <w:rPr>
          <w:noProof/>
          <w:color w:val="000000" w:themeColor="text1"/>
        </w:rPr>
      </w:pPr>
      <w:r w:rsidRPr="006B0F72">
        <w:rPr>
          <w:b/>
          <w:noProof/>
          <w:color w:val="000000" w:themeColor="text1"/>
        </w:rPr>
        <w:t>Člen 23</w:t>
      </w:r>
      <w:r w:rsidRPr="006B0F72">
        <w:rPr>
          <w:noProof/>
          <w:color w:val="000000" w:themeColor="text1"/>
        </w:rPr>
        <w:t xml:space="preserve"> določa začetek veljavnosti in uporabe uredbe.</w:t>
      </w:r>
    </w:p>
    <w:p w14:paraId="1B0A9004" w14:textId="77777777" w:rsidR="005C7FCA" w:rsidRPr="006B0F72" w:rsidRDefault="005C7FCA" w:rsidP="00EC044F">
      <w:pPr>
        <w:rPr>
          <w:noProof/>
        </w:rPr>
        <w:sectPr w:rsidR="005C7FCA" w:rsidRPr="006B0F72" w:rsidSect="00D77511">
          <w:footerReference w:type="default" r:id="rId13"/>
          <w:footerReference w:type="first" r:id="rId14"/>
          <w:pgSz w:w="11907" w:h="16839"/>
          <w:pgMar w:top="1134" w:right="1417" w:bottom="1134" w:left="1417" w:header="709" w:footer="709" w:gutter="0"/>
          <w:cols w:space="708"/>
          <w:docGrid w:linePitch="360"/>
        </w:sectPr>
      </w:pPr>
    </w:p>
    <w:p w14:paraId="7F4396DB" w14:textId="33FD8F40" w:rsidR="00DD69EC" w:rsidRPr="006B0F72" w:rsidRDefault="001F7563" w:rsidP="001F7563">
      <w:pPr>
        <w:pStyle w:val="Rfrenceinterinstitutionnelle"/>
        <w:rPr>
          <w:noProof/>
        </w:rPr>
      </w:pPr>
      <w:r w:rsidRPr="001F7563">
        <w:t>2022/0195 (COD)</w:t>
      </w:r>
    </w:p>
    <w:p w14:paraId="5EFF529B" w14:textId="77777777" w:rsidR="00EC044F" w:rsidRPr="006B0F72" w:rsidRDefault="00695E96" w:rsidP="00695E96">
      <w:pPr>
        <w:pStyle w:val="Statut"/>
        <w:rPr>
          <w:noProof/>
        </w:rPr>
      </w:pPr>
      <w:r w:rsidRPr="00695E96">
        <w:rPr>
          <w:noProof/>
        </w:rPr>
        <w:t>Predlog</w:t>
      </w:r>
    </w:p>
    <w:p w14:paraId="0410F8AD" w14:textId="77777777" w:rsidR="00EC044F" w:rsidRPr="006B0F72" w:rsidRDefault="00695E96" w:rsidP="00695E96">
      <w:pPr>
        <w:pStyle w:val="Typedudocument"/>
        <w:rPr>
          <w:noProof/>
        </w:rPr>
      </w:pPr>
      <w:r w:rsidRPr="00695E96">
        <w:rPr>
          <w:noProof/>
        </w:rPr>
        <w:t>UREDBA EVROPSKEGA PARLAMENTA IN SVETA</w:t>
      </w:r>
    </w:p>
    <w:p w14:paraId="1A20BBB3" w14:textId="77777777" w:rsidR="00EC044F" w:rsidRPr="006B0F72" w:rsidRDefault="00695E96" w:rsidP="00695E96">
      <w:pPr>
        <w:pStyle w:val="Titreobjet"/>
        <w:rPr>
          <w:noProof/>
        </w:rPr>
      </w:pPr>
      <w:r w:rsidRPr="00695E96">
        <w:rPr>
          <w:noProof/>
        </w:rPr>
        <w:t>o obnovi narave</w:t>
      </w:r>
    </w:p>
    <w:p w14:paraId="74CD7400" w14:textId="77777777" w:rsidR="00EC044F" w:rsidRPr="006B0F72" w:rsidRDefault="00695E96" w:rsidP="00695E96">
      <w:pPr>
        <w:pStyle w:val="IntrtEEE"/>
        <w:rPr>
          <w:noProof/>
        </w:rPr>
      </w:pPr>
      <w:r w:rsidRPr="00695E96">
        <w:rPr>
          <w:noProof/>
        </w:rPr>
        <w:t>(Besedilo velja za EGP)</w:t>
      </w:r>
    </w:p>
    <w:p w14:paraId="08E82A20" w14:textId="77777777" w:rsidR="00EC044F" w:rsidRPr="006B0F72" w:rsidRDefault="00EC044F" w:rsidP="00EC044F">
      <w:pPr>
        <w:pStyle w:val="Institutionquiagit"/>
        <w:rPr>
          <w:noProof/>
        </w:rPr>
      </w:pPr>
      <w:r w:rsidRPr="006B0F72">
        <w:rPr>
          <w:noProof/>
        </w:rPr>
        <w:t>EVROPSKI PARLAMENT IN SVET EVROPSKE UNIJE STA –</w:t>
      </w:r>
    </w:p>
    <w:p w14:paraId="4DA4C67F" w14:textId="77777777" w:rsidR="00186DC5" w:rsidRPr="006B0F72" w:rsidRDefault="00186DC5" w:rsidP="00186DC5">
      <w:pPr>
        <w:rPr>
          <w:noProof/>
        </w:rPr>
      </w:pPr>
      <w:r w:rsidRPr="006B0F72">
        <w:rPr>
          <w:noProof/>
        </w:rPr>
        <w:t>ob upoštevanju Pogodbe o delovanju Evropske unije in zlasti člena 192(1) Pogodbe,</w:t>
      </w:r>
    </w:p>
    <w:p w14:paraId="455FCACE" w14:textId="77777777" w:rsidR="00186DC5" w:rsidRPr="006B0F72" w:rsidRDefault="00186DC5" w:rsidP="00186DC5">
      <w:pPr>
        <w:rPr>
          <w:noProof/>
        </w:rPr>
      </w:pPr>
      <w:r w:rsidRPr="006B0F72">
        <w:rPr>
          <w:noProof/>
        </w:rPr>
        <w:t>ob upoštevanju predloga Evropske Komisije,</w:t>
      </w:r>
    </w:p>
    <w:p w14:paraId="06F4246B" w14:textId="77777777" w:rsidR="00186DC5" w:rsidRPr="006B0F72" w:rsidRDefault="00186DC5" w:rsidP="00186DC5">
      <w:pPr>
        <w:rPr>
          <w:noProof/>
        </w:rPr>
      </w:pPr>
      <w:r w:rsidRPr="006B0F72">
        <w:rPr>
          <w:noProof/>
        </w:rPr>
        <w:t>po posredovanju osnutka zakonodajnega akta nacionalnim parlamentom,</w:t>
      </w:r>
    </w:p>
    <w:p w14:paraId="5F25DFB5" w14:textId="77777777" w:rsidR="00186DC5" w:rsidRPr="006B0F72" w:rsidRDefault="00186DC5" w:rsidP="00186DC5">
      <w:pPr>
        <w:rPr>
          <w:noProof/>
        </w:rPr>
      </w:pPr>
      <w:r w:rsidRPr="006B0F72">
        <w:rPr>
          <w:noProof/>
        </w:rPr>
        <w:t>ob upoštevanju mnenja Evropskega ekonomsko-socialnega odbora</w:t>
      </w:r>
      <w:r w:rsidRPr="006B0F72">
        <w:rPr>
          <w:rStyle w:val="FootnoteReference"/>
          <w:noProof/>
        </w:rPr>
        <w:footnoteReference w:id="43"/>
      </w:r>
      <w:r w:rsidRPr="006B0F72">
        <w:rPr>
          <w:noProof/>
        </w:rPr>
        <w:t>,</w:t>
      </w:r>
    </w:p>
    <w:p w14:paraId="4B03FD7E" w14:textId="77777777" w:rsidR="00186DC5" w:rsidRPr="006B0F72" w:rsidRDefault="00186DC5" w:rsidP="00186DC5">
      <w:pPr>
        <w:rPr>
          <w:noProof/>
        </w:rPr>
      </w:pPr>
      <w:r w:rsidRPr="006B0F72">
        <w:rPr>
          <w:noProof/>
        </w:rPr>
        <w:t xml:space="preserve">ob upoštevanju mnenja Odbora regij, </w:t>
      </w:r>
    </w:p>
    <w:p w14:paraId="7320A356" w14:textId="77777777" w:rsidR="00186DC5" w:rsidRPr="006B0F72" w:rsidRDefault="00186DC5" w:rsidP="00186DC5">
      <w:pPr>
        <w:rPr>
          <w:noProof/>
        </w:rPr>
      </w:pPr>
      <w:r w:rsidRPr="006B0F72">
        <w:rPr>
          <w:noProof/>
        </w:rPr>
        <w:t>v skladu z rednim zakonodajnim postopkom,</w:t>
      </w:r>
    </w:p>
    <w:p w14:paraId="46270EE8" w14:textId="77777777" w:rsidR="00EC044F" w:rsidRPr="006B0F72" w:rsidRDefault="6F6C603F" w:rsidP="00EC044F">
      <w:pPr>
        <w:rPr>
          <w:noProof/>
        </w:rPr>
      </w:pPr>
      <w:r w:rsidRPr="006B0F72">
        <w:rPr>
          <w:noProof/>
        </w:rPr>
        <w:t>ob upoštevanju naslednjega:</w:t>
      </w:r>
    </w:p>
    <w:p w14:paraId="6373AD13" w14:textId="3BC8F649" w:rsidR="008734F2" w:rsidRPr="006B0F72" w:rsidRDefault="00652A97" w:rsidP="00652A97">
      <w:pPr>
        <w:pStyle w:val="ManualConsidrant"/>
        <w:rPr>
          <w:noProof/>
        </w:rPr>
      </w:pPr>
      <w:r w:rsidRPr="00652A97">
        <w:rPr>
          <w:noProof/>
        </w:rPr>
        <w:t>(1)</w:t>
      </w:r>
      <w:r w:rsidRPr="00652A97">
        <w:rPr>
          <w:noProof/>
        </w:rPr>
        <w:tab/>
      </w:r>
      <w:r w:rsidR="776F1F7B" w:rsidRPr="006B0F72">
        <w:rPr>
          <w:noProof/>
        </w:rPr>
        <w:t xml:space="preserve">Na ravni Unije je treba določiti pravila za obnovo ekosistemov, da se zagotovi ponovna vzpostavitev biotsko raznovrstne in odporne narave po vsem ozemlju Unije. Obnova ekosistemov prispeva tudi k ciljem Unije v zvezi z blažitvijo podnebnih sprememb in prilagajanjem podnebnim spremembam. </w:t>
      </w:r>
    </w:p>
    <w:p w14:paraId="67C3A717" w14:textId="047947ED" w:rsidR="00934CE4" w:rsidRPr="006B0F72" w:rsidRDefault="00652A97" w:rsidP="00652A97">
      <w:pPr>
        <w:pStyle w:val="ManualConsidrant"/>
        <w:rPr>
          <w:noProof/>
        </w:rPr>
      </w:pPr>
      <w:r w:rsidRPr="00652A97">
        <w:rPr>
          <w:noProof/>
        </w:rPr>
        <w:t>(2)</w:t>
      </w:r>
      <w:r w:rsidRPr="00652A97">
        <w:rPr>
          <w:noProof/>
        </w:rPr>
        <w:tab/>
      </w:r>
      <w:r w:rsidR="5D29A595" w:rsidRPr="006B0F72">
        <w:rPr>
          <w:noProof/>
        </w:rPr>
        <w:t>V evropskem zelenem dogovoru</w:t>
      </w:r>
      <w:r w:rsidR="5D29A595" w:rsidRPr="006B0F72">
        <w:rPr>
          <w:rStyle w:val="FootnoteReference"/>
          <w:noProof/>
        </w:rPr>
        <w:footnoteReference w:id="44"/>
      </w:r>
      <w:r w:rsidR="5D29A595" w:rsidRPr="006B0F72">
        <w:rPr>
          <w:noProof/>
        </w:rPr>
        <w:t xml:space="preserve"> je določen ambiciozen načrt za preoblikovanje Unije v pravično in uspešno družbo s sodobnim, z viri gospodarnim in konkurenčnim gospodarstvom, katerega cilji so varovanje, ohranjanje in izboljšanje naravnega kapitala Unije ter varovanje zdravja in dobrobiti državljanov pred tveganji in vplivi, povezanimi z okoljem. Komisija je v okviru evropskega zelenega dogovora sprejela strategijo EU za biotsko raznovrstnost do leta 2030</w:t>
      </w:r>
      <w:r w:rsidR="5D29A595" w:rsidRPr="006B0F72">
        <w:rPr>
          <w:rStyle w:val="FootnoteReference"/>
          <w:noProof/>
        </w:rPr>
        <w:footnoteReference w:id="45"/>
      </w:r>
      <w:r w:rsidR="5D29A595" w:rsidRPr="006B0F72">
        <w:rPr>
          <w:noProof/>
        </w:rPr>
        <w:t xml:space="preserve">. </w:t>
      </w:r>
    </w:p>
    <w:p w14:paraId="57EDFA7D" w14:textId="013FB7C2" w:rsidR="00D9253E" w:rsidRPr="006B0F72" w:rsidRDefault="00652A97" w:rsidP="00652A97">
      <w:pPr>
        <w:pStyle w:val="ManualConsidrant"/>
        <w:rPr>
          <w:noProof/>
        </w:rPr>
      </w:pPr>
      <w:r w:rsidRPr="00652A97">
        <w:rPr>
          <w:noProof/>
        </w:rPr>
        <w:t>(3)</w:t>
      </w:r>
      <w:r w:rsidRPr="00652A97">
        <w:rPr>
          <w:noProof/>
        </w:rPr>
        <w:tab/>
      </w:r>
      <w:r w:rsidR="1C9C372F" w:rsidRPr="006B0F72">
        <w:rPr>
          <w:noProof/>
        </w:rPr>
        <w:t>Unija in njene države članice so kot pogodbenice Konvencije o biološki raznovrstnosti, odobrene s Sklepom Sveta 93/626/EGS</w:t>
      </w:r>
      <w:r w:rsidR="1C9C372F" w:rsidRPr="006B0F72">
        <w:rPr>
          <w:rStyle w:val="FootnoteReference"/>
          <w:noProof/>
        </w:rPr>
        <w:footnoteReference w:id="46"/>
      </w:r>
      <w:r w:rsidR="1C9C372F" w:rsidRPr="006B0F72">
        <w:rPr>
          <w:noProof/>
        </w:rPr>
        <w:t>, zavezane dolgoročni strateški viziji, ki jo je Konferenca pogodbenic sprejela leta 2010 s Sklepom X/2, Strateški Načrt za biotsko raznovrstnost za obdobje 2011–2020</w:t>
      </w:r>
      <w:r w:rsidR="1C9C372F" w:rsidRPr="006B0F72">
        <w:rPr>
          <w:rStyle w:val="FootnoteReference"/>
          <w:noProof/>
        </w:rPr>
        <w:footnoteReference w:id="47"/>
      </w:r>
      <w:r w:rsidR="1C9C372F" w:rsidRPr="006B0F72">
        <w:rPr>
          <w:noProof/>
        </w:rPr>
        <w:t xml:space="preserve">, tj. da je treba do leta 2050 ceniti, ohranjati, obnavljati in pametno uporabljati biotsko raznovrstnost, vzdrževati ekosistemske storitve, ohranjati zdrav planet in zagotavljati koristi, bistvene za vse ljudi. </w:t>
      </w:r>
    </w:p>
    <w:p w14:paraId="5FAF8525" w14:textId="60037F83" w:rsidR="00F52EFB" w:rsidRPr="006B0F72" w:rsidRDefault="00652A97" w:rsidP="00652A97">
      <w:pPr>
        <w:pStyle w:val="ManualConsidrant"/>
        <w:rPr>
          <w:noProof/>
        </w:rPr>
      </w:pPr>
      <w:r w:rsidRPr="00652A97">
        <w:rPr>
          <w:noProof/>
        </w:rPr>
        <w:t>(4)</w:t>
      </w:r>
      <w:r w:rsidRPr="00652A97">
        <w:rPr>
          <w:noProof/>
        </w:rPr>
        <w:tab/>
      </w:r>
      <w:r w:rsidR="1C9C372F" w:rsidRPr="006B0F72">
        <w:rPr>
          <w:noProof/>
        </w:rPr>
        <w:t>[označba mesta za cilj za obnovo novega globalnega okvira biotske raznovrstnosti, ki bo določen na Konferenci pogodbenic Konvencije o biotski raznovrstnosti]</w:t>
      </w:r>
    </w:p>
    <w:p w14:paraId="6B93C052" w14:textId="3379BAE4" w:rsidR="0075764C" w:rsidRPr="006B0F72" w:rsidRDefault="00652A97" w:rsidP="00652A97">
      <w:pPr>
        <w:pStyle w:val="ManualConsidrant"/>
        <w:rPr>
          <w:noProof/>
        </w:rPr>
      </w:pPr>
      <w:r w:rsidRPr="00652A97">
        <w:rPr>
          <w:noProof/>
        </w:rPr>
        <w:t>(5)</w:t>
      </w:r>
      <w:r w:rsidRPr="00652A97">
        <w:rPr>
          <w:noProof/>
        </w:rPr>
        <w:tab/>
      </w:r>
      <w:r w:rsidR="0075764C" w:rsidRPr="006B0F72">
        <w:rPr>
          <w:noProof/>
        </w:rPr>
        <w:t>Cilji trajnostnega razvoja OZN</w:t>
      </w:r>
      <w:r w:rsidR="0075764C" w:rsidRPr="006B0F72">
        <w:rPr>
          <w:rStyle w:val="FootnoteReference"/>
          <w:noProof/>
        </w:rPr>
        <w:footnoteReference w:id="48"/>
      </w:r>
      <w:r w:rsidR="0075764C" w:rsidRPr="006B0F72">
        <w:rPr>
          <w:noProof/>
        </w:rPr>
        <w:t xml:space="preserve">, zlasti cilji 14.2, 15.1, 15.2 in 15.3, se nanašajo na potrebo po zagotavljanju ohranjanja, obnove in trajnostne rabe kopenskih in celinskih sladkovodnih ekosistemov ter njihovih storitev, zlasti gozdov, mokrišč, gora in sušnih območij. </w:t>
      </w:r>
    </w:p>
    <w:p w14:paraId="1E45E880" w14:textId="69245FBD" w:rsidR="5BBE5DD2" w:rsidRPr="006B0F72" w:rsidRDefault="00652A97" w:rsidP="00652A97">
      <w:pPr>
        <w:pStyle w:val="ManualConsidrant"/>
        <w:rPr>
          <w:rFonts w:eastAsiaTheme="minorEastAsia"/>
          <w:noProof/>
          <w:szCs w:val="24"/>
        </w:rPr>
      </w:pPr>
      <w:r w:rsidRPr="00652A97">
        <w:rPr>
          <w:noProof/>
        </w:rPr>
        <w:t>(6)</w:t>
      </w:r>
      <w:r w:rsidRPr="00652A97">
        <w:rPr>
          <w:noProof/>
        </w:rPr>
        <w:tab/>
      </w:r>
      <w:r w:rsidR="5BBE5DD2" w:rsidRPr="006B0F72">
        <w:rPr>
          <w:noProof/>
        </w:rPr>
        <w:t>Generalna skupščina Združenih narodov je z resolucijo z dne 1. marca 2019</w:t>
      </w:r>
      <w:r w:rsidR="5BBE5DD2" w:rsidRPr="006B0F72">
        <w:rPr>
          <w:rStyle w:val="FootnoteReference"/>
          <w:rFonts w:eastAsia="Calibri"/>
          <w:noProof/>
          <w:szCs w:val="24"/>
        </w:rPr>
        <w:footnoteReference w:id="49"/>
      </w:r>
      <w:r w:rsidR="5BBE5DD2" w:rsidRPr="006B0F72">
        <w:rPr>
          <w:noProof/>
        </w:rPr>
        <w:t xml:space="preserve"> desetletje 2021–2030 razglasila za desetletje ZN za obnovo ekosistemov, da bi podprla in okrepila prizadevanja za preprečevanje, zaustavitev in obrnitev degradacije ekosistemov po vsem svetu ter povečala ozaveščenost o pomembnosti obnove ekosistemov. </w:t>
      </w:r>
    </w:p>
    <w:p w14:paraId="7AF540C0" w14:textId="260356C4" w:rsidR="00F52EFB" w:rsidRPr="006B0F72" w:rsidRDefault="00652A97" w:rsidP="00652A97">
      <w:pPr>
        <w:pStyle w:val="ManualConsidrant"/>
        <w:rPr>
          <w:noProof/>
        </w:rPr>
      </w:pPr>
      <w:r w:rsidRPr="00652A97">
        <w:rPr>
          <w:noProof/>
        </w:rPr>
        <w:t>(7)</w:t>
      </w:r>
      <w:r w:rsidRPr="00652A97">
        <w:rPr>
          <w:noProof/>
        </w:rPr>
        <w:tab/>
      </w:r>
      <w:r w:rsidR="1C9C372F" w:rsidRPr="006B0F72">
        <w:rPr>
          <w:noProof/>
        </w:rPr>
        <w:t xml:space="preserve">Namen strategije EU za biotsko raznovrstnost do leta 2030 je zagotoviti trend okrevanja evropske biotske raznovrstnosti do leta 2030 v korist ljudi, planeta, podnebja in našega gospodarstva. Strategija določa ambiciozen načrt EU za obnovo narave s številnimi ključnimi zavezami, vključno z zavezo, da se predloži predlog za pravno zavezujoče cilje EU za obnovo narave za obnovitev degradiranih ekosistemov, zlasti tistih, ki imajo največ potenciala za zajemanje in shranjevanje ogljika, ter za preprečevanje naravnih nesreč in zmanjševanje njihovega vpliva. </w:t>
      </w:r>
    </w:p>
    <w:p w14:paraId="2DC2062E" w14:textId="2BF30B40" w:rsidR="00F52EFB" w:rsidRPr="006B0F72" w:rsidRDefault="00652A97" w:rsidP="00652A97">
      <w:pPr>
        <w:pStyle w:val="ManualConsidrant"/>
        <w:rPr>
          <w:noProof/>
        </w:rPr>
      </w:pPr>
      <w:r w:rsidRPr="00652A97">
        <w:rPr>
          <w:noProof/>
        </w:rPr>
        <w:t>(8)</w:t>
      </w:r>
      <w:r w:rsidRPr="00652A97">
        <w:rPr>
          <w:noProof/>
        </w:rPr>
        <w:tab/>
      </w:r>
      <w:r w:rsidR="2E3979ED" w:rsidRPr="006B0F72">
        <w:rPr>
          <w:noProof/>
        </w:rPr>
        <w:t>Evropski parlament je v resoluciji z dne 9. junija 2021</w:t>
      </w:r>
      <w:r w:rsidR="2E3979ED" w:rsidRPr="006B0F72">
        <w:rPr>
          <w:rStyle w:val="FootnoteReference"/>
          <w:noProof/>
        </w:rPr>
        <w:footnoteReference w:id="50"/>
      </w:r>
      <w:r w:rsidR="2E3979ED" w:rsidRPr="006B0F72">
        <w:rPr>
          <w:noProof/>
        </w:rPr>
        <w:t xml:space="preserve"> toplo pozdravil zavezanost k pripravi zakonodajnega predloga z zavezujočimi cilji za obnovo narave ter menil, da bi bilo treba poleg splošnega cilja za obnovo vključiti tudi cilje za obnovo posameznih ekosistemov, habitatov in vrst, ki bi zajemali gozdove, travišča, mokrišča, šotišča, opraševalce, neregulirane reke, obalna območja in morske ekosisteme. </w:t>
      </w:r>
    </w:p>
    <w:p w14:paraId="0773D314" w14:textId="68B968B6" w:rsidR="002F2D27" w:rsidRPr="006B0F72" w:rsidRDefault="00652A97" w:rsidP="00652A97">
      <w:pPr>
        <w:pStyle w:val="ManualConsidrant"/>
        <w:rPr>
          <w:rFonts w:eastAsiaTheme="minorEastAsia"/>
          <w:noProof/>
          <w:szCs w:val="24"/>
        </w:rPr>
      </w:pPr>
      <w:r w:rsidRPr="00652A97">
        <w:rPr>
          <w:noProof/>
        </w:rPr>
        <w:t>(9)</w:t>
      </w:r>
      <w:r w:rsidRPr="00652A97">
        <w:rPr>
          <w:noProof/>
        </w:rPr>
        <w:tab/>
      </w:r>
      <w:r w:rsidR="2E3979ED" w:rsidRPr="006B0F72">
        <w:rPr>
          <w:noProof/>
        </w:rPr>
        <w:t>Svet je v svojih sklepih z dne 23. oktobra 2020</w:t>
      </w:r>
      <w:r w:rsidR="2E3979ED" w:rsidRPr="006B0F72">
        <w:rPr>
          <w:rStyle w:val="FootnoteReference"/>
          <w:noProof/>
        </w:rPr>
        <w:footnoteReference w:id="51"/>
      </w:r>
      <w:r w:rsidR="2E3979ED" w:rsidRPr="006B0F72">
        <w:rPr>
          <w:noProof/>
        </w:rPr>
        <w:t xml:space="preserve"> priznal, da bo preprečevanje nadaljnjega slabšanja sedanjega stanja biotske raznovrstnosti in narave bistveno, vendar ne bo zadostovalo za vrnitev narave v naša življenja. Ponovno je poudaril, da je treba okrepiti ambicije pri obnovi narave, kot je predlagano z novim načrtom EU za obnovo narave, ki vključuje ukrepe za zaščito in obnovo biotske raznovrstnosti zunaj zavarovanih območij. Svet je navedel tudi, da čaka na predlog za pravno zavezujoče cilje za obnovo narave, za katere bo opravljena ocena učinka.</w:t>
      </w:r>
    </w:p>
    <w:p w14:paraId="01755ADF" w14:textId="57801BDA" w:rsidR="009B3183" w:rsidRPr="006B0F72" w:rsidRDefault="00652A97" w:rsidP="00652A97">
      <w:pPr>
        <w:pStyle w:val="ManualConsidrant"/>
        <w:rPr>
          <w:noProof/>
          <w:sz w:val="22"/>
        </w:rPr>
      </w:pPr>
      <w:r w:rsidRPr="00652A97">
        <w:rPr>
          <w:noProof/>
        </w:rPr>
        <w:t>(10)</w:t>
      </w:r>
      <w:r w:rsidRPr="00652A97">
        <w:rPr>
          <w:noProof/>
        </w:rPr>
        <w:tab/>
      </w:r>
      <w:r w:rsidR="0E696219" w:rsidRPr="006B0F72">
        <w:rPr>
          <w:noProof/>
        </w:rPr>
        <w:t>V strategiji EU za biotsko raznovrstnost do leta 2030 je določena zaveza za pravno varstvo vsaj 30 % kopnega, vključno s celinskimi vodami, in 30 % morij v Uniji, pri čemer mora biti najmanj ena tretjina strogo varovana, vključno z vsemi preostalimi prvotnimi in staroraslimi gozdovi. V merilih in smernicah za določitev dodatnih zavarovanih območij s strani držav članic</w:t>
      </w:r>
      <w:r w:rsidR="0E696219" w:rsidRPr="006B0F72">
        <w:rPr>
          <w:rStyle w:val="FootnoteReference"/>
          <w:noProof/>
        </w:rPr>
        <w:footnoteReference w:id="52"/>
      </w:r>
      <w:r w:rsidR="0E696219" w:rsidRPr="006B0F72">
        <w:rPr>
          <w:noProof/>
        </w:rPr>
        <w:t xml:space="preserve"> (v nadaljnjem besedilu: merila in smernice), ki jih je Komisija pripravila v sodelovanju z državami članicami in deležniki, je poudarjeno, da če obnovljena območja izpolnjujejo ali naj bi izpolnjevala merila za zavarovana območja, ko obnova doseže svoj polni učinek, bi morala navedena obnovljena območja prispevati tudi k ciljem Unije v zvezi z zavarovanimi območji. V merilih in smernicah je poudarjeno tudi, da lahko zavarovana območja pomembno prispevajo k ciljem za obnovo iz strategije EU za biotsko raznovrstnost do leta 2030, tako da ustvarijo pogoje za uspešno obnovo. To še zlasti velja za območja, ki se lahko naravno obnovijo, če se ustavijo ali omejijo nekateri pritiski človekovih dejavnosti. Strogo varovanje takih območij, tudi v morskem okolju, bo v nekaterih primerih zadostovalo za obnovo naravnih vrednot, prisotnih na njih. Poleg tega je v merilih in smernicah poudarjeno, da se od vseh držav članic pričakuje, da bodo prispevale k doseganju ciljev Unije v zvezi z zavarovanimi območji iz strategije EU za biotsko raznovrstnost do leta 2030 v obsegu, ki je sorazmeren z naravnimi vrednotami, prisotnimi na njih, in njihovim potencialom za obnovo narave. </w:t>
      </w:r>
    </w:p>
    <w:p w14:paraId="0E2BBDC2" w14:textId="73AD3967" w:rsidR="009B3183" w:rsidRPr="006B0F72" w:rsidRDefault="00652A97" w:rsidP="00652A97">
      <w:pPr>
        <w:pStyle w:val="ManualConsidrant"/>
        <w:rPr>
          <w:noProof/>
        </w:rPr>
      </w:pPr>
      <w:r w:rsidRPr="00652A97">
        <w:rPr>
          <w:noProof/>
        </w:rPr>
        <w:t>(11)</w:t>
      </w:r>
      <w:r w:rsidRPr="00652A97">
        <w:rPr>
          <w:noProof/>
        </w:rPr>
        <w:tab/>
      </w:r>
      <w:r w:rsidR="25EA8F68" w:rsidRPr="006B0F72">
        <w:rPr>
          <w:noProof/>
        </w:rPr>
        <w:t>Strategija EU za biotsko raznovrstnost do leta 2030 določa cilj zagotovitve, da ne pride do poslabšanja trendov ohranjanja ali stanja zavarovanih habitatov in vrst ter da bo do leta 2030 vsaj 30 % vrst in habitatov, ki trenutno niso v ugodnem stanju, spadalo v navedeno kategorijo ali kazalo močan pozitiven trend k uvrstitvi v navedeno kategorijo. Smernice</w:t>
      </w:r>
      <w:r w:rsidR="25EA8F68" w:rsidRPr="006B0F72">
        <w:rPr>
          <w:rStyle w:val="FootnoteReference"/>
          <w:noProof/>
        </w:rPr>
        <w:footnoteReference w:id="53"/>
      </w:r>
      <w:r w:rsidR="25EA8F68" w:rsidRPr="006B0F72">
        <w:rPr>
          <w:noProof/>
        </w:rPr>
        <w:t>, ki jih je Komisija pripravila v sodelovanju z državami članicami in deležniki za podporo pri doseganju teh ciljev, poudarjajo, da bodo verjetno potrebna prizadevanja za vzdrževanje in obnovo večine navedenih habitatov in vrst, bodisi z zaustavitvijo njihovih trenutnih negativnih trendov do leta 2030 bodisi z ohranjanjem trenutnih stabilnih trendov ali njihovim izboljševanjem, ali pa s preprečevanjem upadanja habitatov in vrst z ugodnim stanjem ohranjenosti. V smernicah je nadalje poudarjeno, da je treba ta prizadevanja za obnovo načrtovati, izvajati in usklajevati predvsem na nacionalnih ali regionalnih ravneh ter da si je treba pri izbiri in prednostni določitvi vrst in habitatov, ki jih je treba izboljšati do leta 2030, prizadevati za sinergije z drugimi cilji Unije in mednarodnimi cilji, zlasti cilji na področju okoljske ali podnebne politike.</w:t>
      </w:r>
    </w:p>
    <w:p w14:paraId="3F1B7D6A" w14:textId="2C1D1B4E" w:rsidR="0023770E" w:rsidRPr="006B0F72" w:rsidRDefault="00652A97" w:rsidP="00652A97">
      <w:pPr>
        <w:pStyle w:val="ManualConsidrant"/>
        <w:rPr>
          <w:noProof/>
        </w:rPr>
      </w:pPr>
      <w:r w:rsidRPr="00652A97">
        <w:rPr>
          <w:noProof/>
        </w:rPr>
        <w:t>(12)</w:t>
      </w:r>
      <w:r w:rsidRPr="00652A97">
        <w:rPr>
          <w:noProof/>
        </w:rPr>
        <w:tab/>
      </w:r>
      <w:r w:rsidR="52F83635" w:rsidRPr="006B0F72">
        <w:rPr>
          <w:noProof/>
        </w:rPr>
        <w:t>V poročilu Komisije o stanju narave iz leta 2020</w:t>
      </w:r>
      <w:r w:rsidR="52F83635" w:rsidRPr="006B0F72">
        <w:rPr>
          <w:rStyle w:val="FootnoteReference"/>
          <w:noProof/>
        </w:rPr>
        <w:footnoteReference w:id="54"/>
      </w:r>
      <w:r w:rsidR="52F83635" w:rsidRPr="006B0F72">
        <w:rPr>
          <w:noProof/>
        </w:rPr>
        <w:t xml:space="preserve"> je bilo ugotovljeno, da Uniji še ni uspelo zaustaviti upadanja zavarovanih habitatnih tipov in vrst, ki jih želi ohraniti. Navedeni upad povzročajo predvsem opuščanje ekstenzivnega kmetijstva, intenzifikacija praks upravljanja, spremembe hidroloških režimov, urbanizacija in onesnaževanje, pa tudi netrajnostne gozdarske dejavnosti in izkoriščanje vrst. Poleg tega invazivne tujerodne vrste in podnebne spremembe močno in vse bolj ogrožajo domorodne rastlinske in živalske vrste v Uniji.</w:t>
      </w:r>
    </w:p>
    <w:p w14:paraId="1CA72ADB" w14:textId="70BA09F6" w:rsidR="003D48AD" w:rsidRPr="006B0F72" w:rsidRDefault="00652A97" w:rsidP="00652A97">
      <w:pPr>
        <w:pStyle w:val="ManualConsidrant"/>
        <w:rPr>
          <w:noProof/>
        </w:rPr>
      </w:pPr>
      <w:r w:rsidRPr="00652A97">
        <w:rPr>
          <w:noProof/>
        </w:rPr>
        <w:t>(13)</w:t>
      </w:r>
      <w:r w:rsidRPr="00652A97">
        <w:rPr>
          <w:noProof/>
        </w:rPr>
        <w:tab/>
      </w:r>
      <w:r w:rsidR="00DE155B" w:rsidRPr="006B0F72">
        <w:rPr>
          <w:noProof/>
        </w:rPr>
        <w:t>Primerno je določiti splošni cilj za obnovo ekosistemov, da se spodbudijo gospodarska in družbena preobrazba, ustvarjanje visokokakovostnih delovnih mest in trajnostna rast. Biotsko raznovrstni ekosistemi, kot so mokrišča, sladka voda, gozdovi ter kmetijski, redko porasli, morski, obalni in urbani ekosistemi zagotavljajo, če so v dobrem stanju, vrsto bistvenih ekosistemskih storitev, koristi obnove degradiranih ekosistemov v dobro stanje na vseh kopenskih in morskih območjih pa močno odtehtajo stroške obnove. Te storitve prispevajo k široki paleti socialno-ekonomskih koristi, odvisno od gospodarskih, socialnih, kulturnih, regionalnih in lokalnih značilnosti.</w:t>
      </w:r>
    </w:p>
    <w:p w14:paraId="5423DF89" w14:textId="5361F9D4" w:rsidR="00DA6D1A" w:rsidRPr="006B0F72" w:rsidRDefault="00652A97" w:rsidP="00652A97">
      <w:pPr>
        <w:pStyle w:val="ManualConsidrant"/>
        <w:rPr>
          <w:noProof/>
        </w:rPr>
      </w:pPr>
      <w:r w:rsidRPr="00652A97">
        <w:rPr>
          <w:noProof/>
        </w:rPr>
        <w:t>(14)</w:t>
      </w:r>
      <w:r w:rsidRPr="00652A97">
        <w:rPr>
          <w:noProof/>
        </w:rPr>
        <w:tab/>
      </w:r>
      <w:r w:rsidR="4A22A073" w:rsidRPr="006B0F72">
        <w:rPr>
          <w:noProof/>
        </w:rPr>
        <w:t>Statistična komisija Združenih narodov je na svojem 52. zasedanju marca 2021 sprejela sistem za okoljsko in ekonomsko računovodenje – ekosistemsko računovodenje (SEEA EA)</w:t>
      </w:r>
      <w:r w:rsidR="4A22A073" w:rsidRPr="006B0F72">
        <w:rPr>
          <w:rStyle w:val="FootnoteReference"/>
          <w:noProof/>
        </w:rPr>
        <w:footnoteReference w:id="55"/>
      </w:r>
      <w:r w:rsidR="4A22A073" w:rsidRPr="006B0F72">
        <w:rPr>
          <w:noProof/>
        </w:rPr>
        <w:t xml:space="preserve">. SEEA EA predstavlja integriran in celovit statistični okvir za organiziranje podatkov o habitatih in krajinah, merjenje obsega, stanja in storitev ekosistemov, sledenje sprememb v ekosistemskih sredstvih ter povezovanje teh informacij z gospodarskimi in drugimi človekovimi dejavnostmi. </w:t>
      </w:r>
    </w:p>
    <w:p w14:paraId="7F436BA6" w14:textId="61AD60A8" w:rsidR="002E001E" w:rsidRPr="006B0F72" w:rsidRDefault="00652A97" w:rsidP="00652A97">
      <w:pPr>
        <w:pStyle w:val="ManualConsidrant"/>
        <w:rPr>
          <w:rFonts w:eastAsiaTheme="minorEastAsia"/>
          <w:noProof/>
        </w:rPr>
      </w:pPr>
      <w:r w:rsidRPr="00652A97">
        <w:rPr>
          <w:noProof/>
        </w:rPr>
        <w:t>(15)</w:t>
      </w:r>
      <w:r w:rsidRPr="00652A97">
        <w:rPr>
          <w:noProof/>
        </w:rPr>
        <w:tab/>
      </w:r>
      <w:r w:rsidR="11DD617F" w:rsidRPr="006B0F72">
        <w:rPr>
          <w:noProof/>
        </w:rPr>
        <w:t>Zagotavljanje biotsko raznovrstnih ekosistemov in boj proti podnebnim spremembam sta neločljivo povezana. Narava in sonaravne rešitve, vključno z naravnimi zalogami in ponori ogljika, so bistvene za boj proti podnebni krizi. Hkrati je podnebna kriza že dejavnik sprememb kopenskega in morskega ekosistema, zato se mora Unija pripraviti na vse večjo intenzivnost, pogostost in razširjenost njenih učinkov. V posebnem poročilu Medvladnega panela za podnebne spremembe (IPCC)</w:t>
      </w:r>
      <w:r w:rsidR="11DD617F" w:rsidRPr="006B0F72">
        <w:rPr>
          <w:rStyle w:val="FootnoteReference"/>
          <w:rFonts w:eastAsia="Times New Roman"/>
          <w:noProof/>
        </w:rPr>
        <w:footnoteReference w:id="56"/>
      </w:r>
      <w:r w:rsidR="11DD617F" w:rsidRPr="006B0F72">
        <w:rPr>
          <w:noProof/>
        </w:rPr>
        <w:t xml:space="preserve"> o učinkih globalnega segrevanja za 1,5 °C je bilo poudarjeno, da so nekateri učinki morda dolgotrajni ali nepopravljivi. </w:t>
      </w:r>
      <w:r w:rsidR="11DD617F" w:rsidRPr="006B0F72">
        <w:rPr>
          <w:noProof/>
          <w:shd w:val="clear" w:color="auto" w:fill="FFFFFF"/>
        </w:rPr>
        <w:t>V šestem ocenjevalnem poročilu IPCC</w:t>
      </w:r>
      <w:r w:rsidR="11DD617F" w:rsidRPr="006B0F72">
        <w:rPr>
          <w:rStyle w:val="FootnoteReference"/>
          <w:noProof/>
          <w:szCs w:val="24"/>
        </w:rPr>
        <w:footnoteReference w:id="57"/>
      </w:r>
      <w:r w:rsidR="11DD617F" w:rsidRPr="006B0F72">
        <w:rPr>
          <w:noProof/>
          <w:shd w:val="clear" w:color="auto" w:fill="FFFFFF"/>
        </w:rPr>
        <w:t xml:space="preserve"> je navedeno, da bo obnova ekosistemov bistvena pri pomoči v boju proti podnebnim spremembam in pri zmanjševanju tveganj za prehransko varnost.</w:t>
      </w:r>
      <w:r w:rsidR="11DD617F" w:rsidRPr="006B0F72">
        <w:rPr>
          <w:noProof/>
        </w:rPr>
        <w:t xml:space="preserve"> Medvladna znanstveno-politična platforma o biotski raznovrstnosti in ekosistemskih storitvah (IPBES) je v svojem globalnem ocenjevalnem poročilu o biotski raznovrstnosti in ekosistemskih storitvah iz leta 2019</w:t>
      </w:r>
      <w:r w:rsidR="11DD617F" w:rsidRPr="006B0F72">
        <w:rPr>
          <w:rStyle w:val="FootnoteReference"/>
          <w:noProof/>
        </w:rPr>
        <w:footnoteReference w:id="58"/>
      </w:r>
      <w:r w:rsidR="11DD617F" w:rsidRPr="006B0F72">
        <w:rPr>
          <w:noProof/>
        </w:rPr>
        <w:t xml:space="preserve"> obravnavala podnebne spremembe kot ključni dejavnik sprememb v naravi ter izrazila pričakovanje, da se bodo njihovi učinki v prihodnjih desetletjih povečali, v nekaterih primerih pa celo presegli učinek drugih dejavnikov sprememb v ekosistemih, kot je sprememba rabe kopenskih in morskih območij. </w:t>
      </w:r>
    </w:p>
    <w:p w14:paraId="5885BA30" w14:textId="260324F4" w:rsidR="005E6A9E" w:rsidRPr="006B0F72" w:rsidRDefault="00652A97" w:rsidP="00652A97">
      <w:pPr>
        <w:pStyle w:val="ManualConsidrant"/>
        <w:rPr>
          <w:noProof/>
        </w:rPr>
      </w:pPr>
      <w:r w:rsidRPr="00652A97">
        <w:rPr>
          <w:noProof/>
        </w:rPr>
        <w:t>(16)</w:t>
      </w:r>
      <w:r w:rsidRPr="00652A97">
        <w:rPr>
          <w:noProof/>
        </w:rPr>
        <w:tab/>
      </w:r>
      <w:r w:rsidR="000B7636" w:rsidRPr="006B0F72">
        <w:rPr>
          <w:noProof/>
        </w:rPr>
        <w:t>Uredba (EU) 2021/1119 Evropskega parlamenta in Sveta</w:t>
      </w:r>
      <w:r w:rsidR="000B7636" w:rsidRPr="006B0F72">
        <w:rPr>
          <w:rStyle w:val="FootnoteReference"/>
          <w:rFonts w:eastAsia="Times New Roman"/>
          <w:noProof/>
          <w:szCs w:val="24"/>
        </w:rPr>
        <w:footnoteReference w:id="59"/>
      </w:r>
      <w:r w:rsidR="000B7636" w:rsidRPr="006B0F72">
        <w:rPr>
          <w:noProof/>
        </w:rPr>
        <w:t xml:space="preserve"> določa zavezujoč cilj podnebne nevtralnosti v Uniji do leta 2050 in doseganje negativnih emisij po tem, pri čemer se daje prednost hitremu in predvidljivemu zmanjšanju emisij, obenem pa povečajo odvzemi po naravnih ponorih. Obnova ekosistemov lahko pomembno prispeva k ohranjanju, upravljanju in krepitvi naravnih ponorov ter k povečanju biotske raznovrstnosti ob boju proti podnebnim spremembam. Uredba (EU) 2021/1119 od ustreznih institucij Unije in držav članic tudi zahteva, da zagotovijo stalen napredek pri krepitvi sposobnosti prilagajanja, krepitvi odpornosti in zmanjšanju ranljivosti zaradi podnebnih sprememb. Prav tako zahteva, da države članice vključijo prilagajanje v vsa področja politike ter spodbujajo sonaravne rešitve</w:t>
      </w:r>
      <w:r w:rsidR="000B7636" w:rsidRPr="006B0F72">
        <w:rPr>
          <w:rStyle w:val="FootnoteReference"/>
          <w:rFonts w:eastAsia="Times New Roman"/>
          <w:noProof/>
        </w:rPr>
        <w:footnoteReference w:id="60"/>
      </w:r>
      <w:r w:rsidR="000B7636" w:rsidRPr="006B0F72">
        <w:rPr>
          <w:noProof/>
        </w:rPr>
        <w:t xml:space="preserve"> in ekosistemsko prilagoditev. </w:t>
      </w:r>
    </w:p>
    <w:p w14:paraId="1D449915" w14:textId="55B1EDF8" w:rsidR="002E001E" w:rsidRPr="006B0F72" w:rsidRDefault="00652A97" w:rsidP="00652A97">
      <w:pPr>
        <w:pStyle w:val="ManualConsidrant"/>
        <w:rPr>
          <w:noProof/>
          <w:szCs w:val="24"/>
        </w:rPr>
      </w:pPr>
      <w:r w:rsidRPr="00652A97">
        <w:rPr>
          <w:noProof/>
        </w:rPr>
        <w:t>(17)</w:t>
      </w:r>
      <w:r w:rsidRPr="00652A97">
        <w:rPr>
          <w:noProof/>
        </w:rPr>
        <w:tab/>
      </w:r>
      <w:r w:rsidR="00C646A1" w:rsidRPr="006B0F72">
        <w:rPr>
          <w:noProof/>
        </w:rPr>
        <w:t>Sporočilo Komisije iz leta 2021 o prilagajanju podnebnim spremembam</w:t>
      </w:r>
      <w:r w:rsidR="00C646A1" w:rsidRPr="006B0F72">
        <w:rPr>
          <w:rStyle w:val="FootnoteReference"/>
          <w:rFonts w:eastAsia="Times New Roman"/>
          <w:noProof/>
          <w:szCs w:val="24"/>
        </w:rPr>
        <w:footnoteReference w:id="61"/>
      </w:r>
      <w:r w:rsidR="00C646A1" w:rsidRPr="006B0F72">
        <w:rPr>
          <w:noProof/>
        </w:rPr>
        <w:t xml:space="preserve"> poudarja potrebo po spodbujanju sonaravnih rešitev in priznava, da je stroškovno učinkovito prilagajanje podnebnim spremembam mogoče doseči z varovanjem in obnovo mokrišč in šotišč ter obalnih in morskih ekosistemov, z razvojem urbanega zelenega prostora ter postavitvijo zelenih streh in sten ter s spodbujanjem in trajnostnim upravljanjem gozdov in kmetijskih zemljišč. Z večjim številom biotsko raznovrstnih ekosistemov se poveča odpornost na podnebne spremembe ter zagotovijo učinkovitejše oblike zmanjševanja števila nesreč in njihovega preprečevanja.</w:t>
      </w:r>
    </w:p>
    <w:p w14:paraId="6BB185B4" w14:textId="31C10A39" w:rsidR="002E001E" w:rsidRPr="006B0F72" w:rsidRDefault="00652A97" w:rsidP="00652A97">
      <w:pPr>
        <w:pStyle w:val="ManualConsidrant"/>
        <w:rPr>
          <w:rFonts w:eastAsiaTheme="minorEastAsia"/>
          <w:noProof/>
          <w:szCs w:val="24"/>
        </w:rPr>
      </w:pPr>
      <w:r w:rsidRPr="00652A97">
        <w:rPr>
          <w:noProof/>
        </w:rPr>
        <w:t>(18)</w:t>
      </w:r>
      <w:r w:rsidRPr="00652A97">
        <w:rPr>
          <w:noProof/>
        </w:rPr>
        <w:tab/>
      </w:r>
      <w:r w:rsidR="11DD617F" w:rsidRPr="006B0F72">
        <w:rPr>
          <w:noProof/>
        </w:rPr>
        <w:t>Podnebna politika Unije se pregleduje, da bi sledila scenariju, predlaganemu v Uredbi (EU) 2021/1119, tj. zmanjšanje neto emisij za najmanj 55 % do leta 2030 v primerjavi z ravnmi iz leta 1990. Zlasti je cilj predloga Uredbe Evropskega parlamenta in Sveta o spremembi Uredbe (EU) 2018/841 in Uredbe (EU) 2018/1999</w:t>
      </w:r>
      <w:r w:rsidR="11DD617F" w:rsidRPr="006B0F72">
        <w:rPr>
          <w:rStyle w:val="FootnoteReference"/>
          <w:rFonts w:eastAsia="Times New Roman"/>
          <w:noProof/>
        </w:rPr>
        <w:footnoteReference w:id="62"/>
      </w:r>
      <w:r w:rsidR="11DD617F" w:rsidRPr="006B0F72">
        <w:rPr>
          <w:noProof/>
        </w:rPr>
        <w:t xml:space="preserve"> okrepiti prispevek sektorja zemljišč k splošnim podnebnim ambicijam do leta 2030 ter uskladiti cilje v zvezi z obračunavanjem emisij in odvzemov ogljika iz sektorja rabe zemljišč, spremembe rabe zemljišč in gozdarstva (LULUCF) s povezanimi pobudami politike na področju biotske raznovrstnosti. V navedenem predlogu je poudarjena potreba po varstvu in izboljšanju sonaravnih odvzemov ogljika, izboljšanju odpornosti ekosistemov proti podnebnim spremembam, obnovi degradiranih zemljišč in ekosistemov ter ponovnem mokrenju šotišč. Nadalje je namen predloga izboljšati spremljanje in poročanje o emisijah toplogrednih plinov in odvzemih na zemljiščih, ki jih je treba zaščititi in obnoviti. V tem kontekstu je pomembno, da so ekosistemi v vseh kategorijah zemljišč, vključno z gozdovi, travišči, njivskimi površinami in mokrišči, v dobrem stanju, da lahko učinkovito zajemajo in shranjujejo ogljik.</w:t>
      </w:r>
    </w:p>
    <w:p w14:paraId="14634ABF" w14:textId="7F77CB59" w:rsidR="009503BE" w:rsidRPr="006B0F72" w:rsidRDefault="00652A97" w:rsidP="00652A97">
      <w:pPr>
        <w:pStyle w:val="ManualConsidrant"/>
        <w:rPr>
          <w:noProof/>
        </w:rPr>
      </w:pPr>
      <w:r w:rsidRPr="00652A97">
        <w:rPr>
          <w:noProof/>
        </w:rPr>
        <w:t>(19)</w:t>
      </w:r>
      <w:r w:rsidRPr="00652A97">
        <w:rPr>
          <w:noProof/>
        </w:rPr>
        <w:tab/>
      </w:r>
      <w:r w:rsidR="009503BE" w:rsidRPr="006B0F72">
        <w:rPr>
          <w:noProof/>
        </w:rPr>
        <w:t>Geopolitični dogodki so dodatno poudarili potrebo po zagotavljanju odpornosti prehranskih sistemov</w:t>
      </w:r>
      <w:r w:rsidR="009503BE" w:rsidRPr="006B0F72">
        <w:rPr>
          <w:rStyle w:val="FootnoteReference"/>
          <w:rFonts w:eastAsia="Times New Roman"/>
          <w:noProof/>
        </w:rPr>
        <w:footnoteReference w:id="63"/>
      </w:r>
      <w:r w:rsidR="009503BE" w:rsidRPr="006B0F72">
        <w:rPr>
          <w:noProof/>
        </w:rPr>
        <w:t>. Obnovitev kmetijskih ekosistemov dokazano dolgoročno pozitivno vpliva na proizvodnjo hrane, obnova narave pa zagotavlja dolgoročno trajnostnost in odpornost EU.</w:t>
      </w:r>
    </w:p>
    <w:p w14:paraId="40373AB5" w14:textId="6518B229" w:rsidR="0094744A" w:rsidRPr="006B0F72" w:rsidRDefault="00652A97" w:rsidP="00652A97">
      <w:pPr>
        <w:pStyle w:val="ManualConsidrant"/>
        <w:rPr>
          <w:rFonts w:eastAsia="Times New Roman"/>
          <w:noProof/>
          <w:szCs w:val="24"/>
        </w:rPr>
      </w:pPr>
      <w:r w:rsidRPr="00652A97">
        <w:rPr>
          <w:noProof/>
        </w:rPr>
        <w:t>(20)</w:t>
      </w:r>
      <w:r w:rsidRPr="00652A97">
        <w:rPr>
          <w:noProof/>
        </w:rPr>
        <w:tab/>
      </w:r>
      <w:r w:rsidR="008557A1" w:rsidRPr="006B0F72">
        <w:rPr>
          <w:noProof/>
        </w:rPr>
        <w:t xml:space="preserve">V končnem poročilu </w:t>
      </w:r>
      <w:r w:rsidR="008557A1" w:rsidRPr="006B0F72">
        <w:rPr>
          <w:noProof/>
          <w:shd w:val="clear" w:color="auto" w:fill="FFFFFF"/>
        </w:rPr>
        <w:t>Konference o prihodnosti Evrope</w:t>
      </w:r>
      <w:r w:rsidR="008557A1" w:rsidRPr="006B0F72">
        <w:rPr>
          <w:noProof/>
        </w:rPr>
        <w:t xml:space="preserve"> državljani pozivajo Unijo k varovanju in obnovi biotske raznovrstnosti, krajine in oceanov, odpravi onesnaževanja ter spodbujanju znanja, ozaveščenosti, izobraževanja in dialoga o okolju, podnebnih spremembah, rabi energije in trajnostnosti</w:t>
      </w:r>
      <w:r w:rsidR="008557A1" w:rsidRPr="006B0F72">
        <w:rPr>
          <w:rStyle w:val="FootnoteReference"/>
          <w:noProof/>
        </w:rPr>
        <w:footnoteReference w:id="64"/>
      </w:r>
      <w:r w:rsidR="008557A1" w:rsidRPr="006B0F72">
        <w:rPr>
          <w:noProof/>
        </w:rPr>
        <w:t>.</w:t>
      </w:r>
    </w:p>
    <w:p w14:paraId="21D409DF" w14:textId="3BB33583" w:rsidR="009A7903" w:rsidRPr="006B0F72" w:rsidRDefault="00652A97" w:rsidP="00652A97">
      <w:pPr>
        <w:pStyle w:val="ManualConsidrant"/>
        <w:rPr>
          <w:noProof/>
        </w:rPr>
      </w:pPr>
      <w:r w:rsidRPr="00652A97">
        <w:rPr>
          <w:noProof/>
        </w:rPr>
        <w:t>(21)</w:t>
      </w:r>
      <w:r w:rsidRPr="00652A97">
        <w:rPr>
          <w:noProof/>
        </w:rPr>
        <w:tab/>
      </w:r>
      <w:r w:rsidR="009A7903" w:rsidRPr="006B0F72">
        <w:rPr>
          <w:noProof/>
        </w:rPr>
        <w:t>Obnova ekosistemov bo skupaj s prizadevanji za zmanjšanje trgovine s prostoživečimi vrstami in z njo povezane potrošnje pripomogla tudi k preprečevanju in krepitvi odpornosti na morebitne prihodnje nalezljive bolezni z zoonotskim potencialom, s čimer se bodo zmanjšala tveganja izbruhov in pandemij, ter prispevala k podpori prizadevanjem na globalni ravni kot tudi na ravni EU za uporabo pristopa „eno zdravje“, ki priznava neločljivo povezavo med zdravjem ljudi, zdravjem živali ter zdravo in odporno naravo.</w:t>
      </w:r>
    </w:p>
    <w:p w14:paraId="5E8B7ADD" w14:textId="59EEDD78" w:rsidR="004268A4" w:rsidRPr="006B0F72" w:rsidRDefault="00652A97" w:rsidP="00652A97">
      <w:pPr>
        <w:pStyle w:val="ManualConsidrant"/>
        <w:rPr>
          <w:noProof/>
        </w:rPr>
      </w:pPr>
      <w:r w:rsidRPr="00652A97">
        <w:rPr>
          <w:noProof/>
        </w:rPr>
        <w:t>(22)</w:t>
      </w:r>
      <w:r w:rsidRPr="00652A97">
        <w:rPr>
          <w:noProof/>
        </w:rPr>
        <w:tab/>
      </w:r>
      <w:r w:rsidR="004268A4" w:rsidRPr="006B0F72">
        <w:rPr>
          <w:noProof/>
        </w:rPr>
        <w:t>Tla so sestavni del kopenskih ekosistemov. V sporočilu Komisije Strategija EU za tla do leta 2030 iz leta 2021</w:t>
      </w:r>
      <w:r w:rsidR="004268A4" w:rsidRPr="006B0F72">
        <w:rPr>
          <w:rStyle w:val="FootnoteReference"/>
          <w:noProof/>
        </w:rPr>
        <w:footnoteReference w:id="65"/>
      </w:r>
      <w:r w:rsidR="004268A4" w:rsidRPr="006B0F72">
        <w:rPr>
          <w:noProof/>
        </w:rPr>
        <w:t xml:space="preserve"> je navedena potreba po obnovi degradiranih tal in povečanju biotske raznovrstnosti tal.</w:t>
      </w:r>
    </w:p>
    <w:p w14:paraId="27F55BBC" w14:textId="7641EB5A" w:rsidR="00C3592D" w:rsidRPr="006B0F72" w:rsidRDefault="00652A97" w:rsidP="00652A97">
      <w:pPr>
        <w:pStyle w:val="ManualConsidrant"/>
        <w:rPr>
          <w:rFonts w:eastAsiaTheme="minorEastAsia"/>
          <w:noProof/>
          <w:szCs w:val="24"/>
        </w:rPr>
      </w:pPr>
      <w:r w:rsidRPr="00652A97">
        <w:rPr>
          <w:noProof/>
        </w:rPr>
        <w:t>(23)</w:t>
      </w:r>
      <w:r w:rsidRPr="00652A97">
        <w:rPr>
          <w:noProof/>
        </w:rPr>
        <w:tab/>
      </w:r>
      <w:r w:rsidR="27A92160" w:rsidRPr="006B0F72">
        <w:rPr>
          <w:noProof/>
        </w:rPr>
        <w:t>Cilj Direktive Sveta 92/43/EGS</w:t>
      </w:r>
      <w:r w:rsidR="27A92160" w:rsidRPr="006B0F72">
        <w:rPr>
          <w:rStyle w:val="FootnoteReference"/>
          <w:noProof/>
        </w:rPr>
        <w:footnoteReference w:id="66"/>
      </w:r>
      <w:r w:rsidR="27A92160" w:rsidRPr="006B0F72">
        <w:rPr>
          <w:noProof/>
        </w:rPr>
        <w:t xml:space="preserve"> in Direktive 2009/147/ES Evropskega parlamenta in Sveta</w:t>
      </w:r>
      <w:r w:rsidR="27A92160" w:rsidRPr="006B0F72">
        <w:rPr>
          <w:rStyle w:val="FootnoteReference"/>
          <w:noProof/>
        </w:rPr>
        <w:footnoteReference w:id="67"/>
      </w:r>
      <w:r w:rsidR="27A92160" w:rsidRPr="006B0F72">
        <w:rPr>
          <w:noProof/>
        </w:rPr>
        <w:t xml:space="preserve"> je zagotoviti dolgoročno varovanje, ohranjanje in preživetje najbolj dragocenih in ogroženih evropskih vrst in habitatov ter ekosistemov, katerih del so. Omrežje Natura 2000, ki je bila vzpostavljeno leta 1992 in je največje usklajeno omrežje zavarovanih območij na svetu, je ključni instrument za izvajanje ciljev navedenih direktiv. </w:t>
      </w:r>
    </w:p>
    <w:p w14:paraId="0ACD00E9" w14:textId="263910B0" w:rsidR="00914525" w:rsidRPr="006B0F72" w:rsidRDefault="00652A97" w:rsidP="00652A97">
      <w:pPr>
        <w:pStyle w:val="ManualConsidrant"/>
        <w:rPr>
          <w:noProof/>
        </w:rPr>
      </w:pPr>
      <w:r w:rsidRPr="00652A97">
        <w:rPr>
          <w:noProof/>
        </w:rPr>
        <w:t>(24)</w:t>
      </w:r>
      <w:r w:rsidRPr="00652A97">
        <w:rPr>
          <w:noProof/>
        </w:rPr>
        <w:tab/>
      </w:r>
      <w:r w:rsidR="00914525" w:rsidRPr="006B0F72">
        <w:rPr>
          <w:noProof/>
        </w:rPr>
        <w:t>Na voljo so že okvir in smernice</w:t>
      </w:r>
      <w:r w:rsidR="00914525" w:rsidRPr="006B0F72">
        <w:rPr>
          <w:rStyle w:val="FootnoteReference"/>
          <w:rFonts w:eastAsia="Times New Roman"/>
          <w:noProof/>
        </w:rPr>
        <w:footnoteReference w:id="68"/>
      </w:r>
      <w:r w:rsidR="00914525" w:rsidRPr="006B0F72">
        <w:rPr>
          <w:noProof/>
        </w:rPr>
        <w:t xml:space="preserve"> za določitev dobrega stanja habitatnih tipov, zavarovanih v skladu z Direktivo 92/43/EGS, ter za določitev zadostne kakovosti in količine habitatov vrst, ki spadajo na področje uporabe navedene direktive. Cilji za obnovo navedenih habitatnih tipov in habitatov vrst se lahko določijo na podlagi navedenega okvira in smernic. Vendar pa taka obnova ne bo dovolj za obrnitev trenda izgube biotske raznovrstnosti in obnovo vseh ekosistemov. Zato bi bilo treba določiti dodatne obveznosti na podlagi posebnih kazalnikov, da bi se povečala biotska raznovrstnost na ravni širših ekosistemov. </w:t>
      </w:r>
    </w:p>
    <w:p w14:paraId="75A8944D" w14:textId="20BA4D6D" w:rsidR="00C3592D" w:rsidRPr="006B0F72" w:rsidRDefault="00652A97" w:rsidP="00652A97">
      <w:pPr>
        <w:pStyle w:val="ManualConsidrant"/>
        <w:rPr>
          <w:rFonts w:eastAsiaTheme="minorEastAsia"/>
          <w:noProof/>
          <w:szCs w:val="24"/>
        </w:rPr>
      </w:pPr>
      <w:r w:rsidRPr="00652A97">
        <w:rPr>
          <w:noProof/>
        </w:rPr>
        <w:t>(25)</w:t>
      </w:r>
      <w:r w:rsidRPr="00652A97">
        <w:rPr>
          <w:noProof/>
        </w:rPr>
        <w:tab/>
      </w:r>
      <w:r w:rsidR="52FA3FC9" w:rsidRPr="006B0F72">
        <w:rPr>
          <w:noProof/>
        </w:rPr>
        <w:t xml:space="preserve">Države članice bi morale na podlagi Direktive 92/43/EGS in Direktive 2009/147/ES ter v podporo doseganju ciljev, določenih v navedenih direktivah, uvesti ukrepe za obnovo, s katerimi bi se zagotovila obnova zavarovanih habitatov in vrst, vključno z divjimi pticami, na območjih Unije, tudi tistih, ki ne spadajo v omrežje Natura 2000. </w:t>
      </w:r>
    </w:p>
    <w:p w14:paraId="5F4E4DE0" w14:textId="528A5A62" w:rsidR="00C3592D" w:rsidRPr="006B0F72" w:rsidRDefault="00652A97" w:rsidP="00652A97">
      <w:pPr>
        <w:pStyle w:val="ManualConsidrant"/>
        <w:rPr>
          <w:rFonts w:eastAsiaTheme="minorEastAsia"/>
          <w:noProof/>
        </w:rPr>
      </w:pPr>
      <w:r w:rsidRPr="00652A97">
        <w:rPr>
          <w:noProof/>
        </w:rPr>
        <w:t>(26)</w:t>
      </w:r>
      <w:r w:rsidRPr="00652A97">
        <w:rPr>
          <w:noProof/>
        </w:rPr>
        <w:tab/>
      </w:r>
      <w:r w:rsidR="2204B708" w:rsidRPr="006B0F72">
        <w:rPr>
          <w:noProof/>
        </w:rPr>
        <w:t xml:space="preserve">Cilj Direktive 92/43/EGS je vzdrževati ali obnoviti ugodno stanje ohranjenosti naravnih habitatov ter prosto živečih živalskih in rastlinskih vrst v interesu Unije, vendar pa v njej ni določen rok za dosego navedenega cilja. Podobno Direktiva 2009/147/ES ne določa roka za obnovo populacij ptic v Uniji. </w:t>
      </w:r>
    </w:p>
    <w:p w14:paraId="5A0E669C" w14:textId="6E6C79D2" w:rsidR="00C3592D" w:rsidRPr="006B0F72" w:rsidRDefault="00652A97" w:rsidP="00652A97">
      <w:pPr>
        <w:pStyle w:val="ManualConsidrant"/>
        <w:rPr>
          <w:noProof/>
        </w:rPr>
      </w:pPr>
      <w:r w:rsidRPr="00652A97">
        <w:rPr>
          <w:noProof/>
        </w:rPr>
        <w:t>(27)</w:t>
      </w:r>
      <w:r w:rsidRPr="00652A97">
        <w:rPr>
          <w:noProof/>
        </w:rPr>
        <w:tab/>
      </w:r>
      <w:r w:rsidR="05632D5D" w:rsidRPr="006B0F72">
        <w:rPr>
          <w:noProof/>
        </w:rPr>
        <w:t xml:space="preserve">Zato je treba določiti roke za uvedbo ukrepov za obnovo znotraj in zunaj območij Natura 2000, da bi se postopoma izboljšalo stanje zavarovanih habitatnih tipov po vsej Uniji in da bi se jih ponovno vzpostavilo, dokler se ne doseže ugodno referenčno območje, potrebno za doseganje ugodnega stanja ohranjenosti navedenih habitatnih tipov v Uniji. Da bi se državam članicam zagotovila potrebna prožnost pri uvedbi obsežnih prizadevanj za obnovo, je primerno razvrstiti habitatne tipe glede na ekosistem, ki mu pripadajo, ter določiti časovno omejene in količinsko opredeljene cilje, vezane na posamezno območje, za skupine habitatnih tipov. Tako bodo lahko države članice izbrale, katere habitate v skupini bodo obnovile najprej. </w:t>
      </w:r>
    </w:p>
    <w:p w14:paraId="75835F83" w14:textId="1A313FE2" w:rsidR="00C3592D" w:rsidRPr="006B0F72" w:rsidRDefault="00652A97" w:rsidP="00652A97">
      <w:pPr>
        <w:pStyle w:val="ManualConsidrant"/>
        <w:rPr>
          <w:noProof/>
        </w:rPr>
      </w:pPr>
      <w:r w:rsidRPr="00652A97">
        <w:rPr>
          <w:noProof/>
        </w:rPr>
        <w:t>(28)</w:t>
      </w:r>
      <w:r w:rsidRPr="00652A97">
        <w:rPr>
          <w:noProof/>
        </w:rPr>
        <w:tab/>
      </w:r>
      <w:r w:rsidR="013E6B3F" w:rsidRPr="006B0F72">
        <w:rPr>
          <w:noProof/>
        </w:rPr>
        <w:t xml:space="preserve">Podobne zahteve bi bilo treba določiti za habitate vrst, ki spadajo na področje uporabe Direktive 92/43/EGS, in habitate divjih ptic, ki spadajo na področje uporabe Direktive 2009/147/ES, pri čemer bi bilo treba posebej upoštevati povezljivost obeh navedenih habitatov, ki je potrebna za uspeh populacij vrst. </w:t>
      </w:r>
    </w:p>
    <w:p w14:paraId="4BF4138F" w14:textId="79DFCFBB" w:rsidR="004A2B92" w:rsidRPr="006B0F72" w:rsidRDefault="00652A97" w:rsidP="00652A97">
      <w:pPr>
        <w:pStyle w:val="ManualConsidrant"/>
        <w:rPr>
          <w:rFonts w:eastAsiaTheme="minorEastAsia"/>
          <w:noProof/>
        </w:rPr>
      </w:pPr>
      <w:r w:rsidRPr="00652A97">
        <w:rPr>
          <w:noProof/>
        </w:rPr>
        <w:t>(29)</w:t>
      </w:r>
      <w:r w:rsidRPr="00652A97">
        <w:rPr>
          <w:noProof/>
        </w:rPr>
        <w:tab/>
      </w:r>
      <w:r w:rsidR="004A2B92" w:rsidRPr="006B0F72">
        <w:rPr>
          <w:noProof/>
        </w:rPr>
        <w:t xml:space="preserve">Nujno je, da so ukrepi za obnovo habitatnih tipov ustrezni in primerni za čimprejšnje doseganje dobrega stanja in ugodnih referenčnih območij, da se tako doseže njihovo ugodno stanje ohranjenosti. Pomembno je, da so ukrepi za obnovo tisti, ki so potrebni za doseganje časovno omejenih in količinsko opredeljenih ciljev, vezanih na posamezno območje. Nujno je tudi, da so ukrepi za obnovo habitatov vrst ustrezni in primerni za čimprejšnje doseganje njihove zadostne kakovosti in količine za dosego ugodnega stanja ohranjenosti vrste. </w:t>
      </w:r>
    </w:p>
    <w:p w14:paraId="6D9F2F3C" w14:textId="110B4EEF" w:rsidR="73CAA32F" w:rsidRPr="006B0F72" w:rsidRDefault="00652A97" w:rsidP="00652A97">
      <w:pPr>
        <w:pStyle w:val="ManualConsidrant"/>
        <w:rPr>
          <w:rFonts w:eastAsiaTheme="minorEastAsia"/>
          <w:noProof/>
        </w:rPr>
      </w:pPr>
      <w:r w:rsidRPr="00652A97">
        <w:rPr>
          <w:noProof/>
        </w:rPr>
        <w:t>(30)</w:t>
      </w:r>
      <w:r w:rsidRPr="00652A97">
        <w:rPr>
          <w:noProof/>
        </w:rPr>
        <w:tab/>
      </w:r>
      <w:r w:rsidR="34DF800B" w:rsidRPr="006B0F72">
        <w:rPr>
          <w:noProof/>
        </w:rPr>
        <w:t xml:space="preserve">Pomembno je zagotoviti, da ukrepi za obnovo, ki se izvajajo v skladu s to uredbo, dosežejo konkretno in merljivo izboljšanje stanja ekosistemov, tako na ravni posameznih območij, ki jih je treba obnoviti, kot na nacionalni ravni in ravni Unije. </w:t>
      </w:r>
    </w:p>
    <w:p w14:paraId="0EE40C48" w14:textId="1093CC25" w:rsidR="00FA07EE" w:rsidRPr="006B0F72" w:rsidRDefault="00652A97" w:rsidP="00652A97">
      <w:pPr>
        <w:pStyle w:val="ManualConsidrant"/>
        <w:rPr>
          <w:rFonts w:eastAsiaTheme="minorEastAsia"/>
          <w:noProof/>
        </w:rPr>
      </w:pPr>
      <w:r w:rsidRPr="00652A97">
        <w:rPr>
          <w:noProof/>
        </w:rPr>
        <w:t>(31)</w:t>
      </w:r>
      <w:r w:rsidRPr="00652A97">
        <w:rPr>
          <w:noProof/>
        </w:rPr>
        <w:tab/>
      </w:r>
      <w:r w:rsidR="00875C7E" w:rsidRPr="006B0F72">
        <w:rPr>
          <w:noProof/>
        </w:rPr>
        <w:t xml:space="preserve">Za zagotovitev, da so ukrepi za obnovo učinkoviti in da se lahko njihovi rezultati merijo skozi čas, je bistveno, da se območja, na katerih se izvajajo taki ukrepi za obnovo z namenom izboljšanja stanja habitatov, ki sodijo na področje uporabe Priloge I k Direktivi 92/43/EGS, za ponovno vzpostavitev navedenih habitatov in izboljšanje njihove povezljivosti, nenehno izboljšujejo, dokler ni doseženo dobro stanje.  </w:t>
      </w:r>
    </w:p>
    <w:p w14:paraId="5DB7E6D1" w14:textId="64A45D15" w:rsidR="00FA07EE" w:rsidRPr="006B0F72" w:rsidRDefault="00652A97" w:rsidP="00652A97">
      <w:pPr>
        <w:pStyle w:val="ManualConsidrant"/>
        <w:rPr>
          <w:rFonts w:eastAsiaTheme="minorEastAsia"/>
          <w:noProof/>
        </w:rPr>
      </w:pPr>
      <w:r w:rsidRPr="00652A97">
        <w:rPr>
          <w:noProof/>
        </w:rPr>
        <w:t>(32)</w:t>
      </w:r>
      <w:r w:rsidRPr="00652A97">
        <w:rPr>
          <w:noProof/>
        </w:rPr>
        <w:tab/>
      </w:r>
      <w:r w:rsidR="76E2329F" w:rsidRPr="006B0F72">
        <w:rPr>
          <w:noProof/>
        </w:rPr>
        <w:t xml:space="preserve">Bistveno je tudi, da se območja, na katerih se izvajajo ukrepi za obnovo z namenom izboljšanja kakovosti in količine habitatov vrst, ki spadajo na področje uporabe Direktive 92/43/EGS, ter habitatov divjih ptic, ki spadajo na področje uporabe Direktive 2009/147/ES, nenehno izboljšujejo, da bi se prispevalo k doseganju zadostne količine in kakovosti habitatov takih vrst. </w:t>
      </w:r>
    </w:p>
    <w:p w14:paraId="731ED6C2" w14:textId="61ADD3D4" w:rsidR="00FA07EE" w:rsidRPr="006B0F72" w:rsidRDefault="00652A97" w:rsidP="00652A97">
      <w:pPr>
        <w:pStyle w:val="ManualConsidrant"/>
        <w:rPr>
          <w:noProof/>
        </w:rPr>
      </w:pPr>
      <w:r w:rsidRPr="00652A97">
        <w:rPr>
          <w:noProof/>
        </w:rPr>
        <w:t>(33)</w:t>
      </w:r>
      <w:r w:rsidRPr="00652A97">
        <w:rPr>
          <w:noProof/>
        </w:rPr>
        <w:tab/>
      </w:r>
      <w:r w:rsidR="76E2329F" w:rsidRPr="006B0F72">
        <w:rPr>
          <w:noProof/>
        </w:rPr>
        <w:t xml:space="preserve">Pomembno je zagotoviti postopno povečevanje območij, zajetih s habitatnimi tipi iz področja uporabe Direktive 92/43/EGS, ki so v dobrem stanju na celotnem ozemlju držav članic in Unije kot celote, dokler se ne doseže ugodno referenčno območje za vsak habitatni tip in dokler ni vsaj 90 % navedenega območja na ravni države članice v dobrem stanju, da se navedenim habitatnim tipom v Uniji omogoči dosego ugodnega stanja ohranjenosti. </w:t>
      </w:r>
    </w:p>
    <w:p w14:paraId="0121D3D4" w14:textId="5BE0FF45" w:rsidR="00FA07EE" w:rsidRPr="006B0F72" w:rsidRDefault="00652A97" w:rsidP="00652A97">
      <w:pPr>
        <w:pStyle w:val="ManualConsidrant"/>
        <w:rPr>
          <w:noProof/>
        </w:rPr>
      </w:pPr>
      <w:r w:rsidRPr="00652A97">
        <w:rPr>
          <w:noProof/>
        </w:rPr>
        <w:t>(34)</w:t>
      </w:r>
      <w:r w:rsidRPr="00652A97">
        <w:rPr>
          <w:noProof/>
        </w:rPr>
        <w:tab/>
      </w:r>
      <w:r w:rsidR="76E2329F" w:rsidRPr="006B0F72">
        <w:rPr>
          <w:noProof/>
        </w:rPr>
        <w:t xml:space="preserve">Pomembno je zagotoviti postopno povečevanje kakovosti in količine habitatov vrst, ki spadajo na področje uporabe Direktive 92/43/EGS, ter habitatov divjih ptic, ki spadajo na področje uporabe Direktive 2009/147/ES, po ozemlju držav članic in nazadnje Unije, dokler to ne zadošča za zagotovitev dolgoročnega preživetja navedenih vrst. </w:t>
      </w:r>
    </w:p>
    <w:p w14:paraId="09C82F88" w14:textId="14B76D18" w:rsidR="00270602" w:rsidRPr="006B0F72" w:rsidRDefault="00652A97" w:rsidP="00652A97">
      <w:pPr>
        <w:pStyle w:val="ManualConsidrant"/>
        <w:rPr>
          <w:rFonts w:eastAsiaTheme="minorEastAsia"/>
          <w:noProof/>
          <w:szCs w:val="24"/>
        </w:rPr>
      </w:pPr>
      <w:r w:rsidRPr="00652A97">
        <w:rPr>
          <w:noProof/>
        </w:rPr>
        <w:t>(35)</w:t>
      </w:r>
      <w:r w:rsidRPr="00652A97">
        <w:rPr>
          <w:noProof/>
        </w:rPr>
        <w:tab/>
      </w:r>
      <w:r w:rsidR="00D057A8" w:rsidRPr="006B0F72">
        <w:rPr>
          <w:noProof/>
        </w:rPr>
        <w:t xml:space="preserve">Pomembno je, da se območja s habitatnimi tipi, ki spadajo na področje uporabe te uredbe, ne poslabšajo v primerjavi s sedanjim stanjem, pri čemer se upoštevajo trenutne potrebe po obnovi in nujnost, da se potrebe po obnovi v prihodnosti ne povečajo. Primerno je upoštevati možnost višje sile, ki lahko povzroči poslabšanje območij, ki jih zajemajo navedeni habitatni tipi, ter neizogibne spremembe habitatov, ki so neposredna posledica podnebnih sprememb ali posledica načrta oziroma projekta prevladujočega javnega interesa, za katerega ni na voljo manj škodljivih alternativnih rešitev, pri čemer se to določi za vsak primer posebej, ali načrta oziroma projekta, odobrenega v skladu s členom 6(4) Direktive 92/43/EGS. </w:t>
      </w:r>
    </w:p>
    <w:p w14:paraId="5FD41AC5" w14:textId="227C46DE" w:rsidR="00FD56A2" w:rsidRPr="006B0F72" w:rsidRDefault="00652A97" w:rsidP="00652A97">
      <w:pPr>
        <w:pStyle w:val="ManualConsidrant"/>
        <w:rPr>
          <w:rFonts w:eastAsiaTheme="minorEastAsia"/>
          <w:noProof/>
          <w:szCs w:val="24"/>
        </w:rPr>
      </w:pPr>
      <w:r w:rsidRPr="00652A97">
        <w:rPr>
          <w:noProof/>
        </w:rPr>
        <w:t>(36)</w:t>
      </w:r>
      <w:r w:rsidRPr="00652A97">
        <w:rPr>
          <w:noProof/>
        </w:rPr>
        <w:tab/>
      </w:r>
      <w:r w:rsidR="499792F7" w:rsidRPr="006B0F72">
        <w:rPr>
          <w:noProof/>
        </w:rPr>
        <w:t>V strategiji EU za biotsko raznovrstnost do leta 2030 je poudarjena potreba po odločnejšem ukrepanju za obnovo degradiranih morskih ekosistemov, vključno z ekosistemi, bogatimi z ogljikom, ter pomembnimi drstitvenimi območji in območji odraščanja rib. V strategiji je napovedano tudi, da bo Komisija predlagala nov akcijski načrt za ohranitev ribolovnih virov in varstvo morskih ekosistemov.</w:t>
      </w:r>
    </w:p>
    <w:p w14:paraId="6713DCE8" w14:textId="521FA14F" w:rsidR="00223F54" w:rsidRPr="006B0F72" w:rsidRDefault="00652A97" w:rsidP="00652A97">
      <w:pPr>
        <w:pStyle w:val="ManualConsidrant"/>
        <w:rPr>
          <w:rFonts w:eastAsiaTheme="minorEastAsia"/>
          <w:noProof/>
          <w:szCs w:val="24"/>
        </w:rPr>
      </w:pPr>
      <w:r w:rsidRPr="00652A97">
        <w:rPr>
          <w:noProof/>
        </w:rPr>
        <w:t>(37)</w:t>
      </w:r>
      <w:r w:rsidRPr="00652A97">
        <w:rPr>
          <w:noProof/>
        </w:rPr>
        <w:tab/>
      </w:r>
      <w:r w:rsidR="383FEC8D" w:rsidRPr="006B0F72">
        <w:rPr>
          <w:noProof/>
        </w:rPr>
        <w:t xml:space="preserve">Morski habitatni tipi, navedeni v Prilogi I k Direktivi 92/43/EGS, so opredeljeni na splošno in obsegajo veliko ekološko različnih podtipov z različnimi potenciali za obnovo, kar državam članicam otežuje vzpostavitev ustreznih ukrepov za obnovo na ravni navedenih habitatnih tipov. Morske habitatne tipe bi bilo zato treba dodatno opredeliti z uporabo ustreznih ravni klasifikacije morskih habitatov v Evropskem naravovarstvenem informacijskem sistemu (EUNIS). Države članice bi morale določiti ugodna referenčna območja za doseganje ugodnega stanja ohranjenosti vsakega od navedenih habitatnih tipov, če navedena referenčna območja še niso obravnavana v drugi zakonodaji Unije. </w:t>
      </w:r>
    </w:p>
    <w:p w14:paraId="000E90A5" w14:textId="09DF2F20" w:rsidR="008F2FC4" w:rsidRPr="006B0F72" w:rsidRDefault="00652A97" w:rsidP="00652A97">
      <w:pPr>
        <w:pStyle w:val="ManualConsidrant"/>
        <w:rPr>
          <w:noProof/>
        </w:rPr>
      </w:pPr>
      <w:r w:rsidRPr="00652A97">
        <w:rPr>
          <w:noProof/>
        </w:rPr>
        <w:t>(38)</w:t>
      </w:r>
      <w:r w:rsidRPr="00652A97">
        <w:rPr>
          <w:noProof/>
        </w:rPr>
        <w:tab/>
      </w:r>
      <w:r w:rsidR="008C2681" w:rsidRPr="006B0F72">
        <w:rPr>
          <w:noProof/>
        </w:rPr>
        <w:t>Če varstvo obalnih in morskih habitatov zahteva regulacijo ribolovnih dejavnosti ali dejavnosti akvakulture, se uporablja skupna ribiška politika. Uredba (EU) št. 1380/2013 Evropskega parlamenta in Sveta</w:t>
      </w:r>
      <w:r w:rsidR="008C2681" w:rsidRPr="006B0F72">
        <w:rPr>
          <w:rStyle w:val="FootnoteReference"/>
          <w:noProof/>
        </w:rPr>
        <w:footnoteReference w:id="69"/>
      </w:r>
      <w:r w:rsidR="008C2681" w:rsidRPr="006B0F72">
        <w:rPr>
          <w:noProof/>
        </w:rPr>
        <w:t xml:space="preserve"> določa zlasti, da skupna ribiška politika </w:t>
      </w:r>
      <w:r w:rsidR="008C2681" w:rsidRPr="006B0F72">
        <w:rPr>
          <w:noProof/>
          <w:color w:val="000000"/>
          <w:shd w:val="clear" w:color="auto" w:fill="FFFFFF"/>
        </w:rPr>
        <w:t xml:space="preserve">izvaja ekosistemski pristop k upravljanju ribištva, da se čim bolj zmanjšajo negativni vplivi ribiških dejavnosti na morski ekosistem. Uredba določa tudi, da si navedena politika prizadeva zagotoviti, da dejavnosti akvakulture in ribolovne dejavnosti ne poslabšujejo morskega okolja. </w:t>
      </w:r>
    </w:p>
    <w:p w14:paraId="49CFADAF" w14:textId="4A506929" w:rsidR="008C2681" w:rsidRPr="006B0F72" w:rsidRDefault="00652A97" w:rsidP="00652A97">
      <w:pPr>
        <w:pStyle w:val="ManualConsidrant"/>
        <w:rPr>
          <w:noProof/>
        </w:rPr>
      </w:pPr>
      <w:r w:rsidRPr="00652A97">
        <w:rPr>
          <w:noProof/>
        </w:rPr>
        <w:t>(39)</w:t>
      </w:r>
      <w:r w:rsidRPr="00652A97">
        <w:rPr>
          <w:noProof/>
        </w:rPr>
        <w:tab/>
      </w:r>
      <w:r w:rsidR="00DC030A" w:rsidRPr="006B0F72">
        <w:rPr>
          <w:noProof/>
          <w:shd w:val="clear" w:color="auto" w:fill="FFFFFF"/>
        </w:rPr>
        <w:t>Da bi države članice dosegle cilj nenehne, dolgoročne in trajne obnove biotsko raznovrstne in odporne narave, bi morale v celoti izkoristiti možnosti, ki jih zagotavlja skupna ribiška politika. V okviru izključne pristojnosti Unije v zvezi z ohranjanjem morskih bioloških virov imajo države članice možnost, da sprejmejo nediskriminatorne ukrepe za ohranjanje in upravljanje ribjih staležev ter ohranjanje ali izboljšanje stanja ohranjenosti morskih ekosistemov znotraj območja 12 navtičnih milj. Poleg tega se lahko države članice z neposrednim upravljalnim interesom dogovorijo, da bodo predložile skupna priporočila za ohranitvene ukrepe, potrebne za izpolnjevanje obveznosti v skladu z okoljskim pravom Unije. Taki ukrepi bodo ocenjeni in sprejeti v skladu s pravili in postopki, predvidenimi v okviru skupne ribiške politike.</w:t>
      </w:r>
      <w:r w:rsidR="00DC030A" w:rsidRPr="006B0F72">
        <w:rPr>
          <w:noProof/>
        </w:rPr>
        <w:t xml:space="preserve"> </w:t>
      </w:r>
    </w:p>
    <w:p w14:paraId="3F46DEB4" w14:textId="7536971F" w:rsidR="009A1898" w:rsidRPr="006B0F72" w:rsidRDefault="00652A97" w:rsidP="00652A97">
      <w:pPr>
        <w:pStyle w:val="ManualConsidrant"/>
        <w:rPr>
          <w:noProof/>
        </w:rPr>
      </w:pPr>
      <w:r w:rsidRPr="00652A97">
        <w:rPr>
          <w:noProof/>
        </w:rPr>
        <w:t>(40)</w:t>
      </w:r>
      <w:r w:rsidRPr="00652A97">
        <w:rPr>
          <w:noProof/>
        </w:rPr>
        <w:tab/>
      </w:r>
      <w:r w:rsidR="24DB6835" w:rsidRPr="006B0F72">
        <w:rPr>
          <w:noProof/>
        </w:rPr>
        <w:t>Direktiva 2008/56/ES od držav članic zahteva dvostransko sodelovanje ter sodelovanje v okviru regionalnih in podregionalnih mehanizmov za sodelovanje, vključno s konvencijami o regionalnih morjih</w:t>
      </w:r>
      <w:r w:rsidR="24DB6835" w:rsidRPr="006B0F72">
        <w:rPr>
          <w:rStyle w:val="FootnoteReference"/>
          <w:rFonts w:eastAsia="Times New Roman"/>
          <w:noProof/>
          <w:szCs w:val="24"/>
        </w:rPr>
        <w:footnoteReference w:id="70"/>
      </w:r>
      <w:r w:rsidR="24DB6835" w:rsidRPr="006B0F72">
        <w:rPr>
          <w:noProof/>
        </w:rPr>
        <w:t xml:space="preserve">, kadar gre za ribolovne ukrepe, pa tudi v okviru regionalnih skupin, ustanovljenih na podlagi skupne ribiške politike. </w:t>
      </w:r>
    </w:p>
    <w:p w14:paraId="1CDA757C" w14:textId="1B6B0F4C" w:rsidR="007A18CC" w:rsidRPr="006B0F72" w:rsidRDefault="00652A97" w:rsidP="00652A97">
      <w:pPr>
        <w:pStyle w:val="ManualConsidrant"/>
        <w:rPr>
          <w:rFonts w:eastAsiaTheme="minorEastAsia"/>
          <w:noProof/>
        </w:rPr>
      </w:pPr>
      <w:r w:rsidRPr="00652A97">
        <w:rPr>
          <w:noProof/>
        </w:rPr>
        <w:t>(41)</w:t>
      </w:r>
      <w:r w:rsidRPr="00652A97">
        <w:rPr>
          <w:noProof/>
        </w:rPr>
        <w:tab/>
      </w:r>
      <w:r w:rsidR="3BCB9A65" w:rsidRPr="006B0F72">
        <w:rPr>
          <w:noProof/>
        </w:rPr>
        <w:t xml:space="preserve">Pomembno je, da se sprejmejo tudi ukrepi za obnovo habitatov nekaterih morskih vrst, kot so morski psi in skati, ki spadajo na področje uporabe Konvencije o varstvu selitvenih vrst prostoživečih živali, ne pa tudi na področje uporabe Direktive 92/43/EGS, saj imajo pomembno funkcijo v ekosistemu. </w:t>
      </w:r>
    </w:p>
    <w:p w14:paraId="03D9E493" w14:textId="249FA433" w:rsidR="00994F70" w:rsidRPr="006B0F72" w:rsidRDefault="00652A97" w:rsidP="00652A97">
      <w:pPr>
        <w:pStyle w:val="ManualConsidrant"/>
        <w:rPr>
          <w:rFonts w:eastAsiaTheme="minorEastAsia"/>
          <w:noProof/>
        </w:rPr>
      </w:pPr>
      <w:r w:rsidRPr="00652A97">
        <w:rPr>
          <w:noProof/>
        </w:rPr>
        <w:t>(42)</w:t>
      </w:r>
      <w:r w:rsidRPr="00652A97">
        <w:rPr>
          <w:noProof/>
        </w:rPr>
        <w:tab/>
      </w:r>
      <w:r w:rsidR="00994F70" w:rsidRPr="006B0F72">
        <w:rPr>
          <w:noProof/>
        </w:rPr>
        <w:t>Da bi države članice podprle obnovo kopenskih, sladkovodnih, obalnih in morskih habitatov ter preprečevanje njihovega poslabšanja, lahko določijo dodatna območja kot „zavarovana območja“ ali „strogo zavarovana območja“, izvajajo druge učinkovite ohranitvene ukrepe, vezane na posamezno območje, in spodbujajo zasebne ukrepe za ohranjanje zemljišč.</w:t>
      </w:r>
    </w:p>
    <w:p w14:paraId="59229CAA" w14:textId="682D1586" w:rsidR="00CB4327" w:rsidRPr="006B0F72" w:rsidRDefault="00652A97" w:rsidP="00652A97">
      <w:pPr>
        <w:pStyle w:val="ManualConsidrant"/>
        <w:rPr>
          <w:noProof/>
        </w:rPr>
      </w:pPr>
      <w:r w:rsidRPr="00652A97">
        <w:rPr>
          <w:noProof/>
        </w:rPr>
        <w:t>(43)</w:t>
      </w:r>
      <w:r w:rsidRPr="00652A97">
        <w:rPr>
          <w:noProof/>
        </w:rPr>
        <w:tab/>
      </w:r>
      <w:r w:rsidR="00746A1F" w:rsidRPr="006B0F72">
        <w:rPr>
          <w:noProof/>
        </w:rPr>
        <w:t xml:space="preserve">Urbani ekosistemi predstavljajo približno 22 % kopenske površine Unije in območje, na katerem živi večina državljanov Unije. Urbani zeleni prostori vključujejo mestne gozdove, parke in vrtove, mestne kmetije, drevorede, mestne travnike in mestne žive meje ter zagotavljajo pomembne habitate za biotsko raznovrstnost, zlasti za rastline, ptice in žuželke, vključno z opraševalci. Zagotavljajo tudi bistvene ekosistemske storitve, vključno z zmanjševanjem in nadzorom tveganja naravnih nesreč (npr. poplav, učinka urbanega toplotnega otoka), hlajenjem, rekreacijo, filtracijo vode in zraka ter blaženjem podnebnih sprememb in prilagajanjem podnebnim spremembam. </w:t>
      </w:r>
    </w:p>
    <w:p w14:paraId="1FE1079E" w14:textId="374188E2" w:rsidR="000869EC" w:rsidRPr="006B0F72" w:rsidRDefault="00652A97" w:rsidP="00652A97">
      <w:pPr>
        <w:pStyle w:val="ManualConsidrant"/>
        <w:rPr>
          <w:noProof/>
        </w:rPr>
      </w:pPr>
      <w:r w:rsidRPr="00652A97">
        <w:rPr>
          <w:noProof/>
        </w:rPr>
        <w:t>(44)</w:t>
      </w:r>
      <w:r w:rsidRPr="00652A97">
        <w:rPr>
          <w:noProof/>
        </w:rPr>
        <w:tab/>
      </w:r>
      <w:r w:rsidR="000869EC" w:rsidRPr="006B0F72">
        <w:rPr>
          <w:noProof/>
        </w:rPr>
        <w:t>Ukrepe za zagotovitev, da urbani zeleni prostor ne bo več v nevarnosti poslabšanja, je treba močno okrepiti. Za zagotovitev, da bodo urbani zeleni prostori še naprej zagotavljali potrebne ekosistemske storitve, je treba ustaviti njihovo izgubo ter jih obnoviti in povečati, med drugim z boljšim vključevanjem zelene infrastrukture in sonaravnih rešitev v urbanistično načrtovanje ter z vključevanjem zelene infrastrukture, kot so zelene strehe in zelene stene, v načrtovanje stavb.</w:t>
      </w:r>
    </w:p>
    <w:p w14:paraId="16EDF46B" w14:textId="4448C886" w:rsidR="007C5221" w:rsidRPr="006B0F72" w:rsidRDefault="00652A97" w:rsidP="00652A97">
      <w:pPr>
        <w:pStyle w:val="ManualConsidrant"/>
        <w:rPr>
          <w:noProof/>
        </w:rPr>
      </w:pPr>
      <w:r w:rsidRPr="00652A97">
        <w:rPr>
          <w:noProof/>
        </w:rPr>
        <w:t>(45)</w:t>
      </w:r>
      <w:r w:rsidRPr="00652A97">
        <w:rPr>
          <w:noProof/>
        </w:rPr>
        <w:tab/>
      </w:r>
      <w:r w:rsidR="16491933" w:rsidRPr="006B0F72">
        <w:rPr>
          <w:noProof/>
        </w:rPr>
        <w:t>Strategija EU za biotsko raznovrstnost do leta 2030 zahteva večja prizadevanja za obnovo sladkovodnih ekosistemov in naravnih funkcij rek. Obnova sladkovodnih ekosistemov bi morala vključevati prizadevanja za ponovno vzpostavitev naravne vzdolžne in prečne rečne povezljivosti ter obrežnih in poplavnih območij rek, vključno z odstranitvijo ovir, da bi se podprla doseganje ugodnega stanja ohranjenosti rek, jezer in aluvialnih habitatov ter vrst, ki živijo v navedenih habitatih, zavarovanih z Direktivo 92/43/EGS in Direktivo 2009/147/ES, ter izpolnitev enega od ključnih ciljev strategije EU za biotsko raznovrstnost do leta 2030, tj. ponovna vzpostavitev najmanj 25 000 km nereguliranih rek. Države članice bi morale pri odpravljanju ovir obravnavati predvsem zastarele ovire, ki niso več potrebne za proizvodnjo energije iz obnovljivih virov, plovbo po celinskih plovnih poteh, oskrbo z vodo ali za druge namene.</w:t>
      </w:r>
    </w:p>
    <w:p w14:paraId="41C6734E" w14:textId="3141CC56" w:rsidR="00586816" w:rsidRPr="006B0F72" w:rsidRDefault="00652A97" w:rsidP="00652A97">
      <w:pPr>
        <w:pStyle w:val="ManualConsidrant"/>
        <w:rPr>
          <w:noProof/>
        </w:rPr>
      </w:pPr>
      <w:r w:rsidRPr="00652A97">
        <w:rPr>
          <w:noProof/>
        </w:rPr>
        <w:t>(46)</w:t>
      </w:r>
      <w:r w:rsidRPr="00652A97">
        <w:rPr>
          <w:noProof/>
        </w:rPr>
        <w:tab/>
      </w:r>
      <w:r w:rsidR="564DA8E5" w:rsidRPr="006B0F72">
        <w:rPr>
          <w:noProof/>
        </w:rPr>
        <w:t>V Uniji se je število opraševalcev v zadnjih desetletjih drastično zmanjšalo, pri čemer se populacija približno tretjine vrst čebel in metuljev zmanjšuje, vsaka deseta od navedenih vrst pa je na robu izumrtja. Opraševalci so bistveni za delovanje kopenskih ekosistemov, dobrobit ljudi in prehransko varnost, saj oprašujejo divje in gojene rastline. Letna kmetijska proizvodnja EU v višini skoraj 5 000 000 000 EUR  se neposredno pripisuje žuželkam opraševalkam</w:t>
      </w:r>
      <w:r w:rsidR="564DA8E5" w:rsidRPr="006B0F72">
        <w:rPr>
          <w:rStyle w:val="FootnoteReference"/>
          <w:noProof/>
        </w:rPr>
        <w:footnoteReference w:id="71"/>
      </w:r>
      <w:r w:rsidR="564DA8E5" w:rsidRPr="006B0F72">
        <w:rPr>
          <w:noProof/>
        </w:rPr>
        <w:t xml:space="preserve">. </w:t>
      </w:r>
    </w:p>
    <w:p w14:paraId="75424748" w14:textId="62494DFD" w:rsidR="00586816" w:rsidRPr="006B0F72" w:rsidRDefault="00652A97" w:rsidP="00652A97">
      <w:pPr>
        <w:pStyle w:val="ManualConsidrant"/>
        <w:rPr>
          <w:noProof/>
        </w:rPr>
      </w:pPr>
      <w:r w:rsidRPr="00652A97">
        <w:rPr>
          <w:noProof/>
        </w:rPr>
        <w:t>(47)</w:t>
      </w:r>
      <w:r w:rsidRPr="00652A97">
        <w:rPr>
          <w:noProof/>
        </w:rPr>
        <w:tab/>
      </w:r>
      <w:r w:rsidR="17F75303" w:rsidRPr="006B0F72">
        <w:rPr>
          <w:noProof/>
        </w:rPr>
        <w:t>Komisija je 1. junija 2018 začela pobudo EU za opraševalce</w:t>
      </w:r>
      <w:r w:rsidR="17F75303" w:rsidRPr="006B0F72">
        <w:rPr>
          <w:rStyle w:val="FootnoteReference"/>
          <w:noProof/>
        </w:rPr>
        <w:footnoteReference w:id="72"/>
      </w:r>
      <w:r w:rsidR="17F75303" w:rsidRPr="006B0F72">
        <w:rPr>
          <w:noProof/>
        </w:rPr>
        <w:t xml:space="preserve"> kot odziv na pozive Evropskega parlamenta in Sveta k obravnavi zmanjševanja števila opraševalcev. Poročilo o napredku pri izvajanju pobude</w:t>
      </w:r>
      <w:r w:rsidR="17F75303" w:rsidRPr="006B0F72">
        <w:rPr>
          <w:rStyle w:val="FootnoteReference"/>
          <w:noProof/>
        </w:rPr>
        <w:footnoteReference w:id="73"/>
      </w:r>
      <w:r w:rsidR="17F75303" w:rsidRPr="006B0F72">
        <w:rPr>
          <w:noProof/>
        </w:rPr>
        <w:t xml:space="preserve"> je pokazalo, da še vedno obstajajo pomembni izzivi pri spopadanju z dejavniki upadanja števila opraševalcev, vključno z uporabo pesticidov. Evropski parlament</w:t>
      </w:r>
      <w:r w:rsidR="17F75303" w:rsidRPr="006B0F72">
        <w:rPr>
          <w:rStyle w:val="FootnoteReference"/>
          <w:noProof/>
        </w:rPr>
        <w:footnoteReference w:id="74"/>
      </w:r>
      <w:r w:rsidR="17F75303" w:rsidRPr="006B0F72">
        <w:rPr>
          <w:noProof/>
        </w:rPr>
        <w:t xml:space="preserve"> in Svet</w:t>
      </w:r>
      <w:r w:rsidR="17F75303" w:rsidRPr="006B0F72">
        <w:rPr>
          <w:rStyle w:val="FootnoteReference"/>
          <w:noProof/>
        </w:rPr>
        <w:footnoteReference w:id="75"/>
      </w:r>
      <w:r w:rsidR="17F75303" w:rsidRPr="006B0F72">
        <w:rPr>
          <w:noProof/>
        </w:rPr>
        <w:t xml:space="preserve"> sta pozvala k odločnejšim ukrepom za boj proti zmanjševanju števila opraševalcev kot tudi k vzpostavitvi okvira za spremljanje opraševalcev po vsej Uniji ter jasnih ciljev in kazalnikov v zvezi z zavezo za obrnitev trenda upada števila opraševalcev. Evropsko računsko sodišče je priporočilo, naj Komisija vzpostavi ustrezne mehanizme upravljanja in spremljanja ukrepov za obravnavo nevarnosti za opraševalce</w:t>
      </w:r>
      <w:r w:rsidR="17F75303" w:rsidRPr="006B0F72">
        <w:rPr>
          <w:rStyle w:val="FootnoteReference"/>
          <w:noProof/>
        </w:rPr>
        <w:footnoteReference w:id="76"/>
      </w:r>
      <w:r w:rsidR="17F75303" w:rsidRPr="006B0F72">
        <w:rPr>
          <w:noProof/>
        </w:rPr>
        <w:t xml:space="preserve">. </w:t>
      </w:r>
    </w:p>
    <w:p w14:paraId="0AB58E18" w14:textId="24295FB4" w:rsidR="00256836" w:rsidRPr="006B0F72" w:rsidRDefault="00652A97" w:rsidP="00652A97">
      <w:pPr>
        <w:pStyle w:val="ManualConsidrant"/>
        <w:rPr>
          <w:noProof/>
        </w:rPr>
      </w:pPr>
      <w:r w:rsidRPr="00652A97">
        <w:rPr>
          <w:noProof/>
        </w:rPr>
        <w:t>(48)</w:t>
      </w:r>
      <w:r w:rsidRPr="00652A97">
        <w:rPr>
          <w:noProof/>
        </w:rPr>
        <w:tab/>
      </w:r>
      <w:r w:rsidR="00B6508C" w:rsidRPr="006B0F72">
        <w:rPr>
          <w:noProof/>
        </w:rPr>
        <w:t>Namen predloga uredbe Evropskega parlamenta in Sveta o trajnostni uporabi fitofarmacevtskih sredstev [</w:t>
      </w:r>
      <w:r w:rsidR="00B6508C" w:rsidRPr="006B0F72">
        <w:rPr>
          <w:i/>
          <w:iCs/>
          <w:noProof/>
        </w:rPr>
        <w:t>sprejeta bo 22. junija 2022, dodati naslov in številko sprejetega akta, ko bosta na voljo</w:t>
      </w:r>
      <w:r w:rsidR="00B6508C" w:rsidRPr="006B0F72">
        <w:rPr>
          <w:noProof/>
        </w:rPr>
        <w:t>] je regulirati enega od dejavnikov zmanjševanja števila opraševalcev s prepovedjo uporabe pesticidov na ekološko občutljivih območjih, od katerih so mnoga zajeta v tej uredbi, na primer na območjih, kjer živijo vrste opraševalcev, ki so na evropskih rdečih seznamih</w:t>
      </w:r>
      <w:r w:rsidR="00B6508C" w:rsidRPr="006B0F72">
        <w:rPr>
          <w:rStyle w:val="FootnoteReference"/>
          <w:noProof/>
        </w:rPr>
        <w:footnoteReference w:id="77"/>
      </w:r>
      <w:r w:rsidR="00B6508C" w:rsidRPr="006B0F72">
        <w:rPr>
          <w:noProof/>
        </w:rPr>
        <w:t xml:space="preserve">, razvrščene kot vrste, ki jim grozi izumrtje. </w:t>
      </w:r>
    </w:p>
    <w:p w14:paraId="7218E8C9" w14:textId="02EEF493" w:rsidR="0065238B" w:rsidRPr="006B0F72" w:rsidRDefault="00652A97" w:rsidP="00652A97">
      <w:pPr>
        <w:pStyle w:val="ManualConsidrant"/>
        <w:rPr>
          <w:noProof/>
        </w:rPr>
      </w:pPr>
      <w:r w:rsidRPr="00652A97">
        <w:rPr>
          <w:noProof/>
        </w:rPr>
        <w:t>(49)</w:t>
      </w:r>
      <w:r w:rsidRPr="00652A97">
        <w:rPr>
          <w:noProof/>
        </w:rPr>
        <w:tab/>
      </w:r>
      <w:r w:rsidR="00C57A49" w:rsidRPr="006B0F72">
        <w:rPr>
          <w:noProof/>
        </w:rPr>
        <w:t>Za zagotavljanje varne, trajnostne, hranljive in cenovno dostopne hrane so potrebni trajnostni, odporni in biotsko raznovrstni kmetijski ekosistemi. Biotsko zelo raznovrstni kmetijski ekosistemi povečujejo tudi odpornost kmetijstva na podnebne spremembe in okoljska tveganja, hkrati pa zagotavljajo varnost hrane in prehransko varnost ter ustvarjajo nova delovna mesta na podeželju, zlasti delovna mesta, povezana z ekološkim kmetovanjem ter podeželskim turizmom in rekreacijo. Zato mora Unija izboljšati biotsko raznovrstnost svojih kmetijskih zemljišč z različnimi obstoječimi praksami, ki koristijo povečanju biotske raznovrstnosti ali so združljive z njim, vključno z ekstenzivnim kmetijstvom. Ekstenzivno kmetijstvo je ključno za ohranjanje številnih vrst in habitatov na biotsko zelo raznovrstnih območjih. Obstaja veliko obsežnih kmetijskih praks, ki imajo številne in pomembne koristi za varstvo biotske raznovrstnosti, ekosistemskih storitev in značilnosti krajine, kot so precizno kmetovanje, ekološko kmetovanje, agroekologija, agrogozdarstvo in nizkointenzivno trajno travišče.</w:t>
      </w:r>
    </w:p>
    <w:p w14:paraId="40A75E75" w14:textId="377AF3FD" w:rsidR="00746A1F" w:rsidRPr="006B0F72" w:rsidRDefault="00652A97" w:rsidP="00652A97">
      <w:pPr>
        <w:pStyle w:val="ManualConsidrant"/>
        <w:rPr>
          <w:noProof/>
        </w:rPr>
      </w:pPr>
      <w:r w:rsidRPr="00652A97">
        <w:rPr>
          <w:noProof/>
        </w:rPr>
        <w:t>(50)</w:t>
      </w:r>
      <w:r w:rsidRPr="00652A97">
        <w:rPr>
          <w:noProof/>
        </w:rPr>
        <w:tab/>
      </w:r>
      <w:r w:rsidR="58A97349" w:rsidRPr="006B0F72">
        <w:rPr>
          <w:noProof/>
        </w:rPr>
        <w:t xml:space="preserve">Uvesti je treba ukrepe za obnovo za povečanje biotske raznovrstnosti kmetijskih ekosistemov po vsej Uniji, tudi na območjih, ki niso zajeta s habitatnimi tipi, ki spadajo na področje uporabe Direktive 92/43/EGS.  Ker ni skupne metode za ocenjevanje stanja kmetijskih ekosistemov, ki bi omogočala določitev specifičnih ciljev za obnovo kmetijskih ekosistemov, je primerno določiti splošno obveznost izboljšanja biotske raznovrstnosti kmetijskih ekosistemov in meriti izpolnjevanje navedene obveznosti na podlagi obstoječih kazalnikov. </w:t>
      </w:r>
    </w:p>
    <w:p w14:paraId="6FDF76A8" w14:textId="5FB4D5CD" w:rsidR="0065238B" w:rsidRPr="006B0F72" w:rsidRDefault="00652A97" w:rsidP="00652A97">
      <w:pPr>
        <w:pStyle w:val="ManualConsidrant"/>
        <w:rPr>
          <w:noProof/>
        </w:rPr>
      </w:pPr>
      <w:r w:rsidRPr="00652A97">
        <w:rPr>
          <w:noProof/>
        </w:rPr>
        <w:t>(51)</w:t>
      </w:r>
      <w:r w:rsidRPr="00652A97">
        <w:rPr>
          <w:noProof/>
        </w:rPr>
        <w:tab/>
      </w:r>
      <w:r w:rsidR="21B10619" w:rsidRPr="006B0F72">
        <w:rPr>
          <w:noProof/>
        </w:rPr>
        <w:t xml:space="preserve">Ker so ptice kmetijske krajine dobro znani in splošno priznani ključni kazalniki zdravja kmetijskih ekosistemov, je primerno določiti cilje za njihovo obnovo. Obveznost doseganja teh ciljev bi veljala za države članice in ne za posamezne kmete. Države članice bi morale te cilje doseči z uvedbo učinkovitih ukrepov za obnovo na kmetijskih zemljiščih ter s sodelovanjem s kmeti in drugimi deležniki pri zasnovi teh ukrepov in njihovem izvajanju na terenu, kot tudi z zagotavljanjem podpore kmetom in drugim deležnikom pri teh prizadevanjih. </w:t>
      </w:r>
    </w:p>
    <w:p w14:paraId="6AD80829" w14:textId="23D28E96" w:rsidR="00B0044A" w:rsidRPr="006B0F72" w:rsidRDefault="00652A97" w:rsidP="00652A97">
      <w:pPr>
        <w:pStyle w:val="ManualConsidrant"/>
        <w:rPr>
          <w:noProof/>
          <w:szCs w:val="24"/>
        </w:rPr>
      </w:pPr>
      <w:r w:rsidRPr="00652A97">
        <w:rPr>
          <w:noProof/>
        </w:rPr>
        <w:t>(52)</w:t>
      </w:r>
      <w:r w:rsidRPr="00652A97">
        <w:rPr>
          <w:noProof/>
        </w:rPr>
        <w:tab/>
      </w:r>
      <w:r w:rsidR="00B0044A" w:rsidRPr="006B0F72">
        <w:rPr>
          <w:noProof/>
        </w:rPr>
        <w:t xml:space="preserve">Visokoraznovrstne krajinske značilnosti na kmetijskih zemljiščih, vključno z varovalnimi pasovi, neobdelano zemljo s kolobarjenjem ali brez njega, mejicami, posameznimi drevesi ali skupinami dreves, drevoredi, robovi polja, zaplatami, jarki, potoki, majhnimi mokrišči, terasami, kamnitimi skulpturami, kamnitimi zidovi, majhnimi ribniki in kulturnimi značilnostmi, zagotavljajo prostor za prosto živeče rastline in živali, vključno z opraševalci, preprečujejo erozijo in izčrpanost tal, prečiščujejo zrak in vodo ter prispevajo k blažitvi podnebnih sprememb in prilagajanju podnebnim spremembam ter h kmetijski produktivnosti kmetijskih rastlin, odvisnih od opraševanja. Tudi rodna drevesa, ki so del ornih zemljišč agrogozdarskih sistemov, in rodni sestavni deli neproduktivnih živih mej, se lahko štejejo za krajinske značilnosti z visoko biotsko raznovrstnostjo, če se ne obdelujejo z gnojili ali pesticidi in če žetev pridelka poteka le v času, ko to ne bi ogrozilo visokih ravni biotske raznovrstnosti. Zato je treba določiti zahtevo po zagotavljanju trenda povečanja deleža kmetijskih zemljišč z visokoraznovrstnimi značilnostmi pokrajine. Taka zahteva bi Uniji omogočila, da izpolni eno od drugih ključnih zavez strategije EU za biotsko raznovrstnost do leta 2030, tj. da vsaj 10 % kmetijskih površin vključi med visokoraznovrstne značilnosti pokrajine. Trende povečanja bi bilo treba doseči tudi za druge obstoječe kazalnike, kot sta indeks travniških metuljev in zaloga organskega ogljika v mineralnih tleh njivskih površin. </w:t>
      </w:r>
    </w:p>
    <w:p w14:paraId="7CBDF3EB" w14:textId="311593C4" w:rsidR="00B0044A" w:rsidRPr="006B0F72" w:rsidRDefault="00652A97" w:rsidP="00652A97">
      <w:pPr>
        <w:pStyle w:val="ManualConsidrant"/>
        <w:rPr>
          <w:noProof/>
        </w:rPr>
      </w:pPr>
      <w:r w:rsidRPr="00652A97">
        <w:rPr>
          <w:noProof/>
        </w:rPr>
        <w:t>(53)</w:t>
      </w:r>
      <w:r w:rsidRPr="00652A97">
        <w:rPr>
          <w:noProof/>
        </w:rPr>
        <w:tab/>
      </w:r>
      <w:r w:rsidR="00D14943" w:rsidRPr="006B0F72">
        <w:rPr>
          <w:noProof/>
        </w:rPr>
        <w:t>Cilj skupne kmetijske politike (SKP) je podpirati in krepiti varstvo okolja, vključno z biotsko raznovrstnostjo. Eden izmed specifičnih ciljev te politike je prispevati k zaustavitvi in obrnitvi trenda izgube biotske raznovrstnosti, krepiti ekosistemske storitve ter ohranjati habitate in krajine. Novi standard pogojenosti SKP št. 8 o dobrih kmetijskih in okoljskih pogojih (DKOP 8)</w:t>
      </w:r>
      <w:r w:rsidR="00D14943" w:rsidRPr="006B0F72">
        <w:rPr>
          <w:rStyle w:val="FootnoteReference"/>
          <w:noProof/>
        </w:rPr>
        <w:footnoteReference w:id="78"/>
      </w:r>
      <w:r w:rsidR="00D14943" w:rsidRPr="006B0F72">
        <w:rPr>
          <w:noProof/>
        </w:rPr>
        <w:t xml:space="preserve"> določa, da morajo upravičenci do plačil na površino imeti vsaj 4 % ornih zemljišč na ravni kmetij, namenjenih neproizvodnim površinam in značilnostim, vključno z neobdelanimi zemljišči, in ohraniti obstoječe krajinske značilnosti. 4-odstotni delež, ki mora biti skladen navedenim standardom dobrih kmetijskih in okoljskih pogojev, se lahko zmanjša na 3 %, če so izpolnjeni nekateri predpogoji</w:t>
      </w:r>
      <w:r w:rsidR="00D14943" w:rsidRPr="006B0F72">
        <w:rPr>
          <w:rStyle w:val="FootnoteReference"/>
          <w:noProof/>
        </w:rPr>
        <w:footnoteReference w:id="79"/>
      </w:r>
      <w:r w:rsidR="00D14943" w:rsidRPr="006B0F72">
        <w:rPr>
          <w:noProof/>
        </w:rPr>
        <w:t>. Ta obveznost bo prispevala k temu, da bodo države članice dosegle pozitiven trend visokoraznovrstnih krajinskih značilnosti na kmetijskih zemljiščih. Poleg tega imajo države članice v okviru SKP možnost, da vzpostavijo okoljske sheme za kmetijske prakse, ki jih kmetje izvajajo na kmetijskih površinah, ki lahko vključujejo ohranjanje in ustvarjanje krajinskih značilnosti ali neproizvodnih površin. Podobno lahko države članice v svoje strateške načrte SKP vključijo tudi kmetijsko-okoljsko-podnebne obveznosti, vključno z okrepljenim upravljanjem krajinskih značilnosti, ki presegajo standard pogojenosti DKOP 8 in/ali okoljske sheme. K obnovi evropske biotske raznovrstnosti na kmetijskih zemljiščih do leta 2030 bodo prispevali tudi projekti LIFE, ki se nanašajo na naravo in biotsko raznovrstnost, in sicer s podpiranjem izvajanja Direktive 92/43/EGS in Direktive 2009/147/ES ter strategije EU za biotsko raznovrstnost do leta 2030.</w:t>
      </w:r>
    </w:p>
    <w:p w14:paraId="1E437549" w14:textId="56D7D50F" w:rsidR="00272A2A" w:rsidRPr="006B0F72" w:rsidRDefault="00652A97" w:rsidP="00652A97">
      <w:pPr>
        <w:pStyle w:val="ManualConsidrant"/>
        <w:rPr>
          <w:noProof/>
        </w:rPr>
      </w:pPr>
      <w:r w:rsidRPr="00652A97">
        <w:rPr>
          <w:noProof/>
        </w:rPr>
        <w:t>(54)</w:t>
      </w:r>
      <w:r w:rsidRPr="00652A97">
        <w:rPr>
          <w:noProof/>
        </w:rPr>
        <w:tab/>
      </w:r>
      <w:r w:rsidR="00272A2A" w:rsidRPr="006B0F72">
        <w:rPr>
          <w:noProof/>
        </w:rPr>
        <w:t>Obnova in ponovno mokrenje</w:t>
      </w:r>
      <w:r w:rsidR="00272A2A" w:rsidRPr="008F2B22">
        <w:rPr>
          <w:rStyle w:val="FootnoteReference"/>
          <w:noProof/>
        </w:rPr>
        <w:footnoteReference w:id="80"/>
      </w:r>
      <w:r w:rsidR="00272A2A" w:rsidRPr="006B0F72">
        <w:rPr>
          <w:noProof/>
        </w:rPr>
        <w:t xml:space="preserve"> organskih tal</w:t>
      </w:r>
      <w:r w:rsidR="00272A2A" w:rsidRPr="008F2B22">
        <w:rPr>
          <w:rStyle w:val="FootnoteReference"/>
          <w:noProof/>
        </w:rPr>
        <w:footnoteReference w:id="81"/>
      </w:r>
      <w:r w:rsidR="00272A2A" w:rsidRPr="006B0F72">
        <w:rPr>
          <w:noProof/>
        </w:rPr>
        <w:t xml:space="preserve"> v kmetijski rabi (npr. kot travišča ali obdelovalna zemljišča), ki predstavljajo izsušena šotišča, pomagata zagotoviti znatne koristi za biotsko raznovrstnost, precejšnje zmanjšanje emisij toplogrednih plinov in druge okoljske koristi, hkrati pa prispevata k raznoliki kmetijski krajini. Države članice lahko izbirajo med široko paleto ukrepov za obnovo izsušenih šotišč v kmetijski rabi, ki segajo od preoblikovanja njivskih površin v trajno travišče in ekstenzivnih ukrepov, ki jih spremlja zmanjšanje izsuševanja, vse do popolnega ponovnega mokrenja z možnostjo paludikulturne uporabe ali vzpostavitve vegetacije, ki tvori šoto. Največje koristi za podnebje se ustvarijo z obnovo in ponovnim mokrenjem njivskih površin, ki jim sledi obnova intenzivnega travišča. Da bi omogočili fleksibilno izvajanje cilja obnove izsušenih šotišč v kmetijski rabi, lahko države članice ukrepe za obnovo in ponovno mokrenje izsušenih šotišč na območjih izkopavanja šote ter, do določene mere, obnovo in ponovno mokrenje izsušenih šotišč, ki so v drugi rabi (na primer gozd), štejejo kot prispevek k doseganju ciljev za izsušena šotišča v kmetijski rabi. </w:t>
      </w:r>
    </w:p>
    <w:p w14:paraId="1CF72F30" w14:textId="71BF66CE" w:rsidR="00903DCB" w:rsidRPr="006B0F72" w:rsidRDefault="00652A97" w:rsidP="00652A97">
      <w:pPr>
        <w:pStyle w:val="ManualConsidrant"/>
        <w:rPr>
          <w:noProof/>
        </w:rPr>
      </w:pPr>
      <w:r w:rsidRPr="00652A97">
        <w:rPr>
          <w:noProof/>
        </w:rPr>
        <w:t>(55)</w:t>
      </w:r>
      <w:r w:rsidRPr="00652A97">
        <w:rPr>
          <w:noProof/>
        </w:rPr>
        <w:tab/>
      </w:r>
      <w:r w:rsidR="00903DCB" w:rsidRPr="006B0F72">
        <w:rPr>
          <w:noProof/>
        </w:rPr>
        <w:t>Da bi lahko izkoristili vse koristi biotske raznovrstnosti, bi obnova in ponovno mokrenje izsušenih šotišč morala presegati območja mokriščnih habitatnih tipov iz Priloge I Direktive 92/43/EGS, ki jih je treba obnoviti in ponovno vzpostaviti. Podatki o obsegu organskih tal ter njihovih emisijah toplogrednih plinov in odvzemih se spremljajo in dajejo na voljo s poročanjem sektorja LULUCF v nacionalnih evidencah toplogrednih plinov držav članic, ki se predložijo UNFCCC. Obnovljena in ponovno vzpostavljena šotišča se lahko še naprej produktivno uporabljajo na druge načine. Na primer, paludikultura, praksa kmetovanja na mokrih šotiščih, lahko vključuje gojenje različnih vrst trstičja, nekaterih oblik lesa, borovnic in brusnic, sfagnuma in pašo z vodnimi bivoli. Take prakse bi morale temeljiti na načelih trajnostnega upravljanja in biti usmerjene v krepitev biotske raznovrstnosti, da bi lahko imele visoko finančno in ekološko vrednost. Paludikultura lahko tudi koristi več ogroženim vrstam v Uniji ter olajša povezljivost mokrišč in povezanih populacij vrst v Uniji. Ukrepi za obnovo in ponovno mokrenje izsušenih šotišč ter za nadomestitev morebitnih izgub dohodka se lahko financirajo iz najrazličnejših virov, vključno z odhodki v okviru proračuna Unije in iz programov financiranja Unije.</w:t>
      </w:r>
    </w:p>
    <w:p w14:paraId="51DA0AB8" w14:textId="6EF96C5F" w:rsidR="004D4BB7" w:rsidRPr="006B0F72" w:rsidRDefault="00652A97" w:rsidP="00652A97">
      <w:pPr>
        <w:pStyle w:val="ManualConsidrant"/>
        <w:rPr>
          <w:noProof/>
        </w:rPr>
      </w:pPr>
      <w:r w:rsidRPr="00652A97">
        <w:rPr>
          <w:noProof/>
        </w:rPr>
        <w:t>(56)</w:t>
      </w:r>
      <w:r w:rsidRPr="00652A97">
        <w:rPr>
          <w:noProof/>
        </w:rPr>
        <w:tab/>
      </w:r>
      <w:r w:rsidR="21B10619" w:rsidRPr="006B0F72">
        <w:rPr>
          <w:noProof/>
        </w:rPr>
        <w:t>V novi strategiji EU za gozdove do leta 2030</w:t>
      </w:r>
      <w:r w:rsidR="21B10619" w:rsidRPr="006B0F72">
        <w:rPr>
          <w:rStyle w:val="FootnoteReference"/>
          <w:noProof/>
        </w:rPr>
        <w:footnoteReference w:id="82"/>
      </w:r>
      <w:r w:rsidR="21B10619" w:rsidRPr="006B0F72">
        <w:rPr>
          <w:noProof/>
        </w:rPr>
        <w:t xml:space="preserve"> je začrtana potreba po obnovi biotske raznovrstnosti gozdov. Gozdovi in druga gozdna zemljišča pokrivajo več kot 43,5 % kopenskega območja EU. Biotsko zelo raznovrstni gozdni ekosistemi so občutljivi na podnebne spremembe, vendar so tudi naravni zaveznik pri prilagajanju podnebnim spremembam in podnebnim tveganjem ter boju proti njim, vključno s svojimi funkcijami kot zaloge in ponori ogljika, ter zagotavljajo številne druge pomembne ekosistemske storitve in koristi, kot so zagotavljanje gradbenega lesa in lesa ter hrane in drugih nelesnih izdelkov, uravnavanje podnebja, stabilizacija tal in nadzor erozije ter čiščenje zraka in vode. </w:t>
      </w:r>
    </w:p>
    <w:p w14:paraId="34DA1D38" w14:textId="660528C1" w:rsidR="00DE38D1" w:rsidRPr="006B0F72" w:rsidRDefault="00652A97" w:rsidP="00652A97">
      <w:pPr>
        <w:pStyle w:val="ManualConsidrant"/>
        <w:rPr>
          <w:noProof/>
        </w:rPr>
      </w:pPr>
      <w:r w:rsidRPr="00652A97">
        <w:rPr>
          <w:noProof/>
        </w:rPr>
        <w:t>(57)</w:t>
      </w:r>
      <w:r w:rsidRPr="00652A97">
        <w:rPr>
          <w:noProof/>
        </w:rPr>
        <w:tab/>
      </w:r>
      <w:r w:rsidR="5C1B47A7" w:rsidRPr="006B0F72">
        <w:rPr>
          <w:noProof/>
        </w:rPr>
        <w:t>Uvesti je treba ukrepe za obnovo za povečanje biotske raznovrstnosti gozdnih ekosistemov po vsej Uniji, tudi na območjih, ki niso zajeta s habitatnimi tipi, ki spadajo na področje uporabe Direktive 92/43/EGS. Ker ni skupne metode za ocenjevanje stanja gozdnih ekosistemov, ki bi omogočala določitev specifičnih ciljev za obnovo gozdnih ekosistemov, je primerno določiti splošno obveznost izboljšanja biotske raznovrstnosti gozdnih ekosistemov in meriti izpolnjevanje navedene obveznosti na podlagi obstoječih kazalnikov, kot so stoječa in ležeča odmrla drevesa, delež gozdov z neenakomerno starostno strukturo, povezljivost gozdov, indeks splošno razširjenih gozdnih ptic</w:t>
      </w:r>
      <w:r w:rsidR="5C1B47A7" w:rsidRPr="006B0F72">
        <w:rPr>
          <w:rStyle w:val="FootnoteReference"/>
          <w:rFonts w:eastAsia="Times New Roman"/>
          <w:noProof/>
        </w:rPr>
        <w:footnoteReference w:id="83"/>
      </w:r>
      <w:r w:rsidR="5C1B47A7" w:rsidRPr="006B0F72">
        <w:rPr>
          <w:noProof/>
        </w:rPr>
        <w:t xml:space="preserve"> in zaloge organskega ogljika.</w:t>
      </w:r>
    </w:p>
    <w:p w14:paraId="2E9FC829" w14:textId="12CD38B5" w:rsidR="00C3592D" w:rsidRPr="006B0F72" w:rsidRDefault="00652A97" w:rsidP="00652A97">
      <w:pPr>
        <w:pStyle w:val="ManualConsidrant"/>
        <w:rPr>
          <w:noProof/>
        </w:rPr>
      </w:pPr>
      <w:r w:rsidRPr="00652A97">
        <w:rPr>
          <w:noProof/>
        </w:rPr>
        <w:t>(58)</w:t>
      </w:r>
      <w:r w:rsidRPr="00652A97">
        <w:rPr>
          <w:noProof/>
        </w:rPr>
        <w:tab/>
      </w:r>
      <w:r w:rsidR="00AF33FE" w:rsidRPr="006B0F72">
        <w:rPr>
          <w:noProof/>
        </w:rPr>
        <w:t xml:space="preserve">Cilji in obveznosti glede obnove habitatov in vrst, zaščitenih v skladu z direktivama 92/43/EGS in 2009/147/ES, za opraševalce ter sladkovodne, urbane, kmetijske in gozdne ekosisteme bi se morali dopolnjevati in delovati v sinergiji, da bi dosegli krovni cilj obnove ekosistemov na vseh kopenskih in morskih območjih Unije. Ukrepi za obnovo, potrebni za dosego kakega specifičnega cilja, bodo v številnih primerih prispevali k doseganju tudi drugih ciljev ali obveznosti. Države članice bi zato morale ukrepe za obnovo načrtovati strateško, da bi čim bolj povečale njihovo učinkovitost pri prispevanju k obnovi narave po vsej Uniji. Ukrepe za obnovo bi bilo treba načrtovati tudi tako, da bodo obravnavali blažitev podnebnih sprememb in prilagajanje podnebnim spremembam ter preprečevanje in obvladovanje posledic naravnih nesreč. Njihov cilj bi moral biti optimizacija ekoloških, gospodarskih in družbenih funkcij ekosistemov, vključno z njihovim potencialom za produktivnost, ob upoštevanju njihovega prispevka k trajnostnemu razvoju zadevnih regij in skupnosti. Pomembno je, da države članice pripravijo podrobne nacionalne načrte za obnovo, ki temeljijo na najboljših razpoložljivih znanstvenih dokazih, in da ima javnost čim prej na voljo učinkovite možnosti za sodelovanje pri pripravi navedenih načrtov. Države članice bi morale upoštevati posebne pogoje in potrebe na svojem ozemlju, da bi se načrti odzivali na ustrezne pritiske, nevarnosti in dejavnike izgube biotske raznovrstnosti, ter bi morale sodelovati pri zagotavljanju čezmejne obnove in povezljivosti. </w:t>
      </w:r>
    </w:p>
    <w:p w14:paraId="42CE8611" w14:textId="24B01974" w:rsidR="000964CB" w:rsidRPr="006B0F72" w:rsidRDefault="00652A97" w:rsidP="00652A97">
      <w:pPr>
        <w:pStyle w:val="ManualConsidrant"/>
        <w:rPr>
          <w:noProof/>
        </w:rPr>
      </w:pPr>
      <w:r w:rsidRPr="00652A97">
        <w:rPr>
          <w:noProof/>
        </w:rPr>
        <w:t>(59)</w:t>
      </w:r>
      <w:r w:rsidRPr="00652A97">
        <w:rPr>
          <w:noProof/>
        </w:rPr>
        <w:tab/>
      </w:r>
      <w:r w:rsidR="43B25F76" w:rsidRPr="006B0F72">
        <w:rPr>
          <w:noProof/>
        </w:rPr>
        <w:t xml:space="preserve">Da se zagotovi sinergija med različnimi ukrepi, ki so bili in bodo sprejeti za varovanje, ohranjanje in obnovo narave v Uniji, bi morale države članice pri pripravi nacionalnih načrtov za obnovo upoštevati: ohranitvene ukrepe, vzpostavljene za območja Natura 2000, ter prednostne okvire ukrepanja, vzpostavljene v skladu z Direktivo 92/43/EGS in Direktivo 2009/147/ES; ukrepe za doseganje dobrega ekološkega in kemijskega stanja vodnih teles, vključene v načrte upravljanja povodij, ki so pripravljeni v skladu z Direktivo 2000/60/ES; morske strategije za doseganje dobrega okoljskega stanja v vseh morskih regijah Unije, pripravljene v skladu z Direktivo 2008/56/ES; nacionalne programe nadzora nad onesnaževanjem zraka, pripravljene v skladu z Direktivo (EU) 2016/2284; nacionalne strategije in akcijske načrte za biotsko raznovrstnost, pripravljene v skladu s členom 6 Konvencije o biološki raznovrstnosti, ter ohranitvene ukrepe, sprejete v skladu z Uredbo 1380/2013, in tehnične ukrepe, sprejete v skladu z </w:t>
      </w:r>
      <w:r w:rsidR="43B25F76" w:rsidRPr="006B0F72">
        <w:rPr>
          <w:noProof/>
          <w:shd w:val="clear" w:color="auto" w:fill="FFFFFF"/>
        </w:rPr>
        <w:t>Uredbo (EU) 2019/1241 Evropskega parlamenta in Sveta</w:t>
      </w:r>
      <w:r w:rsidR="43B25F76" w:rsidRPr="006B0F72">
        <w:rPr>
          <w:rStyle w:val="FootnoteReference"/>
          <w:noProof/>
          <w:szCs w:val="24"/>
        </w:rPr>
        <w:footnoteReference w:id="84"/>
      </w:r>
      <w:r w:rsidR="43B25F76" w:rsidRPr="006B0F72">
        <w:rPr>
          <w:noProof/>
          <w:shd w:val="clear" w:color="auto" w:fill="FFFFFF"/>
        </w:rPr>
        <w:t>.</w:t>
      </w:r>
    </w:p>
    <w:p w14:paraId="07FA045C" w14:textId="6EEA118C" w:rsidR="000E1E02" w:rsidRPr="006B0F72" w:rsidRDefault="00652A97" w:rsidP="00652A97">
      <w:pPr>
        <w:pStyle w:val="ManualConsidrant"/>
        <w:rPr>
          <w:noProof/>
        </w:rPr>
      </w:pPr>
      <w:r w:rsidRPr="00652A97">
        <w:rPr>
          <w:noProof/>
        </w:rPr>
        <w:t>(60)</w:t>
      </w:r>
      <w:r w:rsidRPr="00652A97">
        <w:rPr>
          <w:noProof/>
        </w:rPr>
        <w:tab/>
      </w:r>
      <w:r w:rsidR="0007462E" w:rsidRPr="006B0F72">
        <w:rPr>
          <w:noProof/>
        </w:rPr>
        <w:t>Da bi se zagotovila skladnost med cilji te uredbe ter Direktive (EU) 2018/2001</w:t>
      </w:r>
      <w:r w:rsidR="0007462E" w:rsidRPr="006B0F72">
        <w:rPr>
          <w:rStyle w:val="FootnoteReference"/>
          <w:noProof/>
        </w:rPr>
        <w:footnoteReference w:id="85"/>
      </w:r>
      <w:r w:rsidR="0007462E" w:rsidRPr="006B0F72">
        <w:rPr>
          <w:noProof/>
        </w:rPr>
        <w:t>, Uredbe (EU) 2018/1999</w:t>
      </w:r>
      <w:r w:rsidR="0007462E" w:rsidRPr="006B0F72">
        <w:rPr>
          <w:rStyle w:val="FootnoteReference"/>
          <w:noProof/>
        </w:rPr>
        <w:footnoteReference w:id="86"/>
      </w:r>
      <w:r w:rsidR="0007462E" w:rsidRPr="006B0F72">
        <w:rPr>
          <w:noProof/>
        </w:rPr>
        <w:t xml:space="preserve"> in Direktive 98/70/ES Evropskega parlamenta in Sveta glede spodbujanja energije iz obnovljivih virov</w:t>
      </w:r>
      <w:r w:rsidR="0007462E" w:rsidRPr="006B0F72">
        <w:rPr>
          <w:rStyle w:val="FootnoteReference"/>
          <w:noProof/>
        </w:rPr>
        <w:footnoteReference w:id="87"/>
      </w:r>
      <w:r w:rsidR="0007462E" w:rsidRPr="006B0F72">
        <w:rPr>
          <w:noProof/>
        </w:rPr>
        <w:t xml:space="preserve">, zlasti pri pripravi nacionalnih načrtov za obnovo, bi morale države članice upoštevati potencial projektov na področju energije iz obnovljivih virov za prispevanje k doseganju ciljev za obnovo narave. </w:t>
      </w:r>
    </w:p>
    <w:p w14:paraId="1D85EA28" w14:textId="64AD7EE5" w:rsidR="00BF79F9" w:rsidRPr="006B0F72" w:rsidRDefault="00652A97" w:rsidP="00652A97">
      <w:pPr>
        <w:pStyle w:val="ManualConsidrant"/>
        <w:rPr>
          <w:noProof/>
          <w:shd w:val="clear" w:color="auto" w:fill="FFFFFF"/>
        </w:rPr>
      </w:pPr>
      <w:r w:rsidRPr="00652A97">
        <w:rPr>
          <w:noProof/>
        </w:rPr>
        <w:t>(61)</w:t>
      </w:r>
      <w:r w:rsidRPr="00652A97">
        <w:rPr>
          <w:noProof/>
        </w:rPr>
        <w:tab/>
      </w:r>
      <w:r w:rsidR="00FC4763" w:rsidRPr="006B0F72">
        <w:rPr>
          <w:noProof/>
          <w:shd w:val="clear" w:color="auto" w:fill="FFFFFF"/>
        </w:rPr>
        <w:t>Glede na pomen doslednega obravnavanja dvojnega izziva izgube biotske raznovrstnosti in podnebnih sprememb bi se morala pri obnovi biotske raznovrstnosti upoštevati uporaba energije iz obnovljivih virov in obratno. V sporočilu REPowerEU:</w:t>
      </w:r>
      <w:r w:rsidR="00FC4763" w:rsidRPr="006B0F72">
        <w:rPr>
          <w:noProof/>
          <w:color w:val="242424"/>
          <w:shd w:val="clear" w:color="auto" w:fill="FFFFFF"/>
        </w:rPr>
        <w:t xml:space="preserve"> </w:t>
      </w:r>
      <w:r w:rsidR="00FC4763" w:rsidRPr="006B0F72">
        <w:rPr>
          <w:noProof/>
          <w:shd w:val="clear" w:color="auto" w:fill="FFFFFF"/>
        </w:rPr>
        <w:t>skupni evropski ukrepi za cenovno dostopnejšo, zanesljivejšo in bolj trajnostno energijo</w:t>
      </w:r>
      <w:r w:rsidR="00FC4763" w:rsidRPr="006B0F72">
        <w:rPr>
          <w:rStyle w:val="FootnoteReference"/>
          <w:noProof/>
          <w:szCs w:val="24"/>
        </w:rPr>
        <w:footnoteReference w:id="88"/>
      </w:r>
      <w:r w:rsidR="00FC4763" w:rsidRPr="006B0F72">
        <w:rPr>
          <w:noProof/>
          <w:shd w:val="clear" w:color="auto" w:fill="FFFFFF"/>
        </w:rPr>
        <w:t xml:space="preserve"> je navedeno, da bi morale države članice hitro opredeliti, oceniti in zagotoviti ustrezna kopenska in morska območja, ki so na voljo za projekte na področju energije iz obnovljivih virov, in sicer sorazmerno z njihovimi nacionalnimi energetskimi in podnebnimi načrti, prispevki k revidiranemu cilju glede energije iz obnovljivih virov za leto 2030 in drugimi dejavniki, kot so razpoložljivost virov, omrežna infrastruktura in cilji strategije EU za biotsko raznovrstnost. Predlog Komisije za direktivo Evropskega parlamenta in Sveta o spremembi Direktive (EU) 2018/2001 o spodbujanju uporabe energije iz obnovljivih virov, Direktive 2010/31/EU o energetski učinkovitosti stavb in Direktive 2012/27/EU o energetski učinkovitosti</w:t>
      </w:r>
      <w:r w:rsidR="00FC4763" w:rsidRPr="006B0F72">
        <w:rPr>
          <w:rStyle w:val="FootnoteReference"/>
          <w:noProof/>
        </w:rPr>
        <w:footnoteReference w:id="89"/>
      </w:r>
      <w:r w:rsidR="00FC4763" w:rsidRPr="006B0F72">
        <w:rPr>
          <w:noProof/>
          <w:shd w:val="clear" w:color="auto" w:fill="FFFFFF"/>
        </w:rPr>
        <w:t xml:space="preserve"> ter priporočilo Komisije o pospešitvi postopkov izdaje dovoljenj za projekte na področju energije iz obnovljivih virov in poenostavitvi sklepanja pogodb o nakupu električne energije</w:t>
      </w:r>
      <w:r w:rsidR="00FC4763" w:rsidRPr="006B0F72">
        <w:rPr>
          <w:rStyle w:val="FootnoteReference"/>
          <w:noProof/>
        </w:rPr>
        <w:footnoteReference w:id="90"/>
      </w:r>
      <w:r w:rsidR="00FC4763" w:rsidRPr="006B0F72">
        <w:rPr>
          <w:noProof/>
          <w:shd w:val="clear" w:color="auto" w:fill="FFFFFF"/>
        </w:rPr>
        <w:t xml:space="preserve">, ki sta bila sprejeta 18. maja 2022, določata tudi opredelitev namenskih območij za obnovljive vire energije. To so posebne lokacije, bodisi na kopnem bodisi na morju, ki so zlasti primerne za postavitev obratov za proizvodnjo energije iz obnovljivih virov, razen kurilnih naprav na biomaso, kjer se glede na posebnosti izbranega ozemlja ne pričakuje, da bi uporaba posebne vrste energije iz obnovljivih virov pomembno vplivala na okolje. Države članice bi morale dati prednost </w:t>
      </w:r>
      <w:r w:rsidR="00FC4763" w:rsidRPr="006B0F72">
        <w:rPr>
          <w:noProof/>
        </w:rPr>
        <w:t xml:space="preserve">umetnim in grajenim površinam, kot so strehe, območja prometne infrastrukture, parkirišča, odlagališča odpadkov, industrijska območja, rudniki, umetna celinska vodna telesa, jezera ali zbiralniki in, kjer je primerno, obrati za čiščenje komunalne odpadne vode ter degradirana zemljišča, ki niso uporabna za kmetijstvo. </w:t>
      </w:r>
      <w:r w:rsidR="00FC4763" w:rsidRPr="006B0F72">
        <w:rPr>
          <w:noProof/>
          <w:shd w:val="clear" w:color="auto" w:fill="FFFFFF"/>
        </w:rPr>
        <w:t xml:space="preserve">Države članice bi se morale pri določitvi namenskih območij za obnovljive vire energije izogniti zavarovanim območjem in upoštevati svoje nacionalne načrte za obnovo narave. Razvoj teh načrtov bi morale uskladiti z določanjem namenskih območij za obnovljive vire energije. Med pripravo načrtov za obnovo narave bi morale zagotoviti sinergije z že določenimi namenskimi območji za obnovljive vire energije in poskrbeti, da delovanje namenskih območij za obnovljive vire energije ostane nespremenjeno, vključno s postopki izdaje dovoljenj, ki se uporabljajo za namenska območja za obnovljive vire energije, predvidenimi v Direktivi (EU) 2018/2001. </w:t>
      </w:r>
    </w:p>
    <w:p w14:paraId="3574C4DE" w14:textId="567F174B" w:rsidR="0047261A" w:rsidRPr="006B0F72" w:rsidRDefault="00652A97" w:rsidP="00652A97">
      <w:pPr>
        <w:pStyle w:val="ManualConsidrant"/>
        <w:rPr>
          <w:noProof/>
        </w:rPr>
      </w:pPr>
      <w:r w:rsidRPr="00652A97">
        <w:rPr>
          <w:noProof/>
        </w:rPr>
        <w:t>(62)</w:t>
      </w:r>
      <w:r w:rsidRPr="00652A97">
        <w:rPr>
          <w:noProof/>
        </w:rPr>
        <w:tab/>
      </w:r>
      <w:r w:rsidR="00C514BE" w:rsidRPr="006B0F72">
        <w:rPr>
          <w:noProof/>
        </w:rPr>
        <w:t xml:space="preserve">Za zagotovitev sinergij z ukrepi za obnovo, ki so že bili načrtovani ali uvedeni v državah članicah, bi morali biti ti ukrepi priznani in upoštevani v nacionalnih načrtih za obnovo. Glede na nujnost, da se sprejmejo ukrepi za obnovo degradiranih ekosistemov, na katero je opozorilo poročilo IPCC iz leta 2022, bi morale države članice izvajati navedene ukrepe vzporedno s pripravo načrtov za obnovo. </w:t>
      </w:r>
    </w:p>
    <w:p w14:paraId="5BB1454C" w14:textId="18357967" w:rsidR="00C3592D" w:rsidRPr="006B0F72" w:rsidRDefault="00652A97" w:rsidP="00652A97">
      <w:pPr>
        <w:pStyle w:val="ManualConsidrant"/>
        <w:rPr>
          <w:noProof/>
        </w:rPr>
      </w:pPr>
      <w:r w:rsidRPr="00652A97">
        <w:rPr>
          <w:noProof/>
        </w:rPr>
        <w:t>(63)</w:t>
      </w:r>
      <w:r w:rsidRPr="00652A97">
        <w:rPr>
          <w:noProof/>
        </w:rPr>
        <w:tab/>
      </w:r>
      <w:r w:rsidR="00CD774F" w:rsidRPr="006B0F72">
        <w:rPr>
          <w:noProof/>
        </w:rPr>
        <w:t xml:space="preserve">Nacionalni načrti za obnovo bi morali upoštevati tudi rezultate raziskovalnih projektov, pomembnih za oceno stanja ekosistemov, opredelitev in uvedbo ukrepov za obnovo ter namene spremljanja. </w:t>
      </w:r>
    </w:p>
    <w:p w14:paraId="3ABC6DD8" w14:textId="52DA3524" w:rsidR="00E454D5" w:rsidRPr="006B0F72" w:rsidRDefault="00652A97" w:rsidP="00652A97">
      <w:pPr>
        <w:pStyle w:val="ManualConsidrant"/>
        <w:rPr>
          <w:noProof/>
        </w:rPr>
      </w:pPr>
      <w:r w:rsidRPr="00652A97">
        <w:rPr>
          <w:noProof/>
        </w:rPr>
        <w:t>(64)</w:t>
      </w:r>
      <w:r w:rsidRPr="00652A97">
        <w:rPr>
          <w:noProof/>
        </w:rPr>
        <w:tab/>
      </w:r>
      <w:r w:rsidR="00EA3233" w:rsidRPr="006B0F72">
        <w:rPr>
          <w:noProof/>
        </w:rPr>
        <w:t xml:space="preserve">Primerno je upoštevati poseben položaj najbolj oddaljenih regij Unije, kot je navedeno v členu 349 Pogodbe o delovanju Evropske unije (PDEU), ki določa posebne ukrepe za podporo navedenim regijam. Kot je predvideno v strategiji EU za biotsko raznovrstnost do leta 2030, bi bilo treba varstvu in obnovi ekosistemov v najbolj oddaljenih regijah nameniti posebno pozornost, saj imajo izjemno bogato biotsko raznovrstnost. </w:t>
      </w:r>
    </w:p>
    <w:p w14:paraId="69CECD42" w14:textId="6AA18E3A" w:rsidR="00382781" w:rsidRPr="006B0F72" w:rsidRDefault="00652A97" w:rsidP="00652A97">
      <w:pPr>
        <w:pStyle w:val="ManualConsidrant"/>
        <w:rPr>
          <w:noProof/>
        </w:rPr>
      </w:pPr>
      <w:r w:rsidRPr="00652A97">
        <w:rPr>
          <w:noProof/>
        </w:rPr>
        <w:t>(65)</w:t>
      </w:r>
      <w:r w:rsidRPr="00652A97">
        <w:rPr>
          <w:noProof/>
        </w:rPr>
        <w:tab/>
      </w:r>
      <w:r w:rsidR="39A78995" w:rsidRPr="006B0F72">
        <w:rPr>
          <w:noProof/>
        </w:rPr>
        <w:t xml:space="preserve">Evropska agencija za okolje (EEA) bi morala podpirati države članice pri pripravi nacionalnih načrtov za obnovo ter spremljanju napredka pri doseganju ciljev in obveznosti v zvezi z obnovo. Komisija bi morala oceniti, ali so nacionalni načrti za obnovo ustrezni za doseganje navedenih ciljev in obveznosti. </w:t>
      </w:r>
    </w:p>
    <w:p w14:paraId="3DA55C5B" w14:textId="3C24CB8C" w:rsidR="002B07E3" w:rsidRPr="006B0F72" w:rsidRDefault="00652A97" w:rsidP="00652A97">
      <w:pPr>
        <w:pStyle w:val="ManualConsidrant"/>
        <w:rPr>
          <w:noProof/>
        </w:rPr>
      </w:pPr>
      <w:r w:rsidRPr="00652A97">
        <w:rPr>
          <w:noProof/>
        </w:rPr>
        <w:t>(66)</w:t>
      </w:r>
      <w:r w:rsidRPr="00652A97">
        <w:rPr>
          <w:noProof/>
        </w:rPr>
        <w:tab/>
      </w:r>
      <w:r w:rsidR="006B6E7E" w:rsidRPr="006B0F72">
        <w:rPr>
          <w:noProof/>
        </w:rPr>
        <w:t>Poročilo Komisije o stanju narave iz leta 2020 je pokazalo, da precejšen delež informacij, ki jih sporočijo države članice v skladu s členom 17 Direktive Sveta 92/43/EGS</w:t>
      </w:r>
      <w:r w:rsidR="006B6E7E" w:rsidRPr="006B0F72">
        <w:rPr>
          <w:rStyle w:val="FootnoteReference"/>
          <w:noProof/>
          <w:szCs w:val="24"/>
        </w:rPr>
        <w:footnoteReference w:id="91"/>
      </w:r>
      <w:r w:rsidR="006B6E7E" w:rsidRPr="006B0F72">
        <w:rPr>
          <w:noProof/>
        </w:rPr>
        <w:t xml:space="preserve"> in členom 12 Direktive 2009/147/ES, zlasti o stanju ohranjenosti ter trendih habitatov in vrst, ki jih varujejo, izhaja iz delnih raziskav ali temelji le na strokovni presoji. Navedeno poročilo je pokazalo tudi, da stanje več habitatnih tipov in vrst, zavarovanih v skladu z Direktivo 92/43/EGS, še vedno ni znano. Potrebna sta zapolnitev navedenih vrzeli v znanju ter vlaganje v spremljanje in nadzor, da se podprejo trdni in znanstveno utemeljeni nacionalni načrti za obnovo. Da bi se povečale pravočasnost, učinkovitost in skladnost različnih metod spremljanja, bi bilo treba pri spremljanju in nadzoru kar najbolje izkoristiti rezultate raziskovalnih in inovacijskih projektov, ki jih financira Unija, ter nove tehnologije, kot sta spremljanje na terenu in daljinsko zaznavanje z uporabo satelitskih podatkov in storitev, zagotovljenih v okviru vesoljskega programa Unije (EGNOS/Galileo in Copernicus). Misije EU Obnova naših oceanov in voda, Prilagajanje podnebnim spremembam in Evropski dogovor o tleh bodo podprle izvajanje ciljev za obnovo</w:t>
      </w:r>
      <w:r w:rsidR="006B6E7E" w:rsidRPr="006B0F72">
        <w:rPr>
          <w:rStyle w:val="FootnoteReference"/>
          <w:noProof/>
        </w:rPr>
        <w:footnoteReference w:id="92"/>
      </w:r>
      <w:r w:rsidR="006B6E7E" w:rsidRPr="006B0F72">
        <w:rPr>
          <w:noProof/>
        </w:rPr>
        <w:t xml:space="preserve">. </w:t>
      </w:r>
    </w:p>
    <w:p w14:paraId="0BD4E0CF" w14:textId="688E74D4" w:rsidR="00AC748E" w:rsidRPr="006B0F72" w:rsidRDefault="00652A97" w:rsidP="00652A97">
      <w:pPr>
        <w:pStyle w:val="ManualConsidrant"/>
        <w:rPr>
          <w:noProof/>
        </w:rPr>
      </w:pPr>
      <w:r w:rsidRPr="00652A97">
        <w:rPr>
          <w:noProof/>
        </w:rPr>
        <w:t>(67)</w:t>
      </w:r>
      <w:r w:rsidRPr="00652A97">
        <w:rPr>
          <w:noProof/>
        </w:rPr>
        <w:tab/>
      </w:r>
      <w:r w:rsidR="006B6E7E" w:rsidRPr="006B0F72">
        <w:rPr>
          <w:noProof/>
        </w:rPr>
        <w:t>Za spremljanje napredka pri izvajanju nacionalnih načrtov za obnovo, izvedenih ukrepov za obnovo, območij, na katerih se izvajajo ukrepi za obnovo, in podatkov o popisu ovir za kontinuiteto toka, bi bilo treba uvesti sistem, ki bi od držav članic zahteval, da pripravijo in posodabljajo ustrezne podatke o rezultatih takega spremljanja ter omogočijo dostop do njih. Za elektronsko poročanje podatkov Komisiji bi bilo treba uporabiti sistem Evropske agencije za okolje Reportnet, pri čemer bi moral biti cilj čim manjše upravno breme za vse subjekte. Da bi države članice zagotovile ustrezno infrastrukturo za javni dostop do podatkov, poročanje o njih in njihovo izmenjavo med javnimi organi, bi morale, kjer je to ustrezno, določiti specifikacije podatkov na podlagi tistih iz Direktive 2003/4/ES Evropskega parlamenta in Sveta</w:t>
      </w:r>
      <w:r w:rsidR="006B6E7E" w:rsidRPr="006B0F72">
        <w:rPr>
          <w:rStyle w:val="FootnoteReference"/>
          <w:noProof/>
        </w:rPr>
        <w:footnoteReference w:id="93"/>
      </w:r>
      <w:r w:rsidR="006B6E7E" w:rsidRPr="006B0F72">
        <w:rPr>
          <w:noProof/>
        </w:rPr>
        <w:t>, Direktive 2007/2/ES Evropskega parlamenta in Sveta</w:t>
      </w:r>
      <w:r w:rsidR="006B6E7E" w:rsidRPr="006B0F72">
        <w:rPr>
          <w:rStyle w:val="FootnoteReference"/>
          <w:noProof/>
        </w:rPr>
        <w:footnoteReference w:id="94"/>
      </w:r>
      <w:r w:rsidR="006B6E7E" w:rsidRPr="006B0F72">
        <w:rPr>
          <w:noProof/>
        </w:rPr>
        <w:t xml:space="preserve"> ter Direktive (EU) 2019/1024 Evropskega parlamenta in Sveta</w:t>
      </w:r>
      <w:r w:rsidR="006B6E7E" w:rsidRPr="006B0F72">
        <w:rPr>
          <w:rStyle w:val="FootnoteReference"/>
          <w:noProof/>
        </w:rPr>
        <w:footnoteReference w:id="95"/>
      </w:r>
      <w:r w:rsidR="006B6E7E" w:rsidRPr="006B0F72">
        <w:rPr>
          <w:noProof/>
        </w:rPr>
        <w:t xml:space="preserve">. </w:t>
      </w:r>
    </w:p>
    <w:p w14:paraId="00C11F33" w14:textId="370F7F2B" w:rsidR="00962D20" w:rsidRPr="006B0F72" w:rsidRDefault="00652A97" w:rsidP="00652A97">
      <w:pPr>
        <w:pStyle w:val="ManualConsidrant"/>
        <w:rPr>
          <w:noProof/>
          <w:color w:val="000000" w:themeColor="text1"/>
        </w:rPr>
      </w:pPr>
      <w:r w:rsidRPr="00652A97">
        <w:rPr>
          <w:noProof/>
        </w:rPr>
        <w:t>(68)</w:t>
      </w:r>
      <w:r w:rsidRPr="00652A97">
        <w:rPr>
          <w:noProof/>
        </w:rPr>
        <w:tab/>
      </w:r>
      <w:r w:rsidR="00B82114" w:rsidRPr="006B0F72">
        <w:rPr>
          <w:noProof/>
        </w:rPr>
        <w:t>Da bi Komisija zagotovila učinkovito izvajanje te uredbe, bi morala na zahtevo podpreti države članice prek Instrumenta za tehnično podporo</w:t>
      </w:r>
      <w:r w:rsidR="00B82114" w:rsidRPr="006B0F72">
        <w:rPr>
          <w:rStyle w:val="FootnoteReference"/>
          <w:noProof/>
        </w:rPr>
        <w:footnoteReference w:id="96"/>
      </w:r>
      <w:r w:rsidR="00B82114" w:rsidRPr="006B0F72">
        <w:rPr>
          <w:noProof/>
        </w:rPr>
        <w:t>, ki zagotavlja prilagojeno tehnično podporo za načrtovanje in izvajanje reform. Tehnična podpora na primer vključuje krepitev upravne zmogljivosti, usklajevanje zakonodajnih okvirov in izmenjavo ustreznih dobrih praks.</w:t>
      </w:r>
    </w:p>
    <w:p w14:paraId="0BD68B46" w14:textId="47DE527E" w:rsidR="004673F2" w:rsidRPr="006B0F72" w:rsidRDefault="00652A97" w:rsidP="00652A97">
      <w:pPr>
        <w:pStyle w:val="ManualConsidrant"/>
        <w:rPr>
          <w:noProof/>
        </w:rPr>
      </w:pPr>
      <w:r w:rsidRPr="00652A97">
        <w:rPr>
          <w:noProof/>
        </w:rPr>
        <w:t>(69)</w:t>
      </w:r>
      <w:r w:rsidRPr="00652A97">
        <w:rPr>
          <w:noProof/>
        </w:rPr>
        <w:tab/>
      </w:r>
      <w:r w:rsidR="00CE511E" w:rsidRPr="006B0F72">
        <w:rPr>
          <w:noProof/>
        </w:rPr>
        <w:t xml:space="preserve">Komisija bi morala poročati o napredku držav članic pri izpolnjevanju ciljev in obveznosti v zvezi z obnovo iz te uredbe na podlagi poročil o napredku po vsej Uniji, ki jih pripravi EEA, ter drugih analiz in poročil, ki jih dajo države članice na voljo na ustreznih področjih politike, kot so naravovarstvena, morska in vodna politika. </w:t>
      </w:r>
    </w:p>
    <w:p w14:paraId="40A9A232" w14:textId="6F02575C" w:rsidR="00772428" w:rsidRPr="006B0F72" w:rsidRDefault="00652A97" w:rsidP="00652A97">
      <w:pPr>
        <w:pStyle w:val="ManualConsidrant"/>
        <w:rPr>
          <w:noProof/>
        </w:rPr>
      </w:pPr>
      <w:r w:rsidRPr="00652A97">
        <w:rPr>
          <w:noProof/>
        </w:rPr>
        <w:t>(70)</w:t>
      </w:r>
      <w:r w:rsidRPr="00652A97">
        <w:rPr>
          <w:noProof/>
        </w:rPr>
        <w:tab/>
      </w:r>
      <w:r w:rsidR="00DE5AB7" w:rsidRPr="006B0F72">
        <w:rPr>
          <w:noProof/>
        </w:rPr>
        <w:t>Za zagotovitev doseganja ciljev in obveznosti, določenih v tej uredbi, je izjemno pomembno, da se izvedejo ustrezne zasebne in javne naložbe v obnovo, države članice pa bi morale vključiti odhodke za cilje biotske raznovrstnosti, tudi v zvezi z oportunitetnimi in prehodnimi stroški, nastalimi zaradi izvajanja nacionalnih načrtov za obnovo, v svoje nacionalne proračune in navesti, kako se porabljajo sredstva Unije. Kar zadeva financiranje Unije, odhodki v okviru proračuna Unije in programov financiranja Unije, kot so program za okolje in podnebne ukrepe (LIFE)</w:t>
      </w:r>
      <w:r w:rsidR="00DE5AB7" w:rsidRPr="006B0F72">
        <w:rPr>
          <w:rStyle w:val="FootnoteReference"/>
          <w:noProof/>
        </w:rPr>
        <w:footnoteReference w:id="97"/>
      </w:r>
      <w:r w:rsidR="00DE5AB7" w:rsidRPr="006B0F72">
        <w:rPr>
          <w:noProof/>
        </w:rPr>
        <w:t xml:space="preserve">, </w:t>
      </w:r>
      <w:hyperlink r:id="rId15">
        <w:r w:rsidR="00DE5AB7" w:rsidRPr="006B0F72">
          <w:rPr>
            <w:noProof/>
          </w:rPr>
          <w:t>Evropski sklad za pomorstvo, ribištvo in akvakulturo</w:t>
        </w:r>
      </w:hyperlink>
      <w:r w:rsidR="00DE5AB7" w:rsidRPr="006B0F72">
        <w:rPr>
          <w:noProof/>
        </w:rPr>
        <w:t> (ESPRA)</w:t>
      </w:r>
      <w:r w:rsidR="00DE5AB7" w:rsidRPr="006B0F72">
        <w:rPr>
          <w:rStyle w:val="FootnoteReference"/>
          <w:noProof/>
        </w:rPr>
        <w:footnoteReference w:id="98"/>
      </w:r>
      <w:r w:rsidR="00DE5AB7" w:rsidRPr="006B0F72">
        <w:rPr>
          <w:noProof/>
        </w:rPr>
        <w:t xml:space="preserve">, </w:t>
      </w:r>
      <w:hyperlink r:id="rId16">
        <w:r w:rsidR="00DE5AB7" w:rsidRPr="006B0F72">
          <w:rPr>
            <w:noProof/>
          </w:rPr>
          <w:t>Evropski kmetijski sklad za razvoj podeželja</w:t>
        </w:r>
      </w:hyperlink>
      <w:r w:rsidR="00DE5AB7" w:rsidRPr="006B0F72">
        <w:rPr>
          <w:noProof/>
        </w:rPr>
        <w:t> (EKSRP)</w:t>
      </w:r>
      <w:r w:rsidR="00DE5AB7" w:rsidRPr="006B0F72">
        <w:rPr>
          <w:rStyle w:val="FootnoteReference"/>
          <w:noProof/>
        </w:rPr>
        <w:footnoteReference w:id="99"/>
      </w:r>
      <w:r w:rsidR="00DE5AB7" w:rsidRPr="006B0F72">
        <w:rPr>
          <w:noProof/>
        </w:rPr>
        <w:t xml:space="preserve">, </w:t>
      </w:r>
      <w:hyperlink r:id="rId17">
        <w:r w:rsidR="00DE5AB7" w:rsidRPr="006B0F72">
          <w:rPr>
            <w:noProof/>
          </w:rPr>
          <w:t>Evropski kmetijski jamstveni sklad</w:t>
        </w:r>
      </w:hyperlink>
      <w:r w:rsidR="00DE5AB7" w:rsidRPr="006B0F72">
        <w:rPr>
          <w:noProof/>
        </w:rPr>
        <w:t xml:space="preserve"> (EKJS), </w:t>
      </w:r>
      <w:hyperlink r:id="rId18">
        <w:r w:rsidR="00DE5AB7" w:rsidRPr="006B0F72">
          <w:rPr>
            <w:noProof/>
          </w:rPr>
          <w:t>Evropski sklad za regionalni razvoj</w:t>
        </w:r>
      </w:hyperlink>
      <w:r w:rsidR="00DE5AB7" w:rsidRPr="006B0F72">
        <w:rPr>
          <w:noProof/>
        </w:rPr>
        <w:t xml:space="preserve"> (ESRR), </w:t>
      </w:r>
      <w:hyperlink r:id="rId19">
        <w:r w:rsidR="00DE5AB7" w:rsidRPr="006B0F72">
          <w:rPr>
            <w:noProof/>
          </w:rPr>
          <w:t>Kohezijski sklad</w:t>
        </w:r>
        <w:r w:rsidR="00DE5AB7" w:rsidRPr="006B0F72">
          <w:rPr>
            <w:rStyle w:val="FootnoteReference"/>
            <w:noProof/>
          </w:rPr>
          <w:footnoteReference w:id="100"/>
        </w:r>
      </w:hyperlink>
      <w:r w:rsidR="00DE5AB7" w:rsidRPr="006B0F72">
        <w:rPr>
          <w:noProof/>
        </w:rPr>
        <w:t xml:space="preserve"> in Sklad za pravični prehod</w:t>
      </w:r>
      <w:r w:rsidR="00DE5AB7" w:rsidRPr="006B0F72">
        <w:rPr>
          <w:rStyle w:val="FootnoteReference"/>
          <w:noProof/>
        </w:rPr>
        <w:footnoteReference w:id="101"/>
      </w:r>
      <w:r w:rsidR="00DE5AB7" w:rsidRPr="006B0F72">
        <w:rPr>
          <w:noProof/>
        </w:rPr>
        <w:t xml:space="preserve"> ter </w:t>
      </w:r>
      <w:r w:rsidR="00DE5AB7" w:rsidRPr="006B0F72">
        <w:rPr>
          <w:noProof/>
          <w:shd w:val="clear" w:color="auto" w:fill="FFFFFF"/>
        </w:rPr>
        <w:t>okvirni program Unije za raziskave in inovacije Obzorje Evropa</w:t>
      </w:r>
      <w:r w:rsidR="00DE5AB7" w:rsidRPr="008F2B22">
        <w:rPr>
          <w:rStyle w:val="FootnoteReference"/>
          <w:b/>
          <w:noProof/>
        </w:rPr>
        <w:footnoteReference w:id="102"/>
      </w:r>
      <w:r w:rsidR="00DE5AB7" w:rsidRPr="006B0F72">
        <w:rPr>
          <w:noProof/>
          <w:shd w:val="clear" w:color="auto" w:fill="FFFFFF"/>
        </w:rPr>
        <w:t xml:space="preserve">, </w:t>
      </w:r>
      <w:r w:rsidR="00DE5AB7" w:rsidRPr="006B0F72">
        <w:rPr>
          <w:noProof/>
        </w:rPr>
        <w:t>prispevajo k ciljem biotske raznovrstnosti,</w:t>
      </w:r>
      <w:r w:rsidR="00DE5AB7" w:rsidRPr="006B0F72">
        <w:rPr>
          <w:noProof/>
          <w:shd w:val="clear" w:color="auto" w:fill="FFFFFF"/>
        </w:rPr>
        <w:t xml:space="preserve"> pri čemer je namen, da se v letu 2024 nameni 7,5 %, v letih 2026 in 2027 pa 10 % letne porabe v okviru večletnega finančnega okvira za obdobje 2021–2027</w:t>
      </w:r>
      <w:r w:rsidR="00DE5AB7" w:rsidRPr="008F2B22">
        <w:rPr>
          <w:rStyle w:val="FootnoteReference"/>
          <w:b/>
          <w:noProof/>
        </w:rPr>
        <w:footnoteReference w:id="103"/>
      </w:r>
      <w:r w:rsidR="00DE5AB7" w:rsidRPr="006B0F72">
        <w:rPr>
          <w:noProof/>
          <w:shd w:val="clear" w:color="auto" w:fill="FFFFFF"/>
        </w:rPr>
        <w:t xml:space="preserve"> </w:t>
      </w:r>
      <w:r w:rsidR="00DE5AB7" w:rsidRPr="006B0F72">
        <w:rPr>
          <w:noProof/>
        </w:rPr>
        <w:t xml:space="preserve">za cilje biotske raznovrstnosti. </w:t>
      </w:r>
      <w:hyperlink r:id="rId20">
        <w:r w:rsidR="00DE5AB7" w:rsidRPr="006B0F72">
          <w:rPr>
            <w:noProof/>
          </w:rPr>
          <w:t>Mehanizem za okrevanje in odpornost</w:t>
        </w:r>
      </w:hyperlink>
      <w:r w:rsidR="00DE5AB7" w:rsidRPr="006B0F72">
        <w:rPr>
          <w:noProof/>
        </w:rPr>
        <w:t> (RRF)</w:t>
      </w:r>
      <w:r w:rsidR="00DE5AB7" w:rsidRPr="006B0F72">
        <w:rPr>
          <w:rStyle w:val="FootnoteReference"/>
          <w:noProof/>
        </w:rPr>
        <w:footnoteReference w:id="104"/>
      </w:r>
      <w:r w:rsidR="00DE5AB7" w:rsidRPr="006B0F72">
        <w:rPr>
          <w:noProof/>
        </w:rPr>
        <w:t xml:space="preserve"> je nadaljnji vir financiranja za varstvo in obnovo biotske raznovrstnosti in ekosistemov. V zvezi s programom LIFE bi bilo treba posebno pozornost nameniti ustrezni uporabi strateških projektov za naravo kot posebnega orodja, ki bi lahko podprlo izvajanje te uredbe z uspešnim in učinkovitim vključevanjem razpoložljivih finančnih sredstev.</w:t>
      </w:r>
    </w:p>
    <w:p w14:paraId="46C02C1F" w14:textId="4749A316" w:rsidR="00EB1E48" w:rsidRPr="006B0F72" w:rsidRDefault="00652A97" w:rsidP="00652A97">
      <w:pPr>
        <w:pStyle w:val="ManualConsidrant"/>
        <w:rPr>
          <w:noProof/>
          <w:szCs w:val="24"/>
        </w:rPr>
      </w:pPr>
      <w:r w:rsidRPr="00652A97">
        <w:rPr>
          <w:noProof/>
        </w:rPr>
        <w:t>(71)</w:t>
      </w:r>
      <w:r w:rsidRPr="00652A97">
        <w:rPr>
          <w:noProof/>
        </w:rPr>
        <w:tab/>
      </w:r>
      <w:r w:rsidR="009B055D" w:rsidRPr="006B0F72">
        <w:rPr>
          <w:noProof/>
        </w:rPr>
        <w:t>Na voljo je vrsta pobud EU ter nacionalnih in zasebnih pobud za spodbujanje zasebnega financiranja, kot je program InvestEU</w:t>
      </w:r>
      <w:r w:rsidR="009B055D" w:rsidRPr="008F2B22">
        <w:rPr>
          <w:rStyle w:val="FootnoteReference"/>
          <w:b/>
          <w:noProof/>
        </w:rPr>
        <w:footnoteReference w:id="105"/>
      </w:r>
      <w:r w:rsidR="009B055D" w:rsidRPr="006B0F72">
        <w:rPr>
          <w:noProof/>
        </w:rPr>
        <w:t>, ki ponuja priložnosti za mobilizacijo javnega in zasebnega financiranja, da se med drugim podpreta krepitev narave in biotske raznovrstnosti z zelenimi in modrimi infrastrukturnimi projekti ter ogljično kmetovanje kot zeleni poslovni model</w:t>
      </w:r>
      <w:r w:rsidR="009B055D" w:rsidRPr="006B0F72">
        <w:rPr>
          <w:rStyle w:val="FootnoteReference"/>
          <w:noProof/>
          <w:szCs w:val="24"/>
        </w:rPr>
        <w:footnoteReference w:id="106"/>
      </w:r>
      <w:r w:rsidR="009B055D" w:rsidRPr="006B0F72">
        <w:rPr>
          <w:noProof/>
        </w:rPr>
        <w:t>.</w:t>
      </w:r>
    </w:p>
    <w:p w14:paraId="55697C39" w14:textId="0F2CDDE7" w:rsidR="009B055D" w:rsidRPr="006B0F72" w:rsidRDefault="00652A97" w:rsidP="00652A97">
      <w:pPr>
        <w:pStyle w:val="ManualConsidrant"/>
        <w:rPr>
          <w:noProof/>
          <w:szCs w:val="24"/>
        </w:rPr>
      </w:pPr>
      <w:r w:rsidRPr="00652A97">
        <w:rPr>
          <w:noProof/>
        </w:rPr>
        <w:t>(72)</w:t>
      </w:r>
      <w:r w:rsidRPr="00652A97">
        <w:rPr>
          <w:noProof/>
        </w:rPr>
        <w:tab/>
      </w:r>
      <w:r w:rsidR="009B055D" w:rsidRPr="006B0F72">
        <w:rPr>
          <w:rStyle w:val="normaltextrun"/>
          <w:noProof/>
        </w:rPr>
        <w:t xml:space="preserve">Države članice bi morale </w:t>
      </w:r>
      <w:r w:rsidR="009B055D" w:rsidRPr="006B0F72">
        <w:rPr>
          <w:rStyle w:val="normaltextrun"/>
          <w:noProof/>
          <w:color w:val="000000"/>
          <w:shd w:val="clear" w:color="auto" w:fill="FFFFFF"/>
        </w:rPr>
        <w:t xml:space="preserve">pri pripravi in izvajanju svojih nacionalnih načrtov za obnovo spodbujati pravičen pristop, ki bi zajemal vse segmente družbe, </w:t>
      </w:r>
      <w:r w:rsidR="009B055D" w:rsidRPr="006B0F72">
        <w:rPr>
          <w:rStyle w:val="normaltextrun"/>
          <w:noProof/>
        </w:rPr>
        <w:t>in sicer z vključitvijo</w:t>
      </w:r>
      <w:r w:rsidR="009B055D" w:rsidRPr="006B0F72">
        <w:rPr>
          <w:noProof/>
        </w:rPr>
        <w:t xml:space="preserve"> postopkov za sodelovanje javnosti ter z upoštevanjem potreb lokalnih skupnosti in deležnikov. </w:t>
      </w:r>
    </w:p>
    <w:p w14:paraId="4ACF842D" w14:textId="7906A675" w:rsidR="007A2E33" w:rsidRPr="006B0F72" w:rsidRDefault="00652A97" w:rsidP="00652A97">
      <w:pPr>
        <w:pStyle w:val="ManualConsidrant"/>
        <w:rPr>
          <w:noProof/>
        </w:rPr>
      </w:pPr>
      <w:r w:rsidRPr="00652A97">
        <w:rPr>
          <w:noProof/>
        </w:rPr>
        <w:t>(73)</w:t>
      </w:r>
      <w:r w:rsidRPr="00652A97">
        <w:rPr>
          <w:noProof/>
        </w:rPr>
        <w:tab/>
      </w:r>
      <w:r w:rsidR="009242C3" w:rsidRPr="006B0F72">
        <w:rPr>
          <w:noProof/>
        </w:rPr>
        <w:t>V skladu z Uredbo (EU) 2021/2115 Evropskega parlamenta in Sveta</w:t>
      </w:r>
      <w:r w:rsidR="009242C3" w:rsidRPr="006B0F72">
        <w:rPr>
          <w:rStyle w:val="FootnoteReference"/>
          <w:noProof/>
        </w:rPr>
        <w:footnoteReference w:id="107"/>
      </w:r>
      <w:r w:rsidR="009242C3" w:rsidRPr="006B0F72">
        <w:rPr>
          <w:noProof/>
        </w:rPr>
        <w:t xml:space="preserve"> naj bi strateški načrti SKP prispevali k doseganju dolgoročnih nacionalnih ciljev, kot so določeni v zakonodajnih aktih iz Priloge XIII k navedeni uredbi ali kot izhajajo iz njih, in bili z njimi usklajeni. To uredbo o obnovi narave je treba upoštevati, ko Komisija v skladu s členom 159 Uredbe (EU) 2021/2115 do 31. decembra 2025 pregleda seznam iz Priloge XIII k navedeni uredbi.</w:t>
      </w:r>
    </w:p>
    <w:p w14:paraId="160E9AA7" w14:textId="7FE1159A" w:rsidR="001A6237" w:rsidRPr="006B0F72" w:rsidRDefault="00652A97" w:rsidP="00652A97">
      <w:pPr>
        <w:pStyle w:val="ManualConsidrant"/>
        <w:rPr>
          <w:noProof/>
        </w:rPr>
      </w:pPr>
      <w:r w:rsidRPr="00652A97">
        <w:rPr>
          <w:noProof/>
        </w:rPr>
        <w:t>(74)</w:t>
      </w:r>
      <w:r w:rsidRPr="00652A97">
        <w:rPr>
          <w:noProof/>
        </w:rPr>
        <w:tab/>
      </w:r>
      <w:r w:rsidR="4DFD7637" w:rsidRPr="006B0F72">
        <w:rPr>
          <w:noProof/>
        </w:rPr>
        <w:t>V skladu z zavezo iz osmega okoljskega akcijskega programa do leta 2030</w:t>
      </w:r>
      <w:r w:rsidR="4DFD7637" w:rsidRPr="006B0F72">
        <w:rPr>
          <w:rStyle w:val="FootnoteReference"/>
          <w:noProof/>
        </w:rPr>
        <w:footnoteReference w:id="108"/>
      </w:r>
      <w:r w:rsidR="4DFD7637" w:rsidRPr="006B0F72">
        <w:rPr>
          <w:noProof/>
        </w:rPr>
        <w:t xml:space="preserve"> bi morale države članice postopoma opustiti okolju škodljive subvencije na nacionalni ravni, pri čemer bi morale kar najbolj izkoristiti tržne instrumente in orodja za zeleno proračunsko načrtovanje, vključno s tistimi, ki so potrebni za zagotavljanje socialno pravičnega prehoda, ter podpreti podjetja in druge deležnike pri razvoju standardiziranih praks za računovodenje naravnega kapitala. </w:t>
      </w:r>
    </w:p>
    <w:p w14:paraId="494FA626" w14:textId="56B8855D" w:rsidR="00E87995" w:rsidRPr="006B0F72" w:rsidRDefault="00652A97" w:rsidP="00652A97">
      <w:pPr>
        <w:pStyle w:val="ManualConsidrant"/>
        <w:rPr>
          <w:noProof/>
        </w:rPr>
      </w:pPr>
      <w:r w:rsidRPr="00652A97">
        <w:rPr>
          <w:noProof/>
        </w:rPr>
        <w:t>(75)</w:t>
      </w:r>
      <w:r w:rsidRPr="00652A97">
        <w:rPr>
          <w:noProof/>
        </w:rPr>
        <w:tab/>
      </w:r>
      <w:r w:rsidR="724D6AAD" w:rsidRPr="006B0F72">
        <w:rPr>
          <w:noProof/>
        </w:rPr>
        <w:t>Da bi se zagotovila potrebna prilagoditev te uredbe, bi bilo treba na Komisijo prenesti pooblastilo za sprejemanje aktov v skladu s členom 290 PDEU v zvezi s spremembo prilog I do VII za prilagoditev skupine habitatov, posodobitev informacij o indeksu splošno razširjenih ptic kmetijske krajine ter prilagoditev seznama kazalnikov biotske raznovrstnosti za kmetijske ekosisteme, seznama kazalnikov biotske raznovrstnosti za gozdne ekosisteme in seznama morskih vrst glede na najnovejše znanstvene dokaze in primere ukrepov za obnovo. Zlasti je pomembno, da se Komisija pri svojem pripravljalnem delu ustrezno posvetuje, vključno na ravni strokovnjakov, in da se navedena posvetovanja izvedejo v skladu z načeli, določenimi v Medinstitucionalnem sporazumu z dne 13. aprila 2016 o boljši pripravi zakonodaje</w:t>
      </w:r>
      <w:r w:rsidR="724D6AAD" w:rsidRPr="006B0F72">
        <w:rPr>
          <w:noProof/>
          <w:vertAlign w:val="superscript"/>
        </w:rPr>
        <w:t>52</w:t>
      </w:r>
      <w:r w:rsidR="724D6AAD" w:rsidRPr="006B0F72">
        <w:rPr>
          <w:noProof/>
        </w:rPr>
        <w:t xml:space="preserve">. Za zagotovitev enakopravnega sodelovanja pri pripravi delegiranih aktov Evropski parlament in Svet zlasti prejmeta vse dokumente sočasno s strokovnjaki iz držav članic, njuni strokovnjaki pa se lahko sistematično udeležujejo sestankov strokovnih skupin Komisije, ki zadevajo pripravo delegiranih aktov. </w:t>
      </w:r>
    </w:p>
    <w:p w14:paraId="0FA5E376" w14:textId="46055C73" w:rsidR="00C3592D" w:rsidRPr="006B0F72" w:rsidRDefault="00652A97" w:rsidP="00652A97">
      <w:pPr>
        <w:pStyle w:val="ManualConsidrant"/>
        <w:rPr>
          <w:noProof/>
        </w:rPr>
      </w:pPr>
      <w:r w:rsidRPr="00652A97">
        <w:rPr>
          <w:noProof/>
        </w:rPr>
        <w:t>(76)</w:t>
      </w:r>
      <w:r w:rsidRPr="00652A97">
        <w:rPr>
          <w:noProof/>
        </w:rPr>
        <w:tab/>
      </w:r>
      <w:r w:rsidR="39A78995" w:rsidRPr="006B0F72">
        <w:rPr>
          <w:noProof/>
        </w:rPr>
        <w:t>Za zagotovitev enotnih pogojev za izvajanje te uredbe bi bilo treba na Komisijo prenesti izvedbena pooblastila za določitev metode za spremljanje opraševalcev, določitev metod za spremljanje kazalnikov za kmetijske ekosisteme iz Priloge IV k tej uredbi in kazalnikov za gozdne ekosisteme iz Priloge VI k tej uredbi, razvoj okvira za določanje zadovoljivih ravni opraševalcev, kazalnikov za kmetijske ekosisteme iz Priloge IV k tej uredbi in kazalnikov za gozdne ekosisteme iz Priloge VI k tej uredbi, določitev enotne oblike za nacionalne načrte za obnovo ter določitev oblike, strukture in podrobnih ureditev za elektronsko poročanje podatkov in informacij Komisiji. Navedena pooblastila bi bilo treba izvajati v skladu z Uredbo (EU) št. 182/2011 Evropskega parlamenta in Sveta</w:t>
      </w:r>
      <w:r w:rsidR="39A78995" w:rsidRPr="006B0F72">
        <w:rPr>
          <w:rStyle w:val="FootnoteReference"/>
          <w:noProof/>
        </w:rPr>
        <w:footnoteReference w:id="109"/>
      </w:r>
      <w:r w:rsidR="39A78995" w:rsidRPr="006B0F72">
        <w:rPr>
          <w:noProof/>
        </w:rPr>
        <w:t xml:space="preserve">. </w:t>
      </w:r>
    </w:p>
    <w:p w14:paraId="6A13EFAB" w14:textId="5EBE4FB9" w:rsidR="001C0627" w:rsidRPr="006B0F72" w:rsidRDefault="00652A97" w:rsidP="00652A97">
      <w:pPr>
        <w:pStyle w:val="ManualConsidrant"/>
        <w:rPr>
          <w:noProof/>
        </w:rPr>
      </w:pPr>
      <w:r w:rsidRPr="00652A97">
        <w:rPr>
          <w:noProof/>
        </w:rPr>
        <w:t>(77)</w:t>
      </w:r>
      <w:r w:rsidRPr="00652A97">
        <w:rPr>
          <w:noProof/>
        </w:rPr>
        <w:tab/>
      </w:r>
      <w:r w:rsidR="001C0627" w:rsidRPr="006B0F72">
        <w:rPr>
          <w:noProof/>
        </w:rPr>
        <w:t xml:space="preserve">Komisija bi morala opraviti vrednotenje te uredbe. V skladu z odstavkom 22 Medinstitucionalnega sporazuma o boljši pripravi zakonodaje bi moralo navedeno vrednotenje temeljiti na merilih učinkovitosti, uspešnosti, ustreznosti, skladnosti in dodani vrednosti EU ter zagotoviti podlago za ocene učinka morebitnih nadaljnjih ukrepov. Poleg tega bi morala Komisija oceniti potrebo po določitvi dodatnih ciljev za obnovo na podlagi skupnih metod za ocenjevanje stanja ekosistemov, ki niso zajeti v členih 4 in 5, ob upoštevanju najnovejših znanstvenih dokazov. </w:t>
      </w:r>
    </w:p>
    <w:p w14:paraId="19DE701B" w14:textId="6813E829" w:rsidR="0073271D" w:rsidRPr="006B0F72" w:rsidRDefault="00652A97" w:rsidP="00652A97">
      <w:pPr>
        <w:pStyle w:val="ManualConsidrant"/>
        <w:rPr>
          <w:noProof/>
        </w:rPr>
      </w:pPr>
      <w:r w:rsidRPr="00652A97">
        <w:rPr>
          <w:noProof/>
        </w:rPr>
        <w:t>(78)</w:t>
      </w:r>
      <w:r w:rsidRPr="00652A97">
        <w:rPr>
          <w:noProof/>
        </w:rPr>
        <w:tab/>
      </w:r>
      <w:r w:rsidR="16491933" w:rsidRPr="006B0F72">
        <w:rPr>
          <w:noProof/>
        </w:rPr>
        <w:t>Ker države članice ne morejo zadovoljivo doseči ciljev te uredbe, temveč se zaradi obsega in učinkov lažje dosežejo na ravni Unije, lahko Unija sprejme ukrepe v skladu z načelom subsidiarnosti iz člena 5 Pogodbe o Evropski uniji. V skladu z načelom sorazmernosti iz navedenega člena ta uredba ne presega tistega, kar je potrebno za dosego navedenih ciljev –</w:t>
      </w:r>
    </w:p>
    <w:p w14:paraId="057F6E64" w14:textId="77777777" w:rsidR="00186DC5" w:rsidRPr="006B0F72" w:rsidRDefault="00186DC5" w:rsidP="00C87CD6">
      <w:pPr>
        <w:rPr>
          <w:noProof/>
        </w:rPr>
      </w:pPr>
    </w:p>
    <w:p w14:paraId="04BA96BF" w14:textId="77777777" w:rsidR="00EC044F" w:rsidRPr="006B0F72" w:rsidRDefault="00EC044F" w:rsidP="00EC044F">
      <w:pPr>
        <w:pStyle w:val="Formuledadoption"/>
        <w:rPr>
          <w:noProof/>
        </w:rPr>
      </w:pPr>
      <w:r w:rsidRPr="006B0F72">
        <w:rPr>
          <w:noProof/>
        </w:rPr>
        <w:t>SPREJELA NASLEDNJO UREDBO:</w:t>
      </w:r>
    </w:p>
    <w:p w14:paraId="0535DB82" w14:textId="77777777" w:rsidR="00AC672F" w:rsidRPr="006B0F72" w:rsidRDefault="00AC672F" w:rsidP="00E8158B">
      <w:pPr>
        <w:pStyle w:val="Titrearticle"/>
        <w:rPr>
          <w:noProof/>
        </w:rPr>
      </w:pPr>
    </w:p>
    <w:p w14:paraId="7E32AD97" w14:textId="77777777" w:rsidR="00281795" w:rsidRPr="006B0F72" w:rsidRDefault="00AC672F" w:rsidP="00E8158B">
      <w:pPr>
        <w:pStyle w:val="ChapterTitle"/>
        <w:rPr>
          <w:noProof/>
        </w:rPr>
      </w:pPr>
      <w:r w:rsidRPr="006B0F72">
        <w:rPr>
          <w:noProof/>
        </w:rPr>
        <w:t>POGLAVJE I</w:t>
      </w:r>
    </w:p>
    <w:p w14:paraId="793A6FDD" w14:textId="77777777" w:rsidR="00281795" w:rsidRPr="006B0F72" w:rsidRDefault="0091367E" w:rsidP="00E8158B">
      <w:pPr>
        <w:pStyle w:val="ChapterTitle"/>
        <w:rPr>
          <w:noProof/>
        </w:rPr>
      </w:pPr>
      <w:r w:rsidRPr="006B0F72">
        <w:rPr>
          <w:noProof/>
        </w:rPr>
        <w:t>SPLOŠNE DOLOČBE</w:t>
      </w:r>
    </w:p>
    <w:p w14:paraId="51E274C9" w14:textId="77777777" w:rsidR="00AE0130" w:rsidRPr="006B0F72" w:rsidRDefault="00EC044F" w:rsidP="00817E6D">
      <w:pPr>
        <w:pStyle w:val="Titrearticle"/>
        <w:rPr>
          <w:noProof/>
        </w:rPr>
      </w:pPr>
      <w:r w:rsidRPr="006B0F72">
        <w:rPr>
          <w:noProof/>
        </w:rPr>
        <w:t xml:space="preserve">Člen 1 </w:t>
      </w:r>
      <w:r w:rsidRPr="006B0F72">
        <w:rPr>
          <w:noProof/>
        </w:rPr>
        <w:br/>
      </w:r>
      <w:r w:rsidRPr="006B0F72">
        <w:rPr>
          <w:b/>
          <w:i w:val="0"/>
          <w:noProof/>
        </w:rPr>
        <w:t>Vsebina</w:t>
      </w:r>
    </w:p>
    <w:p w14:paraId="77A71477" w14:textId="6FB4043F" w:rsidR="004A4938" w:rsidRPr="006B0F72" w:rsidRDefault="00652A97" w:rsidP="00652A97">
      <w:pPr>
        <w:pStyle w:val="ManualNumPar1"/>
        <w:rPr>
          <w:noProof/>
        </w:rPr>
      </w:pPr>
      <w:r w:rsidRPr="00652A97">
        <w:rPr>
          <w:noProof/>
        </w:rPr>
        <w:t>1.</w:t>
      </w:r>
      <w:r w:rsidRPr="00652A97">
        <w:rPr>
          <w:noProof/>
        </w:rPr>
        <w:tab/>
      </w:r>
      <w:r w:rsidR="003B7B89" w:rsidRPr="006B0F72">
        <w:rPr>
          <w:noProof/>
        </w:rPr>
        <w:t xml:space="preserve">Ta uredba določa pravila, ki prispevajo k: </w:t>
      </w:r>
    </w:p>
    <w:p w14:paraId="5FC90414" w14:textId="3F746784" w:rsidR="004A4938" w:rsidRPr="006B0F72" w:rsidRDefault="00652A97" w:rsidP="00652A97">
      <w:pPr>
        <w:pStyle w:val="Point1"/>
        <w:rPr>
          <w:noProof/>
        </w:rPr>
      </w:pPr>
      <w:r w:rsidRPr="00652A97">
        <w:rPr>
          <w:noProof/>
        </w:rPr>
        <w:t>(a)</w:t>
      </w:r>
      <w:r w:rsidRPr="00652A97">
        <w:rPr>
          <w:noProof/>
        </w:rPr>
        <w:tab/>
      </w:r>
      <w:r w:rsidR="575A1B00" w:rsidRPr="006B0F72">
        <w:rPr>
          <w:noProof/>
        </w:rPr>
        <w:t>nenehni, dolgoročni in trajni obnovi biotsko raznovrstne in odporne narave na kopenskih in morskih območjih Unije z obnovo ekosistemov;</w:t>
      </w:r>
    </w:p>
    <w:p w14:paraId="3DAE4E01" w14:textId="28A43AE7" w:rsidR="004A4938" w:rsidRPr="006B0F72" w:rsidRDefault="00652A97" w:rsidP="00652A97">
      <w:pPr>
        <w:pStyle w:val="Point1"/>
        <w:rPr>
          <w:noProof/>
        </w:rPr>
      </w:pPr>
      <w:r w:rsidRPr="00652A97">
        <w:rPr>
          <w:noProof/>
        </w:rPr>
        <w:t>(b)</w:t>
      </w:r>
      <w:r w:rsidRPr="00652A97">
        <w:rPr>
          <w:noProof/>
        </w:rPr>
        <w:tab/>
      </w:r>
      <w:r w:rsidR="704A463B" w:rsidRPr="006B0F72">
        <w:rPr>
          <w:noProof/>
        </w:rPr>
        <w:t xml:space="preserve">doseganju splošnih ciljev Unije na področju blažitve podnebnih sprememb in prilagajanja podnebnim spremembam; </w:t>
      </w:r>
    </w:p>
    <w:p w14:paraId="62F354ED" w14:textId="62B72F73" w:rsidR="007C65E2" w:rsidRPr="006B0F72" w:rsidRDefault="00652A97" w:rsidP="00652A97">
      <w:pPr>
        <w:pStyle w:val="Point1"/>
        <w:rPr>
          <w:noProof/>
        </w:rPr>
      </w:pPr>
      <w:r w:rsidRPr="00652A97">
        <w:rPr>
          <w:noProof/>
        </w:rPr>
        <w:t>(c)</w:t>
      </w:r>
      <w:r w:rsidRPr="00652A97">
        <w:rPr>
          <w:noProof/>
        </w:rPr>
        <w:tab/>
      </w:r>
      <w:r w:rsidR="575A1B00" w:rsidRPr="006B0F72">
        <w:rPr>
          <w:noProof/>
        </w:rPr>
        <w:t xml:space="preserve">izpolnjevanju mednarodnih zavez Unije. </w:t>
      </w:r>
    </w:p>
    <w:p w14:paraId="2C0DFCC3" w14:textId="70DCD3D3" w:rsidR="003B7B89" w:rsidRPr="006B0F72" w:rsidRDefault="00652A97" w:rsidP="00652A97">
      <w:pPr>
        <w:pStyle w:val="ManualNumPar1"/>
        <w:rPr>
          <w:noProof/>
        </w:rPr>
      </w:pPr>
      <w:r w:rsidRPr="00652A97">
        <w:rPr>
          <w:noProof/>
        </w:rPr>
        <w:t>2.</w:t>
      </w:r>
      <w:r w:rsidRPr="00652A97">
        <w:rPr>
          <w:noProof/>
        </w:rPr>
        <w:tab/>
      </w:r>
      <w:r w:rsidR="007C65E2" w:rsidRPr="006B0F72">
        <w:rPr>
          <w:noProof/>
        </w:rPr>
        <w:t xml:space="preserve">S to uredbo se vzpostavlja okvir, v katerem države članice nemudoma uvedejo učinkovite ukrepe za obnovo, vezane na posamezno območje, ki bodo do leta 2030 skupaj zajeli najmanj 20 % kopenskih in morskih območij Unije, do leta 2050 pa vse ekosisteme, ki jih je treba obnoviti. </w:t>
      </w:r>
    </w:p>
    <w:p w14:paraId="2FA69790" w14:textId="77777777" w:rsidR="00150F93" w:rsidRPr="006B0F72" w:rsidRDefault="00150F93" w:rsidP="00E81D73">
      <w:pPr>
        <w:rPr>
          <w:noProof/>
        </w:rPr>
      </w:pPr>
    </w:p>
    <w:p w14:paraId="2511372C" w14:textId="77777777" w:rsidR="001F584C" w:rsidRPr="006B0F72" w:rsidRDefault="00DC2A5E" w:rsidP="00817E6D">
      <w:pPr>
        <w:pStyle w:val="Titrearticle"/>
        <w:rPr>
          <w:noProof/>
        </w:rPr>
      </w:pPr>
      <w:r w:rsidRPr="006B0F72">
        <w:rPr>
          <w:noProof/>
        </w:rPr>
        <w:t xml:space="preserve">Člen 2 </w:t>
      </w:r>
      <w:r w:rsidRPr="006B0F72">
        <w:rPr>
          <w:noProof/>
        </w:rPr>
        <w:br/>
      </w:r>
      <w:r w:rsidRPr="006B0F72">
        <w:rPr>
          <w:b/>
          <w:i w:val="0"/>
          <w:noProof/>
        </w:rPr>
        <w:t>Geografsko območje</w:t>
      </w:r>
    </w:p>
    <w:p w14:paraId="207E4DE1" w14:textId="77777777" w:rsidR="001F584C" w:rsidRPr="006B0F72" w:rsidRDefault="117F252E" w:rsidP="00093F47">
      <w:pPr>
        <w:rPr>
          <w:noProof/>
        </w:rPr>
      </w:pPr>
      <w:r w:rsidRPr="006B0F72">
        <w:rPr>
          <w:noProof/>
        </w:rPr>
        <w:t>Ta uredba se uporablja za ekosisteme iz členov 4 do 10:</w:t>
      </w:r>
    </w:p>
    <w:p w14:paraId="287E81BD" w14:textId="5015D6C3" w:rsidR="001F584C" w:rsidRPr="006B0F72" w:rsidRDefault="00652A97" w:rsidP="00652A97">
      <w:pPr>
        <w:pStyle w:val="Point1"/>
        <w:rPr>
          <w:noProof/>
        </w:rPr>
      </w:pPr>
      <w:r w:rsidRPr="00652A97">
        <w:rPr>
          <w:noProof/>
        </w:rPr>
        <w:t>(a)</w:t>
      </w:r>
      <w:r w:rsidRPr="00652A97">
        <w:rPr>
          <w:noProof/>
        </w:rPr>
        <w:tab/>
      </w:r>
      <w:r w:rsidR="001F584C" w:rsidRPr="006B0F72">
        <w:rPr>
          <w:noProof/>
        </w:rPr>
        <w:t>na ozemlju držav članic;</w:t>
      </w:r>
    </w:p>
    <w:p w14:paraId="1843F0B3" w14:textId="6DF0F5E2" w:rsidR="008270D0" w:rsidRPr="006B0F72" w:rsidRDefault="00652A97" w:rsidP="00652A97">
      <w:pPr>
        <w:pStyle w:val="Point1"/>
        <w:rPr>
          <w:noProof/>
        </w:rPr>
      </w:pPr>
      <w:r w:rsidRPr="00652A97">
        <w:rPr>
          <w:noProof/>
        </w:rPr>
        <w:t>(b)</w:t>
      </w:r>
      <w:r w:rsidRPr="00652A97">
        <w:rPr>
          <w:noProof/>
        </w:rPr>
        <w:tab/>
      </w:r>
      <w:r w:rsidR="007A4336" w:rsidRPr="006B0F72">
        <w:rPr>
          <w:noProof/>
        </w:rPr>
        <w:t>v vodah, na morskem dnu in v podtalju od temeljne črte proti odprtemu morju, od katere se meri velikost teritorialnih voda, ki sega do najbolj oddaljenega območja, na katerem država članica izvaja suverene pravice, v skladu s Konvencijo Združenih narodov o pomorskem mednarodnem pravu iz leta 1982.</w:t>
      </w:r>
    </w:p>
    <w:p w14:paraId="0175CFFC" w14:textId="77777777" w:rsidR="001F584C" w:rsidRPr="006B0F72" w:rsidRDefault="001F584C" w:rsidP="00F86300">
      <w:pPr>
        <w:rPr>
          <w:noProof/>
        </w:rPr>
      </w:pPr>
      <w:r w:rsidRPr="006B0F72">
        <w:rPr>
          <w:noProof/>
        </w:rPr>
        <w:t xml:space="preserve"> </w:t>
      </w:r>
    </w:p>
    <w:p w14:paraId="1FB89891" w14:textId="77777777" w:rsidR="00CE704A" w:rsidRPr="006B0F72" w:rsidRDefault="00CE704A" w:rsidP="00A3635E">
      <w:pPr>
        <w:rPr>
          <w:noProof/>
        </w:rPr>
      </w:pPr>
    </w:p>
    <w:p w14:paraId="07C1B7FD" w14:textId="77777777" w:rsidR="006A40E2" w:rsidRPr="006B0F72" w:rsidRDefault="006A40E2" w:rsidP="00817E6D">
      <w:pPr>
        <w:pStyle w:val="Titrearticle"/>
        <w:rPr>
          <w:noProof/>
        </w:rPr>
      </w:pPr>
      <w:r w:rsidRPr="006B0F72">
        <w:rPr>
          <w:noProof/>
        </w:rPr>
        <w:t xml:space="preserve">Člen 3 </w:t>
      </w:r>
      <w:r w:rsidRPr="006B0F72">
        <w:rPr>
          <w:noProof/>
        </w:rPr>
        <w:br/>
      </w:r>
      <w:r w:rsidRPr="006B0F72">
        <w:rPr>
          <w:b/>
          <w:i w:val="0"/>
          <w:noProof/>
        </w:rPr>
        <w:t>Opredelitve pojmov</w:t>
      </w:r>
      <w:r w:rsidRPr="006B0F72">
        <w:rPr>
          <w:noProof/>
        </w:rPr>
        <w:t xml:space="preserve"> </w:t>
      </w:r>
    </w:p>
    <w:p w14:paraId="2DBC2490" w14:textId="77777777" w:rsidR="00697E32" w:rsidRPr="006B0F72" w:rsidRDefault="00697E32" w:rsidP="00B323CD">
      <w:pPr>
        <w:rPr>
          <w:noProof/>
        </w:rPr>
      </w:pPr>
      <w:r w:rsidRPr="006B0F72">
        <w:rPr>
          <w:noProof/>
        </w:rPr>
        <w:t xml:space="preserve">Uporabljajo se naslednje opredelitve pojmov: </w:t>
      </w:r>
    </w:p>
    <w:p w14:paraId="25D37AA0" w14:textId="78158DE1" w:rsidR="00371418" w:rsidRPr="006B0F72" w:rsidRDefault="00652A97" w:rsidP="00652A97">
      <w:pPr>
        <w:pStyle w:val="Point0"/>
        <w:rPr>
          <w:noProof/>
        </w:rPr>
      </w:pPr>
      <w:r w:rsidRPr="00652A97">
        <w:rPr>
          <w:noProof/>
        </w:rPr>
        <w:t>(1)</w:t>
      </w:r>
      <w:r w:rsidRPr="00652A97">
        <w:rPr>
          <w:noProof/>
        </w:rPr>
        <w:tab/>
      </w:r>
      <w:r w:rsidR="00697E32" w:rsidRPr="006B0F72">
        <w:rPr>
          <w:noProof/>
        </w:rPr>
        <w:t>„ekosistem“ pomeni dinamično celoto rastlinskih in živalskih združb in združb mikroorganizmov ter njihovega neživega okolja, ki vzajemno delujejo kot funkcionalna enota, ter vključuje habitatne tipe, habitate vrst in populacije vrst;</w:t>
      </w:r>
    </w:p>
    <w:p w14:paraId="3D1400D6" w14:textId="651880E4" w:rsidR="00754721" w:rsidRPr="006B0F72" w:rsidRDefault="00652A97" w:rsidP="00652A97">
      <w:pPr>
        <w:pStyle w:val="Point0"/>
        <w:rPr>
          <w:noProof/>
        </w:rPr>
      </w:pPr>
      <w:r w:rsidRPr="00652A97">
        <w:rPr>
          <w:noProof/>
        </w:rPr>
        <w:t>(2)</w:t>
      </w:r>
      <w:r w:rsidRPr="00652A97">
        <w:rPr>
          <w:noProof/>
        </w:rPr>
        <w:tab/>
      </w:r>
      <w:r w:rsidR="00BE0B3D" w:rsidRPr="006B0F72">
        <w:rPr>
          <w:noProof/>
        </w:rPr>
        <w:t xml:space="preserve">„habitat vrste“ pomeni okolje, ki ga opredeljujejo posebni abiotski in biotski dejavniki ter v katerem živi vrsta v katerem koli stadiju svojega razvoja; </w:t>
      </w:r>
    </w:p>
    <w:p w14:paraId="4370F67C" w14:textId="53CC7104" w:rsidR="001A6237" w:rsidRPr="006B0F72" w:rsidRDefault="00652A97" w:rsidP="00652A97">
      <w:pPr>
        <w:pStyle w:val="Point0"/>
        <w:rPr>
          <w:noProof/>
        </w:rPr>
      </w:pPr>
      <w:r w:rsidRPr="00652A97">
        <w:rPr>
          <w:noProof/>
        </w:rPr>
        <w:t>(3)</w:t>
      </w:r>
      <w:r w:rsidRPr="00652A97">
        <w:rPr>
          <w:noProof/>
        </w:rPr>
        <w:tab/>
      </w:r>
      <w:r w:rsidR="547992D1" w:rsidRPr="006B0F72">
        <w:rPr>
          <w:noProof/>
        </w:rPr>
        <w:t>„obnova“ pomeni proces aktivne ali pasivne pomoči pri obnovi ekosistema v smeri dobrega stanja ali v dobro stanje, habitatnega tipa v najboljše možno stanje in na njegovo ugodno referenčno območje, habitata vrste na zadostno kakovost in količino ali populacij vrst na zadovoljivo raven, kot sredstvo za ohranjanje ali povečanje biotske raznovrstnosti in odpornosti ekosistemov;</w:t>
      </w:r>
    </w:p>
    <w:p w14:paraId="5FACC205" w14:textId="3C95A44A" w:rsidR="007113FC" w:rsidRPr="006B0F72" w:rsidRDefault="00652A97" w:rsidP="00652A97">
      <w:pPr>
        <w:pStyle w:val="Point0"/>
        <w:rPr>
          <w:noProof/>
        </w:rPr>
      </w:pPr>
      <w:r w:rsidRPr="00652A97">
        <w:rPr>
          <w:noProof/>
        </w:rPr>
        <w:t>(4)</w:t>
      </w:r>
      <w:r w:rsidRPr="00652A97">
        <w:rPr>
          <w:noProof/>
        </w:rPr>
        <w:tab/>
      </w:r>
      <w:r w:rsidR="50DED17B" w:rsidRPr="006B0F72">
        <w:rPr>
          <w:noProof/>
        </w:rPr>
        <w:t>„dobro stanje“ pomeni stanje, v katerem ključne značilnosti ekosistema, in sicer njegovo fizično, kemijsko, sestavno, strukturno in funkcionalno stanje ter njegove značilnosti krajine in morske pokrajine, odražajo visoko raven ekološke celovitosti, stabilnosti in odpornosti, potrebne za zagotovitev njegovega dolgoročnega vzdrževanja;</w:t>
      </w:r>
    </w:p>
    <w:p w14:paraId="019C24E5" w14:textId="3F87174C" w:rsidR="0010563E" w:rsidRPr="006B0F72" w:rsidRDefault="00652A97" w:rsidP="00652A97">
      <w:pPr>
        <w:pStyle w:val="Point0"/>
        <w:rPr>
          <w:noProof/>
        </w:rPr>
      </w:pPr>
      <w:r w:rsidRPr="00652A97">
        <w:rPr>
          <w:noProof/>
        </w:rPr>
        <w:t>(5)</w:t>
      </w:r>
      <w:r w:rsidRPr="00652A97">
        <w:rPr>
          <w:noProof/>
        </w:rPr>
        <w:tab/>
      </w:r>
      <w:r w:rsidR="1978C372" w:rsidRPr="006B0F72">
        <w:rPr>
          <w:noProof/>
        </w:rPr>
        <w:t>„ugodno referenčno območje“ pomeni celotno območje habitatnega tipa v določeni biogeografski ali morski regiji na nacionalni ravni, ki se šteje za minimalno potrebno za zagotovitev dolgoročne sposobnosti preživetja habitatnega tipa in njegovih vrst, ter vseh njegovih pomembnih ekoloških sprememb v njegovem naravnem območju razširjenosti, ki ga sestavljajo območje habitatnega tipa in, če navedeno območje ni zadostno, območje, potrebno za ponovno vzpostavitev habitatnega tipa;</w:t>
      </w:r>
    </w:p>
    <w:p w14:paraId="5E4007F5" w14:textId="6C742A49" w:rsidR="00F06C4C" w:rsidRPr="006B0F72" w:rsidRDefault="00652A97" w:rsidP="00652A97">
      <w:pPr>
        <w:pStyle w:val="Point0"/>
        <w:rPr>
          <w:noProof/>
        </w:rPr>
      </w:pPr>
      <w:r w:rsidRPr="00652A97">
        <w:rPr>
          <w:noProof/>
        </w:rPr>
        <w:t>(6)</w:t>
      </w:r>
      <w:r w:rsidRPr="00652A97">
        <w:rPr>
          <w:noProof/>
        </w:rPr>
        <w:tab/>
      </w:r>
      <w:r w:rsidR="00F06C4C" w:rsidRPr="006B0F72">
        <w:rPr>
          <w:noProof/>
        </w:rPr>
        <w:t xml:space="preserve">„zadostna kakovost habitata“ pomeni kakovost habitata vrste, ki omogoča izpolnjevanje ekoloških zahtev vrste v katerem koli stadiju njenega razvoja, da se sama dolgoročno ohranja kot preživetja sposobna sestavina svojega habitata v njegovem naravnem območju razširjenosti; </w:t>
      </w:r>
    </w:p>
    <w:p w14:paraId="597E26A2" w14:textId="494B6525" w:rsidR="00F06C4C" w:rsidRPr="006B0F72" w:rsidRDefault="00652A97" w:rsidP="00652A97">
      <w:pPr>
        <w:pStyle w:val="Point0"/>
        <w:rPr>
          <w:noProof/>
        </w:rPr>
      </w:pPr>
      <w:r w:rsidRPr="00652A97">
        <w:rPr>
          <w:noProof/>
        </w:rPr>
        <w:t>(7)</w:t>
      </w:r>
      <w:r w:rsidRPr="00652A97">
        <w:rPr>
          <w:noProof/>
        </w:rPr>
        <w:tab/>
      </w:r>
      <w:r w:rsidR="00F06C4C" w:rsidRPr="006B0F72">
        <w:rPr>
          <w:noProof/>
        </w:rPr>
        <w:t xml:space="preserve">„zadostna količina habitata“ pomeni količino habitata vrste, ki omogoča izpolnjevanje ekoloških zahtev vrste v katerem koli stadiju njenega razvoja, da se sama dolgoročno ohranja kot preživetja sposobna sestavina svojega habitata v njegovem naravnem območju razširjenosti; </w:t>
      </w:r>
    </w:p>
    <w:p w14:paraId="579CF7FB" w14:textId="1F4586A7" w:rsidR="00E16AA3" w:rsidRPr="006B0F72" w:rsidRDefault="00652A97" w:rsidP="00652A97">
      <w:pPr>
        <w:pStyle w:val="Point0"/>
        <w:rPr>
          <w:noProof/>
        </w:rPr>
      </w:pPr>
      <w:r w:rsidRPr="00652A97">
        <w:rPr>
          <w:noProof/>
        </w:rPr>
        <w:t>(8)</w:t>
      </w:r>
      <w:r w:rsidRPr="00652A97">
        <w:rPr>
          <w:noProof/>
        </w:rPr>
        <w:tab/>
      </w:r>
      <w:r w:rsidR="000F3933" w:rsidRPr="006B0F72">
        <w:rPr>
          <w:noProof/>
        </w:rPr>
        <w:t xml:space="preserve"> „opraševalec“ pomeni prosto živečo žival, ki prenaša cvetni prah iz prašnice rastline do brazde rastline, s čimer omogoča oploditev in proizvodnjo semen;</w:t>
      </w:r>
    </w:p>
    <w:p w14:paraId="3BE23DF0" w14:textId="70A90584" w:rsidR="00D77A41" w:rsidRPr="006B0F72" w:rsidRDefault="00652A97" w:rsidP="00652A97">
      <w:pPr>
        <w:pStyle w:val="Point0"/>
        <w:rPr>
          <w:noProof/>
          <w:color w:val="000000" w:themeColor="text1"/>
        </w:rPr>
      </w:pPr>
      <w:r w:rsidRPr="00652A97">
        <w:rPr>
          <w:noProof/>
        </w:rPr>
        <w:t>(9)</w:t>
      </w:r>
      <w:r w:rsidRPr="00652A97">
        <w:rPr>
          <w:noProof/>
        </w:rPr>
        <w:tab/>
      </w:r>
      <w:r w:rsidR="547992D1" w:rsidRPr="006B0F72">
        <w:rPr>
          <w:noProof/>
        </w:rPr>
        <w:t>„upad opraševalskih populacij“ pomeni zmanjševanje številčnosti ali raznovrstnosti opraševalcev ali obojega;</w:t>
      </w:r>
      <w:r w:rsidR="547992D1" w:rsidRPr="006B0F72">
        <w:rPr>
          <w:noProof/>
          <w:color w:val="000000" w:themeColor="text1"/>
        </w:rPr>
        <w:t xml:space="preserve">  </w:t>
      </w:r>
    </w:p>
    <w:p w14:paraId="716EED49" w14:textId="197D22B4" w:rsidR="000869EC" w:rsidRPr="006B0F72" w:rsidRDefault="00652A97" w:rsidP="00652A97">
      <w:pPr>
        <w:pStyle w:val="Point0"/>
        <w:rPr>
          <w:noProof/>
        </w:rPr>
      </w:pPr>
      <w:r w:rsidRPr="00652A97">
        <w:rPr>
          <w:noProof/>
        </w:rPr>
        <w:t>(10)</w:t>
      </w:r>
      <w:r w:rsidRPr="00652A97">
        <w:rPr>
          <w:noProof/>
        </w:rPr>
        <w:tab/>
      </w:r>
      <w:r w:rsidR="5951C197" w:rsidRPr="006B0F72">
        <w:rPr>
          <w:noProof/>
        </w:rPr>
        <w:t>„lokalna upravna enota“ pomeni upravno enoto države članice na nizki ravni, ki je nižja od province, regije ali države, ustanovljeno v skladu s členom 4 Uredbe (ES) št. 1059/2003 Evropskega parlamenta in Sveta</w:t>
      </w:r>
      <w:r w:rsidR="5951C197" w:rsidRPr="008F2B22">
        <w:rPr>
          <w:rStyle w:val="FootnoteReference"/>
          <w:b/>
          <w:noProof/>
          <w:szCs w:val="24"/>
        </w:rPr>
        <w:footnoteReference w:id="110"/>
      </w:r>
      <w:r w:rsidR="5951C197" w:rsidRPr="006B0F72">
        <w:rPr>
          <w:noProof/>
        </w:rPr>
        <w:t>;</w:t>
      </w:r>
      <w:r w:rsidR="5951C197" w:rsidRPr="006B0F72">
        <w:rPr>
          <w:noProof/>
          <w:color w:val="000000" w:themeColor="text1"/>
        </w:rPr>
        <w:t xml:space="preserve"> </w:t>
      </w:r>
    </w:p>
    <w:p w14:paraId="47920633" w14:textId="4DA04B7F" w:rsidR="001668B6" w:rsidRPr="006B0F72" w:rsidRDefault="00652A97" w:rsidP="00652A97">
      <w:pPr>
        <w:pStyle w:val="Point0"/>
        <w:rPr>
          <w:noProof/>
        </w:rPr>
      </w:pPr>
      <w:r w:rsidRPr="00652A97">
        <w:rPr>
          <w:noProof/>
        </w:rPr>
        <w:t>(11)</w:t>
      </w:r>
      <w:r w:rsidRPr="00652A97">
        <w:rPr>
          <w:noProof/>
        </w:rPr>
        <w:tab/>
      </w:r>
      <w:r w:rsidR="001668B6" w:rsidRPr="006B0F72">
        <w:rPr>
          <w:noProof/>
        </w:rPr>
        <w:t xml:space="preserve">„mesta“ pomenijo lokalne upravne enote, v katerih vsaj 50 % prebivalstva živi v enem ali več urbanih središčih, kar se meri z uporabo </w:t>
      </w:r>
      <w:r w:rsidR="001668B6" w:rsidRPr="006B0F72">
        <w:rPr>
          <w:noProof/>
          <w:color w:val="000000"/>
          <w:shd w:val="clear" w:color="auto" w:fill="FFFFFF"/>
        </w:rPr>
        <w:t xml:space="preserve">stopnje urbanizacije, določene v skladu s členom 4b.3, točka (a), </w:t>
      </w:r>
      <w:r w:rsidR="001668B6" w:rsidRPr="006B0F72">
        <w:rPr>
          <w:noProof/>
        </w:rPr>
        <w:t>Uredbe (ES) št. 1059/2003;</w:t>
      </w:r>
    </w:p>
    <w:p w14:paraId="4804B5F5" w14:textId="2E820902" w:rsidR="00235ED7" w:rsidRPr="006B0F72" w:rsidRDefault="00652A97" w:rsidP="00652A97">
      <w:pPr>
        <w:pStyle w:val="Point0"/>
        <w:rPr>
          <w:noProof/>
        </w:rPr>
      </w:pPr>
      <w:r w:rsidRPr="00652A97">
        <w:rPr>
          <w:noProof/>
        </w:rPr>
        <w:t>(12)</w:t>
      </w:r>
      <w:r w:rsidRPr="00652A97">
        <w:rPr>
          <w:noProof/>
        </w:rPr>
        <w:tab/>
      </w:r>
      <w:r w:rsidR="001668B6" w:rsidRPr="006B0F72">
        <w:rPr>
          <w:noProof/>
        </w:rPr>
        <w:t xml:space="preserve">„manjša mesta in predmestja“ pomenijo lokalne upravne note, v katerih manj kot 50 % prebivalstva živi v urbanem središču, vendar vsaj 50 % prebivalstva živi v urbanem grozdu, kar se meri z uporabo </w:t>
      </w:r>
      <w:r w:rsidR="001668B6" w:rsidRPr="006B0F72">
        <w:rPr>
          <w:noProof/>
          <w:color w:val="000000"/>
          <w:shd w:val="clear" w:color="auto" w:fill="FFFFFF"/>
        </w:rPr>
        <w:t xml:space="preserve">stopnje urbanizacije, določene v skladu s členom 4b.3, točka (a), </w:t>
      </w:r>
      <w:r w:rsidR="001668B6" w:rsidRPr="006B0F72">
        <w:rPr>
          <w:noProof/>
        </w:rPr>
        <w:t>Uredbe (ES) št. 1059/2003</w:t>
      </w:r>
      <w:r w:rsidR="001668B6" w:rsidRPr="006B0F72">
        <w:rPr>
          <w:rStyle w:val="normaltextrun"/>
          <w:noProof/>
          <w:color w:val="000000"/>
          <w:bdr w:val="none" w:sz="0" w:space="0" w:color="auto" w:frame="1"/>
        </w:rPr>
        <w:t>;</w:t>
      </w:r>
    </w:p>
    <w:p w14:paraId="77C55343" w14:textId="5D66095C" w:rsidR="002A6DBF" w:rsidRPr="006B0F72" w:rsidRDefault="00652A97" w:rsidP="00652A97">
      <w:pPr>
        <w:pStyle w:val="Point0"/>
        <w:rPr>
          <w:noProof/>
        </w:rPr>
      </w:pPr>
      <w:r w:rsidRPr="00652A97">
        <w:rPr>
          <w:noProof/>
        </w:rPr>
        <w:t>(13)</w:t>
      </w:r>
      <w:r w:rsidRPr="00652A97">
        <w:rPr>
          <w:noProof/>
        </w:rPr>
        <w:tab/>
      </w:r>
      <w:r w:rsidR="000D71A6" w:rsidRPr="006B0F72">
        <w:rPr>
          <w:noProof/>
        </w:rPr>
        <w:t>„urbani zeleni prostor“ pomeni vsa zelena urbana območja; širokolistnate gozdove; iglaste gozdove; mešane gozdove; naravna travišča; barja in resave; prehodne gozdnate pokrajine – grmičevja in redko porasla območja –, kot jih najdemo v mestih, manjših mestih ali predmestjih, izračunane na podlagi podatkov, ki jih zagotovi Copernicusova storitev za spremljanje kopnega, vzpostavljena z Uredbo (EU) 2021/696 Evropskega parlamenta in Sveta</w:t>
      </w:r>
      <w:r w:rsidR="000D71A6" w:rsidRPr="006B0F72">
        <w:rPr>
          <w:rStyle w:val="FootnoteReference"/>
          <w:noProof/>
        </w:rPr>
        <w:footnoteReference w:id="111"/>
      </w:r>
      <w:r w:rsidR="000D71A6" w:rsidRPr="006B0F72">
        <w:rPr>
          <w:noProof/>
        </w:rPr>
        <w:t>;</w:t>
      </w:r>
    </w:p>
    <w:p w14:paraId="68183AAE" w14:textId="5FB928FB" w:rsidR="001668B6" w:rsidRPr="006B0F72" w:rsidRDefault="00652A97" w:rsidP="00652A97">
      <w:pPr>
        <w:pStyle w:val="Point0"/>
        <w:rPr>
          <w:noProof/>
        </w:rPr>
      </w:pPr>
      <w:r w:rsidRPr="00652A97">
        <w:rPr>
          <w:noProof/>
        </w:rPr>
        <w:t>(14)</w:t>
      </w:r>
      <w:r w:rsidRPr="00652A97">
        <w:rPr>
          <w:noProof/>
        </w:rPr>
        <w:tab/>
      </w:r>
      <w:r w:rsidR="000D71A6" w:rsidRPr="006B0F72">
        <w:rPr>
          <w:noProof/>
        </w:rPr>
        <w:t xml:space="preserve">„urbana drevesna zastornost“ pomeni celotno območje zastornosti z drevesi v mestih, manjših mestih in predmestjih, izračunano na podlagi podatkov o gostoti drevesnih krošenj, ki jih zagotovi Copernicusova storitev za spremljanje kopnega, ustanovljena z Uredbo (EU) 2021/696 Evropskega parlamenta in Sveta. </w:t>
      </w:r>
    </w:p>
    <w:p w14:paraId="04902378" w14:textId="7E2B5718" w:rsidR="00E51EFA" w:rsidRPr="006B0F72" w:rsidRDefault="00652A97" w:rsidP="00652A97">
      <w:pPr>
        <w:pStyle w:val="Point0"/>
        <w:rPr>
          <w:noProof/>
        </w:rPr>
      </w:pPr>
      <w:r w:rsidRPr="00652A97">
        <w:rPr>
          <w:noProof/>
        </w:rPr>
        <w:t>(15)</w:t>
      </w:r>
      <w:r w:rsidRPr="00652A97">
        <w:rPr>
          <w:noProof/>
        </w:rPr>
        <w:tab/>
      </w:r>
      <w:r w:rsidR="00E51EFA" w:rsidRPr="006B0F72">
        <w:rPr>
          <w:noProof/>
        </w:rPr>
        <w:t>„namenska območja za obnovljive vire energije“ pomenijo namenska območja za obnovljive vire energije, kot so opredeljena v členu 2, točka 9(a), Direktive 2018/2001/EU Evropskega parlamenta in Sveta</w:t>
      </w:r>
      <w:r w:rsidR="00E51EFA" w:rsidRPr="006B0F72">
        <w:rPr>
          <w:rStyle w:val="FootnoteReference"/>
          <w:noProof/>
        </w:rPr>
        <w:footnoteReference w:id="112"/>
      </w:r>
      <w:r w:rsidR="00E51EFA" w:rsidRPr="006B0F72">
        <w:rPr>
          <w:noProof/>
        </w:rPr>
        <w:t>.</w:t>
      </w:r>
    </w:p>
    <w:p w14:paraId="28AD688B" w14:textId="77777777" w:rsidR="00903821" w:rsidRPr="006B0F72" w:rsidRDefault="00903821" w:rsidP="001F56EA">
      <w:pPr>
        <w:rPr>
          <w:noProof/>
        </w:rPr>
      </w:pPr>
    </w:p>
    <w:p w14:paraId="1F906DF2" w14:textId="77777777" w:rsidR="00AC672F" w:rsidRPr="006B0F72" w:rsidRDefault="00AC672F" w:rsidP="001E21BF">
      <w:pPr>
        <w:pStyle w:val="ChapterTitle"/>
        <w:rPr>
          <w:noProof/>
        </w:rPr>
      </w:pPr>
      <w:r w:rsidRPr="006B0F72">
        <w:rPr>
          <w:noProof/>
        </w:rPr>
        <w:t>POGLAVJE II</w:t>
      </w:r>
    </w:p>
    <w:p w14:paraId="02D6A167" w14:textId="77777777" w:rsidR="00AC672F" w:rsidRPr="006B0F72" w:rsidRDefault="00AC672F" w:rsidP="001E21BF">
      <w:pPr>
        <w:pStyle w:val="ChapterTitle"/>
        <w:rPr>
          <w:noProof/>
        </w:rPr>
      </w:pPr>
      <w:r w:rsidRPr="006B0F72">
        <w:rPr>
          <w:noProof/>
        </w:rPr>
        <w:t>CILJI IN OBVEZNOSTI GLEDE OBNOVE</w:t>
      </w:r>
    </w:p>
    <w:p w14:paraId="7EFAA0A4" w14:textId="77777777" w:rsidR="00817E6D" w:rsidRPr="006B0F72" w:rsidRDefault="5906F943" w:rsidP="00A22E53">
      <w:pPr>
        <w:pStyle w:val="Titrearticle"/>
        <w:rPr>
          <w:b/>
          <w:bCs/>
          <w:i w:val="0"/>
          <w:noProof/>
        </w:rPr>
      </w:pPr>
      <w:r w:rsidRPr="006B0F72">
        <w:rPr>
          <w:noProof/>
        </w:rPr>
        <w:t xml:space="preserve">Člen 4 </w:t>
      </w:r>
      <w:r w:rsidRPr="006B0F72">
        <w:rPr>
          <w:noProof/>
        </w:rPr>
        <w:br/>
      </w:r>
      <w:r w:rsidRPr="006B0F72">
        <w:rPr>
          <w:b/>
          <w:i w:val="0"/>
          <w:noProof/>
        </w:rPr>
        <w:t>Obnova kopenskih, obalnih in sladkovodnih ekosistemov</w:t>
      </w:r>
    </w:p>
    <w:p w14:paraId="6FF1A492" w14:textId="731816B0" w:rsidR="008E72E8" w:rsidRPr="006B0F72" w:rsidRDefault="00652A97" w:rsidP="00652A97">
      <w:pPr>
        <w:pStyle w:val="ManualNumPar1"/>
        <w:rPr>
          <w:noProof/>
        </w:rPr>
      </w:pPr>
      <w:r w:rsidRPr="00652A97">
        <w:rPr>
          <w:noProof/>
        </w:rPr>
        <w:t>1.</w:t>
      </w:r>
      <w:r w:rsidRPr="00652A97">
        <w:rPr>
          <w:noProof/>
        </w:rPr>
        <w:tab/>
      </w:r>
      <w:r w:rsidR="00182F2F" w:rsidRPr="006B0F72">
        <w:rPr>
          <w:noProof/>
        </w:rPr>
        <w:t>Države članice vzpostavijo ukrepe za obnovo, ki so potrebni za izboljšanje območij dobrega stanja habitatnih tipov iz Priloge I, ki niso v dobrem stanju. Taki ukrepi se do leta 2030 vzpostavijo na najmanj 30 % območja vsake skupine habitatnih tipov iz Priloge I, ki ni v dobrem stanju, kot je navedeno v nacionalnem načrtu za obnovo iz člena 12, na najmanj 60 % do leta 2040 in na najmanj 90 % do leta 2050.</w:t>
      </w:r>
    </w:p>
    <w:p w14:paraId="244362A9" w14:textId="2F588CA3" w:rsidR="009B7FCD" w:rsidRPr="006B0F72" w:rsidRDefault="00652A97" w:rsidP="00652A97">
      <w:pPr>
        <w:pStyle w:val="ManualNumPar1"/>
        <w:rPr>
          <w:noProof/>
        </w:rPr>
      </w:pPr>
      <w:r w:rsidRPr="00652A97">
        <w:rPr>
          <w:noProof/>
        </w:rPr>
        <w:t>2.</w:t>
      </w:r>
      <w:r w:rsidRPr="00652A97">
        <w:rPr>
          <w:noProof/>
        </w:rPr>
        <w:tab/>
      </w:r>
      <w:r w:rsidR="00182F2F" w:rsidRPr="006B0F72">
        <w:rPr>
          <w:noProof/>
        </w:rPr>
        <w:t>Države članice vzpostavijo ukrepe za obnovo, ki so potrebni za ponovno vzpostavitev habitatnih tipov iz Priloge I na območjih, ki jih navedeni habitatni tipi ne zajemajo. Taki ukrepi se do leta 2030 vzpostavijo na območjih, ki predstavljajo najmanj 30 % dodatne celotne površine, potrebne za doseganje skupnega ugodnega referenčnega območja vsake skupine habitatnih tipov iz Priloge I, kot je navedeno v nacionalnem načrtu za obnovo iz člena 12, najmanj 60 % navedene površine do leta 2040 in 100 % navedene površine do leta 2050.</w:t>
      </w:r>
    </w:p>
    <w:p w14:paraId="482CBD58" w14:textId="5DEB84F5" w:rsidR="00B323CD" w:rsidRPr="006B0F72" w:rsidRDefault="00652A97" w:rsidP="00652A97">
      <w:pPr>
        <w:pStyle w:val="ManualNumPar1"/>
        <w:rPr>
          <w:noProof/>
        </w:rPr>
      </w:pPr>
      <w:r w:rsidRPr="00652A97">
        <w:rPr>
          <w:noProof/>
        </w:rPr>
        <w:t>3.</w:t>
      </w:r>
      <w:r w:rsidRPr="00652A97">
        <w:rPr>
          <w:noProof/>
        </w:rPr>
        <w:tab/>
      </w:r>
      <w:r w:rsidR="00182F2F" w:rsidRPr="006B0F72">
        <w:rPr>
          <w:noProof/>
        </w:rPr>
        <w:t>Države članice vzpostavijo ukrepe za obnovo kopenskih, obalnih in sladkovodnih habitatov vrst iz prilog II, IV in V k Direktivi 92/43/EGS ter drugih kopenskih, obalnih in sladkovodnih habitatov divjih ptic, zajetih z Direktivo 2009/147/ES, ki so potrebni za izboljšanje kakovosti in količine navedenih habitatov, vključno z njihovo ponovno vzpostavitvijo, in za izboljšanje povezljivosti, dokler nista doseženi zadostna kakovost in količina navedenih habitatov.</w:t>
      </w:r>
    </w:p>
    <w:p w14:paraId="7768AB89" w14:textId="76EC2F9D" w:rsidR="00937EB1" w:rsidRPr="006B0F72" w:rsidRDefault="00652A97" w:rsidP="00652A97">
      <w:pPr>
        <w:pStyle w:val="ManualNumPar1"/>
        <w:rPr>
          <w:noProof/>
        </w:rPr>
      </w:pPr>
      <w:r w:rsidRPr="00652A97">
        <w:rPr>
          <w:noProof/>
        </w:rPr>
        <w:t>4.</w:t>
      </w:r>
      <w:r w:rsidRPr="00652A97">
        <w:rPr>
          <w:noProof/>
        </w:rPr>
        <w:tab/>
      </w:r>
      <w:r w:rsidR="187E9004" w:rsidRPr="006B0F72">
        <w:rPr>
          <w:noProof/>
        </w:rPr>
        <w:t>Določitev najprimernejših območij za ukrepe za obnovo v skladu z odstavki 1, 2 in 3 tega člena temelji na najboljšem razpoložljivem znanju in najnovejših znanstvenih dokazih o stanju habitatnih tipov iz Priloge I, ki se meri s strukturo in funkcijami, potrebnimi za njihovo dolgoročno ohranitev, vključno z njihovimi značilnimi vrstami, kot je navedeno v členu 1(e) Direktive 92/43/EGS, ter o kakovosti in količini habitatov vrst iz odstavka 3 tega člena. Območja, na katerih stanje habitatnih tipov iz Priloge I ni znano, se štejejo za območja, ki niso v dobrem stanju.</w:t>
      </w:r>
    </w:p>
    <w:p w14:paraId="0589AD6B" w14:textId="19052F16" w:rsidR="001703D8" w:rsidRPr="006B0F72" w:rsidRDefault="00652A97" w:rsidP="00652A97">
      <w:pPr>
        <w:pStyle w:val="ManualNumPar1"/>
        <w:rPr>
          <w:noProof/>
        </w:rPr>
      </w:pPr>
      <w:r w:rsidRPr="00652A97">
        <w:rPr>
          <w:noProof/>
        </w:rPr>
        <w:t>5.</w:t>
      </w:r>
      <w:r w:rsidRPr="00652A97">
        <w:rPr>
          <w:noProof/>
        </w:rPr>
        <w:tab/>
      </w:r>
      <w:r w:rsidR="29055DDB" w:rsidRPr="006B0F72">
        <w:rPr>
          <w:noProof/>
        </w:rPr>
        <w:t>Pri ukrepih za obnovo iz odstavkov 1 in 2 se upošteva potreba po izboljšani povezljivosti med habitatnimi tipi iz Priloge I in ekološkimi zahtevami vrst iz odstavka 3, prisotnimi v navedenih habitatnih tipih.</w:t>
      </w:r>
    </w:p>
    <w:p w14:paraId="0DCEA516" w14:textId="5D54CB39" w:rsidR="09F963A5" w:rsidRPr="006B0F72" w:rsidRDefault="00652A97" w:rsidP="00652A97">
      <w:pPr>
        <w:pStyle w:val="ManualNumPar1"/>
        <w:rPr>
          <w:noProof/>
        </w:rPr>
      </w:pPr>
      <w:r w:rsidRPr="00652A97">
        <w:rPr>
          <w:noProof/>
        </w:rPr>
        <w:t>6.</w:t>
      </w:r>
      <w:r w:rsidRPr="00652A97">
        <w:rPr>
          <w:noProof/>
        </w:rPr>
        <w:tab/>
      </w:r>
      <w:r w:rsidR="6610F448" w:rsidRPr="006B0F72">
        <w:rPr>
          <w:noProof/>
        </w:rPr>
        <w:t xml:space="preserve">Države članice zagotovijo, da se na območjih, na katerih se izvajajo ukrepi za obnovo v skladu z odstavki 1, 2 in 3, nenehno izboljšujeta stanje habitatnih tipov iz Priloge I, dokler se ne doseže dobro stanje, pa tudi kakovost habitatov vrst iz odstavka 3, dokler se ne doseže zadostna kakovost navedenih habitatov. Države članice zagotovijo, da se območja, na katerih je bilo doseženo dobro stanje in na katerih je bila dosežena zadostna kakovost habitatov vrst, ne poslabšajo. </w:t>
      </w:r>
    </w:p>
    <w:p w14:paraId="4B9FEDD8" w14:textId="744A315E" w:rsidR="00A16739" w:rsidRPr="006B0F72" w:rsidRDefault="00652A97" w:rsidP="00652A97">
      <w:pPr>
        <w:pStyle w:val="ManualNumPar1"/>
        <w:rPr>
          <w:noProof/>
        </w:rPr>
      </w:pPr>
      <w:r w:rsidRPr="00652A97">
        <w:rPr>
          <w:noProof/>
        </w:rPr>
        <w:t>7.</w:t>
      </w:r>
      <w:r w:rsidRPr="00652A97">
        <w:rPr>
          <w:noProof/>
        </w:rPr>
        <w:tab/>
      </w:r>
      <w:r w:rsidR="003522F7" w:rsidRPr="006B0F72">
        <w:rPr>
          <w:noProof/>
        </w:rPr>
        <w:t xml:space="preserve">Države članice zagotovijo, da se območja, na katerih so prisotni habitatni tipi iz Priloge I, ne poslabšajo. </w:t>
      </w:r>
    </w:p>
    <w:p w14:paraId="517461CB" w14:textId="20E7B652" w:rsidR="002400F2" w:rsidRPr="006B0F72" w:rsidRDefault="00652A97" w:rsidP="00652A97">
      <w:pPr>
        <w:pStyle w:val="ManualNumPar1"/>
        <w:rPr>
          <w:noProof/>
        </w:rPr>
      </w:pPr>
      <w:r w:rsidRPr="00652A97">
        <w:rPr>
          <w:noProof/>
        </w:rPr>
        <w:t>8.</w:t>
      </w:r>
      <w:r w:rsidRPr="00652A97">
        <w:rPr>
          <w:noProof/>
        </w:rPr>
        <w:tab/>
      </w:r>
      <w:r w:rsidR="002400F2" w:rsidRPr="006B0F72">
        <w:rPr>
          <w:noProof/>
        </w:rPr>
        <w:t>Zunaj območij Natura 2000 je neizpolnjevanje obveznosti iz odstavkov 6 in 7 upravičeno, če so razlogi zanj:</w:t>
      </w:r>
    </w:p>
    <w:p w14:paraId="78D878EB" w14:textId="5E348BE5" w:rsidR="002400F2" w:rsidRPr="006B0F72" w:rsidRDefault="00652A97" w:rsidP="00652A97">
      <w:pPr>
        <w:pStyle w:val="Point1"/>
        <w:rPr>
          <w:noProof/>
        </w:rPr>
      </w:pPr>
      <w:r w:rsidRPr="00652A97">
        <w:rPr>
          <w:noProof/>
        </w:rPr>
        <w:t>(a)</w:t>
      </w:r>
      <w:r w:rsidRPr="00652A97">
        <w:rPr>
          <w:noProof/>
        </w:rPr>
        <w:tab/>
      </w:r>
      <w:r w:rsidR="002400F2" w:rsidRPr="006B0F72">
        <w:rPr>
          <w:noProof/>
        </w:rPr>
        <w:t>višja sila;</w:t>
      </w:r>
    </w:p>
    <w:p w14:paraId="23A3B6D9" w14:textId="11BB6C40" w:rsidR="002400F2" w:rsidRPr="006B0F72" w:rsidRDefault="00652A97" w:rsidP="00652A97">
      <w:pPr>
        <w:pStyle w:val="Point1"/>
        <w:rPr>
          <w:noProof/>
        </w:rPr>
      </w:pPr>
      <w:r w:rsidRPr="00652A97">
        <w:rPr>
          <w:noProof/>
        </w:rPr>
        <w:t>(b)</w:t>
      </w:r>
      <w:r w:rsidRPr="00652A97">
        <w:rPr>
          <w:noProof/>
        </w:rPr>
        <w:tab/>
      </w:r>
      <w:r w:rsidR="002400F2" w:rsidRPr="006B0F72">
        <w:rPr>
          <w:noProof/>
        </w:rPr>
        <w:t>neizogibne spremembe habitatov, ki so neposredna posledica podnebnih sprememb, ali</w:t>
      </w:r>
    </w:p>
    <w:p w14:paraId="5AAA76D3" w14:textId="22076BB3" w:rsidR="002400F2" w:rsidRPr="006B0F72" w:rsidRDefault="00652A97" w:rsidP="00652A97">
      <w:pPr>
        <w:pStyle w:val="Point1"/>
        <w:rPr>
          <w:noProof/>
        </w:rPr>
      </w:pPr>
      <w:r w:rsidRPr="00652A97">
        <w:rPr>
          <w:noProof/>
        </w:rPr>
        <w:t>(c)</w:t>
      </w:r>
      <w:r w:rsidRPr="00652A97">
        <w:rPr>
          <w:noProof/>
        </w:rPr>
        <w:tab/>
      </w:r>
      <w:r w:rsidR="002400F2" w:rsidRPr="006B0F72">
        <w:rPr>
          <w:noProof/>
        </w:rPr>
        <w:t xml:space="preserve">projekt prevladujočega javnega interesa, za katerega ni na voljo manj škodljivih alternativnih rešitev, pri čemer se to določi za vsak primer posebej. </w:t>
      </w:r>
    </w:p>
    <w:p w14:paraId="589D6E3E" w14:textId="05CCEF5D" w:rsidR="002400F2" w:rsidRPr="006B0F72" w:rsidRDefault="00652A97" w:rsidP="00652A97">
      <w:pPr>
        <w:pStyle w:val="ManualNumPar1"/>
        <w:rPr>
          <w:noProof/>
        </w:rPr>
      </w:pPr>
      <w:r w:rsidRPr="00652A97">
        <w:rPr>
          <w:noProof/>
        </w:rPr>
        <w:t>9.</w:t>
      </w:r>
      <w:r w:rsidRPr="00652A97">
        <w:rPr>
          <w:noProof/>
        </w:rPr>
        <w:tab/>
      </w:r>
      <w:r w:rsidR="002400F2" w:rsidRPr="006B0F72">
        <w:rPr>
          <w:noProof/>
        </w:rPr>
        <w:t xml:space="preserve">Na območjih Natura 2000 je neizpolnjevanje obveznosti iz odstavkov 6 in 7 upravičeno, če so razlogi zanj: </w:t>
      </w:r>
    </w:p>
    <w:p w14:paraId="2A9B2873" w14:textId="200F4B6A" w:rsidR="002400F2" w:rsidRPr="006B0F72" w:rsidRDefault="00652A97" w:rsidP="00652A97">
      <w:pPr>
        <w:pStyle w:val="Point1"/>
        <w:rPr>
          <w:noProof/>
        </w:rPr>
      </w:pPr>
      <w:r w:rsidRPr="00652A97">
        <w:rPr>
          <w:noProof/>
        </w:rPr>
        <w:t>(a)</w:t>
      </w:r>
      <w:r w:rsidRPr="00652A97">
        <w:rPr>
          <w:noProof/>
        </w:rPr>
        <w:tab/>
      </w:r>
      <w:r w:rsidR="002400F2" w:rsidRPr="006B0F72">
        <w:rPr>
          <w:noProof/>
        </w:rPr>
        <w:t>višja sila;</w:t>
      </w:r>
    </w:p>
    <w:p w14:paraId="1D6B9B25" w14:textId="613A9913" w:rsidR="002400F2" w:rsidRPr="006B0F72" w:rsidRDefault="00652A97" w:rsidP="00652A97">
      <w:pPr>
        <w:pStyle w:val="Point1"/>
        <w:rPr>
          <w:noProof/>
        </w:rPr>
      </w:pPr>
      <w:r w:rsidRPr="00652A97">
        <w:rPr>
          <w:noProof/>
        </w:rPr>
        <w:t>(b)</w:t>
      </w:r>
      <w:r w:rsidRPr="00652A97">
        <w:rPr>
          <w:noProof/>
        </w:rPr>
        <w:tab/>
      </w:r>
      <w:r w:rsidR="002400F2" w:rsidRPr="006B0F72">
        <w:rPr>
          <w:noProof/>
        </w:rPr>
        <w:t>neizogibne spremembe habitatov, ki so neposredna posledica podnebnih sprememb ali</w:t>
      </w:r>
    </w:p>
    <w:p w14:paraId="442BAC57" w14:textId="637D83EA" w:rsidR="002400F2" w:rsidRPr="006B0F72" w:rsidRDefault="00652A97" w:rsidP="00652A97">
      <w:pPr>
        <w:pStyle w:val="Point1"/>
        <w:rPr>
          <w:noProof/>
        </w:rPr>
      </w:pPr>
      <w:r w:rsidRPr="00652A97">
        <w:rPr>
          <w:noProof/>
        </w:rPr>
        <w:t>(c)</w:t>
      </w:r>
      <w:r w:rsidRPr="00652A97">
        <w:rPr>
          <w:noProof/>
        </w:rPr>
        <w:tab/>
      </w:r>
      <w:r w:rsidR="002400F2" w:rsidRPr="006B0F72">
        <w:rPr>
          <w:noProof/>
        </w:rPr>
        <w:t>načrt oziroma projekt, odobren v skladu s členom 6(4) Direktive 92/43/EGS.</w:t>
      </w:r>
    </w:p>
    <w:p w14:paraId="5A7F4D89" w14:textId="47FD8253" w:rsidR="00FC40BB" w:rsidRPr="006B0F72" w:rsidRDefault="00652A97" w:rsidP="00652A97">
      <w:pPr>
        <w:pStyle w:val="ManualNumPar1"/>
        <w:rPr>
          <w:noProof/>
        </w:rPr>
      </w:pPr>
      <w:r w:rsidRPr="00652A97">
        <w:rPr>
          <w:noProof/>
        </w:rPr>
        <w:t>10.</w:t>
      </w:r>
      <w:r w:rsidRPr="00652A97">
        <w:rPr>
          <w:noProof/>
        </w:rPr>
        <w:tab/>
      </w:r>
      <w:r w:rsidR="00FC40BB" w:rsidRPr="006B0F72">
        <w:rPr>
          <w:noProof/>
        </w:rPr>
        <w:t xml:space="preserve">Države članice zagotovijo, da: </w:t>
      </w:r>
    </w:p>
    <w:p w14:paraId="60CE68FE" w14:textId="6271EF7D" w:rsidR="005C52C2" w:rsidRPr="006B0F72" w:rsidRDefault="00652A97" w:rsidP="00652A97">
      <w:pPr>
        <w:pStyle w:val="Point1"/>
        <w:rPr>
          <w:noProof/>
        </w:rPr>
      </w:pPr>
      <w:r w:rsidRPr="00652A97">
        <w:rPr>
          <w:noProof/>
        </w:rPr>
        <w:t>(a)</w:t>
      </w:r>
      <w:r w:rsidRPr="00652A97">
        <w:rPr>
          <w:noProof/>
        </w:rPr>
        <w:tab/>
      </w:r>
      <w:r w:rsidR="00FC40BB" w:rsidRPr="006B0F72">
        <w:rPr>
          <w:noProof/>
        </w:rPr>
        <w:t xml:space="preserve">se območje habitata v dobrem stanju povečuje za habitatne tipe iz Priloge I, dokler ni najmanj 90 % območja v dobrem stanju in dokler se ne doseže ugodno referenčno območje za vsak habitatni tip v vsaki biogeografski regiji njihovega ozemlja; </w:t>
      </w:r>
    </w:p>
    <w:p w14:paraId="699ECB83" w14:textId="6FDF3E9D" w:rsidR="00D670D0" w:rsidRPr="006B0F72" w:rsidRDefault="00652A97" w:rsidP="00652A97">
      <w:pPr>
        <w:pStyle w:val="Point1"/>
        <w:rPr>
          <w:noProof/>
        </w:rPr>
      </w:pPr>
      <w:r w:rsidRPr="00652A97">
        <w:rPr>
          <w:noProof/>
        </w:rPr>
        <w:t>(b)</w:t>
      </w:r>
      <w:r w:rsidRPr="00652A97">
        <w:rPr>
          <w:noProof/>
        </w:rPr>
        <w:tab/>
      </w:r>
      <w:r w:rsidR="00FC40BB" w:rsidRPr="006B0F72">
        <w:rPr>
          <w:noProof/>
        </w:rPr>
        <w:t>se čedalje bolj povečujeta zadostna kakovost in količina kopenskih, obalnih in sladkovodnih habitatov vrst iz prilog II, IV in V k Direktivi 92/43/EGS in vrst, zajetih z Direktivo 2009/147/ES.</w:t>
      </w:r>
    </w:p>
    <w:p w14:paraId="0BF2485E" w14:textId="77777777" w:rsidR="00205223" w:rsidRPr="006B0F72" w:rsidRDefault="00CA15F4" w:rsidP="004348F7">
      <w:pPr>
        <w:pStyle w:val="Titrearticle"/>
        <w:rPr>
          <w:noProof/>
        </w:rPr>
      </w:pPr>
      <w:r w:rsidRPr="006B0F72">
        <w:rPr>
          <w:noProof/>
        </w:rPr>
        <w:t xml:space="preserve">Člen 5 </w:t>
      </w:r>
      <w:r w:rsidRPr="006B0F72">
        <w:rPr>
          <w:noProof/>
        </w:rPr>
        <w:br/>
      </w:r>
      <w:r w:rsidRPr="006B0F72">
        <w:rPr>
          <w:b/>
          <w:i w:val="0"/>
          <w:noProof/>
        </w:rPr>
        <w:t>Obnova morskih ekosistemov</w:t>
      </w:r>
      <w:r w:rsidRPr="006B0F72">
        <w:rPr>
          <w:noProof/>
        </w:rPr>
        <w:t xml:space="preserve"> </w:t>
      </w:r>
    </w:p>
    <w:p w14:paraId="68CF0793" w14:textId="57123099" w:rsidR="001A30FD" w:rsidRPr="006B0F72" w:rsidRDefault="00652A97" w:rsidP="00652A97">
      <w:pPr>
        <w:pStyle w:val="ManualNumPar1"/>
        <w:rPr>
          <w:noProof/>
        </w:rPr>
      </w:pPr>
      <w:r w:rsidRPr="00652A97">
        <w:rPr>
          <w:noProof/>
        </w:rPr>
        <w:t>1.</w:t>
      </w:r>
      <w:r w:rsidRPr="00652A97">
        <w:rPr>
          <w:noProof/>
        </w:rPr>
        <w:tab/>
      </w:r>
      <w:r w:rsidR="00C4449B" w:rsidRPr="006B0F72">
        <w:rPr>
          <w:noProof/>
        </w:rPr>
        <w:t>Države članice vzpostavijo ukrepe za obnovo, ki so potrebni za izboljšanje stanja habitatnih tipov iz Priloge II, ki niso v dobrem stanju, tako da bodo postali območja dobrega stanja. Taki ukrepi se do leta 2030 vzpostavijo na najmanj 30 % območij vsake skupine habitatnih tipov iz Priloge II, ki ni v dobrem stanju, kot je navedeno v nacionalnem načrtu za obnovo iz člena 12, na najmanj 60 % do leta 2040 in na najmanj 90 % do leta 2050.</w:t>
      </w:r>
    </w:p>
    <w:p w14:paraId="696292E7" w14:textId="5C197108" w:rsidR="001A30FD" w:rsidRPr="006B0F72" w:rsidRDefault="00652A97" w:rsidP="00652A97">
      <w:pPr>
        <w:pStyle w:val="ManualNumPar1"/>
        <w:rPr>
          <w:noProof/>
        </w:rPr>
      </w:pPr>
      <w:r w:rsidRPr="00652A97">
        <w:rPr>
          <w:noProof/>
        </w:rPr>
        <w:t>2.</w:t>
      </w:r>
      <w:r w:rsidRPr="00652A97">
        <w:rPr>
          <w:noProof/>
        </w:rPr>
        <w:tab/>
      </w:r>
      <w:r w:rsidR="0045316E" w:rsidRPr="006B0F72">
        <w:rPr>
          <w:noProof/>
        </w:rPr>
        <w:t>Države članice vzpostavijo ukrepe za obnovo, ki so potrebni za ponovno vzpostavitev habitatnih tipov iz Priloge II na območjih, ki jih navedeni habitatni tipi ne zajemajo. Taki ukrepi se do leta 2030 vzpostavijo na območjih, ki predstavljajo najmanj 30 % dodatne celotne površine, potrebne za doseganje skupnega ugodnega referenčnega območja vsake skupine habitatnih tipov, kot je navedeno v nacionalnem načrtu za obnovo iz člena 12, najmanj 60 % navedene površine do leta 2040 in 100 % navedene površine do leta 2050.</w:t>
      </w:r>
    </w:p>
    <w:p w14:paraId="05AA9578" w14:textId="4276A15E" w:rsidR="001A30FD" w:rsidRPr="006B0F72" w:rsidRDefault="00652A97" w:rsidP="00652A97">
      <w:pPr>
        <w:pStyle w:val="ManualNumPar1"/>
        <w:rPr>
          <w:noProof/>
        </w:rPr>
      </w:pPr>
      <w:r w:rsidRPr="00652A97">
        <w:rPr>
          <w:noProof/>
        </w:rPr>
        <w:t>3.</w:t>
      </w:r>
      <w:r w:rsidRPr="00652A97">
        <w:rPr>
          <w:noProof/>
        </w:rPr>
        <w:tab/>
      </w:r>
      <w:r w:rsidR="0045316E" w:rsidRPr="006B0F72">
        <w:rPr>
          <w:noProof/>
        </w:rPr>
        <w:t>Države članice vzpostavijo ukrepe za obnovo morskih habitatov vrst iz Priloge III ter prilog II, IV in V k Direktivi 92/43/EGS in morskih habitatov divjih ptic, zajetih v Direktivi 2009/147/ES, ki so potrebni za izboljšanje kakovosti in količine navedenih habitatov, vključno z njihovo ponovno vzpostavitvijo, ter za izboljšanje povezljivosti, dokler nista doseženi zadostna kakovost in količina navedenih habitatov.</w:t>
      </w:r>
    </w:p>
    <w:p w14:paraId="7C34BF22" w14:textId="0FD6E75D" w:rsidR="007A6924" w:rsidRPr="006B0F72" w:rsidRDefault="00652A97" w:rsidP="00652A97">
      <w:pPr>
        <w:pStyle w:val="ManualNumPar1"/>
        <w:rPr>
          <w:noProof/>
        </w:rPr>
      </w:pPr>
      <w:r w:rsidRPr="00652A97">
        <w:rPr>
          <w:noProof/>
        </w:rPr>
        <w:t>4.</w:t>
      </w:r>
      <w:r w:rsidRPr="00652A97">
        <w:rPr>
          <w:noProof/>
        </w:rPr>
        <w:tab/>
      </w:r>
      <w:r w:rsidR="754886E6" w:rsidRPr="006B0F72">
        <w:rPr>
          <w:noProof/>
        </w:rPr>
        <w:t>Določitev najprimernejših območij za ukrepe za obnovo v skladu s odstavki 1, 2 in 3 temelji na najboljšem razpoložljivem znanju in najnovejših znanstvenih dokazih o stanju habitatnih tipov iz Priloge II, ki se meri s strukturo in funkcijami, potrebnimi za njihovo dolgoročno ohranitev, vključno z njihovimi značilnimi vrstami, iz člena 1(e) Direktive 92/43/ES, ter o kakovosti in količini habitatov vrst iz odstavka 3. Območja, na katerih stanje habitatnih tipov iz Priloge II ni znano, se štejejo za območja, ki niso v dobrem stanju.</w:t>
      </w:r>
    </w:p>
    <w:p w14:paraId="0E957171" w14:textId="33925515" w:rsidR="007C5A0E" w:rsidRPr="006B0F72" w:rsidRDefault="00652A97" w:rsidP="00652A97">
      <w:pPr>
        <w:pStyle w:val="ManualNumPar1"/>
        <w:rPr>
          <w:noProof/>
        </w:rPr>
      </w:pPr>
      <w:r w:rsidRPr="00652A97">
        <w:rPr>
          <w:noProof/>
        </w:rPr>
        <w:t>5.</w:t>
      </w:r>
      <w:r w:rsidRPr="00652A97">
        <w:rPr>
          <w:noProof/>
        </w:rPr>
        <w:tab/>
      </w:r>
      <w:r w:rsidR="4A94FB56" w:rsidRPr="006B0F72">
        <w:rPr>
          <w:noProof/>
        </w:rPr>
        <w:t>Pri ukrepih za obnovo iz odstavkov 1 in 2 se upošteva potreba po izboljšani povezljivosti med habitatnimi tipi iz Priloge II in ekološkimi zahtevami vrst iz odstavka 3, ki so prisotne v navedenih habitatnih tipih.</w:t>
      </w:r>
    </w:p>
    <w:p w14:paraId="162DB9B8" w14:textId="3A8FA3F9" w:rsidR="001A30FD" w:rsidRPr="006B0F72" w:rsidRDefault="00652A97" w:rsidP="00652A97">
      <w:pPr>
        <w:pStyle w:val="ManualNumPar1"/>
        <w:rPr>
          <w:noProof/>
        </w:rPr>
      </w:pPr>
      <w:r w:rsidRPr="00652A97">
        <w:rPr>
          <w:noProof/>
        </w:rPr>
        <w:t>6.</w:t>
      </w:r>
      <w:r w:rsidRPr="00652A97">
        <w:rPr>
          <w:noProof/>
        </w:rPr>
        <w:tab/>
      </w:r>
      <w:r w:rsidR="3AE9AC58" w:rsidRPr="006B0F72">
        <w:rPr>
          <w:noProof/>
        </w:rPr>
        <w:t xml:space="preserve">Države članice zagotovijo, da se na območjih, na katerih se izvajajo ukrepi za obnovo v skladu z odstavki 1, 2 in 3, nenehno izboljšujeta stanje habitatnih tipov iz Priloge II, dokler se ne doseže dobro stanje, pa tudi kakovost habitatov vrst iz odstavka 3, dokler se ne doseže zadostna kakovost navedenih habitatov. Države članice zagotovijo, da se območja, na katerih je bilo doseženo dobro stanje in na katerih je bila dosežena zadostna kakovost habitatov vrst, ne poslabšajo. </w:t>
      </w:r>
    </w:p>
    <w:p w14:paraId="733A8E20" w14:textId="53B3FA21" w:rsidR="000E6287" w:rsidRPr="006B0F72" w:rsidRDefault="00652A97" w:rsidP="00652A97">
      <w:pPr>
        <w:pStyle w:val="ManualNumPar1"/>
        <w:rPr>
          <w:noProof/>
        </w:rPr>
      </w:pPr>
      <w:r w:rsidRPr="00652A97">
        <w:rPr>
          <w:noProof/>
        </w:rPr>
        <w:t>7.</w:t>
      </w:r>
      <w:r w:rsidRPr="00652A97">
        <w:rPr>
          <w:noProof/>
        </w:rPr>
        <w:tab/>
      </w:r>
      <w:r w:rsidR="000E6287" w:rsidRPr="006B0F72">
        <w:rPr>
          <w:noProof/>
        </w:rPr>
        <w:t xml:space="preserve">Države članice zagotovijo, da se območja, na katerih so prisotni habitatni tipi iz Priloge II, ne poslabšajo. </w:t>
      </w:r>
    </w:p>
    <w:p w14:paraId="286B4A00" w14:textId="76FC9A2F" w:rsidR="00393BE9" w:rsidRPr="006B0F72" w:rsidRDefault="00652A97" w:rsidP="00652A97">
      <w:pPr>
        <w:pStyle w:val="ManualNumPar1"/>
        <w:rPr>
          <w:noProof/>
        </w:rPr>
      </w:pPr>
      <w:r w:rsidRPr="00652A97">
        <w:rPr>
          <w:noProof/>
        </w:rPr>
        <w:t>8.</w:t>
      </w:r>
      <w:r w:rsidRPr="00652A97">
        <w:rPr>
          <w:noProof/>
        </w:rPr>
        <w:tab/>
      </w:r>
      <w:r w:rsidR="00393BE9" w:rsidRPr="006B0F72">
        <w:rPr>
          <w:noProof/>
        </w:rPr>
        <w:t>Zunaj območij Natura 2000 je neizpolnjevanje obveznosti iz odstavkov 6 in 7 upravičeno, če so razlogi zanj:</w:t>
      </w:r>
    </w:p>
    <w:p w14:paraId="3702BCE4" w14:textId="6F8907C9" w:rsidR="00393BE9" w:rsidRPr="006B0F72" w:rsidRDefault="00652A97" w:rsidP="00652A97">
      <w:pPr>
        <w:pStyle w:val="Point1"/>
        <w:rPr>
          <w:noProof/>
        </w:rPr>
      </w:pPr>
      <w:r w:rsidRPr="00652A97">
        <w:rPr>
          <w:noProof/>
        </w:rPr>
        <w:t>(a)</w:t>
      </w:r>
      <w:r w:rsidRPr="00652A97">
        <w:rPr>
          <w:noProof/>
        </w:rPr>
        <w:tab/>
      </w:r>
      <w:r w:rsidR="00393BE9" w:rsidRPr="006B0F72">
        <w:rPr>
          <w:noProof/>
        </w:rPr>
        <w:t>višja sila;</w:t>
      </w:r>
    </w:p>
    <w:p w14:paraId="7F1536F7" w14:textId="4DE1EE8A" w:rsidR="00393BE9" w:rsidRPr="006B0F72" w:rsidRDefault="00652A97" w:rsidP="00652A97">
      <w:pPr>
        <w:pStyle w:val="Point1"/>
        <w:rPr>
          <w:noProof/>
        </w:rPr>
      </w:pPr>
      <w:r w:rsidRPr="00652A97">
        <w:rPr>
          <w:noProof/>
        </w:rPr>
        <w:t>(b)</w:t>
      </w:r>
      <w:r w:rsidRPr="00652A97">
        <w:rPr>
          <w:noProof/>
        </w:rPr>
        <w:tab/>
      </w:r>
      <w:r w:rsidR="00393BE9" w:rsidRPr="006B0F72">
        <w:rPr>
          <w:noProof/>
        </w:rPr>
        <w:t>neizogibne spremembe habitatov, ki so neposredna posledica podnebnih sprememb, ali</w:t>
      </w:r>
    </w:p>
    <w:p w14:paraId="6BEA8E26" w14:textId="4A70365A" w:rsidR="00393BE9" w:rsidRPr="006B0F72" w:rsidRDefault="00652A97" w:rsidP="00652A97">
      <w:pPr>
        <w:pStyle w:val="Point1"/>
        <w:rPr>
          <w:noProof/>
        </w:rPr>
      </w:pPr>
      <w:r w:rsidRPr="00652A97">
        <w:rPr>
          <w:noProof/>
        </w:rPr>
        <w:t>(c)</w:t>
      </w:r>
      <w:r w:rsidRPr="00652A97">
        <w:rPr>
          <w:noProof/>
        </w:rPr>
        <w:tab/>
      </w:r>
      <w:r w:rsidR="00393BE9" w:rsidRPr="006B0F72">
        <w:rPr>
          <w:noProof/>
        </w:rPr>
        <w:t xml:space="preserve">projekt prevladujočega javnega interesa, za katerega ni na voljo manj škodljivih alternativnih rešitev, pri čemer se to določi za vsak primer posebej. </w:t>
      </w:r>
    </w:p>
    <w:p w14:paraId="205C41B7" w14:textId="6EDDB4DB" w:rsidR="00393BE9" w:rsidRPr="006B0F72" w:rsidRDefault="00652A97" w:rsidP="00652A97">
      <w:pPr>
        <w:pStyle w:val="ManualNumPar1"/>
        <w:rPr>
          <w:noProof/>
        </w:rPr>
      </w:pPr>
      <w:r w:rsidRPr="00652A97">
        <w:rPr>
          <w:noProof/>
        </w:rPr>
        <w:t>9.</w:t>
      </w:r>
      <w:r w:rsidRPr="00652A97">
        <w:rPr>
          <w:noProof/>
        </w:rPr>
        <w:tab/>
      </w:r>
      <w:r w:rsidR="00393BE9" w:rsidRPr="006B0F72">
        <w:rPr>
          <w:noProof/>
        </w:rPr>
        <w:t xml:space="preserve">Na območjih Natura 2000 je neizpolnjevanje obveznosti iz odstavkov 6 in 7 upravičeno, če so razlogi zanj: </w:t>
      </w:r>
    </w:p>
    <w:p w14:paraId="0E51D157" w14:textId="09391B6C" w:rsidR="00393BE9" w:rsidRPr="006B0F72" w:rsidRDefault="00652A97" w:rsidP="00652A97">
      <w:pPr>
        <w:pStyle w:val="Point1"/>
        <w:rPr>
          <w:noProof/>
        </w:rPr>
      </w:pPr>
      <w:r w:rsidRPr="00652A97">
        <w:rPr>
          <w:noProof/>
        </w:rPr>
        <w:t>(a)</w:t>
      </w:r>
      <w:r w:rsidRPr="00652A97">
        <w:rPr>
          <w:noProof/>
        </w:rPr>
        <w:tab/>
      </w:r>
      <w:r w:rsidR="00393BE9" w:rsidRPr="006B0F72">
        <w:rPr>
          <w:noProof/>
        </w:rPr>
        <w:t>višja sila;</w:t>
      </w:r>
    </w:p>
    <w:p w14:paraId="73D8B17F" w14:textId="01C8A39B" w:rsidR="00393BE9" w:rsidRPr="006B0F72" w:rsidRDefault="00652A97" w:rsidP="00652A97">
      <w:pPr>
        <w:pStyle w:val="Point1"/>
        <w:rPr>
          <w:noProof/>
        </w:rPr>
      </w:pPr>
      <w:r w:rsidRPr="00652A97">
        <w:rPr>
          <w:noProof/>
        </w:rPr>
        <w:t>(b)</w:t>
      </w:r>
      <w:r w:rsidRPr="00652A97">
        <w:rPr>
          <w:noProof/>
        </w:rPr>
        <w:tab/>
      </w:r>
      <w:r w:rsidR="00393BE9" w:rsidRPr="006B0F72">
        <w:rPr>
          <w:noProof/>
        </w:rPr>
        <w:t>neizogibne spremembe habitatov, ki so neposredna posledica podnebnih sprememb ali</w:t>
      </w:r>
    </w:p>
    <w:p w14:paraId="5B1E4C7F" w14:textId="49A95FAF" w:rsidR="000E6287" w:rsidRPr="006B0F72" w:rsidRDefault="00652A97" w:rsidP="00652A97">
      <w:pPr>
        <w:pStyle w:val="Point1"/>
        <w:rPr>
          <w:noProof/>
        </w:rPr>
      </w:pPr>
      <w:r w:rsidRPr="00652A97">
        <w:rPr>
          <w:noProof/>
        </w:rPr>
        <w:t>(c)</w:t>
      </w:r>
      <w:r w:rsidRPr="00652A97">
        <w:rPr>
          <w:noProof/>
        </w:rPr>
        <w:tab/>
      </w:r>
      <w:r w:rsidR="00393BE9" w:rsidRPr="006B0F72">
        <w:rPr>
          <w:noProof/>
        </w:rPr>
        <w:t xml:space="preserve">načrt oziroma projekt, odobren v skladu s členom 6(4) Direktive 92/43/EGS. </w:t>
      </w:r>
    </w:p>
    <w:p w14:paraId="34698B9D" w14:textId="0BE0C9C6" w:rsidR="001A30FD" w:rsidRPr="006B0F72" w:rsidRDefault="00652A97" w:rsidP="00652A97">
      <w:pPr>
        <w:pStyle w:val="ManualNumPar1"/>
        <w:rPr>
          <w:noProof/>
        </w:rPr>
      </w:pPr>
      <w:r w:rsidRPr="00652A97">
        <w:rPr>
          <w:noProof/>
        </w:rPr>
        <w:t>10.</w:t>
      </w:r>
      <w:r w:rsidRPr="00652A97">
        <w:rPr>
          <w:noProof/>
        </w:rPr>
        <w:tab/>
      </w:r>
      <w:r w:rsidR="3AE9AC58" w:rsidRPr="006B0F72">
        <w:rPr>
          <w:noProof/>
        </w:rPr>
        <w:t xml:space="preserve">Države članice zagotovijo, da: </w:t>
      </w:r>
    </w:p>
    <w:p w14:paraId="501DD9F4" w14:textId="4CAC5FB7" w:rsidR="001A30FD" w:rsidRPr="006B0F72" w:rsidRDefault="00652A97" w:rsidP="00652A97">
      <w:pPr>
        <w:pStyle w:val="Point1"/>
        <w:rPr>
          <w:noProof/>
        </w:rPr>
      </w:pPr>
      <w:r w:rsidRPr="00652A97">
        <w:rPr>
          <w:noProof/>
        </w:rPr>
        <w:t>(a)</w:t>
      </w:r>
      <w:r w:rsidRPr="00652A97">
        <w:rPr>
          <w:noProof/>
        </w:rPr>
        <w:tab/>
      </w:r>
      <w:r w:rsidR="3AE9AC58" w:rsidRPr="006B0F72">
        <w:rPr>
          <w:noProof/>
        </w:rPr>
        <w:t xml:space="preserve">se območje habitata v dobrem stanju povečuje za habitatne tipe iz Priloge II, dokler ni najmanj 90 % območja v dobrem stanju in dokler se ne doseže ugodno referenčno območje za vsak habitatni tip v vsaki biogeografski regiji njihovega ozemlja; </w:t>
      </w:r>
    </w:p>
    <w:p w14:paraId="243F5044" w14:textId="49F4BABA" w:rsidR="001A30FD" w:rsidRPr="006B0F72" w:rsidRDefault="00652A97" w:rsidP="00652A97">
      <w:pPr>
        <w:pStyle w:val="Point1"/>
        <w:rPr>
          <w:noProof/>
        </w:rPr>
      </w:pPr>
      <w:r w:rsidRPr="00652A97">
        <w:rPr>
          <w:noProof/>
        </w:rPr>
        <w:t>(b)</w:t>
      </w:r>
      <w:r w:rsidRPr="00652A97">
        <w:rPr>
          <w:noProof/>
        </w:rPr>
        <w:tab/>
      </w:r>
      <w:r w:rsidR="001A30FD" w:rsidRPr="006B0F72">
        <w:rPr>
          <w:noProof/>
        </w:rPr>
        <w:t>se čedalje bolj povečujeta zadostna kakovost in količina morskih habitatov vrst iz Priloge III ter prilog II, IV in V k Direktivi 92/43/EGS in vrst, zajetih z Direktivo 2009/147/ES.</w:t>
      </w:r>
    </w:p>
    <w:p w14:paraId="2BF70663" w14:textId="77777777" w:rsidR="000869EC" w:rsidRPr="006B0F72" w:rsidRDefault="000869EC" w:rsidP="000869EC">
      <w:pPr>
        <w:pStyle w:val="Titrearticle"/>
        <w:rPr>
          <w:b/>
          <w:bCs/>
          <w:i w:val="0"/>
          <w:noProof/>
        </w:rPr>
      </w:pPr>
      <w:r w:rsidRPr="006B0F72">
        <w:rPr>
          <w:noProof/>
        </w:rPr>
        <w:t xml:space="preserve">Člen 6  </w:t>
      </w:r>
      <w:r w:rsidRPr="006B0F72">
        <w:rPr>
          <w:noProof/>
        </w:rPr>
        <w:br/>
      </w:r>
      <w:r w:rsidRPr="006B0F72">
        <w:rPr>
          <w:b/>
          <w:i w:val="0"/>
          <w:noProof/>
        </w:rPr>
        <w:t>Obnova urbanih ekosistemov</w:t>
      </w:r>
    </w:p>
    <w:p w14:paraId="3EBCDAF5" w14:textId="03D2D2FC" w:rsidR="000869EC" w:rsidRPr="006B0F72" w:rsidRDefault="00652A97" w:rsidP="00652A97">
      <w:pPr>
        <w:pStyle w:val="ManualNumPar1"/>
        <w:rPr>
          <w:noProof/>
        </w:rPr>
      </w:pPr>
      <w:r w:rsidRPr="00652A97">
        <w:rPr>
          <w:noProof/>
        </w:rPr>
        <w:t>1.</w:t>
      </w:r>
      <w:r w:rsidRPr="00652A97">
        <w:rPr>
          <w:noProof/>
        </w:rPr>
        <w:tab/>
      </w:r>
      <w:r w:rsidR="000869EC" w:rsidRPr="006B0F72">
        <w:rPr>
          <w:noProof/>
        </w:rPr>
        <w:t>Države članice zagotovijo, da do leta 2030 v nobenem mestu, manjšem mestu in predmestju ne pride do neto izgub urbanega zelenega prostora in urbane drevesne zastornosti v primerjavi z letom 2021.</w:t>
      </w:r>
    </w:p>
    <w:p w14:paraId="6E28BE6B" w14:textId="41480ACB" w:rsidR="000869EC" w:rsidRPr="006B0F72" w:rsidRDefault="00652A97" w:rsidP="00652A97">
      <w:pPr>
        <w:pStyle w:val="ManualNumPar1"/>
        <w:rPr>
          <w:noProof/>
        </w:rPr>
      </w:pPr>
      <w:r w:rsidRPr="00652A97">
        <w:rPr>
          <w:noProof/>
        </w:rPr>
        <w:t>2.</w:t>
      </w:r>
      <w:r w:rsidRPr="00652A97">
        <w:rPr>
          <w:noProof/>
        </w:rPr>
        <w:tab/>
      </w:r>
      <w:r w:rsidR="000869EC" w:rsidRPr="006B0F72">
        <w:rPr>
          <w:noProof/>
        </w:rPr>
        <w:t xml:space="preserve">Države članice zagotovijo, da se skupno nacionalno območje urbanega zelenega prostora v mestih, manjših mestih in predmestjih do leta 2040 poveča za najmanj 3 % skupnega območja mest ter manjših mest in predmestij v letu 2021 ter za najmanj 5 % do leta 2050. Poleg tega države članice zagotovijo: </w:t>
      </w:r>
    </w:p>
    <w:p w14:paraId="2C1E11C6" w14:textId="052A428F" w:rsidR="000869EC" w:rsidRPr="006B0F72" w:rsidRDefault="00652A97" w:rsidP="00652A97">
      <w:pPr>
        <w:pStyle w:val="Point1"/>
        <w:rPr>
          <w:noProof/>
        </w:rPr>
      </w:pPr>
      <w:r w:rsidRPr="00652A97">
        <w:rPr>
          <w:noProof/>
        </w:rPr>
        <w:t>(a)</w:t>
      </w:r>
      <w:r w:rsidRPr="00652A97">
        <w:rPr>
          <w:noProof/>
        </w:rPr>
        <w:tab/>
      </w:r>
      <w:r w:rsidR="000869EC" w:rsidRPr="006B0F72">
        <w:rPr>
          <w:noProof/>
        </w:rPr>
        <w:t xml:space="preserve">najmanj 10-odstotno urbano drevesno zastornost v vseh mestih, manjših mestih in predmestjih do leta 2050 ter </w:t>
      </w:r>
    </w:p>
    <w:p w14:paraId="189C98FF" w14:textId="49DED8A6" w:rsidR="000869EC" w:rsidRPr="006B0F72" w:rsidRDefault="00652A97" w:rsidP="00652A97">
      <w:pPr>
        <w:pStyle w:val="Point1"/>
        <w:rPr>
          <w:noProof/>
        </w:rPr>
      </w:pPr>
      <w:r w:rsidRPr="00652A97">
        <w:rPr>
          <w:noProof/>
        </w:rPr>
        <w:t>(b)</w:t>
      </w:r>
      <w:r w:rsidRPr="00652A97">
        <w:rPr>
          <w:noProof/>
        </w:rPr>
        <w:tab/>
      </w:r>
      <w:r w:rsidR="00C60459" w:rsidRPr="006B0F72">
        <w:rPr>
          <w:noProof/>
        </w:rPr>
        <w:t>neto povečanje urbanega zelenega prostora, vključenega v razvoj obstoječih in novih stavb ter infrastrukture, vključno s prenovami in z obnovami, v vseh mestih, manjših mestih in predmestjih.</w:t>
      </w:r>
    </w:p>
    <w:p w14:paraId="4AA62DBA" w14:textId="77777777" w:rsidR="00EB0C16" w:rsidRPr="006B0F72" w:rsidRDefault="00EB0C16" w:rsidP="00D670D0">
      <w:pPr>
        <w:rPr>
          <w:noProof/>
        </w:rPr>
      </w:pPr>
    </w:p>
    <w:p w14:paraId="64351029" w14:textId="77777777" w:rsidR="004348F7" w:rsidRPr="006B0F72" w:rsidRDefault="0020251E" w:rsidP="003655B6">
      <w:pPr>
        <w:pStyle w:val="Titrearticle"/>
        <w:rPr>
          <w:noProof/>
        </w:rPr>
      </w:pPr>
      <w:r w:rsidRPr="006B0F72">
        <w:rPr>
          <w:noProof/>
        </w:rPr>
        <w:t xml:space="preserve">Člen 7 </w:t>
      </w:r>
      <w:r w:rsidRPr="006B0F72">
        <w:rPr>
          <w:noProof/>
        </w:rPr>
        <w:br/>
      </w:r>
      <w:r w:rsidRPr="006B0F72">
        <w:rPr>
          <w:b/>
          <w:i w:val="0"/>
          <w:noProof/>
        </w:rPr>
        <w:t>Obnova naravne rečne povezljivosti in naravnih funkcij povezanih poplavnih območij</w:t>
      </w:r>
      <w:r w:rsidRPr="006B0F72">
        <w:rPr>
          <w:noProof/>
        </w:rPr>
        <w:t xml:space="preserve"> </w:t>
      </w:r>
    </w:p>
    <w:p w14:paraId="62B9DBB2" w14:textId="369D414C" w:rsidR="00E6632B" w:rsidRPr="006B0F72" w:rsidRDefault="00652A97" w:rsidP="00652A97">
      <w:pPr>
        <w:pStyle w:val="ManualNumPar1"/>
        <w:rPr>
          <w:noProof/>
        </w:rPr>
      </w:pPr>
      <w:r w:rsidRPr="00652A97">
        <w:rPr>
          <w:noProof/>
        </w:rPr>
        <w:t>1.</w:t>
      </w:r>
      <w:r w:rsidRPr="00652A97">
        <w:rPr>
          <w:noProof/>
        </w:rPr>
        <w:tab/>
      </w:r>
      <w:r w:rsidR="5C32C346" w:rsidRPr="006B0F72">
        <w:rPr>
          <w:noProof/>
        </w:rPr>
        <w:t>Države članice pripravijo popis ovir za vzdolžno in prečno povezljivost površinskih voda ter opredelijo ovire, ki jih je treba odstraniti, da se prispeva k doseganju ciljev za obnovo iz člena 4 te uredbe in cilja obnove najmanj 25 000 km rek v stanje nereguliranih rek v Uniji do leta 2030, brez poseganja v Direktivo 2000/60/ES, zlasti člen 4(3), (5) in (7) Direktive, ter Uredbo 1315/2013, zlasti člen 15 Uredbe.</w:t>
      </w:r>
    </w:p>
    <w:p w14:paraId="0F2E1D99" w14:textId="14450353" w:rsidR="00EA1BE6" w:rsidRPr="006B0F72" w:rsidRDefault="00652A97" w:rsidP="00652A97">
      <w:pPr>
        <w:pStyle w:val="ManualNumPar1"/>
        <w:rPr>
          <w:noProof/>
        </w:rPr>
      </w:pPr>
      <w:r w:rsidRPr="00652A97">
        <w:rPr>
          <w:noProof/>
        </w:rPr>
        <w:t>2.</w:t>
      </w:r>
      <w:r w:rsidRPr="00652A97">
        <w:rPr>
          <w:noProof/>
        </w:rPr>
        <w:tab/>
      </w:r>
      <w:r w:rsidR="66D885FF" w:rsidRPr="006B0F72">
        <w:rPr>
          <w:noProof/>
        </w:rPr>
        <w:t>Države članice odstranijo ovire za vzdolžno in prečno povezljivost površinskih voda, opredeljene v odstavku 1 tega člena, v skladu z načrtom za njihovo odstranitev iz člena 12(2), točka (f). Države članice pri odpravljanju ovir obravnavajo predvsem zastarele ovire, ki niso več potrebne za proizvodnjo energije iz obnovljivih virov, plovbo po celinskih plovnih poteh, oskrbo z vodo ali za druge namene.</w:t>
      </w:r>
    </w:p>
    <w:p w14:paraId="77323991" w14:textId="071A3A8E" w:rsidR="006C15D3" w:rsidRPr="006B0F72" w:rsidRDefault="00652A97" w:rsidP="00652A97">
      <w:pPr>
        <w:pStyle w:val="ManualNumPar1"/>
        <w:rPr>
          <w:noProof/>
        </w:rPr>
      </w:pPr>
      <w:r w:rsidRPr="00652A97">
        <w:rPr>
          <w:noProof/>
        </w:rPr>
        <w:t>3.</w:t>
      </w:r>
      <w:r w:rsidRPr="00652A97">
        <w:rPr>
          <w:noProof/>
        </w:rPr>
        <w:tab/>
      </w:r>
      <w:r w:rsidR="0771705A" w:rsidRPr="006B0F72">
        <w:rPr>
          <w:noProof/>
        </w:rPr>
        <w:t xml:space="preserve">Države članice odstranitev ovir iz odstavka 2 dopolnijo z ukrepi, potrebnimi za izboljšanje naravnih funkcij povezanih poplavnih območij. </w:t>
      </w:r>
    </w:p>
    <w:p w14:paraId="5CD75859" w14:textId="77777777" w:rsidR="00A77AD1" w:rsidRPr="006B0F72" w:rsidRDefault="00A77AD1" w:rsidP="00E81D73">
      <w:pPr>
        <w:rPr>
          <w:noProof/>
        </w:rPr>
      </w:pPr>
    </w:p>
    <w:p w14:paraId="4C654518" w14:textId="77777777" w:rsidR="004348F7" w:rsidRPr="006B0F72" w:rsidRDefault="0020251E" w:rsidP="003655B6">
      <w:pPr>
        <w:pStyle w:val="Titrearticle"/>
        <w:rPr>
          <w:noProof/>
        </w:rPr>
      </w:pPr>
      <w:r w:rsidRPr="006B0F72">
        <w:rPr>
          <w:noProof/>
        </w:rPr>
        <w:t xml:space="preserve">Člen 8 </w:t>
      </w:r>
      <w:r w:rsidRPr="006B0F72">
        <w:rPr>
          <w:noProof/>
        </w:rPr>
        <w:br/>
      </w:r>
      <w:r w:rsidRPr="006B0F72">
        <w:rPr>
          <w:b/>
          <w:i w:val="0"/>
          <w:noProof/>
        </w:rPr>
        <w:t xml:space="preserve">Obnova opraševalskih populacij </w:t>
      </w:r>
      <w:r w:rsidRPr="006B0F72">
        <w:rPr>
          <w:noProof/>
        </w:rPr>
        <w:t xml:space="preserve"> </w:t>
      </w:r>
    </w:p>
    <w:p w14:paraId="64187FBC" w14:textId="14CFE894" w:rsidR="00DE1BB5" w:rsidRPr="006B0F72" w:rsidRDefault="00652A97" w:rsidP="00652A97">
      <w:pPr>
        <w:pStyle w:val="ManualNumPar1"/>
        <w:rPr>
          <w:noProof/>
        </w:rPr>
      </w:pPr>
      <w:r w:rsidRPr="00652A97">
        <w:rPr>
          <w:noProof/>
        </w:rPr>
        <w:t>1.</w:t>
      </w:r>
      <w:r w:rsidRPr="00652A97">
        <w:rPr>
          <w:noProof/>
        </w:rPr>
        <w:tab/>
      </w:r>
      <w:r w:rsidR="215EA0A6" w:rsidRPr="006B0F72">
        <w:rPr>
          <w:noProof/>
        </w:rPr>
        <w:t xml:space="preserve">Države članice obrnejo trend upada opraševalskih populacij do leta 2030, nato pa dosežejo trend povečanja opraševalskih populacij , ki se po letu 2030 meri vsaka tri leta, dokler se ne dosežejo zadovoljive ravni, kot je določeno v skladu s členom 11(3). </w:t>
      </w:r>
    </w:p>
    <w:p w14:paraId="1AE93D38" w14:textId="06556352" w:rsidR="00B061D4" w:rsidRPr="006B0F72" w:rsidRDefault="00652A97" w:rsidP="00652A97">
      <w:pPr>
        <w:pStyle w:val="ManualNumPar1"/>
        <w:rPr>
          <w:noProof/>
        </w:rPr>
      </w:pPr>
      <w:r w:rsidRPr="00652A97">
        <w:rPr>
          <w:noProof/>
        </w:rPr>
        <w:t>2.</w:t>
      </w:r>
      <w:r w:rsidRPr="00652A97">
        <w:rPr>
          <w:noProof/>
        </w:rPr>
        <w:tab/>
      </w:r>
      <w:r w:rsidR="00F962B1" w:rsidRPr="006B0F72">
        <w:rPr>
          <w:noProof/>
        </w:rPr>
        <w:t xml:space="preserve">Komisija sprejme izvedbene akte za določitev metode za spremljanje opraševalskih populacij. Ti izvedbeni akti se sprejmejo v skladu s postopkom pregleda iz člena 21(2). </w:t>
      </w:r>
    </w:p>
    <w:p w14:paraId="00DE52BB" w14:textId="38A0A7E2" w:rsidR="00E9266B" w:rsidRPr="006B0F72" w:rsidRDefault="00652A97" w:rsidP="00652A97">
      <w:pPr>
        <w:pStyle w:val="ManualNumPar1"/>
        <w:rPr>
          <w:noProof/>
        </w:rPr>
      </w:pPr>
      <w:r w:rsidRPr="00652A97">
        <w:rPr>
          <w:noProof/>
        </w:rPr>
        <w:t>3.</w:t>
      </w:r>
      <w:r w:rsidRPr="00652A97">
        <w:rPr>
          <w:noProof/>
        </w:rPr>
        <w:tab/>
      </w:r>
      <w:r w:rsidR="11CF237F" w:rsidRPr="006B0F72">
        <w:rPr>
          <w:noProof/>
        </w:rPr>
        <w:t xml:space="preserve">Metoda iz odstavka 2 zagotavlja standardiziran pristop k zbiranju letnih podatkov o številčnosti in raznovrstnosti vrst opraševalcev in ocenjevanju trendov opraševalskih populacij. </w:t>
      </w:r>
    </w:p>
    <w:p w14:paraId="6C188B0D" w14:textId="77777777" w:rsidR="004348F7" w:rsidRPr="006B0F72" w:rsidRDefault="73BBD083" w:rsidP="003655B6">
      <w:pPr>
        <w:pStyle w:val="Titrearticle"/>
        <w:rPr>
          <w:b/>
          <w:bCs/>
          <w:i w:val="0"/>
          <w:noProof/>
        </w:rPr>
      </w:pPr>
      <w:r w:rsidRPr="006B0F72">
        <w:rPr>
          <w:noProof/>
        </w:rPr>
        <w:t xml:space="preserve">Člen 9 </w:t>
      </w:r>
      <w:r w:rsidRPr="006B0F72">
        <w:rPr>
          <w:noProof/>
        </w:rPr>
        <w:br/>
      </w:r>
      <w:r w:rsidRPr="006B0F72">
        <w:rPr>
          <w:b/>
          <w:i w:val="0"/>
          <w:noProof/>
        </w:rPr>
        <w:t>Obnova kmetijskih ekosistemov</w:t>
      </w:r>
    </w:p>
    <w:p w14:paraId="049B57A1" w14:textId="38ABF9F3" w:rsidR="00B95119" w:rsidRPr="006B0F72" w:rsidRDefault="00652A97" w:rsidP="00652A97">
      <w:pPr>
        <w:pStyle w:val="ManualNumPar1"/>
        <w:rPr>
          <w:noProof/>
        </w:rPr>
      </w:pPr>
      <w:r w:rsidRPr="00652A97">
        <w:rPr>
          <w:noProof/>
        </w:rPr>
        <w:t>1.</w:t>
      </w:r>
      <w:r w:rsidRPr="00652A97">
        <w:rPr>
          <w:noProof/>
        </w:rPr>
        <w:tab/>
      </w:r>
      <w:r w:rsidR="5E0944D4" w:rsidRPr="006B0F72">
        <w:rPr>
          <w:noProof/>
        </w:rPr>
        <w:t xml:space="preserve">Poleg območij, na katerih se izvajajo ukrepi za obnovo v skladu s členom 4(1), (2) in (3), države članice vzpostavijo ukrepe za obnovo, potrebne za povečanje biotske raznovrstnosti kmetijskih ekosistemov. </w:t>
      </w:r>
    </w:p>
    <w:p w14:paraId="567D7BB3" w14:textId="65CB05D7" w:rsidR="006B4E38" w:rsidRPr="006B0F72" w:rsidRDefault="00652A97" w:rsidP="00652A97">
      <w:pPr>
        <w:pStyle w:val="ManualNumPar1"/>
        <w:rPr>
          <w:noProof/>
        </w:rPr>
      </w:pPr>
      <w:r w:rsidRPr="00652A97">
        <w:rPr>
          <w:noProof/>
        </w:rPr>
        <w:t>2.</w:t>
      </w:r>
      <w:r w:rsidRPr="00652A97">
        <w:rPr>
          <w:noProof/>
        </w:rPr>
        <w:tab/>
      </w:r>
      <w:r w:rsidR="2BD2C60B" w:rsidRPr="006B0F72">
        <w:rPr>
          <w:noProof/>
        </w:rPr>
        <w:t>Države članice na nacionalni ravni dosežejo trend povečanja vsakega od naslednjih kazalnikov v kmetijskih ekosistemih, kot je podrobneje opredeljeno v Prilogi IV, ki se merijo v obdobju od datuma začetka veljavnosti te uredbe do 31. decembra 2030, nato pa vsaka tri leta, dokler se ne dosežejo zadovoljive ravni, določene v skladu s členom 11(3):</w:t>
      </w:r>
    </w:p>
    <w:p w14:paraId="26FF756B" w14:textId="0423A058" w:rsidR="00A537A6" w:rsidRPr="006B0F72" w:rsidRDefault="00652A97" w:rsidP="00652A97">
      <w:pPr>
        <w:pStyle w:val="Point1"/>
        <w:rPr>
          <w:rFonts w:eastAsiaTheme="minorEastAsia"/>
          <w:noProof/>
        </w:rPr>
      </w:pPr>
      <w:r w:rsidRPr="00652A97">
        <w:rPr>
          <w:noProof/>
        </w:rPr>
        <w:t>(a)</w:t>
      </w:r>
      <w:r w:rsidRPr="00652A97">
        <w:rPr>
          <w:noProof/>
        </w:rPr>
        <w:tab/>
      </w:r>
      <w:r w:rsidR="0CCEF6C1" w:rsidRPr="006B0F72">
        <w:rPr>
          <w:noProof/>
        </w:rPr>
        <w:t xml:space="preserve">indeks travniških metuljev; </w:t>
      </w:r>
    </w:p>
    <w:p w14:paraId="31485939" w14:textId="6D983B30" w:rsidR="0031173F" w:rsidRPr="006B0F72" w:rsidRDefault="00652A97" w:rsidP="00652A97">
      <w:pPr>
        <w:pStyle w:val="Point1"/>
        <w:rPr>
          <w:rFonts w:eastAsiaTheme="minorEastAsia"/>
          <w:noProof/>
        </w:rPr>
      </w:pPr>
      <w:r w:rsidRPr="00652A97">
        <w:rPr>
          <w:noProof/>
        </w:rPr>
        <w:t>(b)</w:t>
      </w:r>
      <w:r w:rsidRPr="00652A97">
        <w:rPr>
          <w:noProof/>
        </w:rPr>
        <w:tab/>
      </w:r>
      <w:r w:rsidR="006654F0" w:rsidRPr="006B0F72">
        <w:rPr>
          <w:noProof/>
        </w:rPr>
        <w:t>zaloge organskega ogljika v mineralnih tleh njivskih površin;</w:t>
      </w:r>
    </w:p>
    <w:p w14:paraId="3F93A0E5" w14:textId="7CBCAF26" w:rsidR="0031173F" w:rsidRPr="006B0F72" w:rsidRDefault="00652A97" w:rsidP="00652A97">
      <w:pPr>
        <w:pStyle w:val="Point1"/>
        <w:rPr>
          <w:rFonts w:eastAsiaTheme="minorEastAsia"/>
          <w:noProof/>
        </w:rPr>
      </w:pPr>
      <w:r w:rsidRPr="00652A97">
        <w:rPr>
          <w:noProof/>
        </w:rPr>
        <w:t>(c)</w:t>
      </w:r>
      <w:r w:rsidRPr="00652A97">
        <w:rPr>
          <w:noProof/>
        </w:rPr>
        <w:tab/>
      </w:r>
      <w:r w:rsidR="0031173F" w:rsidRPr="006B0F72">
        <w:rPr>
          <w:noProof/>
        </w:rPr>
        <w:t xml:space="preserve">delež kmetijskih zemljišč z visokoraznovrstnimi značilnostmi pokrajine. </w:t>
      </w:r>
    </w:p>
    <w:p w14:paraId="1D904C15" w14:textId="2E228107" w:rsidR="00FB3EF7" w:rsidRPr="006B0F72" w:rsidRDefault="00652A97" w:rsidP="00652A97">
      <w:pPr>
        <w:pStyle w:val="ManualNumPar1"/>
        <w:rPr>
          <w:noProof/>
        </w:rPr>
      </w:pPr>
      <w:r w:rsidRPr="00652A97">
        <w:rPr>
          <w:noProof/>
        </w:rPr>
        <w:t>3.</w:t>
      </w:r>
      <w:r w:rsidRPr="00652A97">
        <w:rPr>
          <w:noProof/>
        </w:rPr>
        <w:tab/>
      </w:r>
      <w:r w:rsidR="62371288" w:rsidRPr="006B0F72">
        <w:rPr>
          <w:noProof/>
        </w:rPr>
        <w:t>Države članice uvedejo ukrepe za obnovo, s katerimi zagotovijo, da indeks splošno razširjenih ptic kmetijske krajine na nacionalni ravni, ki temelji na vrstah, navedenih v Prilogi V, indeksiran dne … [</w:t>
      </w:r>
      <w:r w:rsidR="62371288" w:rsidRPr="006B0F72">
        <w:rPr>
          <w:i/>
          <w:iCs/>
          <w:noProof/>
        </w:rPr>
        <w:t>Urad za publikacije: vstavite datum = prvi dan meseca, ki sledi 12 mesecem po datumu začetka veljavnosti te uredbe</w:t>
      </w:r>
      <w:r w:rsidR="62371288" w:rsidRPr="006B0F72">
        <w:rPr>
          <w:noProof/>
        </w:rPr>
        <w:t>] = 100, dosega naslednje ravni:</w:t>
      </w:r>
    </w:p>
    <w:p w14:paraId="43C381C5" w14:textId="2D90FC0E" w:rsidR="00A67723" w:rsidRPr="006B0F72" w:rsidRDefault="00652A97" w:rsidP="00652A97">
      <w:pPr>
        <w:pStyle w:val="Point1"/>
        <w:rPr>
          <w:noProof/>
        </w:rPr>
      </w:pPr>
      <w:r w:rsidRPr="00652A97">
        <w:rPr>
          <w:noProof/>
        </w:rPr>
        <w:t>(a)</w:t>
      </w:r>
      <w:r w:rsidRPr="00652A97">
        <w:rPr>
          <w:noProof/>
        </w:rPr>
        <w:tab/>
      </w:r>
      <w:r w:rsidR="0125D334" w:rsidRPr="006B0F72">
        <w:rPr>
          <w:noProof/>
        </w:rPr>
        <w:t>110 do leta 2030, 120 do leta 2040 in 130 do leta 2050 za države članice, navedene v Prilogi V, katerih populacije ptic kmetijske krajine so bile v zgodovini bolj izčrpane;</w:t>
      </w:r>
    </w:p>
    <w:p w14:paraId="3E5628A0" w14:textId="02C72988" w:rsidR="00A67723" w:rsidRPr="006B0F72" w:rsidRDefault="00652A97" w:rsidP="00652A97">
      <w:pPr>
        <w:pStyle w:val="Point1"/>
        <w:rPr>
          <w:noProof/>
        </w:rPr>
      </w:pPr>
      <w:r w:rsidRPr="00652A97">
        <w:rPr>
          <w:noProof/>
        </w:rPr>
        <w:t>(b)</w:t>
      </w:r>
      <w:r w:rsidRPr="00652A97">
        <w:rPr>
          <w:noProof/>
        </w:rPr>
        <w:tab/>
      </w:r>
      <w:r w:rsidR="0125D334" w:rsidRPr="006B0F72">
        <w:rPr>
          <w:noProof/>
        </w:rPr>
        <w:t>105 do leta 2030, 110 do leta 2040 in 115 do leta 2050 za države članice, navedene v Prilogi IV, katerih populacije ptic kmetijske krajine so bile v zgodovini manj izčrpane.</w:t>
      </w:r>
    </w:p>
    <w:p w14:paraId="0A615599" w14:textId="2A651443" w:rsidR="08CF412B" w:rsidRPr="006B0F72" w:rsidRDefault="00652A97" w:rsidP="00652A97">
      <w:pPr>
        <w:pStyle w:val="ManualNumPar1"/>
        <w:rPr>
          <w:noProof/>
        </w:rPr>
      </w:pPr>
      <w:r w:rsidRPr="00652A97">
        <w:rPr>
          <w:noProof/>
        </w:rPr>
        <w:t>4.</w:t>
      </w:r>
      <w:r w:rsidRPr="00652A97">
        <w:rPr>
          <w:noProof/>
        </w:rPr>
        <w:tab/>
      </w:r>
      <w:r w:rsidR="5A1F5B59" w:rsidRPr="006B0F72">
        <w:rPr>
          <w:noProof/>
        </w:rPr>
        <w:t>Za organska tla v kmetijski rabi, ki predstavljajo izsušena šotišča, države članice vzpostavijo ukrepe za obnovo. Navedeni ukrepi se vzpostavijo na najmanj:</w:t>
      </w:r>
    </w:p>
    <w:p w14:paraId="531D8F65" w14:textId="2899ABEB" w:rsidR="006379EC" w:rsidRPr="006B0F72" w:rsidRDefault="00652A97" w:rsidP="00652A97">
      <w:pPr>
        <w:pStyle w:val="Point1"/>
        <w:rPr>
          <w:noProof/>
        </w:rPr>
      </w:pPr>
      <w:r w:rsidRPr="00652A97">
        <w:rPr>
          <w:noProof/>
        </w:rPr>
        <w:t>(a)</w:t>
      </w:r>
      <w:r w:rsidRPr="00652A97">
        <w:rPr>
          <w:noProof/>
        </w:rPr>
        <w:tab/>
      </w:r>
      <w:r w:rsidR="5A1F5B59" w:rsidRPr="006B0F72">
        <w:rPr>
          <w:noProof/>
        </w:rPr>
        <w:t>30 % takih območij do leta 2030, najmanj četrtina katerih je bila ponovno vzpostavljena;</w:t>
      </w:r>
    </w:p>
    <w:p w14:paraId="3012F41A" w14:textId="6573DAB1" w:rsidR="006379EC" w:rsidRPr="006B0F72" w:rsidRDefault="00652A97" w:rsidP="00652A97">
      <w:pPr>
        <w:pStyle w:val="Point1"/>
        <w:rPr>
          <w:noProof/>
        </w:rPr>
      </w:pPr>
      <w:r w:rsidRPr="00652A97">
        <w:rPr>
          <w:noProof/>
        </w:rPr>
        <w:t>(b)</w:t>
      </w:r>
      <w:r w:rsidRPr="00652A97">
        <w:rPr>
          <w:noProof/>
        </w:rPr>
        <w:tab/>
      </w:r>
      <w:r w:rsidR="5A1F5B59" w:rsidRPr="006B0F72">
        <w:rPr>
          <w:noProof/>
        </w:rPr>
        <w:t>50 % takih območij do leta 2040, najmanj polovica katerih je bila ponovno vzpostavljena;</w:t>
      </w:r>
    </w:p>
    <w:p w14:paraId="622B5E30" w14:textId="76A5100E" w:rsidR="00E87845" w:rsidRDefault="00652A97" w:rsidP="00652A97">
      <w:pPr>
        <w:pStyle w:val="Point1"/>
        <w:rPr>
          <w:noProof/>
        </w:rPr>
      </w:pPr>
      <w:r w:rsidRPr="00652A97">
        <w:rPr>
          <w:noProof/>
        </w:rPr>
        <w:t>(c)</w:t>
      </w:r>
      <w:r w:rsidRPr="00652A97">
        <w:rPr>
          <w:noProof/>
        </w:rPr>
        <w:tab/>
      </w:r>
      <w:r w:rsidR="5A1F5B59" w:rsidRPr="006B0F72">
        <w:rPr>
          <w:noProof/>
        </w:rPr>
        <w:t xml:space="preserve">70 % takih območij do leta 2050, najmanj polovica katerih je bila ponovno vzpostavljena. </w:t>
      </w:r>
    </w:p>
    <w:p w14:paraId="049BDA0C" w14:textId="77777777" w:rsidR="008E59BB" w:rsidRPr="006B0F72" w:rsidRDefault="008E59BB" w:rsidP="005E5211">
      <w:pPr>
        <w:ind w:left="720"/>
        <w:rPr>
          <w:noProof/>
        </w:rPr>
      </w:pPr>
      <w:r w:rsidRPr="006B0F72">
        <w:rPr>
          <w:noProof/>
        </w:rPr>
        <w:t>Države članice lahko na območjih izkopavanja šote uvedejo ukrepe za obnovo, vključno s ponovnim mokrenjem, in jih štejejo za območja, ki prispevajo k doseganju zadevnih ciljev iz prvega pododstavka, točke (a), (b) in (c). </w:t>
      </w:r>
    </w:p>
    <w:p w14:paraId="27F545A0" w14:textId="1282FD03" w:rsidR="5A1F5B59" w:rsidRPr="006B0F72" w:rsidRDefault="008E59BB" w:rsidP="005E5211">
      <w:pPr>
        <w:ind w:left="720"/>
        <w:rPr>
          <w:noProof/>
        </w:rPr>
      </w:pPr>
      <w:r w:rsidRPr="006B0F72">
        <w:rPr>
          <w:noProof/>
        </w:rPr>
        <w:t>Poleg tega lahko države članice uvedejo ukrepe za obnovo za ponovno mokrenje organskih tal, ki predstavljajo izsušena šotišča in so v rabi, ki ni kmetijska raba niti izkopavanje šote, ter štejejo, da ta območja ponovno vzpostavljenih mokrišč prispevajo do največ 20 % k doseganju ciljev iz prvega pododstavka, točke (a), (b) in (c).</w:t>
      </w:r>
      <w:r w:rsidRPr="006B0F72">
        <w:rPr>
          <w:rFonts w:ascii="Segoe UI" w:hAnsi="Segoe UI"/>
          <w:noProof/>
          <w:sz w:val="20"/>
        </w:rPr>
        <w:t xml:space="preserve"> </w:t>
      </w:r>
    </w:p>
    <w:p w14:paraId="077CE63E" w14:textId="77777777" w:rsidR="00C00DA8" w:rsidRPr="006B0F72" w:rsidRDefault="00C00DA8" w:rsidP="00533D18">
      <w:pPr>
        <w:rPr>
          <w:noProof/>
        </w:rPr>
      </w:pPr>
    </w:p>
    <w:p w14:paraId="5D998734" w14:textId="77777777" w:rsidR="002A5F3A" w:rsidRPr="006B0F72" w:rsidRDefault="002A5F3A" w:rsidP="002A5F3A">
      <w:pPr>
        <w:jc w:val="center"/>
        <w:rPr>
          <w:rFonts w:eastAsia="Times New Roman"/>
          <w:i/>
          <w:iCs/>
          <w:noProof/>
          <w:szCs w:val="24"/>
        </w:rPr>
      </w:pPr>
    </w:p>
    <w:p w14:paraId="65E4B5F2" w14:textId="77777777" w:rsidR="000C14B9" w:rsidRPr="006B0F72" w:rsidRDefault="002A5F3A" w:rsidP="003655B6">
      <w:pPr>
        <w:pStyle w:val="Titrearticle"/>
        <w:rPr>
          <w:b/>
          <w:i w:val="0"/>
          <w:noProof/>
        </w:rPr>
      </w:pPr>
      <w:r w:rsidRPr="006B0F72">
        <w:rPr>
          <w:noProof/>
        </w:rPr>
        <w:t xml:space="preserve">Člen 10 </w:t>
      </w:r>
      <w:r w:rsidRPr="006B0F72">
        <w:rPr>
          <w:noProof/>
        </w:rPr>
        <w:br/>
      </w:r>
      <w:r w:rsidRPr="006B0F72">
        <w:rPr>
          <w:b/>
          <w:i w:val="0"/>
          <w:noProof/>
        </w:rPr>
        <w:t>Obnova gozdnih ekosistemov</w:t>
      </w:r>
    </w:p>
    <w:p w14:paraId="1224FFE0" w14:textId="264F3141" w:rsidR="00E81D73" w:rsidRPr="006B0F72" w:rsidRDefault="00652A97" w:rsidP="00652A97">
      <w:pPr>
        <w:pStyle w:val="ManualNumPar1"/>
        <w:rPr>
          <w:noProof/>
        </w:rPr>
      </w:pPr>
      <w:r w:rsidRPr="00652A97">
        <w:rPr>
          <w:noProof/>
        </w:rPr>
        <w:t>1.</w:t>
      </w:r>
      <w:r w:rsidRPr="00652A97">
        <w:rPr>
          <w:noProof/>
        </w:rPr>
        <w:tab/>
      </w:r>
      <w:r w:rsidR="2C6B4BD0" w:rsidRPr="006B0F72">
        <w:rPr>
          <w:noProof/>
        </w:rPr>
        <w:t>Poleg območij, na katerih se izvajajo ukrepi za obnovo v skladu s členom 4(1), (2) in (3), države članice vzpostavijo ukrepe za obnovo, potrebne za povečanje biotske raznovrstnosti gozdnih ekosistemov.</w:t>
      </w:r>
    </w:p>
    <w:p w14:paraId="3078EAA0" w14:textId="290E57E8" w:rsidR="002A5F3A" w:rsidRPr="006B0F72" w:rsidRDefault="00652A97" w:rsidP="00652A97">
      <w:pPr>
        <w:pStyle w:val="ManualNumPar1"/>
        <w:rPr>
          <w:rFonts w:eastAsiaTheme="minorEastAsia"/>
          <w:noProof/>
        </w:rPr>
      </w:pPr>
      <w:r w:rsidRPr="00652A97">
        <w:rPr>
          <w:noProof/>
        </w:rPr>
        <w:t>2.</w:t>
      </w:r>
      <w:r w:rsidRPr="00652A97">
        <w:rPr>
          <w:noProof/>
        </w:rPr>
        <w:tab/>
      </w:r>
      <w:r w:rsidR="2C6B4BD0" w:rsidRPr="006B0F72">
        <w:rPr>
          <w:noProof/>
        </w:rPr>
        <w:t>Države članice dosežejo na nacionalni ravni trend povečanja vsakega od naslednjih kazalnikov v gozdnih ekosistemih, kot je podrobneje določeno v Prilogi VI, ki se merijo v obdobju od datuma začetka veljavnosti te uredbe do 31. decembra 2030, nato pa vsaka tri leta, dokler se ne dosežejo zadovoljive ravni, določene v skladu s členom 11(3):</w:t>
      </w:r>
    </w:p>
    <w:p w14:paraId="29CDC315" w14:textId="0DDB1702" w:rsidR="00A537A6" w:rsidRPr="006B0F72" w:rsidRDefault="00652A97" w:rsidP="00652A97">
      <w:pPr>
        <w:pStyle w:val="Point1"/>
        <w:rPr>
          <w:noProof/>
        </w:rPr>
      </w:pPr>
      <w:r w:rsidRPr="00652A97">
        <w:rPr>
          <w:noProof/>
        </w:rPr>
        <w:t>(a)</w:t>
      </w:r>
      <w:r w:rsidRPr="00652A97">
        <w:rPr>
          <w:noProof/>
        </w:rPr>
        <w:tab/>
      </w:r>
      <w:r w:rsidR="00EE186C" w:rsidRPr="006B0F72">
        <w:rPr>
          <w:noProof/>
        </w:rPr>
        <w:t>stoječa odmrla drevesa,</w:t>
      </w:r>
    </w:p>
    <w:p w14:paraId="55C1D6FE" w14:textId="716A1601" w:rsidR="00EE186C" w:rsidRPr="006B0F72" w:rsidRDefault="00652A97" w:rsidP="00652A97">
      <w:pPr>
        <w:pStyle w:val="Point1"/>
        <w:rPr>
          <w:noProof/>
        </w:rPr>
      </w:pPr>
      <w:r w:rsidRPr="00652A97">
        <w:rPr>
          <w:noProof/>
        </w:rPr>
        <w:t>(b)</w:t>
      </w:r>
      <w:r w:rsidRPr="00652A97">
        <w:rPr>
          <w:noProof/>
        </w:rPr>
        <w:tab/>
      </w:r>
      <w:r w:rsidR="00EE186C" w:rsidRPr="006B0F72">
        <w:rPr>
          <w:noProof/>
        </w:rPr>
        <w:t>ležeča odmrla drevesa,</w:t>
      </w:r>
    </w:p>
    <w:p w14:paraId="0861AA5D" w14:textId="132AF0F1" w:rsidR="00A537A6" w:rsidRPr="006B0F72" w:rsidRDefault="00652A97" w:rsidP="00652A97">
      <w:pPr>
        <w:pStyle w:val="Point1"/>
        <w:rPr>
          <w:noProof/>
        </w:rPr>
      </w:pPr>
      <w:r w:rsidRPr="00652A97">
        <w:rPr>
          <w:noProof/>
        </w:rPr>
        <w:t>(c)</w:t>
      </w:r>
      <w:r w:rsidRPr="00652A97">
        <w:rPr>
          <w:noProof/>
        </w:rPr>
        <w:tab/>
      </w:r>
      <w:r w:rsidR="0033668D" w:rsidRPr="006B0F72">
        <w:rPr>
          <w:noProof/>
        </w:rPr>
        <w:t>delež gozdov z neenakomerno starostno strukturo,</w:t>
      </w:r>
    </w:p>
    <w:p w14:paraId="25D16E54" w14:textId="4570CB10" w:rsidR="00A537A6" w:rsidRPr="006B0F72" w:rsidRDefault="00652A97" w:rsidP="00652A97">
      <w:pPr>
        <w:pStyle w:val="Point1"/>
        <w:rPr>
          <w:noProof/>
        </w:rPr>
      </w:pPr>
      <w:r w:rsidRPr="00652A97">
        <w:rPr>
          <w:noProof/>
        </w:rPr>
        <w:t>(d)</w:t>
      </w:r>
      <w:r w:rsidRPr="00652A97">
        <w:rPr>
          <w:noProof/>
        </w:rPr>
        <w:tab/>
      </w:r>
      <w:r w:rsidR="398CDD75" w:rsidRPr="006B0F72">
        <w:rPr>
          <w:noProof/>
        </w:rPr>
        <w:t>povezljivost gozdov,</w:t>
      </w:r>
    </w:p>
    <w:p w14:paraId="6E825D5C" w14:textId="2CDD6B79" w:rsidR="009533B4" w:rsidRPr="006B0F72" w:rsidRDefault="00652A97" w:rsidP="00652A97">
      <w:pPr>
        <w:pStyle w:val="Point1"/>
        <w:rPr>
          <w:noProof/>
        </w:rPr>
      </w:pPr>
      <w:r w:rsidRPr="00652A97">
        <w:rPr>
          <w:noProof/>
        </w:rPr>
        <w:t>(e)</w:t>
      </w:r>
      <w:r w:rsidRPr="00652A97">
        <w:rPr>
          <w:noProof/>
        </w:rPr>
        <w:tab/>
      </w:r>
      <w:r w:rsidR="007E6321" w:rsidRPr="006B0F72">
        <w:rPr>
          <w:noProof/>
        </w:rPr>
        <w:t xml:space="preserve">indeks splošno razširjenih gozdnih ptic, </w:t>
      </w:r>
    </w:p>
    <w:p w14:paraId="1A449241" w14:textId="402A2BC1" w:rsidR="0033668D" w:rsidRPr="006B0F72" w:rsidRDefault="00652A97" w:rsidP="00652A97">
      <w:pPr>
        <w:pStyle w:val="Point1"/>
        <w:rPr>
          <w:noProof/>
        </w:rPr>
      </w:pPr>
      <w:r w:rsidRPr="00652A97">
        <w:rPr>
          <w:noProof/>
        </w:rPr>
        <w:t>(f)</w:t>
      </w:r>
      <w:r w:rsidRPr="00652A97">
        <w:rPr>
          <w:noProof/>
        </w:rPr>
        <w:tab/>
      </w:r>
      <w:r w:rsidR="1CB32F45" w:rsidRPr="006B0F72">
        <w:rPr>
          <w:noProof/>
        </w:rPr>
        <w:t>zaloge organskega ogljika.</w:t>
      </w:r>
    </w:p>
    <w:p w14:paraId="53AB7698" w14:textId="77777777" w:rsidR="000142EF" w:rsidRPr="006B0F72" w:rsidRDefault="000142EF" w:rsidP="002C3868">
      <w:pPr>
        <w:rPr>
          <w:noProof/>
        </w:rPr>
      </w:pPr>
    </w:p>
    <w:p w14:paraId="73F17AC9" w14:textId="77777777" w:rsidR="00B706A4" w:rsidRPr="006B0F72" w:rsidRDefault="008C0C11" w:rsidP="003E03D2">
      <w:pPr>
        <w:pStyle w:val="ChapterTitle"/>
        <w:rPr>
          <w:noProof/>
        </w:rPr>
      </w:pPr>
      <w:r w:rsidRPr="006B0F72">
        <w:rPr>
          <w:noProof/>
        </w:rPr>
        <w:t>POGLAVJE III</w:t>
      </w:r>
    </w:p>
    <w:p w14:paraId="12005B7F" w14:textId="77777777" w:rsidR="00B706A4" w:rsidRPr="006B0F72" w:rsidRDefault="00B706A4" w:rsidP="003E03D2">
      <w:pPr>
        <w:pStyle w:val="ChapterTitle"/>
        <w:rPr>
          <w:noProof/>
        </w:rPr>
      </w:pPr>
      <w:r w:rsidRPr="006B0F72">
        <w:rPr>
          <w:noProof/>
        </w:rPr>
        <w:t>NACIONALNI NAČRTI ZA OBNOVO</w:t>
      </w:r>
    </w:p>
    <w:p w14:paraId="32C2CEF6" w14:textId="77777777" w:rsidR="000C14B9" w:rsidRPr="006B0F72" w:rsidRDefault="00FB2AE2" w:rsidP="001324B9">
      <w:pPr>
        <w:pStyle w:val="Titrearticle"/>
        <w:rPr>
          <w:noProof/>
        </w:rPr>
      </w:pPr>
      <w:r w:rsidRPr="006B0F72">
        <w:rPr>
          <w:noProof/>
        </w:rPr>
        <w:t xml:space="preserve">Člen 11  </w:t>
      </w:r>
      <w:r w:rsidRPr="006B0F72">
        <w:rPr>
          <w:noProof/>
        </w:rPr>
        <w:br/>
      </w:r>
      <w:r w:rsidRPr="006B0F72">
        <w:rPr>
          <w:b/>
          <w:i w:val="0"/>
          <w:noProof/>
        </w:rPr>
        <w:t>Priprava nacionalnih načrtov za obnovo</w:t>
      </w:r>
      <w:r w:rsidRPr="006B0F72">
        <w:rPr>
          <w:noProof/>
        </w:rPr>
        <w:t xml:space="preserve"> </w:t>
      </w:r>
    </w:p>
    <w:p w14:paraId="768A7334" w14:textId="1D8CDDEA" w:rsidR="00E81D73" w:rsidRPr="006B0F72" w:rsidRDefault="00652A97" w:rsidP="00652A97">
      <w:pPr>
        <w:pStyle w:val="ManualNumPar1"/>
        <w:rPr>
          <w:noProof/>
        </w:rPr>
      </w:pPr>
      <w:r w:rsidRPr="00652A97">
        <w:rPr>
          <w:noProof/>
        </w:rPr>
        <w:t>1.</w:t>
      </w:r>
      <w:r w:rsidRPr="00652A97">
        <w:rPr>
          <w:noProof/>
        </w:rPr>
        <w:tab/>
      </w:r>
      <w:r w:rsidR="3DB27B85" w:rsidRPr="006B0F72">
        <w:rPr>
          <w:noProof/>
        </w:rPr>
        <w:t xml:space="preserve">Države članice pripravijo nacionalne načrte za obnovo in izvajajo pripravljalno spremljanje in raziskave, potrebne za opredelitev ukrepov za obnovo, ki so potrebni za doseganje ciljev in izpolnjevanje obveznosti iz členov 4 do 10, ob upoštevanju najnovejših znanstvenih dokazov. </w:t>
      </w:r>
    </w:p>
    <w:p w14:paraId="387288CD" w14:textId="48E53E1E" w:rsidR="0075060A" w:rsidRPr="006B0F72" w:rsidRDefault="00652A97" w:rsidP="00652A97">
      <w:pPr>
        <w:pStyle w:val="ManualNumPar1"/>
        <w:rPr>
          <w:noProof/>
        </w:rPr>
      </w:pPr>
      <w:r w:rsidRPr="00652A97">
        <w:rPr>
          <w:noProof/>
        </w:rPr>
        <w:t>2.</w:t>
      </w:r>
      <w:r w:rsidRPr="00652A97">
        <w:rPr>
          <w:noProof/>
        </w:rPr>
        <w:tab/>
      </w:r>
      <w:r w:rsidR="00116625" w:rsidRPr="006B0F72">
        <w:rPr>
          <w:noProof/>
        </w:rPr>
        <w:t xml:space="preserve">Države članice opredelijo območje, ki ga je treba obnoviti, da bi se dosegli cilji za obnovo iz členov 4 in 5, ob upoštevanju stanja habitatnih tipov iz člena 4(1) in (2) ter člena 5(1) in (2) ter kakovosti in količine habitatov vrst iz člena 4(3) in člena 5(3), ki so prisotni na njihovem ozemlju. Količinska opredelitev med drugim temelji na naslednjih informacijah: </w:t>
      </w:r>
    </w:p>
    <w:p w14:paraId="1CF70481" w14:textId="4C1E7E6F" w:rsidR="0075060A" w:rsidRPr="006B0F72" w:rsidRDefault="00652A97" w:rsidP="00652A97">
      <w:pPr>
        <w:pStyle w:val="Point1"/>
        <w:rPr>
          <w:noProof/>
        </w:rPr>
      </w:pPr>
      <w:r w:rsidRPr="00652A97">
        <w:rPr>
          <w:noProof/>
        </w:rPr>
        <w:t>(a)</w:t>
      </w:r>
      <w:r w:rsidRPr="00652A97">
        <w:rPr>
          <w:noProof/>
        </w:rPr>
        <w:tab/>
      </w:r>
      <w:r w:rsidR="00D12347" w:rsidRPr="006B0F72">
        <w:rPr>
          <w:noProof/>
        </w:rPr>
        <w:t>za vsak habitatni tip:</w:t>
      </w:r>
    </w:p>
    <w:p w14:paraId="4B748F25" w14:textId="77777777" w:rsidR="00C759A9" w:rsidRPr="006B0F72" w:rsidRDefault="00577F48" w:rsidP="00032C27">
      <w:pPr>
        <w:pStyle w:val="Point2"/>
        <w:rPr>
          <w:noProof/>
        </w:rPr>
      </w:pPr>
      <w:r w:rsidRPr="006B0F72">
        <w:rPr>
          <w:noProof/>
        </w:rPr>
        <w:t>(i) skupno območje habitata in zemljevid njegove trenutne razširjenosti;</w:t>
      </w:r>
    </w:p>
    <w:p w14:paraId="51A466D1" w14:textId="77777777" w:rsidR="0075060A" w:rsidRPr="006B0F72" w:rsidRDefault="00577F48" w:rsidP="00032C27">
      <w:pPr>
        <w:pStyle w:val="Point2"/>
        <w:rPr>
          <w:noProof/>
        </w:rPr>
      </w:pPr>
      <w:r w:rsidRPr="006B0F72">
        <w:rPr>
          <w:noProof/>
        </w:rPr>
        <w:t>(ii) območje habitata, ki ni v dobrem stanju;</w:t>
      </w:r>
    </w:p>
    <w:p w14:paraId="2B093ABE" w14:textId="77777777" w:rsidR="44D080C6" w:rsidRPr="006B0F72" w:rsidRDefault="00577F48" w:rsidP="30989DA8">
      <w:pPr>
        <w:pStyle w:val="Point2"/>
        <w:rPr>
          <w:rFonts w:eastAsia="Calibri"/>
          <w:noProof/>
          <w:szCs w:val="24"/>
        </w:rPr>
      </w:pPr>
      <w:r w:rsidRPr="006B0F72">
        <w:rPr>
          <w:noProof/>
        </w:rPr>
        <w:t>(iii) ugodno referenčno območje, pri katerem se upoštevajo evidentirane izgube v najmanj zadnjih 70 letih in napovedane spremembe okoljskih pogojev zaradi podnebnih sprememb;</w:t>
      </w:r>
    </w:p>
    <w:p w14:paraId="1C1F4432" w14:textId="77777777" w:rsidR="44D080C6" w:rsidRPr="006B0F72" w:rsidRDefault="00577F48" w:rsidP="71D9331E">
      <w:pPr>
        <w:pStyle w:val="Point2"/>
        <w:rPr>
          <w:rFonts w:eastAsia="Calibri"/>
          <w:noProof/>
          <w:szCs w:val="24"/>
        </w:rPr>
      </w:pPr>
      <w:r w:rsidRPr="006B0F72">
        <w:rPr>
          <w:noProof/>
        </w:rPr>
        <w:t>(iv) območja, ki so najprimernejša za ponovno vzpostavitev habitatnih tipov glede na obstoječe in napovedane spremembe okoljskih pogojev zaradi podnebnih sprememb;</w:t>
      </w:r>
    </w:p>
    <w:p w14:paraId="7687FC57" w14:textId="309480D0" w:rsidR="0075060A" w:rsidRPr="006B0F72" w:rsidRDefault="00652A97" w:rsidP="00652A97">
      <w:pPr>
        <w:pStyle w:val="Point1"/>
        <w:rPr>
          <w:noProof/>
        </w:rPr>
      </w:pPr>
      <w:r w:rsidRPr="00652A97">
        <w:rPr>
          <w:noProof/>
        </w:rPr>
        <w:t>(b)</w:t>
      </w:r>
      <w:r w:rsidRPr="00652A97">
        <w:rPr>
          <w:noProof/>
        </w:rPr>
        <w:tab/>
      </w:r>
      <w:r w:rsidR="19C55A58" w:rsidRPr="006B0F72">
        <w:rPr>
          <w:noProof/>
        </w:rPr>
        <w:t>zadostna kakovost in količina habitatov vrst, ki sta potrebni za doseganje njihovega ugodnega stanja ohranjenosti, ob upoštevanju območij, ki so najprimernejša za ponovno vzpostavitev navedenih habitatov, in povezljivosti, ki je potrebna med habitati za uspevanje populacij vrst, pa tudi obstoječih in napovedanih sprememb okoljskih pogojev zaradi podnebnih sprememb.</w:t>
      </w:r>
    </w:p>
    <w:p w14:paraId="59E88F10" w14:textId="646FD03C" w:rsidR="00BC31EC" w:rsidRPr="006B0F72" w:rsidRDefault="00652A97" w:rsidP="00652A97">
      <w:pPr>
        <w:pStyle w:val="ManualNumPar1"/>
        <w:rPr>
          <w:noProof/>
          <w:color w:val="000000" w:themeColor="text1"/>
        </w:rPr>
      </w:pPr>
      <w:r w:rsidRPr="00652A97">
        <w:rPr>
          <w:noProof/>
        </w:rPr>
        <w:t>3.</w:t>
      </w:r>
      <w:r w:rsidRPr="00652A97">
        <w:rPr>
          <w:noProof/>
        </w:rPr>
        <w:tab/>
      </w:r>
      <w:r w:rsidR="00BC31EC" w:rsidRPr="006B0F72">
        <w:rPr>
          <w:noProof/>
        </w:rPr>
        <w:t>Države članice najpozneje do leta 2030 za vsakega od kazalnikov iz členov 8(1), 9(2) in 10(2) z odprtim in učinkovitim postopkom ter oceno določijo zadovoljive ravni na podlagi najnovejših znanstvenih dokazov in, če je na voljo, okvira iz člena 17(9).</w:t>
      </w:r>
    </w:p>
    <w:p w14:paraId="49C54396" w14:textId="74EDDE23" w:rsidR="00D8335A" w:rsidRPr="006B0F72" w:rsidRDefault="00652A97" w:rsidP="00652A97">
      <w:pPr>
        <w:pStyle w:val="ManualNumPar1"/>
        <w:rPr>
          <w:noProof/>
          <w:color w:val="000000" w:themeColor="text1"/>
        </w:rPr>
      </w:pPr>
      <w:r w:rsidRPr="00652A97">
        <w:rPr>
          <w:noProof/>
        </w:rPr>
        <w:t>4.</w:t>
      </w:r>
      <w:r w:rsidRPr="00652A97">
        <w:rPr>
          <w:noProof/>
        </w:rPr>
        <w:tab/>
      </w:r>
      <w:r w:rsidR="00D8335A" w:rsidRPr="006B0F72">
        <w:rPr>
          <w:noProof/>
        </w:rPr>
        <w:t>Države članice opredelijo in kartirajo kmetijske in gozdne površine, potrebne obnove, zlasti območja, na katerih sta zaradi intenzifikacije ali drugih dejavnikov upravljanja potrebni večja povezljivost in krajinska raznovrstnost.</w:t>
      </w:r>
    </w:p>
    <w:p w14:paraId="2FBEA51D" w14:textId="13606ACC" w:rsidR="00FA2B2E" w:rsidRPr="006B0F72" w:rsidRDefault="00652A97" w:rsidP="00652A97">
      <w:pPr>
        <w:pStyle w:val="ManualNumPar1"/>
        <w:rPr>
          <w:noProof/>
        </w:rPr>
      </w:pPr>
      <w:r w:rsidRPr="00652A97">
        <w:rPr>
          <w:noProof/>
        </w:rPr>
        <w:t>5.</w:t>
      </w:r>
      <w:r w:rsidRPr="00652A97">
        <w:rPr>
          <w:noProof/>
        </w:rPr>
        <w:tab/>
      </w:r>
      <w:r w:rsidR="49C6BE9A" w:rsidRPr="006B0F72">
        <w:rPr>
          <w:noProof/>
        </w:rPr>
        <w:t>Države članice opredelijo sinergije z blaženjem podnebnih sprememb, prilagajanjem podnebnim spremembam in preprečevanjem nesreč ter ustrezno prednostno razvrstijo ukrepe za obnovo. Države članice prav tako upoštevajo:</w:t>
      </w:r>
    </w:p>
    <w:p w14:paraId="3FD11849" w14:textId="1FBC3C42" w:rsidR="00FA2B2E" w:rsidRPr="006B0F72" w:rsidRDefault="00652A97" w:rsidP="00652A97">
      <w:pPr>
        <w:pStyle w:val="Point1"/>
        <w:rPr>
          <w:noProof/>
        </w:rPr>
      </w:pPr>
      <w:r w:rsidRPr="00652A97">
        <w:rPr>
          <w:noProof/>
        </w:rPr>
        <w:t>(a)</w:t>
      </w:r>
      <w:r w:rsidRPr="00652A97">
        <w:rPr>
          <w:noProof/>
        </w:rPr>
        <w:tab/>
      </w:r>
      <w:r w:rsidR="001D019E" w:rsidRPr="006B0F72">
        <w:rPr>
          <w:noProof/>
        </w:rPr>
        <w:t>svoj celovit nacionalni energetski in podnebni načrt iz člena 3 Uredbe (EU) 2018/1999;</w:t>
      </w:r>
    </w:p>
    <w:p w14:paraId="539D7EB0" w14:textId="2FE282AF" w:rsidR="00FA2B2E" w:rsidRPr="006B0F72" w:rsidRDefault="00652A97" w:rsidP="00652A97">
      <w:pPr>
        <w:pStyle w:val="Point1"/>
        <w:rPr>
          <w:noProof/>
        </w:rPr>
      </w:pPr>
      <w:r w:rsidRPr="00652A97">
        <w:rPr>
          <w:noProof/>
        </w:rPr>
        <w:t>(b)</w:t>
      </w:r>
      <w:r w:rsidRPr="00652A97">
        <w:rPr>
          <w:noProof/>
        </w:rPr>
        <w:tab/>
      </w:r>
      <w:r w:rsidR="004E5B27" w:rsidRPr="006B0F72">
        <w:rPr>
          <w:noProof/>
        </w:rPr>
        <w:t>svojo dolgoročno strategijo iz člena 15 Uredbe (EU) 2018/1999;</w:t>
      </w:r>
      <w:r w:rsidR="004E5B27" w:rsidRPr="006B0F72">
        <w:rPr>
          <w:noProof/>
          <w:sz w:val="16"/>
        </w:rPr>
        <w:t xml:space="preserve"> </w:t>
      </w:r>
    </w:p>
    <w:p w14:paraId="5C11FB6E" w14:textId="556C1EB2" w:rsidR="00FA2B2E" w:rsidRPr="006B0F72" w:rsidRDefault="00652A97" w:rsidP="00652A97">
      <w:pPr>
        <w:pStyle w:val="Point1"/>
        <w:rPr>
          <w:noProof/>
        </w:rPr>
      </w:pPr>
      <w:r w:rsidRPr="00652A97">
        <w:rPr>
          <w:noProof/>
        </w:rPr>
        <w:t>(c)</w:t>
      </w:r>
      <w:r w:rsidRPr="00652A97">
        <w:rPr>
          <w:noProof/>
        </w:rPr>
        <w:tab/>
      </w:r>
      <w:r w:rsidR="002731CA" w:rsidRPr="006B0F72">
        <w:rPr>
          <w:noProof/>
        </w:rPr>
        <w:t xml:space="preserve">zavezujoč cilj Unije za leto 2030 iz člena 3 Direktive (EU) 2018/2001 Evropskega parlamenta in Sveta. </w:t>
      </w:r>
    </w:p>
    <w:p w14:paraId="38E78E77" w14:textId="7C1F3CCA" w:rsidR="004E5B27" w:rsidRPr="006B0F72" w:rsidRDefault="00652A97" w:rsidP="00652A97">
      <w:pPr>
        <w:pStyle w:val="ManualNumPar1"/>
        <w:rPr>
          <w:noProof/>
          <w:color w:val="000000" w:themeColor="text1"/>
          <w:u w:val="single"/>
        </w:rPr>
      </w:pPr>
      <w:r w:rsidRPr="00652A97">
        <w:rPr>
          <w:noProof/>
        </w:rPr>
        <w:t>6.</w:t>
      </w:r>
      <w:r w:rsidRPr="00652A97">
        <w:rPr>
          <w:noProof/>
        </w:rPr>
        <w:tab/>
      </w:r>
      <w:r w:rsidR="00804537" w:rsidRPr="006B0F72">
        <w:rPr>
          <w:noProof/>
          <w:shd w:val="clear" w:color="auto" w:fill="FFFFFF"/>
        </w:rPr>
        <w:t>Razvoj svojih nacionalnih načrtov za obnovo uskladijo z določanjem namenskih območij za obnovljive vire energije. Med pripravo načrtov za obnovo narave države članice zagotovijo sinergije z že določenimi namenskimi območji za obnovljive vire energije in poskrbijo, da delovanje namenskih območij za obnovljive vire energije ostane nespremenjeno, vključno s postopki izdaje dovoljenj, ki se uporabljajo za namenska območja za obnovljive vire energije, predvidenimi v Direktivi (EU) 2018/2001.</w:t>
      </w:r>
    </w:p>
    <w:p w14:paraId="26514D77" w14:textId="5D00A0A2" w:rsidR="00BF3117" w:rsidRPr="006B0F72" w:rsidRDefault="00652A97" w:rsidP="00652A97">
      <w:pPr>
        <w:pStyle w:val="ManualNumPar1"/>
        <w:rPr>
          <w:noProof/>
        </w:rPr>
      </w:pPr>
      <w:r w:rsidRPr="00652A97">
        <w:rPr>
          <w:noProof/>
        </w:rPr>
        <w:t>7.</w:t>
      </w:r>
      <w:r w:rsidRPr="00652A97">
        <w:rPr>
          <w:noProof/>
        </w:rPr>
        <w:tab/>
      </w:r>
      <w:r w:rsidR="00BF3117" w:rsidRPr="006B0F72">
        <w:rPr>
          <w:noProof/>
        </w:rPr>
        <w:t>Države članice pri pripravi nacionalnih načrtov za obnovo upoštevajo naslednje:</w:t>
      </w:r>
    </w:p>
    <w:p w14:paraId="181586BB" w14:textId="6EAC247C" w:rsidR="00BF3117" w:rsidRPr="006B0F72" w:rsidRDefault="00652A97" w:rsidP="00652A97">
      <w:pPr>
        <w:pStyle w:val="Point1"/>
        <w:rPr>
          <w:noProof/>
        </w:rPr>
      </w:pPr>
      <w:r w:rsidRPr="00652A97">
        <w:rPr>
          <w:noProof/>
        </w:rPr>
        <w:t>(a)</w:t>
      </w:r>
      <w:r w:rsidRPr="00652A97">
        <w:rPr>
          <w:noProof/>
        </w:rPr>
        <w:tab/>
      </w:r>
      <w:r w:rsidR="003F2735" w:rsidRPr="006B0F72">
        <w:rPr>
          <w:noProof/>
        </w:rPr>
        <w:t>ohranitvene ukrepe, vzpostavljene za območja Natura 2000 v skladu z Direktivo 92/43/EGS;</w:t>
      </w:r>
    </w:p>
    <w:p w14:paraId="0CDE65C4" w14:textId="25CE1945" w:rsidR="00BF3117" w:rsidRPr="006B0F72" w:rsidRDefault="00652A97" w:rsidP="00652A97">
      <w:pPr>
        <w:pStyle w:val="Point1"/>
        <w:rPr>
          <w:noProof/>
        </w:rPr>
      </w:pPr>
      <w:r w:rsidRPr="00652A97">
        <w:rPr>
          <w:noProof/>
        </w:rPr>
        <w:t>(b)</w:t>
      </w:r>
      <w:r w:rsidRPr="00652A97">
        <w:rPr>
          <w:noProof/>
        </w:rPr>
        <w:tab/>
      </w:r>
      <w:r w:rsidR="003F2735" w:rsidRPr="006B0F72">
        <w:rPr>
          <w:noProof/>
        </w:rPr>
        <w:t>prednostne okvire ukrepanja, pripravljene v skladu z Direktivo 92/43/EGS;</w:t>
      </w:r>
    </w:p>
    <w:p w14:paraId="4AF2BBA9" w14:textId="3E2B7FAE" w:rsidR="00BF3117" w:rsidRPr="006B0F72" w:rsidRDefault="00652A97" w:rsidP="00652A97">
      <w:pPr>
        <w:pStyle w:val="Point1"/>
        <w:rPr>
          <w:noProof/>
        </w:rPr>
      </w:pPr>
      <w:r w:rsidRPr="00652A97">
        <w:rPr>
          <w:noProof/>
        </w:rPr>
        <w:t>(c)</w:t>
      </w:r>
      <w:r w:rsidRPr="00652A97">
        <w:rPr>
          <w:noProof/>
        </w:rPr>
        <w:tab/>
      </w:r>
      <w:r w:rsidR="003F2735" w:rsidRPr="006B0F72">
        <w:rPr>
          <w:noProof/>
        </w:rPr>
        <w:t>ukrepe za doseganje dobrega ekološkega in kemijskega stanja vodnih teles, vključene v načrte upravljanja povodij, ki so pripravljeni v skladu z Direktivo 2000/60/ES;</w:t>
      </w:r>
    </w:p>
    <w:p w14:paraId="5D1629B8" w14:textId="6678AA56" w:rsidR="00BF3117" w:rsidRPr="006B0F72" w:rsidRDefault="00652A97" w:rsidP="00652A97">
      <w:pPr>
        <w:pStyle w:val="Point1"/>
        <w:rPr>
          <w:noProof/>
        </w:rPr>
      </w:pPr>
      <w:r w:rsidRPr="00652A97">
        <w:rPr>
          <w:noProof/>
        </w:rPr>
        <w:t>(d)</w:t>
      </w:r>
      <w:r w:rsidRPr="00652A97">
        <w:rPr>
          <w:noProof/>
        </w:rPr>
        <w:tab/>
      </w:r>
      <w:r w:rsidR="003F2735" w:rsidRPr="006B0F72">
        <w:rPr>
          <w:noProof/>
        </w:rPr>
        <w:t>morske strategije za doseganje dobrega okoljskega stanja v vseh morskih regijah Unije, pripravljene v skladu z Direktivo 2008/56/ES;</w:t>
      </w:r>
    </w:p>
    <w:p w14:paraId="364B6431" w14:textId="3FF649C4" w:rsidR="00BF3117" w:rsidRPr="006B0F72" w:rsidRDefault="00652A97" w:rsidP="00652A97">
      <w:pPr>
        <w:pStyle w:val="Point1"/>
        <w:rPr>
          <w:noProof/>
        </w:rPr>
      </w:pPr>
      <w:r w:rsidRPr="00652A97">
        <w:rPr>
          <w:noProof/>
        </w:rPr>
        <w:t>(e)</w:t>
      </w:r>
      <w:r w:rsidRPr="00652A97">
        <w:rPr>
          <w:noProof/>
        </w:rPr>
        <w:tab/>
      </w:r>
      <w:r w:rsidR="00C759A9" w:rsidRPr="006B0F72">
        <w:rPr>
          <w:noProof/>
        </w:rPr>
        <w:t>nacionalne programe nadzora nad onesnaževanjem zraka, pripravljene v skladu z Direktivo (EU) 2016/2284;</w:t>
      </w:r>
    </w:p>
    <w:p w14:paraId="054F784E" w14:textId="6819C70E" w:rsidR="003F2735" w:rsidRPr="006B0F72" w:rsidRDefault="00652A97" w:rsidP="00652A97">
      <w:pPr>
        <w:pStyle w:val="Point1"/>
        <w:rPr>
          <w:noProof/>
        </w:rPr>
      </w:pPr>
      <w:r w:rsidRPr="00652A97">
        <w:rPr>
          <w:noProof/>
        </w:rPr>
        <w:t>(f)</w:t>
      </w:r>
      <w:r w:rsidRPr="00652A97">
        <w:rPr>
          <w:noProof/>
        </w:rPr>
        <w:tab/>
      </w:r>
      <w:r w:rsidR="003F2735" w:rsidRPr="006B0F72">
        <w:rPr>
          <w:noProof/>
        </w:rPr>
        <w:t>nacionalne strategije in akcijske načrte za biotsko raznovrstnost, pripravljene v skladu s členom 6 Konvencije o biološki raznovrstnosti;</w:t>
      </w:r>
    </w:p>
    <w:p w14:paraId="54C70D45" w14:textId="653CC9E2" w:rsidR="004E5B27" w:rsidRPr="006B0F72" w:rsidRDefault="00652A97" w:rsidP="00652A97">
      <w:pPr>
        <w:pStyle w:val="Point1"/>
        <w:rPr>
          <w:noProof/>
        </w:rPr>
      </w:pPr>
      <w:r w:rsidRPr="00652A97">
        <w:rPr>
          <w:noProof/>
        </w:rPr>
        <w:t>(g)</w:t>
      </w:r>
      <w:r w:rsidRPr="00652A97">
        <w:rPr>
          <w:noProof/>
        </w:rPr>
        <w:tab/>
      </w:r>
      <w:r w:rsidR="004E5B27" w:rsidRPr="006B0F72">
        <w:rPr>
          <w:noProof/>
        </w:rPr>
        <w:t>ohranitvene ukrepe, sprejete v okviru skupne ribiške politike.</w:t>
      </w:r>
    </w:p>
    <w:p w14:paraId="7354EE19" w14:textId="4572EEB7" w:rsidR="00667721" w:rsidRPr="006B0F72" w:rsidRDefault="00652A97" w:rsidP="00652A97">
      <w:pPr>
        <w:pStyle w:val="ManualNumPar1"/>
        <w:rPr>
          <w:noProof/>
        </w:rPr>
      </w:pPr>
      <w:r w:rsidRPr="00652A97">
        <w:rPr>
          <w:noProof/>
        </w:rPr>
        <w:t>8.</w:t>
      </w:r>
      <w:r w:rsidRPr="00652A97">
        <w:rPr>
          <w:noProof/>
        </w:rPr>
        <w:tab/>
      </w:r>
      <w:r w:rsidR="312C57F2" w:rsidRPr="006B0F72">
        <w:rPr>
          <w:noProof/>
        </w:rPr>
        <w:t>Države članice pri pripravi nacionalnih načrtov za obnovo uporabijo različne primere ukrepov za obnovo iz Priloge VII glede na specifične nacionalne in lokalne pogoje ter najnovejše znanstvene dokaze.</w:t>
      </w:r>
    </w:p>
    <w:p w14:paraId="1C3F33B7" w14:textId="021A4919" w:rsidR="00667721" w:rsidRPr="006B0F72" w:rsidRDefault="00652A97" w:rsidP="00652A97">
      <w:pPr>
        <w:pStyle w:val="ManualNumPar1"/>
        <w:rPr>
          <w:noProof/>
        </w:rPr>
      </w:pPr>
      <w:r w:rsidRPr="00652A97">
        <w:rPr>
          <w:noProof/>
        </w:rPr>
        <w:t>9.</w:t>
      </w:r>
      <w:r w:rsidRPr="00652A97">
        <w:rPr>
          <w:noProof/>
        </w:rPr>
        <w:tab/>
      </w:r>
      <w:r w:rsidR="00667721" w:rsidRPr="006B0F72">
        <w:rPr>
          <w:noProof/>
        </w:rPr>
        <w:t>Države članice si pri pripravi nacionalnih načrtov za obnovo prizadevajo optimizirati ekološke, gospodarske in družbene funkcije ekosistemov ter njihov prispevek k trajnostnemu razvoju zadevnih regij in skupnosti.</w:t>
      </w:r>
    </w:p>
    <w:p w14:paraId="3FAFA60F" w14:textId="578E1DCE" w:rsidR="009026B1" w:rsidRPr="006B0F72" w:rsidRDefault="00652A97" w:rsidP="00652A97">
      <w:pPr>
        <w:pStyle w:val="ManualNumPar1"/>
        <w:rPr>
          <w:noProof/>
        </w:rPr>
      </w:pPr>
      <w:r w:rsidRPr="00652A97">
        <w:rPr>
          <w:noProof/>
        </w:rPr>
        <w:t>10.</w:t>
      </w:r>
      <w:r w:rsidRPr="00652A97">
        <w:rPr>
          <w:noProof/>
        </w:rPr>
        <w:tab/>
      </w:r>
      <w:r w:rsidR="19C55A58" w:rsidRPr="006B0F72">
        <w:rPr>
          <w:noProof/>
        </w:rPr>
        <w:t>Države članice, kjer je mogoče, spodbujajo sinergije z nacionalnimi načrti drugih držav članic za obnovo, zlasti za ekosisteme, ki segajo prek meja.</w:t>
      </w:r>
    </w:p>
    <w:p w14:paraId="5082583A" w14:textId="628D088E" w:rsidR="00835DB6" w:rsidRPr="006B0F72" w:rsidRDefault="00652A97" w:rsidP="00652A97">
      <w:pPr>
        <w:pStyle w:val="ManualNumPar1"/>
        <w:rPr>
          <w:noProof/>
        </w:rPr>
      </w:pPr>
      <w:r w:rsidRPr="00652A97">
        <w:rPr>
          <w:noProof/>
        </w:rPr>
        <w:t>11.</w:t>
      </w:r>
      <w:r w:rsidRPr="00652A97">
        <w:rPr>
          <w:noProof/>
        </w:rPr>
        <w:tab/>
      </w:r>
      <w:r w:rsidR="35157F2E" w:rsidRPr="006B0F72">
        <w:rPr>
          <w:noProof/>
        </w:rPr>
        <w:t xml:space="preserve">Države članice zagotovijo, da je priprava načrta za obnovo odprta, vključujoča in učinkovita ter da lahko javnost čim prej in učinkovito sodeluje pri njegovi pripravi. Posvetovanja izpolnjujejo zahteve iz členov 4 do 10 Direktive 2001/42/ES. </w:t>
      </w:r>
    </w:p>
    <w:p w14:paraId="337F8D8D" w14:textId="77777777" w:rsidR="00451D83" w:rsidRPr="006B0F72" w:rsidRDefault="00451D83" w:rsidP="00E81D73">
      <w:pPr>
        <w:rPr>
          <w:noProof/>
        </w:rPr>
      </w:pPr>
    </w:p>
    <w:p w14:paraId="3F6623F4" w14:textId="77777777" w:rsidR="000C14B9" w:rsidRPr="006B0F72" w:rsidRDefault="003B2B14" w:rsidP="001324B9">
      <w:pPr>
        <w:pStyle w:val="Titrearticle"/>
        <w:rPr>
          <w:noProof/>
        </w:rPr>
      </w:pPr>
      <w:r w:rsidRPr="006B0F72">
        <w:rPr>
          <w:noProof/>
        </w:rPr>
        <w:t xml:space="preserve">Člen 12  </w:t>
      </w:r>
      <w:r w:rsidRPr="006B0F72">
        <w:rPr>
          <w:noProof/>
        </w:rPr>
        <w:br/>
      </w:r>
      <w:r w:rsidRPr="006B0F72">
        <w:rPr>
          <w:b/>
          <w:i w:val="0"/>
          <w:noProof/>
        </w:rPr>
        <w:t>Vsebina nacionalnih načrtov za obnovo</w:t>
      </w:r>
      <w:r w:rsidRPr="006B0F72">
        <w:rPr>
          <w:noProof/>
        </w:rPr>
        <w:t xml:space="preserve"> </w:t>
      </w:r>
    </w:p>
    <w:p w14:paraId="4C7E174A" w14:textId="4F4343CE" w:rsidR="0051551E" w:rsidRPr="006B0F72" w:rsidRDefault="00652A97" w:rsidP="00652A97">
      <w:pPr>
        <w:pStyle w:val="ManualNumPar1"/>
        <w:rPr>
          <w:noProof/>
        </w:rPr>
      </w:pPr>
      <w:r w:rsidRPr="00652A97">
        <w:rPr>
          <w:noProof/>
        </w:rPr>
        <w:t>1.</w:t>
      </w:r>
      <w:r w:rsidRPr="00652A97">
        <w:rPr>
          <w:noProof/>
        </w:rPr>
        <w:tab/>
      </w:r>
      <w:r w:rsidR="6189887C" w:rsidRPr="006B0F72">
        <w:rPr>
          <w:noProof/>
        </w:rPr>
        <w:t>Nacionalni načrt za obnovo zajema obdobje do leta 2050 z vmesnimi roki, ki ustrezajo ciljem in obveznostim iz členov 4 do 10.</w:t>
      </w:r>
    </w:p>
    <w:p w14:paraId="1C504EF2" w14:textId="14EFD175" w:rsidR="003B2B14" w:rsidRPr="006B0F72" w:rsidRDefault="00652A97" w:rsidP="00652A97">
      <w:pPr>
        <w:pStyle w:val="ManualNumPar1"/>
        <w:rPr>
          <w:noProof/>
        </w:rPr>
      </w:pPr>
      <w:r w:rsidRPr="00652A97">
        <w:rPr>
          <w:noProof/>
        </w:rPr>
        <w:t>2.</w:t>
      </w:r>
      <w:r w:rsidRPr="00652A97">
        <w:rPr>
          <w:noProof/>
        </w:rPr>
        <w:tab/>
      </w:r>
      <w:r w:rsidR="5CC05D8A" w:rsidRPr="006B0F72">
        <w:rPr>
          <w:noProof/>
        </w:rPr>
        <w:t>Države članice z uporabo enotne oblike, določene v skladu z odstavkom 4 tega člena, v svoj nacionalni načrt za obnovo vključijo naslednje elemente:</w:t>
      </w:r>
    </w:p>
    <w:p w14:paraId="4FF16451" w14:textId="750326AE" w:rsidR="00DB7D1D" w:rsidRPr="006B0F72" w:rsidRDefault="00652A97" w:rsidP="00652A97">
      <w:pPr>
        <w:pStyle w:val="Point1"/>
        <w:rPr>
          <w:noProof/>
        </w:rPr>
      </w:pPr>
      <w:r w:rsidRPr="00652A97">
        <w:rPr>
          <w:noProof/>
        </w:rPr>
        <w:t>(a)</w:t>
      </w:r>
      <w:r w:rsidRPr="00652A97">
        <w:rPr>
          <w:noProof/>
        </w:rPr>
        <w:tab/>
      </w:r>
      <w:r w:rsidR="19F09264" w:rsidRPr="006B0F72">
        <w:rPr>
          <w:noProof/>
        </w:rPr>
        <w:t>količinsko opredelitev območij, ki se obnovijo za doseganje ciljev za obnovo iz členov 4 do 10 na podlagi pripravljalnega dela, ki se opravlja v skladu s členom 11, in geografsko referenciranih zemljevidov navedenih območij;</w:t>
      </w:r>
    </w:p>
    <w:p w14:paraId="7AA25F6C" w14:textId="01DC21A3" w:rsidR="00DB7D1D" w:rsidRPr="006B0F72" w:rsidRDefault="00652A97" w:rsidP="00652A97">
      <w:pPr>
        <w:pStyle w:val="Point1"/>
        <w:rPr>
          <w:noProof/>
        </w:rPr>
      </w:pPr>
      <w:r w:rsidRPr="00652A97">
        <w:rPr>
          <w:noProof/>
        </w:rPr>
        <w:t>(b)</w:t>
      </w:r>
      <w:r w:rsidRPr="00652A97">
        <w:rPr>
          <w:noProof/>
        </w:rPr>
        <w:tab/>
      </w:r>
      <w:r w:rsidR="00DB7D1D" w:rsidRPr="006B0F72">
        <w:rPr>
          <w:noProof/>
        </w:rPr>
        <w:t>opis načrtovanih ali vzpostavljenih ukrepov za obnovo za doseganje ciljev in izpolnjevanje obveznosti iz členov 4 do 10 ter specifikacijo o tem, kateri od navedenih ukrepov za obnovo se načrtujejo ali vzpostavljajo v omrežju Natura 2000, vzpostavljenem v skladu z Direktivo 92/43/EGS;</w:t>
      </w:r>
    </w:p>
    <w:p w14:paraId="4233B6EF" w14:textId="34497A0D" w:rsidR="00DE595E" w:rsidRPr="006B0F72" w:rsidRDefault="00652A97" w:rsidP="00652A97">
      <w:pPr>
        <w:pStyle w:val="Point1"/>
        <w:rPr>
          <w:noProof/>
        </w:rPr>
      </w:pPr>
      <w:r w:rsidRPr="00652A97">
        <w:rPr>
          <w:noProof/>
        </w:rPr>
        <w:t>(c)</w:t>
      </w:r>
      <w:r w:rsidRPr="00652A97">
        <w:rPr>
          <w:noProof/>
        </w:rPr>
        <w:tab/>
      </w:r>
      <w:r w:rsidR="00DE595E" w:rsidRPr="006B0F72">
        <w:rPr>
          <w:noProof/>
        </w:rPr>
        <w:t>navedbo ukrepov za zagotovitev, da se območja, zajeta s habitatnimi tipi iz prilog I in II, ne poslabšajo na območjih, na katerih je bilo doseženo dobro stanje, ter da se habitati vrst iz člena 4(3) in člena 5(3) ne poslabšajo na območjih, na katerih je bila dosežena zadostna kakovost habitatov vrst v skladu s členom 4(6) in členom 5(6);</w:t>
      </w:r>
    </w:p>
    <w:p w14:paraId="54FDBCAC" w14:textId="695D1DB4" w:rsidR="00DE595E" w:rsidRPr="006B0F72" w:rsidRDefault="00652A97" w:rsidP="00652A97">
      <w:pPr>
        <w:pStyle w:val="Point1"/>
        <w:rPr>
          <w:noProof/>
        </w:rPr>
      </w:pPr>
      <w:r w:rsidRPr="00652A97">
        <w:rPr>
          <w:noProof/>
        </w:rPr>
        <w:t>(d)</w:t>
      </w:r>
      <w:r w:rsidRPr="00652A97">
        <w:rPr>
          <w:noProof/>
        </w:rPr>
        <w:tab/>
      </w:r>
      <w:r w:rsidR="00DE595E" w:rsidRPr="006B0F72">
        <w:rPr>
          <w:noProof/>
        </w:rPr>
        <w:t>navedbo ukrepov za zagotovitev, da se območja, zajeta s habitatnimi tipi iz prilog I in II, ne poslabšajo v skladu s členom 4(7) in členom 5(7);</w:t>
      </w:r>
    </w:p>
    <w:p w14:paraId="253C0820" w14:textId="2DB3E4CB" w:rsidR="003A2DE8" w:rsidRPr="006B0F72" w:rsidRDefault="00652A97" w:rsidP="00652A97">
      <w:pPr>
        <w:pStyle w:val="Point1"/>
        <w:rPr>
          <w:noProof/>
        </w:rPr>
      </w:pPr>
      <w:r w:rsidRPr="00652A97">
        <w:rPr>
          <w:noProof/>
        </w:rPr>
        <w:t>(e)</w:t>
      </w:r>
      <w:r w:rsidRPr="00652A97">
        <w:rPr>
          <w:noProof/>
        </w:rPr>
        <w:tab/>
      </w:r>
      <w:r w:rsidR="005D3B43" w:rsidRPr="006B0F72">
        <w:rPr>
          <w:noProof/>
        </w:rPr>
        <w:t>popis ovir in ovir, opredeljenih za odstranitev v skladu s členom 7(1), načrt njihove odstranitve v skladu s členom 7(2) in oceno dolžine nereguliranih rek, ki bo dosežena z odstranitvijo navedenih ovir do leta 2030 in do leta 2050, ter vse druge ukrepe za ponovno vzpostavitev naravnih funkcij poplavnih območij v skladu s členom 7(3);</w:t>
      </w:r>
    </w:p>
    <w:p w14:paraId="0B106DD9" w14:textId="51A4789C" w:rsidR="005F1256" w:rsidRPr="006B0F72" w:rsidRDefault="00652A97" w:rsidP="00652A97">
      <w:pPr>
        <w:pStyle w:val="Point1"/>
        <w:rPr>
          <w:noProof/>
        </w:rPr>
      </w:pPr>
      <w:r w:rsidRPr="00652A97">
        <w:rPr>
          <w:noProof/>
        </w:rPr>
        <w:t>(f)</w:t>
      </w:r>
      <w:r w:rsidRPr="00652A97">
        <w:rPr>
          <w:noProof/>
        </w:rPr>
        <w:tab/>
      </w:r>
      <w:r w:rsidR="6B09F7AB" w:rsidRPr="006B0F72">
        <w:rPr>
          <w:noProof/>
        </w:rPr>
        <w:t>časovni okvir za vzpostavitev ukrepov za obnovo v skladu s členi 4 do 10;</w:t>
      </w:r>
    </w:p>
    <w:p w14:paraId="1052D67B" w14:textId="0A253D11" w:rsidR="00D646D8" w:rsidRPr="006B0F72" w:rsidRDefault="00652A97" w:rsidP="00652A97">
      <w:pPr>
        <w:pStyle w:val="Point1"/>
        <w:rPr>
          <w:noProof/>
        </w:rPr>
      </w:pPr>
      <w:r w:rsidRPr="00652A97">
        <w:rPr>
          <w:noProof/>
        </w:rPr>
        <w:t>(g)</w:t>
      </w:r>
      <w:r w:rsidRPr="00652A97">
        <w:rPr>
          <w:noProof/>
        </w:rPr>
        <w:tab/>
      </w:r>
      <w:r w:rsidR="4922D007" w:rsidRPr="006B0F72">
        <w:rPr>
          <w:noProof/>
        </w:rPr>
        <w:t xml:space="preserve">po potrebi namenski oddelek, ki določa prilagojene ukrepe za obnovo v njihovih najbolj oddaljenih regijah; </w:t>
      </w:r>
    </w:p>
    <w:p w14:paraId="54FAEC72" w14:textId="4AD93724" w:rsidR="005F1256" w:rsidRPr="006B0F72" w:rsidRDefault="00652A97" w:rsidP="00652A97">
      <w:pPr>
        <w:pStyle w:val="Point1"/>
        <w:rPr>
          <w:noProof/>
        </w:rPr>
      </w:pPr>
      <w:r w:rsidRPr="00652A97">
        <w:rPr>
          <w:noProof/>
        </w:rPr>
        <w:t>(h)</w:t>
      </w:r>
      <w:r w:rsidRPr="00652A97">
        <w:rPr>
          <w:noProof/>
        </w:rPr>
        <w:tab/>
      </w:r>
      <w:r w:rsidR="4922D007" w:rsidRPr="006B0F72">
        <w:rPr>
          <w:noProof/>
        </w:rPr>
        <w:t xml:space="preserve">spremljanje območij, na katerih se izvaja obnova v skladu s členoma 4 in 5, postopek za ocenjevanje učinkovitosti ukrepov za obnovo, vzpostavljenih v skladu s členi 4 do 10, ter po potrebi spreminjanje navedenih ukrepov za zagotovitev, da so cilji in obveznosti iz členov 4 do 10 doseženi oziroma izpolnjeni; </w:t>
      </w:r>
    </w:p>
    <w:p w14:paraId="394DC15C" w14:textId="608AE0A6" w:rsidR="007E3E24" w:rsidRPr="006B0F72" w:rsidRDefault="00652A97" w:rsidP="00652A97">
      <w:pPr>
        <w:pStyle w:val="Point1"/>
        <w:rPr>
          <w:noProof/>
        </w:rPr>
      </w:pPr>
      <w:r w:rsidRPr="00652A97">
        <w:rPr>
          <w:noProof/>
        </w:rPr>
        <w:t>(i)</w:t>
      </w:r>
      <w:r w:rsidRPr="00652A97">
        <w:rPr>
          <w:noProof/>
        </w:rPr>
        <w:tab/>
      </w:r>
      <w:r w:rsidR="005819CD" w:rsidRPr="006B0F72">
        <w:rPr>
          <w:noProof/>
        </w:rPr>
        <w:t>navedbo določil za zagotavljanje stalnih, dolgoročnih in trajnih učinkov ukrepov za obnovo iz členov 4 do 10;</w:t>
      </w:r>
    </w:p>
    <w:p w14:paraId="76FFA822" w14:textId="07AF0621" w:rsidR="00F105F3" w:rsidRPr="006B0F72" w:rsidRDefault="00652A97" w:rsidP="00652A97">
      <w:pPr>
        <w:pStyle w:val="Point1"/>
        <w:rPr>
          <w:noProof/>
        </w:rPr>
      </w:pPr>
      <w:r w:rsidRPr="00652A97">
        <w:rPr>
          <w:noProof/>
        </w:rPr>
        <w:t>(j)</w:t>
      </w:r>
      <w:r w:rsidRPr="00652A97">
        <w:rPr>
          <w:noProof/>
        </w:rPr>
        <w:tab/>
      </w:r>
      <w:r w:rsidR="6B09F7AB" w:rsidRPr="006B0F72">
        <w:rPr>
          <w:noProof/>
        </w:rPr>
        <w:t>ocenjene dodatne koristi za blaženje podnebnih sprememb, postopno povezane z ukrepi za obnovo, pa tudi širše socialno-ekonomske koristi navedenih ukrepov;</w:t>
      </w:r>
    </w:p>
    <w:p w14:paraId="48E205A8" w14:textId="6DF5BF0B" w:rsidR="001A5DA5" w:rsidRPr="006B0F72" w:rsidRDefault="00652A97" w:rsidP="00652A97">
      <w:pPr>
        <w:pStyle w:val="Point1"/>
        <w:rPr>
          <w:noProof/>
        </w:rPr>
      </w:pPr>
      <w:r w:rsidRPr="00652A97">
        <w:rPr>
          <w:noProof/>
        </w:rPr>
        <w:t>(k)</w:t>
      </w:r>
      <w:r w:rsidRPr="00652A97">
        <w:rPr>
          <w:noProof/>
        </w:rPr>
        <w:tab/>
      </w:r>
      <w:r w:rsidR="490FDC09" w:rsidRPr="006B0F72">
        <w:rPr>
          <w:noProof/>
        </w:rPr>
        <w:t xml:space="preserve">namenski oddelek, ki določa način, kako se v nacionalnem načrtu za obnovo upoštevajo: </w:t>
      </w:r>
    </w:p>
    <w:p w14:paraId="21FFC7B0" w14:textId="77777777" w:rsidR="001A5DA5" w:rsidRPr="006B0F72" w:rsidRDefault="490FDC09" w:rsidP="00A22E53">
      <w:pPr>
        <w:pStyle w:val="Point2"/>
        <w:rPr>
          <w:noProof/>
        </w:rPr>
      </w:pPr>
      <w:r w:rsidRPr="006B0F72">
        <w:rPr>
          <w:noProof/>
        </w:rPr>
        <w:t xml:space="preserve">(i) pomembnost scenarijev podnebnih sprememb za načrtovanje vrste in lokacije ukrepov za obnovo; </w:t>
      </w:r>
    </w:p>
    <w:p w14:paraId="6C9C739E" w14:textId="77777777" w:rsidR="001A5DA5" w:rsidRPr="006B0F72" w:rsidRDefault="490FDC09" w:rsidP="00A22E53">
      <w:pPr>
        <w:pStyle w:val="Point2"/>
        <w:rPr>
          <w:noProof/>
        </w:rPr>
      </w:pPr>
      <w:r w:rsidRPr="006B0F72">
        <w:rPr>
          <w:noProof/>
        </w:rPr>
        <w:t xml:space="preserve">(ii) potencial ukrepov za obnovo za zmanjšanje učinkov podnebnih sprememb na naravo, da se preprečijo naravne nesreče in podpre prilagajanje; </w:t>
      </w:r>
    </w:p>
    <w:p w14:paraId="490C5595" w14:textId="77777777" w:rsidR="00F105F3" w:rsidRPr="006B0F72" w:rsidRDefault="490FDC09" w:rsidP="00B16B21">
      <w:pPr>
        <w:pStyle w:val="Point2"/>
        <w:rPr>
          <w:noProof/>
        </w:rPr>
      </w:pPr>
      <w:r w:rsidRPr="006B0F72">
        <w:rPr>
          <w:noProof/>
        </w:rPr>
        <w:t xml:space="preserve">(iii) sinergije z nacionalnimi strategijami za prilagajanje ali načrti in nacionalnimi poročili o oceni tveganja nesreč; </w:t>
      </w:r>
    </w:p>
    <w:p w14:paraId="793BFF3B" w14:textId="77777777" w:rsidR="002D7773" w:rsidRPr="006B0F72" w:rsidRDefault="006F166C" w:rsidP="00A22E53">
      <w:pPr>
        <w:pStyle w:val="Point2"/>
        <w:rPr>
          <w:noProof/>
        </w:rPr>
      </w:pPr>
      <w:r w:rsidRPr="006B0F72">
        <w:rPr>
          <w:noProof/>
        </w:rPr>
        <w:t>(iv) pregled medsebojnega delovanja med ukrepi, vključenimi v nacionalni načrt za obnovo, in nacionalnim energetskim in podnebnim načrtom;</w:t>
      </w:r>
    </w:p>
    <w:p w14:paraId="0DBB6CED" w14:textId="607B1C33" w:rsidR="00F105F3" w:rsidRPr="006B0F72" w:rsidRDefault="00652A97" w:rsidP="00652A97">
      <w:pPr>
        <w:pStyle w:val="Point1"/>
        <w:rPr>
          <w:noProof/>
        </w:rPr>
      </w:pPr>
      <w:r w:rsidRPr="00652A97">
        <w:rPr>
          <w:noProof/>
        </w:rPr>
        <w:t>(l)</w:t>
      </w:r>
      <w:r w:rsidRPr="00652A97">
        <w:rPr>
          <w:noProof/>
        </w:rPr>
        <w:tab/>
      </w:r>
      <w:r w:rsidR="7F6AE66D" w:rsidRPr="006B0F72">
        <w:rPr>
          <w:noProof/>
        </w:rPr>
        <w:t xml:space="preserve">ocenjene potrebe po financiranju za izvajanje ukrepov za obnovo, ki vključujejo opis podpore deležnikom, ki jih zadevajo ukrepi za obnovo ali druge nove obveznosti, ki izhajajo iz te uredbe, ter način nameravanega financiranja, javnega ali zasebnega, vključno s (so)financiranjem z instrumenti Unije za financiranje;  </w:t>
      </w:r>
    </w:p>
    <w:p w14:paraId="6A4E888D" w14:textId="2ABE4573" w:rsidR="00E32900" w:rsidRPr="006B0F72" w:rsidRDefault="00652A97" w:rsidP="00652A97">
      <w:pPr>
        <w:pStyle w:val="Point1"/>
        <w:rPr>
          <w:noProof/>
        </w:rPr>
      </w:pPr>
      <w:r w:rsidRPr="00652A97">
        <w:rPr>
          <w:noProof/>
        </w:rPr>
        <w:t>(m)</w:t>
      </w:r>
      <w:r w:rsidRPr="00652A97">
        <w:rPr>
          <w:noProof/>
        </w:rPr>
        <w:tab/>
      </w:r>
      <w:r w:rsidR="001A5DA5" w:rsidRPr="006B0F72">
        <w:rPr>
          <w:noProof/>
        </w:rPr>
        <w:t>navedbo subvencij, ki negativno vplivajo na doseganje ciljev in izpolnjevanje obveznosti iz te uredbe;</w:t>
      </w:r>
    </w:p>
    <w:p w14:paraId="61D97BDC" w14:textId="37E36C4B" w:rsidR="0076394B" w:rsidRPr="006B0F72" w:rsidRDefault="00652A97" w:rsidP="00652A97">
      <w:pPr>
        <w:pStyle w:val="Point1"/>
        <w:rPr>
          <w:noProof/>
        </w:rPr>
      </w:pPr>
      <w:r w:rsidRPr="00652A97">
        <w:rPr>
          <w:noProof/>
        </w:rPr>
        <w:t>(n)</w:t>
      </w:r>
      <w:r w:rsidRPr="00652A97">
        <w:rPr>
          <w:noProof/>
        </w:rPr>
        <w:tab/>
      </w:r>
      <w:r w:rsidR="7F6AE66D" w:rsidRPr="006B0F72">
        <w:rPr>
          <w:noProof/>
        </w:rPr>
        <w:t>povzetek postopka priprave in izdelave nacionalnega načrta za obnovo, vključno z informacijami o sodelovanju javnosti in načinu, kako se upoštevajo potrebe lokalnih skupnosti in deležnikov;</w:t>
      </w:r>
    </w:p>
    <w:p w14:paraId="6F71A3AD" w14:textId="7F9CA7EF" w:rsidR="00052C4D" w:rsidRPr="006B0F72" w:rsidRDefault="00652A97" w:rsidP="00652A97">
      <w:pPr>
        <w:pStyle w:val="Point1"/>
        <w:rPr>
          <w:noProof/>
        </w:rPr>
      </w:pPr>
      <w:r w:rsidRPr="00652A97">
        <w:rPr>
          <w:noProof/>
        </w:rPr>
        <w:t>(o)</w:t>
      </w:r>
      <w:r w:rsidRPr="00652A97">
        <w:rPr>
          <w:noProof/>
        </w:rPr>
        <w:tab/>
      </w:r>
      <w:r w:rsidR="00D541E3" w:rsidRPr="006B0F72">
        <w:rPr>
          <w:noProof/>
        </w:rPr>
        <w:t>namenski oddelek, v katerem je navedeno, kako so bile pripombe Komisije v zvezi z osnutkom nacionalnega načrta za obnovo iz člena 14(4) upoštevane v skladu s členom 14(5).  Če zadevna država članica določene pripombe ali znatnega dela pripombe Komisije ne upošteva, za to poda svojo obrazložitev.</w:t>
      </w:r>
    </w:p>
    <w:p w14:paraId="75A10E3E" w14:textId="41F8C4A4" w:rsidR="43BAFDB9" w:rsidRPr="006B0F72" w:rsidRDefault="00652A97" w:rsidP="00652A97">
      <w:pPr>
        <w:pStyle w:val="ManualNumPar1"/>
        <w:rPr>
          <w:noProof/>
        </w:rPr>
      </w:pPr>
      <w:r w:rsidRPr="00652A97">
        <w:rPr>
          <w:noProof/>
        </w:rPr>
        <w:t>3.</w:t>
      </w:r>
      <w:r w:rsidRPr="00652A97">
        <w:rPr>
          <w:noProof/>
        </w:rPr>
        <w:tab/>
      </w:r>
      <w:r w:rsidR="30055143" w:rsidRPr="006B0F72">
        <w:rPr>
          <w:noProof/>
        </w:rPr>
        <w:t>Nacionalni načrti za obnovo po potrebi vključujejo ohranitvene ukrepe, ki jih namerava država članica sprejeti v okviru skupne ribiške politike, vključno z ohranitvenimi ukrepi v skupnih priporočilih, ki jih namerava država članica uvesti v skladu s postopkom iz Uredbe (EU) št. 1380/2013, ter vse pomembne informacije o navedenih ukrepih.</w:t>
      </w:r>
    </w:p>
    <w:p w14:paraId="3EAC5E07" w14:textId="2AC42629" w:rsidR="000C14B9" w:rsidRPr="006B0F72" w:rsidRDefault="00652A97" w:rsidP="00652A97">
      <w:pPr>
        <w:pStyle w:val="ManualNumPar1"/>
        <w:rPr>
          <w:noProof/>
        </w:rPr>
      </w:pPr>
      <w:r w:rsidRPr="00652A97">
        <w:rPr>
          <w:noProof/>
        </w:rPr>
        <w:t>4.</w:t>
      </w:r>
      <w:r w:rsidRPr="00652A97">
        <w:rPr>
          <w:noProof/>
        </w:rPr>
        <w:tab/>
      </w:r>
      <w:r w:rsidR="5AACE175" w:rsidRPr="006B0F72">
        <w:rPr>
          <w:noProof/>
        </w:rPr>
        <w:t xml:space="preserve">Komisija sprejme izvedbene akte za določitev enotne oblike za nacionalne načrte za obnovo. Ti izvedbeni akti se sprejmejo v skladu s postopkom pregleda iz člena 21(2). Komisiji pri pripravi enotne oblike pomaga Evropska agencija za okolje (EEA). </w:t>
      </w:r>
    </w:p>
    <w:p w14:paraId="75A015F8" w14:textId="77777777" w:rsidR="00EC4B41" w:rsidRPr="006B0F72" w:rsidRDefault="00EC4B41" w:rsidP="00052C4D">
      <w:pPr>
        <w:pStyle w:val="Titrearticle"/>
        <w:rPr>
          <w:noProof/>
        </w:rPr>
      </w:pPr>
      <w:r w:rsidRPr="006B0F72">
        <w:rPr>
          <w:noProof/>
        </w:rPr>
        <w:t>Člen 13</w:t>
      </w:r>
      <w:r w:rsidRPr="006B0F72">
        <w:rPr>
          <w:noProof/>
        </w:rPr>
        <w:br/>
      </w:r>
      <w:r w:rsidRPr="006B0F72">
        <w:rPr>
          <w:b/>
          <w:i w:val="0"/>
          <w:noProof/>
        </w:rPr>
        <w:t>Predložitev osnutka nacionalnega načrta za obnovo</w:t>
      </w:r>
    </w:p>
    <w:p w14:paraId="1977CCB9" w14:textId="77777777" w:rsidR="00EC4B41" w:rsidRPr="006B0F72" w:rsidRDefault="00EC4B41" w:rsidP="000C14B9">
      <w:pPr>
        <w:rPr>
          <w:i/>
          <w:iCs/>
          <w:noProof/>
        </w:rPr>
      </w:pPr>
      <w:r w:rsidRPr="006B0F72">
        <w:rPr>
          <w:noProof/>
        </w:rPr>
        <w:t xml:space="preserve">Države članice Komisiji predložijo osnutek nacionalnega načrta za obnovo iz členov 11 in 12 najpozneje do … </w:t>
      </w:r>
      <w:r w:rsidRPr="006B0F72">
        <w:rPr>
          <w:i/>
          <w:noProof/>
        </w:rPr>
        <w:t xml:space="preserve">[Urad za publikacije: vstavite datum = prvi dan meseca, ki sledi 24 mesecev po datumu začetka veljavnosti te uredbe]. </w:t>
      </w:r>
    </w:p>
    <w:p w14:paraId="23F591FA" w14:textId="77777777" w:rsidR="006540B4" w:rsidRPr="006B0F72" w:rsidRDefault="006540B4" w:rsidP="000C14B9">
      <w:pPr>
        <w:rPr>
          <w:noProof/>
        </w:rPr>
      </w:pPr>
    </w:p>
    <w:p w14:paraId="1EEDE336" w14:textId="77777777" w:rsidR="000C14B9" w:rsidRPr="006B0F72" w:rsidRDefault="00B7078E" w:rsidP="001324B9">
      <w:pPr>
        <w:pStyle w:val="Titrearticle"/>
        <w:rPr>
          <w:noProof/>
        </w:rPr>
      </w:pPr>
      <w:r w:rsidRPr="006B0F72">
        <w:rPr>
          <w:noProof/>
        </w:rPr>
        <w:t xml:space="preserve">Člen 14 </w:t>
      </w:r>
      <w:r w:rsidRPr="006B0F72">
        <w:rPr>
          <w:noProof/>
        </w:rPr>
        <w:br/>
      </w:r>
      <w:r w:rsidRPr="006B0F72">
        <w:rPr>
          <w:b/>
          <w:i w:val="0"/>
          <w:noProof/>
        </w:rPr>
        <w:t>Ocenjevanje nacionalnih načrtov za obnovo</w:t>
      </w:r>
      <w:r w:rsidRPr="006B0F72">
        <w:rPr>
          <w:noProof/>
        </w:rPr>
        <w:t xml:space="preserve"> </w:t>
      </w:r>
    </w:p>
    <w:p w14:paraId="27325BB8" w14:textId="148AC56A" w:rsidR="00B7078E" w:rsidRPr="006B0F72" w:rsidRDefault="00652A97" w:rsidP="00652A97">
      <w:pPr>
        <w:pStyle w:val="ManualNumPar1"/>
        <w:rPr>
          <w:noProof/>
        </w:rPr>
      </w:pPr>
      <w:r w:rsidRPr="00652A97">
        <w:rPr>
          <w:noProof/>
        </w:rPr>
        <w:t>1.</w:t>
      </w:r>
      <w:r w:rsidRPr="00652A97">
        <w:rPr>
          <w:noProof/>
        </w:rPr>
        <w:tab/>
      </w:r>
      <w:r w:rsidR="061F93AE" w:rsidRPr="006B0F72">
        <w:rPr>
          <w:noProof/>
        </w:rPr>
        <w:t xml:space="preserve">Komisija oceni osnutek nacionalnih načrtov za obnovo v šestih mesecih od datuma prejema. Komisija pri tem ocenjevanju deluje v tesnem sodelovanju z zadevno državo članico. </w:t>
      </w:r>
    </w:p>
    <w:p w14:paraId="51F57829" w14:textId="513FB836" w:rsidR="00053DED" w:rsidRPr="006B0F72" w:rsidRDefault="00652A97" w:rsidP="00652A97">
      <w:pPr>
        <w:pStyle w:val="ManualNumPar1"/>
        <w:rPr>
          <w:noProof/>
        </w:rPr>
      </w:pPr>
      <w:r w:rsidRPr="00652A97">
        <w:rPr>
          <w:noProof/>
        </w:rPr>
        <w:t>2.</w:t>
      </w:r>
      <w:r w:rsidRPr="00652A97">
        <w:rPr>
          <w:noProof/>
        </w:rPr>
        <w:tab/>
      </w:r>
      <w:r w:rsidR="60AC98F8" w:rsidRPr="006B0F72">
        <w:rPr>
          <w:noProof/>
        </w:rPr>
        <w:t xml:space="preserve">Komisija pri ocenjevanju osnutka nacionalnega načrta za obnovo oceni njegovo skladnost s členom 12, pa tudi njegovo ustreznost za doseganje ciljev in obveznosti iz členov 4 do 10 ter krovnih ciljev Unije iz člena 1, specifičnih ciljev iz člena 7(1) </w:t>
      </w:r>
      <w:r w:rsidR="60AC98F8" w:rsidRPr="006B0F72">
        <w:rPr>
          <w:noProof/>
          <w:color w:val="000000" w:themeColor="text1"/>
          <w:shd w:val="clear" w:color="auto" w:fill="FFFFFF"/>
        </w:rPr>
        <w:t>za obnovitev vsaj 25 000 km rek v stanje nereguliranih rek v Uniji do leta 2030</w:t>
      </w:r>
      <w:r w:rsidR="60AC98F8" w:rsidRPr="006B0F72">
        <w:rPr>
          <w:noProof/>
        </w:rPr>
        <w:t xml:space="preserve"> in cilja za leto 2030, da se </w:t>
      </w:r>
      <w:r w:rsidR="60AC98F8" w:rsidRPr="006B0F72">
        <w:rPr>
          <w:noProof/>
          <w:shd w:val="clear" w:color="auto" w:fill="FFFFFF"/>
        </w:rPr>
        <w:t>pokrije vsaj 10 % kmetijske površine Unije z zelo raznolikimi krajinskimi značilnostmi</w:t>
      </w:r>
      <w:r w:rsidR="60AC98F8" w:rsidRPr="006B0F72">
        <w:rPr>
          <w:noProof/>
        </w:rPr>
        <w:t>.</w:t>
      </w:r>
      <w:r w:rsidR="60AC98F8" w:rsidRPr="006B0F72">
        <w:rPr>
          <w:noProof/>
          <w:color w:val="000000" w:themeColor="text1"/>
        </w:rPr>
        <w:t xml:space="preserve"> </w:t>
      </w:r>
    </w:p>
    <w:p w14:paraId="510FA053" w14:textId="71FEA653" w:rsidR="00B7078E" w:rsidRPr="006B0F72" w:rsidRDefault="00652A97" w:rsidP="00652A97">
      <w:pPr>
        <w:pStyle w:val="ManualNumPar1"/>
        <w:rPr>
          <w:noProof/>
        </w:rPr>
      </w:pPr>
      <w:r w:rsidRPr="00652A97">
        <w:rPr>
          <w:noProof/>
        </w:rPr>
        <w:t>3.</w:t>
      </w:r>
      <w:r w:rsidRPr="00652A97">
        <w:rPr>
          <w:noProof/>
        </w:rPr>
        <w:tab/>
      </w:r>
      <w:r w:rsidR="60AC98F8" w:rsidRPr="006B0F72">
        <w:rPr>
          <w:noProof/>
        </w:rPr>
        <w:t>Komisiji pri ocenjevanju osnutka nacionalnih načrtov za obnovo pomagajo strokovnjaki EEA.</w:t>
      </w:r>
    </w:p>
    <w:p w14:paraId="5F866B6A" w14:textId="693A05D5" w:rsidR="00B7078E" w:rsidRPr="006B0F72" w:rsidRDefault="00652A97" w:rsidP="00652A97">
      <w:pPr>
        <w:pStyle w:val="ManualNumPar1"/>
        <w:rPr>
          <w:noProof/>
        </w:rPr>
      </w:pPr>
      <w:r w:rsidRPr="00652A97">
        <w:rPr>
          <w:noProof/>
        </w:rPr>
        <w:t>4.</w:t>
      </w:r>
      <w:r w:rsidRPr="00652A97">
        <w:rPr>
          <w:noProof/>
        </w:rPr>
        <w:tab/>
      </w:r>
      <w:r w:rsidR="4E9AC97A" w:rsidRPr="006B0F72">
        <w:rPr>
          <w:noProof/>
        </w:rPr>
        <w:t>Komisija lahko v šestih mesecih od datuma prejema osnutka nacionalnega načrta za obnovo na države članice naslovi pripombe.</w:t>
      </w:r>
    </w:p>
    <w:p w14:paraId="42D3A47D" w14:textId="55884E8B" w:rsidR="669FF730" w:rsidRPr="006B0F72" w:rsidRDefault="00652A97" w:rsidP="00652A97">
      <w:pPr>
        <w:pStyle w:val="ManualNumPar1"/>
        <w:rPr>
          <w:noProof/>
        </w:rPr>
      </w:pPr>
      <w:r w:rsidRPr="00652A97">
        <w:rPr>
          <w:noProof/>
        </w:rPr>
        <w:t>5.</w:t>
      </w:r>
      <w:r w:rsidRPr="00652A97">
        <w:rPr>
          <w:noProof/>
        </w:rPr>
        <w:tab/>
      </w:r>
      <w:r w:rsidR="3DB0AB44" w:rsidRPr="006B0F72">
        <w:rPr>
          <w:noProof/>
        </w:rPr>
        <w:t>Države članice v svojem končnem nacionalnem načrtu za obnovo ustrezno upoštevajo vse pripombe Komisije.</w:t>
      </w:r>
    </w:p>
    <w:p w14:paraId="4C5A273A" w14:textId="6BE89AD2" w:rsidR="22EBAE0D" w:rsidRPr="006B0F72" w:rsidRDefault="00652A97" w:rsidP="00652A97">
      <w:pPr>
        <w:pStyle w:val="ManualNumPar1"/>
        <w:rPr>
          <w:noProof/>
        </w:rPr>
      </w:pPr>
      <w:r w:rsidRPr="00652A97">
        <w:rPr>
          <w:noProof/>
        </w:rPr>
        <w:t>6.</w:t>
      </w:r>
      <w:r w:rsidRPr="00652A97">
        <w:rPr>
          <w:noProof/>
        </w:rPr>
        <w:tab/>
      </w:r>
      <w:r w:rsidR="60AC98F8" w:rsidRPr="006B0F72">
        <w:rPr>
          <w:noProof/>
        </w:rPr>
        <w:t>Države članice nacionalni načrt za obnovo dokončajo, objavijo in ga Komisiji predložijo v šestih mesecih od datuma prejema pripomb Komisije.</w:t>
      </w:r>
    </w:p>
    <w:p w14:paraId="399FB16A" w14:textId="77777777" w:rsidR="00FA30D7" w:rsidRPr="006B0F72" w:rsidRDefault="00FA30D7" w:rsidP="00E81D73">
      <w:pPr>
        <w:rPr>
          <w:noProof/>
        </w:rPr>
      </w:pPr>
    </w:p>
    <w:p w14:paraId="3E660514" w14:textId="77777777" w:rsidR="000C14B9" w:rsidRPr="006B0F72" w:rsidRDefault="00FA30D7" w:rsidP="00052C4D">
      <w:pPr>
        <w:pStyle w:val="Titrearticle"/>
        <w:rPr>
          <w:noProof/>
        </w:rPr>
      </w:pPr>
      <w:r w:rsidRPr="006B0F72">
        <w:rPr>
          <w:noProof/>
        </w:rPr>
        <w:t xml:space="preserve">Člen 15 </w:t>
      </w:r>
      <w:r w:rsidRPr="006B0F72">
        <w:rPr>
          <w:noProof/>
        </w:rPr>
        <w:br/>
      </w:r>
      <w:r w:rsidRPr="006B0F72">
        <w:rPr>
          <w:b/>
          <w:i w:val="0"/>
          <w:noProof/>
        </w:rPr>
        <w:t>Pregled nacionalnih načrtov za obnovo</w:t>
      </w:r>
      <w:r w:rsidRPr="006B0F72">
        <w:rPr>
          <w:noProof/>
        </w:rPr>
        <w:t xml:space="preserve"> </w:t>
      </w:r>
    </w:p>
    <w:p w14:paraId="6ADD9460" w14:textId="2624C6BA" w:rsidR="00E419CE" w:rsidRPr="006B0F72" w:rsidRDefault="00652A97" w:rsidP="00652A97">
      <w:pPr>
        <w:pStyle w:val="ManualNumPar1"/>
        <w:rPr>
          <w:noProof/>
        </w:rPr>
      </w:pPr>
      <w:r w:rsidRPr="00652A97">
        <w:rPr>
          <w:noProof/>
        </w:rPr>
        <w:t>1.</w:t>
      </w:r>
      <w:r w:rsidRPr="00652A97">
        <w:rPr>
          <w:noProof/>
        </w:rPr>
        <w:tab/>
      </w:r>
      <w:r w:rsidR="061F93AE" w:rsidRPr="006B0F72">
        <w:rPr>
          <w:noProof/>
        </w:rPr>
        <w:t>Države članice svoj nacionalni načrt za obnovo pregledajo najmanj vsakih deset let v skladu s členoma 11 in 12, pri tem pa upoštevajo napredek, dosežen na področju izvajanja načrtov, najboljše razpoložljive znanstvene dokaze, pa tudi razpoložljivo znanje o spremembah ali pričakovanih spremembah okoljskih pogojev zaradi podnebnih sprememb.</w:t>
      </w:r>
    </w:p>
    <w:p w14:paraId="519204FC" w14:textId="773E252A" w:rsidR="00E419CE" w:rsidRPr="006B0F72" w:rsidRDefault="00652A97" w:rsidP="00652A97">
      <w:pPr>
        <w:pStyle w:val="ManualNumPar1"/>
        <w:rPr>
          <w:noProof/>
        </w:rPr>
      </w:pPr>
      <w:r w:rsidRPr="00652A97">
        <w:rPr>
          <w:noProof/>
        </w:rPr>
        <w:t>2.</w:t>
      </w:r>
      <w:r w:rsidRPr="00652A97">
        <w:rPr>
          <w:noProof/>
        </w:rPr>
        <w:tab/>
      </w:r>
      <w:r w:rsidR="6CB10A76" w:rsidRPr="006B0F72">
        <w:rPr>
          <w:noProof/>
        </w:rPr>
        <w:t>Ko postane očitno, da ukrepi, določeni v nacionalnem načrtu za obnovo, ne bodo zadostovali za doseganje ciljev in izpolnjevanje obveznosti iz členov 4 do 10, države članice na podlagi spremljanja v skladu s členom 17 nacionalni načrt za obnovo spremenijo ter vključijo dopolnilne ukrepe.</w:t>
      </w:r>
    </w:p>
    <w:p w14:paraId="69D616C7" w14:textId="0456210A" w:rsidR="000C0B84" w:rsidRPr="006B0F72" w:rsidRDefault="00652A97" w:rsidP="00652A97">
      <w:pPr>
        <w:pStyle w:val="ManualNumPar1"/>
        <w:rPr>
          <w:noProof/>
        </w:rPr>
      </w:pPr>
      <w:r w:rsidRPr="00652A97">
        <w:rPr>
          <w:noProof/>
        </w:rPr>
        <w:t>3.</w:t>
      </w:r>
      <w:r w:rsidRPr="00652A97">
        <w:rPr>
          <w:noProof/>
        </w:rPr>
        <w:tab/>
      </w:r>
      <w:r w:rsidR="3A78BDDC" w:rsidRPr="006B0F72">
        <w:rPr>
          <w:noProof/>
        </w:rPr>
        <w:t xml:space="preserve">Če Komisija na podlagi informacij iz člena 18(1) in (2) ter ocene iz člena 18(4) in (5) meni, da napredek države članice ne zadostuje za doseganje ciljev in izpolnjevanje obveznosti iz členov 4 do 10, lahko Komisija od zadevne države članice zahteva, naj predloži posodobljen osnutek nacionalnega načrta za obnovo z dopolnilnimi ukrepi. Navedeni posodobljeni nacionalni načrt za obnovo se objavi in predloži v šestih mesecih od datuma prejema zahteve Komisije. </w:t>
      </w:r>
    </w:p>
    <w:p w14:paraId="5534CB53" w14:textId="77777777" w:rsidR="003929F2" w:rsidRPr="006B0F72" w:rsidRDefault="003929F2" w:rsidP="003929F2">
      <w:pPr>
        <w:pStyle w:val="Titrearticle"/>
        <w:rPr>
          <w:noProof/>
        </w:rPr>
      </w:pPr>
      <w:r w:rsidRPr="006B0F72">
        <w:rPr>
          <w:noProof/>
        </w:rPr>
        <w:t xml:space="preserve">Člen 16 </w:t>
      </w:r>
      <w:r w:rsidRPr="006B0F72">
        <w:rPr>
          <w:noProof/>
        </w:rPr>
        <w:br/>
      </w:r>
      <w:r w:rsidRPr="006B0F72">
        <w:rPr>
          <w:b/>
          <w:i w:val="0"/>
          <w:noProof/>
        </w:rPr>
        <w:t>Dostop do pravnega varstva</w:t>
      </w:r>
    </w:p>
    <w:p w14:paraId="656912BB" w14:textId="39797A50" w:rsidR="003929F2" w:rsidRPr="006B0F72" w:rsidRDefault="00652A97" w:rsidP="00652A97">
      <w:pPr>
        <w:pStyle w:val="ManualNumPar1"/>
        <w:rPr>
          <w:noProof/>
        </w:rPr>
      </w:pPr>
      <w:r w:rsidRPr="00652A97">
        <w:rPr>
          <w:noProof/>
        </w:rPr>
        <w:t>1.</w:t>
      </w:r>
      <w:r w:rsidRPr="00652A97">
        <w:rPr>
          <w:noProof/>
        </w:rPr>
        <w:tab/>
      </w:r>
      <w:r w:rsidR="003929F2" w:rsidRPr="006B0F72">
        <w:rPr>
          <w:noProof/>
        </w:rPr>
        <w:t xml:space="preserve">Države članice v skladu z nacionalnim pravom zagotovijo, da imajo člani javnosti, ki imajo zadosten interes ali uveljavljajo kršeno pravico, dostop do revizije postopka pred sodiščem ali pred drugim neodvisnim in nepristranskim organom, vzpostavljenim z zakonom, da izpodbijajo materialno ali postopkovno zakonitost nacionalnih načrtov za obnovo in vseh opustitev ukrepanja pristojnih organov, ne glede na vlogo, ki so jo člani javnosti imeli med postopkom priprave in izdelave nacionalnega načrta za obnovo. </w:t>
      </w:r>
    </w:p>
    <w:p w14:paraId="0B007923" w14:textId="367ECC89" w:rsidR="003929F2" w:rsidRPr="006B0F72" w:rsidRDefault="00652A97" w:rsidP="00652A97">
      <w:pPr>
        <w:pStyle w:val="ManualNumPar1"/>
        <w:rPr>
          <w:noProof/>
        </w:rPr>
      </w:pPr>
      <w:r w:rsidRPr="00652A97">
        <w:rPr>
          <w:noProof/>
        </w:rPr>
        <w:t>2.</w:t>
      </w:r>
      <w:r w:rsidRPr="00652A97">
        <w:rPr>
          <w:noProof/>
        </w:rPr>
        <w:tab/>
      </w:r>
      <w:r w:rsidR="003929F2" w:rsidRPr="006B0F72">
        <w:rPr>
          <w:noProof/>
        </w:rPr>
        <w:t>Države članice določijo, kaj predstavlja zadosten interes in kršitev pravice, skladno s ciljem, da javnosti zagotovijo širok dostop do pravnega varstva. Za namene odstavka 1 se za vsako nevladno organizacijo, ki spodbuja varstvo okolja in izpolnjuje katere koli zahteve v skladu z nacionalnim pravom, šteje, da ima pravice, ki so lahko kršene, njihov interes pa se šteje za zadosten.</w:t>
      </w:r>
    </w:p>
    <w:p w14:paraId="2C33E817" w14:textId="14A91B08" w:rsidR="003929F2" w:rsidRPr="006B0F72" w:rsidRDefault="00652A97" w:rsidP="00652A97">
      <w:pPr>
        <w:pStyle w:val="ManualNumPar1"/>
        <w:rPr>
          <w:noProof/>
        </w:rPr>
      </w:pPr>
      <w:r w:rsidRPr="00652A97">
        <w:rPr>
          <w:noProof/>
        </w:rPr>
        <w:t>3.</w:t>
      </w:r>
      <w:r w:rsidRPr="00652A97">
        <w:rPr>
          <w:noProof/>
        </w:rPr>
        <w:tab/>
      </w:r>
      <w:r w:rsidR="003929F2" w:rsidRPr="006B0F72">
        <w:rPr>
          <w:noProof/>
        </w:rPr>
        <w:t>Postopek revizije iz odstavka 1 je pošten, nepristranski, pravočasen in brezplačen ali ne pretirano drag ter zagotavlja ustrezna in učinkovita pravna sredstva, vključno s sodno prepovedjo, če je ta potrebna.</w:t>
      </w:r>
    </w:p>
    <w:p w14:paraId="5E5B92EB" w14:textId="0C7C3926" w:rsidR="003929F2" w:rsidRPr="006B0F72" w:rsidRDefault="00652A97" w:rsidP="00652A97">
      <w:pPr>
        <w:pStyle w:val="ManualNumPar1"/>
        <w:rPr>
          <w:noProof/>
        </w:rPr>
      </w:pPr>
      <w:r w:rsidRPr="00652A97">
        <w:rPr>
          <w:noProof/>
        </w:rPr>
        <w:t>4.</w:t>
      </w:r>
      <w:r w:rsidRPr="00652A97">
        <w:rPr>
          <w:noProof/>
        </w:rPr>
        <w:tab/>
      </w:r>
      <w:r w:rsidR="003929F2" w:rsidRPr="006B0F72">
        <w:rPr>
          <w:noProof/>
        </w:rPr>
        <w:t>Države članice zagotovijo, da so javnosti dostopne praktične informacije o dostopu do upravnih in sodnih revizijskih postopkov iz tega člena.</w:t>
      </w:r>
    </w:p>
    <w:p w14:paraId="7A203608" w14:textId="77777777" w:rsidR="003929F2" w:rsidRPr="006B0F72" w:rsidRDefault="003929F2" w:rsidP="000C14B9">
      <w:pPr>
        <w:ind w:left="600"/>
        <w:rPr>
          <w:b/>
          <w:noProof/>
        </w:rPr>
      </w:pPr>
    </w:p>
    <w:p w14:paraId="40C5C9FE" w14:textId="77777777" w:rsidR="00FB2AE2" w:rsidRPr="006B0F72" w:rsidRDefault="008C0C11" w:rsidP="00900221">
      <w:pPr>
        <w:pStyle w:val="ChapterTitle"/>
        <w:rPr>
          <w:noProof/>
        </w:rPr>
      </w:pPr>
      <w:r w:rsidRPr="006B0F72">
        <w:rPr>
          <w:noProof/>
        </w:rPr>
        <w:t>POGLAVJE IV</w:t>
      </w:r>
    </w:p>
    <w:p w14:paraId="7EE2DD20" w14:textId="77777777" w:rsidR="008414FA" w:rsidRPr="006B0F72" w:rsidRDefault="008414FA" w:rsidP="00900221">
      <w:pPr>
        <w:pStyle w:val="ChapterTitle"/>
        <w:rPr>
          <w:noProof/>
        </w:rPr>
      </w:pPr>
      <w:r w:rsidRPr="006B0F72">
        <w:rPr>
          <w:noProof/>
        </w:rPr>
        <w:t>SPREMLJANJE IN POROČANJE</w:t>
      </w:r>
    </w:p>
    <w:p w14:paraId="604A1C3E" w14:textId="77777777" w:rsidR="00FA5692" w:rsidRPr="006B0F72" w:rsidRDefault="5044094F" w:rsidP="00A22E53">
      <w:pPr>
        <w:pStyle w:val="Titrearticle"/>
        <w:rPr>
          <w:b/>
          <w:i w:val="0"/>
          <w:noProof/>
        </w:rPr>
      </w:pPr>
      <w:r w:rsidRPr="006B0F72">
        <w:rPr>
          <w:noProof/>
        </w:rPr>
        <w:t xml:space="preserve"> Člen 17 </w:t>
      </w:r>
      <w:r w:rsidRPr="006B0F72">
        <w:rPr>
          <w:noProof/>
        </w:rPr>
        <w:br/>
      </w:r>
      <w:r w:rsidRPr="006B0F72">
        <w:rPr>
          <w:b/>
          <w:i w:val="0"/>
          <w:noProof/>
        </w:rPr>
        <w:t>Spremljanje</w:t>
      </w:r>
    </w:p>
    <w:p w14:paraId="162A6E09" w14:textId="6F9D9C25" w:rsidR="00FA5692" w:rsidRPr="006B0F72" w:rsidRDefault="00652A97" w:rsidP="00652A97">
      <w:pPr>
        <w:pStyle w:val="ManualNumPar1"/>
        <w:rPr>
          <w:noProof/>
        </w:rPr>
      </w:pPr>
      <w:r w:rsidRPr="00652A97">
        <w:rPr>
          <w:noProof/>
        </w:rPr>
        <w:t>1.</w:t>
      </w:r>
      <w:r w:rsidRPr="00652A97">
        <w:rPr>
          <w:noProof/>
        </w:rPr>
        <w:tab/>
      </w:r>
      <w:r w:rsidR="00FA5692" w:rsidRPr="006B0F72">
        <w:rPr>
          <w:noProof/>
        </w:rPr>
        <w:t>Države članice spremljajo naslednje:</w:t>
      </w:r>
    </w:p>
    <w:p w14:paraId="74CC1E3E" w14:textId="02D99108" w:rsidR="00FA5692" w:rsidRPr="006B0F72" w:rsidRDefault="00652A97" w:rsidP="00652A97">
      <w:pPr>
        <w:pStyle w:val="Point1"/>
        <w:rPr>
          <w:rFonts w:eastAsiaTheme="minorEastAsia"/>
          <w:noProof/>
        </w:rPr>
      </w:pPr>
      <w:r w:rsidRPr="00652A97">
        <w:rPr>
          <w:noProof/>
        </w:rPr>
        <w:t>(a)</w:t>
      </w:r>
      <w:r w:rsidRPr="00652A97">
        <w:rPr>
          <w:noProof/>
        </w:rPr>
        <w:tab/>
      </w:r>
      <w:r w:rsidR="00FA5692" w:rsidRPr="006B0F72">
        <w:rPr>
          <w:noProof/>
        </w:rPr>
        <w:t>stanje in trend stanja habitatnih tipov ter kakovost in trend kakovosti habitatov vrst iz členov 4 in 5 na območjih, na katerih se izvajajo ukrepi za obnovo na podlagi spremljanja iz člena 12(2), točka (h);</w:t>
      </w:r>
    </w:p>
    <w:p w14:paraId="55B11B98" w14:textId="2D4673EA" w:rsidR="00504D66" w:rsidRPr="006B0F72" w:rsidRDefault="00652A97" w:rsidP="00652A97">
      <w:pPr>
        <w:pStyle w:val="Point1"/>
        <w:rPr>
          <w:rFonts w:eastAsiaTheme="minorEastAsia"/>
          <w:noProof/>
        </w:rPr>
      </w:pPr>
      <w:r w:rsidRPr="00652A97">
        <w:rPr>
          <w:noProof/>
        </w:rPr>
        <w:t>(b)</w:t>
      </w:r>
      <w:r w:rsidRPr="00652A97">
        <w:rPr>
          <w:noProof/>
        </w:rPr>
        <w:tab/>
      </w:r>
      <w:r w:rsidR="00FA5692" w:rsidRPr="006B0F72">
        <w:rPr>
          <w:noProof/>
        </w:rPr>
        <w:t xml:space="preserve">območje urbanega zelenega prostora in drevesne zastornosti v mestih, manjših mestih in predmestjih, kot je navedeno v členu 6; </w:t>
      </w:r>
    </w:p>
    <w:p w14:paraId="067C85CA" w14:textId="6AC54720" w:rsidR="00FA5692" w:rsidRPr="006B0F72" w:rsidRDefault="00652A97" w:rsidP="00652A97">
      <w:pPr>
        <w:pStyle w:val="Point1"/>
        <w:rPr>
          <w:rFonts w:eastAsiaTheme="minorEastAsia"/>
          <w:noProof/>
        </w:rPr>
      </w:pPr>
      <w:r w:rsidRPr="00652A97">
        <w:rPr>
          <w:noProof/>
        </w:rPr>
        <w:t>(c)</w:t>
      </w:r>
      <w:r w:rsidRPr="00652A97">
        <w:rPr>
          <w:noProof/>
        </w:rPr>
        <w:tab/>
      </w:r>
      <w:r w:rsidR="00FA5692" w:rsidRPr="006B0F72">
        <w:rPr>
          <w:noProof/>
        </w:rPr>
        <w:t>kazalnike biotske raznovrstnosti v kmetijskih ekosistemih iz Priloge IV;</w:t>
      </w:r>
    </w:p>
    <w:p w14:paraId="72255B9D" w14:textId="04667C90" w:rsidR="00DB4A12" w:rsidRPr="006B0F72" w:rsidRDefault="00652A97" w:rsidP="00652A97">
      <w:pPr>
        <w:pStyle w:val="Point1"/>
        <w:rPr>
          <w:rFonts w:eastAsiaTheme="minorEastAsia"/>
          <w:noProof/>
        </w:rPr>
      </w:pPr>
      <w:r w:rsidRPr="00652A97">
        <w:rPr>
          <w:noProof/>
        </w:rPr>
        <w:t>(d)</w:t>
      </w:r>
      <w:r w:rsidRPr="00652A97">
        <w:rPr>
          <w:noProof/>
        </w:rPr>
        <w:tab/>
      </w:r>
      <w:r w:rsidR="00FA5692" w:rsidRPr="006B0F72">
        <w:rPr>
          <w:noProof/>
        </w:rPr>
        <w:t xml:space="preserve">populacije splošno razširjenih vrst ptic kmetijske krajine iz Priloge V; </w:t>
      </w:r>
    </w:p>
    <w:p w14:paraId="1E388FF2" w14:textId="22251A16" w:rsidR="00DB4A12" w:rsidRPr="006B0F72" w:rsidRDefault="00652A97" w:rsidP="00652A97">
      <w:pPr>
        <w:pStyle w:val="Point1"/>
        <w:rPr>
          <w:rFonts w:eastAsiaTheme="minorEastAsia"/>
          <w:noProof/>
        </w:rPr>
      </w:pPr>
      <w:r w:rsidRPr="00652A97">
        <w:rPr>
          <w:noProof/>
        </w:rPr>
        <w:t>(e)</w:t>
      </w:r>
      <w:r w:rsidRPr="00652A97">
        <w:rPr>
          <w:noProof/>
        </w:rPr>
        <w:tab/>
      </w:r>
      <w:r w:rsidR="00FA5692" w:rsidRPr="006B0F72">
        <w:rPr>
          <w:noProof/>
        </w:rPr>
        <w:t>kazalnike biotske raznovrstnosti v gozdnih ekosistemih iz Priloge VI;</w:t>
      </w:r>
    </w:p>
    <w:p w14:paraId="7AF6FEC4" w14:textId="1743E140" w:rsidR="00DB4A12" w:rsidRPr="006B0F72" w:rsidRDefault="00652A97" w:rsidP="00652A97">
      <w:pPr>
        <w:pStyle w:val="Point1"/>
        <w:rPr>
          <w:rFonts w:eastAsiaTheme="minorEastAsia"/>
          <w:noProof/>
        </w:rPr>
      </w:pPr>
      <w:r w:rsidRPr="00652A97">
        <w:rPr>
          <w:noProof/>
        </w:rPr>
        <w:t>(f)</w:t>
      </w:r>
      <w:r w:rsidRPr="00652A97">
        <w:rPr>
          <w:noProof/>
        </w:rPr>
        <w:tab/>
      </w:r>
      <w:r w:rsidR="00FA5692" w:rsidRPr="006B0F72">
        <w:rPr>
          <w:noProof/>
        </w:rPr>
        <w:t>številčnost in raznovrstnost vrst opraševalcev v skladu z metodo, določeno na podlagi člena 8(2);</w:t>
      </w:r>
    </w:p>
    <w:p w14:paraId="7098ACD2" w14:textId="3C7608FF" w:rsidR="005819CD" w:rsidRPr="006B0F72" w:rsidRDefault="00652A97" w:rsidP="00652A97">
      <w:pPr>
        <w:pStyle w:val="Point1"/>
        <w:rPr>
          <w:rFonts w:eastAsiaTheme="minorEastAsia"/>
          <w:noProof/>
        </w:rPr>
      </w:pPr>
      <w:r w:rsidRPr="00652A97">
        <w:rPr>
          <w:noProof/>
        </w:rPr>
        <w:t>(g)</w:t>
      </w:r>
      <w:r w:rsidRPr="00652A97">
        <w:rPr>
          <w:noProof/>
        </w:rPr>
        <w:tab/>
      </w:r>
      <w:r w:rsidR="005819CD" w:rsidRPr="006B0F72">
        <w:rPr>
          <w:noProof/>
        </w:rPr>
        <w:t>območje in stanje območij, zajetih s habitatnimi tipi iz prilog I in II, na svojem ozemlju;</w:t>
      </w:r>
    </w:p>
    <w:p w14:paraId="2C2AEBCD" w14:textId="726F8CB6" w:rsidR="00FA5692" w:rsidRPr="006B0F72" w:rsidRDefault="00652A97" w:rsidP="00652A97">
      <w:pPr>
        <w:pStyle w:val="Point1"/>
        <w:rPr>
          <w:rFonts w:eastAsiaTheme="minorEastAsia"/>
          <w:noProof/>
        </w:rPr>
      </w:pPr>
      <w:r w:rsidRPr="00652A97">
        <w:rPr>
          <w:noProof/>
        </w:rPr>
        <w:t>(h)</w:t>
      </w:r>
      <w:r w:rsidRPr="00652A97">
        <w:rPr>
          <w:noProof/>
        </w:rPr>
        <w:tab/>
      </w:r>
      <w:r w:rsidR="00FA5692" w:rsidRPr="006B0F72">
        <w:rPr>
          <w:noProof/>
        </w:rPr>
        <w:t>območje in kakovost habitata vrst iz člena 4(3) in člena 5(3) na svojem ozemlju.</w:t>
      </w:r>
    </w:p>
    <w:p w14:paraId="05A4E687" w14:textId="383C0A9A" w:rsidR="00FA5692" w:rsidRPr="006B0F72" w:rsidRDefault="00652A97" w:rsidP="00652A97">
      <w:pPr>
        <w:pStyle w:val="ManualNumPar1"/>
        <w:rPr>
          <w:noProof/>
        </w:rPr>
      </w:pPr>
      <w:r w:rsidRPr="00652A97">
        <w:rPr>
          <w:noProof/>
        </w:rPr>
        <w:t>2.</w:t>
      </w:r>
      <w:r w:rsidRPr="00652A97">
        <w:rPr>
          <w:noProof/>
        </w:rPr>
        <w:tab/>
      </w:r>
      <w:r w:rsidR="00FA5692" w:rsidRPr="006B0F72">
        <w:rPr>
          <w:noProof/>
        </w:rPr>
        <w:t>Spremljanje v skladu z odstavkom 1, točka (a), se začne takoj, ko so vzpostavljeni ukrepi za obnovo.</w:t>
      </w:r>
    </w:p>
    <w:p w14:paraId="222C6E5C" w14:textId="16C9011A" w:rsidR="00286468" w:rsidRPr="006B0F72" w:rsidRDefault="00652A97" w:rsidP="00652A97">
      <w:pPr>
        <w:pStyle w:val="ManualNumPar1"/>
        <w:rPr>
          <w:noProof/>
        </w:rPr>
      </w:pPr>
      <w:r w:rsidRPr="00652A97">
        <w:rPr>
          <w:noProof/>
        </w:rPr>
        <w:t>3.</w:t>
      </w:r>
      <w:r w:rsidRPr="00652A97">
        <w:rPr>
          <w:noProof/>
        </w:rPr>
        <w:tab/>
      </w:r>
      <w:r w:rsidR="00FA5692" w:rsidRPr="006B0F72">
        <w:rPr>
          <w:noProof/>
        </w:rPr>
        <w:t xml:space="preserve">Spremljanje v skladu z odstavkom 1, točke (b), (c), (d) in (e), se začne </w:t>
      </w:r>
      <w:r w:rsidR="00FA5692" w:rsidRPr="006B0F72">
        <w:rPr>
          <w:i/>
          <w:noProof/>
        </w:rPr>
        <w:t>[Urad za publikacije: vstavite datum začetka veljavnosti te uredbe].</w:t>
      </w:r>
    </w:p>
    <w:p w14:paraId="1D92846F" w14:textId="7EE0F2A1" w:rsidR="00504D66" w:rsidRPr="006B0F72" w:rsidRDefault="00652A97" w:rsidP="00652A97">
      <w:pPr>
        <w:pStyle w:val="ManualNumPar1"/>
        <w:rPr>
          <w:noProof/>
        </w:rPr>
      </w:pPr>
      <w:r w:rsidRPr="00652A97">
        <w:rPr>
          <w:noProof/>
        </w:rPr>
        <w:t>4.</w:t>
      </w:r>
      <w:r w:rsidRPr="00652A97">
        <w:rPr>
          <w:noProof/>
        </w:rPr>
        <w:tab/>
      </w:r>
      <w:r w:rsidR="00FA5692" w:rsidRPr="006B0F72">
        <w:rPr>
          <w:noProof/>
        </w:rPr>
        <w:t>Spremljanje v skladu z odstavkom 1, točka (f), tega člena se začne eno leto po začetku veljavnosti izvedbenega akta iz člena 8(2).</w:t>
      </w:r>
    </w:p>
    <w:p w14:paraId="18EF54F8" w14:textId="7F87269B" w:rsidR="00FA5692" w:rsidRPr="006B0F72" w:rsidRDefault="00652A97" w:rsidP="00652A97">
      <w:pPr>
        <w:pStyle w:val="ManualNumPar1"/>
        <w:rPr>
          <w:noProof/>
        </w:rPr>
      </w:pPr>
      <w:r w:rsidRPr="00652A97">
        <w:rPr>
          <w:noProof/>
        </w:rPr>
        <w:t>5.</w:t>
      </w:r>
      <w:r w:rsidRPr="00652A97">
        <w:rPr>
          <w:noProof/>
        </w:rPr>
        <w:tab/>
      </w:r>
      <w:r w:rsidR="00FA5692" w:rsidRPr="006B0F72">
        <w:rPr>
          <w:noProof/>
        </w:rPr>
        <w:t>Spremljanje v skladu z odstavkom 1, točke (a), (b) in (c), tega člena v zvezi z zalogami organskega ogljika v mineralnih tleh njivskih površin in deležem kmetijskih zemljišč z visokoraznovrstnimi značilnostmi pokrajine, ter točko (e) v zvezi s stoječimi odmrlimi drevesi, ležečimi odmrlimi drevesi, deležem gozdov z neenakomerno starostno strukturo, povezljivostjo gozdov in zalogami organskega ogljika se izvaja najmanj vsaka tri leta, po možnosti pa vsako leto. Spremljanje v skladu z navedenim odstavkom, točka (c), v zvezi indeksom travniških metuljev, z navedenim odstavkom, točki (d) in (e), v zvezi z indeksom splošno razširjenih gozdnih ptic ter z navedenim odstavkom, točka (f), v zvezi z vrstami opraševalcev se izvaja vsako leto. Spremljanje v skladu z navedenim odstavkom, točki (g) in (h), se izvaja najmanj vsakih šest let in je usklajeno s ciklom poročanja v skladu s členom 17 Direktive 92/43/EGS.</w:t>
      </w:r>
    </w:p>
    <w:p w14:paraId="309B5BE0" w14:textId="727B4EB3" w:rsidR="00FA5692" w:rsidRPr="006B0F72" w:rsidRDefault="00652A97" w:rsidP="00652A97">
      <w:pPr>
        <w:pStyle w:val="ManualNumPar1"/>
        <w:rPr>
          <w:noProof/>
        </w:rPr>
      </w:pPr>
      <w:r w:rsidRPr="00652A97">
        <w:rPr>
          <w:noProof/>
        </w:rPr>
        <w:t>6.</w:t>
      </w:r>
      <w:r w:rsidRPr="00652A97">
        <w:rPr>
          <w:noProof/>
        </w:rPr>
        <w:tab/>
      </w:r>
      <w:r w:rsidR="00FA5692" w:rsidRPr="006B0F72">
        <w:rPr>
          <w:noProof/>
        </w:rPr>
        <w:t xml:space="preserve">Države članice zagotovijo, da se kazalniki za kmetijske ekosisteme iz člena 9(2), točka (b), ter kazalniki za gozdne ekosisteme iz člena 10(2), točke (a), (b) in (f), te uredbe, spremljajo na način, skladen s spremljanjem, ki se zahteva v skladu z Uredbo (EU) 2018/841 in Uredbo (EU) 2018/1999. </w:t>
      </w:r>
    </w:p>
    <w:p w14:paraId="5320798A" w14:textId="0EF54596" w:rsidR="00FA5692" w:rsidRPr="006B0F72" w:rsidRDefault="00652A97" w:rsidP="00652A97">
      <w:pPr>
        <w:pStyle w:val="ManualNumPar1"/>
        <w:rPr>
          <w:noProof/>
          <w:szCs w:val="24"/>
        </w:rPr>
      </w:pPr>
      <w:r w:rsidRPr="00652A97">
        <w:rPr>
          <w:noProof/>
        </w:rPr>
        <w:t>7.</w:t>
      </w:r>
      <w:r w:rsidRPr="00652A97">
        <w:rPr>
          <w:noProof/>
        </w:rPr>
        <w:tab/>
      </w:r>
      <w:r w:rsidR="00FA5692" w:rsidRPr="006B0F72">
        <w:rPr>
          <w:noProof/>
        </w:rPr>
        <w:t>Države članice objavijo podatke, ustvarjene s spremljanjem, ki se izvaja v skladu s tem členom, v skladu z Direktivo 2007/2/ES Evropskega parlamenta in Sveta</w:t>
      </w:r>
      <w:r w:rsidR="00FA5692" w:rsidRPr="006B0F72">
        <w:rPr>
          <w:rStyle w:val="FootnoteReference"/>
          <w:noProof/>
        </w:rPr>
        <w:footnoteReference w:id="113"/>
      </w:r>
      <w:r w:rsidR="00FA5692" w:rsidRPr="006B0F72">
        <w:rPr>
          <w:noProof/>
        </w:rPr>
        <w:t xml:space="preserve"> ter v skladu s pogostostjo spremljanja iz odstavka 5. </w:t>
      </w:r>
    </w:p>
    <w:p w14:paraId="1FE382D2" w14:textId="2FB35CA0" w:rsidR="00FA5692" w:rsidRPr="006B0F72" w:rsidRDefault="00652A97" w:rsidP="00652A97">
      <w:pPr>
        <w:pStyle w:val="ManualNumPar1"/>
        <w:rPr>
          <w:noProof/>
        </w:rPr>
      </w:pPr>
      <w:r w:rsidRPr="00652A97">
        <w:rPr>
          <w:noProof/>
        </w:rPr>
        <w:t>8.</w:t>
      </w:r>
      <w:r w:rsidRPr="00652A97">
        <w:rPr>
          <w:noProof/>
        </w:rPr>
        <w:tab/>
      </w:r>
      <w:r w:rsidR="00FA5692" w:rsidRPr="006B0F72">
        <w:rPr>
          <w:noProof/>
        </w:rPr>
        <w:t xml:space="preserve">Sistemi spremljanja v državi članici delujejo na podlagi elektronskih podatkovnih zbirk in geografskih informacijskih sistemov in povečuje dostop do podatkov in storitev tehnologij daljinskega zaznavanja, opazovanja Zemlje (storitve programa Copernicus), senzorjev in naprav </w:t>
      </w:r>
      <w:r w:rsidR="00FA5692" w:rsidRPr="006B0F72">
        <w:rPr>
          <w:i/>
          <w:noProof/>
        </w:rPr>
        <w:t>in situ</w:t>
      </w:r>
      <w:r w:rsidR="00FA5692" w:rsidRPr="006B0F72">
        <w:rPr>
          <w:noProof/>
        </w:rPr>
        <w:t xml:space="preserve"> ali znanstvenih podatkov, ki jih zagotavljajo državljani, ter njihovo uporabo, s čimer se izkoriščajo priložnosti, ki jih zagotavljajo umetna inteligenca ter napredna analiza in obdelava podatkov.  </w:t>
      </w:r>
    </w:p>
    <w:p w14:paraId="761E640A" w14:textId="6610DB21" w:rsidR="00504D66" w:rsidRPr="006B0F72" w:rsidRDefault="00652A97" w:rsidP="00652A97">
      <w:pPr>
        <w:pStyle w:val="ManualNumPar1"/>
        <w:rPr>
          <w:noProof/>
        </w:rPr>
      </w:pPr>
      <w:r w:rsidRPr="00652A97">
        <w:rPr>
          <w:noProof/>
        </w:rPr>
        <w:t>9.</w:t>
      </w:r>
      <w:r w:rsidRPr="00652A97">
        <w:rPr>
          <w:noProof/>
        </w:rPr>
        <w:tab/>
      </w:r>
      <w:r w:rsidR="00FA5692" w:rsidRPr="006B0F72">
        <w:rPr>
          <w:noProof/>
        </w:rPr>
        <w:t>Komisija lahko sprejme izvedbene akte, s katerimi:</w:t>
      </w:r>
    </w:p>
    <w:p w14:paraId="06F0C4DA" w14:textId="24C649FB" w:rsidR="00504D66" w:rsidRPr="006B0F72" w:rsidRDefault="00652A97" w:rsidP="00652A97">
      <w:pPr>
        <w:pStyle w:val="Point1"/>
        <w:rPr>
          <w:noProof/>
        </w:rPr>
      </w:pPr>
      <w:r w:rsidRPr="00652A97">
        <w:rPr>
          <w:noProof/>
        </w:rPr>
        <w:t>(a)</w:t>
      </w:r>
      <w:r w:rsidRPr="00652A97">
        <w:rPr>
          <w:noProof/>
        </w:rPr>
        <w:tab/>
      </w:r>
      <w:r w:rsidR="00FA5692" w:rsidRPr="006B0F72">
        <w:rPr>
          <w:noProof/>
        </w:rPr>
        <w:t>navede metode za spremljanje kazalnikov za kmetijske ekosisteme iz Priloge IV;</w:t>
      </w:r>
    </w:p>
    <w:p w14:paraId="5DBCA45A" w14:textId="4BDAD265" w:rsidR="00504D66" w:rsidRPr="006B0F72" w:rsidRDefault="00652A97" w:rsidP="00652A97">
      <w:pPr>
        <w:pStyle w:val="Point1"/>
        <w:rPr>
          <w:noProof/>
        </w:rPr>
      </w:pPr>
      <w:r w:rsidRPr="00652A97">
        <w:rPr>
          <w:noProof/>
        </w:rPr>
        <w:t>(b)</w:t>
      </w:r>
      <w:r w:rsidRPr="00652A97">
        <w:rPr>
          <w:noProof/>
        </w:rPr>
        <w:tab/>
      </w:r>
      <w:r w:rsidR="00504D66" w:rsidRPr="006B0F72">
        <w:rPr>
          <w:noProof/>
        </w:rPr>
        <w:t>navede metode za spremljanje kazalnikov za gozdne ekosisteme iz Priloge VI;</w:t>
      </w:r>
    </w:p>
    <w:p w14:paraId="28FA03A3" w14:textId="4DE45698" w:rsidR="00504D66" w:rsidRPr="006B0F72" w:rsidRDefault="00652A97" w:rsidP="00652A97">
      <w:pPr>
        <w:pStyle w:val="Point1"/>
        <w:rPr>
          <w:noProof/>
        </w:rPr>
      </w:pPr>
      <w:r w:rsidRPr="00652A97">
        <w:rPr>
          <w:noProof/>
        </w:rPr>
        <w:t>(c)</w:t>
      </w:r>
      <w:r w:rsidRPr="00652A97">
        <w:rPr>
          <w:noProof/>
        </w:rPr>
        <w:tab/>
      </w:r>
      <w:r w:rsidR="00B2196B" w:rsidRPr="006B0F72">
        <w:rPr>
          <w:noProof/>
        </w:rPr>
        <w:t xml:space="preserve">oblikuje okvir za določanje zadovoljivih ravni iz člena 11(3). </w:t>
      </w:r>
    </w:p>
    <w:p w14:paraId="1A6A501F" w14:textId="77777777" w:rsidR="4737C2DB" w:rsidRPr="006B0F72" w:rsidRDefault="003929F2" w:rsidP="00A22E53">
      <w:pPr>
        <w:pStyle w:val="Text1"/>
        <w:rPr>
          <w:noProof/>
        </w:rPr>
      </w:pPr>
      <w:r w:rsidRPr="006B0F72">
        <w:rPr>
          <w:noProof/>
        </w:rPr>
        <w:t>Taki izvedbeni akti se sprejmejo v skladu s postopkom pregleda iz člena 21(2).</w:t>
      </w:r>
    </w:p>
    <w:p w14:paraId="7B9068CF" w14:textId="77777777" w:rsidR="00D670D0" w:rsidRPr="006B0F72" w:rsidRDefault="1D6E92BD" w:rsidP="003F67E3">
      <w:pPr>
        <w:pStyle w:val="Titrearticle"/>
        <w:rPr>
          <w:noProof/>
        </w:rPr>
      </w:pPr>
      <w:r w:rsidRPr="006B0F72">
        <w:rPr>
          <w:noProof/>
        </w:rPr>
        <w:t xml:space="preserve">Člen 18 </w:t>
      </w:r>
      <w:r w:rsidRPr="006B0F72">
        <w:rPr>
          <w:noProof/>
        </w:rPr>
        <w:br/>
      </w:r>
      <w:r w:rsidRPr="006B0F72">
        <w:rPr>
          <w:b/>
          <w:i w:val="0"/>
          <w:noProof/>
        </w:rPr>
        <w:t>Poročanje</w:t>
      </w:r>
      <w:r w:rsidRPr="006B0F72">
        <w:rPr>
          <w:noProof/>
        </w:rPr>
        <w:t xml:space="preserve"> </w:t>
      </w:r>
    </w:p>
    <w:p w14:paraId="6E11CC33" w14:textId="29B989B3" w:rsidR="007C5389" w:rsidRPr="006B0F72" w:rsidRDefault="00652A97" w:rsidP="00652A97">
      <w:pPr>
        <w:pStyle w:val="ManualNumPar1"/>
        <w:rPr>
          <w:noProof/>
        </w:rPr>
      </w:pPr>
      <w:r w:rsidRPr="00652A97">
        <w:rPr>
          <w:noProof/>
        </w:rPr>
        <w:t>1.</w:t>
      </w:r>
      <w:r w:rsidRPr="00652A97">
        <w:rPr>
          <w:noProof/>
        </w:rPr>
        <w:tab/>
      </w:r>
      <w:r w:rsidR="007C5389" w:rsidRPr="006B0F72">
        <w:rPr>
          <w:noProof/>
        </w:rPr>
        <w:t xml:space="preserve">Države članice Komisiji od </w:t>
      </w:r>
      <w:r w:rsidR="007C5389" w:rsidRPr="006B0F72">
        <w:rPr>
          <w:i/>
          <w:noProof/>
        </w:rPr>
        <w:t>[Urad za publikacije: vstavite datum = začetek veljavnosti te uredbe]</w:t>
      </w:r>
      <w:r w:rsidR="007C5389" w:rsidRPr="006B0F72">
        <w:rPr>
          <w:noProof/>
        </w:rPr>
        <w:t xml:space="preserve"> vsako leto elektronsko poročajo o območju, na katerem se bodo izvajali ukrepi za obnovo iz členov 4 do 10, in o ovirah iz člena 7, ki so bile odstranjene.</w:t>
      </w:r>
    </w:p>
    <w:p w14:paraId="3BD3BC3C" w14:textId="7CAA3B80" w:rsidR="001B0264" w:rsidRPr="006B0F72" w:rsidRDefault="00652A97" w:rsidP="00652A97">
      <w:pPr>
        <w:pStyle w:val="ManualNumPar1"/>
        <w:rPr>
          <w:noProof/>
        </w:rPr>
      </w:pPr>
      <w:r w:rsidRPr="00652A97">
        <w:rPr>
          <w:noProof/>
        </w:rPr>
        <w:t>2.</w:t>
      </w:r>
      <w:r w:rsidRPr="00652A97">
        <w:rPr>
          <w:noProof/>
        </w:rPr>
        <w:tab/>
      </w:r>
      <w:r w:rsidR="1487C651" w:rsidRPr="006B0F72">
        <w:rPr>
          <w:noProof/>
        </w:rPr>
        <w:t xml:space="preserve">Države članice Komisiji, ki ji pomaga EEA, najmanj vsaka tri leta elektronsko poročajo o naslednjih podatkih in informacijah: </w:t>
      </w:r>
    </w:p>
    <w:p w14:paraId="44E91F71" w14:textId="09758634" w:rsidR="00DF62FF" w:rsidRPr="006B0F72" w:rsidRDefault="00652A97" w:rsidP="00652A97">
      <w:pPr>
        <w:pStyle w:val="Point1"/>
        <w:rPr>
          <w:noProof/>
        </w:rPr>
      </w:pPr>
      <w:r w:rsidRPr="00652A97">
        <w:rPr>
          <w:noProof/>
        </w:rPr>
        <w:t>(a)</w:t>
      </w:r>
      <w:r w:rsidRPr="00652A97">
        <w:rPr>
          <w:noProof/>
        </w:rPr>
        <w:tab/>
      </w:r>
      <w:r w:rsidR="5310AE0E" w:rsidRPr="006B0F72">
        <w:rPr>
          <w:noProof/>
        </w:rPr>
        <w:t xml:space="preserve">napredku pri izvajanju nacionalnega načrta za obnovo, pri vzpostavljanju ukrepov za obnovo ter napredku pri doseganju ciljev in izpolnjevanju obveznosti iz členov 4 do 10; </w:t>
      </w:r>
    </w:p>
    <w:p w14:paraId="3E67FD21" w14:textId="6C9E216F" w:rsidR="00DF62FF" w:rsidRPr="006B0F72" w:rsidRDefault="00652A97" w:rsidP="00652A97">
      <w:pPr>
        <w:pStyle w:val="Point1"/>
        <w:rPr>
          <w:noProof/>
        </w:rPr>
      </w:pPr>
      <w:r w:rsidRPr="00652A97">
        <w:rPr>
          <w:noProof/>
        </w:rPr>
        <w:t>(b)</w:t>
      </w:r>
      <w:r w:rsidRPr="00652A97">
        <w:rPr>
          <w:noProof/>
        </w:rPr>
        <w:tab/>
      </w:r>
      <w:r w:rsidR="5A07BB2A" w:rsidRPr="006B0F72">
        <w:rPr>
          <w:noProof/>
        </w:rPr>
        <w:t>rezultatih spremljanja, opravljenega v skladu s členom 17. Rezultate spremljanja, opravljenega v skladu s členom 17(1), točki (g) in (h), bi bilo treba predložiti tudi v obliki geografsko referenciranih zemljevidov;</w:t>
      </w:r>
    </w:p>
    <w:p w14:paraId="3666B4FA" w14:textId="0ECD14A8" w:rsidR="00DF62FF" w:rsidRPr="006B0F72" w:rsidRDefault="00652A97" w:rsidP="00652A97">
      <w:pPr>
        <w:pStyle w:val="Point1"/>
        <w:rPr>
          <w:noProof/>
        </w:rPr>
      </w:pPr>
      <w:r w:rsidRPr="00652A97">
        <w:rPr>
          <w:noProof/>
        </w:rPr>
        <w:t>(c)</w:t>
      </w:r>
      <w:r w:rsidRPr="00652A97">
        <w:rPr>
          <w:noProof/>
        </w:rPr>
        <w:tab/>
      </w:r>
      <w:r w:rsidR="4BE769ED" w:rsidRPr="006B0F72">
        <w:rPr>
          <w:noProof/>
        </w:rPr>
        <w:t xml:space="preserve">lokaciji in obsegu območij, na katerih se izvajajo ukrepi za obnovo iz členov 4 in 5 ter člena 9(4), vključno z geografsko referenciranimi zemljevidi navedenih območij; </w:t>
      </w:r>
    </w:p>
    <w:p w14:paraId="1D39BA6E" w14:textId="31B1D88B" w:rsidR="00DF62FF" w:rsidRPr="006B0F72" w:rsidRDefault="00652A97" w:rsidP="00652A97">
      <w:pPr>
        <w:pStyle w:val="Point1"/>
        <w:rPr>
          <w:noProof/>
        </w:rPr>
      </w:pPr>
      <w:r w:rsidRPr="00652A97">
        <w:rPr>
          <w:noProof/>
        </w:rPr>
        <w:t>(d)</w:t>
      </w:r>
      <w:r w:rsidRPr="00652A97">
        <w:rPr>
          <w:noProof/>
        </w:rPr>
        <w:tab/>
      </w:r>
      <w:r w:rsidR="00672DA6" w:rsidRPr="006B0F72">
        <w:rPr>
          <w:noProof/>
        </w:rPr>
        <w:t>posodobljenem popisu ovir iz člena 7(1);</w:t>
      </w:r>
    </w:p>
    <w:p w14:paraId="4AB1DF1C" w14:textId="622E9FB5" w:rsidR="001B0264" w:rsidRPr="006B0F72" w:rsidRDefault="00652A97" w:rsidP="00652A97">
      <w:pPr>
        <w:pStyle w:val="Point1"/>
        <w:rPr>
          <w:noProof/>
        </w:rPr>
      </w:pPr>
      <w:r w:rsidRPr="00652A97">
        <w:rPr>
          <w:noProof/>
        </w:rPr>
        <w:t>(e)</w:t>
      </w:r>
      <w:r w:rsidRPr="00652A97">
        <w:rPr>
          <w:noProof/>
        </w:rPr>
        <w:tab/>
      </w:r>
      <w:r w:rsidR="00842DC3" w:rsidRPr="006B0F72">
        <w:rPr>
          <w:noProof/>
        </w:rPr>
        <w:t>informacijah o napredku pri izpolnjevanju potreb po financiranju v skladu s členom 12(2), točka (l), vključno s pregledom dejansko izvedenih naložb v primerjavi s prvotno predvidenimi naložbami.</w:t>
      </w:r>
    </w:p>
    <w:p w14:paraId="24C90426" w14:textId="77777777" w:rsidR="003929F2" w:rsidRPr="006B0F72" w:rsidRDefault="003929F2" w:rsidP="00DA5B0C">
      <w:pPr>
        <w:rPr>
          <w:noProof/>
        </w:rPr>
      </w:pPr>
      <w:r w:rsidRPr="006B0F72">
        <w:rPr>
          <w:noProof/>
        </w:rPr>
        <w:t>Prva poročila se predložijo junija 2031, zajemajo pa obdobje do leta 2030.</w:t>
      </w:r>
    </w:p>
    <w:p w14:paraId="4EB0EA83" w14:textId="5238A569" w:rsidR="001B0264" w:rsidRPr="006B0F72" w:rsidRDefault="00652A97" w:rsidP="00652A97">
      <w:pPr>
        <w:pStyle w:val="ManualNumPar1"/>
        <w:rPr>
          <w:noProof/>
        </w:rPr>
      </w:pPr>
      <w:r w:rsidRPr="00652A97">
        <w:rPr>
          <w:noProof/>
        </w:rPr>
        <w:t>3.</w:t>
      </w:r>
      <w:r w:rsidRPr="00652A97">
        <w:rPr>
          <w:noProof/>
        </w:rPr>
        <w:tab/>
      </w:r>
      <w:r w:rsidR="21521476" w:rsidRPr="006B0F72">
        <w:rPr>
          <w:noProof/>
        </w:rPr>
        <w:t>Komisija sprejme izvedbene akte za določitev oblike, strukture in podrobnih ureditev za predstavitev informacij iz odstavkov 1 in 2 tega člena. Ti izvedbeni akti se sprejmejo v skladu s postopkom pregleda iz člena 21(2). Komisiji pri pripravi oblike, strukture in podrobnih ureditev za elektronsko poročanje pomaga EEA.</w:t>
      </w:r>
    </w:p>
    <w:p w14:paraId="74219315" w14:textId="29E5068A" w:rsidR="00C713DD" w:rsidRPr="006B0F72" w:rsidRDefault="00652A97" w:rsidP="00652A97">
      <w:pPr>
        <w:pStyle w:val="ManualNumPar1"/>
        <w:rPr>
          <w:noProof/>
        </w:rPr>
      </w:pPr>
      <w:r w:rsidRPr="00652A97">
        <w:rPr>
          <w:noProof/>
        </w:rPr>
        <w:t>4.</w:t>
      </w:r>
      <w:r w:rsidRPr="00652A97">
        <w:rPr>
          <w:noProof/>
        </w:rPr>
        <w:tab/>
      </w:r>
      <w:r w:rsidR="00C713DD" w:rsidRPr="006B0F72">
        <w:rPr>
          <w:noProof/>
        </w:rPr>
        <w:t xml:space="preserve">EEA Komisiji zagotovi letni tehnični pregled napredka pri doseganju ciljev in izpolnjevanju obveznosti iz te uredbe na podlagi podatkov, ki jih dajo na voljo države članice v skladu z odstavkom 1 tega člena in členom 17(7). </w:t>
      </w:r>
    </w:p>
    <w:p w14:paraId="47147142" w14:textId="4372E5C1" w:rsidR="001B0264" w:rsidRPr="006B0F72" w:rsidRDefault="00652A97" w:rsidP="00652A97">
      <w:pPr>
        <w:pStyle w:val="ManualNumPar1"/>
        <w:rPr>
          <w:noProof/>
        </w:rPr>
      </w:pPr>
      <w:r w:rsidRPr="00652A97">
        <w:rPr>
          <w:noProof/>
        </w:rPr>
        <w:t>5.</w:t>
      </w:r>
      <w:r w:rsidRPr="00652A97">
        <w:rPr>
          <w:noProof/>
        </w:rPr>
        <w:tab/>
      </w:r>
      <w:r w:rsidR="1487C651" w:rsidRPr="006B0F72">
        <w:rPr>
          <w:noProof/>
        </w:rPr>
        <w:t>EEA zagotovi Komisiji tehnično poročilo za celotno Unijo o napredku pri doseganju ciljev in izpolnjevanju obveznosti iz te uredbe na podlagi podatkov, ki jih dajo na voljo države članice v skladu z odstavki 1, 2 in 3 tega člena. Uporabi lahko tudi informacije, sporočene v skladu s členom 17 Direktive 92/43/EGS, členom 15 Direktive 2000/60/ES, členom 12 Direktive 2009/147/ES in členom 18 Direktive 2008/56/ES. Poročilo se predloži do junija 2032, nato pa se nadaljnja poročila predložijo vsaka tri leta.</w:t>
      </w:r>
    </w:p>
    <w:p w14:paraId="7649C8B7" w14:textId="238BC0DF" w:rsidR="004A117A" w:rsidRPr="006B0F72" w:rsidRDefault="00652A97" w:rsidP="00652A97">
      <w:pPr>
        <w:pStyle w:val="ManualNumPar1"/>
        <w:rPr>
          <w:noProof/>
        </w:rPr>
      </w:pPr>
      <w:r w:rsidRPr="00652A97">
        <w:rPr>
          <w:noProof/>
        </w:rPr>
        <w:t>6.</w:t>
      </w:r>
      <w:r w:rsidRPr="00652A97">
        <w:rPr>
          <w:noProof/>
        </w:rPr>
        <w:tab/>
      </w:r>
      <w:r w:rsidR="007B0CCB" w:rsidRPr="006B0F72">
        <w:rPr>
          <w:noProof/>
        </w:rPr>
        <w:t>Od leta 2029 Komisija vsaka tri leta Evropskemu parlamentu in Svetu poroča o izvajanju te uredbe.</w:t>
      </w:r>
    </w:p>
    <w:p w14:paraId="07A60939" w14:textId="4CCB0500" w:rsidR="00CF1C48" w:rsidRPr="006B0F72" w:rsidRDefault="00652A97" w:rsidP="00652A97">
      <w:pPr>
        <w:pStyle w:val="ManualNumPar1"/>
        <w:rPr>
          <w:i/>
          <w:noProof/>
        </w:rPr>
      </w:pPr>
      <w:r w:rsidRPr="00652A97">
        <w:rPr>
          <w:noProof/>
        </w:rPr>
        <w:t>7.</w:t>
      </w:r>
      <w:r w:rsidRPr="00652A97">
        <w:rPr>
          <w:noProof/>
        </w:rPr>
        <w:tab/>
      </w:r>
      <w:r w:rsidR="10C4A80D" w:rsidRPr="006B0F72">
        <w:rPr>
          <w:noProof/>
        </w:rPr>
        <w:t xml:space="preserve">Države članice zagotovijo, da so informacije iz odstavkov 1 in 2 ustrezne in posodobljene, javnosti pa dostopne v skladu z Direktivo 2003/4/ES Evropskega parlamenta in Sveta, Direktivo 2007/2/ES in Direktivo (EU) 2019/1024 Evropskega parlamenta in Sveta. </w:t>
      </w:r>
    </w:p>
    <w:p w14:paraId="07BC8330" w14:textId="77777777" w:rsidR="00AB48D1" w:rsidRPr="006B0F72" w:rsidRDefault="00AB48D1" w:rsidP="0049161B">
      <w:pPr>
        <w:rPr>
          <w:noProof/>
        </w:rPr>
      </w:pPr>
    </w:p>
    <w:p w14:paraId="660173BE" w14:textId="77777777" w:rsidR="00B706A4" w:rsidRPr="006B0F72" w:rsidRDefault="00B706A4" w:rsidP="00641D95">
      <w:pPr>
        <w:pStyle w:val="ChapterTitle"/>
        <w:rPr>
          <w:noProof/>
        </w:rPr>
      </w:pPr>
      <w:r w:rsidRPr="006B0F72">
        <w:rPr>
          <w:noProof/>
        </w:rPr>
        <w:t>POGLAVJE V</w:t>
      </w:r>
    </w:p>
    <w:p w14:paraId="60C23FC6" w14:textId="77777777" w:rsidR="00DF62FF" w:rsidRPr="006B0F72" w:rsidRDefault="0091367E" w:rsidP="00D670D0">
      <w:pPr>
        <w:pStyle w:val="ChapterTitle"/>
        <w:rPr>
          <w:noProof/>
        </w:rPr>
      </w:pPr>
      <w:r w:rsidRPr="006B0F72">
        <w:rPr>
          <w:noProof/>
        </w:rPr>
        <w:t xml:space="preserve">PRENOS POOBLASTILA IN POSTOPEK V ODBORU </w:t>
      </w:r>
    </w:p>
    <w:p w14:paraId="17158385" w14:textId="77777777" w:rsidR="00D670D0" w:rsidRPr="006B0F72" w:rsidRDefault="00966808" w:rsidP="00E01AEC">
      <w:pPr>
        <w:pStyle w:val="Titrearticle"/>
        <w:rPr>
          <w:b/>
          <w:bCs/>
          <w:i w:val="0"/>
          <w:noProof/>
        </w:rPr>
      </w:pPr>
      <w:r w:rsidRPr="006B0F72">
        <w:rPr>
          <w:noProof/>
        </w:rPr>
        <w:t xml:space="preserve">Člen 19 </w:t>
      </w:r>
      <w:r w:rsidRPr="006B0F72">
        <w:rPr>
          <w:noProof/>
        </w:rPr>
        <w:br/>
      </w:r>
      <w:r w:rsidRPr="006B0F72">
        <w:rPr>
          <w:b/>
          <w:i w:val="0"/>
          <w:noProof/>
        </w:rPr>
        <w:t>Sprememba prilog</w:t>
      </w:r>
    </w:p>
    <w:p w14:paraId="2F635112" w14:textId="5B50FB71" w:rsidR="001324B9" w:rsidRPr="006B0F72" w:rsidRDefault="00652A97" w:rsidP="00652A97">
      <w:pPr>
        <w:pStyle w:val="ManualNumPar1"/>
        <w:rPr>
          <w:noProof/>
        </w:rPr>
      </w:pPr>
      <w:r w:rsidRPr="00652A97">
        <w:rPr>
          <w:noProof/>
        </w:rPr>
        <w:t>1.</w:t>
      </w:r>
      <w:r w:rsidRPr="00652A97">
        <w:rPr>
          <w:noProof/>
        </w:rPr>
        <w:tab/>
      </w:r>
      <w:r w:rsidR="33546B50" w:rsidRPr="006B0F72">
        <w:rPr>
          <w:noProof/>
        </w:rPr>
        <w:t xml:space="preserve">Na Komisijo se prenese pooblastilo za sprejemanje delegiranih aktov v skladu s členom 20 za spremembo Priloge I, da se prilagodijo skupine habitatnih tipov. </w:t>
      </w:r>
    </w:p>
    <w:p w14:paraId="1029EB85" w14:textId="4B176380" w:rsidR="005B16EA" w:rsidRPr="006B0F72" w:rsidRDefault="00652A97" w:rsidP="00652A97">
      <w:pPr>
        <w:pStyle w:val="ManualNumPar1"/>
        <w:rPr>
          <w:noProof/>
        </w:rPr>
      </w:pPr>
      <w:r w:rsidRPr="00652A97">
        <w:rPr>
          <w:noProof/>
        </w:rPr>
        <w:t>2.</w:t>
      </w:r>
      <w:r w:rsidRPr="00652A97">
        <w:rPr>
          <w:noProof/>
        </w:rPr>
        <w:tab/>
      </w:r>
      <w:r w:rsidR="005B16EA" w:rsidRPr="006B0F72">
        <w:rPr>
          <w:noProof/>
        </w:rPr>
        <w:t xml:space="preserve">Na Komisijo se prenese pooblastilo za sprejemanje delegiranih aktov v skladu s členom 20 za spremembo Priloge II, da se prilagodi seznam habitatnih tipov in skupin habitatnih tipov. </w:t>
      </w:r>
    </w:p>
    <w:p w14:paraId="333D07D6" w14:textId="2FCC48F3" w:rsidR="00D10D79" w:rsidRPr="006B0F72" w:rsidRDefault="00652A97" w:rsidP="00652A97">
      <w:pPr>
        <w:pStyle w:val="ManualNumPar1"/>
        <w:rPr>
          <w:noProof/>
        </w:rPr>
      </w:pPr>
      <w:r w:rsidRPr="00652A97">
        <w:rPr>
          <w:noProof/>
        </w:rPr>
        <w:t>3.</w:t>
      </w:r>
      <w:r w:rsidRPr="00652A97">
        <w:rPr>
          <w:noProof/>
        </w:rPr>
        <w:tab/>
      </w:r>
      <w:r w:rsidR="00D10D79" w:rsidRPr="006B0F72">
        <w:rPr>
          <w:noProof/>
        </w:rPr>
        <w:t xml:space="preserve">Na Komisijo se prenese pooblastilo za sprejemanje delegiranih aktov v skladu s členom 20 za spremembo Priloge III, da se prilagodi seznam morskih vrst iz člena 5 v skladu z najnovejšimi znanstvenimi dokazi. </w:t>
      </w:r>
    </w:p>
    <w:p w14:paraId="47627143" w14:textId="06C0DC33" w:rsidR="001324B9" w:rsidRPr="006B0F72" w:rsidRDefault="00652A97" w:rsidP="00652A97">
      <w:pPr>
        <w:pStyle w:val="ManualNumPar1"/>
        <w:rPr>
          <w:noProof/>
        </w:rPr>
      </w:pPr>
      <w:r w:rsidRPr="00652A97">
        <w:rPr>
          <w:noProof/>
        </w:rPr>
        <w:t>4.</w:t>
      </w:r>
      <w:r w:rsidRPr="00652A97">
        <w:rPr>
          <w:noProof/>
        </w:rPr>
        <w:tab/>
      </w:r>
      <w:r w:rsidR="1A2684D1" w:rsidRPr="006B0F72">
        <w:rPr>
          <w:noProof/>
        </w:rPr>
        <w:t>Na Komisijo se prenese pooblastilo za sprejemanje delegiranih aktov v skladu s členom 20 za spremembo Priloge IV, da se prilagodijo opis, enota in metodologija kazalnikov za kmetijske ekosisteme v skladu z najnovejšimi znanstvenimi dokazi.</w:t>
      </w:r>
    </w:p>
    <w:p w14:paraId="269FECFC" w14:textId="72CB9285" w:rsidR="001324B9" w:rsidRPr="006B0F72" w:rsidRDefault="00652A97" w:rsidP="00652A97">
      <w:pPr>
        <w:pStyle w:val="ManualNumPar1"/>
        <w:rPr>
          <w:i/>
          <w:noProof/>
        </w:rPr>
      </w:pPr>
      <w:r w:rsidRPr="00652A97">
        <w:rPr>
          <w:noProof/>
        </w:rPr>
        <w:t>5.</w:t>
      </w:r>
      <w:r w:rsidRPr="00652A97">
        <w:rPr>
          <w:noProof/>
        </w:rPr>
        <w:tab/>
      </w:r>
      <w:r w:rsidR="1A2684D1" w:rsidRPr="006B0F72">
        <w:rPr>
          <w:noProof/>
        </w:rPr>
        <w:t xml:space="preserve">Na Komisijo se prenese pooblastilo za sprejemanje delegiranih aktov v skladu s členom 20 za spremembo Priloge V, da se posodobi seznam vrst, ki se v državah članicah uporabljajo za indeks splošno razširjenih ptic kmetijske krajine. </w:t>
      </w:r>
    </w:p>
    <w:p w14:paraId="60534AA0" w14:textId="3AB2A75E" w:rsidR="001324B9" w:rsidRPr="006B0F72" w:rsidRDefault="00652A97" w:rsidP="00652A97">
      <w:pPr>
        <w:pStyle w:val="ManualNumPar1"/>
        <w:rPr>
          <w:noProof/>
        </w:rPr>
      </w:pPr>
      <w:r w:rsidRPr="00652A97">
        <w:rPr>
          <w:noProof/>
        </w:rPr>
        <w:t>6.</w:t>
      </w:r>
      <w:r w:rsidRPr="00652A97">
        <w:rPr>
          <w:noProof/>
        </w:rPr>
        <w:tab/>
      </w:r>
      <w:r w:rsidR="1A2684D1" w:rsidRPr="006B0F72">
        <w:rPr>
          <w:noProof/>
        </w:rPr>
        <w:t>Na Komisijo se prenese pooblastilo za sprejemanje delegiranih aktov v skladu s členom 20 za spremembo Priloge VI, da se prilagodijo opis, enota in metodologija kazalnikov za gozdne ekosisteme v skladu z najnovejšimi znanstvenimi dokazi.</w:t>
      </w:r>
    </w:p>
    <w:p w14:paraId="7662B61C" w14:textId="481A7977" w:rsidR="00412C96" w:rsidRPr="006B0F72" w:rsidRDefault="00652A97" w:rsidP="00652A97">
      <w:pPr>
        <w:pStyle w:val="ManualNumPar1"/>
        <w:rPr>
          <w:noProof/>
        </w:rPr>
      </w:pPr>
      <w:r w:rsidRPr="00652A97">
        <w:rPr>
          <w:noProof/>
        </w:rPr>
        <w:t>7.</w:t>
      </w:r>
      <w:r w:rsidRPr="00652A97">
        <w:rPr>
          <w:noProof/>
        </w:rPr>
        <w:tab/>
      </w:r>
      <w:r w:rsidR="00412C96" w:rsidRPr="006B0F72">
        <w:rPr>
          <w:noProof/>
        </w:rPr>
        <w:t>Na Komisijo se prenese pooblastilo za sprejemanje delegiranih aktov v skladu s členom 20 za spremembo Priloge VII, da se prilagodi seznam primerov ukrepov za obnovo.</w:t>
      </w:r>
    </w:p>
    <w:p w14:paraId="43F15625" w14:textId="77777777" w:rsidR="001324B9" w:rsidRPr="006B0F72" w:rsidRDefault="001324B9" w:rsidP="001324B9">
      <w:pPr>
        <w:rPr>
          <w:noProof/>
        </w:rPr>
      </w:pPr>
    </w:p>
    <w:p w14:paraId="1C829A97" w14:textId="77777777" w:rsidR="00D670D0" w:rsidRPr="006B0F72" w:rsidRDefault="00843D36" w:rsidP="001324B9">
      <w:pPr>
        <w:pStyle w:val="Titrearticle"/>
        <w:rPr>
          <w:b/>
          <w:i w:val="0"/>
          <w:noProof/>
        </w:rPr>
      </w:pPr>
      <w:r w:rsidRPr="006B0F72">
        <w:rPr>
          <w:noProof/>
        </w:rPr>
        <w:t xml:space="preserve">Člen 20 </w:t>
      </w:r>
      <w:r w:rsidRPr="006B0F72">
        <w:rPr>
          <w:noProof/>
        </w:rPr>
        <w:br/>
      </w:r>
      <w:r w:rsidRPr="006B0F72">
        <w:rPr>
          <w:b/>
          <w:i w:val="0"/>
          <w:noProof/>
        </w:rPr>
        <w:t>Izvajanje prenosa pooblastila</w:t>
      </w:r>
    </w:p>
    <w:p w14:paraId="597161D4" w14:textId="1087E2F5" w:rsidR="006B7526" w:rsidRPr="006B0F72" w:rsidRDefault="00652A97" w:rsidP="00652A97">
      <w:pPr>
        <w:pStyle w:val="ManualNumPar1"/>
        <w:rPr>
          <w:noProof/>
        </w:rPr>
      </w:pPr>
      <w:r w:rsidRPr="00652A97">
        <w:rPr>
          <w:noProof/>
        </w:rPr>
        <w:t>1.</w:t>
      </w:r>
      <w:r w:rsidRPr="00652A97">
        <w:rPr>
          <w:noProof/>
        </w:rPr>
        <w:tab/>
      </w:r>
      <w:r w:rsidR="113B5BAD" w:rsidRPr="006B0F72">
        <w:rPr>
          <w:noProof/>
        </w:rPr>
        <w:t xml:space="preserve">Pooblastilo za sprejemanje delegiranih aktov se prenese na Komisijo pod pogoji iz tega člena. </w:t>
      </w:r>
    </w:p>
    <w:p w14:paraId="6DC2ED16" w14:textId="56E0FE48" w:rsidR="006B7526" w:rsidRPr="006B0F72" w:rsidRDefault="00652A97" w:rsidP="00652A97">
      <w:pPr>
        <w:pStyle w:val="ManualNumPar1"/>
        <w:rPr>
          <w:noProof/>
        </w:rPr>
      </w:pPr>
      <w:r w:rsidRPr="00652A97">
        <w:rPr>
          <w:noProof/>
        </w:rPr>
        <w:t>2.</w:t>
      </w:r>
      <w:r w:rsidRPr="00652A97">
        <w:rPr>
          <w:noProof/>
        </w:rPr>
        <w:tab/>
      </w:r>
      <w:r w:rsidR="113B5BAD" w:rsidRPr="006B0F72">
        <w:rPr>
          <w:noProof/>
        </w:rPr>
        <w:t>Pooblastilo za sprejemanje delegiranih aktov iz člena 19 se prenese na Komisijo za pet let od [</w:t>
      </w:r>
      <w:r w:rsidR="113B5BAD" w:rsidRPr="006B0F72">
        <w:rPr>
          <w:i/>
          <w:iCs/>
          <w:noProof/>
        </w:rPr>
        <w:t>Urad za publikacije: vstavite datum začetka veljavnosti te uredbe</w:t>
      </w:r>
      <w:r w:rsidR="113B5BAD" w:rsidRPr="006B0F72">
        <w:rPr>
          <w:noProof/>
        </w:rPr>
        <w:t xml:space="preserve">]. Komisija najpozneje devet mesecev pred koncem petletnega obdobja pripravi poročilo v zvezi s prenosom pooblastila. Prenos pooblastila se samodejno podaljšuje za enako dolga obdobja, razen če Evropski parlament ali Svet nasprotuje takemu podaljšanju najpozneje tri mesece pred koncem vsakega obdobja. </w:t>
      </w:r>
    </w:p>
    <w:p w14:paraId="6A0E547C" w14:textId="7C189A36" w:rsidR="006B7526" w:rsidRPr="006B0F72" w:rsidRDefault="00652A97" w:rsidP="00652A97">
      <w:pPr>
        <w:pStyle w:val="ManualNumPar1"/>
        <w:rPr>
          <w:noProof/>
        </w:rPr>
      </w:pPr>
      <w:r w:rsidRPr="00652A97">
        <w:rPr>
          <w:noProof/>
        </w:rPr>
        <w:t>3.</w:t>
      </w:r>
      <w:r w:rsidRPr="00652A97">
        <w:rPr>
          <w:noProof/>
        </w:rPr>
        <w:tab/>
      </w:r>
      <w:r w:rsidR="113B5BAD" w:rsidRPr="006B0F72">
        <w:rPr>
          <w:noProof/>
        </w:rPr>
        <w:t xml:space="preserve">Prenos pooblastila iz člena 19 lahko kadar koli prekliče Evropski parlament ali Svet. Z odločitvijo o preklicu preneha veljati prenos pooblastila, naveden v temu sklepu. Sklep začne učinkovati dan po njegovi objavi v </w:t>
      </w:r>
      <w:r w:rsidR="113B5BAD" w:rsidRPr="006B0F72">
        <w:rPr>
          <w:i/>
          <w:iCs/>
          <w:noProof/>
        </w:rPr>
        <w:t>Uradnem listu Evropske unije</w:t>
      </w:r>
      <w:r w:rsidR="113B5BAD" w:rsidRPr="006B0F72">
        <w:rPr>
          <w:noProof/>
        </w:rPr>
        <w:t xml:space="preserve"> ali na poznejši dan, ki je določen v navedenem sklepu. Preklic ne vpliva na veljavnost že veljavnih delegiranih aktov. </w:t>
      </w:r>
    </w:p>
    <w:p w14:paraId="42CBFDAD" w14:textId="0B52A1DF" w:rsidR="006B7526" w:rsidRPr="006B0F72" w:rsidRDefault="00652A97" w:rsidP="00652A97">
      <w:pPr>
        <w:pStyle w:val="ManualNumPar1"/>
        <w:rPr>
          <w:noProof/>
        </w:rPr>
      </w:pPr>
      <w:r w:rsidRPr="00652A97">
        <w:rPr>
          <w:noProof/>
        </w:rPr>
        <w:t>4.</w:t>
      </w:r>
      <w:r w:rsidRPr="00652A97">
        <w:rPr>
          <w:noProof/>
        </w:rPr>
        <w:tab/>
      </w:r>
      <w:r w:rsidR="113B5BAD" w:rsidRPr="006B0F72">
        <w:rPr>
          <w:noProof/>
        </w:rPr>
        <w:t>Komisija se pred sprejetjem delegiranega akta posvetuje s strokovnjaki, ki jih imenujejo države članice, v skladu z načeli iz Medinstitucionalnega sporazuma z dne 13. aprila 2016 o boljši pripravi zakonodaje</w:t>
      </w:r>
      <w:r w:rsidR="113B5BAD" w:rsidRPr="006B0F72">
        <w:rPr>
          <w:rStyle w:val="FootnoteReference"/>
          <w:noProof/>
        </w:rPr>
        <w:footnoteReference w:id="114"/>
      </w:r>
      <w:r w:rsidR="113B5BAD" w:rsidRPr="006B0F72">
        <w:rPr>
          <w:noProof/>
        </w:rPr>
        <w:t xml:space="preserve">. </w:t>
      </w:r>
    </w:p>
    <w:p w14:paraId="26CFAD84" w14:textId="66B00F95" w:rsidR="006B7526" w:rsidRPr="006B0F72" w:rsidRDefault="00652A97" w:rsidP="00652A97">
      <w:pPr>
        <w:pStyle w:val="ManualNumPar1"/>
        <w:rPr>
          <w:noProof/>
        </w:rPr>
      </w:pPr>
      <w:r w:rsidRPr="00652A97">
        <w:rPr>
          <w:noProof/>
        </w:rPr>
        <w:t>5.</w:t>
      </w:r>
      <w:r w:rsidRPr="00652A97">
        <w:rPr>
          <w:noProof/>
        </w:rPr>
        <w:tab/>
      </w:r>
      <w:r w:rsidR="113B5BAD" w:rsidRPr="006B0F72">
        <w:rPr>
          <w:noProof/>
        </w:rPr>
        <w:t xml:space="preserve">Komisija takoj po sprejetju delegiranega akta o njem sočasno uradno obvesti Evropski parlament in Svet. </w:t>
      </w:r>
    </w:p>
    <w:p w14:paraId="0840685D" w14:textId="3D6855CB" w:rsidR="00843D36" w:rsidRPr="006B0F72" w:rsidRDefault="00652A97" w:rsidP="00652A97">
      <w:pPr>
        <w:pStyle w:val="ManualNumPar1"/>
        <w:rPr>
          <w:noProof/>
        </w:rPr>
      </w:pPr>
      <w:r w:rsidRPr="00652A97">
        <w:rPr>
          <w:noProof/>
        </w:rPr>
        <w:t>6.</w:t>
      </w:r>
      <w:r w:rsidRPr="00652A97">
        <w:rPr>
          <w:noProof/>
        </w:rPr>
        <w:tab/>
      </w:r>
      <w:r w:rsidR="113B5BAD" w:rsidRPr="006B0F72">
        <w:rPr>
          <w:noProof/>
        </w:rPr>
        <w:t>Delegirani akt, sprejet v skladu s členom 19, začne veljati le, če mu Evropski parlament ali Svet ne nasprotuje v dveh mesecih od uradnega obvestila Evropskemu parlamentu in Svetu o navedenem aktu ali če pred iztekom navedenega roka Evropski parlament in Svet obvestita Komisijo, da aktu ne bosta nasprotovala. Ta rok se na pobudo Evropskega parlamenta ali Sveta podaljša za dva meseca.</w:t>
      </w:r>
    </w:p>
    <w:p w14:paraId="29F06F3C" w14:textId="77777777" w:rsidR="0051551E" w:rsidRPr="006B0F72" w:rsidRDefault="0051551E" w:rsidP="00D670D0">
      <w:pPr>
        <w:rPr>
          <w:noProof/>
        </w:rPr>
      </w:pPr>
    </w:p>
    <w:p w14:paraId="07E81429" w14:textId="77777777" w:rsidR="00D670D0" w:rsidRPr="006B0F72" w:rsidRDefault="00FB2AE2" w:rsidP="001324B9">
      <w:pPr>
        <w:pStyle w:val="Titrearticle"/>
        <w:rPr>
          <w:noProof/>
        </w:rPr>
      </w:pPr>
      <w:r w:rsidRPr="006B0F72">
        <w:rPr>
          <w:noProof/>
        </w:rPr>
        <w:t xml:space="preserve">Člen 21 </w:t>
      </w:r>
      <w:r w:rsidRPr="006B0F72">
        <w:rPr>
          <w:noProof/>
        </w:rPr>
        <w:br/>
      </w:r>
      <w:r w:rsidRPr="006B0F72">
        <w:rPr>
          <w:b/>
          <w:i w:val="0"/>
          <w:noProof/>
        </w:rPr>
        <w:t>Postopek v odboru</w:t>
      </w:r>
      <w:r w:rsidRPr="006B0F72">
        <w:rPr>
          <w:noProof/>
        </w:rPr>
        <w:t xml:space="preserve"> </w:t>
      </w:r>
    </w:p>
    <w:p w14:paraId="6D5A27AF" w14:textId="3692EBAE" w:rsidR="00E81D73" w:rsidRPr="006B0F72" w:rsidRDefault="00652A97" w:rsidP="00652A97">
      <w:pPr>
        <w:pStyle w:val="ManualNumPar1"/>
        <w:rPr>
          <w:noProof/>
        </w:rPr>
      </w:pPr>
      <w:r w:rsidRPr="00652A97">
        <w:rPr>
          <w:noProof/>
        </w:rPr>
        <w:t>1.</w:t>
      </w:r>
      <w:r w:rsidRPr="00652A97">
        <w:rPr>
          <w:noProof/>
        </w:rPr>
        <w:tab/>
      </w:r>
      <w:r w:rsidR="00FB2AE2" w:rsidRPr="006B0F72">
        <w:rPr>
          <w:noProof/>
        </w:rPr>
        <w:t xml:space="preserve">Komisiji pomaga odbor. Navedeni odbor je odbor v smislu Uredbe (EU) št. 182/2011. </w:t>
      </w:r>
    </w:p>
    <w:p w14:paraId="36B146A8" w14:textId="4BD49CDF" w:rsidR="00FB2AE2" w:rsidRPr="006B0F72" w:rsidRDefault="00652A97" w:rsidP="00652A97">
      <w:pPr>
        <w:pStyle w:val="ManualNumPar1"/>
        <w:rPr>
          <w:noProof/>
        </w:rPr>
      </w:pPr>
      <w:r w:rsidRPr="00652A97">
        <w:rPr>
          <w:noProof/>
        </w:rPr>
        <w:t>2.</w:t>
      </w:r>
      <w:r w:rsidRPr="00652A97">
        <w:rPr>
          <w:noProof/>
        </w:rPr>
        <w:tab/>
      </w:r>
      <w:r w:rsidR="00FB2AE2" w:rsidRPr="006B0F72">
        <w:rPr>
          <w:noProof/>
        </w:rPr>
        <w:t>Pri sklicevanju na ta odstavek se uporablja člen 5 Uredbe (EU) št. 182/2011.</w:t>
      </w:r>
    </w:p>
    <w:p w14:paraId="49F06C07" w14:textId="77777777" w:rsidR="004F7C4E" w:rsidRPr="006B0F72" w:rsidRDefault="004F7C4E" w:rsidP="00B16B21">
      <w:pPr>
        <w:pStyle w:val="ChapterTitle"/>
        <w:rPr>
          <w:noProof/>
        </w:rPr>
      </w:pPr>
    </w:p>
    <w:p w14:paraId="276D2FF2" w14:textId="77777777" w:rsidR="0091367E" w:rsidRPr="006B0F72" w:rsidRDefault="0091367E" w:rsidP="0091367E">
      <w:pPr>
        <w:pStyle w:val="ChapterTitle"/>
        <w:rPr>
          <w:noProof/>
        </w:rPr>
      </w:pPr>
      <w:r w:rsidRPr="006B0F72">
        <w:rPr>
          <w:noProof/>
        </w:rPr>
        <w:t>POGLAVJE VI</w:t>
      </w:r>
    </w:p>
    <w:p w14:paraId="22D523DE" w14:textId="77777777" w:rsidR="0091367E" w:rsidRPr="006B0F72" w:rsidRDefault="00382163" w:rsidP="003019B3">
      <w:pPr>
        <w:pStyle w:val="ChapterTitle"/>
        <w:rPr>
          <w:noProof/>
        </w:rPr>
      </w:pPr>
      <w:r w:rsidRPr="006B0F72">
        <w:rPr>
          <w:noProof/>
        </w:rPr>
        <w:t>KONČNE DOLOČBE</w:t>
      </w:r>
    </w:p>
    <w:p w14:paraId="65CDC407" w14:textId="77777777" w:rsidR="00034605" w:rsidRPr="006B0F72" w:rsidRDefault="0091367E" w:rsidP="00A22E53">
      <w:pPr>
        <w:pStyle w:val="Titrearticle"/>
        <w:tabs>
          <w:tab w:val="left" w:pos="3640"/>
          <w:tab w:val="center" w:pos="4536"/>
        </w:tabs>
        <w:rPr>
          <w:noProof/>
        </w:rPr>
      </w:pPr>
      <w:r w:rsidRPr="006B0F72">
        <w:rPr>
          <w:noProof/>
        </w:rPr>
        <w:t xml:space="preserve">Člen 22  </w:t>
      </w:r>
      <w:r w:rsidRPr="006B0F72">
        <w:rPr>
          <w:noProof/>
        </w:rPr>
        <w:br/>
      </w:r>
      <w:r w:rsidRPr="006B0F72">
        <w:rPr>
          <w:b/>
          <w:i w:val="0"/>
          <w:noProof/>
        </w:rPr>
        <w:t>Pregled</w:t>
      </w:r>
    </w:p>
    <w:p w14:paraId="21E62C38" w14:textId="23213400" w:rsidR="00570347" w:rsidRPr="006B0F72" w:rsidRDefault="00652A97" w:rsidP="00652A97">
      <w:pPr>
        <w:pStyle w:val="ManualNumPar1"/>
        <w:rPr>
          <w:noProof/>
        </w:rPr>
      </w:pPr>
      <w:r w:rsidRPr="00652A97">
        <w:rPr>
          <w:noProof/>
        </w:rPr>
        <w:t>1.</w:t>
      </w:r>
      <w:r w:rsidRPr="00652A97">
        <w:rPr>
          <w:noProof/>
        </w:rPr>
        <w:tab/>
      </w:r>
      <w:r w:rsidR="00570347" w:rsidRPr="006B0F72">
        <w:rPr>
          <w:noProof/>
        </w:rPr>
        <w:t xml:space="preserve">Komisija oceni uporabo te uredbe do 31. decembra 2035. </w:t>
      </w:r>
    </w:p>
    <w:p w14:paraId="163B147F" w14:textId="5F1E293F" w:rsidR="00570347" w:rsidRPr="006B0F72" w:rsidRDefault="00652A97" w:rsidP="00652A97">
      <w:pPr>
        <w:pStyle w:val="ManualNumPar1"/>
        <w:rPr>
          <w:noProof/>
        </w:rPr>
      </w:pPr>
      <w:r w:rsidRPr="00652A97">
        <w:rPr>
          <w:noProof/>
        </w:rPr>
        <w:t>2.</w:t>
      </w:r>
      <w:r w:rsidRPr="00652A97">
        <w:rPr>
          <w:noProof/>
        </w:rPr>
        <w:tab/>
      </w:r>
      <w:r w:rsidR="00570347" w:rsidRPr="006B0F72">
        <w:rPr>
          <w:noProof/>
        </w:rPr>
        <w:t>Komisija predloži poročilo o glavnih ugotovitvah ocene Evropskemu parlamentu, Svetu, Evropskemu ekonomsko-socialnemu odboru in Odboru regij. Kadar komisija meni, da je to primerno, poročilu priloži zakonodajni predlog za spremembo ustreznih določb te uredbe, ob upoštevanju potrebe po določitvi dodatnih ciljev za obnovo na podlagi skupnih metod za ocenjevanje stanja ekosistemov, ki niso zajeti v členih 4 in 5, in najnovejših znanstvenih dokazov.</w:t>
      </w:r>
    </w:p>
    <w:p w14:paraId="738E0FCB" w14:textId="77777777" w:rsidR="00FB2AE2" w:rsidRPr="006B0F72" w:rsidRDefault="00FB2AE2" w:rsidP="00D670D0">
      <w:pPr>
        <w:pStyle w:val="Titrearticle"/>
        <w:rPr>
          <w:noProof/>
        </w:rPr>
      </w:pPr>
      <w:r w:rsidRPr="006B0F72">
        <w:rPr>
          <w:noProof/>
        </w:rPr>
        <w:t xml:space="preserve">Člen 23 </w:t>
      </w:r>
      <w:r w:rsidRPr="006B0F72">
        <w:rPr>
          <w:noProof/>
        </w:rPr>
        <w:br/>
      </w:r>
      <w:r w:rsidRPr="006B0F72">
        <w:rPr>
          <w:b/>
          <w:noProof/>
        </w:rPr>
        <w:t>Začetek veljavnosti</w:t>
      </w:r>
    </w:p>
    <w:p w14:paraId="2C00DFC6" w14:textId="77777777" w:rsidR="00FB2AE2" w:rsidRPr="006B0F72" w:rsidRDefault="00FB2AE2" w:rsidP="00FB2AE2">
      <w:pPr>
        <w:rPr>
          <w:noProof/>
          <w:szCs w:val="24"/>
        </w:rPr>
      </w:pPr>
      <w:r w:rsidRPr="006B0F72">
        <w:rPr>
          <w:noProof/>
        </w:rPr>
        <w:t xml:space="preserve">Ta uredba začne veljati dvajseti dan po objavi v </w:t>
      </w:r>
      <w:r w:rsidRPr="006B0F72">
        <w:rPr>
          <w:i/>
          <w:noProof/>
        </w:rPr>
        <w:t>Uradnem listu Evropske unije</w:t>
      </w:r>
      <w:r w:rsidRPr="006B0F72">
        <w:rPr>
          <w:noProof/>
        </w:rPr>
        <w:t>.</w:t>
      </w:r>
    </w:p>
    <w:p w14:paraId="389580AD" w14:textId="77777777" w:rsidR="00FB2AE2" w:rsidRPr="006B0F72" w:rsidRDefault="00FB2AE2" w:rsidP="00FB2AE2">
      <w:pPr>
        <w:pStyle w:val="Applicationdirecte"/>
        <w:rPr>
          <w:noProof/>
        </w:rPr>
      </w:pPr>
      <w:r w:rsidRPr="006B0F72">
        <w:rPr>
          <w:noProof/>
        </w:rPr>
        <w:t>Ta uredba je v celoti zavezujoča in se neposredno uporablja v vseh državah članicah.</w:t>
      </w:r>
    </w:p>
    <w:p w14:paraId="5A764D34" w14:textId="77777777" w:rsidR="00FB2AE2" w:rsidRPr="006B0F72" w:rsidRDefault="00FB2AE2" w:rsidP="00FB2AE2">
      <w:pPr>
        <w:rPr>
          <w:noProof/>
          <w:szCs w:val="24"/>
        </w:rPr>
      </w:pPr>
    </w:p>
    <w:p w14:paraId="077CB45D" w14:textId="77777777" w:rsidR="00FB2AE2" w:rsidRPr="006B0F72" w:rsidRDefault="00FB2AE2" w:rsidP="00B16B21">
      <w:pPr>
        <w:rPr>
          <w:noProof/>
        </w:rPr>
      </w:pPr>
    </w:p>
    <w:p w14:paraId="561FF98C" w14:textId="6ED248ED" w:rsidR="00EC044F" w:rsidRPr="006B0F72" w:rsidRDefault="00282AAC" w:rsidP="00E12BCF">
      <w:pPr>
        <w:pStyle w:val="Fait"/>
        <w:rPr>
          <w:noProof/>
        </w:rPr>
      </w:pPr>
      <w:r w:rsidRPr="00282AAC">
        <w:t>V Bruslju,</w:t>
      </w:r>
    </w:p>
    <w:p w14:paraId="23B55EAE" w14:textId="77777777" w:rsidR="00EC044F" w:rsidRPr="006B0F72" w:rsidRDefault="00EC044F" w:rsidP="00E12BCF">
      <w:pPr>
        <w:pStyle w:val="Institutionquisigne"/>
        <w:rPr>
          <w:noProof/>
        </w:rPr>
      </w:pPr>
      <w:r w:rsidRPr="006B0F72">
        <w:rPr>
          <w:noProof/>
        </w:rPr>
        <w:t>Za Evropski parlament</w:t>
      </w:r>
      <w:r w:rsidRPr="006B0F72">
        <w:rPr>
          <w:noProof/>
        </w:rPr>
        <w:tab/>
        <w:t>Za Svet</w:t>
      </w:r>
    </w:p>
    <w:p w14:paraId="7FFE057C" w14:textId="77777777" w:rsidR="002E61AD" w:rsidRPr="006B0F72" w:rsidRDefault="00EC044F" w:rsidP="00C7500B">
      <w:pPr>
        <w:pStyle w:val="Personnequisigne"/>
        <w:rPr>
          <w:noProof/>
        </w:rPr>
        <w:sectPr w:rsidR="002E61AD" w:rsidRPr="006B0F72" w:rsidSect="00D77511">
          <w:pgSz w:w="11907" w:h="16840" w:code="9"/>
          <w:pgMar w:top="1134" w:right="1418" w:bottom="1134" w:left="1418" w:header="709" w:footer="709" w:gutter="0"/>
          <w:cols w:space="708"/>
          <w:docGrid w:linePitch="360"/>
        </w:sectPr>
      </w:pPr>
      <w:r w:rsidRPr="006B0F72">
        <w:rPr>
          <w:noProof/>
        </w:rPr>
        <w:t>predsednica</w:t>
      </w:r>
      <w:r w:rsidRPr="006B0F72">
        <w:rPr>
          <w:noProof/>
        </w:rPr>
        <w:tab/>
        <w:t>predsednik</w:t>
      </w:r>
    </w:p>
    <w:p w14:paraId="4F2562CD" w14:textId="77777777" w:rsidR="00BE0A2F" w:rsidRPr="006B0F72" w:rsidRDefault="00BE0A2F" w:rsidP="00B0251E">
      <w:pPr>
        <w:pStyle w:val="Fichefinanciretitre"/>
        <w:rPr>
          <w:noProof/>
        </w:rPr>
      </w:pPr>
      <w:r w:rsidRPr="006B0F72">
        <w:rPr>
          <w:noProof/>
        </w:rPr>
        <w:t>OCENA FINANČNIH POSLEDIC ZAKONODAJNEGA PREDLOGA</w:t>
      </w:r>
    </w:p>
    <w:p w14:paraId="684C3CF2" w14:textId="65B8017E" w:rsidR="00BE0A2F" w:rsidRPr="006B0F72" w:rsidRDefault="00652A97" w:rsidP="00652A97">
      <w:pPr>
        <w:pStyle w:val="ManualHeading1"/>
        <w:rPr>
          <w:noProof/>
        </w:rPr>
      </w:pPr>
      <w:bookmarkStart w:id="1" w:name="_Toc514938007"/>
      <w:bookmarkStart w:id="2" w:name="_Toc520485025"/>
      <w:r w:rsidRPr="00652A97">
        <w:rPr>
          <w:noProof/>
        </w:rPr>
        <w:t>1.</w:t>
      </w:r>
      <w:r w:rsidRPr="00652A97">
        <w:rPr>
          <w:noProof/>
        </w:rPr>
        <w:tab/>
      </w:r>
      <w:r w:rsidR="00BE0A2F" w:rsidRPr="006B0F72">
        <w:rPr>
          <w:noProof/>
        </w:rPr>
        <w:t>OKVIR PREDLOGA/POBUDE</w:t>
      </w:r>
      <w:bookmarkEnd w:id="1"/>
      <w:bookmarkEnd w:id="2"/>
      <w:r w:rsidR="00BE0A2F" w:rsidRPr="006B0F72">
        <w:rPr>
          <w:noProof/>
        </w:rPr>
        <w:t xml:space="preserve"> </w:t>
      </w:r>
    </w:p>
    <w:p w14:paraId="4FCAEE06" w14:textId="2D09A2D1" w:rsidR="00BE0A2F" w:rsidRPr="006B0F72" w:rsidRDefault="00652A97" w:rsidP="00652A97">
      <w:pPr>
        <w:pStyle w:val="ManualHeading2"/>
        <w:rPr>
          <w:noProof/>
        </w:rPr>
      </w:pPr>
      <w:bookmarkStart w:id="3" w:name="_Toc514938008"/>
      <w:bookmarkStart w:id="4" w:name="_Toc520485026"/>
      <w:r w:rsidRPr="00652A97">
        <w:rPr>
          <w:noProof/>
        </w:rPr>
        <w:t>1.1.</w:t>
      </w:r>
      <w:r w:rsidRPr="00652A97">
        <w:rPr>
          <w:noProof/>
        </w:rPr>
        <w:tab/>
      </w:r>
      <w:r w:rsidR="00BE0A2F" w:rsidRPr="006B0F72">
        <w:rPr>
          <w:noProof/>
        </w:rPr>
        <w:t>Naslov predloga/pobude</w:t>
      </w:r>
      <w:bookmarkEnd w:id="3"/>
      <w:bookmarkEnd w:id="4"/>
    </w:p>
    <w:p w14:paraId="371A3B6A"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Predlog uredbe Evropskega parlamenta in Sveta o obnovi narave. </w:t>
      </w:r>
    </w:p>
    <w:p w14:paraId="0466262E" w14:textId="46AB19CD" w:rsidR="00BE0A2F" w:rsidRPr="006B0F72" w:rsidRDefault="00652A97" w:rsidP="00652A97">
      <w:pPr>
        <w:pStyle w:val="ManualHeading2"/>
        <w:rPr>
          <w:i/>
          <w:noProof/>
        </w:rPr>
      </w:pPr>
      <w:bookmarkStart w:id="5" w:name="_Toc514938011"/>
      <w:bookmarkStart w:id="6" w:name="_Toc520485027"/>
      <w:r w:rsidRPr="00652A97">
        <w:rPr>
          <w:noProof/>
        </w:rPr>
        <w:t>1.2.</w:t>
      </w:r>
      <w:r w:rsidRPr="00652A97">
        <w:rPr>
          <w:noProof/>
        </w:rPr>
        <w:tab/>
      </w:r>
      <w:r w:rsidR="00BE0A2F" w:rsidRPr="006B0F72">
        <w:rPr>
          <w:noProof/>
        </w:rPr>
        <w:t>Zadevna področja</w:t>
      </w:r>
      <w:bookmarkEnd w:id="5"/>
      <w:bookmarkEnd w:id="6"/>
      <w:r w:rsidR="00BE0A2F" w:rsidRPr="006B0F72">
        <w:rPr>
          <w:noProof/>
        </w:rPr>
        <w:t xml:space="preserve"> </w:t>
      </w:r>
    </w:p>
    <w:p w14:paraId="5DD36FED"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Področje politike: 09 Okolje in podnebni ukrepi </w:t>
      </w:r>
    </w:p>
    <w:p w14:paraId="1379C04D"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Dejavnosti: </w:t>
      </w:r>
    </w:p>
    <w:p w14:paraId="40D2FE59"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09 02 – Program za okolje in podnebne ukrepe (LIFE) </w:t>
      </w:r>
    </w:p>
    <w:p w14:paraId="797474E5"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09 10 – Evropska agencija za okolje (EEA)</w:t>
      </w:r>
    </w:p>
    <w:p w14:paraId="03B569DC" w14:textId="6CBDC13C" w:rsidR="00BE0A2F" w:rsidRPr="006B0F72" w:rsidRDefault="00652A97" w:rsidP="00652A97">
      <w:pPr>
        <w:pStyle w:val="ManualHeading2"/>
        <w:rPr>
          <w:noProof/>
          <w:szCs w:val="24"/>
        </w:rPr>
      </w:pPr>
      <w:bookmarkStart w:id="7" w:name="_Toc514938014"/>
      <w:bookmarkStart w:id="8" w:name="_Toc520485028"/>
      <w:r w:rsidRPr="00652A97">
        <w:rPr>
          <w:noProof/>
        </w:rPr>
        <w:t>1.3.</w:t>
      </w:r>
      <w:r w:rsidRPr="00652A97">
        <w:rPr>
          <w:noProof/>
        </w:rPr>
        <w:tab/>
      </w:r>
      <w:r w:rsidR="00BE0A2F" w:rsidRPr="006B0F72">
        <w:rPr>
          <w:noProof/>
        </w:rPr>
        <w:t>Ukrep, na katerega se predlog/pobuda nanaša</w:t>
      </w:r>
      <w:bookmarkEnd w:id="7"/>
      <w:bookmarkEnd w:id="8"/>
      <w:r w:rsidR="00BE0A2F" w:rsidRPr="006B0F72">
        <w:rPr>
          <w:noProof/>
        </w:rPr>
        <w:t xml:space="preserve"> </w:t>
      </w:r>
    </w:p>
    <w:p w14:paraId="61AAC95A" w14:textId="77777777" w:rsidR="00BE0A2F" w:rsidRPr="006B0F72" w:rsidRDefault="00BE0A2F" w:rsidP="002E61AD">
      <w:pPr>
        <w:pStyle w:val="Text1"/>
        <w:rPr>
          <w:noProof/>
          <w:sz w:val="22"/>
        </w:rPr>
      </w:pPr>
      <w:r w:rsidRPr="006B0F72">
        <w:rPr>
          <w:noProof/>
          <w:color w:val="000000" w:themeColor="text1"/>
        </w:rPr>
        <w:sym w:font="Wingdings" w:char="F0FE"/>
      </w:r>
      <w:r w:rsidRPr="006B0F72">
        <w:rPr>
          <w:noProof/>
        </w:rPr>
        <w:t xml:space="preserve"> Nov ukrep</w:t>
      </w:r>
    </w:p>
    <w:p w14:paraId="6FFB76E1" w14:textId="77777777" w:rsidR="00BE0A2F" w:rsidRPr="006B0F72" w:rsidRDefault="00BE0A2F" w:rsidP="002E61AD">
      <w:pPr>
        <w:pStyle w:val="Text1"/>
        <w:rPr>
          <w:noProof/>
          <w:sz w:val="22"/>
        </w:rPr>
      </w:pPr>
      <w:r w:rsidRPr="006B0F72">
        <w:rPr>
          <w:noProof/>
          <w:sz w:val="22"/>
        </w:rPr>
        <w:sym w:font="Wingdings" w:char="F0A8"/>
      </w:r>
      <w:r w:rsidRPr="006B0F72">
        <w:rPr>
          <w:i/>
          <w:noProof/>
          <w:sz w:val="22"/>
        </w:rPr>
        <w:t xml:space="preserve"> </w:t>
      </w:r>
      <w:r w:rsidRPr="006B0F72">
        <w:rPr>
          <w:noProof/>
        </w:rPr>
        <w:t>Nov ukrep na podlagi pilotnega projekta / pripravljalnega ukrepa</w:t>
      </w:r>
      <w:r w:rsidRPr="006B0F72">
        <w:rPr>
          <w:rStyle w:val="FootnoteReference"/>
          <w:noProof/>
        </w:rPr>
        <w:footnoteReference w:id="115"/>
      </w:r>
      <w:r w:rsidRPr="006B0F72">
        <w:rPr>
          <w:noProof/>
          <w:sz w:val="22"/>
        </w:rPr>
        <w:t xml:space="preserve"> </w:t>
      </w:r>
    </w:p>
    <w:p w14:paraId="1D0C993D" w14:textId="77777777" w:rsidR="00BE0A2F" w:rsidRPr="006B0F72" w:rsidRDefault="00BE0A2F" w:rsidP="002E61AD">
      <w:pPr>
        <w:pStyle w:val="Text1"/>
        <w:rPr>
          <w:noProof/>
          <w:sz w:val="22"/>
        </w:rPr>
      </w:pPr>
      <w:r w:rsidRPr="006B0F72">
        <w:rPr>
          <w:noProof/>
          <w:sz w:val="22"/>
        </w:rPr>
        <w:sym w:font="Wingdings" w:char="F0A8"/>
      </w:r>
      <w:r w:rsidRPr="006B0F72">
        <w:rPr>
          <w:i/>
          <w:noProof/>
          <w:sz w:val="22"/>
        </w:rPr>
        <w:t xml:space="preserve"> </w:t>
      </w:r>
      <w:r w:rsidRPr="006B0F72">
        <w:rPr>
          <w:noProof/>
        </w:rPr>
        <w:t>Podaljšanje obstoječega ukrepa</w:t>
      </w:r>
      <w:r w:rsidRPr="006B0F72">
        <w:rPr>
          <w:noProof/>
          <w:sz w:val="22"/>
        </w:rPr>
        <w:t xml:space="preserve"> </w:t>
      </w:r>
    </w:p>
    <w:p w14:paraId="075F8A9C" w14:textId="77777777" w:rsidR="00BE0A2F" w:rsidRPr="006B0F72" w:rsidRDefault="00BE0A2F" w:rsidP="002E61AD">
      <w:pPr>
        <w:pStyle w:val="Text1"/>
        <w:rPr>
          <w:noProof/>
        </w:rPr>
      </w:pPr>
      <w:r w:rsidRPr="006B0F72">
        <w:rPr>
          <w:noProof/>
          <w:sz w:val="22"/>
        </w:rPr>
        <w:sym w:font="Wingdings" w:char="F0A8"/>
      </w:r>
      <w:r w:rsidRPr="006B0F72">
        <w:rPr>
          <w:i/>
          <w:noProof/>
          <w:sz w:val="22"/>
        </w:rPr>
        <w:t xml:space="preserve"> </w:t>
      </w:r>
      <w:r w:rsidRPr="006B0F72">
        <w:rPr>
          <w:noProof/>
        </w:rPr>
        <w:t xml:space="preserve">Združitev ali preusmeritev enega ali več ukrepov v drug/nov ukrep </w:t>
      </w:r>
    </w:p>
    <w:p w14:paraId="77554727" w14:textId="7BC9187F" w:rsidR="00BE0A2F" w:rsidRPr="006B0F72" w:rsidRDefault="00652A97" w:rsidP="00652A97">
      <w:pPr>
        <w:pStyle w:val="ManualHeading2"/>
        <w:rPr>
          <w:noProof/>
          <w:szCs w:val="24"/>
        </w:rPr>
      </w:pPr>
      <w:bookmarkStart w:id="9" w:name="_Toc514938015"/>
      <w:bookmarkStart w:id="10" w:name="_Toc520485029"/>
      <w:r w:rsidRPr="00652A97">
        <w:rPr>
          <w:noProof/>
        </w:rPr>
        <w:t>1.4.</w:t>
      </w:r>
      <w:r w:rsidRPr="00652A97">
        <w:rPr>
          <w:noProof/>
        </w:rPr>
        <w:tab/>
      </w:r>
      <w:r w:rsidR="00BE0A2F" w:rsidRPr="006B0F72">
        <w:rPr>
          <w:noProof/>
        </w:rPr>
        <w:t>Cilji</w:t>
      </w:r>
      <w:bookmarkEnd w:id="9"/>
      <w:bookmarkEnd w:id="10"/>
    </w:p>
    <w:p w14:paraId="1D97A41F" w14:textId="129BBDB2" w:rsidR="00BE0A2F" w:rsidRPr="006B0F72" w:rsidRDefault="00652A97" w:rsidP="00652A97">
      <w:pPr>
        <w:pStyle w:val="ManualHeading3"/>
        <w:rPr>
          <w:noProof/>
        </w:rPr>
      </w:pPr>
      <w:bookmarkStart w:id="11" w:name="_Toc514938016"/>
      <w:bookmarkStart w:id="12" w:name="_Toc520485030"/>
      <w:r w:rsidRPr="00652A97">
        <w:rPr>
          <w:noProof/>
        </w:rPr>
        <w:t>1.4.1.</w:t>
      </w:r>
      <w:r w:rsidRPr="00652A97">
        <w:rPr>
          <w:noProof/>
        </w:rPr>
        <w:tab/>
      </w:r>
      <w:r w:rsidR="00BE0A2F" w:rsidRPr="006B0F72">
        <w:rPr>
          <w:noProof/>
        </w:rPr>
        <w:t>Splošni cilji</w:t>
      </w:r>
      <w:bookmarkEnd w:id="11"/>
      <w:bookmarkEnd w:id="12"/>
    </w:p>
    <w:p w14:paraId="5D8003F7" w14:textId="77777777" w:rsidR="00B31369" w:rsidRPr="006B0F72" w:rsidRDefault="00B31369" w:rsidP="00B31369">
      <w:pPr>
        <w:pStyle w:val="Text1"/>
        <w:pBdr>
          <w:top w:val="single" w:sz="4" w:space="1" w:color="auto"/>
          <w:left w:val="single" w:sz="4" w:space="4" w:color="auto"/>
          <w:bottom w:val="single" w:sz="4" w:space="1" w:color="auto"/>
          <w:right w:val="single" w:sz="4" w:space="4" w:color="auto"/>
        </w:pBdr>
        <w:rPr>
          <w:noProof/>
        </w:rPr>
      </w:pPr>
      <w:bookmarkStart w:id="13" w:name="_Toc514938018"/>
      <w:bookmarkStart w:id="14" w:name="_Toc520485031"/>
      <w:r w:rsidRPr="006B0F72">
        <w:rPr>
          <w:noProof/>
        </w:rPr>
        <w:t>Cilj predlagane uredbe je prispevati k nenehni, dolgoročni in trajni obnovi biotsko raznovrstne in odporne narave na kopenskih in morskih območjih Unije z obnovo ekosistemov, habitatov in vrst, ter prispevati k doseganju ciljev Unije na področju blažitve podnebja in prilagajanja podnebju ter izpolnjevati mednarodne zaveze EU.</w:t>
      </w:r>
    </w:p>
    <w:bookmarkEnd w:id="13"/>
    <w:bookmarkEnd w:id="14"/>
    <w:p w14:paraId="1324F83E"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V skladu s splošnim ciljem je specifični cilj te predlagane uredbe:</w:t>
      </w:r>
    </w:p>
    <w:p w14:paraId="0C543061"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obnoviti degradirane ekosisteme po vsej EU v dobro stanje do leta 2050, do leta 2030 pa zagotoviti trend njihovega okrevanja. Ko bodo ekosistemi obnovljeni, bi jih bilo treba ohranjati v dobrem stanju.</w:t>
      </w:r>
    </w:p>
    <w:p w14:paraId="14D0A227"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V skladu s specifičnim ciljem so operativni cilji:</w:t>
      </w:r>
    </w:p>
    <w:p w14:paraId="22E96C64"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določiti pravno zavezujoče cilje za obnovo in ohranjanje ekosistemov v dobrem stanju;</w:t>
      </w:r>
    </w:p>
    <w:p w14:paraId="6FEFF0F9" w14:textId="77777777" w:rsidR="00BE0A2F"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 vzpostaviti učinkovit okvir za zagotavljanje izvajanja, zlasti z obveznostjo za države članice, da ocenjujejo ekosisteme in pripravijo nacionalni načrt za obnovo, pa tudi z obveznostjo poročanja in pregleda.</w:t>
      </w:r>
    </w:p>
    <w:p w14:paraId="62FC6695" w14:textId="587EC6C1" w:rsidR="00BE0A2F" w:rsidRPr="006B0F72" w:rsidRDefault="00652A97" w:rsidP="00652A97">
      <w:pPr>
        <w:pStyle w:val="ManualHeading3"/>
        <w:rPr>
          <w:noProof/>
        </w:rPr>
      </w:pPr>
      <w:r w:rsidRPr="00652A97">
        <w:rPr>
          <w:noProof/>
        </w:rPr>
        <w:t>1.4.2.</w:t>
      </w:r>
      <w:r w:rsidRPr="00652A97">
        <w:rPr>
          <w:noProof/>
        </w:rPr>
        <w:tab/>
      </w:r>
      <w:r w:rsidR="00BE0A2F" w:rsidRPr="006B0F72">
        <w:rPr>
          <w:noProof/>
        </w:rPr>
        <w:t>Pričakovani rezultati in posledice</w:t>
      </w:r>
    </w:p>
    <w:p w14:paraId="07F85227" w14:textId="77777777" w:rsidR="00B31369" w:rsidRPr="006B0F72" w:rsidRDefault="00BE0A2F" w:rsidP="00B0251E">
      <w:pPr>
        <w:ind w:left="850"/>
        <w:rPr>
          <w:i/>
          <w:noProof/>
          <w:sz w:val="20"/>
        </w:rPr>
      </w:pPr>
      <w:r w:rsidRPr="006B0F72">
        <w:rPr>
          <w:i/>
          <w:noProof/>
          <w:sz w:val="20"/>
        </w:rPr>
        <w:t>Navedite, kakšne učinke naj bi imel(-a) predlog/pobuda za upravičence/ciljne skupine.</w:t>
      </w:r>
    </w:p>
    <w:p w14:paraId="5C74447C"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Družba kot celota ima koristi od obnove narave zaradi izboljšanega blaženja podnebnih sprememb in prilagajanja podnebnim spremembam ter obvladovanja tveganja nesreč. Obnova narave nadalje zagotavlja zaposlitvene možnosti in možnosti za ustvarjanje dohodka ter pozitivno vpliva na zdravje državljanov, izboljšano naravno in kulturno dediščino in identiteto, pa tudi boljšo kakovost hrane in vode ter zanesljivo preskrbo z njima. Koristi bo imel tudi širok nabor gospodarskih sektorjev, zlasti tisti, ki so močno odvisni od ekosistemskih storitev, kot so agroživilski sektor, ribištvo, gozdarstvo, vodnogospodarska podjetja, turizem in tudi finančni sektor. </w:t>
      </w:r>
    </w:p>
    <w:p w14:paraId="73742A3A"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Obnova ekosistemov se je izkazala za stroškovno učinkovito (koristi so veliko večje kot stroški), vendar pa zahteva naložbe, ki povzročajo finančne in oportunitetne stroške upravljavcem zemljišč in naravnih virov, ki jih jim je mogoče nadomestiti s spodbudami, ki jih zagotavljajo vlade in kupci ekosistemskih storitev. Metoda in obseg obnove, vzdrževalni in izravnalni ukrepi, ki jih države članice izberejo za izvajanje Uredbe, bodo natančneje določali, na katere deležnike, kako in kdaj vpliva. Morebitni kratkoročni stroški, povezani z izgubo dohodka, ki jo lahko utrpijo nekatere skupine prebivalstva, kot so kmetje, lastniki gozdov ali ribiči med prehodom na bolj trajnostne prakse, bi se lahko delno ali v celoti krili iz financiranja v okviru EU ter drugih virov financiranja.</w:t>
      </w:r>
    </w:p>
    <w:p w14:paraId="4A84E376"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Predlagana uredba prav tako vpliva na javne organe na nacionalni, regionalni in lokalni ravni, saj bi imeli vlogo pri kartiranju in ocenjevanju ekosistemov in njihovih storitev, pa tudi pri načrtovanju, financiranju, izvajanju in spremljanju programov za obnovo. Upravna bremena se poskušajo zmanjšati z uporabo mehanizmov za spremljanje in poročanje v okviru obstoječe zakonodaje za cilje, določene v koraku 1 (zlasti direktiva o pticah in habitatih, okvirna direktiva o vodah ter okvirna direktiva o morski strategiji in uredba o LULUCF), pa tudi s podatki, ki sta jih že neposredno zbrala Evropska agencija za okolje in Skupno raziskovalno središče, na primer prek programa Copernicus. V koraku 2 bodo določeni dodatni cilji in izhodišča za ekosisteme, podatki za katere in mehanizmi za njihovo spremljanje še niso v celoti izoblikovani. Zato bodo obstoječi mehanizmi dopolnjeni z razvojem metode za ocenjevanje stanja vseh ekosistemov.</w:t>
      </w:r>
    </w:p>
    <w:p w14:paraId="67171163" w14:textId="77777777" w:rsidR="00BE0A2F" w:rsidRPr="006B0F72" w:rsidRDefault="00BE0A2F" w:rsidP="00B0251E">
      <w:pPr>
        <w:pStyle w:val="Text1"/>
        <w:ind w:left="0"/>
        <w:rPr>
          <w:noProof/>
        </w:rPr>
      </w:pPr>
    </w:p>
    <w:p w14:paraId="7B02F5E7" w14:textId="135FAD0F" w:rsidR="00BE0A2F" w:rsidRPr="006B0F72" w:rsidRDefault="00652A97" w:rsidP="00652A97">
      <w:pPr>
        <w:pStyle w:val="ManualHeading3"/>
        <w:rPr>
          <w:noProof/>
          <w:szCs w:val="24"/>
        </w:rPr>
      </w:pPr>
      <w:bookmarkStart w:id="15" w:name="_Toc514938023"/>
      <w:bookmarkStart w:id="16" w:name="_Toc520485033"/>
      <w:r w:rsidRPr="00652A97">
        <w:rPr>
          <w:noProof/>
        </w:rPr>
        <w:t>1.4.3.</w:t>
      </w:r>
      <w:r w:rsidRPr="00652A97">
        <w:rPr>
          <w:noProof/>
        </w:rPr>
        <w:tab/>
      </w:r>
      <w:r w:rsidR="00BE0A2F" w:rsidRPr="006B0F72">
        <w:rPr>
          <w:noProof/>
        </w:rPr>
        <w:t>Kazalniki smotrnosti</w:t>
      </w:r>
      <w:bookmarkEnd w:id="15"/>
      <w:bookmarkEnd w:id="16"/>
    </w:p>
    <w:p w14:paraId="3BA0912F" w14:textId="77777777" w:rsidR="00B31369" w:rsidRPr="006B0F72" w:rsidRDefault="00BE0A2F" w:rsidP="00B0251E">
      <w:pPr>
        <w:ind w:left="850"/>
        <w:jc w:val="left"/>
        <w:rPr>
          <w:noProof/>
        </w:rPr>
      </w:pPr>
      <w:r w:rsidRPr="006B0F72">
        <w:rPr>
          <w:i/>
          <w:noProof/>
          <w:color w:val="000000" w:themeColor="text1"/>
          <w:sz w:val="20"/>
        </w:rPr>
        <w:t>Navedite, s katerimi kazalniki se bodo spremljali napredek in dosežki.</w:t>
      </w:r>
    </w:p>
    <w:p w14:paraId="19EE9211"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color w:val="000000" w:themeColor="text1"/>
        </w:rPr>
        <w:t xml:space="preserve">Z izvajanjem predloga naj bi se do leta 2030 zagotovil trend okrevanja za ekosisteme povsod v EU, do leta 2050 pa njihova obnovitev v dobro stanje. </w:t>
      </w:r>
    </w:p>
    <w:p w14:paraId="70664F6B"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color w:val="000000" w:themeColor="text1"/>
        </w:rPr>
        <w:t>Obstajata dva glavna kazalnika, predvidena za spremljanje izvajanja:</w:t>
      </w:r>
    </w:p>
    <w:p w14:paraId="2001B362"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color w:val="000000" w:themeColor="text1"/>
        </w:rPr>
        <w:t>- ukrepi/dejavnosti za obnovo in ponovno vzpostavitev, ki jih vzpostavijo države članice za zagotovitev obnove ekosistemov;</w:t>
      </w:r>
    </w:p>
    <w:p w14:paraId="7C4B85A6"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color w:val="000000" w:themeColor="text1"/>
        </w:rPr>
        <w:t>- stanje ekosistemov in stanje njihove ohranjenosti na nacionalni in/ali (biogeografski) regionalni ravni ter ali kažejo pozitivne trende glede na ustrezni scenarij zadevnega ekosistema.</w:t>
      </w:r>
    </w:p>
    <w:p w14:paraId="78532358" w14:textId="77777777" w:rsidR="00B31369" w:rsidRPr="006B0F72"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color w:val="000000" w:themeColor="text1"/>
        </w:rPr>
        <w:t xml:space="preserve">Opredelitev dobrega stanja ekosistema in ustrezni ukrepi za obnovo in ponovno oblikovanje se med ekosistemi razlikujejo. Za habitate v skladu s Prilogo I direktive o habitatih so na voljo opredelitve, izhodišča, cilji in spremljanje. Za druge ekosisteme, podatki za katere in mehanizmi za njihovo spremljanje še niso v celoti izoblikovani, je v predlogu določen postopek za razvoj metodologije na ravni EU za ocenjevanje stanja teh ekosistemov, kar omogoča poznejše določanje dodatnih specifičnih ciljev in izhodišč. Vendar v zvezi s številnimi od teh ekosistemov, kot so urbana, kmetijska in gozdna zemljišča, informacije o številnih kazalnikih v zvezi s stanjem ekosistema že obstajajo prek vseevropskih shem spremljanja (npr. v okviru Forest Europe) ali jih že neposredno zbira Evropska agencija za okolje ali Komisija prek, na primer, programa Copernicus.  </w:t>
      </w:r>
      <w:r w:rsidR="006B0F72">
        <w:rPr>
          <w:noProof/>
          <w:color w:val="000000" w:themeColor="text1"/>
        </w:rPr>
        <w:t>Kazalniki bi morali biti</w:t>
      </w:r>
      <w:r w:rsidRPr="006B0F72">
        <w:rPr>
          <w:noProof/>
          <w:color w:val="000000" w:themeColor="text1"/>
        </w:rPr>
        <w:t xml:space="preserve"> </w:t>
      </w:r>
      <w:r w:rsidR="006B0F72" w:rsidRPr="006B0F72">
        <w:rPr>
          <w:noProof/>
          <w:color w:val="000000" w:themeColor="text1"/>
        </w:rPr>
        <w:t>ustrezni, sprejeti, verodostojni, preprosti in zanesljivi.</w:t>
      </w:r>
    </w:p>
    <w:p w14:paraId="287FD27E" w14:textId="77777777" w:rsidR="00BE0A2F" w:rsidRPr="006B0F72" w:rsidRDefault="00BE0A2F" w:rsidP="00DD69EC">
      <w:pPr>
        <w:pStyle w:val="Text1"/>
        <w:rPr>
          <w:noProof/>
        </w:rPr>
      </w:pPr>
    </w:p>
    <w:p w14:paraId="4ABAF86D" w14:textId="1E7F43FB" w:rsidR="00BE0A2F" w:rsidRPr="006B0F72" w:rsidRDefault="00652A97" w:rsidP="00652A97">
      <w:pPr>
        <w:pStyle w:val="ManualHeading2"/>
        <w:rPr>
          <w:noProof/>
          <w:szCs w:val="24"/>
        </w:rPr>
      </w:pPr>
      <w:bookmarkStart w:id="17" w:name="_Toc514938025"/>
      <w:bookmarkStart w:id="18" w:name="_Toc520485034"/>
      <w:r w:rsidRPr="00652A97">
        <w:rPr>
          <w:noProof/>
        </w:rPr>
        <w:t>1.5.</w:t>
      </w:r>
      <w:r w:rsidRPr="00652A97">
        <w:rPr>
          <w:noProof/>
        </w:rPr>
        <w:tab/>
      </w:r>
      <w:r w:rsidR="00BE0A2F" w:rsidRPr="006B0F72">
        <w:rPr>
          <w:noProof/>
        </w:rPr>
        <w:t>Utemeljitev predloga/pobude</w:t>
      </w:r>
      <w:bookmarkEnd w:id="17"/>
      <w:bookmarkEnd w:id="18"/>
      <w:r w:rsidR="00BE0A2F" w:rsidRPr="006B0F72">
        <w:rPr>
          <w:noProof/>
        </w:rPr>
        <w:t xml:space="preserve"> </w:t>
      </w:r>
    </w:p>
    <w:p w14:paraId="01D94079" w14:textId="6D603287" w:rsidR="00BE0A2F" w:rsidRPr="006B0F72" w:rsidRDefault="00652A97" w:rsidP="00652A97">
      <w:pPr>
        <w:pStyle w:val="ManualHeading3"/>
        <w:rPr>
          <w:noProof/>
        </w:rPr>
      </w:pPr>
      <w:bookmarkStart w:id="19" w:name="_Toc514938026"/>
      <w:bookmarkStart w:id="20" w:name="_Toc520485035"/>
      <w:r w:rsidRPr="00652A97">
        <w:rPr>
          <w:noProof/>
        </w:rPr>
        <w:t>1.5.1.</w:t>
      </w:r>
      <w:r w:rsidRPr="00652A97">
        <w:rPr>
          <w:noProof/>
        </w:rPr>
        <w:tab/>
      </w:r>
      <w:r w:rsidR="00BE0A2F" w:rsidRPr="006B0F72">
        <w:rPr>
          <w:noProof/>
        </w:rPr>
        <w:t>Potrebe, ki jih je treba zadovoljiti kratkoročno ali dolgoročno, vključno s podrobno časovnico za uvajanje ustreznih ukrepov za izvajanje pobude</w:t>
      </w:r>
      <w:bookmarkEnd w:id="19"/>
      <w:bookmarkEnd w:id="20"/>
    </w:p>
    <w:p w14:paraId="068B1164"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V evropskem zelenem dogovoru je poudarjen pomen boljšega varstva in obnove narave. Strategija EU za biotsko raznovrstnost do leta 2030 določa splošni cilj za obračanje trenda izgube biotske raznovrstnosti, tako da za evropsko biotsko raznovrstnost zagotovi trend okrevanja do leta 2030 ter da bodo do leta 2050 vsi ekosistemi EU obnovljeni, odporni in ustrezno zavarovani. Evropski parlament in Evropski svet sta oba vztrajala pri okrepitvi prizadevanj za obnovo ekosistemov. </w:t>
      </w:r>
    </w:p>
    <w:p w14:paraId="2026DBFC"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Predlagana uredba se bo neposredno uporabljala od dneva začetka njene veljavnosti.</w:t>
      </w:r>
    </w:p>
    <w:p w14:paraId="0DD214ED"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Vendar pa bo treba čim prej začeti opravljati vrsto upravnih nalog, in nekatere se začnejo že leta 2022 (tj. v času priprave na začetek njene veljavnosti, preden jo odobrita Evropski parlament in Svet), nekatere pa po začetku veljavnosti.  Medtem ko bodo nekatere naloge enkratne (vzpostavitev infrastrukture IT), pa se bodo druge ponavljale, dokler se bo Uredba uporabljala. Zlasti: </w:t>
      </w:r>
    </w:p>
    <w:p w14:paraId="4F799024"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pred začetkom veljavnosti Uredbe: </w:t>
      </w:r>
    </w:p>
    <w:p w14:paraId="059B9494"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a) 2022–2023: Komisija (GD ENV in JRC) bosta v sodelovanju z agencijo EEA in državami članicami razvila metodologijo za ocenjevanje stanja ekosistemov, spremljanje in izhodišča katerih še niso na voljo, tako da se lahko s spremembo Uredbe določijo dodatni cilji za obnovo. JRC bo GD ENV na podlagi dogovora o izvajanju zagotavljal podporo pri razvoju ustreznih metodologij in izhodišč.</w:t>
      </w:r>
    </w:p>
    <w:p w14:paraId="3C9FA551"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b) 2022–2024: Komisija bo oblikovala smernice o ukrepih za obnovo in praksah upravljanja obnove, da bi države članice spodbudila in jim omogočila zgodnji začetek dejavnosti obnove, tudi v zvezi s tistimi ekosistemi, za katere cilji še niso določeni.</w:t>
      </w:r>
    </w:p>
    <w:p w14:paraId="5395ED11"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po začetku veljavnosti Uredbe:</w:t>
      </w:r>
    </w:p>
    <w:p w14:paraId="39B47A72"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c) 2024: Komisija bo na podlagi postopka komitologije sprejela enotno obliko za nacionalne načrte za obnovo (npr. vključno z elektronsko obliko poročanja o popisu rečnih ovir) in obliko poročanja.</w:t>
      </w:r>
    </w:p>
    <w:p w14:paraId="5BCA3603"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d) 2024 in 2025: Komisija bo sprejela smernice o razlagi Priloge II o habitatnih tipih in o novih metodologijah za ocenjevanje stanja ekosistemov (npr. ekosistemi v najbolj oddaljenih regijah, ki niso zajeti z direktivo o habitatih), pa tudi izvedbene akte o metodi za ocenjevanje opraševalcev (metoda bo zagotovila standardiziran pristop k zbiranju letnih podatkov o številčnosti in raznovrstnosti vrst opraševalcev in ocenjevanju trendov opraševalskih populacij) ter za metode spremljanja kazalnikov v kmetijskih in gozdnih ekosistemih.</w:t>
      </w:r>
    </w:p>
    <w:p w14:paraId="7786FFAE"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Države članice začnejo čim prej po začetku veljavnosti Uredbe ekosisteme ocenjevati v smislu območij ekosistemov v dobrem stanju, v degradiranem stanju, ki so bili v zadnjih 70 letih izgubljeni, ter območij, ki bi bila najprimernejša za ponovno vzpostavitev ekosistema. </w:t>
      </w:r>
    </w:p>
    <w:p w14:paraId="110BBA50"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e) 2026–2027: Komisija bo od držav članic prejela njihove nacionalne načrte za obnovo, ki jih predložijo v dveh letih po začetku veljavnosti Uredbe. Nacionalni načrti za obnovo bodo vključevali na primer rezultate ocenjevanja ekosistemov, količinsko opredeljeno in prostorsko natančno območje na podlagi potreb po obnovi in ukrepov za obnovo na podlagi kartiranja in popisa, čezmejne vidike, časovni okvir za izvajanje ukrepov za obnovo, stroške izvajanja in načrtovano spremljanje po obnovi ter mehanizem pregleda. </w:t>
      </w:r>
    </w:p>
    <w:p w14:paraId="09F74B89"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f) 2026–2027 (1. krog, morebitne naknadne posodobitve s strani držav članic): GD ENV bo ob podpori zunanjih (pogodbenih) strokovnjakov in agencije EEA ocenil nacionalne načrte za obnovo, ki jih bodo predložile države članice.</w:t>
      </w:r>
    </w:p>
    <w:p w14:paraId="6F196A48"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g) 2026–2027: javna naročila (pogodbe o storitvah) za oceno (ali več ocen) učinka in/ali dogovor o izvajanju z JRC za določitev novih ciljev in ustreznih izhodišč. </w:t>
      </w:r>
    </w:p>
    <w:p w14:paraId="3D0F501B"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Države članice bodo morale najmanj vsaka tri leta (prvič pet let od datuma začetka veljavnosti Uredbe) poročati o vzpostavljenih ukrepih za obnovo in o rezultatih njihovega spremljanja. </w:t>
      </w:r>
    </w:p>
    <w:p w14:paraId="0F80F0B5"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h) od leta 2030, vsaka tri leta: agencija EEA bo pripravila poročilo o napredku na ravni Unije, ki bo temeljilo na napredku na ravni držav članic pri doseganju ciljev, na podlagi ukrepov za obnovo in trendov na področju stanja, o katerih bodo države članice poročale v okviru svojih obveznosti poročanja, pa tudi na podlagi rezultatov trenda na področju stanja ohranjenosti habitatov in vrst na podlagi podatkov spremljanja, o katerih bodo države članice poročale v skladu s členom 17 direktive o habitatih in členom 12 direktive o pticah ter na podlagi informacij, sporočenih v skladu s členom 15 Direktive 2000/60/ES, členom 12 Direktive 2009/147/ES in členom 18 Direktive 2008/56/ES. Komisija na podlagi poročila agencije EEA o napredku na ravni Unije vsaka tri leta poroča Svetu in Evropskemu parlamentu o izvajanju te uredbe.</w:t>
      </w:r>
    </w:p>
    <w:p w14:paraId="609EFB83"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i) 2027 ali pozneje: Komisija bo na podlagi rezultatov ocen/-e učinka predlagala revizijo/spremembo Uredbe za vključitev novih ciljev.</w:t>
      </w:r>
    </w:p>
    <w:p w14:paraId="4E23AD6D"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Po sprejetju novih ciljev za obnovo bodo države članice pregledale in ustrezno prilagodile svoje nacionalne načrte za obnovo. </w:t>
      </w:r>
    </w:p>
    <w:p w14:paraId="49C10A76"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j) 2033–2034: GD ENV bo ob podpori agencije EEA ocenil pregledane nacionalne načrte za obnovo.</w:t>
      </w:r>
    </w:p>
    <w:p w14:paraId="0DBB1EDF"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k) 2030–2050 (stalno): GD ENV bo ob podpori JRC in agencije EEA spremljal izvajanje Uredbe v državah članicah EU za zagotovitev, da uresničuje svoje predvidene cilje in da vse države članice izvajajo zakonodajo EU. </w:t>
      </w:r>
    </w:p>
    <w:p w14:paraId="5E9C07DC"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l) Komisija bo do 31. decembra 2035 pregledala izvajanje Uredbe, Evropskemu parlamentu in Svetu pa predložila poročilo o pregledu.________________________________________</w:t>
      </w:r>
    </w:p>
    <w:p w14:paraId="22E65B44"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Evropska agencija za okolje (EEA) bo zagotavljala podporo z naslednjimi nalogami:</w:t>
      </w:r>
    </w:p>
    <w:p w14:paraId="7A47F918"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pred začetkom veljavnosti Uredbe (2022–2023):</w:t>
      </w:r>
    </w:p>
    <w:p w14:paraId="362C132B"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agencija EEA bo na podlagi napredovanja razprav med sozakonodajalcema začela izvajati naslednje ukrepe:</w:t>
      </w:r>
    </w:p>
    <w:p w14:paraId="53E81F6D"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 razvila oblike in informacijski sistem za nacionalne načrte za obnovo (vključno z načrti za odstranitev rečnih ovir); </w:t>
      </w:r>
    </w:p>
    <w:p w14:paraId="0B0A8B64"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razvila obliko in informacijski sistem za redno poročanje o izvedenih ukrepih ter obnovljenih in ponovno vzpostavljenih območjih, pa tudi o stanju ekosistemov in populacij vrst;</w:t>
      </w:r>
    </w:p>
    <w:p w14:paraId="2E92394C"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razvila razlagalni priročnik o habitatnih tipih iz Priloge II;</w:t>
      </w:r>
    </w:p>
    <w:p w14:paraId="3AACD467"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zagotavljala podporo pri vzpostavitvi metodologije za spremljanje, kazalnike in ocenjevanje dobrega stanja navedenih ekosistemov/habitatov/vrst, za katere to še ni na voljo kot podlaga za določitev ciljev v koraku 2 (npr. nekateri ekosistemi v najbolj oddaljenih regijah): ta naloga bo opravljena v sodelovanju z JRC in GD ENV;</w:t>
      </w:r>
    </w:p>
    <w:p w14:paraId="135D4B50"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p>
    <w:p w14:paraId="7D1EF202"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po začetku veljavnosti (predvidoma leta 2024):</w:t>
      </w:r>
    </w:p>
    <w:p w14:paraId="27372E8A"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- 2024–2026: podpora pri opredelitvi ciljev, povezanih z območji za ponovno vzpostavitev: državam članicam zagotavljati podporo pri ocenjevanju območja, ki bo ponovno vzpostavljeno za doseganje ugodnega stanja ohranjenosti (priprave bi se lahko začele že pred začetkom veljavnosti); </w:t>
      </w:r>
    </w:p>
    <w:p w14:paraId="0B0128B2"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- 2024–2050: pridobivanje podatkov/ravnanje s podatki/nadzor kakovosti podatkov in upravljanje sistemov/zahtev elektronskega poročanja. To vključuje objavo podatkov in zagotavljanje dostopa do podatkov (npr. interaktivni zemljevidi, preglednice, poročila);</w:t>
      </w:r>
    </w:p>
    <w:p w14:paraId="4682EFDB"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 od leta 2024: spremljanje nekaterih ciljev, na primer prek programa Copernicus, kot so cilji za mesta v zvezi z urbanim zelenim prostorom in drevesno zastornostjo; </w:t>
      </w:r>
    </w:p>
    <w:p w14:paraId="2838916E"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- 2024–2050 (stalno): objava in vizualizacija podatkov ter dostop do podatkov (poročila, preglednice, zemljevidi), pri čemer se povsod, kjer je to mogoče, uporabljajo obstoječi informacijski sistemi (Evropski informacijski sistem za biotsko raznovrstnost, center za znanje o biotski raznovrstnosti, evropski informacijski sistem za vode, informacijski sistem za gozdove EU itd.);</w:t>
      </w:r>
    </w:p>
    <w:p w14:paraId="1D2FFFE1"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~2026–2027 (1. krog): podpora pri ocenjevanju nacionalnih načrtov za obnovo, ki jih bodo predložile države članice (skupaj s Komisijo in zunanjim izvajalcem);</w:t>
      </w:r>
    </w:p>
    <w:p w14:paraId="55782930"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od leta 2030, vsaka tri leta: ocenjevanje poročil držav članic o napredku, doseženem na ravni držav članic in na ravni Unije, pri doseganju ciljev, na podlagi ukrepov za obnovo in trendov na področju stanja, o katerih bodo države članice poročale v okviru svojih obveznosti poročanja (z uporabo oblike poročanja, razvite v skladu z drugo točko te preglednice), pa tudi na podlagi rezultatov trenda na področju stanja ohranjenosti habitatov in vrst na podlagi podatkov spremljanja, ki jih bodo države članice sporočile v skladu s členom 17 direktive o habitatih in členom 12 direktive o pticah, ter na podlagi informacij, sporočenih v skladu s členom 15 Direktive 2000/60/ES, členom 12 Direktive 2009/147/ES in členom 18 Direktive 2008/56/ES;</w:t>
      </w:r>
    </w:p>
    <w:p w14:paraId="7DD0F717"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- 2024–2050: služba za pomoč državam članicam: sistematična podpora državam članicam pri bolj tehničnih vprašanjih v zvezi s spremljanjem, poročanjem, določanjem ciljev, pripravo nacionalnega načrta za obnovo.</w:t>
      </w:r>
    </w:p>
    <w:p w14:paraId="54A439B2"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V številnih zgoraj navedenih korakih izvajanja bosta uporaba rezultatov raziskav (npr. IPBES in okvirnega programa EU za raziskave in inovacije) in uporaba znanstvenih orodij (npr. modeliranja, scenarijev, poročila skupine strokovnjakov) podpirali in dopolnjevali delo agencije EEA, JRC in GD ENV.</w:t>
      </w:r>
    </w:p>
    <w:p w14:paraId="3B4643BF" w14:textId="77777777" w:rsidR="00BE0A2F" w:rsidRPr="006B0F72" w:rsidRDefault="00BE0A2F" w:rsidP="00B0251E">
      <w:pPr>
        <w:pStyle w:val="Text1"/>
        <w:ind w:left="0"/>
        <w:rPr>
          <w:bCs/>
          <w:noProof/>
          <w:szCs w:val="24"/>
        </w:rPr>
      </w:pPr>
    </w:p>
    <w:p w14:paraId="11A1C750" w14:textId="100365AC" w:rsidR="00BE0A2F" w:rsidRPr="006B0F72" w:rsidRDefault="00652A97" w:rsidP="00652A97">
      <w:pPr>
        <w:pStyle w:val="ManualHeading3"/>
        <w:rPr>
          <w:noProof/>
        </w:rPr>
      </w:pPr>
      <w:r w:rsidRPr="00652A97">
        <w:rPr>
          <w:noProof/>
        </w:rPr>
        <w:t>1.5.2.</w:t>
      </w:r>
      <w:r w:rsidRPr="00652A97">
        <w:rPr>
          <w:noProof/>
        </w:rPr>
        <w:tab/>
      </w:r>
      <w:r w:rsidR="00BE0A2F" w:rsidRPr="006B0F72">
        <w:rPr>
          <w:noProof/>
        </w:rPr>
        <w:t>Dodana vrednost ukrepanja Unije (ki je lahko posledica različnih dejavnikov, npr. boljšega usklajevanja, pravne varnosti, večje učinkovitosti ali dopolnjevanja). Za namene te točke je „dodana vrednost ukrepanja Unije“ vrednost, ki izhaja iz ukrepanja Unije in predstavlja dodatno vrednost poleg tiste, ki bi jo sicer ustvarile države članice same.</w:t>
      </w:r>
    </w:p>
    <w:p w14:paraId="06680223"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Razlogi za ukrepanje na evropski ravni (predhodno):</w:t>
      </w:r>
    </w:p>
    <w:p w14:paraId="5F26A36C"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 izguba biotske raznovrstnosti in degradacija ekosistemov, vključno s pritiski na ekosisteme, je obsežen in čezmejni izziv in se z njim ni mogoče učinkovito spopasti le na ravni držav članic.</w:t>
      </w:r>
    </w:p>
    <w:p w14:paraId="6858549A"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Pričakovana ustvarjena dodana vrednost Unije (naknadno):</w:t>
      </w:r>
    </w:p>
    <w:p w14:paraId="1FB28724"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 potrebno je usklajeno ukrepanje na ravni EU v pravem obsegu, da bi se dosegle znatne ravni obnove in izkoristile sinergije ter pridobile koristi od povečanja učinkovitosti. Na primer, obnova enega ekosistema (in s tem podpiranje njegove biotske raznovrstnosti) ima pozitivne učinke na druge sosednje ali povezane ekosisteme in njihovo biotsko raznovrstnost. Številne vrste bolje uspevajo v povezani mreži ekosistemov.</w:t>
      </w:r>
    </w:p>
    <w:p w14:paraId="1EF738D6"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 ukrepanje na ravni EU bi ustvarilo enake konkurenčne pogoje, s katerimi bi se odpravila težava „pridobivanja nezasluženih koristi“, tj. nekatere države članice, ki ne sprejemajo pobud za obnovo ekosistemov na svojih ozemljih, lahko pridobijo nepoštene kratkoročne prednosti glede na tiste države članice, ki sprejmejo pobudo za obnovo. To se lahko dogaja predvsem v čezmejnih regijah.</w:t>
      </w:r>
    </w:p>
    <w:p w14:paraId="0D4C2B88"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 velikopotezno, usklajeno ukrepanje na področju obnove biotske raznovrstnosti in ekosistemov na ravni EU bo Uniji zagotovilo potrebno verodostojnost, da bo lahko „s svojimi ukrepi dajala zgled“ na mednarodni ravni.</w:t>
      </w:r>
    </w:p>
    <w:p w14:paraId="3E2EC651" w14:textId="77777777" w:rsidR="008D0129" w:rsidRPr="006B0F72" w:rsidRDefault="008D0129" w:rsidP="00B0251E">
      <w:pPr>
        <w:pStyle w:val="Text1"/>
        <w:rPr>
          <w:noProof/>
        </w:rPr>
      </w:pPr>
    </w:p>
    <w:p w14:paraId="237AD6F6" w14:textId="406579EE" w:rsidR="00BE0A2F" w:rsidRPr="006B0F72" w:rsidRDefault="00652A97" w:rsidP="00652A97">
      <w:pPr>
        <w:pStyle w:val="ManualHeading3"/>
        <w:rPr>
          <w:noProof/>
        </w:rPr>
      </w:pPr>
      <w:bookmarkStart w:id="21" w:name="_Toc514938030"/>
      <w:bookmarkStart w:id="22" w:name="_Toc520485037"/>
      <w:r w:rsidRPr="00652A97">
        <w:rPr>
          <w:noProof/>
        </w:rPr>
        <w:t>1.5.3.</w:t>
      </w:r>
      <w:r w:rsidRPr="00652A97">
        <w:rPr>
          <w:noProof/>
        </w:rPr>
        <w:tab/>
      </w:r>
      <w:r w:rsidR="00BE0A2F" w:rsidRPr="006B0F72">
        <w:rPr>
          <w:noProof/>
        </w:rPr>
        <w:t>Spoznanja iz podobnih izkušenj v preteklosti</w:t>
      </w:r>
      <w:bookmarkEnd w:id="21"/>
      <w:bookmarkEnd w:id="22"/>
    </w:p>
    <w:p w14:paraId="3A95646C"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Prizadevanja za obnovo ekosistemov so bila do zdaj nezadostna. Ugotovljeni so bili trije neuspehi politike: </w:t>
      </w:r>
    </w:p>
    <w:p w14:paraId="103A60E6"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1. Prostovoljni cilji so bili neučinkoviti. Prostovoljni cilj strategije EU za biotsko raznovrstnost do leta 2020, tj. obnoviti najmanj 15 % degradiranih ekosistemov, ni bil dosežen. V ocenjevalni študiji te strategije je bilo ugotovljeno, da je eden izmed razlogov za neuspeh obnove ekosistemov dejstvo, da so bili cilji prostovoljne in ne pravno zavezujoče narave. Posledična nezavezanost in neprednostna politična obravnava dejavnosti obnove sta bili ključni oviri, ki sta botrovali pomanjkanju financiranja in dodeljevanja finančnih sredstev za obnovo. Po drugi strani je bil v okviru strategije EU za biotsko raznovrstnost do leta 2020 zastavljen tudi cilj v zvezi z invazivni tujerodnimi vrstami, ki je postal s sprejetjem nove uredbe pravno zavezujoč, zaradi česar se je izvajal v veliki meri in prinesel koristi, ki jih ne bi bilo, če bi bil prostovoljne narave. </w:t>
      </w:r>
    </w:p>
    <w:p w14:paraId="2AA40CFB"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2. Pomanjkljivosti v obstoječi zakonodaji. Ocena strategije EU za biotsko raznovrstnost do leta 2020 in nekaterih glavnih zakonodajnih aktov so razkrili težave pri izvajanju, ki izražajo kompleksnost obravnavanih vprašanj. Poleg tega številne pomanjkljivosti ostajajo, ker vidiki zakonodaje niso dovolj specifični (okvirna direktiva o morski strategiji), časovno omejeni (direktiva o habitatih) ali merljivi (okvirna direktiva o morski strategiji) za doseganje ciljev obnove. </w:t>
      </w:r>
    </w:p>
    <w:p w14:paraId="7292C036" w14:textId="77777777" w:rsidR="008D0129" w:rsidRPr="006B0F72" w:rsidRDefault="008D012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3. Necelovit pristop. Različni zakonodajni akti obravnavajo ekosisteme ločeno, kar je povzročilo nekaj izzivov pri usklajenem izvajanju. Direktiva o pticah in habitatih, okvirna direktiva o vodah in okvirna direktiva o morski strategiji so na splošno skladne, vendar pa je preverjanje primernosti direktiv o pticah in habitatih kljub temu razkrilo nekatere izzive pri izvajanju tam, kjer ti direktivi vzajemno delujeta, na primer pri vodnih telesih, stanje katerih je odvisno od njihovih okoliških obrežnih habitatov, in bi jih bilo treba obravnavati celovito za doseganje specifičnih ciljev obnove, kot na primer pri poplavnih območjih.</w:t>
      </w:r>
    </w:p>
    <w:p w14:paraId="02E4DF51" w14:textId="77777777" w:rsidR="008D0129" w:rsidRPr="006B0F72" w:rsidRDefault="008D0129" w:rsidP="00023BC7">
      <w:pPr>
        <w:pStyle w:val="Text1"/>
        <w:rPr>
          <w:noProof/>
        </w:rPr>
      </w:pPr>
    </w:p>
    <w:p w14:paraId="2157D81B" w14:textId="652B122F" w:rsidR="00BE0A2F" w:rsidRPr="006B0F72" w:rsidRDefault="00652A97" w:rsidP="00652A97">
      <w:pPr>
        <w:pStyle w:val="ManualHeading3"/>
        <w:rPr>
          <w:noProof/>
        </w:rPr>
      </w:pPr>
      <w:bookmarkStart w:id="23" w:name="_Toc514938033"/>
      <w:bookmarkStart w:id="24" w:name="_Toc520485038"/>
      <w:r w:rsidRPr="00652A97">
        <w:rPr>
          <w:noProof/>
        </w:rPr>
        <w:t>1.5.4.</w:t>
      </w:r>
      <w:r w:rsidRPr="00652A97">
        <w:rPr>
          <w:noProof/>
        </w:rPr>
        <w:tab/>
      </w:r>
      <w:r w:rsidR="00BE0A2F" w:rsidRPr="006B0F72">
        <w:rPr>
          <w:noProof/>
        </w:rPr>
        <w:t>Skladnost z večletnim finančnim okvirom in možne sinergije z drugimi ustreznimi instrumenti</w:t>
      </w:r>
      <w:bookmarkEnd w:id="23"/>
      <w:bookmarkEnd w:id="24"/>
    </w:p>
    <w:p w14:paraId="420A47B2"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Pobuda spada v okvir evropskega zelenega dogovora, strategije EU za trajnostno rast. Ta vključuje cilj, da se zagotovi trend okrevanja evropske biotske raznovrstnosti do leta 2030 in da so vsi ekosistemi EU obnovljeni do leta 2050. Določa zavezujoče cilje za obnovo degradiranih ekosistemov, habitatov in vrst, tako da se jih povrne v dobro stanje. Prav tako izhaja iz ciljev, določenih v strategiji EU za biotsko raznovrstnost do leta 2030, ter prispeva k njihovemu doseganju.</w:t>
      </w:r>
    </w:p>
    <w:p w14:paraId="1F6D57E0"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Pobuda spada v razdelek 3 (Naravni viri in okolje), naslov 9 (Okolje in podnebni ukrepi), večletnega finančnega okvira za obdobje 2021–2027. Zakonodaja bo pomagala mobilizirati sredstva za doseganje cilja zagotavljanja 7,5-odstotne letne porabe v večletnem finančnem okviru za cilje biotske raznovrstnosti v letu 2024 in 10-odstotne letne porabe v večletnem finančnem okviru za cilje biotske raznovrstnosti v letih 2026 in 2027, ob hkratnem upoštevanju obstoječih prekrivanj med podnebnimi cilji in cilji biotske raznovrstnosti. </w:t>
      </w:r>
    </w:p>
    <w:p w14:paraId="40D0E88B"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 xml:space="preserve">Predlog dopolnjuje druge ukrepe iz strategije za biotsko raznovrstnost do leta 2030, zlasti: 1) sodelovanje z industrijo in podjetji za krepitev trajnostnega upravljanja podjetij; 2) razvoj taksonomije EU za trajnostno financiranje in prenovljene strategije za trajnostno financiranje za zagotavljanje biotski raznovrstnosti prijaznih naložb; 3) krepitev mednarodnega sodelovanja za spodbujanje sprejetja podobnih ukrepov (to spada v poglavje 14 – Zunanje delovanje – večletnega finančnega okvira). </w:t>
      </w:r>
    </w:p>
    <w:p w14:paraId="2975F0DE"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rPr>
      </w:pPr>
      <w:r w:rsidRPr="006B0F72">
        <w:rPr>
          <w:noProof/>
        </w:rPr>
        <w:t>V strategiji za biotsko raznovrstnost je določen cilj za letno sprostitev najmanj 20 milijard EUR, tj. zneska, ki bo porabljen za naravo, vključno s prednostnimi naložbami v omrežje Natura 2000 in zeleno infrastrukturo, ter za pripravo namenske pobude za naravni kapital in krožno gospodarstvo v okviru programa InvestEU, ki bo mobilizirala najmanj 10 milijard EUR v naslednjih desetih letih. Poleg tega prenovljena strategija za trajnostno financiranje iz julija 2021 podpira gospodarske dejavnosti, ki prispevajo k zmanjšanju emisij toplogrednih plinov, ter vzpostavlja okvir za zagotovitev, da finančni sistem prispeva k zmanjševanju obstoječih in prihodnjih tveganj za biotsko raznovrstnost ter bolje odraža način, kako izguba biotske raznovrstnosti vpliva na dobičkonosnost podjetij in dolgoročne obete.</w:t>
      </w:r>
    </w:p>
    <w:p w14:paraId="2CA63C5B" w14:textId="77777777" w:rsidR="008D0129" w:rsidRPr="006B0F72"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6B0F72">
        <w:rPr>
          <w:noProof/>
        </w:rPr>
        <w:t>V obdobju 2021–2027 se bodo odhodki za podporo (izvajanju v državah članicah) krili iz Evropskega kmetijskega jamstvenega sklada, Evropskega kmetijskega sklada za razvoj podeželja, Evropskega sklada za regionalni razvoj, Kohezijskega sklada, programa za okolje in podnebne ukrepe (LIFE), okvirnega programa za raziskave in inovacije (Obzorje 2020), Evropskega sklada za pomorstvo, ribištvo in akvakulturo, sporazumov o partnerstvu o trajnostnem ribištvu in regionalnih organizacij za upravljanje ribištva, vesoljskega programa Unije, Instrumenta za povezovanje Evrope, Evropskega socialnega sklada plus, programa InvestEU, mehanizma Unije na področju civilne zaščite ter nacionalnega financiranja držav članic EU in zasebnega financiranja.</w:t>
      </w:r>
    </w:p>
    <w:p w14:paraId="00664262" w14:textId="3CD8D333" w:rsidR="00BE0A2F" w:rsidRPr="006B0F72" w:rsidRDefault="00652A97" w:rsidP="00652A97">
      <w:pPr>
        <w:pStyle w:val="ManualHeading3"/>
        <w:rPr>
          <w:noProof/>
        </w:rPr>
      </w:pPr>
      <w:bookmarkStart w:id="25" w:name="_Toc514938036"/>
      <w:bookmarkStart w:id="26" w:name="_Toc520485039"/>
      <w:r w:rsidRPr="00652A97">
        <w:rPr>
          <w:noProof/>
        </w:rPr>
        <w:t>1.5.5.</w:t>
      </w:r>
      <w:r w:rsidRPr="00652A97">
        <w:rPr>
          <w:noProof/>
        </w:rPr>
        <w:tab/>
      </w:r>
      <w:r w:rsidR="00BE0A2F" w:rsidRPr="006B0F72">
        <w:rPr>
          <w:noProof/>
        </w:rPr>
        <w:t>Ocena različnih razpoložljivih možnosti financiranja, vključno z možnostmi za prerazporeditev</w:t>
      </w:r>
      <w:bookmarkEnd w:id="25"/>
      <w:bookmarkEnd w:id="26"/>
    </w:p>
    <w:p w14:paraId="6E0D5C7A"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Izvajanje predloga nove uredbe bo vključevalo nove naloge in dejavnosti za Komisijo. Za to bodo potrebni človeški viri, podpora agencije EEA, sredstva za javna naročila zunanjim izvajalcem ter en ali več dogovorov o izvajanju z JRC.</w:t>
      </w:r>
    </w:p>
    <w:p w14:paraId="11A19AFA"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r w:rsidRPr="006B0F72">
        <w:rPr>
          <w:noProof/>
        </w:rPr>
        <w:t xml:space="preserve">V GD ENV bo za izvajanje uredbe potrebnih pet dodatnih uslužbencev z EPDČ (4 uslužbenci AD + 1 uslužbenec AST). </w:t>
      </w:r>
    </w:p>
    <w:p w14:paraId="7FC324D6"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Izvedbene naloge iz 1.5.1 bodo močno povečale delovno obremenitev GD ENV, na primer v zvezi z:</w:t>
      </w:r>
    </w:p>
    <w:p w14:paraId="7C691289"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ocenjevanjem nacionalnih načrtov za obnovo in dodatnim poročanjem držav članic (redno poročanje o spremljanju in izvajanju ukrepov za obnovo);</w:t>
      </w:r>
    </w:p>
    <w:p w14:paraId="65F90814"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razvojem različnih komitoloških aktov in njihovih prihodnjih sprememb;</w:t>
      </w:r>
    </w:p>
    <w:p w14:paraId="1DB7E047"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vodenjem posebnega novega odbora, ustanovljenega v skladu s to zakonodajo (najmanj dve zasedanji na leto), kot tudi sestankov strokovne skupine;</w:t>
      </w:r>
    </w:p>
    <w:p w14:paraId="3223C4AF"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razvojem različnih smernic in informativnega gradiva, ki so potrebni za zagotavljanje podpore državam članicam pri izvajanju nove uredbe.</w:t>
      </w:r>
    </w:p>
    <w:p w14:paraId="213D2C97"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r w:rsidRPr="006B0F72">
        <w:rPr>
          <w:noProof/>
        </w:rPr>
        <w:t xml:space="preserve">Dodatne naloge držav članic v zvezi z načrtovanjem in poročanjem ter njihovi posledični podatkovni tokovi bodo zahtevali pripravo, ocenjevanje in spremljanje s strani GD ENV. Izvedbeni akti, predvideni v uredbi, pa tudi prihodnje spremembe akta za določitev novih ciljev v zvezi z obnovo, bodo prav tako povzročili precejšnjo delovno obremenitev v smislu priprave in zakonodajnih postopkov. Za dele (tehničnega) dela, ki bo oddano zunanjim izvajalcem ali agenciji EEA / JRC, bo GD ENV potreboval vire za usklajevanje, usmerjanje in nadzorovanje tega dela. </w:t>
      </w:r>
    </w:p>
    <w:p w14:paraId="42E46D7A"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Posebna politična teža in daljnosežno področje uporabe nove uredbe, ki se dotika področja pristojnosti številnih drugih služb Komisije, bosta zahtevala veliko priprav in analitičnega dela za vodenje sodelovanja – na politični in delovni ravni – z drugimi oddelki Komisije, agencijo EEA, Svetom in Evropskim parlamentom, deležniki in vladnimi organi držav članic.</w:t>
      </w:r>
    </w:p>
    <w:p w14:paraId="5048CC3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Vse navedene naloge zahtevajo trajno veliko sposobnost politične presoje, poznavanje politike, analitična znanja in spretnosti, neodvisnosti in vzdržljivosti v celotnem obdobju dolgoročnega izvajanja zakonodaje, za kar so potrebni stalni uslužbenci AD in ne pogodbeni uslužbenci, zaposleni za določen čas.</w:t>
      </w:r>
    </w:p>
    <w:p w14:paraId="13D04815"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xml:space="preserve"> Zunanje izvajanje se bo uporabljalo v največji možni meri, vendar pa tudi to zahteva nadzor. Poleg tega obstajajo ključne naloge, ki so politično zelo občutljive in jih mora opraviti Komisija. </w:t>
      </w:r>
    </w:p>
    <w:p w14:paraId="386A1423"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p>
    <w:p w14:paraId="589359A1"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JRC:</w:t>
      </w:r>
    </w:p>
    <w:p w14:paraId="27E26A4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z JRC je predviden en ali več dogovorov o izvajanju za vzpostavitev metodologije za spremljanje, izbiro kazalnikov in ocenjevanje dobrega stanja za tiste ekosisteme, za katere to še ni na voljo, in za določanje novih ciljev in ustreznih izhodišč v koraku 2. Ocenjeni proračun za to dejavnost znaša 350 000 EUR na leto. Ocena temelji na predhodnih dogovorih o izvajanju in/ali pogodbah s podobnimi značilnostmi.</w:t>
      </w:r>
    </w:p>
    <w:p w14:paraId="3414ECA2"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p>
    <w:p w14:paraId="21C6C278"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Naročila storitev:</w:t>
      </w:r>
    </w:p>
    <w:p w14:paraId="611F313C"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številne izvedbene naloge bodo zahtevale zunanjo podporo strokovnjakov, na primer:</w:t>
      </w:r>
    </w:p>
    <w:p w14:paraId="04B0BB1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ocenjevanje nacionalnih načrtov za obnovo (ki jih bodo države članice predložile do začetka leta 2026</w:t>
      </w:r>
      <w:r w:rsidRPr="006B0F72">
        <w:rPr>
          <w:rStyle w:val="FootnoteReference"/>
          <w:noProof/>
        </w:rPr>
        <w:footnoteReference w:id="116"/>
      </w:r>
      <w:r w:rsidRPr="006B0F72">
        <w:rPr>
          <w:noProof/>
        </w:rPr>
        <w:t>);</w:t>
      </w:r>
    </w:p>
    <w:p w14:paraId="0B072C18"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 oblikovanje smernic o obnovi za države članice.</w:t>
      </w:r>
    </w:p>
    <w:p w14:paraId="2D333F0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Proračun, potreben za te pogodbe, znaša po ocenah 600 000 EUR na leto. V prvih letih bo poudarek na oblikovanju smernic, medtem ko bo v naslednjih letih na nacionalnih načrtih za obnovo (leto 2026). Ta ocena temelji na proračunu, ki je potreben za primerljivo nalogo v skladu z okvirno direktivo o vodah, tj. pregled načrtov upravljanja povodja.</w:t>
      </w:r>
    </w:p>
    <w:p w14:paraId="2206C79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Za javno naročanje (naročila storitev) ene ali več ocen učinka za nove (korak 2) cilje znaša ocenjeni triletni proračun 300 000 EUR na leto.</w:t>
      </w:r>
    </w:p>
    <w:p w14:paraId="7924AF78"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p>
    <w:p w14:paraId="0F6C7BD8"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Agencija EEA:</w:t>
      </w:r>
    </w:p>
    <w:p w14:paraId="4FD7BAA6"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agencija EEA bo Komisiji zagotavljala podporo v pripravljalni fazi (2022–2023, čeprav bodo dodatni viri na voljo šele od leta 2023), pa tudi med izvajanjem uredbe. To vključuje znatno delovno obremenitev v obliki številnih novih nalog za agencijo EEA (glej naloge iz 1.5.1). Ocenjeno število dodatnih uslužbencev z EPDČ, ki jih bo agencija EEA potrebovala za te naloge, znaša 7 začasnih uslužbencev (ZU) + 5 pogodbenih uslužbencev (PU). Od teh bo 1 ZU na ravni AST, kjer bo opravljal pomožne naloge (upravno in finančno poslovodenje ter podpora). Poleg tega bi agencija EEA potrebovala dodaten proračun predvsem za infrastrukturo IT v višini 1 433 000 EUR do leta 2027, strokovno znanje na področju ekosistemov (150 000 EUR/leto do leta 2027) in operativni proračun v višini 3 406 000 EUR do leta 2027.</w:t>
      </w:r>
    </w:p>
    <w:p w14:paraId="22206074"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rPr>
      </w:pPr>
      <w:r w:rsidRPr="006B0F72">
        <w:rPr>
          <w:noProof/>
        </w:rPr>
        <w:t>Ocena temelji na zmogljivosti in strokovnem znanju, pa tudi infrastrukturi IT, potrebni za izvedbo teh nalog. Glej podrobno utemeljitev spodaj.</w:t>
      </w:r>
    </w:p>
    <w:p w14:paraId="4F20F611" w14:textId="77777777" w:rsidR="00BE0A2F" w:rsidRPr="006B0F72" w:rsidRDefault="00BE0A2F" w:rsidP="00BE0A2F">
      <w:pPr>
        <w:rPr>
          <w:noProof/>
          <w:color w:val="000000" w:themeColor="text1"/>
        </w:rPr>
        <w:sectPr w:rsidR="00BE0A2F" w:rsidRPr="006B0F72" w:rsidSect="00D77511">
          <w:pgSz w:w="11907" w:h="16840" w:code="9"/>
          <w:pgMar w:top="1134" w:right="1418" w:bottom="1134" w:left="1418" w:header="709" w:footer="709" w:gutter="0"/>
          <w:cols w:space="708"/>
          <w:docGrid w:linePitch="360"/>
        </w:sectPr>
      </w:pPr>
    </w:p>
    <w:p w14:paraId="3E8CBF4B" w14:textId="77777777" w:rsidR="00BE0A2F" w:rsidRPr="006B0F72" w:rsidRDefault="00BE0A2F" w:rsidP="00BE0A2F">
      <w:pPr>
        <w:rPr>
          <w:noProof/>
          <w:color w:val="000000" w:themeColor="text1"/>
        </w:rPr>
      </w:pPr>
    </w:p>
    <w:p w14:paraId="38938746" w14:textId="77777777" w:rsidR="00BE0A2F" w:rsidRPr="006B0F72" w:rsidRDefault="00BE0A2F" w:rsidP="00BE0A2F">
      <w:pPr>
        <w:spacing w:before="0" w:after="0"/>
        <w:jc w:val="left"/>
        <w:rPr>
          <w:rFonts w:eastAsia="Times New Roman"/>
          <w:noProof/>
          <w:color w:val="000000" w:themeColor="text1"/>
          <w:szCs w:val="24"/>
        </w:rPr>
      </w:pPr>
      <w:r w:rsidRPr="006B0F72">
        <w:rPr>
          <w:noProof/>
          <w:color w:val="000000" w:themeColor="text1"/>
        </w:rPr>
        <w:t xml:space="preserve">V agenciji EEA bodo potrebni naslednji profili osebja: </w:t>
      </w:r>
    </w:p>
    <w:p w14:paraId="0EB958E8" w14:textId="77777777" w:rsidR="00BE0A2F" w:rsidRPr="006B0F72" w:rsidRDefault="00BE0A2F" w:rsidP="00BE0A2F">
      <w:pPr>
        <w:spacing w:before="0" w:after="0"/>
        <w:jc w:val="left"/>
        <w:rPr>
          <w:rFonts w:eastAsia="Times New Roman"/>
          <w:noProof/>
          <w:color w:val="000000" w:themeColor="text1"/>
          <w:szCs w:val="24"/>
          <w:lang w:eastAsia="en-GB"/>
        </w:rPr>
      </w:pPr>
    </w:p>
    <w:tbl>
      <w:tblPr>
        <w:tblStyle w:val="TableGrid1"/>
        <w:tblW w:w="14850" w:type="dxa"/>
        <w:tblLayout w:type="fixed"/>
        <w:tblLook w:val="04A0" w:firstRow="1" w:lastRow="0" w:firstColumn="1" w:lastColumn="0" w:noHBand="0" w:noVBand="1"/>
      </w:tblPr>
      <w:tblGrid>
        <w:gridCol w:w="2660"/>
        <w:gridCol w:w="2551"/>
        <w:gridCol w:w="1843"/>
        <w:gridCol w:w="5387"/>
        <w:gridCol w:w="2409"/>
      </w:tblGrid>
      <w:tr w:rsidR="00BE0A2F" w:rsidRPr="006B0F72" w14:paraId="4D5118AD" w14:textId="77777777" w:rsidTr="00B0251E">
        <w:tc>
          <w:tcPr>
            <w:tcW w:w="2660" w:type="dxa"/>
          </w:tcPr>
          <w:p w14:paraId="779472E7" w14:textId="77777777" w:rsidR="00BE0A2F" w:rsidRPr="006B0F72" w:rsidRDefault="00BE0A2F" w:rsidP="003A7774">
            <w:pPr>
              <w:keepNext/>
              <w:keepLines/>
              <w:numPr>
                <w:ilvl w:val="0"/>
                <w:numId w:val="17"/>
              </w:numPr>
              <w:spacing w:before="240" w:after="0" w:line="259" w:lineRule="auto"/>
              <w:ind w:left="0" w:firstLine="0"/>
              <w:jc w:val="left"/>
              <w:outlineLvl w:val="0"/>
              <w:rPr>
                <w:rFonts w:eastAsiaTheme="majorEastAsia"/>
                <w:b/>
                <w:bCs/>
                <w:noProof/>
                <w:color w:val="000000" w:themeColor="text1"/>
                <w:sz w:val="20"/>
              </w:rPr>
            </w:pPr>
            <w:r w:rsidRPr="006B0F72">
              <w:rPr>
                <w:b/>
                <w:noProof/>
                <w:color w:val="000000" w:themeColor="text1"/>
                <w:sz w:val="20"/>
              </w:rPr>
              <w:t>Področje</w:t>
            </w:r>
          </w:p>
        </w:tc>
        <w:tc>
          <w:tcPr>
            <w:tcW w:w="2551" w:type="dxa"/>
          </w:tcPr>
          <w:p w14:paraId="1508F1B8" w14:textId="77777777" w:rsidR="00BE0A2F" w:rsidRPr="006B0F72" w:rsidRDefault="00BE0A2F" w:rsidP="003A7774">
            <w:pPr>
              <w:keepNext/>
              <w:keepLines/>
              <w:numPr>
                <w:ilvl w:val="0"/>
                <w:numId w:val="17"/>
              </w:numPr>
              <w:spacing w:before="240" w:after="0" w:line="259" w:lineRule="auto"/>
              <w:ind w:left="0" w:firstLine="0"/>
              <w:jc w:val="left"/>
              <w:outlineLvl w:val="0"/>
              <w:rPr>
                <w:rFonts w:eastAsiaTheme="majorEastAsia"/>
                <w:b/>
                <w:bCs/>
                <w:noProof/>
                <w:color w:val="000000" w:themeColor="text1"/>
                <w:sz w:val="20"/>
              </w:rPr>
            </w:pPr>
            <w:r w:rsidRPr="006B0F72">
              <w:rPr>
                <w:b/>
                <w:noProof/>
                <w:color w:val="000000" w:themeColor="text1"/>
                <w:sz w:val="20"/>
              </w:rPr>
              <w:t xml:space="preserve">Dodatna delovna mesta </w:t>
            </w:r>
          </w:p>
          <w:p w14:paraId="132DE59B" w14:textId="77777777" w:rsidR="00BE0A2F" w:rsidRPr="006B0F72" w:rsidRDefault="00BE0A2F" w:rsidP="00BE0A2F">
            <w:pPr>
              <w:spacing w:before="0" w:after="0"/>
              <w:jc w:val="left"/>
              <w:rPr>
                <w:noProof/>
                <w:color w:val="000000" w:themeColor="text1"/>
                <w:sz w:val="20"/>
              </w:rPr>
            </w:pPr>
          </w:p>
        </w:tc>
        <w:tc>
          <w:tcPr>
            <w:tcW w:w="1843" w:type="dxa"/>
          </w:tcPr>
          <w:p w14:paraId="62CE22E7" w14:textId="77777777" w:rsidR="00BE0A2F" w:rsidRPr="006B0F72" w:rsidRDefault="00BE0A2F" w:rsidP="003A7774">
            <w:pPr>
              <w:keepNext/>
              <w:keepLines/>
              <w:numPr>
                <w:ilvl w:val="0"/>
                <w:numId w:val="17"/>
              </w:numPr>
              <w:spacing w:before="240" w:after="0" w:line="259" w:lineRule="auto"/>
              <w:ind w:left="0" w:firstLine="0"/>
              <w:jc w:val="left"/>
              <w:outlineLvl w:val="0"/>
              <w:rPr>
                <w:rFonts w:eastAsiaTheme="majorEastAsia"/>
                <w:b/>
                <w:bCs/>
                <w:noProof/>
                <w:color w:val="000000" w:themeColor="text1"/>
                <w:sz w:val="20"/>
              </w:rPr>
            </w:pPr>
            <w:r w:rsidRPr="006B0F72">
              <w:rPr>
                <w:b/>
                <w:noProof/>
                <w:color w:val="000000" w:themeColor="text1"/>
                <w:sz w:val="20"/>
              </w:rPr>
              <w:t>Proračun</w:t>
            </w:r>
          </w:p>
        </w:tc>
        <w:tc>
          <w:tcPr>
            <w:tcW w:w="5387" w:type="dxa"/>
          </w:tcPr>
          <w:p w14:paraId="191DEF95" w14:textId="77777777" w:rsidR="00BE0A2F" w:rsidRPr="006B0F72" w:rsidRDefault="00BE0A2F" w:rsidP="003A7774">
            <w:pPr>
              <w:keepNext/>
              <w:keepLines/>
              <w:numPr>
                <w:ilvl w:val="0"/>
                <w:numId w:val="17"/>
              </w:numPr>
              <w:spacing w:before="240" w:after="0" w:line="259" w:lineRule="auto"/>
              <w:ind w:left="0" w:firstLine="0"/>
              <w:jc w:val="left"/>
              <w:outlineLvl w:val="0"/>
              <w:rPr>
                <w:rFonts w:eastAsiaTheme="majorEastAsia"/>
                <w:b/>
                <w:bCs/>
                <w:noProof/>
                <w:color w:val="000000" w:themeColor="text1"/>
                <w:sz w:val="20"/>
              </w:rPr>
            </w:pPr>
            <w:r w:rsidRPr="006B0F72">
              <w:rPr>
                <w:b/>
                <w:noProof/>
                <w:color w:val="000000" w:themeColor="text1"/>
                <w:sz w:val="20"/>
              </w:rPr>
              <w:t>Naloge</w:t>
            </w:r>
          </w:p>
        </w:tc>
        <w:tc>
          <w:tcPr>
            <w:tcW w:w="2409" w:type="dxa"/>
          </w:tcPr>
          <w:p w14:paraId="2C7CDDAE" w14:textId="77777777" w:rsidR="00BE0A2F" w:rsidRPr="006B0F72" w:rsidRDefault="00BE0A2F" w:rsidP="003A7774">
            <w:pPr>
              <w:keepNext/>
              <w:keepLines/>
              <w:numPr>
                <w:ilvl w:val="0"/>
                <w:numId w:val="17"/>
              </w:numPr>
              <w:spacing w:before="240" w:after="0" w:line="259" w:lineRule="auto"/>
              <w:ind w:left="0" w:firstLine="0"/>
              <w:jc w:val="left"/>
              <w:outlineLvl w:val="0"/>
              <w:rPr>
                <w:rFonts w:eastAsiaTheme="majorEastAsia"/>
                <w:b/>
                <w:bCs/>
                <w:noProof/>
                <w:color w:val="000000" w:themeColor="text1"/>
                <w:sz w:val="20"/>
              </w:rPr>
            </w:pPr>
            <w:r w:rsidRPr="006B0F72">
              <w:rPr>
                <w:b/>
                <w:noProof/>
                <w:color w:val="000000" w:themeColor="text1"/>
                <w:sz w:val="20"/>
              </w:rPr>
              <w:t>Časovni okvir</w:t>
            </w:r>
          </w:p>
        </w:tc>
      </w:tr>
      <w:tr w:rsidR="00BE0A2F" w:rsidRPr="006B0F72" w14:paraId="2A9002BA" w14:textId="77777777" w:rsidTr="00B0251E">
        <w:trPr>
          <w:trHeight w:val="983"/>
        </w:trPr>
        <w:tc>
          <w:tcPr>
            <w:tcW w:w="2660" w:type="dxa"/>
            <w:vMerge w:val="restart"/>
          </w:tcPr>
          <w:p w14:paraId="3B2C9517" w14:textId="77777777" w:rsidR="00BE0A2F" w:rsidRPr="006B0F72" w:rsidRDefault="00BE0A2F" w:rsidP="00BE0A2F">
            <w:pPr>
              <w:spacing w:before="0" w:after="0"/>
              <w:jc w:val="left"/>
              <w:rPr>
                <w:b/>
                <w:bCs/>
                <w:noProof/>
                <w:color w:val="000000" w:themeColor="text1"/>
                <w:sz w:val="20"/>
              </w:rPr>
            </w:pPr>
          </w:p>
          <w:p w14:paraId="386070F1" w14:textId="77777777" w:rsidR="00BE0A2F" w:rsidRPr="006B0F72" w:rsidRDefault="00BE0A2F" w:rsidP="00BE0A2F">
            <w:pPr>
              <w:spacing w:before="0" w:after="0"/>
              <w:jc w:val="left"/>
              <w:rPr>
                <w:b/>
                <w:bCs/>
                <w:noProof/>
                <w:color w:val="000000" w:themeColor="text1"/>
                <w:sz w:val="20"/>
              </w:rPr>
            </w:pPr>
            <w:r w:rsidRPr="006B0F72">
              <w:rPr>
                <w:b/>
                <w:noProof/>
                <w:color w:val="000000" w:themeColor="text1"/>
                <w:sz w:val="20"/>
              </w:rPr>
              <w:t>Tematsko strokovno znanje, ki vključuje „ekosistemske cilje“:</w:t>
            </w:r>
          </w:p>
          <w:p w14:paraId="66D9A25E" w14:textId="77777777" w:rsidR="00BE0A2F" w:rsidRPr="006B0F72" w:rsidRDefault="00BE0A2F" w:rsidP="00BE0A2F">
            <w:pPr>
              <w:spacing w:before="0" w:after="0"/>
              <w:jc w:val="left"/>
              <w:rPr>
                <w:b/>
                <w:bCs/>
                <w:noProof/>
                <w:color w:val="000000" w:themeColor="text1"/>
                <w:sz w:val="20"/>
              </w:rPr>
            </w:pPr>
          </w:p>
          <w:p w14:paraId="4636E1AA"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cilj teh delovnih mest bi bil zagotavljanje poglobljenega tematskega strokovnega znanja na področju vseh 7 „ekosistemskih tipov“, za katere bo zakon o obnovi narave določal cilje (treba je opozoriti, da lahko nekateri strokovnjaki pokrivajo več „ekosistemskih tipov“ in da „nekateri ekosistemski tipi“ zahtevajo več kot enega strokovnjaka, npr. opraševalci). Ti strokovnjaki bi nato zagotavljali podporo v celotnem naboru 11 nalog, navedenih v zgornji preglednici. </w:t>
            </w:r>
          </w:p>
          <w:p w14:paraId="427C17B7" w14:textId="77777777" w:rsidR="00BE0A2F" w:rsidRPr="006B0F72" w:rsidRDefault="00BE0A2F" w:rsidP="00BE0A2F">
            <w:pPr>
              <w:spacing w:before="0" w:after="0"/>
              <w:jc w:val="left"/>
              <w:rPr>
                <w:noProof/>
                <w:color w:val="000000" w:themeColor="text1"/>
                <w:sz w:val="20"/>
              </w:rPr>
            </w:pPr>
          </w:p>
        </w:tc>
        <w:tc>
          <w:tcPr>
            <w:tcW w:w="2551" w:type="dxa"/>
          </w:tcPr>
          <w:p w14:paraId="2DA6A2F8" w14:textId="77777777" w:rsidR="00BE0A2F" w:rsidRPr="006B0F72" w:rsidRDefault="00BE0A2F" w:rsidP="00BE0A2F">
            <w:pPr>
              <w:spacing w:before="0" w:after="0"/>
              <w:jc w:val="left"/>
              <w:rPr>
                <w:noProof/>
                <w:color w:val="000000" w:themeColor="text1"/>
                <w:sz w:val="20"/>
              </w:rPr>
            </w:pPr>
          </w:p>
          <w:p w14:paraId="6CC6D59D"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5 uslužbencev AD 6 s katero koli kombinacijo naslednjega strokovnega znanja:</w:t>
            </w:r>
          </w:p>
          <w:p w14:paraId="22FDD9DA" w14:textId="77777777" w:rsidR="00BE0A2F" w:rsidRPr="006B0F72" w:rsidRDefault="00BE0A2F" w:rsidP="00BE0A2F">
            <w:pPr>
              <w:spacing w:before="0" w:after="0"/>
              <w:jc w:val="left"/>
              <w:rPr>
                <w:noProof/>
                <w:color w:val="000000" w:themeColor="text1"/>
                <w:sz w:val="20"/>
              </w:rPr>
            </w:pPr>
          </w:p>
          <w:p w14:paraId="7F9B56BC"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obnova mokrišč (vključno s ponovnim mokrenjem šotišč, močvirij &amp; obalnih mokrišč) </w:t>
            </w:r>
          </w:p>
          <w:p w14:paraId="055B62A3" w14:textId="77777777" w:rsidR="00BE0A2F" w:rsidRPr="006B0F72" w:rsidRDefault="00BE0A2F" w:rsidP="00BE0A2F">
            <w:pPr>
              <w:spacing w:before="0" w:after="0"/>
              <w:jc w:val="left"/>
              <w:rPr>
                <w:noProof/>
                <w:color w:val="000000" w:themeColor="text1"/>
                <w:sz w:val="20"/>
              </w:rPr>
            </w:pPr>
          </w:p>
          <w:p w14:paraId="1DE3AFE7"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obnova gozdnega ekosistema</w:t>
            </w:r>
          </w:p>
          <w:p w14:paraId="42DFFC98" w14:textId="77777777" w:rsidR="00BE0A2F" w:rsidRPr="006B0F72" w:rsidRDefault="00BE0A2F" w:rsidP="00BE0A2F">
            <w:pPr>
              <w:spacing w:before="0" w:after="0"/>
              <w:jc w:val="left"/>
              <w:rPr>
                <w:noProof/>
                <w:color w:val="000000" w:themeColor="text1"/>
                <w:sz w:val="20"/>
              </w:rPr>
            </w:pPr>
          </w:p>
          <w:p w14:paraId="25EA3E98"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kmetijski ekosistemi in travišča, vključno z resavami in grmičevjem, pticami kmetijske krajine </w:t>
            </w:r>
          </w:p>
          <w:p w14:paraId="26700BDC" w14:textId="77777777" w:rsidR="00BE0A2F" w:rsidRPr="006B0F72" w:rsidRDefault="00BE0A2F" w:rsidP="00BE0A2F">
            <w:pPr>
              <w:spacing w:before="0" w:after="0"/>
              <w:jc w:val="left"/>
              <w:rPr>
                <w:noProof/>
                <w:color w:val="000000" w:themeColor="text1"/>
                <w:sz w:val="20"/>
              </w:rPr>
            </w:pPr>
          </w:p>
          <w:p w14:paraId="3383CB11"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 obnova sladkovodnih ekosistemov: jezera in aluvialni habitati, vključno z rečnimi ovirami </w:t>
            </w:r>
          </w:p>
          <w:p w14:paraId="62122457" w14:textId="77777777" w:rsidR="00BE0A2F" w:rsidRPr="006B0F72" w:rsidRDefault="00BE0A2F" w:rsidP="00BE0A2F">
            <w:pPr>
              <w:spacing w:before="0" w:after="0"/>
              <w:jc w:val="left"/>
              <w:rPr>
                <w:noProof/>
                <w:color w:val="000000" w:themeColor="text1"/>
                <w:sz w:val="20"/>
              </w:rPr>
            </w:pPr>
          </w:p>
          <w:p w14:paraId="6D08FD49"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 obnova morskih ekosistemov, vključno z obalnimi </w:t>
            </w:r>
          </w:p>
          <w:p w14:paraId="0CE9D800" w14:textId="77777777" w:rsidR="00BE0A2F" w:rsidRPr="006B0F72" w:rsidRDefault="00BE0A2F" w:rsidP="00BE0A2F">
            <w:pPr>
              <w:spacing w:before="0" w:after="0"/>
              <w:jc w:val="left"/>
              <w:rPr>
                <w:noProof/>
                <w:color w:val="000000" w:themeColor="text1"/>
                <w:sz w:val="20"/>
              </w:rPr>
            </w:pPr>
          </w:p>
          <w:p w14:paraId="021042DC"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obnova urbanih ekosistemov  </w:t>
            </w:r>
          </w:p>
          <w:p w14:paraId="44E190A4" w14:textId="77777777" w:rsidR="00BE0A2F" w:rsidRPr="006B0F72" w:rsidRDefault="00BE0A2F" w:rsidP="00BE0A2F">
            <w:pPr>
              <w:spacing w:before="0" w:after="0"/>
              <w:jc w:val="left"/>
              <w:rPr>
                <w:noProof/>
                <w:color w:val="000000" w:themeColor="text1"/>
                <w:sz w:val="20"/>
              </w:rPr>
            </w:pPr>
          </w:p>
          <w:p w14:paraId="1C76CF8E"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opraševalci</w:t>
            </w:r>
          </w:p>
          <w:p w14:paraId="15053B41" w14:textId="77777777" w:rsidR="00BE0A2F" w:rsidRPr="006B0F72" w:rsidRDefault="00BE0A2F" w:rsidP="00BE0A2F">
            <w:pPr>
              <w:spacing w:before="0" w:after="0"/>
              <w:jc w:val="left"/>
              <w:rPr>
                <w:noProof/>
                <w:color w:val="000000" w:themeColor="text1"/>
                <w:sz w:val="20"/>
              </w:rPr>
            </w:pPr>
          </w:p>
          <w:p w14:paraId="04BED6BA" w14:textId="77777777" w:rsidR="00BE0A2F" w:rsidRPr="006B0F72" w:rsidRDefault="00BE0A2F" w:rsidP="00BE0A2F">
            <w:pPr>
              <w:spacing w:before="0" w:after="0"/>
              <w:jc w:val="left"/>
              <w:rPr>
                <w:noProof/>
                <w:color w:val="000000" w:themeColor="text1"/>
                <w:sz w:val="20"/>
              </w:rPr>
            </w:pPr>
          </w:p>
          <w:p w14:paraId="28405432" w14:textId="77777777" w:rsidR="00BE0A2F" w:rsidRPr="006B0F72" w:rsidRDefault="00BE0A2F" w:rsidP="00BE0A2F">
            <w:pPr>
              <w:spacing w:before="0" w:after="0"/>
              <w:jc w:val="left"/>
              <w:rPr>
                <w:noProof/>
                <w:color w:val="000000" w:themeColor="text1"/>
                <w:sz w:val="20"/>
              </w:rPr>
            </w:pPr>
          </w:p>
          <w:p w14:paraId="46EAC599" w14:textId="77777777" w:rsidR="00BE0A2F" w:rsidRPr="006B0F72" w:rsidRDefault="00BE0A2F" w:rsidP="00BE0A2F">
            <w:pPr>
              <w:spacing w:before="0" w:after="0"/>
              <w:jc w:val="left"/>
              <w:rPr>
                <w:noProof/>
                <w:color w:val="000000" w:themeColor="text1"/>
                <w:sz w:val="20"/>
              </w:rPr>
            </w:pPr>
          </w:p>
          <w:p w14:paraId="37AB6AB4" w14:textId="77777777" w:rsidR="00BE0A2F" w:rsidRPr="006B0F72" w:rsidRDefault="00BE0A2F" w:rsidP="00BE0A2F">
            <w:pPr>
              <w:spacing w:before="0" w:after="0"/>
              <w:jc w:val="left"/>
              <w:rPr>
                <w:noProof/>
                <w:color w:val="000000" w:themeColor="text1"/>
                <w:sz w:val="20"/>
              </w:rPr>
            </w:pPr>
          </w:p>
          <w:p w14:paraId="4629595A" w14:textId="77777777" w:rsidR="00BE0A2F" w:rsidRPr="006B0F72" w:rsidRDefault="00BE0A2F" w:rsidP="00BE0A2F">
            <w:pPr>
              <w:spacing w:before="0" w:after="0"/>
              <w:jc w:val="left"/>
              <w:rPr>
                <w:noProof/>
                <w:color w:val="000000" w:themeColor="text1"/>
                <w:sz w:val="20"/>
              </w:rPr>
            </w:pPr>
          </w:p>
          <w:p w14:paraId="3B55A2FE" w14:textId="77777777" w:rsidR="00BE0A2F" w:rsidRPr="006B0F72" w:rsidRDefault="00BE0A2F" w:rsidP="00BE0A2F">
            <w:pPr>
              <w:spacing w:before="0" w:after="0"/>
              <w:jc w:val="left"/>
              <w:rPr>
                <w:noProof/>
                <w:color w:val="000000" w:themeColor="text1"/>
                <w:sz w:val="20"/>
              </w:rPr>
            </w:pPr>
          </w:p>
          <w:p w14:paraId="5F5AC72F" w14:textId="77777777" w:rsidR="00BE0A2F" w:rsidRPr="006B0F72" w:rsidRDefault="00BE0A2F" w:rsidP="00BE0A2F">
            <w:pPr>
              <w:spacing w:before="0" w:after="0"/>
              <w:jc w:val="left"/>
              <w:rPr>
                <w:noProof/>
                <w:color w:val="000000" w:themeColor="text1"/>
                <w:sz w:val="20"/>
              </w:rPr>
            </w:pPr>
          </w:p>
          <w:p w14:paraId="389838E8" w14:textId="77777777" w:rsidR="00BE0A2F" w:rsidRPr="006B0F72" w:rsidRDefault="00BE0A2F" w:rsidP="00BE0A2F">
            <w:pPr>
              <w:spacing w:before="0" w:after="0"/>
              <w:jc w:val="left"/>
              <w:rPr>
                <w:noProof/>
                <w:color w:val="000000" w:themeColor="text1"/>
                <w:sz w:val="20"/>
              </w:rPr>
            </w:pPr>
          </w:p>
          <w:p w14:paraId="42CBE629"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1 FS IV za zagotavljanje tehnične podpore pri obnovi</w:t>
            </w:r>
          </w:p>
          <w:p w14:paraId="2349907B" w14:textId="77777777" w:rsidR="00BE0A2F" w:rsidRPr="006B0F72" w:rsidRDefault="00BE0A2F" w:rsidP="00BE0A2F">
            <w:pPr>
              <w:spacing w:before="0" w:after="0"/>
              <w:jc w:val="left"/>
              <w:rPr>
                <w:noProof/>
                <w:color w:val="000000" w:themeColor="text1"/>
                <w:sz w:val="20"/>
              </w:rPr>
            </w:pPr>
          </w:p>
          <w:p w14:paraId="58389380" w14:textId="77777777" w:rsidR="00BE0A2F" w:rsidRPr="006B0F72" w:rsidRDefault="00BE0A2F" w:rsidP="00BE0A2F">
            <w:pPr>
              <w:spacing w:before="0" w:after="0"/>
              <w:jc w:val="left"/>
              <w:rPr>
                <w:noProof/>
                <w:color w:val="000000" w:themeColor="text1"/>
                <w:sz w:val="20"/>
              </w:rPr>
            </w:pPr>
          </w:p>
          <w:p w14:paraId="0D7F8705" w14:textId="77777777" w:rsidR="00BE0A2F" w:rsidRPr="006B0F72" w:rsidRDefault="00BE0A2F" w:rsidP="00BE0A2F">
            <w:pPr>
              <w:spacing w:before="0" w:after="0"/>
              <w:jc w:val="left"/>
              <w:rPr>
                <w:noProof/>
                <w:color w:val="000000" w:themeColor="text1"/>
                <w:sz w:val="20"/>
              </w:rPr>
            </w:pPr>
          </w:p>
        </w:tc>
        <w:tc>
          <w:tcPr>
            <w:tcW w:w="1843" w:type="dxa"/>
          </w:tcPr>
          <w:p w14:paraId="706B8568" w14:textId="77777777" w:rsidR="00BE0A2F" w:rsidRPr="006B0F72" w:rsidRDefault="00BE0A2F" w:rsidP="00BE0A2F">
            <w:pPr>
              <w:spacing w:before="0" w:after="0"/>
              <w:jc w:val="left"/>
              <w:rPr>
                <w:noProof/>
                <w:color w:val="000000" w:themeColor="text1"/>
                <w:sz w:val="20"/>
              </w:rPr>
            </w:pPr>
          </w:p>
          <w:p w14:paraId="67E9E8A1" w14:textId="77777777" w:rsidR="00BE0A2F" w:rsidRPr="006B0F72" w:rsidRDefault="00BE0A2F" w:rsidP="0018483E">
            <w:pPr>
              <w:spacing w:before="0" w:after="0"/>
              <w:jc w:val="left"/>
              <w:rPr>
                <w:noProof/>
                <w:color w:val="000000" w:themeColor="text1"/>
                <w:sz w:val="20"/>
              </w:rPr>
            </w:pPr>
            <w:r w:rsidRPr="006B0F72">
              <w:rPr>
                <w:noProof/>
                <w:color w:val="000000" w:themeColor="text1"/>
                <w:sz w:val="20"/>
              </w:rPr>
              <w:t>proračun v višini 150 000 EUR na leto za podpiranje strokovnega znanja v zvezi z vsemi navedenimi ekosistemi, ki ne bi bili močno zastopani s 6 zaposlenimi ali bi bilo v zvezi z njimi potrebno dodatno delo, npr. morski ekosistemi zajemajo veliko število ekosistemov, ki so razvrščeni v eno skupino, podobno gozdni in kmetijski ekosistemi zajemajo 85 % površine EU.</w:t>
            </w:r>
          </w:p>
        </w:tc>
        <w:tc>
          <w:tcPr>
            <w:tcW w:w="5387" w:type="dxa"/>
          </w:tcPr>
          <w:p w14:paraId="138E6074"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Ključno tehnično znanje, potrebno na področju glavnih ekosistemskih tipov, ki bo imelo </w:t>
            </w:r>
            <w:r w:rsidRPr="006B0F72">
              <w:rPr>
                <w:b/>
                <w:noProof/>
                <w:color w:val="000000" w:themeColor="text1"/>
                <w:sz w:val="20"/>
              </w:rPr>
              <w:t>vodilno</w:t>
            </w:r>
            <w:r w:rsidRPr="006B0F72">
              <w:rPr>
                <w:noProof/>
                <w:color w:val="000000" w:themeColor="text1"/>
                <w:sz w:val="20"/>
              </w:rPr>
              <w:t xml:space="preserve"> vlogo pri naslednjih nalogah v okviru nalog, predvidenih v pravilih o obnovi:</w:t>
            </w:r>
          </w:p>
          <w:p w14:paraId="5816EE33" w14:textId="77777777" w:rsidR="00BE0A2F" w:rsidRPr="006B0F72" w:rsidRDefault="00BE0A2F" w:rsidP="00BE0A2F">
            <w:pPr>
              <w:spacing w:before="0" w:after="0"/>
              <w:jc w:val="left"/>
              <w:rPr>
                <w:noProof/>
                <w:color w:val="000000" w:themeColor="text1"/>
                <w:sz w:val="20"/>
              </w:rPr>
            </w:pPr>
          </w:p>
          <w:p w14:paraId="02BCECE1"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1. Začetek dela v zvezi z oblikovanjem in izvajanjem oblike za nacionalni načrt za obnovo za ekosistemske tipe (če je vire mogoče dati na voljo pred izvajanjem)</w:t>
            </w:r>
          </w:p>
          <w:p w14:paraId="24D818C1"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2. Podpora pri opredelitvi ciljev, povezanih z območji za ponovno vzpostavitev ekosistemskega tipa</w:t>
            </w:r>
          </w:p>
          <w:p w14:paraId="113A739E" w14:textId="77777777" w:rsidR="00BE0A2F" w:rsidRPr="006B0F72" w:rsidRDefault="00BE0A2F" w:rsidP="00BE0A2F">
            <w:pPr>
              <w:spacing w:before="0" w:after="0"/>
              <w:jc w:val="left"/>
              <w:rPr>
                <w:b/>
                <w:noProof/>
                <w:color w:val="000000" w:themeColor="text1"/>
                <w:sz w:val="20"/>
              </w:rPr>
            </w:pPr>
            <w:r w:rsidRPr="006B0F72">
              <w:rPr>
                <w:noProof/>
                <w:color w:val="000000" w:themeColor="text1"/>
                <w:sz w:val="20"/>
              </w:rPr>
              <w:t>3. Začetek dela v zvezi z oblikovanjem oblike poročanja</w:t>
            </w:r>
          </w:p>
          <w:p w14:paraId="0A72342A"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6.  Podpora pri ocenjevanju nacionalnih načrtov za obnovo na področju ključnega ekosistemskega tipa</w:t>
            </w:r>
          </w:p>
          <w:p w14:paraId="5A47F8D6"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7. Začetek ocenjevanja poročil držav članic o napredku</w:t>
            </w:r>
          </w:p>
          <w:p w14:paraId="162211D2"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9. Podpora pri določitvi metode za spremljanje, kazalnike in ocenjevanje dobrega stanja na področju ključnih ekosistemskih tipov</w:t>
            </w:r>
          </w:p>
          <w:p w14:paraId="3412643B"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10. Začetek dela na področju ključnih odzivov v službi za pomoč državam članicam</w:t>
            </w:r>
          </w:p>
          <w:p w14:paraId="409BF517" w14:textId="77777777" w:rsidR="00BE0A2F" w:rsidRPr="006B0F72" w:rsidRDefault="00BE0A2F" w:rsidP="00BE0A2F">
            <w:pPr>
              <w:spacing w:before="0" w:after="0"/>
              <w:jc w:val="left"/>
              <w:rPr>
                <w:noProof/>
                <w:color w:val="000000" w:themeColor="text1"/>
                <w:sz w:val="20"/>
              </w:rPr>
            </w:pPr>
          </w:p>
          <w:p w14:paraId="3A163C09"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Poleg tega bodo ta delovna mesta prispevala:</w:t>
            </w:r>
          </w:p>
          <w:p w14:paraId="020A0675" w14:textId="77777777" w:rsidR="00BE0A2F" w:rsidRPr="006B0F72" w:rsidRDefault="00BE0A2F" w:rsidP="003A7774">
            <w:pPr>
              <w:numPr>
                <w:ilvl w:val="0"/>
                <w:numId w:val="19"/>
              </w:numPr>
              <w:spacing w:before="0" w:after="0"/>
              <w:contextualSpacing/>
              <w:jc w:val="left"/>
              <w:rPr>
                <w:noProof/>
                <w:color w:val="000000" w:themeColor="text1"/>
                <w:sz w:val="20"/>
              </w:rPr>
            </w:pPr>
            <w:r w:rsidRPr="006B0F72">
              <w:rPr>
                <w:noProof/>
                <w:color w:val="000000" w:themeColor="text1"/>
                <w:sz w:val="20"/>
              </w:rPr>
              <w:t>k zagotavljanju podpore za večjo kakovost podatkov, prejetih v okviru poročanja o direktivah o naravi, ki je trenutno slaba</w:t>
            </w:r>
          </w:p>
          <w:p w14:paraId="55A65A2B" w14:textId="77777777" w:rsidR="00BE0A2F" w:rsidRPr="006B0F72" w:rsidRDefault="00BE0A2F" w:rsidP="003A7774">
            <w:pPr>
              <w:numPr>
                <w:ilvl w:val="0"/>
                <w:numId w:val="19"/>
              </w:numPr>
              <w:spacing w:before="0" w:after="0"/>
              <w:contextualSpacing/>
              <w:jc w:val="left"/>
              <w:rPr>
                <w:noProof/>
                <w:color w:val="000000" w:themeColor="text1"/>
                <w:sz w:val="20"/>
              </w:rPr>
            </w:pPr>
            <w:r w:rsidRPr="006B0F72">
              <w:rPr>
                <w:noProof/>
                <w:color w:val="000000" w:themeColor="text1"/>
                <w:sz w:val="20"/>
              </w:rPr>
              <w:t>k povezovanju JRC in usklajevanju njegovih nalog v zvezi z razvojem metodologij za merjenje napredka na področju uresničevanja obnove</w:t>
            </w:r>
          </w:p>
          <w:p w14:paraId="69DE0F25" w14:textId="77777777" w:rsidR="00BE0A2F" w:rsidRPr="006B0F72" w:rsidRDefault="00BE0A2F" w:rsidP="00BE0A2F">
            <w:pPr>
              <w:spacing w:before="0" w:after="0"/>
              <w:jc w:val="left"/>
              <w:rPr>
                <w:noProof/>
                <w:color w:val="000000" w:themeColor="text1"/>
                <w:sz w:val="20"/>
              </w:rPr>
            </w:pPr>
          </w:p>
          <w:p w14:paraId="06F7E206" w14:textId="77777777" w:rsidR="00BE0A2F" w:rsidRPr="006B0F72" w:rsidRDefault="00BE0A2F" w:rsidP="00BE0A2F">
            <w:pPr>
              <w:spacing w:before="0" w:after="0"/>
              <w:jc w:val="left"/>
              <w:rPr>
                <w:noProof/>
                <w:color w:val="000000" w:themeColor="text1"/>
                <w:sz w:val="20"/>
              </w:rPr>
            </w:pPr>
          </w:p>
          <w:p w14:paraId="6EA6C303"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Ključno tehnično znanje, potrebno za zagotavljanje </w:t>
            </w:r>
            <w:r w:rsidRPr="006B0F72">
              <w:rPr>
                <w:b/>
                <w:noProof/>
                <w:color w:val="000000" w:themeColor="text1"/>
                <w:sz w:val="20"/>
              </w:rPr>
              <w:t>podpore</w:t>
            </w:r>
            <w:r w:rsidRPr="006B0F72">
              <w:rPr>
                <w:noProof/>
                <w:color w:val="000000" w:themeColor="text1"/>
                <w:sz w:val="20"/>
              </w:rPr>
              <w:t xml:space="preserve"> pri naslednjih nalogah, predvidenih v pravilih o obnovi:</w:t>
            </w:r>
          </w:p>
          <w:p w14:paraId="0E944B32" w14:textId="77777777" w:rsidR="00BE0A2F" w:rsidRPr="006B0F72" w:rsidRDefault="00BE0A2F" w:rsidP="00BE0A2F">
            <w:pPr>
              <w:spacing w:before="0" w:after="0"/>
              <w:jc w:val="left"/>
              <w:rPr>
                <w:noProof/>
                <w:color w:val="000000" w:themeColor="text1"/>
                <w:sz w:val="20"/>
              </w:rPr>
            </w:pPr>
          </w:p>
          <w:p w14:paraId="6A156F70"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7. Zagotavljanje podpore pri ocenjevanju poročil držav članic o napredku, zlasti v zvezi z večjimi ključnimi ekosistemi </w:t>
            </w:r>
          </w:p>
          <w:p w14:paraId="53611751"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8. Zagotavljanje podpore pri spremljanju ciljev za mesta</w:t>
            </w:r>
          </w:p>
          <w:p w14:paraId="4EC87363"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9. Določitev metode za spremljanje, kazalnike in ocenjevanje dobrega stanja</w:t>
            </w:r>
          </w:p>
          <w:p w14:paraId="7AFF8B8E"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10. Zagotavljanje podpore službi za pomoč državam članicam,</w:t>
            </w:r>
          </w:p>
          <w:p w14:paraId="3899CAAF"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 xml:space="preserve">poleg tega bodo ti strokovnjaki za tematska tehnična vprašanja zagotavljali: </w:t>
            </w:r>
          </w:p>
          <w:p w14:paraId="7F017E67" w14:textId="77777777" w:rsidR="00BE0A2F" w:rsidRPr="006B0F72" w:rsidRDefault="00BE0A2F" w:rsidP="003A7774">
            <w:pPr>
              <w:numPr>
                <w:ilvl w:val="0"/>
                <w:numId w:val="20"/>
              </w:numPr>
              <w:spacing w:before="0" w:after="0"/>
              <w:contextualSpacing/>
              <w:jc w:val="left"/>
              <w:rPr>
                <w:noProof/>
                <w:color w:val="000000" w:themeColor="text1"/>
                <w:sz w:val="20"/>
              </w:rPr>
            </w:pPr>
            <w:r w:rsidRPr="006B0F72">
              <w:rPr>
                <w:noProof/>
                <w:color w:val="000000" w:themeColor="text1"/>
                <w:sz w:val="20"/>
              </w:rPr>
              <w:t xml:space="preserve">dodatno podporo tehničnemu strokovnemu znanju,  potrebnemu za spremljanje vseh ekosistemskih tipov </w:t>
            </w:r>
          </w:p>
          <w:p w14:paraId="775B25A8" w14:textId="77777777" w:rsidR="00BE0A2F" w:rsidRPr="006B0F72" w:rsidRDefault="00BE0A2F" w:rsidP="003A7774">
            <w:pPr>
              <w:numPr>
                <w:ilvl w:val="0"/>
                <w:numId w:val="20"/>
              </w:numPr>
              <w:spacing w:before="0" w:after="0"/>
              <w:contextualSpacing/>
              <w:jc w:val="left"/>
              <w:rPr>
                <w:noProof/>
                <w:color w:val="000000" w:themeColor="text1"/>
                <w:sz w:val="20"/>
              </w:rPr>
            </w:pPr>
            <w:r w:rsidRPr="006B0F72">
              <w:rPr>
                <w:noProof/>
                <w:color w:val="000000" w:themeColor="text1"/>
                <w:sz w:val="20"/>
              </w:rPr>
              <w:t>oceno/nadzor kakovosti zbranih tehničnih podatkov</w:t>
            </w:r>
          </w:p>
        </w:tc>
        <w:tc>
          <w:tcPr>
            <w:tcW w:w="2409" w:type="dxa"/>
          </w:tcPr>
          <w:p w14:paraId="7EC0A220" w14:textId="77777777" w:rsidR="00BE0A2F" w:rsidRPr="006B0F72" w:rsidRDefault="00BE0A2F" w:rsidP="00BE0A2F">
            <w:pPr>
              <w:spacing w:before="0" w:after="0"/>
              <w:jc w:val="left"/>
              <w:rPr>
                <w:noProof/>
                <w:color w:val="000000" w:themeColor="text1"/>
                <w:sz w:val="20"/>
              </w:rPr>
            </w:pPr>
          </w:p>
          <w:p w14:paraId="3F18AED2"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Začetek: od leta 2023: naloge 1., 2., 3., 9., 10.</w:t>
            </w:r>
          </w:p>
          <w:p w14:paraId="30F7783F" w14:textId="77777777" w:rsidR="00BE0A2F" w:rsidRPr="006B0F72" w:rsidRDefault="00BE0A2F" w:rsidP="00BE0A2F">
            <w:pPr>
              <w:spacing w:before="0" w:after="0"/>
              <w:jc w:val="left"/>
              <w:rPr>
                <w:noProof/>
                <w:color w:val="000000" w:themeColor="text1"/>
                <w:sz w:val="20"/>
              </w:rPr>
            </w:pPr>
          </w:p>
          <w:p w14:paraId="20CCC714"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Obdobje 2026–2027: naloga 6.</w:t>
            </w:r>
          </w:p>
          <w:p w14:paraId="6AFE1AF6" w14:textId="77777777" w:rsidR="00BE0A2F" w:rsidRPr="006B0F72" w:rsidRDefault="00BE0A2F" w:rsidP="00BE0A2F">
            <w:pPr>
              <w:spacing w:before="0" w:after="0"/>
              <w:jc w:val="left"/>
              <w:rPr>
                <w:noProof/>
                <w:color w:val="000000" w:themeColor="text1"/>
                <w:sz w:val="20"/>
              </w:rPr>
            </w:pPr>
          </w:p>
          <w:p w14:paraId="315D4142" w14:textId="77777777" w:rsidR="00BE0A2F" w:rsidRPr="006B0F72" w:rsidRDefault="00BE0A2F" w:rsidP="00BE0A2F">
            <w:pPr>
              <w:spacing w:before="0" w:after="0"/>
              <w:jc w:val="left"/>
              <w:rPr>
                <w:noProof/>
                <w:color w:val="000000" w:themeColor="text1"/>
                <w:sz w:val="20"/>
              </w:rPr>
            </w:pPr>
          </w:p>
          <w:p w14:paraId="619D5E69" w14:textId="77777777" w:rsidR="00BE0A2F" w:rsidRPr="006B0F72" w:rsidRDefault="00BE0A2F" w:rsidP="00BE0A2F">
            <w:pPr>
              <w:spacing w:before="0" w:after="0"/>
              <w:jc w:val="left"/>
              <w:rPr>
                <w:noProof/>
                <w:color w:val="000000" w:themeColor="text1"/>
                <w:sz w:val="20"/>
              </w:rPr>
            </w:pPr>
            <w:r w:rsidRPr="006B0F72">
              <w:rPr>
                <w:noProof/>
                <w:color w:val="000000" w:themeColor="text1"/>
                <w:sz w:val="20"/>
              </w:rPr>
              <w:t>Začetek: od leta 2030: naloga 7.</w:t>
            </w:r>
          </w:p>
          <w:p w14:paraId="6D3BCF63" w14:textId="77777777" w:rsidR="00BE0A2F" w:rsidRPr="006B0F72" w:rsidRDefault="00BE0A2F" w:rsidP="00BE0A2F">
            <w:pPr>
              <w:spacing w:before="0" w:after="0"/>
              <w:jc w:val="left"/>
              <w:rPr>
                <w:noProof/>
                <w:color w:val="000000" w:themeColor="text1"/>
                <w:sz w:val="20"/>
              </w:rPr>
            </w:pPr>
          </w:p>
        </w:tc>
      </w:tr>
      <w:tr w:rsidR="00BE0A2F" w:rsidRPr="006B0F72" w14:paraId="521B9311" w14:textId="77777777" w:rsidTr="00B0251E">
        <w:trPr>
          <w:trHeight w:val="1194"/>
        </w:trPr>
        <w:tc>
          <w:tcPr>
            <w:tcW w:w="2660" w:type="dxa"/>
            <w:vMerge/>
          </w:tcPr>
          <w:p w14:paraId="71C5537D" w14:textId="77777777" w:rsidR="00BE0A2F" w:rsidRPr="006B0F72" w:rsidRDefault="00BE0A2F" w:rsidP="00BE0A2F">
            <w:pPr>
              <w:spacing w:before="0" w:after="0"/>
              <w:jc w:val="left"/>
              <w:rPr>
                <w:noProof/>
                <w:sz w:val="20"/>
              </w:rPr>
            </w:pPr>
          </w:p>
        </w:tc>
        <w:tc>
          <w:tcPr>
            <w:tcW w:w="2551" w:type="dxa"/>
          </w:tcPr>
          <w:p w14:paraId="3A20CBE9" w14:textId="77777777" w:rsidR="00BE0A2F" w:rsidRPr="006B0F72" w:rsidRDefault="00BE0A2F" w:rsidP="00BE0A2F">
            <w:pPr>
              <w:spacing w:before="0" w:after="0"/>
              <w:jc w:val="left"/>
              <w:rPr>
                <w:noProof/>
                <w:sz w:val="20"/>
              </w:rPr>
            </w:pPr>
            <w:r w:rsidRPr="006B0F72">
              <w:rPr>
                <w:noProof/>
                <w:color w:val="000000" w:themeColor="text1"/>
                <w:sz w:val="20"/>
              </w:rPr>
              <w:t>1 uslužbenec AST za zagotavljanje podpore na področju upravnega in finančnega poslovodenja.</w:t>
            </w:r>
          </w:p>
        </w:tc>
        <w:tc>
          <w:tcPr>
            <w:tcW w:w="1843" w:type="dxa"/>
          </w:tcPr>
          <w:p w14:paraId="173B79E5" w14:textId="77777777" w:rsidR="00BE0A2F" w:rsidRPr="006B0F72" w:rsidRDefault="00BE0A2F" w:rsidP="00BE0A2F">
            <w:pPr>
              <w:spacing w:before="0" w:after="0"/>
              <w:jc w:val="left"/>
              <w:rPr>
                <w:noProof/>
                <w:sz w:val="20"/>
              </w:rPr>
            </w:pPr>
          </w:p>
        </w:tc>
        <w:tc>
          <w:tcPr>
            <w:tcW w:w="5387" w:type="dxa"/>
          </w:tcPr>
          <w:p w14:paraId="5FC00E45" w14:textId="77777777" w:rsidR="00BE0A2F" w:rsidRPr="006B0F72" w:rsidRDefault="00BE0A2F" w:rsidP="00BE0A2F">
            <w:pPr>
              <w:spacing w:before="0" w:after="0"/>
              <w:jc w:val="left"/>
              <w:rPr>
                <w:noProof/>
                <w:sz w:val="20"/>
              </w:rPr>
            </w:pPr>
          </w:p>
        </w:tc>
        <w:tc>
          <w:tcPr>
            <w:tcW w:w="2409" w:type="dxa"/>
          </w:tcPr>
          <w:p w14:paraId="65F0633A" w14:textId="77777777" w:rsidR="00BE0A2F" w:rsidRPr="006B0F72" w:rsidRDefault="00BE0A2F" w:rsidP="00BE0A2F">
            <w:pPr>
              <w:spacing w:before="0" w:after="0"/>
              <w:jc w:val="left"/>
              <w:rPr>
                <w:noProof/>
                <w:sz w:val="20"/>
              </w:rPr>
            </w:pPr>
          </w:p>
        </w:tc>
      </w:tr>
      <w:tr w:rsidR="00BE0A2F" w:rsidRPr="006B0F72" w14:paraId="39FBA505" w14:textId="77777777" w:rsidTr="00B0251E">
        <w:trPr>
          <w:trHeight w:val="3534"/>
        </w:trPr>
        <w:tc>
          <w:tcPr>
            <w:tcW w:w="2660" w:type="dxa"/>
            <w:vMerge w:val="restart"/>
          </w:tcPr>
          <w:p w14:paraId="06E5DBB4" w14:textId="77777777" w:rsidR="00BE0A2F" w:rsidRPr="006B0F72" w:rsidRDefault="00BE0A2F" w:rsidP="00BE0A2F">
            <w:pPr>
              <w:spacing w:before="0" w:after="0"/>
              <w:jc w:val="left"/>
              <w:rPr>
                <w:b/>
                <w:noProof/>
                <w:sz w:val="20"/>
              </w:rPr>
            </w:pPr>
            <w:r w:rsidRPr="006B0F72">
              <w:rPr>
                <w:b/>
                <w:noProof/>
                <w:sz w:val="20"/>
              </w:rPr>
              <w:t>Strokovno znanje na področju podatkovne analitike (podatkovne zbirke, GIS, poročanje, analiziranje itd.) za zagotavljanje podpore pri poročanju itd.:</w:t>
            </w:r>
          </w:p>
          <w:p w14:paraId="3B2A4AC7" w14:textId="77777777" w:rsidR="00BE0A2F" w:rsidRPr="006B0F72" w:rsidRDefault="00BE0A2F" w:rsidP="00BE0A2F">
            <w:pPr>
              <w:spacing w:before="0" w:after="0"/>
              <w:jc w:val="left"/>
              <w:rPr>
                <w:b/>
                <w:noProof/>
                <w:sz w:val="20"/>
              </w:rPr>
            </w:pPr>
          </w:p>
          <w:p w14:paraId="60838B95" w14:textId="77777777" w:rsidR="00BE0A2F" w:rsidRPr="006B0F72" w:rsidRDefault="00BE0A2F" w:rsidP="00BE0A2F">
            <w:pPr>
              <w:spacing w:before="0" w:after="0"/>
              <w:jc w:val="left"/>
              <w:rPr>
                <w:noProof/>
                <w:sz w:val="20"/>
              </w:rPr>
            </w:pPr>
            <w:r w:rsidRPr="006B0F72">
              <w:rPr>
                <w:noProof/>
                <w:sz w:val="20"/>
              </w:rPr>
              <w:t xml:space="preserve">Cilj teh delovnih mest bi bil zagotavljati podporo pri podatkovni analitiki, potrebni za ocenjevanje kakovosti napredka na področju zakona o obnovi narave in nacionalnih načrtov za obnovo. To področje dela bi zajemalo poročanje (pridobivanje podatkov/ravnanje s podatki/nadzor kakovosti podatkov), podporo informacijskim sistemom (npr. pregledovalniki, preglednice, interaktivni zemljevidi), podporo pri podatkovni analitiki, vključno z GIS.  Področje </w:t>
            </w:r>
          </w:p>
          <w:p w14:paraId="318EC46C" w14:textId="77777777" w:rsidR="00BE0A2F" w:rsidRPr="006B0F72" w:rsidRDefault="00BE0A2F" w:rsidP="00BE0A2F">
            <w:pPr>
              <w:spacing w:before="0" w:after="0"/>
              <w:jc w:val="left"/>
              <w:rPr>
                <w:noProof/>
                <w:sz w:val="20"/>
              </w:rPr>
            </w:pPr>
            <w:r w:rsidRPr="006B0F72">
              <w:rPr>
                <w:noProof/>
                <w:sz w:val="20"/>
              </w:rPr>
              <w:t xml:space="preserve">podatkovnih in informacijskih storitev agencije EEA je trenutno preobremenjeno in dodatni viri za zagotavljanje zadostne podpore IT bodo ključni, da bo lahko agencija EEA začela izvajati te nove naloge. </w:t>
            </w:r>
          </w:p>
          <w:p w14:paraId="4D122F49" w14:textId="77777777" w:rsidR="00BE0A2F" w:rsidRPr="006B0F72" w:rsidRDefault="00BE0A2F" w:rsidP="00BE0A2F">
            <w:pPr>
              <w:spacing w:before="0" w:after="0"/>
              <w:jc w:val="left"/>
              <w:rPr>
                <w:b/>
                <w:bCs/>
                <w:noProof/>
                <w:sz w:val="20"/>
              </w:rPr>
            </w:pPr>
            <w:r w:rsidRPr="006B0F72">
              <w:rPr>
                <w:b/>
                <w:noProof/>
                <w:sz w:val="20"/>
              </w:rPr>
              <w:t xml:space="preserve"> </w:t>
            </w:r>
          </w:p>
          <w:p w14:paraId="4DACEB5F" w14:textId="77777777" w:rsidR="00BE0A2F" w:rsidRPr="006B0F72" w:rsidRDefault="00BE0A2F" w:rsidP="00BE0A2F">
            <w:pPr>
              <w:spacing w:before="0" w:after="0"/>
              <w:jc w:val="left"/>
              <w:rPr>
                <w:b/>
                <w:bCs/>
                <w:noProof/>
                <w:sz w:val="20"/>
              </w:rPr>
            </w:pPr>
          </w:p>
        </w:tc>
        <w:tc>
          <w:tcPr>
            <w:tcW w:w="2551" w:type="dxa"/>
          </w:tcPr>
          <w:p w14:paraId="7DCE6BE8" w14:textId="77777777" w:rsidR="00BE0A2F" w:rsidRPr="006B0F72" w:rsidRDefault="00BE0A2F" w:rsidP="00BE0A2F">
            <w:pPr>
              <w:spacing w:before="0" w:after="0"/>
              <w:jc w:val="left"/>
              <w:rPr>
                <w:b/>
                <w:bCs/>
                <w:noProof/>
                <w:sz w:val="20"/>
              </w:rPr>
            </w:pPr>
          </w:p>
          <w:p w14:paraId="730E9FA9" w14:textId="77777777" w:rsidR="00BE0A2F" w:rsidRPr="006B0F72" w:rsidRDefault="00BE0A2F" w:rsidP="00BE0A2F">
            <w:pPr>
              <w:spacing w:before="0" w:after="0"/>
              <w:jc w:val="left"/>
              <w:rPr>
                <w:noProof/>
                <w:sz w:val="20"/>
              </w:rPr>
            </w:pPr>
            <w:r w:rsidRPr="006B0F72">
              <w:rPr>
                <w:noProof/>
                <w:sz w:val="20"/>
              </w:rPr>
              <w:t xml:space="preserve">1 FS IV podatkovna podpora pri poročanju, podatkovne zbirke in pregledovalniki, analize podatkov itd. </w:t>
            </w:r>
          </w:p>
          <w:p w14:paraId="13100451" w14:textId="77777777" w:rsidR="00BE0A2F" w:rsidRPr="006B0F72" w:rsidRDefault="00BE0A2F" w:rsidP="00BE0A2F">
            <w:pPr>
              <w:spacing w:before="0" w:after="0"/>
              <w:jc w:val="left"/>
              <w:rPr>
                <w:b/>
                <w:bCs/>
                <w:noProof/>
                <w:sz w:val="20"/>
              </w:rPr>
            </w:pPr>
          </w:p>
          <w:p w14:paraId="68825CE2" w14:textId="77777777" w:rsidR="00BE0A2F" w:rsidRPr="006B0F72" w:rsidRDefault="00BE0A2F" w:rsidP="00BE0A2F">
            <w:pPr>
              <w:spacing w:before="0" w:after="0"/>
              <w:jc w:val="left"/>
              <w:rPr>
                <w:noProof/>
                <w:sz w:val="20"/>
              </w:rPr>
            </w:pPr>
          </w:p>
          <w:p w14:paraId="6C32328D" w14:textId="77777777" w:rsidR="00BE0A2F" w:rsidRPr="006B0F72" w:rsidRDefault="00BE0A2F" w:rsidP="00BE0A2F">
            <w:pPr>
              <w:spacing w:before="0" w:after="0"/>
              <w:jc w:val="left"/>
              <w:rPr>
                <w:b/>
                <w:bCs/>
                <w:noProof/>
                <w:sz w:val="20"/>
              </w:rPr>
            </w:pPr>
          </w:p>
        </w:tc>
        <w:tc>
          <w:tcPr>
            <w:tcW w:w="1843" w:type="dxa"/>
          </w:tcPr>
          <w:p w14:paraId="5CCA2D01" w14:textId="77777777" w:rsidR="00BE0A2F" w:rsidRPr="006B0F72" w:rsidRDefault="00BE0A2F" w:rsidP="00BE0A2F">
            <w:pPr>
              <w:spacing w:before="0" w:after="0"/>
              <w:jc w:val="left"/>
              <w:rPr>
                <w:noProof/>
                <w:sz w:val="20"/>
              </w:rPr>
            </w:pPr>
          </w:p>
          <w:p w14:paraId="532D5ADA" w14:textId="77777777" w:rsidR="00BE0A2F" w:rsidRPr="006B0F72" w:rsidRDefault="00BE0A2F" w:rsidP="00BE0A2F">
            <w:pPr>
              <w:spacing w:before="0" w:after="0"/>
              <w:jc w:val="left"/>
              <w:rPr>
                <w:noProof/>
                <w:sz w:val="20"/>
              </w:rPr>
            </w:pPr>
            <w:r w:rsidRPr="006B0F72">
              <w:rPr>
                <w:noProof/>
                <w:sz w:val="20"/>
              </w:rPr>
              <w:t>Zagonski stroški okvira za poročanje</w:t>
            </w:r>
          </w:p>
          <w:p w14:paraId="0E032EB8" w14:textId="77777777" w:rsidR="00BE0A2F" w:rsidRPr="006B0F72" w:rsidRDefault="00BE0A2F" w:rsidP="00BE0A2F">
            <w:pPr>
              <w:spacing w:before="0" w:after="0"/>
              <w:jc w:val="left"/>
              <w:rPr>
                <w:noProof/>
                <w:sz w:val="20"/>
              </w:rPr>
            </w:pPr>
            <w:r w:rsidRPr="006B0F72">
              <w:rPr>
                <w:noProof/>
                <w:sz w:val="20"/>
              </w:rPr>
              <w:t xml:space="preserve">600 000 za nadgradnjo razvoja obstoječe infrastrukture IT </w:t>
            </w:r>
          </w:p>
          <w:p w14:paraId="2B24144C" w14:textId="77777777" w:rsidR="00BE0A2F" w:rsidRPr="006B0F72" w:rsidRDefault="00BE0A2F" w:rsidP="00BE0A2F">
            <w:pPr>
              <w:spacing w:before="0" w:after="0"/>
              <w:jc w:val="left"/>
              <w:rPr>
                <w:noProof/>
                <w:sz w:val="20"/>
              </w:rPr>
            </w:pPr>
          </w:p>
          <w:p w14:paraId="222B7E14" w14:textId="77777777" w:rsidR="00BE0A2F" w:rsidRPr="006B0F72" w:rsidRDefault="00BE0A2F" w:rsidP="00BE0A2F">
            <w:pPr>
              <w:spacing w:before="0" w:after="0"/>
              <w:jc w:val="left"/>
              <w:rPr>
                <w:noProof/>
                <w:sz w:val="20"/>
              </w:rPr>
            </w:pPr>
          </w:p>
          <w:p w14:paraId="79909044" w14:textId="77777777" w:rsidR="00BE0A2F" w:rsidRPr="006B0F72" w:rsidRDefault="00BE0A2F" w:rsidP="00BE0A2F">
            <w:pPr>
              <w:spacing w:before="0" w:after="0"/>
              <w:jc w:val="left"/>
              <w:rPr>
                <w:noProof/>
                <w:sz w:val="20"/>
              </w:rPr>
            </w:pPr>
            <w:r w:rsidRPr="006B0F72">
              <w:rPr>
                <w:noProof/>
                <w:sz w:val="20"/>
              </w:rPr>
              <w:t>Stroški vzdrževanja na leto</w:t>
            </w:r>
          </w:p>
          <w:p w14:paraId="39FB7A16" w14:textId="77777777" w:rsidR="00BE0A2F" w:rsidRPr="006B0F72" w:rsidRDefault="00BE0A2F" w:rsidP="00BE0A2F">
            <w:pPr>
              <w:spacing w:before="0" w:after="0"/>
              <w:jc w:val="left"/>
              <w:rPr>
                <w:noProof/>
                <w:sz w:val="20"/>
              </w:rPr>
            </w:pPr>
            <w:r w:rsidRPr="006B0F72">
              <w:rPr>
                <w:noProof/>
                <w:sz w:val="20"/>
              </w:rPr>
              <w:t>200 000 na leto</w:t>
            </w:r>
          </w:p>
          <w:p w14:paraId="7F8781B8" w14:textId="77777777" w:rsidR="00BE0A2F" w:rsidRPr="006B0F72" w:rsidRDefault="00BE0A2F" w:rsidP="00BE0A2F">
            <w:pPr>
              <w:spacing w:before="0" w:after="0"/>
              <w:jc w:val="left"/>
              <w:rPr>
                <w:noProof/>
                <w:sz w:val="20"/>
              </w:rPr>
            </w:pPr>
          </w:p>
        </w:tc>
        <w:tc>
          <w:tcPr>
            <w:tcW w:w="5387" w:type="dxa"/>
          </w:tcPr>
          <w:p w14:paraId="0C8866FC" w14:textId="77777777" w:rsidR="00BE0A2F" w:rsidRPr="006B0F72" w:rsidRDefault="00BE0A2F" w:rsidP="00BE0A2F">
            <w:pPr>
              <w:spacing w:before="0" w:after="0"/>
              <w:jc w:val="left"/>
              <w:rPr>
                <w:noProof/>
                <w:sz w:val="20"/>
              </w:rPr>
            </w:pPr>
          </w:p>
          <w:p w14:paraId="67E37DD4" w14:textId="77777777" w:rsidR="00BE0A2F" w:rsidRPr="006B0F72" w:rsidRDefault="00BE0A2F" w:rsidP="00BE0A2F">
            <w:pPr>
              <w:spacing w:before="0" w:after="0"/>
              <w:jc w:val="left"/>
              <w:rPr>
                <w:noProof/>
                <w:sz w:val="20"/>
              </w:rPr>
            </w:pPr>
            <w:r w:rsidRPr="006B0F72">
              <w:rPr>
                <w:noProof/>
                <w:sz w:val="20"/>
              </w:rPr>
              <w:t xml:space="preserve">Vodilne naloge na področju oblikovanja javne souporabe podatkov v realnem času. To bi vključevalo tudi predvidene naloge, kot so navedene zgoraj: </w:t>
            </w:r>
          </w:p>
          <w:p w14:paraId="1D5F1545" w14:textId="77777777" w:rsidR="00BE0A2F" w:rsidRPr="006B0F72" w:rsidRDefault="00BE0A2F" w:rsidP="00BE0A2F">
            <w:pPr>
              <w:spacing w:before="0" w:after="0"/>
              <w:jc w:val="left"/>
              <w:rPr>
                <w:noProof/>
                <w:sz w:val="20"/>
              </w:rPr>
            </w:pPr>
            <w:r w:rsidRPr="006B0F72">
              <w:rPr>
                <w:noProof/>
                <w:sz w:val="20"/>
              </w:rPr>
              <w:t>4. podpora pri pridobivanju podatkov/ravnanju s podatki/nadzoru kakovosti podatkov. To vključuje zagotavljanje podpore informacijskemu sistemu ter stroške IT za oceno/nadzor kakovosti</w:t>
            </w:r>
          </w:p>
          <w:p w14:paraId="63BFB714" w14:textId="77777777" w:rsidR="00BE0A2F" w:rsidRPr="006B0F72" w:rsidRDefault="00BE0A2F" w:rsidP="00BE0A2F">
            <w:pPr>
              <w:spacing w:before="0" w:after="0"/>
              <w:jc w:val="left"/>
              <w:rPr>
                <w:noProof/>
                <w:sz w:val="20"/>
              </w:rPr>
            </w:pPr>
            <w:r w:rsidRPr="006B0F72">
              <w:rPr>
                <w:noProof/>
                <w:sz w:val="20"/>
              </w:rPr>
              <w:t>5. Objava podatkov in dostop javnosti do podatkov (npr. interaktivni zemljevidi, preglednice, poročila) in vzdrževanje podatkovnih zbirk</w:t>
            </w:r>
          </w:p>
          <w:p w14:paraId="4CDF7140" w14:textId="77777777" w:rsidR="00BE0A2F" w:rsidRPr="006B0F72" w:rsidRDefault="00BE0A2F" w:rsidP="00BE0A2F">
            <w:pPr>
              <w:spacing w:before="0" w:after="0"/>
              <w:jc w:val="left"/>
              <w:rPr>
                <w:noProof/>
                <w:sz w:val="20"/>
              </w:rPr>
            </w:pPr>
            <w:r w:rsidRPr="006B0F72">
              <w:rPr>
                <w:noProof/>
                <w:sz w:val="20"/>
              </w:rPr>
              <w:t>8. Tehnična podpora pri spremljanju ciljev za mesta</w:t>
            </w:r>
          </w:p>
          <w:p w14:paraId="33088F2C" w14:textId="77777777" w:rsidR="00BE0A2F" w:rsidRPr="006B0F72" w:rsidRDefault="00BE0A2F" w:rsidP="00BE0A2F">
            <w:pPr>
              <w:spacing w:before="0" w:after="0"/>
              <w:jc w:val="left"/>
              <w:rPr>
                <w:noProof/>
                <w:sz w:val="20"/>
              </w:rPr>
            </w:pPr>
            <w:r w:rsidRPr="006B0F72">
              <w:rPr>
                <w:noProof/>
                <w:sz w:val="20"/>
              </w:rPr>
              <w:t>10. Ustanovitev in vzdrževanje službe za pomoč državam članicam</w:t>
            </w:r>
          </w:p>
          <w:p w14:paraId="6A696C8A" w14:textId="77777777" w:rsidR="00BE0A2F" w:rsidRPr="006B0F72" w:rsidRDefault="00BE0A2F" w:rsidP="00BE0A2F">
            <w:pPr>
              <w:spacing w:before="0" w:after="0"/>
              <w:jc w:val="left"/>
              <w:rPr>
                <w:noProof/>
                <w:sz w:val="20"/>
              </w:rPr>
            </w:pPr>
          </w:p>
          <w:p w14:paraId="6975D700" w14:textId="77777777" w:rsidR="00BE0A2F" w:rsidRPr="006B0F72" w:rsidRDefault="00BE0A2F" w:rsidP="00BE0A2F">
            <w:pPr>
              <w:spacing w:before="0" w:after="0"/>
              <w:jc w:val="left"/>
              <w:rPr>
                <w:noProof/>
                <w:sz w:val="20"/>
              </w:rPr>
            </w:pPr>
          </w:p>
        </w:tc>
        <w:tc>
          <w:tcPr>
            <w:tcW w:w="2409" w:type="dxa"/>
            <w:vMerge w:val="restart"/>
          </w:tcPr>
          <w:p w14:paraId="68C61847" w14:textId="77777777" w:rsidR="00BE0A2F" w:rsidRPr="006B0F72" w:rsidRDefault="00BE0A2F" w:rsidP="00BE0A2F">
            <w:pPr>
              <w:spacing w:before="0" w:after="0"/>
              <w:jc w:val="left"/>
              <w:rPr>
                <w:noProof/>
                <w:sz w:val="20"/>
              </w:rPr>
            </w:pPr>
          </w:p>
          <w:p w14:paraId="129E509C" w14:textId="77777777" w:rsidR="00BE0A2F" w:rsidRPr="006B0F72" w:rsidRDefault="00BE0A2F" w:rsidP="00BE0A2F">
            <w:pPr>
              <w:spacing w:before="0" w:after="0"/>
              <w:jc w:val="left"/>
              <w:rPr>
                <w:noProof/>
                <w:sz w:val="20"/>
              </w:rPr>
            </w:pPr>
            <w:r w:rsidRPr="006B0F72">
              <w:rPr>
                <w:noProof/>
                <w:sz w:val="20"/>
              </w:rPr>
              <w:t>Pred začetkom izvajanja v letu 2022</w:t>
            </w:r>
          </w:p>
          <w:p w14:paraId="5E872AF7" w14:textId="77777777" w:rsidR="00BE0A2F" w:rsidRPr="006B0F72" w:rsidRDefault="00BE0A2F" w:rsidP="00BE0A2F">
            <w:pPr>
              <w:spacing w:before="0" w:after="0"/>
              <w:jc w:val="left"/>
              <w:rPr>
                <w:noProof/>
                <w:sz w:val="20"/>
              </w:rPr>
            </w:pPr>
            <w:r w:rsidRPr="006B0F72">
              <w:rPr>
                <w:noProof/>
                <w:sz w:val="20"/>
              </w:rPr>
              <w:t xml:space="preserve"> </w:t>
            </w:r>
          </w:p>
          <w:p w14:paraId="02882BB6" w14:textId="77777777" w:rsidR="00BE0A2F" w:rsidRPr="006B0F72" w:rsidRDefault="00BE0A2F" w:rsidP="00BE0A2F">
            <w:pPr>
              <w:spacing w:before="0" w:after="0"/>
              <w:jc w:val="left"/>
              <w:rPr>
                <w:noProof/>
                <w:sz w:val="20"/>
              </w:rPr>
            </w:pPr>
          </w:p>
          <w:p w14:paraId="3D01A0C3" w14:textId="77777777" w:rsidR="00BE0A2F" w:rsidRPr="006B0F72" w:rsidRDefault="00BE0A2F" w:rsidP="00BE0A2F">
            <w:pPr>
              <w:spacing w:before="0" w:after="0"/>
              <w:jc w:val="left"/>
              <w:rPr>
                <w:noProof/>
                <w:sz w:val="20"/>
              </w:rPr>
            </w:pPr>
          </w:p>
          <w:p w14:paraId="028122CD" w14:textId="77777777" w:rsidR="00BE0A2F" w:rsidRPr="006B0F72" w:rsidRDefault="00BE0A2F" w:rsidP="00BE0A2F">
            <w:pPr>
              <w:spacing w:before="0" w:after="0"/>
              <w:jc w:val="left"/>
              <w:rPr>
                <w:noProof/>
                <w:sz w:val="20"/>
              </w:rPr>
            </w:pPr>
          </w:p>
          <w:p w14:paraId="2F20C14E" w14:textId="77777777" w:rsidR="00BE0A2F" w:rsidRPr="006B0F72" w:rsidRDefault="00BE0A2F" w:rsidP="00BE0A2F">
            <w:pPr>
              <w:spacing w:before="0" w:after="0"/>
              <w:jc w:val="left"/>
              <w:rPr>
                <w:noProof/>
                <w:sz w:val="20"/>
              </w:rPr>
            </w:pPr>
          </w:p>
          <w:p w14:paraId="16A494F9" w14:textId="77777777" w:rsidR="00BE0A2F" w:rsidRPr="006B0F72" w:rsidRDefault="00BE0A2F" w:rsidP="00BE0A2F">
            <w:pPr>
              <w:spacing w:before="0" w:after="0"/>
              <w:jc w:val="left"/>
              <w:rPr>
                <w:noProof/>
                <w:sz w:val="20"/>
              </w:rPr>
            </w:pPr>
          </w:p>
          <w:p w14:paraId="42F3D173" w14:textId="77777777" w:rsidR="00BE0A2F" w:rsidRPr="006B0F72" w:rsidRDefault="00BE0A2F" w:rsidP="00BE0A2F">
            <w:pPr>
              <w:spacing w:before="0" w:after="0"/>
              <w:jc w:val="left"/>
              <w:rPr>
                <w:noProof/>
                <w:sz w:val="20"/>
              </w:rPr>
            </w:pPr>
          </w:p>
          <w:p w14:paraId="1EB6FD13" w14:textId="77777777" w:rsidR="00BE0A2F" w:rsidRPr="006B0F72" w:rsidRDefault="00BE0A2F" w:rsidP="00BE0A2F">
            <w:pPr>
              <w:spacing w:before="0" w:after="0"/>
              <w:jc w:val="left"/>
              <w:rPr>
                <w:noProof/>
                <w:sz w:val="20"/>
              </w:rPr>
            </w:pPr>
          </w:p>
          <w:p w14:paraId="6D1782A3" w14:textId="77777777" w:rsidR="00BE0A2F" w:rsidRPr="006B0F72" w:rsidRDefault="00BE0A2F" w:rsidP="00BE0A2F">
            <w:pPr>
              <w:spacing w:before="0" w:after="0"/>
              <w:jc w:val="left"/>
              <w:rPr>
                <w:noProof/>
                <w:sz w:val="20"/>
              </w:rPr>
            </w:pPr>
            <w:r w:rsidRPr="006B0F72">
              <w:rPr>
                <w:noProof/>
                <w:sz w:val="20"/>
              </w:rPr>
              <w:t>Vzdrževanje v skladu s pravili o obnovi</w:t>
            </w:r>
          </w:p>
        </w:tc>
      </w:tr>
      <w:tr w:rsidR="00BE0A2F" w:rsidRPr="006B0F72" w14:paraId="6D03C5DF" w14:textId="77777777" w:rsidTr="00B0251E">
        <w:trPr>
          <w:trHeight w:val="1087"/>
        </w:trPr>
        <w:tc>
          <w:tcPr>
            <w:tcW w:w="2660" w:type="dxa"/>
            <w:vMerge/>
          </w:tcPr>
          <w:p w14:paraId="05F689C3" w14:textId="77777777" w:rsidR="00BE0A2F" w:rsidRPr="006B0F72" w:rsidRDefault="00BE0A2F" w:rsidP="00BE0A2F">
            <w:pPr>
              <w:spacing w:before="0" w:after="0"/>
              <w:jc w:val="left"/>
              <w:rPr>
                <w:b/>
                <w:bCs/>
                <w:noProof/>
                <w:sz w:val="20"/>
              </w:rPr>
            </w:pPr>
          </w:p>
        </w:tc>
        <w:tc>
          <w:tcPr>
            <w:tcW w:w="2551" w:type="dxa"/>
          </w:tcPr>
          <w:p w14:paraId="5E0FA241" w14:textId="77777777" w:rsidR="00BE0A2F" w:rsidRPr="006B0F72" w:rsidRDefault="00BE0A2F" w:rsidP="00BE0A2F">
            <w:pPr>
              <w:tabs>
                <w:tab w:val="left" w:pos="312"/>
              </w:tabs>
              <w:spacing w:after="0"/>
              <w:rPr>
                <w:b/>
                <w:bCs/>
                <w:noProof/>
                <w:sz w:val="20"/>
              </w:rPr>
            </w:pPr>
            <w:r w:rsidRPr="006B0F72">
              <w:rPr>
                <w:noProof/>
                <w:sz w:val="20"/>
              </w:rPr>
              <w:t xml:space="preserve">2 FS IV strokovnjaka za statistiko GIS </w:t>
            </w:r>
          </w:p>
          <w:p w14:paraId="18D07C18" w14:textId="77777777" w:rsidR="00BE0A2F" w:rsidRPr="006B0F72" w:rsidRDefault="00BE0A2F" w:rsidP="00BE0A2F">
            <w:pPr>
              <w:spacing w:before="0" w:after="0"/>
              <w:jc w:val="left"/>
              <w:rPr>
                <w:noProof/>
                <w:sz w:val="20"/>
              </w:rPr>
            </w:pPr>
          </w:p>
          <w:p w14:paraId="11356E74" w14:textId="77777777" w:rsidR="00BE0A2F" w:rsidRPr="006B0F72" w:rsidRDefault="00BE0A2F" w:rsidP="00BE0A2F">
            <w:pPr>
              <w:spacing w:before="0" w:after="0"/>
              <w:jc w:val="left"/>
              <w:rPr>
                <w:b/>
                <w:bCs/>
                <w:noProof/>
                <w:sz w:val="20"/>
              </w:rPr>
            </w:pPr>
          </w:p>
        </w:tc>
        <w:tc>
          <w:tcPr>
            <w:tcW w:w="1843" w:type="dxa"/>
          </w:tcPr>
          <w:p w14:paraId="49DB016D" w14:textId="77777777" w:rsidR="00BE0A2F" w:rsidRPr="006B0F72" w:rsidRDefault="00BE0A2F" w:rsidP="00BE0A2F">
            <w:pPr>
              <w:spacing w:before="0" w:after="0"/>
              <w:jc w:val="left"/>
              <w:rPr>
                <w:noProof/>
                <w:sz w:val="20"/>
              </w:rPr>
            </w:pPr>
          </w:p>
        </w:tc>
        <w:tc>
          <w:tcPr>
            <w:tcW w:w="5387" w:type="dxa"/>
          </w:tcPr>
          <w:p w14:paraId="71D28FA8" w14:textId="77777777" w:rsidR="00BE0A2F" w:rsidRPr="006B0F72" w:rsidRDefault="00BE0A2F" w:rsidP="00BE0A2F">
            <w:pPr>
              <w:spacing w:before="0" w:after="0"/>
              <w:jc w:val="left"/>
              <w:rPr>
                <w:noProof/>
                <w:sz w:val="20"/>
              </w:rPr>
            </w:pPr>
            <w:r w:rsidRPr="006B0F72">
              <w:rPr>
                <w:noProof/>
                <w:sz w:val="20"/>
              </w:rPr>
              <w:t xml:space="preserve">Tehnični strokovnjak za </w:t>
            </w:r>
          </w:p>
          <w:p w14:paraId="35DE10CD" w14:textId="77777777" w:rsidR="00BE0A2F" w:rsidRPr="006B0F72" w:rsidRDefault="00BE0A2F" w:rsidP="003A7774">
            <w:pPr>
              <w:numPr>
                <w:ilvl w:val="0"/>
                <w:numId w:val="20"/>
              </w:numPr>
              <w:spacing w:before="0" w:after="0"/>
              <w:contextualSpacing/>
              <w:jc w:val="left"/>
              <w:rPr>
                <w:noProof/>
                <w:sz w:val="20"/>
              </w:rPr>
            </w:pPr>
            <w:r w:rsidRPr="006B0F72">
              <w:rPr>
                <w:noProof/>
                <w:sz w:val="20"/>
              </w:rPr>
              <w:t>prostorsko načrtovanje ekosistemskih tipov za ocenjevanje območja, ki se obnavlja</w:t>
            </w:r>
          </w:p>
          <w:p w14:paraId="23374A30" w14:textId="77777777" w:rsidR="00BE0A2F" w:rsidRPr="006B0F72" w:rsidRDefault="00BE0A2F" w:rsidP="003A7774">
            <w:pPr>
              <w:numPr>
                <w:ilvl w:val="0"/>
                <w:numId w:val="20"/>
              </w:numPr>
              <w:spacing w:before="0" w:after="0"/>
              <w:contextualSpacing/>
              <w:jc w:val="left"/>
              <w:rPr>
                <w:noProof/>
                <w:sz w:val="20"/>
              </w:rPr>
            </w:pPr>
            <w:r w:rsidRPr="006B0F72">
              <w:rPr>
                <w:noProof/>
                <w:sz w:val="20"/>
              </w:rPr>
              <w:t xml:space="preserve">kartiranje popisov rek in podatkov spremljanja (statistika in interpolacija) </w:t>
            </w:r>
          </w:p>
          <w:p w14:paraId="1B25D261" w14:textId="77777777" w:rsidR="00BE0A2F" w:rsidRPr="006B0F72" w:rsidRDefault="00BE0A2F" w:rsidP="00BE0A2F">
            <w:pPr>
              <w:spacing w:before="0" w:after="0"/>
              <w:jc w:val="left"/>
              <w:rPr>
                <w:noProof/>
                <w:sz w:val="20"/>
              </w:rPr>
            </w:pPr>
          </w:p>
        </w:tc>
        <w:tc>
          <w:tcPr>
            <w:tcW w:w="2409" w:type="dxa"/>
            <w:vMerge/>
          </w:tcPr>
          <w:p w14:paraId="15049CE5" w14:textId="77777777" w:rsidR="00BE0A2F" w:rsidRPr="006B0F72" w:rsidRDefault="00BE0A2F" w:rsidP="00BE0A2F">
            <w:pPr>
              <w:spacing w:before="0" w:after="0"/>
              <w:jc w:val="left"/>
              <w:rPr>
                <w:noProof/>
                <w:sz w:val="20"/>
              </w:rPr>
            </w:pPr>
          </w:p>
        </w:tc>
      </w:tr>
      <w:tr w:rsidR="00BE0A2F" w:rsidRPr="006B0F72" w14:paraId="0E8C6255" w14:textId="77777777" w:rsidTr="00B0251E">
        <w:tc>
          <w:tcPr>
            <w:tcW w:w="2660" w:type="dxa"/>
          </w:tcPr>
          <w:p w14:paraId="44CADD32" w14:textId="77777777" w:rsidR="00BE0A2F" w:rsidRPr="006B0F72" w:rsidRDefault="00BE0A2F" w:rsidP="00BE0A2F">
            <w:pPr>
              <w:spacing w:before="0" w:after="0"/>
              <w:jc w:val="left"/>
              <w:rPr>
                <w:b/>
                <w:bCs/>
                <w:noProof/>
                <w:sz w:val="20"/>
              </w:rPr>
            </w:pPr>
            <w:r w:rsidRPr="006B0F72">
              <w:rPr>
                <w:b/>
                <w:noProof/>
                <w:sz w:val="20"/>
              </w:rPr>
              <w:t>Splošno usklajevanje in upravljanje za usklajevanje poročanja, Eionet, usklajevanje med državami članicami</w:t>
            </w:r>
          </w:p>
          <w:p w14:paraId="35949145" w14:textId="77777777" w:rsidR="00BE0A2F" w:rsidRPr="006B0F72" w:rsidRDefault="00BE0A2F" w:rsidP="00BE0A2F">
            <w:pPr>
              <w:spacing w:before="0" w:after="0"/>
              <w:jc w:val="left"/>
              <w:rPr>
                <w:b/>
                <w:bCs/>
                <w:noProof/>
                <w:sz w:val="20"/>
              </w:rPr>
            </w:pPr>
          </w:p>
          <w:p w14:paraId="1F95D032" w14:textId="77777777" w:rsidR="00BE0A2F" w:rsidRPr="006B0F72" w:rsidRDefault="00BE0A2F" w:rsidP="00BE0A2F">
            <w:pPr>
              <w:spacing w:before="0" w:after="0"/>
              <w:jc w:val="left"/>
              <w:rPr>
                <w:noProof/>
                <w:sz w:val="20"/>
              </w:rPr>
            </w:pPr>
            <w:r w:rsidRPr="006B0F72">
              <w:rPr>
                <w:noProof/>
                <w:sz w:val="20"/>
              </w:rPr>
              <w:t xml:space="preserve">Cilj tega delovnega mesta bi bilo vodenje splošnega usklajevanja postopka poročanja, kjer bo večina dela opravljena na delovnem mestu, navedenem zgoraj. </w:t>
            </w:r>
          </w:p>
          <w:p w14:paraId="5160D69E" w14:textId="77777777" w:rsidR="00BE0A2F" w:rsidRPr="006B0F72" w:rsidRDefault="00BE0A2F" w:rsidP="00BE0A2F">
            <w:pPr>
              <w:spacing w:before="0" w:after="0"/>
              <w:jc w:val="left"/>
              <w:rPr>
                <w:b/>
                <w:bCs/>
                <w:noProof/>
                <w:sz w:val="20"/>
              </w:rPr>
            </w:pPr>
          </w:p>
        </w:tc>
        <w:tc>
          <w:tcPr>
            <w:tcW w:w="2551" w:type="dxa"/>
          </w:tcPr>
          <w:p w14:paraId="0B165E0B" w14:textId="77777777" w:rsidR="00BE0A2F" w:rsidRPr="006B0F72" w:rsidRDefault="00BE0A2F" w:rsidP="00BE0A2F">
            <w:pPr>
              <w:spacing w:before="0" w:after="0"/>
              <w:jc w:val="left"/>
              <w:rPr>
                <w:noProof/>
                <w:sz w:val="20"/>
              </w:rPr>
            </w:pPr>
            <w:r w:rsidRPr="006B0F72">
              <w:rPr>
                <w:noProof/>
                <w:sz w:val="20"/>
              </w:rPr>
              <w:t>1 uslužbenec AD 7 vodenje in usklajevanje pregleda nacionalnega načrta za obnovo, krepitev zmogljivosti v državah članicah za razvoj, pregled in izvajanje nacionalnega načrta za obnovo</w:t>
            </w:r>
          </w:p>
          <w:p w14:paraId="74227C06" w14:textId="77777777" w:rsidR="00BE0A2F" w:rsidRPr="006B0F72" w:rsidRDefault="00BE0A2F" w:rsidP="00BE0A2F">
            <w:pPr>
              <w:spacing w:before="0" w:after="0"/>
              <w:jc w:val="left"/>
              <w:rPr>
                <w:noProof/>
                <w:sz w:val="20"/>
              </w:rPr>
            </w:pPr>
          </w:p>
          <w:p w14:paraId="69FCDC93" w14:textId="77777777" w:rsidR="00BE0A2F" w:rsidRPr="006B0F72" w:rsidRDefault="00BE0A2F" w:rsidP="00BE0A2F">
            <w:pPr>
              <w:spacing w:before="0" w:after="0"/>
              <w:jc w:val="left"/>
              <w:rPr>
                <w:noProof/>
                <w:sz w:val="20"/>
              </w:rPr>
            </w:pPr>
          </w:p>
          <w:p w14:paraId="24A6F0E9" w14:textId="77777777" w:rsidR="00BE0A2F" w:rsidRPr="006B0F72" w:rsidRDefault="00BE0A2F" w:rsidP="00BE0A2F">
            <w:pPr>
              <w:spacing w:before="0" w:after="0"/>
              <w:jc w:val="left"/>
              <w:rPr>
                <w:b/>
                <w:bCs/>
                <w:noProof/>
                <w:sz w:val="20"/>
              </w:rPr>
            </w:pPr>
            <w:r w:rsidRPr="006B0F72">
              <w:rPr>
                <w:b/>
                <w:noProof/>
                <w:sz w:val="20"/>
              </w:rPr>
              <w:t xml:space="preserve"> </w:t>
            </w:r>
          </w:p>
        </w:tc>
        <w:tc>
          <w:tcPr>
            <w:tcW w:w="1843" w:type="dxa"/>
          </w:tcPr>
          <w:p w14:paraId="3374D7A3" w14:textId="77777777" w:rsidR="00BE0A2F" w:rsidRPr="006B0F72" w:rsidRDefault="00BE0A2F" w:rsidP="00BE0A2F">
            <w:pPr>
              <w:spacing w:before="0" w:after="0"/>
              <w:jc w:val="left"/>
              <w:rPr>
                <w:noProof/>
                <w:sz w:val="20"/>
              </w:rPr>
            </w:pPr>
            <w:r w:rsidRPr="006B0F72">
              <w:rPr>
                <w:noProof/>
                <w:sz w:val="20"/>
              </w:rPr>
              <w:t>Srečanja</w:t>
            </w:r>
          </w:p>
          <w:p w14:paraId="24815C83" w14:textId="77777777" w:rsidR="00BE0A2F" w:rsidRPr="006B0F72" w:rsidRDefault="00BE0A2F" w:rsidP="00BE0A2F">
            <w:pPr>
              <w:spacing w:before="0" w:after="0"/>
              <w:jc w:val="left"/>
              <w:rPr>
                <w:noProof/>
                <w:sz w:val="20"/>
              </w:rPr>
            </w:pPr>
            <w:r w:rsidRPr="006B0F72">
              <w:rPr>
                <w:noProof/>
                <w:sz w:val="20"/>
              </w:rPr>
              <w:t>20 000 na leto</w:t>
            </w:r>
          </w:p>
          <w:p w14:paraId="11C6CE55" w14:textId="77777777" w:rsidR="00BE0A2F" w:rsidRPr="006B0F72" w:rsidRDefault="00BE0A2F" w:rsidP="00BE0A2F">
            <w:pPr>
              <w:spacing w:before="0" w:after="0"/>
              <w:jc w:val="left"/>
              <w:rPr>
                <w:noProof/>
                <w:sz w:val="20"/>
              </w:rPr>
            </w:pPr>
            <w:r w:rsidRPr="006B0F72">
              <w:rPr>
                <w:noProof/>
                <w:sz w:val="20"/>
              </w:rPr>
              <w:t>Komunikacija</w:t>
            </w:r>
          </w:p>
          <w:p w14:paraId="12E643F6" w14:textId="77777777" w:rsidR="00BE0A2F" w:rsidRPr="006B0F72" w:rsidRDefault="00BE0A2F" w:rsidP="00BE0A2F">
            <w:pPr>
              <w:spacing w:before="0" w:after="0"/>
              <w:jc w:val="left"/>
              <w:rPr>
                <w:noProof/>
                <w:sz w:val="20"/>
              </w:rPr>
            </w:pPr>
          </w:p>
        </w:tc>
        <w:tc>
          <w:tcPr>
            <w:tcW w:w="5387" w:type="dxa"/>
          </w:tcPr>
          <w:p w14:paraId="26C9E6DF" w14:textId="77777777" w:rsidR="00BE0A2F" w:rsidRPr="006B0F72" w:rsidRDefault="00BE0A2F" w:rsidP="00BE0A2F">
            <w:pPr>
              <w:spacing w:before="0" w:after="0"/>
              <w:jc w:val="left"/>
              <w:rPr>
                <w:noProof/>
                <w:sz w:val="20"/>
              </w:rPr>
            </w:pPr>
            <w:r w:rsidRPr="006B0F72">
              <w:rPr>
                <w:noProof/>
                <w:sz w:val="20"/>
              </w:rPr>
              <w:t xml:space="preserve">Ta ključni strokovnjak bo usklajevalna funkcija, ki bo pomagala pri usklajevanju pregleda nacionalnega načrta za obnovo, dejavnostih krepitve zmogljivosti v državah članicah in izvajanju nacionalnega načrta za obnovo. Prav tako je predvideno, da bo ta oseba opravljala naslednje naloge: </w:t>
            </w:r>
          </w:p>
          <w:p w14:paraId="2AAABCD3" w14:textId="77777777" w:rsidR="00BE0A2F" w:rsidRPr="006B0F72" w:rsidRDefault="00BE0A2F" w:rsidP="00BE0A2F">
            <w:pPr>
              <w:spacing w:before="0" w:after="0"/>
              <w:jc w:val="left"/>
              <w:rPr>
                <w:noProof/>
                <w:sz w:val="20"/>
              </w:rPr>
            </w:pPr>
            <w:r w:rsidRPr="006B0F72">
              <w:rPr>
                <w:noProof/>
                <w:sz w:val="20"/>
              </w:rPr>
              <w:t>5. Objava podatkov in dostop do njih (npr. interaktivni zemljevidi, preglednice, poročanje)</w:t>
            </w:r>
          </w:p>
          <w:p w14:paraId="731AACE3" w14:textId="77777777" w:rsidR="00BE0A2F" w:rsidRPr="006B0F72" w:rsidRDefault="00BE0A2F" w:rsidP="00BE0A2F">
            <w:pPr>
              <w:spacing w:before="0" w:after="0"/>
              <w:jc w:val="left"/>
              <w:rPr>
                <w:noProof/>
                <w:sz w:val="20"/>
              </w:rPr>
            </w:pPr>
            <w:r w:rsidRPr="006B0F72">
              <w:rPr>
                <w:noProof/>
                <w:sz w:val="20"/>
              </w:rPr>
              <w:t>6.  Podpora pri ocenjevanju nacionalnih načrtov za obnovo</w:t>
            </w:r>
          </w:p>
          <w:p w14:paraId="6167702E" w14:textId="77777777" w:rsidR="00BE0A2F" w:rsidRPr="006B0F72" w:rsidRDefault="00BE0A2F" w:rsidP="00BE0A2F">
            <w:pPr>
              <w:spacing w:before="0" w:after="0"/>
              <w:jc w:val="left"/>
              <w:rPr>
                <w:noProof/>
                <w:sz w:val="20"/>
              </w:rPr>
            </w:pPr>
            <w:r w:rsidRPr="006B0F72">
              <w:rPr>
                <w:noProof/>
                <w:sz w:val="20"/>
              </w:rPr>
              <w:t>7. Podpora pri ocenjevanju poročil držav članic o napredku</w:t>
            </w:r>
          </w:p>
          <w:p w14:paraId="58478E52" w14:textId="77777777" w:rsidR="00BE0A2F" w:rsidRPr="006B0F72" w:rsidRDefault="00BE0A2F" w:rsidP="00BE0A2F">
            <w:pPr>
              <w:spacing w:before="0" w:after="0"/>
              <w:jc w:val="left"/>
              <w:rPr>
                <w:noProof/>
                <w:sz w:val="20"/>
              </w:rPr>
            </w:pPr>
            <w:r w:rsidRPr="006B0F72">
              <w:rPr>
                <w:noProof/>
                <w:sz w:val="20"/>
              </w:rPr>
              <w:t>10. Usklajevanje službe za pomoč državam članicam</w:t>
            </w:r>
          </w:p>
          <w:p w14:paraId="4C2BB20F" w14:textId="77777777" w:rsidR="00BE0A2F" w:rsidRPr="006B0F72" w:rsidRDefault="00BE0A2F" w:rsidP="00BE0A2F">
            <w:pPr>
              <w:spacing w:before="0" w:after="0"/>
              <w:jc w:val="left"/>
              <w:rPr>
                <w:noProof/>
                <w:sz w:val="20"/>
              </w:rPr>
            </w:pPr>
            <w:r w:rsidRPr="006B0F72">
              <w:rPr>
                <w:noProof/>
                <w:sz w:val="20"/>
              </w:rPr>
              <w:t xml:space="preserve"> </w:t>
            </w:r>
          </w:p>
        </w:tc>
        <w:tc>
          <w:tcPr>
            <w:tcW w:w="2409" w:type="dxa"/>
          </w:tcPr>
          <w:p w14:paraId="435AD439" w14:textId="77777777" w:rsidR="00BE0A2F" w:rsidRPr="006B0F72" w:rsidRDefault="00BE0A2F" w:rsidP="00BE0A2F">
            <w:pPr>
              <w:spacing w:before="0" w:after="0"/>
              <w:jc w:val="left"/>
              <w:rPr>
                <w:noProof/>
                <w:sz w:val="20"/>
              </w:rPr>
            </w:pPr>
            <w:r w:rsidRPr="006B0F72">
              <w:rPr>
                <w:noProof/>
                <w:sz w:val="20"/>
              </w:rPr>
              <w:t xml:space="preserve">Začetek izvajanja </w:t>
            </w:r>
          </w:p>
        </w:tc>
      </w:tr>
      <w:tr w:rsidR="00BE0A2F" w:rsidRPr="006B0F72" w14:paraId="1C845620" w14:textId="77777777" w:rsidTr="00B0251E">
        <w:tc>
          <w:tcPr>
            <w:tcW w:w="2660" w:type="dxa"/>
            <w:shd w:val="clear" w:color="auto" w:fill="EAF1DD" w:themeFill="accent3" w:themeFillTint="33"/>
          </w:tcPr>
          <w:p w14:paraId="3AA4FF44" w14:textId="77777777" w:rsidR="00BE0A2F" w:rsidRPr="006B0F72" w:rsidRDefault="00BE0A2F" w:rsidP="00BE0A2F">
            <w:pPr>
              <w:spacing w:before="0" w:after="0"/>
              <w:jc w:val="left"/>
              <w:rPr>
                <w:b/>
                <w:bCs/>
                <w:noProof/>
                <w:sz w:val="20"/>
              </w:rPr>
            </w:pPr>
            <w:r w:rsidRPr="006B0F72">
              <w:rPr>
                <w:b/>
                <w:noProof/>
                <w:sz w:val="20"/>
              </w:rPr>
              <w:t>SEŠTEVEK</w:t>
            </w:r>
          </w:p>
        </w:tc>
        <w:tc>
          <w:tcPr>
            <w:tcW w:w="2551" w:type="dxa"/>
            <w:shd w:val="clear" w:color="auto" w:fill="EAF1DD" w:themeFill="accent3" w:themeFillTint="33"/>
          </w:tcPr>
          <w:p w14:paraId="66E1A9DE" w14:textId="77777777" w:rsidR="00BE0A2F" w:rsidRPr="006B0F72" w:rsidRDefault="00BE0A2F" w:rsidP="00BE0A2F">
            <w:pPr>
              <w:spacing w:before="0" w:after="0"/>
              <w:jc w:val="left"/>
              <w:rPr>
                <w:b/>
                <w:bCs/>
                <w:noProof/>
                <w:sz w:val="20"/>
              </w:rPr>
            </w:pPr>
            <w:r w:rsidRPr="006B0F72">
              <w:rPr>
                <w:b/>
                <w:noProof/>
                <w:sz w:val="20"/>
              </w:rPr>
              <w:t>1 x AD 7</w:t>
            </w:r>
          </w:p>
          <w:p w14:paraId="7A3EA580" w14:textId="77777777" w:rsidR="00BE0A2F" w:rsidRPr="006B0F72" w:rsidRDefault="00BE0A2F" w:rsidP="00BE0A2F">
            <w:pPr>
              <w:spacing w:before="0" w:after="0"/>
              <w:jc w:val="left"/>
              <w:rPr>
                <w:b/>
                <w:bCs/>
                <w:noProof/>
                <w:sz w:val="20"/>
              </w:rPr>
            </w:pPr>
            <w:r w:rsidRPr="006B0F72">
              <w:rPr>
                <w:b/>
                <w:noProof/>
                <w:sz w:val="20"/>
              </w:rPr>
              <w:t>5 x AD 6</w:t>
            </w:r>
          </w:p>
          <w:p w14:paraId="5060295E" w14:textId="77777777" w:rsidR="00BE0A2F" w:rsidRPr="006B0F72" w:rsidRDefault="00BE0A2F" w:rsidP="00BE0A2F">
            <w:pPr>
              <w:spacing w:before="0" w:after="0"/>
              <w:jc w:val="left"/>
              <w:rPr>
                <w:b/>
                <w:bCs/>
                <w:noProof/>
                <w:sz w:val="20"/>
              </w:rPr>
            </w:pPr>
            <w:r w:rsidRPr="006B0F72">
              <w:rPr>
                <w:b/>
                <w:noProof/>
                <w:sz w:val="20"/>
              </w:rPr>
              <w:t>1 x AST</w:t>
            </w:r>
          </w:p>
          <w:p w14:paraId="141FDD62" w14:textId="77777777" w:rsidR="00BE0A2F" w:rsidRPr="006B0F72" w:rsidRDefault="00BE0A2F" w:rsidP="00BE0A2F">
            <w:pPr>
              <w:spacing w:before="0" w:after="0"/>
              <w:jc w:val="left"/>
              <w:rPr>
                <w:b/>
                <w:bCs/>
                <w:noProof/>
                <w:sz w:val="20"/>
              </w:rPr>
            </w:pPr>
            <w:r w:rsidRPr="006B0F72">
              <w:rPr>
                <w:b/>
                <w:noProof/>
                <w:sz w:val="20"/>
              </w:rPr>
              <w:t>4 x FS IV</w:t>
            </w:r>
          </w:p>
        </w:tc>
        <w:tc>
          <w:tcPr>
            <w:tcW w:w="1843" w:type="dxa"/>
            <w:shd w:val="clear" w:color="auto" w:fill="EAF1DD" w:themeFill="accent3" w:themeFillTint="33"/>
          </w:tcPr>
          <w:p w14:paraId="257CB119" w14:textId="77777777" w:rsidR="00BE0A2F" w:rsidRPr="006B0F72" w:rsidRDefault="00BE0A2F" w:rsidP="00BE0A2F">
            <w:pPr>
              <w:spacing w:before="0" w:after="0"/>
              <w:jc w:val="left"/>
              <w:rPr>
                <w:b/>
                <w:bCs/>
                <w:noProof/>
                <w:sz w:val="20"/>
              </w:rPr>
            </w:pPr>
            <w:r w:rsidRPr="006B0F72">
              <w:rPr>
                <w:b/>
                <w:noProof/>
                <w:sz w:val="20"/>
              </w:rPr>
              <w:t>Naročila storitev (strokovno znanje na področju ekosistemov): 150 000 EUR/leto</w:t>
            </w:r>
          </w:p>
          <w:p w14:paraId="3BA2E446" w14:textId="77777777" w:rsidR="00BE0A2F" w:rsidRPr="006B0F72" w:rsidRDefault="00BE0A2F" w:rsidP="00BE0A2F">
            <w:pPr>
              <w:spacing w:before="0" w:after="0"/>
              <w:jc w:val="left"/>
              <w:rPr>
                <w:b/>
                <w:bCs/>
                <w:noProof/>
                <w:sz w:val="20"/>
              </w:rPr>
            </w:pPr>
            <w:r w:rsidRPr="006B0F72">
              <w:rPr>
                <w:b/>
                <w:noProof/>
                <w:sz w:val="20"/>
              </w:rPr>
              <w:t>Stroški IT:</w:t>
            </w:r>
          </w:p>
          <w:p w14:paraId="731C2340" w14:textId="77777777" w:rsidR="00BE0A2F" w:rsidRPr="006B0F72" w:rsidRDefault="00BE0A2F" w:rsidP="00BE0A2F">
            <w:pPr>
              <w:spacing w:before="0" w:after="0"/>
              <w:jc w:val="left"/>
              <w:rPr>
                <w:b/>
                <w:bCs/>
                <w:noProof/>
                <w:sz w:val="20"/>
              </w:rPr>
            </w:pPr>
            <w:r w:rsidRPr="006B0F72">
              <w:rPr>
                <w:b/>
                <w:noProof/>
                <w:sz w:val="20"/>
              </w:rPr>
              <w:t>zagonski stroški 600 000 + 200 000/leto izvajanja</w:t>
            </w:r>
          </w:p>
        </w:tc>
        <w:tc>
          <w:tcPr>
            <w:tcW w:w="5387" w:type="dxa"/>
            <w:shd w:val="clear" w:color="auto" w:fill="EAF1DD" w:themeFill="accent3" w:themeFillTint="33"/>
          </w:tcPr>
          <w:p w14:paraId="19813594" w14:textId="77777777" w:rsidR="00BE0A2F" w:rsidRPr="006B0F72" w:rsidRDefault="00BE0A2F" w:rsidP="00BE0A2F">
            <w:pPr>
              <w:spacing w:before="0" w:after="0"/>
              <w:jc w:val="left"/>
              <w:rPr>
                <w:b/>
                <w:bCs/>
                <w:noProof/>
                <w:sz w:val="20"/>
              </w:rPr>
            </w:pPr>
          </w:p>
        </w:tc>
        <w:tc>
          <w:tcPr>
            <w:tcW w:w="2409" w:type="dxa"/>
            <w:shd w:val="clear" w:color="auto" w:fill="EAF1DD" w:themeFill="accent3" w:themeFillTint="33"/>
          </w:tcPr>
          <w:p w14:paraId="0CF134D4" w14:textId="77777777" w:rsidR="00BE0A2F" w:rsidRPr="006B0F72" w:rsidRDefault="00BE0A2F" w:rsidP="00BE0A2F">
            <w:pPr>
              <w:spacing w:before="0" w:after="0"/>
              <w:ind w:left="99"/>
              <w:jc w:val="left"/>
              <w:rPr>
                <w:b/>
                <w:bCs/>
                <w:noProof/>
                <w:sz w:val="20"/>
              </w:rPr>
            </w:pPr>
          </w:p>
        </w:tc>
      </w:tr>
      <w:tr w:rsidR="00BE0A2F" w:rsidRPr="006B0F72" w14:paraId="0A223B48" w14:textId="77777777" w:rsidTr="00B0251E">
        <w:trPr>
          <w:trHeight w:val="997"/>
        </w:trPr>
        <w:tc>
          <w:tcPr>
            <w:tcW w:w="2660" w:type="dxa"/>
          </w:tcPr>
          <w:p w14:paraId="1BE8CA71" w14:textId="77777777" w:rsidR="00BE0A2F" w:rsidRPr="006B0F72" w:rsidRDefault="00BE0A2F" w:rsidP="00BE0A2F">
            <w:pPr>
              <w:spacing w:before="0" w:after="0"/>
              <w:jc w:val="left"/>
              <w:rPr>
                <w:b/>
                <w:bCs/>
                <w:noProof/>
                <w:sz w:val="20"/>
              </w:rPr>
            </w:pPr>
            <w:r w:rsidRPr="006B0F72">
              <w:rPr>
                <w:b/>
                <w:noProof/>
                <w:sz w:val="20"/>
              </w:rPr>
              <w:t>Dodatna podpora za opraševalce – mreža za spremljanje opraševalcev</w:t>
            </w:r>
          </w:p>
        </w:tc>
        <w:tc>
          <w:tcPr>
            <w:tcW w:w="2551" w:type="dxa"/>
          </w:tcPr>
          <w:p w14:paraId="4CAB0919" w14:textId="77777777" w:rsidR="00BE0A2F" w:rsidRPr="006B0F72" w:rsidRDefault="00BE0A2F" w:rsidP="00BE0A2F">
            <w:pPr>
              <w:spacing w:before="0" w:after="0"/>
              <w:jc w:val="left"/>
              <w:rPr>
                <w:b/>
                <w:bCs/>
                <w:noProof/>
                <w:sz w:val="20"/>
              </w:rPr>
            </w:pPr>
          </w:p>
          <w:p w14:paraId="5888D8D3" w14:textId="77777777" w:rsidR="00BE0A2F" w:rsidRPr="006B0F72" w:rsidRDefault="00BE0A2F" w:rsidP="00BE0A2F">
            <w:pPr>
              <w:spacing w:before="0" w:after="0"/>
              <w:jc w:val="left"/>
              <w:rPr>
                <w:b/>
                <w:bCs/>
                <w:noProof/>
                <w:sz w:val="20"/>
              </w:rPr>
            </w:pPr>
            <w:r w:rsidRPr="006B0F72">
              <w:rPr>
                <w:noProof/>
                <w:sz w:val="20"/>
              </w:rPr>
              <w:t>1 FS IV opraševalci/statistične metode</w:t>
            </w:r>
          </w:p>
        </w:tc>
        <w:tc>
          <w:tcPr>
            <w:tcW w:w="1843" w:type="dxa"/>
          </w:tcPr>
          <w:p w14:paraId="14F30134" w14:textId="77777777" w:rsidR="00BE0A2F" w:rsidRPr="006B0F72" w:rsidRDefault="00BE0A2F" w:rsidP="00BE0A2F">
            <w:pPr>
              <w:spacing w:before="0" w:after="0"/>
              <w:jc w:val="left"/>
              <w:rPr>
                <w:noProof/>
                <w:sz w:val="20"/>
              </w:rPr>
            </w:pPr>
          </w:p>
        </w:tc>
        <w:tc>
          <w:tcPr>
            <w:tcW w:w="5387" w:type="dxa"/>
          </w:tcPr>
          <w:p w14:paraId="4981E69B" w14:textId="77777777" w:rsidR="00BE0A2F" w:rsidRPr="006B0F72" w:rsidRDefault="00BE0A2F" w:rsidP="003A7774">
            <w:pPr>
              <w:numPr>
                <w:ilvl w:val="0"/>
                <w:numId w:val="18"/>
              </w:numPr>
              <w:spacing w:before="0" w:after="0"/>
              <w:ind w:left="459"/>
              <w:contextualSpacing/>
              <w:jc w:val="left"/>
              <w:rPr>
                <w:noProof/>
                <w:sz w:val="20"/>
              </w:rPr>
            </w:pPr>
            <w:r w:rsidRPr="006B0F72">
              <w:rPr>
                <w:noProof/>
                <w:sz w:val="20"/>
              </w:rPr>
              <w:t>Povezovanje in usklajevanje strokovnjakov za opraševalce v JRC</w:t>
            </w:r>
          </w:p>
        </w:tc>
        <w:tc>
          <w:tcPr>
            <w:tcW w:w="2409" w:type="dxa"/>
          </w:tcPr>
          <w:p w14:paraId="1778A36D" w14:textId="77777777" w:rsidR="00BE0A2F" w:rsidRPr="006B0F72" w:rsidRDefault="00BE0A2F" w:rsidP="00BE0A2F">
            <w:pPr>
              <w:spacing w:before="0" w:after="0"/>
              <w:ind w:left="99"/>
              <w:jc w:val="left"/>
              <w:rPr>
                <w:noProof/>
                <w:sz w:val="20"/>
              </w:rPr>
            </w:pPr>
          </w:p>
        </w:tc>
      </w:tr>
      <w:tr w:rsidR="00BE0A2F" w:rsidRPr="006B0F72" w14:paraId="0A00C788" w14:textId="77777777" w:rsidTr="00B0251E">
        <w:tc>
          <w:tcPr>
            <w:tcW w:w="2660" w:type="dxa"/>
            <w:shd w:val="clear" w:color="auto" w:fill="EAF1DD" w:themeFill="accent3" w:themeFillTint="33"/>
          </w:tcPr>
          <w:p w14:paraId="5E48F2D9" w14:textId="77777777" w:rsidR="00BE0A2F" w:rsidRPr="006B0F72" w:rsidRDefault="00BE0A2F" w:rsidP="00BE0A2F">
            <w:pPr>
              <w:spacing w:before="0" w:after="0"/>
              <w:jc w:val="left"/>
              <w:rPr>
                <w:b/>
                <w:bCs/>
                <w:noProof/>
                <w:sz w:val="20"/>
              </w:rPr>
            </w:pPr>
            <w:r w:rsidRPr="006B0F72">
              <w:rPr>
                <w:b/>
                <w:noProof/>
                <w:sz w:val="20"/>
              </w:rPr>
              <w:t>SKUPAJ</w:t>
            </w:r>
          </w:p>
        </w:tc>
        <w:tc>
          <w:tcPr>
            <w:tcW w:w="2551" w:type="dxa"/>
            <w:shd w:val="clear" w:color="auto" w:fill="EAF1DD" w:themeFill="accent3" w:themeFillTint="33"/>
          </w:tcPr>
          <w:p w14:paraId="2F9969CA" w14:textId="77777777" w:rsidR="00BE0A2F" w:rsidRPr="006B0F72" w:rsidRDefault="00BE0A2F" w:rsidP="00BE0A2F">
            <w:pPr>
              <w:spacing w:before="0" w:after="0"/>
              <w:jc w:val="left"/>
              <w:rPr>
                <w:b/>
                <w:bCs/>
                <w:noProof/>
                <w:sz w:val="20"/>
              </w:rPr>
            </w:pPr>
            <w:r w:rsidRPr="006B0F72">
              <w:rPr>
                <w:b/>
                <w:noProof/>
                <w:sz w:val="20"/>
              </w:rPr>
              <w:t>1 x AD 7</w:t>
            </w:r>
          </w:p>
          <w:p w14:paraId="2B7C46FF" w14:textId="77777777" w:rsidR="00BE0A2F" w:rsidRPr="006B0F72" w:rsidRDefault="00BE0A2F" w:rsidP="00BE0A2F">
            <w:pPr>
              <w:spacing w:before="0" w:after="0"/>
              <w:jc w:val="left"/>
              <w:rPr>
                <w:b/>
                <w:bCs/>
                <w:noProof/>
                <w:sz w:val="20"/>
              </w:rPr>
            </w:pPr>
            <w:r w:rsidRPr="006B0F72">
              <w:rPr>
                <w:b/>
                <w:noProof/>
                <w:sz w:val="20"/>
              </w:rPr>
              <w:t>5 x AD 6</w:t>
            </w:r>
          </w:p>
          <w:p w14:paraId="59BC6B98" w14:textId="77777777" w:rsidR="00BE0A2F" w:rsidRPr="006B0F72" w:rsidRDefault="00BE0A2F" w:rsidP="00BE0A2F">
            <w:pPr>
              <w:spacing w:before="0" w:after="0"/>
              <w:jc w:val="left"/>
              <w:rPr>
                <w:b/>
                <w:bCs/>
                <w:noProof/>
                <w:sz w:val="20"/>
              </w:rPr>
            </w:pPr>
            <w:r w:rsidRPr="006B0F72">
              <w:rPr>
                <w:b/>
                <w:noProof/>
                <w:sz w:val="20"/>
              </w:rPr>
              <w:t>1 x AST</w:t>
            </w:r>
          </w:p>
          <w:p w14:paraId="2C788095" w14:textId="77777777" w:rsidR="00BE0A2F" w:rsidRPr="006B0F72" w:rsidRDefault="00BE0A2F" w:rsidP="00BE0A2F">
            <w:pPr>
              <w:spacing w:before="0" w:after="0"/>
              <w:jc w:val="left"/>
              <w:rPr>
                <w:b/>
                <w:bCs/>
                <w:noProof/>
                <w:sz w:val="20"/>
              </w:rPr>
            </w:pPr>
            <w:r w:rsidRPr="006B0F72">
              <w:rPr>
                <w:b/>
                <w:noProof/>
                <w:sz w:val="20"/>
              </w:rPr>
              <w:t xml:space="preserve">5 x FS IV </w:t>
            </w:r>
          </w:p>
        </w:tc>
        <w:tc>
          <w:tcPr>
            <w:tcW w:w="1843" w:type="dxa"/>
            <w:shd w:val="clear" w:color="auto" w:fill="EAF1DD" w:themeFill="accent3" w:themeFillTint="33"/>
          </w:tcPr>
          <w:p w14:paraId="25E9B038" w14:textId="77777777" w:rsidR="00BE0A2F" w:rsidRPr="006B0F72" w:rsidRDefault="00BE0A2F" w:rsidP="00BE0A2F">
            <w:pPr>
              <w:spacing w:before="0" w:after="0"/>
              <w:jc w:val="left"/>
              <w:rPr>
                <w:noProof/>
                <w:sz w:val="20"/>
              </w:rPr>
            </w:pPr>
          </w:p>
        </w:tc>
        <w:tc>
          <w:tcPr>
            <w:tcW w:w="5387" w:type="dxa"/>
            <w:shd w:val="clear" w:color="auto" w:fill="EAF1DD" w:themeFill="accent3" w:themeFillTint="33"/>
          </w:tcPr>
          <w:p w14:paraId="111A10E4" w14:textId="77777777" w:rsidR="00BE0A2F" w:rsidRPr="006B0F72" w:rsidRDefault="00BE0A2F" w:rsidP="00BE0A2F">
            <w:pPr>
              <w:spacing w:before="0" w:after="0"/>
              <w:jc w:val="left"/>
              <w:rPr>
                <w:noProof/>
                <w:sz w:val="20"/>
              </w:rPr>
            </w:pPr>
          </w:p>
        </w:tc>
        <w:tc>
          <w:tcPr>
            <w:tcW w:w="2409" w:type="dxa"/>
            <w:shd w:val="clear" w:color="auto" w:fill="EAF1DD" w:themeFill="accent3" w:themeFillTint="33"/>
          </w:tcPr>
          <w:p w14:paraId="3006A550" w14:textId="77777777" w:rsidR="00BE0A2F" w:rsidRPr="006B0F72" w:rsidRDefault="00BE0A2F" w:rsidP="00BE0A2F">
            <w:pPr>
              <w:spacing w:before="0" w:after="0"/>
              <w:ind w:left="99"/>
              <w:jc w:val="left"/>
              <w:rPr>
                <w:noProof/>
                <w:sz w:val="20"/>
              </w:rPr>
            </w:pPr>
          </w:p>
        </w:tc>
      </w:tr>
    </w:tbl>
    <w:p w14:paraId="5AF35B3C" w14:textId="77777777" w:rsidR="00BE0A2F" w:rsidRPr="006B0F72" w:rsidRDefault="00BE0A2F" w:rsidP="00BE0A2F">
      <w:pPr>
        <w:spacing w:before="0" w:after="0"/>
        <w:jc w:val="left"/>
        <w:rPr>
          <w:rFonts w:ascii="Arial Narrow" w:eastAsia="Times New Roman" w:hAnsi="Arial Narrow"/>
          <w:noProof/>
          <w:szCs w:val="24"/>
          <w:lang w:eastAsia="en-GB"/>
        </w:rPr>
      </w:pPr>
    </w:p>
    <w:p w14:paraId="44FFFACB" w14:textId="77777777" w:rsidR="00BE0A2F" w:rsidRPr="006B0F72" w:rsidRDefault="00BE0A2F" w:rsidP="00BE0A2F">
      <w:pPr>
        <w:rPr>
          <w:noProof/>
        </w:rPr>
        <w:sectPr w:rsidR="00BE0A2F" w:rsidRPr="006B0F72" w:rsidSect="00D77511">
          <w:headerReference w:type="default" r:id="rId21"/>
          <w:footerReference w:type="default" r:id="rId22"/>
          <w:headerReference w:type="first" r:id="rId23"/>
          <w:footerReference w:type="first" r:id="rId24"/>
          <w:pgSz w:w="16840" w:h="11907" w:orient="landscape" w:code="9"/>
          <w:pgMar w:top="1418" w:right="1134" w:bottom="1418" w:left="1134" w:header="709" w:footer="709" w:gutter="0"/>
          <w:cols w:space="708"/>
          <w:docGrid w:linePitch="360"/>
        </w:sectPr>
      </w:pPr>
    </w:p>
    <w:p w14:paraId="2B450A1A" w14:textId="3B40B7D2" w:rsidR="00BE0A2F" w:rsidRPr="006B0F72" w:rsidRDefault="00652A97" w:rsidP="00652A97">
      <w:pPr>
        <w:pStyle w:val="ManualHeading2"/>
        <w:rPr>
          <w:noProof/>
        </w:rPr>
      </w:pPr>
      <w:bookmarkStart w:id="27" w:name="_Toc514938039"/>
      <w:bookmarkStart w:id="28" w:name="_Toc520485040"/>
      <w:r w:rsidRPr="00652A97">
        <w:rPr>
          <w:noProof/>
        </w:rPr>
        <w:t>1.6.</w:t>
      </w:r>
      <w:r w:rsidRPr="00652A97">
        <w:rPr>
          <w:noProof/>
        </w:rPr>
        <w:tab/>
      </w:r>
      <w:r w:rsidR="00BE0A2F" w:rsidRPr="006B0F72">
        <w:rPr>
          <w:noProof/>
        </w:rPr>
        <w:t>Trajanje predloga/pobude in finančnih posledic</w:t>
      </w:r>
      <w:bookmarkEnd w:id="27"/>
      <w:bookmarkEnd w:id="28"/>
    </w:p>
    <w:p w14:paraId="12A13E72" w14:textId="77777777" w:rsidR="00BE0A2F" w:rsidRPr="006B0F72" w:rsidRDefault="00BE0A2F" w:rsidP="00023BC7">
      <w:pPr>
        <w:pStyle w:val="Text1"/>
        <w:rPr>
          <w:noProof/>
        </w:rPr>
      </w:pPr>
      <w:r w:rsidRPr="006B0F72">
        <w:rPr>
          <w:noProof/>
        </w:rPr>
        <w:sym w:font="Wingdings" w:char="F0A8"/>
      </w:r>
      <w:r w:rsidRPr="006B0F72">
        <w:rPr>
          <w:i/>
          <w:noProof/>
        </w:rPr>
        <w:t xml:space="preserve"> </w:t>
      </w:r>
      <w:r w:rsidRPr="006B0F72">
        <w:rPr>
          <w:noProof/>
        </w:rPr>
        <w:t xml:space="preserve">Časovno omejeno </w:t>
      </w:r>
    </w:p>
    <w:p w14:paraId="4EE55B54" w14:textId="77777777" w:rsidR="00BE0A2F" w:rsidRPr="006B0F72" w:rsidRDefault="00BE0A2F" w:rsidP="00023BC7">
      <w:pPr>
        <w:pStyle w:val="ListDash2"/>
        <w:rPr>
          <w:noProof/>
        </w:rPr>
      </w:pPr>
      <w:r w:rsidRPr="006B0F72">
        <w:rPr>
          <w:noProof/>
        </w:rPr>
        <w:sym w:font="Wingdings" w:char="F0A8"/>
      </w:r>
      <w:r w:rsidRPr="006B0F72">
        <w:rPr>
          <w:noProof/>
        </w:rPr>
        <w:tab/>
        <w:t>od [D. MMMM] LLLL do [D. MMMM] LLLL,</w:t>
      </w:r>
    </w:p>
    <w:p w14:paraId="4FED7D08" w14:textId="77777777" w:rsidR="00BE0A2F" w:rsidRPr="006B0F72" w:rsidRDefault="00BE0A2F" w:rsidP="00023BC7">
      <w:pPr>
        <w:pStyle w:val="ListDash2"/>
        <w:rPr>
          <w:noProof/>
        </w:rPr>
      </w:pPr>
      <w:r w:rsidRPr="006B0F72">
        <w:rPr>
          <w:noProof/>
        </w:rPr>
        <w:sym w:font="Wingdings" w:char="F0A8"/>
      </w:r>
      <w:r w:rsidRPr="006B0F72">
        <w:rPr>
          <w:noProof/>
        </w:rPr>
        <w:tab/>
        <w:t xml:space="preserve">finančne posledice med letoma LLLL in LLLL za odobritve za prevzem obveznosti ter med letoma LLLL in LLLL za odobritve plačil. </w:t>
      </w:r>
    </w:p>
    <w:p w14:paraId="64E27BBD" w14:textId="77777777" w:rsidR="00BE0A2F" w:rsidRPr="006B0F72" w:rsidRDefault="00BE0A2F" w:rsidP="00023BC7">
      <w:pPr>
        <w:pStyle w:val="Text1"/>
        <w:rPr>
          <w:noProof/>
        </w:rPr>
      </w:pPr>
      <w:r w:rsidRPr="006B0F72">
        <w:rPr>
          <w:noProof/>
        </w:rPr>
        <w:sym w:font="Wingdings" w:char="F0FE"/>
      </w:r>
      <w:r w:rsidRPr="006B0F72">
        <w:rPr>
          <w:i/>
          <w:noProof/>
        </w:rPr>
        <w:t xml:space="preserve"> </w:t>
      </w:r>
      <w:r w:rsidRPr="006B0F72">
        <w:rPr>
          <w:noProof/>
        </w:rPr>
        <w:t>Časovno neomejeno</w:t>
      </w:r>
    </w:p>
    <w:p w14:paraId="5FB1E7B6" w14:textId="77777777" w:rsidR="00BE0A2F" w:rsidRPr="006B0F72" w:rsidRDefault="00BE0A2F" w:rsidP="00B0251E">
      <w:pPr>
        <w:pStyle w:val="ListDash2"/>
        <w:rPr>
          <w:noProof/>
        </w:rPr>
      </w:pPr>
      <w:r w:rsidRPr="006B0F72">
        <w:rPr>
          <w:noProof/>
        </w:rPr>
        <w:t>izvajanje z obdobjem uvajanja od 1. januarja 2022 do 1. januarja 2024,</w:t>
      </w:r>
    </w:p>
    <w:p w14:paraId="47131A17" w14:textId="77777777" w:rsidR="00BE0A2F" w:rsidRPr="006B0F72" w:rsidRDefault="00BE0A2F" w:rsidP="00B0251E">
      <w:pPr>
        <w:pStyle w:val="ListDash2"/>
        <w:rPr>
          <w:noProof/>
        </w:rPr>
      </w:pPr>
      <w:r w:rsidRPr="006B0F72">
        <w:rPr>
          <w:noProof/>
        </w:rPr>
        <w:t>ki mu sledi izvajanje v celoti.</w:t>
      </w:r>
    </w:p>
    <w:p w14:paraId="42DCD08D" w14:textId="4B997E7E" w:rsidR="00BE0A2F" w:rsidRPr="006B0F72" w:rsidRDefault="00652A97" w:rsidP="00652A97">
      <w:pPr>
        <w:pStyle w:val="ManualHeading2"/>
        <w:rPr>
          <w:noProof/>
        </w:rPr>
      </w:pPr>
      <w:bookmarkStart w:id="29" w:name="_Toc514938040"/>
      <w:bookmarkStart w:id="30" w:name="_Toc520485041"/>
      <w:r w:rsidRPr="00652A97">
        <w:rPr>
          <w:noProof/>
        </w:rPr>
        <w:t>1.7.</w:t>
      </w:r>
      <w:r w:rsidRPr="00652A97">
        <w:rPr>
          <w:noProof/>
        </w:rPr>
        <w:tab/>
      </w:r>
      <w:r w:rsidR="00BE0A2F" w:rsidRPr="006B0F72">
        <w:rPr>
          <w:noProof/>
        </w:rPr>
        <w:t>Načrtovani načini upravljanja</w:t>
      </w:r>
      <w:r w:rsidR="00BE0A2F" w:rsidRPr="006B0F72">
        <w:rPr>
          <w:rStyle w:val="FootnoteReference"/>
          <w:noProof/>
        </w:rPr>
        <w:footnoteReference w:id="117"/>
      </w:r>
      <w:bookmarkEnd w:id="29"/>
      <w:bookmarkEnd w:id="30"/>
      <w:r w:rsidR="00BE0A2F" w:rsidRPr="006B0F72">
        <w:rPr>
          <w:noProof/>
        </w:rPr>
        <w:t xml:space="preserve"> </w:t>
      </w:r>
    </w:p>
    <w:p w14:paraId="2C399627" w14:textId="77777777" w:rsidR="00BE0A2F" w:rsidRPr="006B0F72" w:rsidRDefault="00BE0A2F" w:rsidP="00B0251E">
      <w:pPr>
        <w:ind w:left="850"/>
        <w:rPr>
          <w:noProof/>
          <w:color w:val="000000" w:themeColor="text1"/>
        </w:rPr>
      </w:pPr>
      <w:r w:rsidRPr="006B0F72">
        <w:rPr>
          <w:noProof/>
          <w:color w:val="000000" w:themeColor="text1"/>
        </w:rPr>
        <w:sym w:font="Wingdings" w:char="F0FE"/>
      </w:r>
      <w:r w:rsidRPr="006B0F72">
        <w:rPr>
          <w:noProof/>
        </w:rPr>
        <w:t xml:space="preserve"> </w:t>
      </w:r>
      <w:r w:rsidRPr="006B0F72">
        <w:rPr>
          <w:b/>
          <w:noProof/>
        </w:rPr>
        <w:t>Neposredno upravljanje</w:t>
      </w:r>
      <w:r w:rsidRPr="006B0F72">
        <w:rPr>
          <w:noProof/>
        </w:rPr>
        <w:t xml:space="preserve"> – Komisija:</w:t>
      </w:r>
    </w:p>
    <w:p w14:paraId="38422358" w14:textId="77777777" w:rsidR="00BE0A2F" w:rsidRPr="006B0F72" w:rsidRDefault="00BE0A2F" w:rsidP="007C70D3">
      <w:pPr>
        <w:pStyle w:val="ListDash2"/>
        <w:rPr>
          <w:noProof/>
        </w:rPr>
      </w:pPr>
      <w:r w:rsidRPr="006B0F72">
        <w:rPr>
          <w:noProof/>
        </w:rPr>
        <w:sym w:font="Wingdings" w:char="F0FE"/>
      </w:r>
      <w:r w:rsidRPr="006B0F72">
        <w:rPr>
          <w:noProof/>
        </w:rPr>
        <w:t xml:space="preserve"> z lastnimi službami, vključno s svojim osebjem v delegacijah Unije, </w:t>
      </w:r>
    </w:p>
    <w:p w14:paraId="5C52C441" w14:textId="77777777" w:rsidR="00BE0A2F" w:rsidRPr="006B0F72" w:rsidRDefault="00BE0A2F" w:rsidP="007C70D3">
      <w:pPr>
        <w:pStyle w:val="ListDash2"/>
        <w:rPr>
          <w:noProof/>
        </w:rPr>
      </w:pPr>
      <w:r w:rsidRPr="006B0F72">
        <w:rPr>
          <w:noProof/>
        </w:rPr>
        <w:sym w:font="Wingdings" w:char="F0A8"/>
      </w:r>
      <w:r w:rsidRPr="006B0F72">
        <w:rPr>
          <w:noProof/>
        </w:rPr>
        <w:tab/>
        <w:t>prek izvajalskih agencij.</w:t>
      </w:r>
    </w:p>
    <w:p w14:paraId="6E3FD0EB" w14:textId="77777777" w:rsidR="00BE0A2F" w:rsidRPr="006B0F72" w:rsidRDefault="00BE0A2F" w:rsidP="007C70D3">
      <w:pPr>
        <w:pStyle w:val="Text1"/>
        <w:rPr>
          <w:noProof/>
        </w:rPr>
      </w:pPr>
      <w:r w:rsidRPr="006B0F72">
        <w:rPr>
          <w:noProof/>
        </w:rPr>
        <w:sym w:font="Wingdings" w:char="F0A8"/>
      </w:r>
      <w:r w:rsidRPr="006B0F72">
        <w:rPr>
          <w:noProof/>
        </w:rPr>
        <w:t xml:space="preserve"> </w:t>
      </w:r>
      <w:r w:rsidRPr="006B0F72">
        <w:rPr>
          <w:b/>
          <w:noProof/>
        </w:rPr>
        <w:t>Deljeno upravljanje</w:t>
      </w:r>
      <w:r w:rsidRPr="006B0F72">
        <w:rPr>
          <w:noProof/>
        </w:rPr>
        <w:t xml:space="preserve"> z državami članicami. </w:t>
      </w:r>
    </w:p>
    <w:p w14:paraId="213EC960" w14:textId="77777777" w:rsidR="00BE0A2F" w:rsidRPr="006B0F72" w:rsidRDefault="00BE0A2F" w:rsidP="007C70D3">
      <w:pPr>
        <w:pStyle w:val="Text1"/>
        <w:rPr>
          <w:noProof/>
        </w:rPr>
      </w:pPr>
      <w:r w:rsidRPr="006B0F72">
        <w:rPr>
          <w:noProof/>
        </w:rPr>
        <w:sym w:font="Wingdings" w:char="F0FE"/>
      </w:r>
      <w:r w:rsidRPr="006B0F72">
        <w:rPr>
          <w:noProof/>
        </w:rPr>
        <w:t xml:space="preserve"> </w:t>
      </w:r>
      <w:r w:rsidRPr="006B0F72">
        <w:rPr>
          <w:b/>
          <w:noProof/>
        </w:rPr>
        <w:t>Posredno upravljanje</w:t>
      </w:r>
      <w:r w:rsidRPr="006B0F72">
        <w:rPr>
          <w:noProof/>
        </w:rPr>
        <w:t>, tako da se naloge izvrševanja proračuna poverijo:</w:t>
      </w:r>
    </w:p>
    <w:p w14:paraId="00C0210D" w14:textId="77777777" w:rsidR="00BE0A2F" w:rsidRPr="006B0F72" w:rsidRDefault="00BE0A2F" w:rsidP="007C70D3">
      <w:pPr>
        <w:pStyle w:val="ListDash2"/>
        <w:rPr>
          <w:noProof/>
        </w:rPr>
      </w:pPr>
      <w:r w:rsidRPr="006B0F72">
        <w:rPr>
          <w:noProof/>
        </w:rPr>
        <w:t>tretjim državam ali organom, ki jih te imenujejo,</w:t>
      </w:r>
    </w:p>
    <w:p w14:paraId="65C09389"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rPr>
        <w:t xml:space="preserve"> mednarodnim organizacijam in njihovim agencijam (navedite),</w:t>
      </w:r>
    </w:p>
    <w:p w14:paraId="27E8E83B"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rPr>
        <w:t>EIB in Evropskemu investicijskemu skladu,</w:t>
      </w:r>
    </w:p>
    <w:p w14:paraId="2D21EF3C" w14:textId="77777777" w:rsidR="00BE0A2F" w:rsidRPr="006B0F72" w:rsidRDefault="00BE0A2F" w:rsidP="007C70D3">
      <w:pPr>
        <w:pStyle w:val="ListDash2"/>
        <w:rPr>
          <w:noProof/>
          <w:color w:val="000000" w:themeColor="text1"/>
        </w:rPr>
      </w:pPr>
      <w:r w:rsidRPr="006B0F72">
        <w:rPr>
          <w:noProof/>
          <w:color w:val="000000" w:themeColor="text1"/>
        </w:rPr>
        <w:sym w:font="Wingdings" w:char="F0FE"/>
      </w:r>
      <w:r w:rsidRPr="006B0F72">
        <w:rPr>
          <w:noProof/>
        </w:rPr>
        <w:t xml:space="preserve"> organom iz členov 70 in 71 finančne uredbe,</w:t>
      </w:r>
    </w:p>
    <w:p w14:paraId="09E3956F"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rPr>
        <w:t xml:space="preserve"> subjektom javnega prava,</w:t>
      </w:r>
      <w:r w:rsidRPr="006B0F72">
        <w:rPr>
          <w:noProof/>
          <w:color w:val="000000" w:themeColor="text1"/>
        </w:rPr>
        <w:t xml:space="preserve"> </w:t>
      </w:r>
    </w:p>
    <w:p w14:paraId="7AE8857C"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rPr>
        <w:t xml:space="preserve"> subjektom zasebnega prava, ki opravljajo javne storitve, kolikor imajo ti subjekti ustrezna finančna jamstva,</w:t>
      </w:r>
    </w:p>
    <w:p w14:paraId="4555CECC"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color w:val="000000" w:themeColor="text1"/>
        </w:rPr>
        <w:t xml:space="preserve"> </w:t>
      </w:r>
      <w:r w:rsidRPr="006B0F72">
        <w:rPr>
          <w:noProof/>
        </w:rPr>
        <w:tab/>
      </w:r>
      <w:r w:rsidRPr="006B0F72">
        <w:rPr>
          <w:noProof/>
          <w:color w:val="000000" w:themeColor="text1"/>
        </w:rPr>
        <w:t>subjektom zasebnega prava države članice, ki so pooblaščeni za izvajanje javno-zasebnih partnerstev in ki imajo ustrezna finančna jamstva,</w:t>
      </w:r>
    </w:p>
    <w:p w14:paraId="07EB3F8E" w14:textId="77777777" w:rsidR="00BE0A2F" w:rsidRPr="006B0F72" w:rsidRDefault="00BE0A2F" w:rsidP="007C70D3">
      <w:pPr>
        <w:pStyle w:val="ListDash2"/>
        <w:rPr>
          <w:noProof/>
          <w:color w:val="000000" w:themeColor="text1"/>
        </w:rPr>
      </w:pPr>
      <w:r w:rsidRPr="006B0F72">
        <w:rPr>
          <w:noProof/>
          <w:color w:val="000000" w:themeColor="text1"/>
        </w:rPr>
        <w:sym w:font="Wingdings" w:char="F0A8"/>
      </w:r>
      <w:r w:rsidRPr="006B0F72">
        <w:rPr>
          <w:noProof/>
        </w:rPr>
        <w:t xml:space="preserve"> osebam, pooblaščenim za izvajanje določenih ukrepov SZVP na podlagi naslova V PEU in opredeljenim v zadevnem temeljnem aktu.</w:t>
      </w:r>
    </w:p>
    <w:p w14:paraId="66F1DD16" w14:textId="77777777" w:rsidR="00BE0A2F" w:rsidRPr="006B0F72" w:rsidRDefault="00BE0A2F" w:rsidP="007C70D3">
      <w:pPr>
        <w:pStyle w:val="ListDash2"/>
        <w:rPr>
          <w:noProof/>
          <w:u w:val="single"/>
        </w:rPr>
      </w:pPr>
      <w:r w:rsidRPr="006B0F72">
        <w:rPr>
          <w:noProof/>
        </w:rPr>
        <w:t>Pri navedbi več kot enega načina upravljanja je treba to natančneje obrazložiti v oddelku „opombe“.</w:t>
      </w:r>
    </w:p>
    <w:p w14:paraId="67BB7F2A" w14:textId="77777777" w:rsidR="00BE0A2F" w:rsidRPr="006B0F72" w:rsidRDefault="00BE0A2F" w:rsidP="007C70D3">
      <w:pPr>
        <w:rPr>
          <w:noProof/>
        </w:rPr>
      </w:pPr>
      <w:r w:rsidRPr="006B0F72">
        <w:rPr>
          <w:noProof/>
        </w:rPr>
        <w:t xml:space="preserve">Opombe </w:t>
      </w:r>
    </w:p>
    <w:p w14:paraId="1F0A56DC" w14:textId="77777777" w:rsidR="00BE0A2F" w:rsidRPr="006B0F72" w:rsidRDefault="00BE0A2F" w:rsidP="00BE0A2F">
      <w:pPr>
        <w:pBdr>
          <w:top w:val="single" w:sz="4" w:space="1" w:color="auto"/>
          <w:left w:val="single" w:sz="4" w:space="4" w:color="auto"/>
          <w:bottom w:val="single" w:sz="4" w:space="1" w:color="auto"/>
          <w:right w:val="single" w:sz="4" w:space="4" w:color="auto"/>
        </w:pBdr>
        <w:rPr>
          <w:noProof/>
          <w:color w:val="000000" w:themeColor="text1"/>
        </w:rPr>
        <w:sectPr w:rsidR="00BE0A2F" w:rsidRPr="006B0F72" w:rsidSect="00D77511">
          <w:headerReference w:type="default" r:id="rId25"/>
          <w:footerReference w:type="default" r:id="rId26"/>
          <w:headerReference w:type="first" r:id="rId27"/>
          <w:footerReference w:type="first" r:id="rId28"/>
          <w:pgSz w:w="11907" w:h="16840" w:code="9"/>
          <w:pgMar w:top="1134" w:right="1418" w:bottom="1134" w:left="1418" w:header="709" w:footer="709" w:gutter="0"/>
          <w:cols w:space="708"/>
          <w:docGrid w:linePitch="360"/>
        </w:sectPr>
      </w:pPr>
    </w:p>
    <w:p w14:paraId="6AB2FF46" w14:textId="2F7F8EE4" w:rsidR="00BE0A2F" w:rsidRPr="006B0F72" w:rsidRDefault="00652A97" w:rsidP="00652A97">
      <w:pPr>
        <w:pStyle w:val="ManualHeading1"/>
        <w:rPr>
          <w:noProof/>
        </w:rPr>
      </w:pPr>
      <w:bookmarkStart w:id="31" w:name="_Toc514938041"/>
      <w:bookmarkStart w:id="32" w:name="_Toc520485042"/>
      <w:r w:rsidRPr="00652A97">
        <w:rPr>
          <w:noProof/>
        </w:rPr>
        <w:t>2.</w:t>
      </w:r>
      <w:r w:rsidRPr="00652A97">
        <w:rPr>
          <w:noProof/>
        </w:rPr>
        <w:tab/>
      </w:r>
      <w:r w:rsidR="00BE0A2F" w:rsidRPr="006B0F72">
        <w:rPr>
          <w:noProof/>
        </w:rPr>
        <w:t>UKREPI UPRAVLJANJA</w:t>
      </w:r>
      <w:bookmarkEnd w:id="31"/>
      <w:bookmarkEnd w:id="32"/>
      <w:r w:rsidR="00BE0A2F" w:rsidRPr="006B0F72">
        <w:rPr>
          <w:noProof/>
        </w:rPr>
        <w:t xml:space="preserve"> </w:t>
      </w:r>
    </w:p>
    <w:p w14:paraId="6FF819F6" w14:textId="42C23532" w:rsidR="00BE0A2F" w:rsidRPr="006B0F72" w:rsidRDefault="00652A97" w:rsidP="00652A97">
      <w:pPr>
        <w:pStyle w:val="ManualHeading2"/>
        <w:rPr>
          <w:noProof/>
        </w:rPr>
      </w:pPr>
      <w:bookmarkStart w:id="33" w:name="_Toc514938042"/>
      <w:bookmarkStart w:id="34" w:name="_Toc520485043"/>
      <w:r w:rsidRPr="00652A97">
        <w:rPr>
          <w:noProof/>
        </w:rPr>
        <w:t>2.1.</w:t>
      </w:r>
      <w:r w:rsidRPr="00652A97">
        <w:rPr>
          <w:noProof/>
        </w:rPr>
        <w:tab/>
      </w:r>
      <w:r w:rsidR="00BE0A2F" w:rsidRPr="006B0F72">
        <w:rPr>
          <w:noProof/>
        </w:rPr>
        <w:t>Pravila o spremljanju in poročanju</w:t>
      </w:r>
      <w:bookmarkEnd w:id="33"/>
      <w:bookmarkEnd w:id="34"/>
      <w:r w:rsidR="00BE0A2F" w:rsidRPr="006B0F72">
        <w:rPr>
          <w:noProof/>
        </w:rPr>
        <w:t xml:space="preserve"> </w:t>
      </w:r>
    </w:p>
    <w:p w14:paraId="1C08E409" w14:textId="77777777" w:rsidR="00BE0A2F" w:rsidRPr="006B0F72" w:rsidRDefault="00BE0A2F" w:rsidP="007C70D3">
      <w:pPr>
        <w:pStyle w:val="Text1"/>
        <w:rPr>
          <w:i/>
          <w:noProof/>
        </w:rPr>
      </w:pPr>
      <w:r w:rsidRPr="006B0F72">
        <w:rPr>
          <w:i/>
          <w:noProof/>
        </w:rPr>
        <w:t>Navedite pogostost in pogoje.</w:t>
      </w:r>
    </w:p>
    <w:p w14:paraId="1C20F5E1" w14:textId="77777777" w:rsidR="00BE0A2F" w:rsidRPr="006B0F72" w:rsidRDefault="00BE0A2F" w:rsidP="00B0251E">
      <w:pPr>
        <w:pStyle w:val="Text1"/>
        <w:rPr>
          <w:noProof/>
        </w:rPr>
      </w:pPr>
      <w:r w:rsidRPr="006B0F72">
        <w:rPr>
          <w:noProof/>
        </w:rPr>
        <w:t xml:space="preserve">Pobuda vključuje javno naročanje, dogovore o izvajanju, povečanje prispevka za agencijo EEA in vpliv na človeške vire COM. Za to vrsto odhodkov se uporabljajo standardna pravila. </w:t>
      </w:r>
    </w:p>
    <w:p w14:paraId="37856C97" w14:textId="4A2684D1" w:rsidR="00BE0A2F" w:rsidRPr="006B0F72" w:rsidRDefault="00652A97" w:rsidP="00652A97">
      <w:pPr>
        <w:pStyle w:val="ManualHeading2"/>
        <w:rPr>
          <w:noProof/>
        </w:rPr>
      </w:pPr>
      <w:bookmarkStart w:id="35" w:name="_Toc514938045"/>
      <w:bookmarkStart w:id="36" w:name="_Toc520485044"/>
      <w:r w:rsidRPr="00652A97">
        <w:rPr>
          <w:noProof/>
        </w:rPr>
        <w:t>2.2.</w:t>
      </w:r>
      <w:r w:rsidRPr="00652A97">
        <w:rPr>
          <w:noProof/>
        </w:rPr>
        <w:tab/>
      </w:r>
      <w:r w:rsidR="00BE0A2F" w:rsidRPr="006B0F72">
        <w:rPr>
          <w:noProof/>
        </w:rPr>
        <w:t>Upravljavski in kontrolni sistemi</w:t>
      </w:r>
      <w:bookmarkEnd w:id="35"/>
      <w:bookmarkEnd w:id="36"/>
      <w:r w:rsidR="00BE0A2F" w:rsidRPr="006B0F72">
        <w:rPr>
          <w:noProof/>
        </w:rPr>
        <w:t xml:space="preserve"> </w:t>
      </w:r>
    </w:p>
    <w:p w14:paraId="14A3AB02" w14:textId="519B33FE" w:rsidR="00BE0A2F" w:rsidRPr="006B0F72" w:rsidRDefault="00652A97" w:rsidP="00652A97">
      <w:pPr>
        <w:pStyle w:val="ManualHeading3"/>
        <w:rPr>
          <w:noProof/>
        </w:rPr>
      </w:pPr>
      <w:bookmarkStart w:id="37" w:name="_Toc514938046"/>
      <w:bookmarkStart w:id="38" w:name="_Toc520485045"/>
      <w:r w:rsidRPr="00652A97">
        <w:rPr>
          <w:noProof/>
        </w:rPr>
        <w:t>2.2.1.</w:t>
      </w:r>
      <w:r w:rsidRPr="00652A97">
        <w:rPr>
          <w:noProof/>
        </w:rPr>
        <w:tab/>
      </w:r>
      <w:r w:rsidR="00BE0A2F" w:rsidRPr="006B0F72">
        <w:rPr>
          <w:noProof/>
        </w:rPr>
        <w:t>Utemeljitev načinov upravljanja, mehanizmov financiranja, načinov plačevanja in predlagane strategije kontrol</w:t>
      </w:r>
      <w:bookmarkEnd w:id="37"/>
      <w:bookmarkEnd w:id="38"/>
    </w:p>
    <w:p w14:paraId="65E43082" w14:textId="77777777" w:rsidR="00BE0A2F" w:rsidRPr="006B0F72" w:rsidRDefault="00BE0A2F" w:rsidP="00B0251E">
      <w:pPr>
        <w:pStyle w:val="Text1"/>
        <w:rPr>
          <w:noProof/>
        </w:rPr>
      </w:pPr>
      <w:r w:rsidRPr="006B0F72">
        <w:rPr>
          <w:noProof/>
        </w:rPr>
        <w:t>n. r. – glej zgoraj</w:t>
      </w:r>
    </w:p>
    <w:p w14:paraId="7E25E1AF" w14:textId="14490D98" w:rsidR="00BE0A2F" w:rsidRPr="006B0F72" w:rsidRDefault="00652A97" w:rsidP="00652A97">
      <w:pPr>
        <w:pStyle w:val="ManualHeading3"/>
        <w:rPr>
          <w:noProof/>
        </w:rPr>
      </w:pPr>
      <w:bookmarkStart w:id="39" w:name="_Toc514938047"/>
      <w:bookmarkStart w:id="40" w:name="_Toc520485046"/>
      <w:r w:rsidRPr="00652A97">
        <w:rPr>
          <w:noProof/>
        </w:rPr>
        <w:t>2.2.2.</w:t>
      </w:r>
      <w:r w:rsidRPr="00652A97">
        <w:rPr>
          <w:noProof/>
        </w:rPr>
        <w:tab/>
      </w:r>
      <w:r w:rsidR="00BE0A2F" w:rsidRPr="006B0F72">
        <w:rPr>
          <w:noProof/>
        </w:rPr>
        <w:t>Podatki o ugotovljenih tveganjih in vzpostavljenih sistemih notranjih kontrol za njihovo zmanjševanje</w:t>
      </w:r>
      <w:bookmarkEnd w:id="39"/>
      <w:bookmarkEnd w:id="40"/>
    </w:p>
    <w:p w14:paraId="0E4FFD73" w14:textId="77777777" w:rsidR="00BE0A2F" w:rsidRPr="006B0F72" w:rsidRDefault="00BE0A2F" w:rsidP="00B0251E">
      <w:pPr>
        <w:pStyle w:val="Text1"/>
        <w:rPr>
          <w:noProof/>
        </w:rPr>
      </w:pPr>
      <w:r w:rsidRPr="006B0F72">
        <w:rPr>
          <w:noProof/>
        </w:rPr>
        <w:t>n. r. – glej zgoraj</w:t>
      </w:r>
    </w:p>
    <w:p w14:paraId="2DBAD675" w14:textId="7A39BE5E" w:rsidR="00BE0A2F" w:rsidRPr="006B0F72" w:rsidRDefault="00652A97" w:rsidP="00652A97">
      <w:pPr>
        <w:pStyle w:val="ManualHeading3"/>
        <w:rPr>
          <w:noProof/>
        </w:rPr>
      </w:pPr>
      <w:bookmarkStart w:id="41" w:name="_Toc514938048"/>
      <w:bookmarkStart w:id="42" w:name="_Toc520485047"/>
      <w:r w:rsidRPr="00652A97">
        <w:rPr>
          <w:noProof/>
        </w:rPr>
        <w:t>2.2.3.</w:t>
      </w:r>
      <w:r w:rsidRPr="00652A97">
        <w:rPr>
          <w:noProof/>
        </w:rPr>
        <w:tab/>
      </w:r>
      <w:r w:rsidR="00BE0A2F" w:rsidRPr="006B0F72">
        <w:rPr>
          <w:noProof/>
        </w:rPr>
        <w:t>Ocena in utemeljitev stroškovne učinkovitosti kontrol (razmerje „stroški kontrol ÷ vrednost z njimi povezanih upravljanih sredstev“) ter ocena pričakovane stopnje tveganja napake (ob plačilu in ob zaključku)</w:t>
      </w:r>
      <w:bookmarkEnd w:id="41"/>
      <w:bookmarkEnd w:id="42"/>
      <w:r w:rsidR="00BE0A2F" w:rsidRPr="006B0F72">
        <w:rPr>
          <w:noProof/>
        </w:rPr>
        <w:t xml:space="preserve"> </w:t>
      </w:r>
    </w:p>
    <w:p w14:paraId="73C20A63" w14:textId="77777777" w:rsidR="00BE0A2F" w:rsidRPr="006B0F72" w:rsidRDefault="00BE0A2F" w:rsidP="00B0251E">
      <w:pPr>
        <w:pStyle w:val="Text1"/>
        <w:rPr>
          <w:noProof/>
        </w:rPr>
      </w:pPr>
      <w:r w:rsidRPr="006B0F72">
        <w:rPr>
          <w:noProof/>
        </w:rPr>
        <w:t>n. r. – glej zgoraj</w:t>
      </w:r>
    </w:p>
    <w:p w14:paraId="76156788" w14:textId="345D4C02" w:rsidR="00BE0A2F" w:rsidRPr="006B0F72" w:rsidRDefault="00652A97" w:rsidP="00652A97">
      <w:pPr>
        <w:pStyle w:val="ManualHeading2"/>
        <w:rPr>
          <w:noProof/>
        </w:rPr>
      </w:pPr>
      <w:bookmarkStart w:id="43" w:name="_Toc514938049"/>
      <w:bookmarkStart w:id="44" w:name="_Toc520485048"/>
      <w:r w:rsidRPr="00652A97">
        <w:rPr>
          <w:noProof/>
        </w:rPr>
        <w:t>2.3.</w:t>
      </w:r>
      <w:r w:rsidRPr="00652A97">
        <w:rPr>
          <w:noProof/>
        </w:rPr>
        <w:tab/>
      </w:r>
      <w:r w:rsidR="00BE0A2F" w:rsidRPr="006B0F72">
        <w:rPr>
          <w:noProof/>
        </w:rPr>
        <w:t>Ukrepi za preprečevanje goljufij in nepravilnosti</w:t>
      </w:r>
      <w:bookmarkEnd w:id="43"/>
      <w:bookmarkEnd w:id="44"/>
      <w:r w:rsidR="00BE0A2F" w:rsidRPr="006B0F72">
        <w:rPr>
          <w:noProof/>
        </w:rPr>
        <w:t xml:space="preserve"> </w:t>
      </w:r>
    </w:p>
    <w:p w14:paraId="2E31B814" w14:textId="77777777" w:rsidR="00BE0A2F" w:rsidRPr="006B0F72" w:rsidRDefault="00BE0A2F" w:rsidP="007C70D3">
      <w:pPr>
        <w:pStyle w:val="Text1"/>
        <w:rPr>
          <w:i/>
          <w:noProof/>
        </w:rPr>
      </w:pPr>
      <w:r w:rsidRPr="006B0F72">
        <w:rPr>
          <w:i/>
          <w:noProof/>
        </w:rPr>
        <w:t>Navedite obstoječe ali načrtovane preprečevalne in zaščitne ukrepe, npr. iz strategije za boj proti goljufijam.</w:t>
      </w:r>
    </w:p>
    <w:p w14:paraId="446FB1DB" w14:textId="77777777" w:rsidR="00BE0A2F" w:rsidRPr="006B0F72" w:rsidRDefault="00BE0A2F" w:rsidP="00B0251E">
      <w:pPr>
        <w:pStyle w:val="Text1"/>
        <w:rPr>
          <w:noProof/>
        </w:rPr>
      </w:pPr>
      <w:r w:rsidRPr="006B0F72">
        <w:rPr>
          <w:noProof/>
        </w:rPr>
        <w:t>n. r. – glej zgoraj</w:t>
      </w:r>
    </w:p>
    <w:p w14:paraId="0C06E931" w14:textId="77777777" w:rsidR="00BE0A2F" w:rsidRPr="006B0F72" w:rsidRDefault="00BE0A2F" w:rsidP="00B0251E">
      <w:pPr>
        <w:pStyle w:val="Text1"/>
        <w:rPr>
          <w:noProof/>
        </w:rPr>
      </w:pPr>
    </w:p>
    <w:p w14:paraId="002CACFC" w14:textId="77777777" w:rsidR="00BE0A2F" w:rsidRPr="006B0F72" w:rsidRDefault="00BE0A2F" w:rsidP="00BE0A2F">
      <w:pPr>
        <w:rPr>
          <w:noProof/>
          <w:color w:val="000000" w:themeColor="text1"/>
        </w:rPr>
        <w:sectPr w:rsidR="00BE0A2F" w:rsidRPr="006B0F72" w:rsidSect="00D77511">
          <w:pgSz w:w="11907" w:h="16840" w:code="9"/>
          <w:pgMar w:top="1134" w:right="1418" w:bottom="1134" w:left="1418" w:header="709" w:footer="709" w:gutter="0"/>
          <w:cols w:space="708"/>
          <w:docGrid w:linePitch="360"/>
        </w:sectPr>
      </w:pPr>
    </w:p>
    <w:p w14:paraId="4CF4EB28" w14:textId="76B261C2" w:rsidR="00BE0A2F" w:rsidRPr="006B0F72" w:rsidRDefault="00652A97" w:rsidP="00652A97">
      <w:pPr>
        <w:pStyle w:val="ManualHeading1"/>
        <w:rPr>
          <w:noProof/>
        </w:rPr>
      </w:pPr>
      <w:bookmarkStart w:id="45" w:name="_Toc514938050"/>
      <w:bookmarkStart w:id="46" w:name="_Toc520485049"/>
      <w:r w:rsidRPr="00652A97">
        <w:rPr>
          <w:noProof/>
        </w:rPr>
        <w:t>3.</w:t>
      </w:r>
      <w:r w:rsidRPr="00652A97">
        <w:rPr>
          <w:noProof/>
        </w:rPr>
        <w:tab/>
      </w:r>
      <w:r w:rsidR="00BE0A2F" w:rsidRPr="006B0F72">
        <w:rPr>
          <w:noProof/>
        </w:rPr>
        <w:t>OCENA FINANČNIH POSLEDIC PREDLOGA/POBUDE</w:t>
      </w:r>
      <w:bookmarkEnd w:id="45"/>
      <w:bookmarkEnd w:id="46"/>
      <w:r w:rsidR="00BE0A2F" w:rsidRPr="006B0F72">
        <w:rPr>
          <w:noProof/>
        </w:rPr>
        <w:t xml:space="preserve"> </w:t>
      </w:r>
    </w:p>
    <w:p w14:paraId="6AEE2C6E" w14:textId="540248DE" w:rsidR="00BE0A2F" w:rsidRPr="006B0F72" w:rsidRDefault="00652A97" w:rsidP="00652A97">
      <w:pPr>
        <w:pStyle w:val="ManualHeading2"/>
        <w:rPr>
          <w:noProof/>
        </w:rPr>
      </w:pPr>
      <w:bookmarkStart w:id="47" w:name="_Toc514938051"/>
      <w:bookmarkStart w:id="48" w:name="_Toc520485050"/>
      <w:r w:rsidRPr="00652A97">
        <w:rPr>
          <w:noProof/>
        </w:rPr>
        <w:t>3.1.</w:t>
      </w:r>
      <w:r w:rsidRPr="00652A97">
        <w:rPr>
          <w:noProof/>
        </w:rPr>
        <w:tab/>
      </w:r>
      <w:r w:rsidR="00BE0A2F" w:rsidRPr="006B0F72">
        <w:rPr>
          <w:noProof/>
        </w:rPr>
        <w:t>Zadevni razdelki večletnega finančnega okvira in odhodkovne proračunske vrstice</w:t>
      </w:r>
      <w:bookmarkEnd w:id="47"/>
      <w:bookmarkEnd w:id="48"/>
      <w:r w:rsidR="00BE0A2F" w:rsidRPr="006B0F72">
        <w:rPr>
          <w:noProof/>
        </w:rPr>
        <w:t xml:space="preserve"> </w:t>
      </w:r>
    </w:p>
    <w:p w14:paraId="4E2B6A73" w14:textId="77777777" w:rsidR="00BE0A2F" w:rsidRPr="006B0F72" w:rsidRDefault="00BE0A2F" w:rsidP="00633D25">
      <w:pPr>
        <w:pStyle w:val="ListBullet1"/>
        <w:rPr>
          <w:noProof/>
        </w:rPr>
      </w:pPr>
      <w:r w:rsidRPr="006B0F72">
        <w:rPr>
          <w:noProof/>
        </w:rPr>
        <w:t xml:space="preserve">Obstoječe proračunske vrstice </w:t>
      </w:r>
    </w:p>
    <w:p w14:paraId="729FAC98" w14:textId="77777777" w:rsidR="00BE0A2F" w:rsidRPr="006B0F72" w:rsidRDefault="00BE0A2F" w:rsidP="002C1AD1">
      <w:pPr>
        <w:pStyle w:val="Text1"/>
        <w:rPr>
          <w:noProof/>
        </w:rPr>
      </w:pPr>
      <w:r w:rsidRPr="006B0F72">
        <w:rPr>
          <w:noProof/>
          <w:u w:val="single"/>
        </w:rPr>
        <w:t>Po vrstnem redu</w:t>
      </w:r>
      <w:r w:rsidRPr="006B0F72">
        <w:rPr>
          <w:noProof/>
        </w:rPr>
        <w:t xml:space="preserve"> razdelkov večletnega finančnega okvira in proračunskih vrstic</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E0A2F" w:rsidRPr="006B0F72" w14:paraId="7E92723F" w14:textId="77777777" w:rsidTr="00BE0A2F">
        <w:tc>
          <w:tcPr>
            <w:tcW w:w="1080" w:type="dxa"/>
            <w:vMerge w:val="restart"/>
            <w:vAlign w:val="center"/>
          </w:tcPr>
          <w:p w14:paraId="72AD35DB" w14:textId="77777777" w:rsidR="00BE0A2F" w:rsidRPr="006B0F72" w:rsidRDefault="00BE0A2F" w:rsidP="00BE0A2F">
            <w:pPr>
              <w:spacing w:before="60" w:after="60"/>
              <w:jc w:val="center"/>
              <w:rPr>
                <w:noProof/>
                <w:color w:val="000000" w:themeColor="text1"/>
              </w:rPr>
            </w:pPr>
            <w:r w:rsidRPr="006B0F72">
              <w:rPr>
                <w:noProof/>
                <w:color w:val="000000" w:themeColor="text1"/>
                <w:sz w:val="18"/>
              </w:rPr>
              <w:t>Razdelek večletnega finančnega okvira</w:t>
            </w:r>
          </w:p>
        </w:tc>
        <w:tc>
          <w:tcPr>
            <w:tcW w:w="3960" w:type="dxa"/>
            <w:vAlign w:val="center"/>
          </w:tcPr>
          <w:p w14:paraId="79F80F76" w14:textId="77777777" w:rsidR="00BE0A2F" w:rsidRPr="006B0F72" w:rsidRDefault="00BE0A2F" w:rsidP="00BE0A2F">
            <w:pPr>
              <w:spacing w:before="60" w:after="60"/>
              <w:jc w:val="center"/>
              <w:rPr>
                <w:noProof/>
                <w:color w:val="000000" w:themeColor="text1"/>
              </w:rPr>
            </w:pPr>
            <w:r w:rsidRPr="006B0F72">
              <w:rPr>
                <w:noProof/>
                <w:color w:val="000000" w:themeColor="text1"/>
                <w:sz w:val="20"/>
              </w:rPr>
              <w:t>Proračunska vrstica</w:t>
            </w:r>
          </w:p>
        </w:tc>
        <w:tc>
          <w:tcPr>
            <w:tcW w:w="1080" w:type="dxa"/>
            <w:vAlign w:val="center"/>
          </w:tcPr>
          <w:p w14:paraId="3C761A47" w14:textId="77777777" w:rsidR="00BE0A2F" w:rsidRPr="006B0F72" w:rsidRDefault="00BE0A2F" w:rsidP="00BE0A2F">
            <w:pPr>
              <w:spacing w:before="60" w:after="60"/>
              <w:jc w:val="center"/>
              <w:rPr>
                <w:noProof/>
                <w:color w:val="000000" w:themeColor="text1"/>
              </w:rPr>
            </w:pPr>
            <w:r w:rsidRPr="006B0F72">
              <w:rPr>
                <w:noProof/>
                <w:color w:val="000000" w:themeColor="text1"/>
                <w:sz w:val="18"/>
              </w:rPr>
              <w:t xml:space="preserve">Vrsta </w:t>
            </w:r>
            <w:r w:rsidRPr="006B0F72">
              <w:rPr>
                <w:noProof/>
              </w:rPr>
              <w:br/>
            </w:r>
            <w:r w:rsidRPr="006B0F72">
              <w:rPr>
                <w:noProof/>
                <w:color w:val="000000" w:themeColor="text1"/>
                <w:sz w:val="18"/>
              </w:rPr>
              <w:t>odhodkov</w:t>
            </w:r>
          </w:p>
        </w:tc>
        <w:tc>
          <w:tcPr>
            <w:tcW w:w="4440" w:type="dxa"/>
            <w:gridSpan w:val="4"/>
            <w:vAlign w:val="center"/>
          </w:tcPr>
          <w:p w14:paraId="19DAEBBD" w14:textId="77777777" w:rsidR="00BE0A2F" w:rsidRPr="006B0F72" w:rsidRDefault="00BE0A2F" w:rsidP="00BE0A2F">
            <w:pPr>
              <w:spacing w:before="60" w:after="60"/>
              <w:jc w:val="center"/>
              <w:rPr>
                <w:noProof/>
                <w:color w:val="000000" w:themeColor="text1"/>
              </w:rPr>
            </w:pPr>
            <w:r w:rsidRPr="006B0F72">
              <w:rPr>
                <w:noProof/>
                <w:color w:val="000000" w:themeColor="text1"/>
                <w:sz w:val="20"/>
              </w:rPr>
              <w:t xml:space="preserve">Prispevek </w:t>
            </w:r>
          </w:p>
        </w:tc>
      </w:tr>
      <w:tr w:rsidR="00BE0A2F" w:rsidRPr="006B0F72" w14:paraId="7B53FFF8" w14:textId="77777777" w:rsidTr="00BE0A2F">
        <w:tc>
          <w:tcPr>
            <w:tcW w:w="1080" w:type="dxa"/>
            <w:vMerge/>
            <w:vAlign w:val="center"/>
          </w:tcPr>
          <w:p w14:paraId="5335CAC1" w14:textId="77777777" w:rsidR="00BE0A2F" w:rsidRPr="006B0F72" w:rsidRDefault="00BE0A2F" w:rsidP="00BE0A2F">
            <w:pPr>
              <w:jc w:val="center"/>
              <w:rPr>
                <w:noProof/>
                <w:color w:val="000000" w:themeColor="text1"/>
              </w:rPr>
            </w:pPr>
          </w:p>
        </w:tc>
        <w:tc>
          <w:tcPr>
            <w:tcW w:w="3960" w:type="dxa"/>
            <w:vAlign w:val="center"/>
          </w:tcPr>
          <w:p w14:paraId="51B02F4B" w14:textId="77777777" w:rsidR="00BE0A2F" w:rsidRPr="006B0F72" w:rsidRDefault="00BE0A2F" w:rsidP="00BE0A2F">
            <w:pPr>
              <w:rPr>
                <w:noProof/>
                <w:color w:val="000000" w:themeColor="text1"/>
              </w:rPr>
            </w:pPr>
            <w:r w:rsidRPr="006B0F72">
              <w:rPr>
                <w:noProof/>
                <w:color w:val="000000" w:themeColor="text1"/>
                <w:sz w:val="20"/>
              </w:rPr>
              <w:t xml:space="preserve">številka </w:t>
            </w:r>
            <w:r w:rsidRPr="006B0F72">
              <w:rPr>
                <w:noProof/>
              </w:rPr>
              <w:t xml:space="preserve"> </w:t>
            </w:r>
            <w:r w:rsidRPr="006B0F72">
              <w:rPr>
                <w:noProof/>
              </w:rPr>
              <w:br/>
            </w:r>
          </w:p>
        </w:tc>
        <w:tc>
          <w:tcPr>
            <w:tcW w:w="1080" w:type="dxa"/>
            <w:vAlign w:val="center"/>
          </w:tcPr>
          <w:p w14:paraId="6F1340A3" w14:textId="77777777" w:rsidR="00BE0A2F" w:rsidRPr="006B0F72" w:rsidRDefault="00BE0A2F" w:rsidP="00BE0A2F">
            <w:pPr>
              <w:jc w:val="center"/>
              <w:rPr>
                <w:noProof/>
                <w:color w:val="000000" w:themeColor="text1"/>
              </w:rPr>
            </w:pPr>
            <w:r w:rsidRPr="006B0F72">
              <w:rPr>
                <w:noProof/>
                <w:color w:val="000000" w:themeColor="text1"/>
                <w:sz w:val="18"/>
              </w:rPr>
              <w:t>dif./nedif.</w:t>
            </w:r>
            <w:r w:rsidRPr="006B0F72">
              <w:rPr>
                <w:rStyle w:val="FootnoteReference"/>
                <w:noProof/>
              </w:rPr>
              <w:footnoteReference w:id="118"/>
            </w:r>
          </w:p>
        </w:tc>
        <w:tc>
          <w:tcPr>
            <w:tcW w:w="956" w:type="dxa"/>
            <w:vAlign w:val="center"/>
          </w:tcPr>
          <w:p w14:paraId="50A398BC" w14:textId="77777777" w:rsidR="00BE0A2F" w:rsidRPr="006B0F72" w:rsidRDefault="00BE0A2F" w:rsidP="00BE0A2F">
            <w:pPr>
              <w:jc w:val="center"/>
              <w:rPr>
                <w:noProof/>
                <w:color w:val="000000" w:themeColor="text1"/>
              </w:rPr>
            </w:pPr>
            <w:r w:rsidRPr="006B0F72">
              <w:rPr>
                <w:noProof/>
                <w:color w:val="000000" w:themeColor="text1"/>
                <w:sz w:val="18"/>
              </w:rPr>
              <w:t>držav Efte</w:t>
            </w:r>
            <w:r w:rsidRPr="006B0F72">
              <w:rPr>
                <w:rStyle w:val="FootnoteReference"/>
                <w:noProof/>
              </w:rPr>
              <w:footnoteReference w:id="119"/>
            </w:r>
          </w:p>
          <w:p w14:paraId="2F275750" w14:textId="77777777" w:rsidR="00BE0A2F" w:rsidRPr="006B0F72" w:rsidRDefault="00BE0A2F" w:rsidP="00BE0A2F">
            <w:pPr>
              <w:spacing w:before="0" w:after="0"/>
              <w:jc w:val="center"/>
              <w:rPr>
                <w:b/>
                <w:noProof/>
                <w:color w:val="000000" w:themeColor="text1"/>
                <w:sz w:val="18"/>
              </w:rPr>
            </w:pPr>
          </w:p>
        </w:tc>
        <w:tc>
          <w:tcPr>
            <w:tcW w:w="1080" w:type="dxa"/>
            <w:vAlign w:val="center"/>
          </w:tcPr>
          <w:p w14:paraId="134D6AF0" w14:textId="77777777" w:rsidR="00BE0A2F" w:rsidRPr="006B0F72" w:rsidRDefault="00BE0A2F" w:rsidP="00BE0A2F">
            <w:pPr>
              <w:jc w:val="center"/>
              <w:rPr>
                <w:noProof/>
                <w:color w:val="000000" w:themeColor="text1"/>
              </w:rPr>
            </w:pPr>
            <w:r w:rsidRPr="006B0F72">
              <w:rPr>
                <w:noProof/>
                <w:color w:val="000000" w:themeColor="text1"/>
                <w:sz w:val="18"/>
              </w:rPr>
              <w:t>držav kandidatk</w:t>
            </w:r>
            <w:r w:rsidRPr="006B0F72">
              <w:rPr>
                <w:rStyle w:val="FootnoteReference"/>
                <w:noProof/>
              </w:rPr>
              <w:footnoteReference w:id="120"/>
            </w:r>
          </w:p>
          <w:p w14:paraId="1C0C289F" w14:textId="77777777" w:rsidR="00BE0A2F" w:rsidRPr="006B0F72" w:rsidRDefault="00BE0A2F" w:rsidP="00BE0A2F">
            <w:pPr>
              <w:spacing w:before="0" w:after="0"/>
              <w:jc w:val="center"/>
              <w:rPr>
                <w:noProof/>
                <w:color w:val="000000" w:themeColor="text1"/>
                <w:sz w:val="18"/>
              </w:rPr>
            </w:pPr>
          </w:p>
        </w:tc>
        <w:tc>
          <w:tcPr>
            <w:tcW w:w="956" w:type="dxa"/>
            <w:vAlign w:val="center"/>
          </w:tcPr>
          <w:p w14:paraId="197F0E6A" w14:textId="77777777" w:rsidR="00BE0A2F" w:rsidRPr="006B0F72" w:rsidRDefault="00BE0A2F" w:rsidP="00BE0A2F">
            <w:pPr>
              <w:jc w:val="center"/>
              <w:rPr>
                <w:noProof/>
                <w:color w:val="000000" w:themeColor="text1"/>
                <w:sz w:val="18"/>
              </w:rPr>
            </w:pPr>
            <w:r w:rsidRPr="006B0F72">
              <w:rPr>
                <w:noProof/>
                <w:color w:val="000000" w:themeColor="text1"/>
                <w:sz w:val="18"/>
              </w:rPr>
              <w:t>tretjih držav</w:t>
            </w:r>
          </w:p>
        </w:tc>
        <w:tc>
          <w:tcPr>
            <w:tcW w:w="1448" w:type="dxa"/>
            <w:vAlign w:val="center"/>
          </w:tcPr>
          <w:p w14:paraId="3A58CA41" w14:textId="77777777" w:rsidR="00BE0A2F" w:rsidRPr="006B0F72" w:rsidRDefault="00BE0A2F" w:rsidP="00BE0A2F">
            <w:pPr>
              <w:jc w:val="center"/>
              <w:rPr>
                <w:noProof/>
                <w:color w:val="000000" w:themeColor="text1"/>
              </w:rPr>
            </w:pPr>
            <w:r w:rsidRPr="006B0F72">
              <w:rPr>
                <w:noProof/>
                <w:color w:val="000000" w:themeColor="text1"/>
                <w:sz w:val="16"/>
              </w:rPr>
              <w:t xml:space="preserve">po členu 21(2)(b) finančne uredbe </w:t>
            </w:r>
          </w:p>
        </w:tc>
      </w:tr>
      <w:tr w:rsidR="00BE0A2F" w:rsidRPr="006B0F72" w14:paraId="547E5B00" w14:textId="77777777" w:rsidTr="00BE0A2F">
        <w:tc>
          <w:tcPr>
            <w:tcW w:w="1080" w:type="dxa"/>
            <w:vAlign w:val="center"/>
          </w:tcPr>
          <w:p w14:paraId="608FBD8F" w14:textId="77777777" w:rsidR="00BE0A2F" w:rsidRPr="006B0F72" w:rsidRDefault="00BE0A2F" w:rsidP="00BE0A2F">
            <w:pPr>
              <w:jc w:val="center"/>
              <w:rPr>
                <w:noProof/>
                <w:color w:val="000000" w:themeColor="text1"/>
              </w:rPr>
            </w:pPr>
            <w:r w:rsidRPr="006B0F72">
              <w:rPr>
                <w:noProof/>
                <w:color w:val="000000" w:themeColor="text1"/>
              </w:rPr>
              <w:t>3</w:t>
            </w:r>
          </w:p>
        </w:tc>
        <w:tc>
          <w:tcPr>
            <w:tcW w:w="3960" w:type="dxa"/>
            <w:vAlign w:val="center"/>
          </w:tcPr>
          <w:p w14:paraId="05680985" w14:textId="77777777" w:rsidR="00BE0A2F" w:rsidRPr="006B0F72" w:rsidRDefault="00BE0A2F" w:rsidP="00BE0A2F">
            <w:pPr>
              <w:spacing w:before="60"/>
              <w:rPr>
                <w:noProof/>
                <w:color w:val="000000" w:themeColor="text1"/>
              </w:rPr>
            </w:pPr>
            <w:r w:rsidRPr="006B0F72">
              <w:rPr>
                <w:noProof/>
                <w:color w:val="000000" w:themeColor="text1"/>
              </w:rPr>
              <w:t>09 02 01 – Narava in biotska raznovrstnost</w:t>
            </w:r>
            <w:r w:rsidRPr="006B0F72">
              <w:rPr>
                <w:noProof/>
                <w:color w:val="000000" w:themeColor="text1"/>
                <w:sz w:val="22"/>
              </w:rPr>
              <w:t xml:space="preserve"> </w:t>
            </w:r>
          </w:p>
          <w:p w14:paraId="0341DC62" w14:textId="77777777" w:rsidR="00BE0A2F" w:rsidRPr="006B0F72" w:rsidRDefault="00BE0A2F" w:rsidP="00BE0A2F">
            <w:pPr>
              <w:spacing w:after="60"/>
              <w:rPr>
                <w:noProof/>
                <w:color w:val="000000" w:themeColor="text1"/>
              </w:rPr>
            </w:pPr>
          </w:p>
        </w:tc>
        <w:tc>
          <w:tcPr>
            <w:tcW w:w="1080" w:type="dxa"/>
            <w:vAlign w:val="center"/>
          </w:tcPr>
          <w:p w14:paraId="10B03D66" w14:textId="77777777" w:rsidR="00BE0A2F" w:rsidRPr="006B0F72" w:rsidRDefault="00BE0A2F" w:rsidP="00BE0A2F">
            <w:pPr>
              <w:jc w:val="center"/>
              <w:rPr>
                <w:noProof/>
                <w:color w:val="000000" w:themeColor="text1"/>
              </w:rPr>
            </w:pPr>
            <w:r w:rsidRPr="006B0F72">
              <w:rPr>
                <w:noProof/>
                <w:color w:val="000000" w:themeColor="text1"/>
                <w:sz w:val="22"/>
              </w:rPr>
              <w:t>dif.</w:t>
            </w:r>
          </w:p>
        </w:tc>
        <w:tc>
          <w:tcPr>
            <w:tcW w:w="956" w:type="dxa"/>
            <w:vAlign w:val="center"/>
          </w:tcPr>
          <w:p w14:paraId="54302276" w14:textId="77777777" w:rsidR="00BE0A2F" w:rsidRPr="006B0F72" w:rsidRDefault="00BE0A2F" w:rsidP="00BE0A2F">
            <w:pPr>
              <w:jc w:val="center"/>
              <w:rPr>
                <w:noProof/>
                <w:color w:val="000000" w:themeColor="text1"/>
                <w:sz w:val="20"/>
                <w:szCs w:val="20"/>
              </w:rPr>
            </w:pPr>
            <w:r w:rsidRPr="006B0F72">
              <w:rPr>
                <w:noProof/>
                <w:color w:val="000000" w:themeColor="text1"/>
                <w:sz w:val="20"/>
              </w:rPr>
              <w:t>DA</w:t>
            </w:r>
          </w:p>
        </w:tc>
        <w:tc>
          <w:tcPr>
            <w:tcW w:w="1080" w:type="dxa"/>
            <w:vAlign w:val="center"/>
          </w:tcPr>
          <w:p w14:paraId="55A6E062"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956" w:type="dxa"/>
            <w:vAlign w:val="center"/>
          </w:tcPr>
          <w:p w14:paraId="7DFAEF6E"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1448" w:type="dxa"/>
            <w:vAlign w:val="center"/>
          </w:tcPr>
          <w:p w14:paraId="1EC05B61"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r>
      <w:tr w:rsidR="00BE0A2F" w:rsidRPr="006B0F72" w14:paraId="0703C925" w14:textId="77777777" w:rsidTr="00BE0A2F">
        <w:tc>
          <w:tcPr>
            <w:tcW w:w="1080" w:type="dxa"/>
            <w:vAlign w:val="center"/>
          </w:tcPr>
          <w:p w14:paraId="0E75E2C6" w14:textId="77777777" w:rsidR="00BE0A2F" w:rsidRPr="006B0F72" w:rsidRDefault="00BE0A2F" w:rsidP="00BE0A2F">
            <w:pPr>
              <w:jc w:val="center"/>
              <w:rPr>
                <w:noProof/>
                <w:color w:val="000000" w:themeColor="text1"/>
              </w:rPr>
            </w:pPr>
            <w:r w:rsidRPr="006B0F72">
              <w:rPr>
                <w:noProof/>
                <w:color w:val="000000" w:themeColor="text1"/>
              </w:rPr>
              <w:t>3</w:t>
            </w:r>
          </w:p>
        </w:tc>
        <w:tc>
          <w:tcPr>
            <w:tcW w:w="3960" w:type="dxa"/>
            <w:vAlign w:val="center"/>
          </w:tcPr>
          <w:p w14:paraId="5B897C40" w14:textId="77777777" w:rsidR="00BE0A2F" w:rsidRPr="006B0F72" w:rsidRDefault="00BE0A2F" w:rsidP="00BE0A2F">
            <w:pPr>
              <w:spacing w:before="60"/>
              <w:rPr>
                <w:noProof/>
                <w:color w:val="000000" w:themeColor="text1"/>
              </w:rPr>
            </w:pPr>
            <w:r w:rsidRPr="006B0F72">
              <w:rPr>
                <w:noProof/>
                <w:color w:val="000000" w:themeColor="text1"/>
              </w:rPr>
              <w:t>09 10 02 – Evropska agencija za okolje</w:t>
            </w:r>
          </w:p>
        </w:tc>
        <w:tc>
          <w:tcPr>
            <w:tcW w:w="1080" w:type="dxa"/>
            <w:vAlign w:val="center"/>
          </w:tcPr>
          <w:p w14:paraId="4470978A" w14:textId="77777777" w:rsidR="00BE0A2F" w:rsidRPr="006B0F72" w:rsidRDefault="00BE0A2F" w:rsidP="00BE0A2F">
            <w:pPr>
              <w:jc w:val="center"/>
              <w:rPr>
                <w:noProof/>
                <w:color w:val="000000" w:themeColor="text1"/>
                <w:sz w:val="22"/>
              </w:rPr>
            </w:pPr>
            <w:r w:rsidRPr="006B0F72">
              <w:rPr>
                <w:noProof/>
                <w:color w:val="000000" w:themeColor="text1"/>
                <w:sz w:val="22"/>
              </w:rPr>
              <w:t>dif.</w:t>
            </w:r>
          </w:p>
        </w:tc>
        <w:tc>
          <w:tcPr>
            <w:tcW w:w="956" w:type="dxa"/>
            <w:vAlign w:val="center"/>
          </w:tcPr>
          <w:p w14:paraId="2E725F60" w14:textId="77777777" w:rsidR="00BE0A2F" w:rsidRPr="006B0F72" w:rsidDel="00397BF1" w:rsidRDefault="00BE0A2F" w:rsidP="00BE0A2F">
            <w:pPr>
              <w:jc w:val="center"/>
              <w:rPr>
                <w:noProof/>
                <w:color w:val="000000" w:themeColor="text1"/>
                <w:sz w:val="20"/>
                <w:szCs w:val="20"/>
              </w:rPr>
            </w:pPr>
            <w:r w:rsidRPr="006B0F72">
              <w:rPr>
                <w:noProof/>
                <w:color w:val="000000" w:themeColor="text1"/>
                <w:sz w:val="20"/>
              </w:rPr>
              <w:t>DA</w:t>
            </w:r>
          </w:p>
        </w:tc>
        <w:tc>
          <w:tcPr>
            <w:tcW w:w="1080" w:type="dxa"/>
            <w:vAlign w:val="center"/>
          </w:tcPr>
          <w:p w14:paraId="74C1C255" w14:textId="77777777" w:rsidR="00BE0A2F" w:rsidRPr="006B0F72" w:rsidDel="00496542" w:rsidRDefault="00BE0A2F" w:rsidP="00BE0A2F">
            <w:pPr>
              <w:jc w:val="center"/>
              <w:rPr>
                <w:noProof/>
                <w:color w:val="000000" w:themeColor="text1"/>
                <w:sz w:val="20"/>
                <w:szCs w:val="20"/>
              </w:rPr>
            </w:pPr>
            <w:r w:rsidRPr="006B0F72">
              <w:rPr>
                <w:noProof/>
                <w:color w:val="000000" w:themeColor="text1"/>
                <w:sz w:val="20"/>
              </w:rPr>
              <w:t>DA</w:t>
            </w:r>
          </w:p>
        </w:tc>
        <w:tc>
          <w:tcPr>
            <w:tcW w:w="956" w:type="dxa"/>
            <w:vAlign w:val="center"/>
          </w:tcPr>
          <w:p w14:paraId="48493CA0" w14:textId="77777777" w:rsidR="00BE0A2F" w:rsidRPr="006B0F72" w:rsidDel="00496542" w:rsidRDefault="00BE0A2F" w:rsidP="00BE0A2F">
            <w:pPr>
              <w:jc w:val="center"/>
              <w:rPr>
                <w:noProof/>
                <w:color w:val="000000" w:themeColor="text1"/>
                <w:sz w:val="20"/>
                <w:szCs w:val="20"/>
              </w:rPr>
            </w:pPr>
            <w:r w:rsidRPr="006B0F72">
              <w:rPr>
                <w:noProof/>
                <w:color w:val="000000" w:themeColor="text1"/>
                <w:sz w:val="20"/>
              </w:rPr>
              <w:t>NE</w:t>
            </w:r>
          </w:p>
        </w:tc>
        <w:tc>
          <w:tcPr>
            <w:tcW w:w="1448" w:type="dxa"/>
            <w:vAlign w:val="center"/>
          </w:tcPr>
          <w:p w14:paraId="3CA7A8CE" w14:textId="77777777" w:rsidR="00BE0A2F" w:rsidRPr="006B0F72" w:rsidDel="00496542" w:rsidRDefault="00BE0A2F" w:rsidP="00BE0A2F">
            <w:pPr>
              <w:jc w:val="center"/>
              <w:rPr>
                <w:noProof/>
                <w:color w:val="000000" w:themeColor="text1"/>
                <w:sz w:val="20"/>
                <w:szCs w:val="20"/>
              </w:rPr>
            </w:pPr>
            <w:r w:rsidRPr="006B0F72">
              <w:rPr>
                <w:noProof/>
                <w:color w:val="000000" w:themeColor="text1"/>
                <w:sz w:val="20"/>
              </w:rPr>
              <w:t>NE</w:t>
            </w:r>
          </w:p>
        </w:tc>
      </w:tr>
      <w:tr w:rsidR="00BE0A2F" w:rsidRPr="006B0F72" w14:paraId="38C30F9F" w14:textId="77777777" w:rsidTr="00BE0A2F">
        <w:tc>
          <w:tcPr>
            <w:tcW w:w="1080" w:type="dxa"/>
            <w:vAlign w:val="center"/>
          </w:tcPr>
          <w:p w14:paraId="37484FE8" w14:textId="77777777" w:rsidR="00BE0A2F" w:rsidRPr="006B0F72" w:rsidRDefault="00BE0A2F" w:rsidP="00BE0A2F">
            <w:pPr>
              <w:jc w:val="center"/>
              <w:rPr>
                <w:noProof/>
                <w:color w:val="000000" w:themeColor="text1"/>
              </w:rPr>
            </w:pPr>
            <w:r w:rsidRPr="006B0F72">
              <w:rPr>
                <w:noProof/>
                <w:color w:val="000000" w:themeColor="text1"/>
              </w:rPr>
              <w:t>7</w:t>
            </w:r>
          </w:p>
        </w:tc>
        <w:tc>
          <w:tcPr>
            <w:tcW w:w="3960" w:type="dxa"/>
            <w:vAlign w:val="center"/>
          </w:tcPr>
          <w:p w14:paraId="6C2E4B59" w14:textId="77777777" w:rsidR="00BE0A2F" w:rsidRPr="006B0F72" w:rsidRDefault="00BE0A2F" w:rsidP="00BE0A2F">
            <w:pPr>
              <w:spacing w:before="60"/>
              <w:rPr>
                <w:noProof/>
                <w:color w:val="000000" w:themeColor="text1"/>
                <w:sz w:val="22"/>
              </w:rPr>
            </w:pPr>
            <w:r w:rsidRPr="006B0F72">
              <w:rPr>
                <w:noProof/>
                <w:color w:val="000000" w:themeColor="text1"/>
                <w:sz w:val="22"/>
              </w:rPr>
              <w:t>20 01 02 01 – Prejemki in nadomestila</w:t>
            </w:r>
          </w:p>
        </w:tc>
        <w:tc>
          <w:tcPr>
            <w:tcW w:w="1080" w:type="dxa"/>
            <w:vAlign w:val="center"/>
          </w:tcPr>
          <w:p w14:paraId="470D8DE4" w14:textId="77777777" w:rsidR="00BE0A2F" w:rsidRPr="006B0F72" w:rsidRDefault="00BE0A2F" w:rsidP="00BE0A2F">
            <w:pPr>
              <w:jc w:val="center"/>
              <w:rPr>
                <w:noProof/>
                <w:color w:val="000000" w:themeColor="text1"/>
                <w:sz w:val="22"/>
              </w:rPr>
            </w:pPr>
            <w:r w:rsidRPr="006B0F72">
              <w:rPr>
                <w:noProof/>
                <w:color w:val="000000" w:themeColor="text1"/>
                <w:sz w:val="22"/>
              </w:rPr>
              <w:t>nedif.</w:t>
            </w:r>
          </w:p>
        </w:tc>
        <w:tc>
          <w:tcPr>
            <w:tcW w:w="956" w:type="dxa"/>
            <w:vAlign w:val="center"/>
          </w:tcPr>
          <w:p w14:paraId="6E0947B4"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1080" w:type="dxa"/>
            <w:vAlign w:val="center"/>
          </w:tcPr>
          <w:p w14:paraId="7510C976"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956" w:type="dxa"/>
            <w:vAlign w:val="center"/>
          </w:tcPr>
          <w:p w14:paraId="200DA47D"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1448" w:type="dxa"/>
            <w:vAlign w:val="center"/>
          </w:tcPr>
          <w:p w14:paraId="466C032F"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r>
      <w:tr w:rsidR="00BE0A2F" w:rsidRPr="006B0F72" w14:paraId="1702B77F" w14:textId="77777777" w:rsidTr="00BE0A2F">
        <w:tc>
          <w:tcPr>
            <w:tcW w:w="1080" w:type="dxa"/>
            <w:vAlign w:val="center"/>
          </w:tcPr>
          <w:p w14:paraId="2E3B0FAB" w14:textId="77777777" w:rsidR="00BE0A2F" w:rsidRPr="006B0F72" w:rsidRDefault="00BE0A2F" w:rsidP="00BE0A2F">
            <w:pPr>
              <w:jc w:val="center"/>
              <w:rPr>
                <w:noProof/>
                <w:color w:val="000000" w:themeColor="text1"/>
              </w:rPr>
            </w:pPr>
            <w:r w:rsidRPr="006B0F72">
              <w:rPr>
                <w:noProof/>
                <w:color w:val="000000" w:themeColor="text1"/>
              </w:rPr>
              <w:t>7</w:t>
            </w:r>
          </w:p>
        </w:tc>
        <w:tc>
          <w:tcPr>
            <w:tcW w:w="3960" w:type="dxa"/>
            <w:vAlign w:val="center"/>
          </w:tcPr>
          <w:p w14:paraId="2AD4E2D9" w14:textId="77777777" w:rsidR="00BE0A2F" w:rsidRPr="006B0F72" w:rsidRDefault="00BE0A2F" w:rsidP="00BE0A2F">
            <w:pPr>
              <w:spacing w:before="60"/>
              <w:rPr>
                <w:noProof/>
                <w:color w:val="000000" w:themeColor="text1"/>
                <w:sz w:val="22"/>
              </w:rPr>
            </w:pPr>
            <w:r w:rsidRPr="006B0F72">
              <w:rPr>
                <w:noProof/>
                <w:color w:val="000000" w:themeColor="text1"/>
              </w:rPr>
              <w:t>20 02 01 01 – Pogodbeni uslužbenci</w:t>
            </w:r>
          </w:p>
        </w:tc>
        <w:tc>
          <w:tcPr>
            <w:tcW w:w="1080" w:type="dxa"/>
            <w:vAlign w:val="center"/>
          </w:tcPr>
          <w:p w14:paraId="440F5C80" w14:textId="77777777" w:rsidR="00BE0A2F" w:rsidRPr="006B0F72" w:rsidRDefault="00BE0A2F" w:rsidP="00BE0A2F">
            <w:pPr>
              <w:jc w:val="center"/>
              <w:rPr>
                <w:noProof/>
                <w:color w:val="000000" w:themeColor="text1"/>
                <w:sz w:val="22"/>
              </w:rPr>
            </w:pPr>
            <w:r w:rsidRPr="006B0F72">
              <w:rPr>
                <w:noProof/>
                <w:color w:val="000000" w:themeColor="text1"/>
                <w:sz w:val="22"/>
              </w:rPr>
              <w:t>nedif.</w:t>
            </w:r>
          </w:p>
        </w:tc>
        <w:tc>
          <w:tcPr>
            <w:tcW w:w="956" w:type="dxa"/>
            <w:vAlign w:val="center"/>
          </w:tcPr>
          <w:p w14:paraId="1C5C60C9"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1080" w:type="dxa"/>
            <w:vAlign w:val="center"/>
          </w:tcPr>
          <w:p w14:paraId="1EF9C109"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956" w:type="dxa"/>
            <w:vAlign w:val="center"/>
          </w:tcPr>
          <w:p w14:paraId="6E6F2AB8"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c>
          <w:tcPr>
            <w:tcW w:w="1448" w:type="dxa"/>
            <w:vAlign w:val="center"/>
          </w:tcPr>
          <w:p w14:paraId="39C6B461" w14:textId="77777777" w:rsidR="00BE0A2F" w:rsidRPr="006B0F72" w:rsidRDefault="00BE0A2F" w:rsidP="00BE0A2F">
            <w:pPr>
              <w:jc w:val="center"/>
              <w:rPr>
                <w:noProof/>
                <w:color w:val="000000" w:themeColor="text1"/>
                <w:sz w:val="20"/>
                <w:szCs w:val="20"/>
              </w:rPr>
            </w:pPr>
            <w:r w:rsidRPr="006B0F72">
              <w:rPr>
                <w:noProof/>
                <w:color w:val="000000" w:themeColor="text1"/>
                <w:sz w:val="20"/>
              </w:rPr>
              <w:t>NE</w:t>
            </w:r>
          </w:p>
        </w:tc>
      </w:tr>
    </w:tbl>
    <w:p w14:paraId="5E4636D6" w14:textId="77777777" w:rsidR="00BE0A2F" w:rsidRPr="006B0F72" w:rsidRDefault="00BE0A2F" w:rsidP="00BE0A2F">
      <w:pPr>
        <w:rPr>
          <w:noProof/>
          <w:color w:val="000000" w:themeColor="text1"/>
        </w:rPr>
      </w:pPr>
    </w:p>
    <w:p w14:paraId="46B29652" w14:textId="77777777" w:rsidR="00BE0A2F" w:rsidRPr="006B0F72" w:rsidRDefault="00BE0A2F" w:rsidP="002C1AD1">
      <w:pPr>
        <w:pStyle w:val="ListBullet1"/>
        <w:rPr>
          <w:noProof/>
        </w:rPr>
      </w:pPr>
      <w:r w:rsidRPr="006B0F72">
        <w:rPr>
          <w:noProof/>
        </w:rPr>
        <w:t xml:space="preserve">Zahtevane nove proračunske vrstice: n. r. </w:t>
      </w:r>
    </w:p>
    <w:p w14:paraId="4C3D94D1" w14:textId="77777777" w:rsidR="00142752" w:rsidRPr="006B0F72" w:rsidRDefault="00142752" w:rsidP="00B0251E">
      <w:pPr>
        <w:pStyle w:val="Text1"/>
        <w:rPr>
          <w:noProof/>
        </w:rPr>
        <w:sectPr w:rsidR="00142752" w:rsidRPr="006B0F72" w:rsidSect="00D77511">
          <w:pgSz w:w="11907" w:h="16840" w:code="1"/>
          <w:pgMar w:top="1134" w:right="1418" w:bottom="1134" w:left="1418" w:header="709" w:footer="709" w:gutter="0"/>
          <w:cols w:space="708"/>
          <w:docGrid w:linePitch="360"/>
        </w:sectPr>
      </w:pPr>
    </w:p>
    <w:p w14:paraId="7182E546" w14:textId="700D9461" w:rsidR="00BE0A2F" w:rsidRPr="006B0F72" w:rsidRDefault="00652A97" w:rsidP="00652A97">
      <w:pPr>
        <w:pStyle w:val="ManualHeading2"/>
        <w:rPr>
          <w:noProof/>
        </w:rPr>
      </w:pPr>
      <w:bookmarkStart w:id="49" w:name="_Toc514938052"/>
      <w:bookmarkStart w:id="50" w:name="_Toc520485051"/>
      <w:r w:rsidRPr="00652A97">
        <w:rPr>
          <w:noProof/>
        </w:rPr>
        <w:t>3.2.</w:t>
      </w:r>
      <w:r w:rsidRPr="00652A97">
        <w:rPr>
          <w:noProof/>
        </w:rPr>
        <w:tab/>
      </w:r>
      <w:r w:rsidR="00BE0A2F" w:rsidRPr="006B0F72">
        <w:rPr>
          <w:noProof/>
        </w:rPr>
        <w:t>Ocenjene finančne posledice predloga za odobritve</w:t>
      </w:r>
      <w:bookmarkEnd w:id="49"/>
      <w:bookmarkEnd w:id="50"/>
      <w:r w:rsidR="00BE0A2F" w:rsidRPr="006B0F72">
        <w:rPr>
          <w:noProof/>
        </w:rPr>
        <w:t xml:space="preserve"> </w:t>
      </w:r>
    </w:p>
    <w:p w14:paraId="45A295FB" w14:textId="17C4B2D7" w:rsidR="00BE0A2F" w:rsidRPr="006B0F72" w:rsidRDefault="00652A97" w:rsidP="00652A97">
      <w:pPr>
        <w:pStyle w:val="ManualHeading3"/>
        <w:rPr>
          <w:noProof/>
        </w:rPr>
      </w:pPr>
      <w:bookmarkStart w:id="51" w:name="_Toc514938053"/>
      <w:bookmarkStart w:id="52" w:name="_Toc520485052"/>
      <w:r w:rsidRPr="00652A97">
        <w:rPr>
          <w:noProof/>
        </w:rPr>
        <w:t>3.2.1.</w:t>
      </w:r>
      <w:r w:rsidRPr="00652A97">
        <w:rPr>
          <w:noProof/>
        </w:rPr>
        <w:tab/>
      </w:r>
      <w:r w:rsidR="00BE0A2F" w:rsidRPr="006B0F72">
        <w:rPr>
          <w:noProof/>
        </w:rPr>
        <w:t>Povzetek ocenjenih posledic za odobritve za poslovanje</w:t>
      </w:r>
      <w:bookmarkEnd w:id="51"/>
      <w:bookmarkEnd w:id="52"/>
      <w:r w:rsidR="00BE0A2F" w:rsidRPr="006B0F72">
        <w:rPr>
          <w:noProof/>
        </w:rPr>
        <w:t xml:space="preserve"> </w:t>
      </w:r>
    </w:p>
    <w:p w14:paraId="0960993A" w14:textId="77777777" w:rsidR="00BE0A2F" w:rsidRPr="006B0F72" w:rsidRDefault="00BE0A2F" w:rsidP="00B0251E">
      <w:pPr>
        <w:pStyle w:val="ListDash1"/>
        <w:rPr>
          <w:noProof/>
        </w:rPr>
      </w:pPr>
      <w:r w:rsidRPr="006B0F72">
        <w:rPr>
          <w:noProof/>
        </w:rPr>
        <w:sym w:font="Wingdings" w:char="F0A8"/>
      </w:r>
      <w:r w:rsidRPr="006B0F72">
        <w:rPr>
          <w:noProof/>
        </w:rPr>
        <w:tab/>
        <w:t xml:space="preserve">Za predlog/pobudo niso potrebne odobritve za poslovanje. </w:t>
      </w:r>
    </w:p>
    <w:p w14:paraId="59E2EDC8" w14:textId="77777777" w:rsidR="00BE0A2F" w:rsidRPr="006B0F72" w:rsidRDefault="00BE0A2F" w:rsidP="00B0251E">
      <w:pPr>
        <w:pStyle w:val="ListDash1"/>
        <w:rPr>
          <w:noProof/>
        </w:rPr>
      </w:pPr>
      <w:r w:rsidRPr="006B0F72">
        <w:rPr>
          <w:noProof/>
        </w:rPr>
        <w:sym w:font="Wingdings" w:char="F0FE"/>
      </w:r>
      <w:r w:rsidRPr="006B0F72">
        <w:rPr>
          <w:noProof/>
        </w:rPr>
        <w:tab/>
        <w:t>Za predlog/pobudo so potrebne odobritve za poslovanje, kot je pojasnjeno v nadaljevanju:</w:t>
      </w:r>
    </w:p>
    <w:p w14:paraId="71C8F5D5" w14:textId="77777777" w:rsidR="00BE0A2F" w:rsidRPr="006B0F72" w:rsidRDefault="00BE0A2F" w:rsidP="00BE0A2F">
      <w:pPr>
        <w:jc w:val="right"/>
        <w:rPr>
          <w:noProof/>
          <w:color w:val="000000" w:themeColor="text1"/>
          <w:sz w:val="18"/>
          <w:szCs w:val="18"/>
        </w:rPr>
      </w:pPr>
      <w:r w:rsidRPr="006B0F72">
        <w:rPr>
          <w:noProof/>
          <w:color w:val="000000" w:themeColor="text1"/>
          <w:sz w:val="18"/>
        </w:rPr>
        <w:t>v mio. EUR (na tri decimalna mesta natančno)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1"/>
        <w:gridCol w:w="1080"/>
        <w:gridCol w:w="7817"/>
      </w:tblGrid>
      <w:tr w:rsidR="00BE0A2F" w:rsidRPr="006B0F72" w14:paraId="0630C34F" w14:textId="77777777" w:rsidTr="00B0251E">
        <w:trPr>
          <w:jc w:val="center"/>
        </w:trPr>
        <w:tc>
          <w:tcPr>
            <w:tcW w:w="4641" w:type="dxa"/>
            <w:shd w:val="thinDiagStripe" w:color="C0C0C0" w:fill="auto"/>
            <w:vAlign w:val="center"/>
          </w:tcPr>
          <w:p w14:paraId="458BE6F6" w14:textId="77777777" w:rsidR="00BE0A2F" w:rsidRPr="006B0F72" w:rsidRDefault="00BE0A2F" w:rsidP="00BE0A2F">
            <w:pPr>
              <w:spacing w:before="60" w:after="60"/>
              <w:jc w:val="center"/>
              <w:rPr>
                <w:b/>
                <w:noProof/>
                <w:color w:val="000000" w:themeColor="text1"/>
              </w:rPr>
            </w:pPr>
            <w:r w:rsidRPr="006B0F72">
              <w:rPr>
                <w:b/>
                <w:noProof/>
                <w:color w:val="000000" w:themeColor="text1"/>
                <w:sz w:val="22"/>
              </w:rPr>
              <w:t xml:space="preserve">Razdelek </w:t>
            </w:r>
            <w:r w:rsidRPr="006B0F72">
              <w:rPr>
                <w:noProof/>
              </w:rPr>
              <w:br/>
            </w:r>
            <w:r w:rsidRPr="006B0F72">
              <w:rPr>
                <w:b/>
                <w:noProof/>
                <w:color w:val="000000" w:themeColor="text1"/>
                <w:sz w:val="22"/>
              </w:rPr>
              <w:t xml:space="preserve">večletnega finančnega okvira </w:t>
            </w:r>
          </w:p>
        </w:tc>
        <w:tc>
          <w:tcPr>
            <w:tcW w:w="1080" w:type="dxa"/>
            <w:vAlign w:val="center"/>
          </w:tcPr>
          <w:p w14:paraId="23284B81" w14:textId="77777777" w:rsidR="00BE0A2F" w:rsidRPr="006B0F72" w:rsidRDefault="00BE0A2F" w:rsidP="00BE0A2F">
            <w:pPr>
              <w:spacing w:before="60" w:after="60"/>
              <w:jc w:val="center"/>
              <w:rPr>
                <w:noProof/>
                <w:color w:val="000000" w:themeColor="text1"/>
              </w:rPr>
            </w:pPr>
            <w:r w:rsidRPr="006B0F72">
              <w:rPr>
                <w:noProof/>
                <w:color w:val="000000" w:themeColor="text1"/>
                <w:sz w:val="22"/>
              </w:rPr>
              <w:t>3</w:t>
            </w:r>
          </w:p>
        </w:tc>
        <w:tc>
          <w:tcPr>
            <w:tcW w:w="7817" w:type="dxa"/>
            <w:vAlign w:val="center"/>
          </w:tcPr>
          <w:p w14:paraId="5BE54910" w14:textId="77777777" w:rsidR="00BE0A2F" w:rsidRPr="006B0F72" w:rsidRDefault="00BE0A2F" w:rsidP="00BE0A2F">
            <w:pPr>
              <w:spacing w:before="60" w:after="60"/>
              <w:rPr>
                <w:noProof/>
                <w:color w:val="000000" w:themeColor="text1"/>
              </w:rPr>
            </w:pPr>
            <w:r w:rsidRPr="006B0F72">
              <w:rPr>
                <w:noProof/>
                <w:color w:val="000000" w:themeColor="text1"/>
              </w:rPr>
              <w:t>Razdelek 3: Naravni viri in okolje</w:t>
            </w:r>
          </w:p>
        </w:tc>
      </w:tr>
    </w:tbl>
    <w:p w14:paraId="17C14EAC" w14:textId="77777777" w:rsidR="00BE0A2F" w:rsidRPr="006B0F72" w:rsidRDefault="00BE0A2F" w:rsidP="00BE0A2F">
      <w:pPr>
        <w:rPr>
          <w:noProof/>
          <w:color w:val="000000" w:themeColor="text1"/>
          <w:sz w:val="16"/>
        </w:rPr>
      </w:pPr>
    </w:p>
    <w:tbl>
      <w:tblPr>
        <w:tblW w:w="135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276"/>
        <w:gridCol w:w="1134"/>
        <w:gridCol w:w="992"/>
        <w:gridCol w:w="1172"/>
        <w:gridCol w:w="944"/>
        <w:gridCol w:w="944"/>
        <w:gridCol w:w="944"/>
        <w:gridCol w:w="944"/>
        <w:gridCol w:w="1934"/>
      </w:tblGrid>
      <w:tr w:rsidR="00BE0A2F" w:rsidRPr="006B0F72" w14:paraId="48CDFC16" w14:textId="77777777" w:rsidTr="00B0251E">
        <w:trPr>
          <w:trHeight w:val="685"/>
        </w:trPr>
        <w:tc>
          <w:tcPr>
            <w:tcW w:w="3260" w:type="dxa"/>
            <w:vAlign w:val="center"/>
          </w:tcPr>
          <w:p w14:paraId="6DF3CCF6" w14:textId="77777777" w:rsidR="00BE0A2F" w:rsidRPr="006B0F72" w:rsidRDefault="00BE0A2F" w:rsidP="00BE0A2F">
            <w:pPr>
              <w:jc w:val="center"/>
              <w:rPr>
                <w:b/>
                <w:noProof/>
                <w:color w:val="000000" w:themeColor="text1"/>
              </w:rPr>
            </w:pPr>
            <w:r w:rsidRPr="006B0F72">
              <w:rPr>
                <w:b/>
                <w:noProof/>
                <w:color w:val="000000" w:themeColor="text1"/>
                <w:sz w:val="22"/>
              </w:rPr>
              <w:t>GD ENV</w:t>
            </w:r>
          </w:p>
        </w:tc>
        <w:tc>
          <w:tcPr>
            <w:tcW w:w="1276" w:type="dxa"/>
          </w:tcPr>
          <w:p w14:paraId="3D0AE736" w14:textId="77777777" w:rsidR="00BE0A2F" w:rsidRPr="006B0F72" w:rsidRDefault="00BE0A2F" w:rsidP="00BE0A2F">
            <w:pPr>
              <w:rPr>
                <w:noProof/>
                <w:color w:val="000000" w:themeColor="text1"/>
                <w:sz w:val="20"/>
              </w:rPr>
            </w:pPr>
          </w:p>
        </w:tc>
        <w:tc>
          <w:tcPr>
            <w:tcW w:w="1134" w:type="dxa"/>
          </w:tcPr>
          <w:p w14:paraId="6654E78B" w14:textId="77777777" w:rsidR="00BE0A2F" w:rsidRPr="006B0F72" w:rsidRDefault="00BE0A2F" w:rsidP="00BE0A2F">
            <w:pPr>
              <w:jc w:val="center"/>
              <w:rPr>
                <w:noProof/>
                <w:color w:val="000000" w:themeColor="text1"/>
                <w:sz w:val="20"/>
              </w:rPr>
            </w:pPr>
          </w:p>
        </w:tc>
        <w:tc>
          <w:tcPr>
            <w:tcW w:w="992" w:type="dxa"/>
            <w:vAlign w:val="center"/>
          </w:tcPr>
          <w:p w14:paraId="6243B309" w14:textId="77777777" w:rsidR="00BE0A2F" w:rsidRPr="006B0F72" w:rsidRDefault="00BE0A2F" w:rsidP="00BE0A2F">
            <w:pPr>
              <w:jc w:val="center"/>
              <w:rPr>
                <w:b/>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2022</w:t>
            </w:r>
          </w:p>
        </w:tc>
        <w:tc>
          <w:tcPr>
            <w:tcW w:w="1172" w:type="dxa"/>
            <w:vAlign w:val="center"/>
          </w:tcPr>
          <w:p w14:paraId="5A383D8E" w14:textId="77777777" w:rsidR="00BE0A2F" w:rsidRPr="006B0F72" w:rsidRDefault="00BE0A2F" w:rsidP="00BE0A2F">
            <w:pPr>
              <w:jc w:val="center"/>
              <w:rPr>
                <w:b/>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2023</w:t>
            </w:r>
          </w:p>
        </w:tc>
        <w:tc>
          <w:tcPr>
            <w:tcW w:w="944" w:type="dxa"/>
            <w:vAlign w:val="center"/>
          </w:tcPr>
          <w:p w14:paraId="3A9E4FE5"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2024</w:t>
            </w:r>
          </w:p>
        </w:tc>
        <w:tc>
          <w:tcPr>
            <w:tcW w:w="944" w:type="dxa"/>
            <w:vAlign w:val="center"/>
          </w:tcPr>
          <w:p w14:paraId="666BDFD4"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2025</w:t>
            </w:r>
          </w:p>
        </w:tc>
        <w:tc>
          <w:tcPr>
            <w:tcW w:w="944" w:type="dxa"/>
            <w:vAlign w:val="center"/>
          </w:tcPr>
          <w:p w14:paraId="5376A779"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2026</w:t>
            </w:r>
          </w:p>
        </w:tc>
        <w:tc>
          <w:tcPr>
            <w:tcW w:w="944" w:type="dxa"/>
            <w:vAlign w:val="center"/>
          </w:tcPr>
          <w:p w14:paraId="0A03B689"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2027</w:t>
            </w:r>
          </w:p>
        </w:tc>
        <w:tc>
          <w:tcPr>
            <w:tcW w:w="1934" w:type="dxa"/>
            <w:vAlign w:val="center"/>
          </w:tcPr>
          <w:p w14:paraId="4B7E569F" w14:textId="77777777" w:rsidR="00BE0A2F" w:rsidRPr="006B0F72" w:rsidRDefault="00BE0A2F" w:rsidP="00BE0A2F">
            <w:pPr>
              <w:jc w:val="center"/>
              <w:rPr>
                <w:b/>
                <w:noProof/>
                <w:color w:val="000000" w:themeColor="text1"/>
                <w:sz w:val="20"/>
              </w:rPr>
            </w:pPr>
            <w:r w:rsidRPr="006B0F72">
              <w:rPr>
                <w:b/>
                <w:noProof/>
                <w:color w:val="000000" w:themeColor="text1"/>
                <w:sz w:val="20"/>
              </w:rPr>
              <w:t>SKUPAJ</w:t>
            </w:r>
          </w:p>
        </w:tc>
      </w:tr>
      <w:tr w:rsidR="00BE0A2F" w:rsidRPr="006B0F72" w14:paraId="5AD8D139" w14:textId="77777777" w:rsidTr="00B0251E">
        <w:trPr>
          <w:trHeight w:val="211"/>
        </w:trPr>
        <w:tc>
          <w:tcPr>
            <w:tcW w:w="5670" w:type="dxa"/>
            <w:gridSpan w:val="3"/>
            <w:vAlign w:val="center"/>
          </w:tcPr>
          <w:p w14:paraId="214CA82B" w14:textId="77777777" w:rsidR="00BE0A2F" w:rsidRPr="006B0F72" w:rsidRDefault="00BE0A2F" w:rsidP="00BE0A2F">
            <w:pPr>
              <w:spacing w:before="20" w:after="20"/>
              <w:rPr>
                <w:noProof/>
                <w:color w:val="000000" w:themeColor="text1"/>
                <w:sz w:val="21"/>
              </w:rPr>
            </w:pPr>
            <w:r w:rsidRPr="006B0F72">
              <w:rPr>
                <w:noProof/>
                <w:color w:val="000000" w:themeColor="text1"/>
                <w:sz w:val="21"/>
              </w:rPr>
              <w:sym w:font="Wingdings" w:char="F09F"/>
            </w:r>
            <w:r w:rsidRPr="006B0F72">
              <w:rPr>
                <w:noProof/>
                <w:color w:val="000000" w:themeColor="text1"/>
                <w:sz w:val="21"/>
              </w:rPr>
              <w:t xml:space="preserve"> Odobritve za poslovanje </w:t>
            </w:r>
          </w:p>
        </w:tc>
        <w:tc>
          <w:tcPr>
            <w:tcW w:w="992" w:type="dxa"/>
          </w:tcPr>
          <w:p w14:paraId="14DC3ABD" w14:textId="77777777" w:rsidR="00BE0A2F" w:rsidRPr="006B0F72" w:rsidRDefault="00BE0A2F" w:rsidP="00BE0A2F">
            <w:pPr>
              <w:rPr>
                <w:noProof/>
                <w:color w:val="000000" w:themeColor="text1"/>
                <w:sz w:val="20"/>
              </w:rPr>
            </w:pPr>
          </w:p>
        </w:tc>
        <w:tc>
          <w:tcPr>
            <w:tcW w:w="1172" w:type="dxa"/>
          </w:tcPr>
          <w:p w14:paraId="5FC61237" w14:textId="77777777" w:rsidR="00BE0A2F" w:rsidRPr="006B0F72" w:rsidRDefault="00BE0A2F" w:rsidP="00BE0A2F">
            <w:pPr>
              <w:rPr>
                <w:noProof/>
                <w:color w:val="000000" w:themeColor="text1"/>
                <w:sz w:val="20"/>
              </w:rPr>
            </w:pPr>
          </w:p>
        </w:tc>
        <w:tc>
          <w:tcPr>
            <w:tcW w:w="944" w:type="dxa"/>
            <w:vAlign w:val="center"/>
          </w:tcPr>
          <w:p w14:paraId="4CB5B29A" w14:textId="77777777" w:rsidR="00BE0A2F" w:rsidRPr="006B0F72" w:rsidRDefault="00BE0A2F" w:rsidP="00BE0A2F">
            <w:pPr>
              <w:rPr>
                <w:noProof/>
                <w:color w:val="000000" w:themeColor="text1"/>
                <w:sz w:val="20"/>
              </w:rPr>
            </w:pPr>
          </w:p>
        </w:tc>
        <w:tc>
          <w:tcPr>
            <w:tcW w:w="944" w:type="dxa"/>
            <w:vAlign w:val="center"/>
          </w:tcPr>
          <w:p w14:paraId="7191A9FD" w14:textId="77777777" w:rsidR="00BE0A2F" w:rsidRPr="006B0F72" w:rsidRDefault="00BE0A2F" w:rsidP="00BE0A2F">
            <w:pPr>
              <w:rPr>
                <w:noProof/>
                <w:color w:val="000000" w:themeColor="text1"/>
                <w:sz w:val="20"/>
              </w:rPr>
            </w:pPr>
          </w:p>
        </w:tc>
        <w:tc>
          <w:tcPr>
            <w:tcW w:w="944" w:type="dxa"/>
            <w:vAlign w:val="center"/>
          </w:tcPr>
          <w:p w14:paraId="7C334C43" w14:textId="77777777" w:rsidR="00BE0A2F" w:rsidRPr="006B0F72" w:rsidRDefault="00BE0A2F" w:rsidP="00BE0A2F">
            <w:pPr>
              <w:rPr>
                <w:noProof/>
                <w:color w:val="000000" w:themeColor="text1"/>
                <w:sz w:val="20"/>
              </w:rPr>
            </w:pPr>
          </w:p>
        </w:tc>
        <w:tc>
          <w:tcPr>
            <w:tcW w:w="944" w:type="dxa"/>
            <w:vAlign w:val="center"/>
          </w:tcPr>
          <w:p w14:paraId="5701A232" w14:textId="77777777" w:rsidR="00BE0A2F" w:rsidRPr="006B0F72" w:rsidRDefault="00BE0A2F" w:rsidP="00BE0A2F">
            <w:pPr>
              <w:rPr>
                <w:noProof/>
                <w:color w:val="000000" w:themeColor="text1"/>
                <w:sz w:val="20"/>
              </w:rPr>
            </w:pPr>
          </w:p>
        </w:tc>
        <w:tc>
          <w:tcPr>
            <w:tcW w:w="1934" w:type="dxa"/>
            <w:vAlign w:val="center"/>
          </w:tcPr>
          <w:p w14:paraId="74B83BBE" w14:textId="77777777" w:rsidR="00BE0A2F" w:rsidRPr="006B0F72" w:rsidRDefault="00BE0A2F" w:rsidP="00BE0A2F">
            <w:pPr>
              <w:rPr>
                <w:b/>
                <w:noProof/>
                <w:color w:val="000000" w:themeColor="text1"/>
                <w:sz w:val="20"/>
              </w:rPr>
            </w:pPr>
          </w:p>
        </w:tc>
      </w:tr>
      <w:tr w:rsidR="004B7DAE" w:rsidRPr="006B0F72" w14:paraId="2923B97C" w14:textId="77777777" w:rsidTr="00725F02">
        <w:trPr>
          <w:trHeight w:val="275"/>
        </w:trPr>
        <w:tc>
          <w:tcPr>
            <w:tcW w:w="3260" w:type="dxa"/>
            <w:vMerge w:val="restart"/>
            <w:vAlign w:val="center"/>
          </w:tcPr>
          <w:p w14:paraId="4ADF5272" w14:textId="77777777" w:rsidR="00BE0A2F" w:rsidRPr="006B0F72" w:rsidRDefault="00BE0A2F" w:rsidP="00BE0A2F">
            <w:pPr>
              <w:rPr>
                <w:noProof/>
                <w:color w:val="000000" w:themeColor="text1"/>
                <w:sz w:val="22"/>
              </w:rPr>
            </w:pPr>
            <w:r w:rsidRPr="006B0F72">
              <w:rPr>
                <w:noProof/>
                <w:color w:val="000000" w:themeColor="text1"/>
                <w:sz w:val="22"/>
              </w:rPr>
              <w:t>09 02 01 – Narava in biotska raznovrstnost</w:t>
            </w:r>
          </w:p>
        </w:tc>
        <w:tc>
          <w:tcPr>
            <w:tcW w:w="1276" w:type="dxa"/>
            <w:vAlign w:val="center"/>
          </w:tcPr>
          <w:p w14:paraId="746AB7FA" w14:textId="77777777" w:rsidR="00BE0A2F" w:rsidRPr="006B0F72" w:rsidRDefault="00BE0A2F" w:rsidP="00BE0A2F">
            <w:pPr>
              <w:spacing w:before="20" w:after="20"/>
              <w:rPr>
                <w:noProof/>
                <w:color w:val="000000" w:themeColor="text1"/>
                <w:sz w:val="18"/>
              </w:rPr>
            </w:pPr>
            <w:r w:rsidRPr="006B0F72">
              <w:rPr>
                <w:noProof/>
                <w:color w:val="000000" w:themeColor="text1"/>
                <w:sz w:val="18"/>
              </w:rPr>
              <w:t>obveznosti</w:t>
            </w:r>
          </w:p>
        </w:tc>
        <w:tc>
          <w:tcPr>
            <w:tcW w:w="1134" w:type="dxa"/>
            <w:vAlign w:val="center"/>
          </w:tcPr>
          <w:p w14:paraId="3D20E67C" w14:textId="77777777" w:rsidR="00BE0A2F" w:rsidRPr="006B0F72" w:rsidRDefault="00BE0A2F" w:rsidP="00BE0A2F">
            <w:pPr>
              <w:spacing w:before="20" w:after="20"/>
              <w:jc w:val="center"/>
              <w:rPr>
                <w:noProof/>
                <w:color w:val="000000" w:themeColor="text1"/>
                <w:sz w:val="14"/>
              </w:rPr>
            </w:pPr>
            <w:r w:rsidRPr="006B0F72">
              <w:rPr>
                <w:noProof/>
                <w:color w:val="000000" w:themeColor="text1"/>
                <w:sz w:val="14"/>
              </w:rPr>
              <w:t>(1a)</w:t>
            </w:r>
          </w:p>
        </w:tc>
        <w:tc>
          <w:tcPr>
            <w:tcW w:w="992" w:type="dxa"/>
          </w:tcPr>
          <w:p w14:paraId="3236F5D8"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1172" w:type="dxa"/>
          </w:tcPr>
          <w:p w14:paraId="01822E4C"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944" w:type="dxa"/>
          </w:tcPr>
          <w:p w14:paraId="7A36D061"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944" w:type="dxa"/>
          </w:tcPr>
          <w:p w14:paraId="23E510FA"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944" w:type="dxa"/>
          </w:tcPr>
          <w:p w14:paraId="25C90FE1"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944" w:type="dxa"/>
          </w:tcPr>
          <w:p w14:paraId="2D72E209"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1934" w:type="dxa"/>
            <w:vAlign w:val="center"/>
          </w:tcPr>
          <w:p w14:paraId="2B564F0F"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6.600</w:t>
            </w:r>
          </w:p>
        </w:tc>
      </w:tr>
      <w:tr w:rsidR="004B7DAE" w:rsidRPr="006B0F72" w14:paraId="5742BD69" w14:textId="77777777" w:rsidTr="00725F02">
        <w:trPr>
          <w:trHeight w:val="283"/>
        </w:trPr>
        <w:tc>
          <w:tcPr>
            <w:tcW w:w="3260" w:type="dxa"/>
            <w:vMerge/>
          </w:tcPr>
          <w:p w14:paraId="5A8F8504" w14:textId="77777777" w:rsidR="00BE0A2F" w:rsidRPr="006B0F72" w:rsidRDefault="00BE0A2F" w:rsidP="00BE0A2F">
            <w:pPr>
              <w:jc w:val="center"/>
              <w:rPr>
                <w:noProof/>
                <w:color w:val="000000" w:themeColor="text1"/>
                <w:sz w:val="20"/>
              </w:rPr>
            </w:pPr>
          </w:p>
        </w:tc>
        <w:tc>
          <w:tcPr>
            <w:tcW w:w="1276" w:type="dxa"/>
            <w:vAlign w:val="center"/>
          </w:tcPr>
          <w:p w14:paraId="4EEEC26B" w14:textId="77777777" w:rsidR="00BE0A2F" w:rsidRPr="006B0F72" w:rsidRDefault="00BE0A2F" w:rsidP="00BE0A2F">
            <w:pPr>
              <w:spacing w:before="20" w:after="20"/>
              <w:rPr>
                <w:noProof/>
                <w:color w:val="000000" w:themeColor="text1"/>
                <w:sz w:val="18"/>
              </w:rPr>
            </w:pPr>
            <w:r w:rsidRPr="006B0F72">
              <w:rPr>
                <w:noProof/>
                <w:color w:val="000000" w:themeColor="text1"/>
                <w:sz w:val="18"/>
              </w:rPr>
              <w:t>plačila</w:t>
            </w:r>
          </w:p>
        </w:tc>
        <w:tc>
          <w:tcPr>
            <w:tcW w:w="1134" w:type="dxa"/>
            <w:vAlign w:val="center"/>
          </w:tcPr>
          <w:p w14:paraId="38A56627" w14:textId="77777777" w:rsidR="00BE0A2F" w:rsidRPr="006B0F72" w:rsidRDefault="00BE0A2F" w:rsidP="00BE0A2F">
            <w:pPr>
              <w:spacing w:before="20" w:after="20"/>
              <w:jc w:val="center"/>
              <w:rPr>
                <w:noProof/>
                <w:color w:val="000000" w:themeColor="text1"/>
                <w:sz w:val="14"/>
              </w:rPr>
            </w:pPr>
            <w:r w:rsidRPr="006B0F72">
              <w:rPr>
                <w:noProof/>
                <w:color w:val="000000" w:themeColor="text1"/>
                <w:sz w:val="14"/>
              </w:rPr>
              <w:t>(2a)</w:t>
            </w:r>
          </w:p>
        </w:tc>
        <w:tc>
          <w:tcPr>
            <w:tcW w:w="992" w:type="dxa"/>
          </w:tcPr>
          <w:p w14:paraId="3C4CB37F"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1172" w:type="dxa"/>
          </w:tcPr>
          <w:p w14:paraId="658ED3FE"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944" w:type="dxa"/>
          </w:tcPr>
          <w:p w14:paraId="3367B4B4"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0.950</w:t>
            </w:r>
          </w:p>
        </w:tc>
        <w:tc>
          <w:tcPr>
            <w:tcW w:w="944" w:type="dxa"/>
          </w:tcPr>
          <w:p w14:paraId="2C8C39C7"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944" w:type="dxa"/>
          </w:tcPr>
          <w:p w14:paraId="1A915FB6"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944" w:type="dxa"/>
          </w:tcPr>
          <w:p w14:paraId="5611897B" w14:textId="77777777" w:rsidR="00BE0A2F" w:rsidRPr="006B0F72" w:rsidRDefault="00BE0A2F" w:rsidP="00BE0A2F">
            <w:pPr>
              <w:spacing w:before="20" w:after="20"/>
              <w:jc w:val="right"/>
              <w:rPr>
                <w:noProof/>
                <w:color w:val="000000" w:themeColor="text1"/>
                <w:sz w:val="18"/>
              </w:rPr>
            </w:pPr>
            <w:r w:rsidRPr="006B0F72">
              <w:rPr>
                <w:noProof/>
                <w:color w:val="000000" w:themeColor="text1"/>
                <w:sz w:val="18"/>
              </w:rPr>
              <w:t>1.250</w:t>
            </w:r>
          </w:p>
        </w:tc>
        <w:tc>
          <w:tcPr>
            <w:tcW w:w="1934" w:type="dxa"/>
            <w:vAlign w:val="center"/>
          </w:tcPr>
          <w:p w14:paraId="79D40EA5"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6.600</w:t>
            </w:r>
          </w:p>
        </w:tc>
      </w:tr>
      <w:tr w:rsidR="004B7DAE" w:rsidRPr="006B0F72" w14:paraId="628D5EC2" w14:textId="77777777" w:rsidTr="00725F02">
        <w:trPr>
          <w:trHeight w:val="268"/>
        </w:trPr>
        <w:tc>
          <w:tcPr>
            <w:tcW w:w="3260" w:type="dxa"/>
            <w:vMerge w:val="restart"/>
            <w:vAlign w:val="center"/>
          </w:tcPr>
          <w:p w14:paraId="36694D85" w14:textId="77777777" w:rsidR="00BE0A2F" w:rsidRPr="006B0F72" w:rsidRDefault="00BE0A2F" w:rsidP="00BE0A2F">
            <w:pPr>
              <w:rPr>
                <w:noProof/>
                <w:color w:val="000000" w:themeColor="text1"/>
              </w:rPr>
            </w:pPr>
            <w:r w:rsidRPr="006B0F72">
              <w:rPr>
                <w:noProof/>
                <w:color w:val="000000" w:themeColor="text1"/>
                <w:sz w:val="20"/>
              </w:rPr>
              <w:t>Proračunska vrstica</w:t>
            </w:r>
          </w:p>
        </w:tc>
        <w:tc>
          <w:tcPr>
            <w:tcW w:w="1276" w:type="dxa"/>
            <w:vAlign w:val="center"/>
          </w:tcPr>
          <w:p w14:paraId="00CFC222" w14:textId="77777777" w:rsidR="00BE0A2F" w:rsidRPr="006B0F72" w:rsidRDefault="00BE0A2F" w:rsidP="00BE0A2F">
            <w:pPr>
              <w:spacing w:before="20" w:after="20"/>
              <w:rPr>
                <w:noProof/>
                <w:color w:val="000000" w:themeColor="text1"/>
                <w:sz w:val="18"/>
              </w:rPr>
            </w:pPr>
            <w:r w:rsidRPr="006B0F72">
              <w:rPr>
                <w:noProof/>
                <w:color w:val="000000" w:themeColor="text1"/>
                <w:sz w:val="18"/>
              </w:rPr>
              <w:t>obveznosti</w:t>
            </w:r>
          </w:p>
        </w:tc>
        <w:tc>
          <w:tcPr>
            <w:tcW w:w="1134" w:type="dxa"/>
            <w:vAlign w:val="center"/>
          </w:tcPr>
          <w:p w14:paraId="3D574B86" w14:textId="77777777" w:rsidR="00BE0A2F" w:rsidRPr="006B0F72" w:rsidRDefault="00BE0A2F" w:rsidP="00BE0A2F">
            <w:pPr>
              <w:spacing w:before="20" w:after="20"/>
              <w:jc w:val="center"/>
              <w:rPr>
                <w:noProof/>
                <w:color w:val="000000" w:themeColor="text1"/>
                <w:sz w:val="14"/>
              </w:rPr>
            </w:pPr>
            <w:r w:rsidRPr="006B0F72">
              <w:rPr>
                <w:noProof/>
                <w:color w:val="000000" w:themeColor="text1"/>
                <w:sz w:val="14"/>
              </w:rPr>
              <w:t>(1b)</w:t>
            </w:r>
          </w:p>
        </w:tc>
        <w:tc>
          <w:tcPr>
            <w:tcW w:w="992" w:type="dxa"/>
          </w:tcPr>
          <w:p w14:paraId="58F91DDC" w14:textId="77777777" w:rsidR="00BE0A2F" w:rsidRPr="006B0F72" w:rsidRDefault="00BE0A2F" w:rsidP="00BE0A2F">
            <w:pPr>
              <w:spacing w:before="20" w:after="20"/>
              <w:jc w:val="right"/>
              <w:rPr>
                <w:noProof/>
                <w:color w:val="000000" w:themeColor="text1"/>
                <w:sz w:val="20"/>
              </w:rPr>
            </w:pPr>
          </w:p>
        </w:tc>
        <w:tc>
          <w:tcPr>
            <w:tcW w:w="1172" w:type="dxa"/>
          </w:tcPr>
          <w:p w14:paraId="67FB5F7B" w14:textId="77777777" w:rsidR="00BE0A2F" w:rsidRPr="006B0F72" w:rsidRDefault="00BE0A2F" w:rsidP="00BE0A2F">
            <w:pPr>
              <w:spacing w:before="20" w:after="20"/>
              <w:jc w:val="right"/>
              <w:rPr>
                <w:noProof/>
                <w:color w:val="000000" w:themeColor="text1"/>
                <w:sz w:val="20"/>
              </w:rPr>
            </w:pPr>
          </w:p>
        </w:tc>
        <w:tc>
          <w:tcPr>
            <w:tcW w:w="944" w:type="dxa"/>
            <w:vAlign w:val="center"/>
          </w:tcPr>
          <w:p w14:paraId="318AD45E" w14:textId="77777777" w:rsidR="00BE0A2F" w:rsidRPr="006B0F72" w:rsidRDefault="00BE0A2F" w:rsidP="00BE0A2F">
            <w:pPr>
              <w:spacing w:before="20" w:after="20"/>
              <w:jc w:val="right"/>
              <w:rPr>
                <w:noProof/>
                <w:color w:val="000000" w:themeColor="text1"/>
                <w:sz w:val="20"/>
              </w:rPr>
            </w:pPr>
          </w:p>
        </w:tc>
        <w:tc>
          <w:tcPr>
            <w:tcW w:w="944" w:type="dxa"/>
            <w:vAlign w:val="center"/>
          </w:tcPr>
          <w:p w14:paraId="3601D618" w14:textId="77777777" w:rsidR="00BE0A2F" w:rsidRPr="006B0F72" w:rsidRDefault="00BE0A2F" w:rsidP="00BE0A2F">
            <w:pPr>
              <w:spacing w:before="20" w:after="20"/>
              <w:jc w:val="right"/>
              <w:rPr>
                <w:noProof/>
                <w:color w:val="000000" w:themeColor="text1"/>
                <w:sz w:val="20"/>
              </w:rPr>
            </w:pPr>
          </w:p>
        </w:tc>
        <w:tc>
          <w:tcPr>
            <w:tcW w:w="944" w:type="dxa"/>
            <w:vAlign w:val="center"/>
          </w:tcPr>
          <w:p w14:paraId="7F7F162E" w14:textId="77777777" w:rsidR="00BE0A2F" w:rsidRPr="006B0F72" w:rsidRDefault="00BE0A2F" w:rsidP="00BE0A2F">
            <w:pPr>
              <w:spacing w:before="20" w:after="20"/>
              <w:jc w:val="right"/>
              <w:rPr>
                <w:noProof/>
                <w:color w:val="000000" w:themeColor="text1"/>
                <w:sz w:val="20"/>
              </w:rPr>
            </w:pPr>
          </w:p>
        </w:tc>
        <w:tc>
          <w:tcPr>
            <w:tcW w:w="944" w:type="dxa"/>
            <w:vAlign w:val="center"/>
          </w:tcPr>
          <w:p w14:paraId="4982DD25" w14:textId="77777777" w:rsidR="00BE0A2F" w:rsidRPr="006B0F72" w:rsidRDefault="00BE0A2F" w:rsidP="00BE0A2F">
            <w:pPr>
              <w:spacing w:before="20" w:after="20"/>
              <w:jc w:val="right"/>
              <w:rPr>
                <w:noProof/>
                <w:color w:val="000000" w:themeColor="text1"/>
                <w:sz w:val="20"/>
              </w:rPr>
            </w:pPr>
          </w:p>
        </w:tc>
        <w:tc>
          <w:tcPr>
            <w:tcW w:w="1934" w:type="dxa"/>
            <w:vAlign w:val="center"/>
          </w:tcPr>
          <w:p w14:paraId="3C6AA6CA" w14:textId="77777777" w:rsidR="00BE0A2F" w:rsidRPr="006B0F72" w:rsidRDefault="00BE0A2F" w:rsidP="00BE0A2F">
            <w:pPr>
              <w:spacing w:before="20" w:after="20"/>
              <w:jc w:val="right"/>
              <w:rPr>
                <w:b/>
                <w:noProof/>
                <w:color w:val="000000" w:themeColor="text1"/>
                <w:sz w:val="20"/>
              </w:rPr>
            </w:pPr>
          </w:p>
        </w:tc>
      </w:tr>
      <w:tr w:rsidR="004B7DAE" w:rsidRPr="006B0F72" w14:paraId="00F439AB" w14:textId="77777777" w:rsidTr="00725F02">
        <w:trPr>
          <w:trHeight w:val="268"/>
        </w:trPr>
        <w:tc>
          <w:tcPr>
            <w:tcW w:w="3260" w:type="dxa"/>
            <w:vMerge/>
          </w:tcPr>
          <w:p w14:paraId="64792E56" w14:textId="77777777" w:rsidR="00BE0A2F" w:rsidRPr="006B0F72" w:rsidRDefault="00BE0A2F" w:rsidP="00BE0A2F">
            <w:pPr>
              <w:jc w:val="center"/>
              <w:rPr>
                <w:noProof/>
                <w:color w:val="000000" w:themeColor="text1"/>
                <w:sz w:val="20"/>
              </w:rPr>
            </w:pPr>
          </w:p>
        </w:tc>
        <w:tc>
          <w:tcPr>
            <w:tcW w:w="1276" w:type="dxa"/>
            <w:vAlign w:val="center"/>
          </w:tcPr>
          <w:p w14:paraId="17F38EBC" w14:textId="77777777" w:rsidR="00BE0A2F" w:rsidRPr="006B0F72" w:rsidRDefault="00BE0A2F" w:rsidP="00BE0A2F">
            <w:pPr>
              <w:spacing w:before="20" w:after="20"/>
              <w:rPr>
                <w:noProof/>
                <w:color w:val="000000" w:themeColor="text1"/>
                <w:sz w:val="18"/>
              </w:rPr>
            </w:pPr>
            <w:r w:rsidRPr="006B0F72">
              <w:rPr>
                <w:noProof/>
                <w:color w:val="000000" w:themeColor="text1"/>
                <w:sz w:val="18"/>
              </w:rPr>
              <w:t>plačila</w:t>
            </w:r>
          </w:p>
        </w:tc>
        <w:tc>
          <w:tcPr>
            <w:tcW w:w="1134" w:type="dxa"/>
            <w:vAlign w:val="center"/>
          </w:tcPr>
          <w:p w14:paraId="75B76E94" w14:textId="77777777" w:rsidR="00BE0A2F" w:rsidRPr="006B0F72" w:rsidRDefault="00BE0A2F" w:rsidP="00BE0A2F">
            <w:pPr>
              <w:spacing w:before="20" w:after="20"/>
              <w:jc w:val="center"/>
              <w:rPr>
                <w:noProof/>
                <w:color w:val="000000" w:themeColor="text1"/>
                <w:sz w:val="14"/>
              </w:rPr>
            </w:pPr>
            <w:r w:rsidRPr="006B0F72">
              <w:rPr>
                <w:noProof/>
                <w:color w:val="000000" w:themeColor="text1"/>
                <w:sz w:val="14"/>
              </w:rPr>
              <w:t>(2b)</w:t>
            </w:r>
          </w:p>
        </w:tc>
        <w:tc>
          <w:tcPr>
            <w:tcW w:w="992" w:type="dxa"/>
          </w:tcPr>
          <w:p w14:paraId="191A0B05" w14:textId="77777777" w:rsidR="00BE0A2F" w:rsidRPr="006B0F72" w:rsidRDefault="00BE0A2F" w:rsidP="00BE0A2F">
            <w:pPr>
              <w:spacing w:before="20" w:after="20"/>
              <w:jc w:val="right"/>
              <w:rPr>
                <w:noProof/>
                <w:color w:val="000000" w:themeColor="text1"/>
                <w:sz w:val="20"/>
              </w:rPr>
            </w:pPr>
          </w:p>
        </w:tc>
        <w:tc>
          <w:tcPr>
            <w:tcW w:w="1172" w:type="dxa"/>
          </w:tcPr>
          <w:p w14:paraId="17257DFC" w14:textId="77777777" w:rsidR="00BE0A2F" w:rsidRPr="006B0F72" w:rsidRDefault="00BE0A2F" w:rsidP="00BE0A2F">
            <w:pPr>
              <w:spacing w:before="20" w:after="20"/>
              <w:jc w:val="right"/>
              <w:rPr>
                <w:noProof/>
                <w:color w:val="000000" w:themeColor="text1"/>
                <w:sz w:val="20"/>
              </w:rPr>
            </w:pPr>
          </w:p>
        </w:tc>
        <w:tc>
          <w:tcPr>
            <w:tcW w:w="944" w:type="dxa"/>
            <w:vAlign w:val="center"/>
          </w:tcPr>
          <w:p w14:paraId="145EE4BF" w14:textId="77777777" w:rsidR="00BE0A2F" w:rsidRPr="006B0F72" w:rsidRDefault="00BE0A2F" w:rsidP="00BE0A2F">
            <w:pPr>
              <w:spacing w:before="20" w:after="20"/>
              <w:jc w:val="right"/>
              <w:rPr>
                <w:noProof/>
                <w:color w:val="000000" w:themeColor="text1"/>
                <w:sz w:val="20"/>
              </w:rPr>
            </w:pPr>
          </w:p>
        </w:tc>
        <w:tc>
          <w:tcPr>
            <w:tcW w:w="944" w:type="dxa"/>
            <w:vAlign w:val="center"/>
          </w:tcPr>
          <w:p w14:paraId="177A2FB5" w14:textId="77777777" w:rsidR="00BE0A2F" w:rsidRPr="006B0F72" w:rsidRDefault="00BE0A2F" w:rsidP="00BE0A2F">
            <w:pPr>
              <w:spacing w:before="20" w:after="20"/>
              <w:jc w:val="right"/>
              <w:rPr>
                <w:noProof/>
                <w:color w:val="000000" w:themeColor="text1"/>
                <w:sz w:val="20"/>
              </w:rPr>
            </w:pPr>
          </w:p>
        </w:tc>
        <w:tc>
          <w:tcPr>
            <w:tcW w:w="944" w:type="dxa"/>
            <w:vAlign w:val="center"/>
          </w:tcPr>
          <w:p w14:paraId="4584EEB2" w14:textId="77777777" w:rsidR="00BE0A2F" w:rsidRPr="006B0F72" w:rsidRDefault="00BE0A2F" w:rsidP="00BE0A2F">
            <w:pPr>
              <w:spacing w:before="20" w:after="20"/>
              <w:jc w:val="right"/>
              <w:rPr>
                <w:noProof/>
                <w:color w:val="000000" w:themeColor="text1"/>
                <w:sz w:val="20"/>
              </w:rPr>
            </w:pPr>
          </w:p>
        </w:tc>
        <w:tc>
          <w:tcPr>
            <w:tcW w:w="944" w:type="dxa"/>
            <w:vAlign w:val="center"/>
          </w:tcPr>
          <w:p w14:paraId="17C6087F" w14:textId="77777777" w:rsidR="00BE0A2F" w:rsidRPr="006B0F72" w:rsidRDefault="00BE0A2F" w:rsidP="00BE0A2F">
            <w:pPr>
              <w:spacing w:before="20" w:after="20"/>
              <w:jc w:val="right"/>
              <w:rPr>
                <w:noProof/>
                <w:color w:val="000000" w:themeColor="text1"/>
                <w:sz w:val="20"/>
              </w:rPr>
            </w:pPr>
          </w:p>
        </w:tc>
        <w:tc>
          <w:tcPr>
            <w:tcW w:w="1934" w:type="dxa"/>
            <w:vAlign w:val="center"/>
          </w:tcPr>
          <w:p w14:paraId="23409DD8" w14:textId="77777777" w:rsidR="00BE0A2F" w:rsidRPr="006B0F72" w:rsidRDefault="00BE0A2F" w:rsidP="00BE0A2F">
            <w:pPr>
              <w:spacing w:before="20" w:after="20"/>
              <w:jc w:val="right"/>
              <w:rPr>
                <w:b/>
                <w:noProof/>
                <w:color w:val="000000" w:themeColor="text1"/>
                <w:sz w:val="20"/>
              </w:rPr>
            </w:pPr>
          </w:p>
        </w:tc>
      </w:tr>
      <w:tr w:rsidR="00BE0A2F" w:rsidRPr="006B0F72" w14:paraId="409E6A3B" w14:textId="77777777" w:rsidTr="00B0251E">
        <w:trPr>
          <w:trHeight w:val="229"/>
        </w:trPr>
        <w:tc>
          <w:tcPr>
            <w:tcW w:w="5670" w:type="dxa"/>
            <w:gridSpan w:val="3"/>
            <w:vAlign w:val="center"/>
          </w:tcPr>
          <w:p w14:paraId="34551290" w14:textId="77777777" w:rsidR="00BE0A2F" w:rsidRPr="006B0F72" w:rsidRDefault="00BE0A2F" w:rsidP="00BE0A2F">
            <w:pPr>
              <w:spacing w:before="20" w:after="20"/>
              <w:rPr>
                <w:noProof/>
                <w:color w:val="000000" w:themeColor="text1"/>
              </w:rPr>
            </w:pPr>
            <w:r w:rsidRPr="006B0F72">
              <w:rPr>
                <w:noProof/>
                <w:color w:val="000000" w:themeColor="text1"/>
                <w:sz w:val="21"/>
              </w:rPr>
              <w:t>Odobritve za upravne zadeve, ki se financirajo iz sredstev določenih programov</w:t>
            </w:r>
            <w:r w:rsidRPr="006B0F72">
              <w:rPr>
                <w:rStyle w:val="FootnoteReference"/>
                <w:noProof/>
              </w:rPr>
              <w:footnoteReference w:id="121"/>
            </w:r>
            <w:r w:rsidRPr="006B0F72">
              <w:rPr>
                <w:noProof/>
                <w:color w:val="000000" w:themeColor="text1"/>
                <w:sz w:val="21"/>
              </w:rPr>
              <w:t xml:space="preserve"> </w:t>
            </w:r>
          </w:p>
          <w:p w14:paraId="3EB5F60E" w14:textId="77777777" w:rsidR="00BE0A2F" w:rsidRPr="006B0F72" w:rsidRDefault="00BE0A2F" w:rsidP="00BE0A2F">
            <w:pPr>
              <w:spacing w:before="0" w:after="0"/>
              <w:rPr>
                <w:noProof/>
                <w:color w:val="000000" w:themeColor="text1"/>
              </w:rPr>
            </w:pPr>
          </w:p>
        </w:tc>
        <w:tc>
          <w:tcPr>
            <w:tcW w:w="992" w:type="dxa"/>
          </w:tcPr>
          <w:p w14:paraId="65AD50F6" w14:textId="77777777" w:rsidR="00BE0A2F" w:rsidRPr="006B0F72" w:rsidRDefault="00BE0A2F" w:rsidP="00BE0A2F">
            <w:pPr>
              <w:rPr>
                <w:b/>
                <w:noProof/>
                <w:color w:val="000000" w:themeColor="text1"/>
                <w:sz w:val="20"/>
              </w:rPr>
            </w:pPr>
          </w:p>
        </w:tc>
        <w:tc>
          <w:tcPr>
            <w:tcW w:w="1172" w:type="dxa"/>
          </w:tcPr>
          <w:p w14:paraId="4507D5AB" w14:textId="77777777" w:rsidR="00BE0A2F" w:rsidRPr="006B0F72" w:rsidRDefault="00BE0A2F" w:rsidP="00BE0A2F">
            <w:pPr>
              <w:rPr>
                <w:b/>
                <w:noProof/>
                <w:color w:val="000000" w:themeColor="text1"/>
                <w:sz w:val="20"/>
              </w:rPr>
            </w:pPr>
          </w:p>
        </w:tc>
        <w:tc>
          <w:tcPr>
            <w:tcW w:w="944" w:type="dxa"/>
            <w:vAlign w:val="center"/>
          </w:tcPr>
          <w:p w14:paraId="589CD4F7" w14:textId="77777777" w:rsidR="00BE0A2F" w:rsidRPr="006B0F72" w:rsidRDefault="00BE0A2F" w:rsidP="00BE0A2F">
            <w:pPr>
              <w:rPr>
                <w:b/>
                <w:noProof/>
                <w:color w:val="000000" w:themeColor="text1"/>
                <w:sz w:val="20"/>
              </w:rPr>
            </w:pPr>
          </w:p>
        </w:tc>
        <w:tc>
          <w:tcPr>
            <w:tcW w:w="944" w:type="dxa"/>
            <w:vAlign w:val="center"/>
          </w:tcPr>
          <w:p w14:paraId="13A2EB63" w14:textId="77777777" w:rsidR="00BE0A2F" w:rsidRPr="006B0F72" w:rsidRDefault="00BE0A2F" w:rsidP="00BE0A2F">
            <w:pPr>
              <w:rPr>
                <w:b/>
                <w:noProof/>
                <w:color w:val="000000" w:themeColor="text1"/>
                <w:sz w:val="20"/>
              </w:rPr>
            </w:pPr>
          </w:p>
        </w:tc>
        <w:tc>
          <w:tcPr>
            <w:tcW w:w="944" w:type="dxa"/>
            <w:vAlign w:val="center"/>
          </w:tcPr>
          <w:p w14:paraId="6C2CFEC4" w14:textId="77777777" w:rsidR="00BE0A2F" w:rsidRPr="006B0F72" w:rsidRDefault="00BE0A2F" w:rsidP="00BE0A2F">
            <w:pPr>
              <w:rPr>
                <w:b/>
                <w:noProof/>
                <w:color w:val="000000" w:themeColor="text1"/>
                <w:sz w:val="20"/>
              </w:rPr>
            </w:pPr>
          </w:p>
        </w:tc>
        <w:tc>
          <w:tcPr>
            <w:tcW w:w="944" w:type="dxa"/>
            <w:vAlign w:val="center"/>
          </w:tcPr>
          <w:p w14:paraId="1536A230" w14:textId="77777777" w:rsidR="00BE0A2F" w:rsidRPr="006B0F72" w:rsidRDefault="00BE0A2F" w:rsidP="00BE0A2F">
            <w:pPr>
              <w:rPr>
                <w:b/>
                <w:noProof/>
                <w:color w:val="000000" w:themeColor="text1"/>
                <w:sz w:val="20"/>
              </w:rPr>
            </w:pPr>
          </w:p>
        </w:tc>
        <w:tc>
          <w:tcPr>
            <w:tcW w:w="1934" w:type="dxa"/>
            <w:vAlign w:val="center"/>
          </w:tcPr>
          <w:p w14:paraId="6BF8BE03" w14:textId="77777777" w:rsidR="00BE0A2F" w:rsidRPr="006B0F72" w:rsidRDefault="00BE0A2F" w:rsidP="00BE0A2F">
            <w:pPr>
              <w:rPr>
                <w:b/>
                <w:noProof/>
                <w:color w:val="000000" w:themeColor="text1"/>
                <w:sz w:val="20"/>
              </w:rPr>
            </w:pPr>
          </w:p>
        </w:tc>
      </w:tr>
      <w:tr w:rsidR="00BE0A2F" w:rsidRPr="006B0F72" w14:paraId="1973825C" w14:textId="77777777" w:rsidTr="00B0251E">
        <w:trPr>
          <w:trHeight w:val="316"/>
        </w:trPr>
        <w:tc>
          <w:tcPr>
            <w:tcW w:w="3260" w:type="dxa"/>
            <w:vAlign w:val="center"/>
          </w:tcPr>
          <w:p w14:paraId="185E3E11" w14:textId="77777777" w:rsidR="00BE0A2F" w:rsidRPr="006B0F72" w:rsidRDefault="00BE0A2F" w:rsidP="00BE0A2F">
            <w:pPr>
              <w:spacing w:before="60" w:after="60"/>
              <w:rPr>
                <w:noProof/>
                <w:color w:val="000000" w:themeColor="text1"/>
              </w:rPr>
            </w:pPr>
            <w:r w:rsidRPr="006B0F72">
              <w:rPr>
                <w:noProof/>
                <w:color w:val="000000" w:themeColor="text1"/>
                <w:sz w:val="20"/>
              </w:rPr>
              <w:t>Proračunska vrstica</w:t>
            </w:r>
          </w:p>
        </w:tc>
        <w:tc>
          <w:tcPr>
            <w:tcW w:w="1276" w:type="dxa"/>
            <w:vAlign w:val="center"/>
          </w:tcPr>
          <w:p w14:paraId="727FC37A" w14:textId="77777777" w:rsidR="00BE0A2F" w:rsidRPr="006B0F72" w:rsidRDefault="00BE0A2F" w:rsidP="00BE0A2F">
            <w:pPr>
              <w:spacing w:before="40" w:after="40"/>
              <w:jc w:val="right"/>
              <w:rPr>
                <w:noProof/>
                <w:color w:val="000000" w:themeColor="text1"/>
                <w:sz w:val="18"/>
              </w:rPr>
            </w:pPr>
          </w:p>
        </w:tc>
        <w:tc>
          <w:tcPr>
            <w:tcW w:w="1134" w:type="dxa"/>
            <w:vAlign w:val="center"/>
          </w:tcPr>
          <w:p w14:paraId="2A7B0D18" w14:textId="77777777" w:rsidR="00BE0A2F" w:rsidRPr="006B0F72" w:rsidRDefault="00BE0A2F" w:rsidP="00BE0A2F">
            <w:pPr>
              <w:spacing w:before="40" w:after="40"/>
              <w:jc w:val="center"/>
              <w:rPr>
                <w:noProof/>
                <w:color w:val="000000" w:themeColor="text1"/>
                <w:sz w:val="14"/>
              </w:rPr>
            </w:pPr>
            <w:r w:rsidRPr="006B0F72">
              <w:rPr>
                <w:noProof/>
                <w:color w:val="000000" w:themeColor="text1"/>
                <w:sz w:val="14"/>
              </w:rPr>
              <w:t>(3)</w:t>
            </w:r>
          </w:p>
        </w:tc>
        <w:tc>
          <w:tcPr>
            <w:tcW w:w="992" w:type="dxa"/>
          </w:tcPr>
          <w:p w14:paraId="4DB2093D" w14:textId="77777777" w:rsidR="00BE0A2F" w:rsidRPr="006B0F72" w:rsidRDefault="00BE0A2F" w:rsidP="00BE0A2F">
            <w:pPr>
              <w:spacing w:before="40" w:after="40"/>
              <w:jc w:val="right"/>
              <w:rPr>
                <w:b/>
                <w:noProof/>
                <w:color w:val="000000" w:themeColor="text1"/>
                <w:sz w:val="20"/>
              </w:rPr>
            </w:pPr>
          </w:p>
        </w:tc>
        <w:tc>
          <w:tcPr>
            <w:tcW w:w="1172" w:type="dxa"/>
          </w:tcPr>
          <w:p w14:paraId="421959DA" w14:textId="77777777" w:rsidR="00BE0A2F" w:rsidRPr="006B0F72" w:rsidRDefault="00BE0A2F" w:rsidP="00BE0A2F">
            <w:pPr>
              <w:spacing w:before="40" w:after="40"/>
              <w:jc w:val="right"/>
              <w:rPr>
                <w:b/>
                <w:noProof/>
                <w:color w:val="000000" w:themeColor="text1"/>
                <w:sz w:val="20"/>
              </w:rPr>
            </w:pPr>
          </w:p>
        </w:tc>
        <w:tc>
          <w:tcPr>
            <w:tcW w:w="944" w:type="dxa"/>
            <w:vAlign w:val="center"/>
          </w:tcPr>
          <w:p w14:paraId="6198E13A" w14:textId="77777777" w:rsidR="00BE0A2F" w:rsidRPr="006B0F72" w:rsidRDefault="00BE0A2F" w:rsidP="00BE0A2F">
            <w:pPr>
              <w:spacing w:before="40" w:after="40"/>
              <w:jc w:val="right"/>
              <w:rPr>
                <w:b/>
                <w:noProof/>
                <w:color w:val="000000" w:themeColor="text1"/>
                <w:sz w:val="20"/>
              </w:rPr>
            </w:pPr>
          </w:p>
        </w:tc>
        <w:tc>
          <w:tcPr>
            <w:tcW w:w="944" w:type="dxa"/>
            <w:vAlign w:val="center"/>
          </w:tcPr>
          <w:p w14:paraId="41055087" w14:textId="77777777" w:rsidR="00BE0A2F" w:rsidRPr="006B0F72" w:rsidRDefault="00BE0A2F" w:rsidP="00BE0A2F">
            <w:pPr>
              <w:spacing w:before="40" w:after="40"/>
              <w:jc w:val="right"/>
              <w:rPr>
                <w:b/>
                <w:noProof/>
                <w:color w:val="000000" w:themeColor="text1"/>
                <w:sz w:val="20"/>
              </w:rPr>
            </w:pPr>
          </w:p>
        </w:tc>
        <w:tc>
          <w:tcPr>
            <w:tcW w:w="944" w:type="dxa"/>
            <w:vAlign w:val="center"/>
          </w:tcPr>
          <w:p w14:paraId="03EF1873" w14:textId="77777777" w:rsidR="00BE0A2F" w:rsidRPr="006B0F72" w:rsidRDefault="00BE0A2F" w:rsidP="00BE0A2F">
            <w:pPr>
              <w:spacing w:before="40" w:after="40"/>
              <w:jc w:val="right"/>
              <w:rPr>
                <w:b/>
                <w:noProof/>
                <w:color w:val="000000" w:themeColor="text1"/>
                <w:sz w:val="20"/>
              </w:rPr>
            </w:pPr>
          </w:p>
        </w:tc>
        <w:tc>
          <w:tcPr>
            <w:tcW w:w="944" w:type="dxa"/>
            <w:vAlign w:val="center"/>
          </w:tcPr>
          <w:p w14:paraId="0689993F" w14:textId="77777777" w:rsidR="00BE0A2F" w:rsidRPr="006B0F72" w:rsidRDefault="00BE0A2F" w:rsidP="00BE0A2F">
            <w:pPr>
              <w:spacing w:before="40" w:after="40"/>
              <w:jc w:val="right"/>
              <w:rPr>
                <w:b/>
                <w:noProof/>
                <w:color w:val="000000" w:themeColor="text1"/>
                <w:sz w:val="20"/>
              </w:rPr>
            </w:pPr>
          </w:p>
        </w:tc>
        <w:tc>
          <w:tcPr>
            <w:tcW w:w="1934" w:type="dxa"/>
            <w:vAlign w:val="center"/>
          </w:tcPr>
          <w:p w14:paraId="67C8B278" w14:textId="77777777" w:rsidR="00BE0A2F" w:rsidRPr="006B0F72" w:rsidRDefault="00BE0A2F" w:rsidP="00BE0A2F">
            <w:pPr>
              <w:spacing w:before="40" w:after="40"/>
              <w:jc w:val="right"/>
              <w:rPr>
                <w:b/>
                <w:noProof/>
                <w:color w:val="000000" w:themeColor="text1"/>
                <w:sz w:val="20"/>
              </w:rPr>
            </w:pPr>
          </w:p>
        </w:tc>
      </w:tr>
      <w:tr w:rsidR="00BE0A2F" w:rsidRPr="006B0F72" w14:paraId="4E7269F8" w14:textId="77777777" w:rsidTr="00B0251E">
        <w:trPr>
          <w:trHeight w:val="566"/>
        </w:trPr>
        <w:tc>
          <w:tcPr>
            <w:tcW w:w="3260" w:type="dxa"/>
            <w:vMerge w:val="restart"/>
            <w:vAlign w:val="center"/>
          </w:tcPr>
          <w:p w14:paraId="7F5CB1F3" w14:textId="77777777" w:rsidR="00BE0A2F" w:rsidRPr="006B0F72" w:rsidRDefault="00BE0A2F" w:rsidP="00BE0A2F">
            <w:pPr>
              <w:jc w:val="center"/>
              <w:rPr>
                <w:b/>
                <w:noProof/>
                <w:color w:val="000000" w:themeColor="text1"/>
              </w:rPr>
            </w:pPr>
            <w:r w:rsidRPr="006B0F72">
              <w:rPr>
                <w:b/>
                <w:noProof/>
                <w:color w:val="000000" w:themeColor="text1"/>
                <w:sz w:val="22"/>
              </w:rPr>
              <w:t xml:space="preserve">Odobritve za GD </w:t>
            </w:r>
            <w:r w:rsidRPr="006B0F72">
              <w:rPr>
                <w:noProof/>
                <w:color w:val="000000" w:themeColor="text1"/>
                <w:sz w:val="22"/>
              </w:rPr>
              <w:t>&lt;…….&gt;</w:t>
            </w:r>
            <w:r w:rsidRPr="006B0F72">
              <w:rPr>
                <w:noProof/>
              </w:rPr>
              <w:t xml:space="preserve"> </w:t>
            </w:r>
            <w:r w:rsidRPr="006B0F72">
              <w:rPr>
                <w:noProof/>
              </w:rPr>
              <w:br/>
            </w:r>
            <w:r w:rsidRPr="006B0F72">
              <w:rPr>
                <w:noProof/>
                <w:color w:val="000000" w:themeColor="text1"/>
                <w:sz w:val="22"/>
              </w:rPr>
              <w:t>SKUPAJ</w:t>
            </w:r>
          </w:p>
        </w:tc>
        <w:tc>
          <w:tcPr>
            <w:tcW w:w="1276" w:type="dxa"/>
            <w:vAlign w:val="center"/>
          </w:tcPr>
          <w:p w14:paraId="2223AFC4" w14:textId="77777777" w:rsidR="00BE0A2F" w:rsidRPr="006B0F72" w:rsidRDefault="00BE0A2F" w:rsidP="00BE0A2F">
            <w:pPr>
              <w:rPr>
                <w:noProof/>
                <w:color w:val="000000" w:themeColor="text1"/>
                <w:sz w:val="18"/>
              </w:rPr>
            </w:pPr>
            <w:r w:rsidRPr="006B0F72">
              <w:rPr>
                <w:noProof/>
                <w:color w:val="000000" w:themeColor="text1"/>
                <w:sz w:val="18"/>
              </w:rPr>
              <w:t>obveznosti</w:t>
            </w:r>
          </w:p>
        </w:tc>
        <w:tc>
          <w:tcPr>
            <w:tcW w:w="1134" w:type="dxa"/>
            <w:vAlign w:val="center"/>
          </w:tcPr>
          <w:p w14:paraId="4E1AA8AD" w14:textId="77777777" w:rsidR="00BE0A2F" w:rsidRPr="006B0F72" w:rsidRDefault="00BE0A2F" w:rsidP="00BE0A2F">
            <w:pPr>
              <w:jc w:val="center"/>
              <w:rPr>
                <w:noProof/>
                <w:color w:val="000000" w:themeColor="text1"/>
                <w:sz w:val="14"/>
              </w:rPr>
            </w:pPr>
            <w:r w:rsidRPr="006B0F72">
              <w:rPr>
                <w:noProof/>
                <w:color w:val="000000" w:themeColor="text1"/>
                <w:sz w:val="14"/>
              </w:rPr>
              <w:t>= 1a + 1b + 3</w:t>
            </w:r>
          </w:p>
        </w:tc>
        <w:tc>
          <w:tcPr>
            <w:tcW w:w="992" w:type="dxa"/>
            <w:vAlign w:val="center"/>
          </w:tcPr>
          <w:p w14:paraId="6FC5D0B5"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1172" w:type="dxa"/>
            <w:vAlign w:val="center"/>
          </w:tcPr>
          <w:p w14:paraId="12E4A41F"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944" w:type="dxa"/>
            <w:vAlign w:val="center"/>
          </w:tcPr>
          <w:p w14:paraId="6878F02F"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944" w:type="dxa"/>
            <w:vAlign w:val="center"/>
          </w:tcPr>
          <w:p w14:paraId="02A31A63"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944" w:type="dxa"/>
            <w:vAlign w:val="center"/>
          </w:tcPr>
          <w:p w14:paraId="4637FD3D"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944" w:type="dxa"/>
            <w:vAlign w:val="center"/>
          </w:tcPr>
          <w:p w14:paraId="6CFAEC9E"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1934" w:type="dxa"/>
            <w:vAlign w:val="center"/>
          </w:tcPr>
          <w:p w14:paraId="715469F9"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6.600</w:t>
            </w:r>
          </w:p>
        </w:tc>
      </w:tr>
      <w:tr w:rsidR="00BE0A2F" w:rsidRPr="006B0F72" w14:paraId="1BAD3C81" w14:textId="77777777" w:rsidTr="00B0251E">
        <w:trPr>
          <w:trHeight w:val="670"/>
        </w:trPr>
        <w:tc>
          <w:tcPr>
            <w:tcW w:w="3260" w:type="dxa"/>
            <w:vMerge/>
          </w:tcPr>
          <w:p w14:paraId="16583A52" w14:textId="77777777" w:rsidR="00BE0A2F" w:rsidRPr="006B0F72" w:rsidRDefault="00BE0A2F" w:rsidP="00BE0A2F">
            <w:pPr>
              <w:rPr>
                <w:noProof/>
                <w:color w:val="000000" w:themeColor="text1"/>
                <w:sz w:val="20"/>
              </w:rPr>
            </w:pPr>
          </w:p>
        </w:tc>
        <w:tc>
          <w:tcPr>
            <w:tcW w:w="1276" w:type="dxa"/>
            <w:vAlign w:val="center"/>
          </w:tcPr>
          <w:p w14:paraId="51C20C7E" w14:textId="77777777" w:rsidR="00BE0A2F" w:rsidRPr="006B0F72" w:rsidRDefault="00BE0A2F" w:rsidP="00BE0A2F">
            <w:pPr>
              <w:rPr>
                <w:noProof/>
                <w:color w:val="000000" w:themeColor="text1"/>
                <w:sz w:val="18"/>
              </w:rPr>
            </w:pPr>
            <w:r w:rsidRPr="006B0F72">
              <w:rPr>
                <w:noProof/>
                <w:color w:val="000000" w:themeColor="text1"/>
                <w:sz w:val="18"/>
              </w:rPr>
              <w:t>plačila</w:t>
            </w:r>
          </w:p>
        </w:tc>
        <w:tc>
          <w:tcPr>
            <w:tcW w:w="1134" w:type="dxa"/>
            <w:vAlign w:val="center"/>
          </w:tcPr>
          <w:p w14:paraId="1C661A2A" w14:textId="77777777" w:rsidR="00BE0A2F" w:rsidRPr="006B0F72" w:rsidRDefault="00BE0A2F" w:rsidP="00BE0A2F">
            <w:pPr>
              <w:jc w:val="center"/>
              <w:rPr>
                <w:noProof/>
                <w:color w:val="000000" w:themeColor="text1"/>
                <w:sz w:val="14"/>
              </w:rPr>
            </w:pPr>
            <w:r w:rsidRPr="006B0F72">
              <w:rPr>
                <w:noProof/>
                <w:color w:val="000000" w:themeColor="text1"/>
                <w:sz w:val="14"/>
              </w:rPr>
              <w:t>= 2a + 2b</w:t>
            </w:r>
          </w:p>
          <w:p w14:paraId="14066F50" w14:textId="77777777" w:rsidR="00BE0A2F" w:rsidRPr="006B0F72" w:rsidRDefault="00BE0A2F" w:rsidP="00BE0A2F">
            <w:pPr>
              <w:jc w:val="center"/>
              <w:rPr>
                <w:noProof/>
                <w:color w:val="000000" w:themeColor="text1"/>
                <w:sz w:val="14"/>
              </w:rPr>
            </w:pPr>
            <w:r w:rsidRPr="006B0F72">
              <w:rPr>
                <w:noProof/>
                <w:color w:val="000000" w:themeColor="text1"/>
                <w:sz w:val="14"/>
              </w:rPr>
              <w:t>+ 3</w:t>
            </w:r>
          </w:p>
        </w:tc>
        <w:tc>
          <w:tcPr>
            <w:tcW w:w="992" w:type="dxa"/>
            <w:vAlign w:val="center"/>
          </w:tcPr>
          <w:p w14:paraId="55E9106D"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1172" w:type="dxa"/>
            <w:vAlign w:val="center"/>
          </w:tcPr>
          <w:p w14:paraId="6928008F"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944" w:type="dxa"/>
            <w:vAlign w:val="center"/>
          </w:tcPr>
          <w:p w14:paraId="3EAA5B6B"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0.950</w:t>
            </w:r>
          </w:p>
        </w:tc>
        <w:tc>
          <w:tcPr>
            <w:tcW w:w="944" w:type="dxa"/>
            <w:vAlign w:val="center"/>
          </w:tcPr>
          <w:p w14:paraId="2882002C"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944" w:type="dxa"/>
            <w:vAlign w:val="center"/>
          </w:tcPr>
          <w:p w14:paraId="1E4D6BD5"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944" w:type="dxa"/>
            <w:vAlign w:val="center"/>
          </w:tcPr>
          <w:p w14:paraId="1B2E87AC"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18"/>
              </w:rPr>
              <w:t>1.250</w:t>
            </w:r>
          </w:p>
        </w:tc>
        <w:tc>
          <w:tcPr>
            <w:tcW w:w="1934" w:type="dxa"/>
            <w:vAlign w:val="center"/>
          </w:tcPr>
          <w:p w14:paraId="63179B49"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6.600</w:t>
            </w:r>
          </w:p>
        </w:tc>
      </w:tr>
    </w:tbl>
    <w:p w14:paraId="5FF6D370" w14:textId="77777777" w:rsidR="00BE0A2F" w:rsidRPr="006B0F72" w:rsidRDefault="00BE0A2F" w:rsidP="00BE0A2F">
      <w:pPr>
        <w:rPr>
          <w:noProof/>
          <w:color w:val="000000" w:themeColor="text1"/>
        </w:rPr>
      </w:pPr>
      <w:r w:rsidRPr="006B0F72">
        <w:rPr>
          <w:noProof/>
        </w:rPr>
        <w:t xml:space="preserve"> </w:t>
      </w:r>
      <w:r w:rsidRPr="006B0F72">
        <w:rPr>
          <w:noProof/>
        </w:rPr>
        <w:br/>
      </w:r>
    </w:p>
    <w:p w14:paraId="1B1A60D5" w14:textId="77777777" w:rsidR="00BE0A2F" w:rsidRPr="006B0F72" w:rsidRDefault="00BE0A2F" w:rsidP="00BE0A2F">
      <w:pPr>
        <w:rPr>
          <w:noProof/>
          <w:color w:val="000000" w:themeColor="text1"/>
          <w:sz w:val="22"/>
        </w:rPr>
      </w:pPr>
      <w:r w:rsidRPr="006B0F72">
        <w:rPr>
          <w:noProof/>
          <w:color w:val="000000" w:themeColor="text1"/>
          <w:sz w:val="22"/>
        </w:rPr>
        <w:t xml:space="preserve">Zgoraj navedeni znesek bo potreben za podporo različnim izvedbenim nalogam, povezanim z zakonodajnimi določbami, ki jih bosta izvajala GD ENV in JRC. </w:t>
      </w:r>
    </w:p>
    <w:p w14:paraId="5E01897E" w14:textId="77777777" w:rsidR="00BE0A2F" w:rsidRPr="006B0F72" w:rsidRDefault="00BE0A2F" w:rsidP="00BE0A2F">
      <w:pPr>
        <w:rPr>
          <w:noProof/>
          <w:color w:val="000000" w:themeColor="text1"/>
          <w:sz w:val="22"/>
        </w:rPr>
      </w:pPr>
      <w:r w:rsidRPr="006B0F72">
        <w:rPr>
          <w:noProof/>
          <w:color w:val="000000" w:themeColor="text1"/>
          <w:sz w:val="22"/>
        </w:rPr>
        <w:t>Naročene storitve vključujejo splošne podporne pogodbe za izvajanje zakona o obnovi narave in oceno učinka podpornih pogodb pri določanju novih ciljev za obnovo.</w:t>
      </w:r>
    </w:p>
    <w:p w14:paraId="7C0496DD" w14:textId="77777777" w:rsidR="00BE0A2F" w:rsidRPr="006B0F72" w:rsidRDefault="00BE0A2F" w:rsidP="00BE0A2F">
      <w:pPr>
        <w:rPr>
          <w:noProof/>
          <w:color w:val="000000" w:themeColor="text1"/>
          <w:sz w:val="22"/>
        </w:rPr>
      </w:pPr>
      <w:r w:rsidRPr="006B0F72">
        <w:rPr>
          <w:noProof/>
          <w:color w:val="000000" w:themeColor="text1"/>
          <w:sz w:val="22"/>
        </w:rPr>
        <w:t>Poleg tega so bili v to kategorijo vključeni dogovori o izvajanju z JRC, zlasti za določitev metode za spremljanje, kazalnike in ocenjevanje dobrega stanja za cilje za obnovo, za katere to še ne obstaja, pa tudi za pripravo in podporo na področju vzpostavitve sistema spremljanja za nekatere cilje.</w:t>
      </w:r>
    </w:p>
    <w:p w14:paraId="571C924C" w14:textId="77777777" w:rsidR="00BE0A2F" w:rsidRPr="006B0F72" w:rsidRDefault="00BE0A2F" w:rsidP="00BE0A2F">
      <w:pPr>
        <w:jc w:val="left"/>
        <w:rPr>
          <w:noProof/>
          <w:color w:val="000000" w:themeColor="text1"/>
          <w:sz w:val="22"/>
        </w:rPr>
      </w:pPr>
    </w:p>
    <w:tbl>
      <w:tblPr>
        <w:tblW w:w="14102" w:type="dxa"/>
        <w:tblInd w:w="118" w:type="dxa"/>
        <w:tblLook w:val="04A0" w:firstRow="1" w:lastRow="0" w:firstColumn="1" w:lastColumn="0" w:noHBand="0" w:noVBand="1"/>
      </w:tblPr>
      <w:tblGrid>
        <w:gridCol w:w="1231"/>
        <w:gridCol w:w="2421"/>
        <w:gridCol w:w="2674"/>
        <w:gridCol w:w="675"/>
        <w:gridCol w:w="1231"/>
        <w:gridCol w:w="1231"/>
        <w:gridCol w:w="1039"/>
        <w:gridCol w:w="1231"/>
        <w:gridCol w:w="1039"/>
        <w:gridCol w:w="1330"/>
      </w:tblGrid>
      <w:tr w:rsidR="00BE0A2F" w:rsidRPr="006B0F72" w14:paraId="68C0C081" w14:textId="77777777" w:rsidTr="00BE0A2F">
        <w:trPr>
          <w:trHeight w:val="300"/>
        </w:trPr>
        <w:tc>
          <w:tcPr>
            <w:tcW w:w="1231" w:type="dxa"/>
            <w:tcBorders>
              <w:top w:val="single" w:sz="8" w:space="0" w:color="auto"/>
              <w:left w:val="single" w:sz="8" w:space="0" w:color="auto"/>
              <w:bottom w:val="single" w:sz="4" w:space="0" w:color="auto"/>
              <w:right w:val="single" w:sz="8" w:space="0" w:color="000000"/>
            </w:tcBorders>
          </w:tcPr>
          <w:p w14:paraId="7E254ABE"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lang w:eastAsia="zh-CN"/>
              </w:rPr>
            </w:pPr>
          </w:p>
        </w:tc>
        <w:tc>
          <w:tcPr>
            <w:tcW w:w="12871"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7B152C1"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 xml:space="preserve">Vsi stroški razen za človeške vire in upravo                                                </w:t>
            </w:r>
            <w:r w:rsidRPr="006B0F72">
              <w:rPr>
                <w:rFonts w:ascii="Calibri" w:hAnsi="Calibri"/>
                <w:noProof/>
                <w:color w:val="000000" w:themeColor="text1"/>
                <w:sz w:val="20"/>
              </w:rPr>
              <w:t>(v milijonih EUR (na tri decimalna mesta natančno))</w:t>
            </w:r>
          </w:p>
        </w:tc>
      </w:tr>
      <w:tr w:rsidR="00BE0A2F" w:rsidRPr="006B0F72" w14:paraId="5EF80A5E" w14:textId="77777777" w:rsidTr="00BE0A2F">
        <w:trPr>
          <w:trHeight w:val="300"/>
        </w:trPr>
        <w:tc>
          <w:tcPr>
            <w:tcW w:w="3652" w:type="dxa"/>
            <w:gridSpan w:val="2"/>
            <w:tcBorders>
              <w:top w:val="nil"/>
              <w:left w:val="single" w:sz="8" w:space="0" w:color="auto"/>
              <w:bottom w:val="single" w:sz="4" w:space="0" w:color="auto"/>
              <w:right w:val="nil"/>
            </w:tcBorders>
            <w:shd w:val="clear" w:color="auto" w:fill="auto"/>
            <w:noWrap/>
            <w:vAlign w:val="bottom"/>
            <w:hideMark/>
          </w:tcPr>
          <w:p w14:paraId="45A60196"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Naloge</w:t>
            </w:r>
          </w:p>
        </w:tc>
        <w:tc>
          <w:tcPr>
            <w:tcW w:w="2674" w:type="dxa"/>
            <w:tcBorders>
              <w:top w:val="nil"/>
              <w:left w:val="nil"/>
              <w:bottom w:val="single" w:sz="4" w:space="0" w:color="auto"/>
              <w:right w:val="nil"/>
            </w:tcBorders>
            <w:shd w:val="clear" w:color="auto" w:fill="auto"/>
            <w:noWrap/>
            <w:vAlign w:val="bottom"/>
            <w:hideMark/>
          </w:tcPr>
          <w:p w14:paraId="0C97A07A"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Viri</w:t>
            </w:r>
          </w:p>
        </w:tc>
        <w:tc>
          <w:tcPr>
            <w:tcW w:w="675" w:type="dxa"/>
            <w:tcBorders>
              <w:top w:val="nil"/>
              <w:left w:val="nil"/>
              <w:bottom w:val="single" w:sz="4" w:space="0" w:color="auto"/>
              <w:right w:val="nil"/>
            </w:tcBorders>
            <w:vAlign w:val="bottom"/>
          </w:tcPr>
          <w:p w14:paraId="2FF418A6"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2022</w:t>
            </w:r>
          </w:p>
        </w:tc>
        <w:tc>
          <w:tcPr>
            <w:tcW w:w="1231" w:type="dxa"/>
            <w:tcBorders>
              <w:top w:val="nil"/>
              <w:left w:val="nil"/>
              <w:bottom w:val="single" w:sz="4" w:space="0" w:color="auto"/>
              <w:right w:val="nil"/>
            </w:tcBorders>
            <w:shd w:val="clear" w:color="auto" w:fill="auto"/>
            <w:noWrap/>
            <w:vAlign w:val="bottom"/>
            <w:hideMark/>
          </w:tcPr>
          <w:p w14:paraId="42627837"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2023</w:t>
            </w:r>
          </w:p>
        </w:tc>
        <w:tc>
          <w:tcPr>
            <w:tcW w:w="1231" w:type="dxa"/>
            <w:tcBorders>
              <w:top w:val="nil"/>
              <w:left w:val="nil"/>
              <w:bottom w:val="single" w:sz="4" w:space="0" w:color="auto"/>
              <w:right w:val="nil"/>
            </w:tcBorders>
            <w:shd w:val="clear" w:color="auto" w:fill="auto"/>
            <w:noWrap/>
            <w:vAlign w:val="bottom"/>
            <w:hideMark/>
          </w:tcPr>
          <w:p w14:paraId="56AA9CA3"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2024</w:t>
            </w:r>
          </w:p>
        </w:tc>
        <w:tc>
          <w:tcPr>
            <w:tcW w:w="1039" w:type="dxa"/>
            <w:tcBorders>
              <w:top w:val="nil"/>
              <w:left w:val="nil"/>
              <w:bottom w:val="single" w:sz="4" w:space="0" w:color="auto"/>
              <w:right w:val="nil"/>
            </w:tcBorders>
            <w:shd w:val="clear" w:color="auto" w:fill="auto"/>
            <w:noWrap/>
            <w:vAlign w:val="bottom"/>
            <w:hideMark/>
          </w:tcPr>
          <w:p w14:paraId="6A47FE11"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2025</w:t>
            </w:r>
          </w:p>
        </w:tc>
        <w:tc>
          <w:tcPr>
            <w:tcW w:w="1231" w:type="dxa"/>
            <w:tcBorders>
              <w:top w:val="nil"/>
              <w:left w:val="nil"/>
              <w:bottom w:val="single" w:sz="4" w:space="0" w:color="auto"/>
              <w:right w:val="nil"/>
            </w:tcBorders>
            <w:shd w:val="clear" w:color="auto" w:fill="auto"/>
            <w:noWrap/>
            <w:vAlign w:val="bottom"/>
            <w:hideMark/>
          </w:tcPr>
          <w:p w14:paraId="66EABEBF"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2026</w:t>
            </w:r>
          </w:p>
        </w:tc>
        <w:tc>
          <w:tcPr>
            <w:tcW w:w="1039" w:type="dxa"/>
            <w:tcBorders>
              <w:top w:val="nil"/>
              <w:left w:val="nil"/>
              <w:bottom w:val="single" w:sz="4" w:space="0" w:color="auto"/>
              <w:right w:val="nil"/>
            </w:tcBorders>
            <w:shd w:val="clear" w:color="auto" w:fill="auto"/>
            <w:noWrap/>
            <w:vAlign w:val="bottom"/>
            <w:hideMark/>
          </w:tcPr>
          <w:p w14:paraId="56A486CB"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2027</w:t>
            </w:r>
          </w:p>
        </w:tc>
        <w:tc>
          <w:tcPr>
            <w:tcW w:w="1330" w:type="dxa"/>
            <w:tcBorders>
              <w:top w:val="nil"/>
              <w:left w:val="nil"/>
              <w:bottom w:val="single" w:sz="4" w:space="0" w:color="auto"/>
              <w:right w:val="single" w:sz="8" w:space="0" w:color="auto"/>
            </w:tcBorders>
            <w:shd w:val="clear" w:color="auto" w:fill="auto"/>
            <w:noWrap/>
            <w:vAlign w:val="bottom"/>
            <w:hideMark/>
          </w:tcPr>
          <w:p w14:paraId="00D3F8AF"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SKUPAJ</w:t>
            </w:r>
          </w:p>
        </w:tc>
      </w:tr>
      <w:tr w:rsidR="00BE0A2F" w:rsidRPr="006B0F72" w14:paraId="41B36799" w14:textId="77777777" w:rsidTr="00BE0A2F">
        <w:trPr>
          <w:trHeight w:val="300"/>
        </w:trPr>
        <w:tc>
          <w:tcPr>
            <w:tcW w:w="3652" w:type="dxa"/>
            <w:gridSpan w:val="2"/>
            <w:tcBorders>
              <w:top w:val="nil"/>
              <w:left w:val="single" w:sz="8" w:space="0" w:color="auto"/>
              <w:bottom w:val="nil"/>
              <w:right w:val="nil"/>
            </w:tcBorders>
            <w:shd w:val="clear" w:color="auto" w:fill="F2F2F2" w:themeFill="background1" w:themeFillShade="F2"/>
            <w:noWrap/>
            <w:vAlign w:val="bottom"/>
          </w:tcPr>
          <w:p w14:paraId="6CB2AC36" w14:textId="77777777" w:rsidR="00BE0A2F" w:rsidRPr="006B0F72"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2674" w:type="dxa"/>
            <w:tcBorders>
              <w:top w:val="nil"/>
              <w:left w:val="nil"/>
              <w:bottom w:val="nil"/>
              <w:right w:val="nil"/>
            </w:tcBorders>
            <w:shd w:val="clear" w:color="auto" w:fill="F2F2F2" w:themeFill="background1" w:themeFillShade="F2"/>
            <w:noWrap/>
            <w:vAlign w:val="bottom"/>
          </w:tcPr>
          <w:p w14:paraId="1D8586C9" w14:textId="77777777" w:rsidR="00BE0A2F" w:rsidRPr="006B0F72"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675" w:type="dxa"/>
            <w:tcBorders>
              <w:top w:val="nil"/>
              <w:left w:val="nil"/>
              <w:bottom w:val="nil"/>
              <w:right w:val="nil"/>
            </w:tcBorders>
            <w:shd w:val="clear" w:color="auto" w:fill="F2F2F2" w:themeFill="background1" w:themeFillShade="F2"/>
            <w:vAlign w:val="bottom"/>
          </w:tcPr>
          <w:p w14:paraId="2690878A"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11AC8DA8"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23C31550"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nil"/>
              <w:right w:val="nil"/>
            </w:tcBorders>
            <w:shd w:val="clear" w:color="auto" w:fill="F2F2F2" w:themeFill="background1" w:themeFillShade="F2"/>
            <w:noWrap/>
            <w:vAlign w:val="bottom"/>
          </w:tcPr>
          <w:p w14:paraId="0E156925"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666F6411"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nil"/>
              <w:right w:val="nil"/>
            </w:tcBorders>
            <w:shd w:val="clear" w:color="auto" w:fill="F2F2F2" w:themeFill="background1" w:themeFillShade="F2"/>
            <w:noWrap/>
            <w:vAlign w:val="bottom"/>
          </w:tcPr>
          <w:p w14:paraId="5A5EBFC8"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330" w:type="dxa"/>
            <w:tcBorders>
              <w:top w:val="nil"/>
              <w:left w:val="nil"/>
              <w:bottom w:val="nil"/>
              <w:right w:val="single" w:sz="8" w:space="0" w:color="auto"/>
            </w:tcBorders>
            <w:shd w:val="clear" w:color="auto" w:fill="F2F2F2" w:themeFill="background1" w:themeFillShade="F2"/>
            <w:noWrap/>
            <w:vAlign w:val="bottom"/>
          </w:tcPr>
          <w:p w14:paraId="7FF0532A" w14:textId="77777777" w:rsidR="00BE0A2F" w:rsidRPr="006B0F72" w:rsidRDefault="00BE0A2F" w:rsidP="00BE0A2F">
            <w:pPr>
              <w:spacing w:before="0" w:after="0"/>
              <w:jc w:val="center"/>
              <w:rPr>
                <w:rFonts w:ascii="Calibri" w:eastAsia="Times New Roman" w:hAnsi="Calibri" w:cs="Calibri"/>
                <w:b/>
                <w:noProof/>
                <w:color w:val="000000" w:themeColor="text1"/>
                <w:sz w:val="20"/>
                <w:szCs w:val="20"/>
                <w:lang w:eastAsia="zh-CN"/>
              </w:rPr>
            </w:pPr>
          </w:p>
        </w:tc>
      </w:tr>
      <w:tr w:rsidR="00BE0A2F" w:rsidRPr="006B0F72" w14:paraId="08956E4D" w14:textId="77777777" w:rsidTr="00BE0A2F">
        <w:trPr>
          <w:trHeight w:val="300"/>
        </w:trPr>
        <w:tc>
          <w:tcPr>
            <w:tcW w:w="3652" w:type="dxa"/>
            <w:gridSpan w:val="2"/>
            <w:tcBorders>
              <w:top w:val="nil"/>
              <w:left w:val="single" w:sz="8" w:space="0" w:color="auto"/>
              <w:bottom w:val="nil"/>
              <w:right w:val="nil"/>
            </w:tcBorders>
            <w:shd w:val="clear" w:color="auto" w:fill="auto"/>
            <w:noWrap/>
          </w:tcPr>
          <w:p w14:paraId="1A9A1D72"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Splošna podpora za izvajanje zakona o obnovi narave (za ocenjevanje nacionalnih načrtov za obnovo, za oblikovanje smernic za države članice …)</w:t>
            </w:r>
          </w:p>
        </w:tc>
        <w:tc>
          <w:tcPr>
            <w:tcW w:w="2674" w:type="dxa"/>
            <w:tcBorders>
              <w:top w:val="nil"/>
              <w:left w:val="nil"/>
              <w:bottom w:val="nil"/>
              <w:right w:val="nil"/>
            </w:tcBorders>
            <w:shd w:val="clear" w:color="auto" w:fill="auto"/>
            <w:noWrap/>
          </w:tcPr>
          <w:p w14:paraId="25684F1F"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Naročila storitev / zunanji strokovnjaki</w:t>
            </w:r>
          </w:p>
        </w:tc>
        <w:tc>
          <w:tcPr>
            <w:tcW w:w="675" w:type="dxa"/>
            <w:tcBorders>
              <w:top w:val="nil"/>
              <w:left w:val="nil"/>
              <w:bottom w:val="nil"/>
              <w:right w:val="nil"/>
            </w:tcBorders>
          </w:tcPr>
          <w:p w14:paraId="2DB00E49"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5620DEEF"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46155D8D"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039" w:type="dxa"/>
            <w:tcBorders>
              <w:top w:val="nil"/>
              <w:left w:val="nil"/>
              <w:bottom w:val="nil"/>
              <w:right w:val="nil"/>
            </w:tcBorders>
            <w:shd w:val="clear" w:color="auto" w:fill="auto"/>
            <w:noWrap/>
          </w:tcPr>
          <w:p w14:paraId="3CB2C530"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3143898C"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039" w:type="dxa"/>
            <w:tcBorders>
              <w:top w:val="nil"/>
              <w:left w:val="nil"/>
              <w:bottom w:val="nil"/>
              <w:right w:val="nil"/>
            </w:tcBorders>
            <w:shd w:val="clear" w:color="auto" w:fill="auto"/>
            <w:noWrap/>
          </w:tcPr>
          <w:p w14:paraId="070081CD"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0,600</w:t>
            </w:r>
          </w:p>
        </w:tc>
        <w:tc>
          <w:tcPr>
            <w:tcW w:w="1330" w:type="dxa"/>
            <w:tcBorders>
              <w:top w:val="nil"/>
              <w:left w:val="nil"/>
              <w:bottom w:val="nil"/>
              <w:right w:val="single" w:sz="8" w:space="0" w:color="auto"/>
            </w:tcBorders>
            <w:shd w:val="clear" w:color="auto" w:fill="auto"/>
            <w:noWrap/>
          </w:tcPr>
          <w:p w14:paraId="398042F4" w14:textId="77777777" w:rsidR="00BE0A2F" w:rsidRPr="006B0F72" w:rsidRDefault="00BE0A2F" w:rsidP="00BE0A2F">
            <w:pPr>
              <w:spacing w:before="0" w:after="0"/>
              <w:jc w:val="center"/>
              <w:rPr>
                <w:rFonts w:ascii="Calibri" w:eastAsia="Times New Roman" w:hAnsi="Calibri" w:cs="Calibri"/>
                <w:b/>
                <w:noProof/>
                <w:color w:val="000000" w:themeColor="text1"/>
                <w:sz w:val="20"/>
                <w:szCs w:val="20"/>
              </w:rPr>
            </w:pPr>
            <w:r w:rsidRPr="006B0F72">
              <w:rPr>
                <w:rFonts w:ascii="Calibri" w:hAnsi="Calibri"/>
                <w:b/>
                <w:noProof/>
                <w:color w:val="000000" w:themeColor="text1"/>
                <w:sz w:val="20"/>
              </w:rPr>
              <w:t>3,600</w:t>
            </w:r>
          </w:p>
        </w:tc>
      </w:tr>
      <w:tr w:rsidR="00BE0A2F" w:rsidRPr="006B0F72" w14:paraId="6D062B45" w14:textId="77777777" w:rsidTr="00BE0A2F">
        <w:trPr>
          <w:trHeight w:val="300"/>
        </w:trPr>
        <w:tc>
          <w:tcPr>
            <w:tcW w:w="3652" w:type="dxa"/>
            <w:gridSpan w:val="2"/>
            <w:tcBorders>
              <w:top w:val="nil"/>
              <w:left w:val="single" w:sz="8" w:space="0" w:color="auto"/>
              <w:bottom w:val="nil"/>
              <w:right w:val="nil"/>
            </w:tcBorders>
            <w:shd w:val="clear" w:color="000000" w:fill="F2F2F2"/>
            <w:noWrap/>
            <w:hideMark/>
          </w:tcPr>
          <w:p w14:paraId="67B52369"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Določitev metode za spremljanje, kazalnike in ocenjevanje dobrega stanja. Priprava in podpora na področju spremljanja nekaterih ciljev za obnovo.</w:t>
            </w:r>
          </w:p>
        </w:tc>
        <w:tc>
          <w:tcPr>
            <w:tcW w:w="2674" w:type="dxa"/>
            <w:tcBorders>
              <w:top w:val="nil"/>
              <w:left w:val="nil"/>
              <w:bottom w:val="nil"/>
              <w:right w:val="nil"/>
            </w:tcBorders>
            <w:shd w:val="clear" w:color="000000" w:fill="F2F2F2"/>
            <w:noWrap/>
            <w:hideMark/>
          </w:tcPr>
          <w:p w14:paraId="2B1C7020"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Dogovor o izvajanju med ENV - JRC</w:t>
            </w:r>
          </w:p>
        </w:tc>
        <w:tc>
          <w:tcPr>
            <w:tcW w:w="675" w:type="dxa"/>
            <w:tcBorders>
              <w:top w:val="nil"/>
              <w:left w:val="nil"/>
              <w:bottom w:val="nil"/>
              <w:right w:val="nil"/>
            </w:tcBorders>
            <w:shd w:val="clear" w:color="000000" w:fill="F2F2F2"/>
          </w:tcPr>
          <w:p w14:paraId="7D065490"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76E70974"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18628BC6"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039" w:type="dxa"/>
            <w:tcBorders>
              <w:top w:val="nil"/>
              <w:left w:val="nil"/>
              <w:bottom w:val="nil"/>
              <w:right w:val="nil"/>
            </w:tcBorders>
            <w:shd w:val="clear" w:color="000000" w:fill="F2F2F2"/>
            <w:noWrap/>
          </w:tcPr>
          <w:p w14:paraId="1798DC4F"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5E489113"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039" w:type="dxa"/>
            <w:tcBorders>
              <w:top w:val="nil"/>
              <w:left w:val="nil"/>
              <w:bottom w:val="nil"/>
              <w:right w:val="nil"/>
            </w:tcBorders>
            <w:shd w:val="clear" w:color="000000" w:fill="F2F2F2"/>
            <w:noWrap/>
          </w:tcPr>
          <w:p w14:paraId="20F25F98"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0,350</w:t>
            </w:r>
          </w:p>
        </w:tc>
        <w:tc>
          <w:tcPr>
            <w:tcW w:w="1330" w:type="dxa"/>
            <w:tcBorders>
              <w:top w:val="nil"/>
              <w:left w:val="nil"/>
              <w:bottom w:val="nil"/>
              <w:right w:val="single" w:sz="8" w:space="0" w:color="auto"/>
            </w:tcBorders>
            <w:shd w:val="clear" w:color="000000" w:fill="F2F2F2"/>
            <w:noWrap/>
          </w:tcPr>
          <w:p w14:paraId="0D4A0DF5" w14:textId="77777777" w:rsidR="00BE0A2F" w:rsidRPr="006B0F72" w:rsidRDefault="00BE0A2F" w:rsidP="00BE0A2F">
            <w:pPr>
              <w:spacing w:before="0" w:after="0"/>
              <w:jc w:val="center"/>
              <w:rPr>
                <w:rFonts w:ascii="Calibri" w:eastAsia="Times New Roman" w:hAnsi="Calibri" w:cs="Calibri"/>
                <w:b/>
                <w:noProof/>
                <w:color w:val="000000" w:themeColor="text1"/>
                <w:sz w:val="20"/>
                <w:szCs w:val="20"/>
              </w:rPr>
            </w:pPr>
            <w:r w:rsidRPr="006B0F72">
              <w:rPr>
                <w:rFonts w:ascii="Calibri" w:hAnsi="Calibri"/>
                <w:b/>
                <w:noProof/>
                <w:color w:val="000000" w:themeColor="text1"/>
                <w:sz w:val="20"/>
              </w:rPr>
              <w:t>2,100</w:t>
            </w:r>
          </w:p>
        </w:tc>
      </w:tr>
      <w:tr w:rsidR="00BE0A2F" w:rsidRPr="006B0F72" w14:paraId="03738D86" w14:textId="77777777" w:rsidTr="00BE0A2F">
        <w:trPr>
          <w:trHeight w:val="169"/>
        </w:trPr>
        <w:tc>
          <w:tcPr>
            <w:tcW w:w="3652" w:type="dxa"/>
            <w:gridSpan w:val="2"/>
            <w:tcBorders>
              <w:top w:val="nil"/>
              <w:left w:val="single" w:sz="8" w:space="0" w:color="auto"/>
              <w:bottom w:val="nil"/>
              <w:right w:val="nil"/>
            </w:tcBorders>
            <w:shd w:val="clear" w:color="000000" w:fill="F2F2F2"/>
            <w:noWrap/>
          </w:tcPr>
          <w:p w14:paraId="20B6E9E8" w14:textId="77777777" w:rsidR="00BE0A2F" w:rsidRPr="006B0F72"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2674" w:type="dxa"/>
            <w:tcBorders>
              <w:top w:val="nil"/>
              <w:left w:val="nil"/>
              <w:bottom w:val="nil"/>
              <w:right w:val="nil"/>
            </w:tcBorders>
            <w:shd w:val="clear" w:color="000000" w:fill="F2F2F2"/>
            <w:noWrap/>
          </w:tcPr>
          <w:p w14:paraId="24383C3B" w14:textId="77777777" w:rsidR="00BE0A2F" w:rsidRPr="006B0F72" w:rsidRDefault="00BE0A2F" w:rsidP="00BE0A2F">
            <w:pPr>
              <w:spacing w:before="0" w:after="0"/>
              <w:jc w:val="left"/>
              <w:rPr>
                <w:rFonts w:ascii="Calibri" w:eastAsia="Times New Roman" w:hAnsi="Calibri" w:cs="Calibri"/>
                <w:noProof/>
                <w:color w:val="000000" w:themeColor="text1"/>
                <w:sz w:val="20"/>
                <w:szCs w:val="20"/>
                <w:highlight w:val="yellow"/>
                <w:lang w:eastAsia="zh-CN"/>
              </w:rPr>
            </w:pPr>
          </w:p>
        </w:tc>
        <w:tc>
          <w:tcPr>
            <w:tcW w:w="675" w:type="dxa"/>
            <w:tcBorders>
              <w:top w:val="nil"/>
              <w:left w:val="nil"/>
              <w:bottom w:val="nil"/>
              <w:right w:val="nil"/>
            </w:tcBorders>
            <w:shd w:val="clear" w:color="000000" w:fill="F2F2F2"/>
          </w:tcPr>
          <w:p w14:paraId="1C6B59D6"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5D621545"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16D6F08E"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039" w:type="dxa"/>
            <w:tcBorders>
              <w:top w:val="nil"/>
              <w:left w:val="nil"/>
              <w:bottom w:val="nil"/>
              <w:right w:val="nil"/>
            </w:tcBorders>
            <w:shd w:val="clear" w:color="000000" w:fill="F2F2F2"/>
            <w:noWrap/>
          </w:tcPr>
          <w:p w14:paraId="4ED72E0F"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300ED150"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039" w:type="dxa"/>
            <w:tcBorders>
              <w:top w:val="nil"/>
              <w:left w:val="nil"/>
              <w:bottom w:val="nil"/>
              <w:right w:val="nil"/>
            </w:tcBorders>
            <w:shd w:val="clear" w:color="000000" w:fill="F2F2F2"/>
            <w:noWrap/>
          </w:tcPr>
          <w:p w14:paraId="4380B810"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330" w:type="dxa"/>
            <w:tcBorders>
              <w:top w:val="nil"/>
              <w:left w:val="nil"/>
              <w:bottom w:val="nil"/>
              <w:right w:val="single" w:sz="8" w:space="0" w:color="auto"/>
            </w:tcBorders>
            <w:shd w:val="clear" w:color="000000" w:fill="F2F2F2"/>
            <w:noWrap/>
          </w:tcPr>
          <w:p w14:paraId="3C221B06" w14:textId="77777777" w:rsidR="00BE0A2F" w:rsidRPr="006B0F72" w:rsidRDefault="00BE0A2F" w:rsidP="00BE0A2F">
            <w:pPr>
              <w:spacing w:before="0" w:after="0"/>
              <w:jc w:val="center"/>
              <w:rPr>
                <w:rFonts w:ascii="Calibri" w:eastAsia="Times New Roman" w:hAnsi="Calibri" w:cs="Calibri"/>
                <w:b/>
                <w:noProof/>
                <w:color w:val="000000" w:themeColor="text1"/>
                <w:sz w:val="20"/>
                <w:szCs w:val="20"/>
                <w:lang w:eastAsia="zh-CN"/>
              </w:rPr>
            </w:pPr>
          </w:p>
        </w:tc>
      </w:tr>
      <w:tr w:rsidR="00BE0A2F" w:rsidRPr="006B0F72" w14:paraId="1113B116" w14:textId="77777777" w:rsidTr="00BE0A2F">
        <w:trPr>
          <w:trHeight w:val="627"/>
        </w:trPr>
        <w:tc>
          <w:tcPr>
            <w:tcW w:w="3652" w:type="dxa"/>
            <w:gridSpan w:val="2"/>
            <w:tcBorders>
              <w:top w:val="nil"/>
              <w:left w:val="single" w:sz="8" w:space="0" w:color="auto"/>
              <w:bottom w:val="single" w:sz="8" w:space="0" w:color="auto"/>
              <w:right w:val="nil"/>
            </w:tcBorders>
            <w:shd w:val="clear" w:color="auto" w:fill="FFFFFF" w:themeFill="background1"/>
            <w:noWrap/>
          </w:tcPr>
          <w:p w14:paraId="03090714"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Ocena učinka novih ciljev za obnovo</w:t>
            </w:r>
          </w:p>
        </w:tc>
        <w:tc>
          <w:tcPr>
            <w:tcW w:w="2674" w:type="dxa"/>
            <w:tcBorders>
              <w:top w:val="nil"/>
              <w:left w:val="nil"/>
              <w:bottom w:val="single" w:sz="8" w:space="0" w:color="auto"/>
              <w:right w:val="nil"/>
            </w:tcBorders>
            <w:shd w:val="clear" w:color="auto" w:fill="FFFFFF" w:themeFill="background1"/>
            <w:noWrap/>
          </w:tcPr>
          <w:p w14:paraId="0C6142FD"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Podporna/-e pogodba/-e za oceno učinka</w:t>
            </w:r>
          </w:p>
        </w:tc>
        <w:tc>
          <w:tcPr>
            <w:tcW w:w="675" w:type="dxa"/>
            <w:tcBorders>
              <w:top w:val="nil"/>
              <w:left w:val="nil"/>
              <w:bottom w:val="single" w:sz="8" w:space="0" w:color="auto"/>
              <w:right w:val="nil"/>
            </w:tcBorders>
            <w:shd w:val="clear" w:color="auto" w:fill="FFFFFF" w:themeFill="background1"/>
          </w:tcPr>
          <w:p w14:paraId="0A53AAA6"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single" w:sz="8" w:space="0" w:color="auto"/>
              <w:right w:val="nil"/>
            </w:tcBorders>
            <w:shd w:val="clear" w:color="auto" w:fill="FFFFFF" w:themeFill="background1"/>
            <w:noWrap/>
          </w:tcPr>
          <w:p w14:paraId="46C65865"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single" w:sz="8" w:space="0" w:color="auto"/>
              <w:right w:val="nil"/>
            </w:tcBorders>
            <w:shd w:val="clear" w:color="auto" w:fill="FFFFFF" w:themeFill="background1"/>
            <w:noWrap/>
          </w:tcPr>
          <w:p w14:paraId="4239EAD1"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single" w:sz="8" w:space="0" w:color="auto"/>
              <w:right w:val="nil"/>
            </w:tcBorders>
            <w:shd w:val="clear" w:color="auto" w:fill="FFFFFF" w:themeFill="background1"/>
            <w:noWrap/>
          </w:tcPr>
          <w:p w14:paraId="42F23BDA"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0,300</w:t>
            </w:r>
          </w:p>
        </w:tc>
        <w:tc>
          <w:tcPr>
            <w:tcW w:w="1231" w:type="dxa"/>
            <w:tcBorders>
              <w:top w:val="nil"/>
              <w:left w:val="nil"/>
              <w:bottom w:val="single" w:sz="8" w:space="0" w:color="auto"/>
              <w:right w:val="nil"/>
            </w:tcBorders>
            <w:shd w:val="clear" w:color="auto" w:fill="FFFFFF" w:themeFill="background1"/>
            <w:noWrap/>
          </w:tcPr>
          <w:p w14:paraId="61EEF18F"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0,300</w:t>
            </w:r>
          </w:p>
        </w:tc>
        <w:tc>
          <w:tcPr>
            <w:tcW w:w="1039" w:type="dxa"/>
            <w:tcBorders>
              <w:top w:val="nil"/>
              <w:left w:val="nil"/>
              <w:bottom w:val="single" w:sz="8" w:space="0" w:color="auto"/>
              <w:right w:val="nil"/>
            </w:tcBorders>
            <w:shd w:val="clear" w:color="auto" w:fill="FFFFFF" w:themeFill="background1"/>
            <w:noWrap/>
          </w:tcPr>
          <w:p w14:paraId="26B5F336" w14:textId="77777777" w:rsidR="00BE0A2F" w:rsidRPr="006B0F72" w:rsidRDefault="00BE0A2F" w:rsidP="00BE0A2F">
            <w:pPr>
              <w:spacing w:before="0" w:after="0"/>
              <w:jc w:val="center"/>
              <w:rPr>
                <w:rFonts w:ascii="Calibri" w:eastAsia="Times New Roman" w:hAnsi="Calibri" w:cs="Calibri"/>
                <w:noProof/>
                <w:color w:val="000000" w:themeColor="text1"/>
                <w:sz w:val="20"/>
                <w:szCs w:val="20"/>
              </w:rPr>
            </w:pPr>
            <w:r w:rsidRPr="006B0F72">
              <w:rPr>
                <w:rFonts w:ascii="Calibri" w:hAnsi="Calibri"/>
                <w:noProof/>
                <w:color w:val="000000" w:themeColor="text1"/>
                <w:sz w:val="20"/>
              </w:rPr>
              <w:t>0,300</w:t>
            </w:r>
          </w:p>
        </w:tc>
        <w:tc>
          <w:tcPr>
            <w:tcW w:w="1330" w:type="dxa"/>
            <w:tcBorders>
              <w:top w:val="nil"/>
              <w:left w:val="nil"/>
              <w:bottom w:val="single" w:sz="8" w:space="0" w:color="auto"/>
              <w:right w:val="single" w:sz="8" w:space="0" w:color="auto"/>
            </w:tcBorders>
            <w:shd w:val="clear" w:color="auto" w:fill="FFFFFF" w:themeFill="background1"/>
            <w:noWrap/>
          </w:tcPr>
          <w:p w14:paraId="2D40268D" w14:textId="77777777" w:rsidR="00BE0A2F" w:rsidRPr="006B0F72" w:rsidRDefault="00BE0A2F" w:rsidP="00BE0A2F">
            <w:pPr>
              <w:spacing w:before="0" w:after="0"/>
              <w:jc w:val="center"/>
              <w:rPr>
                <w:rFonts w:ascii="Calibri" w:eastAsia="Times New Roman" w:hAnsi="Calibri" w:cs="Calibri"/>
                <w:b/>
                <w:noProof/>
                <w:color w:val="000000" w:themeColor="text1"/>
                <w:sz w:val="20"/>
                <w:szCs w:val="20"/>
              </w:rPr>
            </w:pPr>
            <w:r w:rsidRPr="006B0F72">
              <w:rPr>
                <w:rFonts w:ascii="Calibri" w:hAnsi="Calibri"/>
                <w:b/>
                <w:noProof/>
                <w:color w:val="000000" w:themeColor="text1"/>
                <w:sz w:val="20"/>
              </w:rPr>
              <w:t>0,900</w:t>
            </w:r>
          </w:p>
        </w:tc>
      </w:tr>
      <w:tr w:rsidR="00BE0A2F" w:rsidRPr="006B0F72" w14:paraId="45EA93BF" w14:textId="77777777" w:rsidTr="00BE0A2F">
        <w:trPr>
          <w:trHeight w:val="315"/>
        </w:trPr>
        <w:tc>
          <w:tcPr>
            <w:tcW w:w="3652" w:type="dxa"/>
            <w:gridSpan w:val="2"/>
            <w:tcBorders>
              <w:top w:val="single" w:sz="8" w:space="0" w:color="auto"/>
              <w:left w:val="single" w:sz="8" w:space="0" w:color="auto"/>
              <w:bottom w:val="single" w:sz="8" w:space="0" w:color="auto"/>
              <w:right w:val="nil"/>
            </w:tcBorders>
            <w:shd w:val="clear" w:color="000000" w:fill="F2F2F2"/>
            <w:noWrap/>
            <w:vAlign w:val="bottom"/>
          </w:tcPr>
          <w:p w14:paraId="3B7D65DF" w14:textId="77777777" w:rsidR="00BE0A2F" w:rsidRPr="006B0F72" w:rsidRDefault="00BE0A2F" w:rsidP="00BE0A2F">
            <w:pPr>
              <w:spacing w:before="0" w:after="0"/>
              <w:jc w:val="left"/>
              <w:rPr>
                <w:rFonts w:ascii="Calibri" w:eastAsia="Times New Roman" w:hAnsi="Calibri" w:cs="Calibri"/>
                <w:b/>
                <w:noProof/>
                <w:color w:val="000000" w:themeColor="text1"/>
                <w:sz w:val="20"/>
                <w:szCs w:val="20"/>
              </w:rPr>
            </w:pPr>
            <w:r w:rsidRPr="006B0F72">
              <w:rPr>
                <w:rFonts w:ascii="Calibri" w:hAnsi="Calibri"/>
                <w:noProof/>
                <w:color w:val="000000" w:themeColor="text1"/>
                <w:sz w:val="20"/>
              </w:rPr>
              <w:t xml:space="preserve"> </w:t>
            </w:r>
            <w:r w:rsidRPr="006B0F72">
              <w:rPr>
                <w:rFonts w:ascii="Calibri" w:hAnsi="Calibri"/>
                <w:b/>
                <w:noProof/>
                <w:color w:val="000000" w:themeColor="text1"/>
                <w:sz w:val="20"/>
              </w:rPr>
              <w:t>SKUPAJ:</w:t>
            </w:r>
          </w:p>
        </w:tc>
        <w:tc>
          <w:tcPr>
            <w:tcW w:w="2674" w:type="dxa"/>
            <w:tcBorders>
              <w:top w:val="single" w:sz="8" w:space="0" w:color="auto"/>
              <w:left w:val="nil"/>
              <w:bottom w:val="single" w:sz="8" w:space="0" w:color="auto"/>
              <w:right w:val="nil"/>
            </w:tcBorders>
            <w:shd w:val="clear" w:color="000000" w:fill="F2F2F2"/>
            <w:noWrap/>
            <w:vAlign w:val="bottom"/>
          </w:tcPr>
          <w:p w14:paraId="54B9DD6C" w14:textId="77777777" w:rsidR="00BE0A2F" w:rsidRPr="006B0F72" w:rsidRDefault="00BE0A2F" w:rsidP="00BE0A2F">
            <w:pPr>
              <w:spacing w:before="0" w:after="0"/>
              <w:jc w:val="left"/>
              <w:rPr>
                <w:rFonts w:ascii="Calibri" w:eastAsia="Times New Roman" w:hAnsi="Calibri" w:cs="Calibri"/>
                <w:noProof/>
                <w:color w:val="000000" w:themeColor="text1"/>
                <w:sz w:val="20"/>
                <w:szCs w:val="20"/>
              </w:rPr>
            </w:pPr>
            <w:r w:rsidRPr="006B0F72">
              <w:rPr>
                <w:rFonts w:ascii="Calibri" w:hAnsi="Calibri"/>
                <w:noProof/>
                <w:color w:val="000000" w:themeColor="text1"/>
                <w:sz w:val="20"/>
              </w:rPr>
              <w:t xml:space="preserve"> </w:t>
            </w:r>
          </w:p>
        </w:tc>
        <w:tc>
          <w:tcPr>
            <w:tcW w:w="675" w:type="dxa"/>
            <w:tcBorders>
              <w:top w:val="single" w:sz="8" w:space="0" w:color="auto"/>
              <w:left w:val="nil"/>
              <w:bottom w:val="single" w:sz="8" w:space="0" w:color="auto"/>
              <w:right w:val="nil"/>
            </w:tcBorders>
            <w:shd w:val="clear" w:color="000000" w:fill="F2F2F2"/>
            <w:vAlign w:val="bottom"/>
          </w:tcPr>
          <w:p w14:paraId="79706806"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0,950</w:t>
            </w:r>
          </w:p>
        </w:tc>
        <w:tc>
          <w:tcPr>
            <w:tcW w:w="1231" w:type="dxa"/>
            <w:tcBorders>
              <w:top w:val="single" w:sz="8" w:space="0" w:color="auto"/>
              <w:left w:val="nil"/>
              <w:bottom w:val="single" w:sz="8" w:space="0" w:color="auto"/>
              <w:right w:val="nil"/>
            </w:tcBorders>
            <w:shd w:val="clear" w:color="000000" w:fill="F2F2F2"/>
            <w:noWrap/>
            <w:vAlign w:val="bottom"/>
          </w:tcPr>
          <w:p w14:paraId="6853AEAE"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0,950</w:t>
            </w:r>
          </w:p>
        </w:tc>
        <w:tc>
          <w:tcPr>
            <w:tcW w:w="1231" w:type="dxa"/>
            <w:tcBorders>
              <w:top w:val="single" w:sz="8" w:space="0" w:color="auto"/>
              <w:left w:val="nil"/>
              <w:bottom w:val="single" w:sz="8" w:space="0" w:color="auto"/>
              <w:right w:val="nil"/>
            </w:tcBorders>
            <w:shd w:val="clear" w:color="000000" w:fill="F2F2F2"/>
            <w:noWrap/>
            <w:vAlign w:val="bottom"/>
          </w:tcPr>
          <w:p w14:paraId="6D6136D4"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0,950</w:t>
            </w:r>
          </w:p>
        </w:tc>
        <w:tc>
          <w:tcPr>
            <w:tcW w:w="1039" w:type="dxa"/>
            <w:tcBorders>
              <w:top w:val="single" w:sz="8" w:space="0" w:color="auto"/>
              <w:left w:val="nil"/>
              <w:bottom w:val="single" w:sz="8" w:space="0" w:color="auto"/>
              <w:right w:val="nil"/>
            </w:tcBorders>
            <w:shd w:val="clear" w:color="000000" w:fill="F2F2F2"/>
            <w:noWrap/>
            <w:vAlign w:val="bottom"/>
          </w:tcPr>
          <w:p w14:paraId="45815941"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1,250</w:t>
            </w:r>
          </w:p>
        </w:tc>
        <w:tc>
          <w:tcPr>
            <w:tcW w:w="1231" w:type="dxa"/>
            <w:tcBorders>
              <w:top w:val="single" w:sz="8" w:space="0" w:color="auto"/>
              <w:left w:val="nil"/>
              <w:bottom w:val="single" w:sz="8" w:space="0" w:color="auto"/>
              <w:right w:val="nil"/>
            </w:tcBorders>
            <w:shd w:val="clear" w:color="000000" w:fill="F2F2F2"/>
            <w:noWrap/>
            <w:vAlign w:val="bottom"/>
          </w:tcPr>
          <w:p w14:paraId="0E49DE5F"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1,250</w:t>
            </w:r>
          </w:p>
        </w:tc>
        <w:tc>
          <w:tcPr>
            <w:tcW w:w="1039" w:type="dxa"/>
            <w:tcBorders>
              <w:top w:val="single" w:sz="8" w:space="0" w:color="auto"/>
              <w:left w:val="nil"/>
              <w:bottom w:val="single" w:sz="8" w:space="0" w:color="auto"/>
              <w:right w:val="nil"/>
            </w:tcBorders>
            <w:shd w:val="clear" w:color="000000" w:fill="F2F2F2"/>
            <w:noWrap/>
            <w:vAlign w:val="bottom"/>
          </w:tcPr>
          <w:p w14:paraId="42E48820"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1,250</w:t>
            </w:r>
          </w:p>
        </w:tc>
        <w:tc>
          <w:tcPr>
            <w:tcW w:w="1330" w:type="dxa"/>
            <w:tcBorders>
              <w:top w:val="single" w:sz="8" w:space="0" w:color="auto"/>
              <w:left w:val="nil"/>
              <w:bottom w:val="single" w:sz="8" w:space="0" w:color="auto"/>
              <w:right w:val="single" w:sz="8" w:space="0" w:color="auto"/>
            </w:tcBorders>
            <w:shd w:val="clear" w:color="000000" w:fill="F2F2F2"/>
            <w:noWrap/>
            <w:vAlign w:val="bottom"/>
          </w:tcPr>
          <w:p w14:paraId="54471482" w14:textId="77777777" w:rsidR="00BE0A2F" w:rsidRPr="006B0F72" w:rsidRDefault="00BE0A2F" w:rsidP="00BE0A2F">
            <w:pPr>
              <w:spacing w:before="0" w:after="0"/>
              <w:jc w:val="center"/>
              <w:rPr>
                <w:rFonts w:ascii="Calibri" w:eastAsia="Times New Roman" w:hAnsi="Calibri" w:cs="Calibri"/>
                <w:b/>
                <w:bCs/>
                <w:noProof/>
                <w:color w:val="000000" w:themeColor="text1"/>
                <w:sz w:val="20"/>
                <w:szCs w:val="20"/>
              </w:rPr>
            </w:pPr>
            <w:r w:rsidRPr="006B0F72">
              <w:rPr>
                <w:rFonts w:ascii="Calibri" w:hAnsi="Calibri"/>
                <w:b/>
                <w:noProof/>
                <w:color w:val="000000" w:themeColor="text1"/>
                <w:sz w:val="20"/>
              </w:rPr>
              <w:t>6,600</w:t>
            </w:r>
          </w:p>
        </w:tc>
      </w:tr>
    </w:tbl>
    <w:p w14:paraId="5332DC07" w14:textId="77777777" w:rsidR="00BE0A2F" w:rsidRPr="006B0F72" w:rsidRDefault="00BE0A2F" w:rsidP="00BE0A2F">
      <w:pPr>
        <w:rPr>
          <w:noProof/>
          <w:color w:val="000000" w:themeColor="text1"/>
        </w:rPr>
      </w:pPr>
    </w:p>
    <w:p w14:paraId="612FE9FC" w14:textId="77777777" w:rsidR="00BE0A2F" w:rsidRPr="006B0F72" w:rsidRDefault="00BE0A2F" w:rsidP="00BE0A2F">
      <w:pPr>
        <w:spacing w:before="0" w:after="200" w:line="276" w:lineRule="auto"/>
        <w:jc w:val="left"/>
        <w:rPr>
          <w:noProof/>
          <w:color w:val="000000" w:themeColor="text1"/>
        </w:rPr>
      </w:pPr>
      <w:r w:rsidRPr="006B0F72">
        <w:rPr>
          <w:noProof/>
        </w:rPr>
        <w:br w:type="page"/>
      </w:r>
    </w:p>
    <w:p w14:paraId="0630428A" w14:textId="77777777" w:rsidR="00BE0A2F" w:rsidRPr="006B0F72" w:rsidRDefault="00BE0A2F" w:rsidP="00BE0A2F">
      <w:pPr>
        <w:jc w:val="right"/>
        <w:rPr>
          <w:noProof/>
          <w:color w:val="000000" w:themeColor="text1"/>
          <w:sz w:val="20"/>
        </w:rPr>
      </w:pPr>
      <w:r w:rsidRPr="006B0F72">
        <w:rPr>
          <w:noProof/>
          <w:color w:val="000000" w:themeColor="text1"/>
          <w:sz w:val="20"/>
        </w:rPr>
        <w:t>v mio. EUR (na tri decimalna mesta natančno)</w:t>
      </w:r>
    </w:p>
    <w:tbl>
      <w:tblPr>
        <w:tblW w:w="17677" w:type="dxa"/>
        <w:tblInd w:w="-318" w:type="dxa"/>
        <w:shd w:val="clear" w:color="auto" w:fill="FFFFFF" w:themeFill="background1"/>
        <w:tblLayout w:type="fixed"/>
        <w:tblLook w:val="04A0" w:firstRow="1" w:lastRow="0" w:firstColumn="1" w:lastColumn="0" w:noHBand="0" w:noVBand="1"/>
      </w:tblPr>
      <w:tblGrid>
        <w:gridCol w:w="3120"/>
        <w:gridCol w:w="1497"/>
        <w:gridCol w:w="1338"/>
        <w:gridCol w:w="425"/>
        <w:gridCol w:w="992"/>
        <w:gridCol w:w="624"/>
        <w:gridCol w:w="227"/>
        <w:gridCol w:w="752"/>
        <w:gridCol w:w="98"/>
        <w:gridCol w:w="851"/>
        <w:gridCol w:w="850"/>
        <w:gridCol w:w="1985"/>
        <w:gridCol w:w="1802"/>
        <w:gridCol w:w="960"/>
        <w:gridCol w:w="960"/>
        <w:gridCol w:w="960"/>
        <w:gridCol w:w="236"/>
      </w:tblGrid>
      <w:tr w:rsidR="00B0251E" w:rsidRPr="006B0F72" w14:paraId="6B920542" w14:textId="77777777" w:rsidTr="00621CA5">
        <w:trPr>
          <w:gridAfter w:val="5"/>
          <w:wAfter w:w="4918" w:type="dxa"/>
          <w:cantSplit/>
          <w:trHeight w:val="312"/>
        </w:trPr>
        <w:tc>
          <w:tcPr>
            <w:tcW w:w="59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56162" w14:textId="77777777" w:rsidR="00B0251E" w:rsidRPr="006B0F72" w:rsidRDefault="00B0251E" w:rsidP="00BE0A2F">
            <w:pPr>
              <w:spacing w:before="0" w:after="0"/>
              <w:jc w:val="left"/>
              <w:rPr>
                <w:rFonts w:eastAsia="Times New Roman"/>
                <w:b/>
                <w:bCs/>
                <w:noProof/>
                <w:color w:val="000000" w:themeColor="text1"/>
                <w:sz w:val="22"/>
              </w:rPr>
            </w:pPr>
            <w:r w:rsidRPr="006B0F72">
              <w:rPr>
                <w:b/>
                <w:noProof/>
                <w:color w:val="000000" w:themeColor="text1"/>
                <w:sz w:val="22"/>
              </w:rPr>
              <w:t>Razdelek večletnega finančnega okvira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259763" w14:textId="77777777" w:rsidR="00B0251E" w:rsidRPr="006B0F72" w:rsidRDefault="00B0251E" w:rsidP="00BE0A2F">
            <w:pPr>
              <w:spacing w:before="0" w:after="0"/>
              <w:jc w:val="center"/>
              <w:rPr>
                <w:rFonts w:eastAsia="Times New Roman"/>
                <w:noProof/>
                <w:color w:val="000000" w:themeColor="text1"/>
                <w:sz w:val="22"/>
              </w:rPr>
            </w:pPr>
            <w:r w:rsidRPr="006B0F72">
              <w:rPr>
                <w:noProof/>
                <w:color w:val="000000" w:themeColor="text1"/>
                <w:sz w:val="22"/>
              </w:rPr>
              <w:t>3</w:t>
            </w:r>
          </w:p>
        </w:tc>
        <w:tc>
          <w:tcPr>
            <w:tcW w:w="538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0B2D7FF1" w14:textId="77777777" w:rsidR="00B0251E" w:rsidRPr="006B0F72" w:rsidRDefault="00B0251E" w:rsidP="00BE0A2F">
            <w:pPr>
              <w:spacing w:before="0" w:after="0"/>
              <w:jc w:val="center"/>
              <w:rPr>
                <w:rFonts w:eastAsia="Times New Roman"/>
                <w:noProof/>
                <w:color w:val="000000" w:themeColor="text1"/>
                <w:szCs w:val="24"/>
              </w:rPr>
            </w:pPr>
            <w:r w:rsidRPr="006B0F72">
              <w:rPr>
                <w:noProof/>
                <w:color w:val="000000" w:themeColor="text1"/>
              </w:rPr>
              <w:t>Naravni viri in okolje</w:t>
            </w:r>
          </w:p>
        </w:tc>
      </w:tr>
      <w:tr w:rsidR="004B7DAE" w:rsidRPr="006B0F72" w14:paraId="520EF73F" w14:textId="77777777" w:rsidTr="00BE0A2F">
        <w:trPr>
          <w:cantSplit/>
          <w:trHeight w:val="288"/>
        </w:trPr>
        <w:tc>
          <w:tcPr>
            <w:tcW w:w="3120" w:type="dxa"/>
            <w:tcBorders>
              <w:top w:val="nil"/>
              <w:left w:val="nil"/>
              <w:bottom w:val="nil"/>
              <w:right w:val="nil"/>
            </w:tcBorders>
            <w:shd w:val="clear" w:color="auto" w:fill="FFFFFF" w:themeFill="background1"/>
            <w:noWrap/>
            <w:vAlign w:val="center"/>
            <w:hideMark/>
          </w:tcPr>
          <w:p w14:paraId="5BE0A478" w14:textId="77777777" w:rsidR="00BE0A2F" w:rsidRPr="006B0F72" w:rsidRDefault="00BE0A2F" w:rsidP="00BE0A2F">
            <w:pPr>
              <w:spacing w:before="0" w:after="0"/>
              <w:jc w:val="center"/>
              <w:rPr>
                <w:rFonts w:eastAsia="Times New Roman"/>
                <w:noProof/>
                <w:color w:val="000000" w:themeColor="text1"/>
                <w:szCs w:val="24"/>
                <w:lang w:eastAsia="en-GB"/>
              </w:rPr>
            </w:pPr>
          </w:p>
        </w:tc>
        <w:tc>
          <w:tcPr>
            <w:tcW w:w="1497" w:type="dxa"/>
            <w:tcBorders>
              <w:top w:val="nil"/>
              <w:left w:val="nil"/>
              <w:bottom w:val="nil"/>
              <w:right w:val="nil"/>
            </w:tcBorders>
            <w:shd w:val="clear" w:color="auto" w:fill="FFFFFF" w:themeFill="background1"/>
            <w:noWrap/>
            <w:vAlign w:val="bottom"/>
            <w:hideMark/>
          </w:tcPr>
          <w:p w14:paraId="54127439" w14:textId="77777777" w:rsidR="00BE0A2F" w:rsidRPr="006B0F72" w:rsidRDefault="00BE0A2F" w:rsidP="00BE0A2F">
            <w:pPr>
              <w:spacing w:before="0" w:after="0"/>
              <w:rPr>
                <w:rFonts w:eastAsia="Times New Roman"/>
                <w:noProof/>
                <w:color w:val="000000" w:themeColor="text1"/>
                <w:sz w:val="20"/>
                <w:szCs w:val="20"/>
                <w:lang w:eastAsia="en-GB"/>
              </w:rPr>
            </w:pPr>
          </w:p>
        </w:tc>
        <w:tc>
          <w:tcPr>
            <w:tcW w:w="1338" w:type="dxa"/>
            <w:tcBorders>
              <w:top w:val="nil"/>
              <w:left w:val="nil"/>
              <w:bottom w:val="nil"/>
              <w:right w:val="single" w:sz="4" w:space="0" w:color="auto"/>
            </w:tcBorders>
            <w:shd w:val="clear" w:color="auto" w:fill="FFFFFF" w:themeFill="background1"/>
          </w:tcPr>
          <w:p w14:paraId="6301865F"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8CD848"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1616" w:type="dxa"/>
            <w:gridSpan w:val="2"/>
            <w:tcBorders>
              <w:top w:val="nil"/>
              <w:left w:val="single" w:sz="4" w:space="0" w:color="auto"/>
              <w:bottom w:val="nil"/>
              <w:right w:val="nil"/>
            </w:tcBorders>
            <w:shd w:val="clear" w:color="auto" w:fill="FFFFFF" w:themeFill="background1"/>
            <w:noWrap/>
            <w:vAlign w:val="bottom"/>
            <w:hideMark/>
          </w:tcPr>
          <w:p w14:paraId="52521FF7"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979" w:type="dxa"/>
            <w:gridSpan w:val="2"/>
            <w:tcBorders>
              <w:top w:val="nil"/>
              <w:left w:val="nil"/>
              <w:bottom w:val="nil"/>
              <w:right w:val="nil"/>
            </w:tcBorders>
            <w:shd w:val="clear" w:color="auto" w:fill="FFFFFF" w:themeFill="background1"/>
            <w:noWrap/>
            <w:vAlign w:val="bottom"/>
            <w:hideMark/>
          </w:tcPr>
          <w:p w14:paraId="33A13075"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5586" w:type="dxa"/>
            <w:gridSpan w:val="5"/>
            <w:tcBorders>
              <w:top w:val="nil"/>
              <w:left w:val="nil"/>
              <w:bottom w:val="nil"/>
              <w:right w:val="nil"/>
            </w:tcBorders>
            <w:shd w:val="clear" w:color="auto" w:fill="FFFFFF" w:themeFill="background1"/>
            <w:noWrap/>
            <w:vAlign w:val="bottom"/>
            <w:hideMark/>
          </w:tcPr>
          <w:p w14:paraId="49CCB74B"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4DA09A54"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254D5971"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236CFE1F"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236" w:type="dxa"/>
            <w:tcBorders>
              <w:top w:val="nil"/>
              <w:left w:val="nil"/>
              <w:bottom w:val="nil"/>
              <w:right w:val="nil"/>
            </w:tcBorders>
            <w:shd w:val="clear" w:color="auto" w:fill="FFFFFF" w:themeFill="background1"/>
            <w:noWrap/>
            <w:vAlign w:val="bottom"/>
            <w:hideMark/>
          </w:tcPr>
          <w:p w14:paraId="275DBC56" w14:textId="77777777" w:rsidR="00BE0A2F" w:rsidRPr="006B0F72" w:rsidRDefault="00BE0A2F" w:rsidP="00BE0A2F">
            <w:pPr>
              <w:spacing w:before="0" w:after="0"/>
              <w:jc w:val="left"/>
              <w:rPr>
                <w:rFonts w:eastAsia="Times New Roman"/>
                <w:noProof/>
                <w:color w:val="000000" w:themeColor="text1"/>
                <w:sz w:val="20"/>
                <w:szCs w:val="20"/>
                <w:lang w:eastAsia="en-GB"/>
              </w:rPr>
            </w:pPr>
          </w:p>
        </w:tc>
      </w:tr>
      <w:tr w:rsidR="004B7DAE" w:rsidRPr="006B0F72" w14:paraId="372EE286" w14:textId="77777777" w:rsidTr="00BE0A2F">
        <w:trPr>
          <w:gridAfter w:val="5"/>
          <w:wAfter w:w="4918" w:type="dxa"/>
          <w:cantSplit/>
          <w:trHeight w:val="288"/>
        </w:trPr>
        <w:tc>
          <w:tcPr>
            <w:tcW w:w="59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01B15" w14:textId="77777777" w:rsidR="00BE0A2F" w:rsidRPr="006B0F72" w:rsidRDefault="00BE0A2F" w:rsidP="00BE0A2F">
            <w:pPr>
              <w:spacing w:before="0" w:after="0"/>
              <w:jc w:val="center"/>
              <w:rPr>
                <w:rFonts w:eastAsia="Times New Roman"/>
                <w:b/>
                <w:noProof/>
                <w:color w:val="000000" w:themeColor="text1"/>
                <w:sz w:val="22"/>
              </w:rPr>
            </w:pPr>
            <w:r w:rsidRPr="006B0F72">
              <w:rPr>
                <w:b/>
                <w:noProof/>
                <w:color w:val="000000" w:themeColor="text1"/>
              </w:rPr>
              <w:t>Agencija EEA</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BBD63" w14:textId="77777777" w:rsidR="00BE0A2F" w:rsidRPr="006B0F72" w:rsidRDefault="00BE0A2F" w:rsidP="00BE0A2F">
            <w:pPr>
              <w:spacing w:before="0" w:after="0"/>
              <w:jc w:val="center"/>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D40C1"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2023</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6D9F206"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2024</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22695B7"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2025</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A5688"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2026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E6A36E"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2027</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188EE6" w14:textId="77777777" w:rsidR="00BE0A2F" w:rsidRPr="006B0F72" w:rsidRDefault="00BE0A2F" w:rsidP="00BE0A2F">
            <w:pPr>
              <w:spacing w:before="0" w:after="0"/>
              <w:jc w:val="center"/>
              <w:rPr>
                <w:rFonts w:eastAsia="Times New Roman"/>
                <w:b/>
                <w:bCs/>
                <w:noProof/>
                <w:color w:val="000000" w:themeColor="text1"/>
                <w:sz w:val="20"/>
                <w:szCs w:val="20"/>
              </w:rPr>
            </w:pPr>
            <w:r w:rsidRPr="006B0F72">
              <w:rPr>
                <w:b/>
                <w:noProof/>
                <w:color w:val="000000" w:themeColor="text1"/>
                <w:sz w:val="20"/>
              </w:rPr>
              <w:t>SKUPAJ</w:t>
            </w:r>
          </w:p>
        </w:tc>
      </w:tr>
      <w:tr w:rsidR="004B7DAE" w:rsidRPr="006B0F72" w14:paraId="62F7A899" w14:textId="77777777" w:rsidTr="00BE0A2F">
        <w:trPr>
          <w:gridAfter w:val="5"/>
          <w:wAfter w:w="4918" w:type="dxa"/>
          <w:cantSplit/>
          <w:trHeight w:val="276"/>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CB507C6" w14:textId="77777777" w:rsidR="00BE0A2F" w:rsidRPr="006B0F72" w:rsidRDefault="00BE0A2F" w:rsidP="00BE0A2F">
            <w:pPr>
              <w:spacing w:before="0" w:after="0"/>
              <w:rPr>
                <w:rFonts w:eastAsia="Times New Roman"/>
                <w:noProof/>
                <w:color w:val="000000" w:themeColor="text1"/>
                <w:sz w:val="20"/>
                <w:szCs w:val="20"/>
              </w:rPr>
            </w:pPr>
            <w:r w:rsidRPr="006B0F72">
              <w:rPr>
                <w:noProof/>
                <w:color w:val="000000" w:themeColor="text1"/>
                <w:sz w:val="20"/>
              </w:rPr>
              <w:t>Naslov 1: Odhodki za zaposlene</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67F7E948"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obveznosti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BD4B65"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(1)</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75022C2B"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8" w:space="0" w:color="auto"/>
              <w:left w:val="single" w:sz="4" w:space="0" w:color="auto"/>
              <w:bottom w:val="single" w:sz="8" w:space="0" w:color="auto"/>
              <w:right w:val="single" w:sz="4" w:space="0" w:color="auto"/>
            </w:tcBorders>
            <w:shd w:val="clear" w:color="000000" w:fill="DDEBF7"/>
            <w:vAlign w:val="bottom"/>
          </w:tcPr>
          <w:p w14:paraId="6F655C96" w14:textId="77777777" w:rsidR="00BE0A2F" w:rsidRPr="006B0F72" w:rsidRDefault="001056E8" w:rsidP="001056E8">
            <w:pPr>
              <w:spacing w:beforeLines="20" w:before="48" w:afterLines="20" w:after="48"/>
              <w:jc w:val="right"/>
              <w:rPr>
                <w:noProof/>
                <w:sz w:val="18"/>
              </w:rPr>
            </w:pPr>
            <w:r w:rsidRPr="006B0F72">
              <w:rPr>
                <w:noProof/>
                <w:sz w:val="18"/>
              </w:rPr>
              <w:t>1,023</w:t>
            </w:r>
          </w:p>
        </w:tc>
        <w:tc>
          <w:tcPr>
            <w:tcW w:w="851" w:type="dxa"/>
            <w:gridSpan w:val="2"/>
            <w:tcBorders>
              <w:top w:val="single" w:sz="8" w:space="0" w:color="auto"/>
              <w:left w:val="nil"/>
              <w:bottom w:val="single" w:sz="8" w:space="0" w:color="auto"/>
              <w:right w:val="single" w:sz="4" w:space="0" w:color="auto"/>
            </w:tcBorders>
            <w:shd w:val="clear" w:color="000000" w:fill="DDEBF7"/>
            <w:vAlign w:val="bottom"/>
          </w:tcPr>
          <w:p w14:paraId="1E9DE725" w14:textId="77777777" w:rsidR="00BE0A2F" w:rsidRPr="006B0F72" w:rsidRDefault="00BE0A2F" w:rsidP="00BE0A2F">
            <w:pPr>
              <w:spacing w:beforeLines="20" w:before="48" w:afterLines="20" w:after="48"/>
              <w:jc w:val="right"/>
              <w:rPr>
                <w:noProof/>
                <w:sz w:val="18"/>
              </w:rPr>
            </w:pPr>
            <w:r w:rsidRPr="006B0F72">
              <w:rPr>
                <w:noProof/>
                <w:sz w:val="18"/>
              </w:rPr>
              <w:t>2,086</w:t>
            </w:r>
          </w:p>
        </w:tc>
        <w:tc>
          <w:tcPr>
            <w:tcW w:w="850" w:type="dxa"/>
            <w:gridSpan w:val="2"/>
            <w:tcBorders>
              <w:top w:val="single" w:sz="8" w:space="0" w:color="auto"/>
              <w:left w:val="nil"/>
              <w:bottom w:val="single" w:sz="8" w:space="0" w:color="auto"/>
              <w:right w:val="single" w:sz="4" w:space="0" w:color="auto"/>
            </w:tcBorders>
            <w:shd w:val="clear" w:color="000000" w:fill="DDEBF7"/>
            <w:vAlign w:val="bottom"/>
          </w:tcPr>
          <w:p w14:paraId="2AB94BA3" w14:textId="77777777" w:rsidR="00BE0A2F" w:rsidRPr="006B0F72" w:rsidRDefault="00BE0A2F" w:rsidP="00BE0A2F">
            <w:pPr>
              <w:spacing w:beforeLines="20" w:before="48" w:afterLines="20" w:after="48"/>
              <w:jc w:val="right"/>
              <w:rPr>
                <w:noProof/>
                <w:sz w:val="18"/>
              </w:rPr>
            </w:pPr>
            <w:r w:rsidRPr="006B0F72">
              <w:rPr>
                <w:noProof/>
                <w:sz w:val="18"/>
              </w:rPr>
              <w:t>2,128</w:t>
            </w:r>
          </w:p>
        </w:tc>
        <w:tc>
          <w:tcPr>
            <w:tcW w:w="851" w:type="dxa"/>
            <w:tcBorders>
              <w:top w:val="single" w:sz="8" w:space="0" w:color="auto"/>
              <w:left w:val="nil"/>
              <w:bottom w:val="single" w:sz="8" w:space="0" w:color="auto"/>
              <w:right w:val="single" w:sz="4" w:space="0" w:color="auto"/>
            </w:tcBorders>
            <w:shd w:val="clear" w:color="000000" w:fill="DDEBF7"/>
            <w:vAlign w:val="bottom"/>
          </w:tcPr>
          <w:p w14:paraId="219773D9" w14:textId="77777777" w:rsidR="00BE0A2F" w:rsidRPr="006B0F72" w:rsidRDefault="00BE0A2F" w:rsidP="00BE0A2F">
            <w:pPr>
              <w:spacing w:beforeLines="20" w:before="48" w:afterLines="20" w:after="48"/>
              <w:jc w:val="right"/>
              <w:rPr>
                <w:noProof/>
                <w:sz w:val="18"/>
              </w:rPr>
            </w:pPr>
            <w:r w:rsidRPr="006B0F72">
              <w:rPr>
                <w:noProof/>
                <w:sz w:val="18"/>
              </w:rPr>
              <w:t>2,170</w:t>
            </w:r>
          </w:p>
        </w:tc>
        <w:tc>
          <w:tcPr>
            <w:tcW w:w="850" w:type="dxa"/>
            <w:tcBorders>
              <w:top w:val="single" w:sz="8" w:space="0" w:color="auto"/>
              <w:left w:val="nil"/>
              <w:bottom w:val="single" w:sz="8" w:space="0" w:color="auto"/>
              <w:right w:val="single" w:sz="4" w:space="0" w:color="auto"/>
            </w:tcBorders>
            <w:shd w:val="clear" w:color="000000" w:fill="DDEBF7"/>
            <w:vAlign w:val="bottom"/>
          </w:tcPr>
          <w:p w14:paraId="4A44182F" w14:textId="77777777" w:rsidR="00BE0A2F" w:rsidRPr="006B0F72" w:rsidRDefault="00BE0A2F" w:rsidP="00BE0A2F">
            <w:pPr>
              <w:spacing w:beforeLines="20" w:before="48" w:afterLines="20" w:after="48"/>
              <w:jc w:val="right"/>
              <w:rPr>
                <w:noProof/>
                <w:sz w:val="18"/>
              </w:rPr>
            </w:pPr>
            <w:r w:rsidRPr="006B0F72">
              <w:rPr>
                <w:noProof/>
                <w:sz w:val="18"/>
              </w:rPr>
              <w:t>2,214</w:t>
            </w:r>
          </w:p>
        </w:tc>
        <w:tc>
          <w:tcPr>
            <w:tcW w:w="1985" w:type="dxa"/>
            <w:tcBorders>
              <w:top w:val="single" w:sz="8" w:space="0" w:color="auto"/>
              <w:left w:val="nil"/>
              <w:bottom w:val="single" w:sz="8" w:space="0" w:color="auto"/>
              <w:right w:val="single" w:sz="8" w:space="0" w:color="auto"/>
            </w:tcBorders>
            <w:shd w:val="clear" w:color="000000" w:fill="DDEBF7"/>
            <w:vAlign w:val="bottom"/>
          </w:tcPr>
          <w:p w14:paraId="3160A070" w14:textId="77777777" w:rsidR="00BE0A2F" w:rsidRPr="006B0F72" w:rsidRDefault="001056E8" w:rsidP="001056E8">
            <w:pPr>
              <w:spacing w:beforeLines="20" w:before="48" w:afterLines="20" w:after="48"/>
              <w:jc w:val="right"/>
              <w:rPr>
                <w:b/>
                <w:noProof/>
                <w:sz w:val="18"/>
              </w:rPr>
            </w:pPr>
            <w:r w:rsidRPr="006B0F72">
              <w:rPr>
                <w:b/>
                <w:noProof/>
                <w:sz w:val="18"/>
              </w:rPr>
              <w:t>9,621</w:t>
            </w:r>
          </w:p>
        </w:tc>
      </w:tr>
      <w:tr w:rsidR="004B7DAE" w:rsidRPr="006B0F72" w14:paraId="4391BE91" w14:textId="77777777" w:rsidTr="00BE0A2F">
        <w:trPr>
          <w:gridAfter w:val="5"/>
          <w:wAfter w:w="4918" w:type="dxa"/>
          <w:cantSplit/>
          <w:trHeight w:val="288"/>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0BF376"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2F87D5B4"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plačila</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1E1A15"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(2)</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62DB5A3D"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8" w:space="0" w:color="auto"/>
              <w:left w:val="single" w:sz="4" w:space="0" w:color="auto"/>
              <w:bottom w:val="single" w:sz="8" w:space="0" w:color="auto"/>
              <w:right w:val="single" w:sz="4" w:space="0" w:color="auto"/>
            </w:tcBorders>
            <w:shd w:val="clear" w:color="000000" w:fill="DDEBF7"/>
            <w:vAlign w:val="bottom"/>
          </w:tcPr>
          <w:p w14:paraId="1421C25C" w14:textId="77777777" w:rsidR="00BE0A2F" w:rsidRPr="006B0F72" w:rsidRDefault="001056E8" w:rsidP="00BE0A2F">
            <w:pPr>
              <w:spacing w:beforeLines="20" w:before="48" w:afterLines="20" w:after="48"/>
              <w:jc w:val="right"/>
              <w:rPr>
                <w:noProof/>
                <w:sz w:val="18"/>
              </w:rPr>
            </w:pPr>
            <w:r w:rsidRPr="006B0F72">
              <w:rPr>
                <w:noProof/>
                <w:sz w:val="18"/>
              </w:rPr>
              <w:t>1,023</w:t>
            </w:r>
          </w:p>
        </w:tc>
        <w:tc>
          <w:tcPr>
            <w:tcW w:w="851" w:type="dxa"/>
            <w:gridSpan w:val="2"/>
            <w:tcBorders>
              <w:top w:val="single" w:sz="8" w:space="0" w:color="auto"/>
              <w:left w:val="nil"/>
              <w:bottom w:val="single" w:sz="8" w:space="0" w:color="auto"/>
              <w:right w:val="single" w:sz="4" w:space="0" w:color="auto"/>
            </w:tcBorders>
            <w:shd w:val="clear" w:color="000000" w:fill="DDEBF7"/>
            <w:vAlign w:val="bottom"/>
          </w:tcPr>
          <w:p w14:paraId="6E2A01FC" w14:textId="77777777" w:rsidR="00BE0A2F" w:rsidRPr="006B0F72" w:rsidRDefault="00BE0A2F" w:rsidP="00BE0A2F">
            <w:pPr>
              <w:spacing w:beforeLines="20" w:before="48" w:afterLines="20" w:after="48"/>
              <w:jc w:val="right"/>
              <w:rPr>
                <w:noProof/>
                <w:sz w:val="18"/>
              </w:rPr>
            </w:pPr>
            <w:r w:rsidRPr="006B0F72">
              <w:rPr>
                <w:noProof/>
                <w:sz w:val="18"/>
              </w:rPr>
              <w:t>2,086</w:t>
            </w:r>
          </w:p>
        </w:tc>
        <w:tc>
          <w:tcPr>
            <w:tcW w:w="850" w:type="dxa"/>
            <w:gridSpan w:val="2"/>
            <w:tcBorders>
              <w:top w:val="single" w:sz="8" w:space="0" w:color="auto"/>
              <w:left w:val="nil"/>
              <w:bottom w:val="single" w:sz="8" w:space="0" w:color="auto"/>
              <w:right w:val="single" w:sz="4" w:space="0" w:color="auto"/>
            </w:tcBorders>
            <w:shd w:val="clear" w:color="000000" w:fill="DDEBF7"/>
            <w:vAlign w:val="bottom"/>
          </w:tcPr>
          <w:p w14:paraId="5C9B1416" w14:textId="77777777" w:rsidR="00BE0A2F" w:rsidRPr="006B0F72" w:rsidRDefault="00BE0A2F" w:rsidP="00BE0A2F">
            <w:pPr>
              <w:spacing w:beforeLines="20" w:before="48" w:afterLines="20" w:after="48"/>
              <w:jc w:val="right"/>
              <w:rPr>
                <w:noProof/>
                <w:sz w:val="18"/>
              </w:rPr>
            </w:pPr>
            <w:r w:rsidRPr="006B0F72">
              <w:rPr>
                <w:noProof/>
                <w:sz w:val="18"/>
              </w:rPr>
              <w:t>2,128</w:t>
            </w:r>
          </w:p>
        </w:tc>
        <w:tc>
          <w:tcPr>
            <w:tcW w:w="851" w:type="dxa"/>
            <w:tcBorders>
              <w:top w:val="single" w:sz="8" w:space="0" w:color="auto"/>
              <w:left w:val="nil"/>
              <w:bottom w:val="single" w:sz="8" w:space="0" w:color="auto"/>
              <w:right w:val="single" w:sz="4" w:space="0" w:color="auto"/>
            </w:tcBorders>
            <w:shd w:val="clear" w:color="000000" w:fill="DDEBF7"/>
            <w:vAlign w:val="bottom"/>
          </w:tcPr>
          <w:p w14:paraId="445E6D6E" w14:textId="77777777" w:rsidR="00BE0A2F" w:rsidRPr="006B0F72" w:rsidRDefault="00BE0A2F" w:rsidP="00BE0A2F">
            <w:pPr>
              <w:spacing w:beforeLines="20" w:before="48" w:afterLines="20" w:after="48"/>
              <w:jc w:val="right"/>
              <w:rPr>
                <w:noProof/>
                <w:sz w:val="18"/>
              </w:rPr>
            </w:pPr>
            <w:r w:rsidRPr="006B0F72">
              <w:rPr>
                <w:noProof/>
                <w:sz w:val="18"/>
              </w:rPr>
              <w:t>2,170</w:t>
            </w:r>
          </w:p>
        </w:tc>
        <w:tc>
          <w:tcPr>
            <w:tcW w:w="850" w:type="dxa"/>
            <w:tcBorders>
              <w:top w:val="single" w:sz="8" w:space="0" w:color="auto"/>
              <w:left w:val="nil"/>
              <w:bottom w:val="single" w:sz="8" w:space="0" w:color="auto"/>
              <w:right w:val="single" w:sz="4" w:space="0" w:color="auto"/>
            </w:tcBorders>
            <w:shd w:val="clear" w:color="000000" w:fill="DDEBF7"/>
            <w:vAlign w:val="bottom"/>
          </w:tcPr>
          <w:p w14:paraId="7598DBD7" w14:textId="77777777" w:rsidR="00BE0A2F" w:rsidRPr="006B0F72" w:rsidRDefault="00BE0A2F" w:rsidP="00BE0A2F">
            <w:pPr>
              <w:spacing w:beforeLines="20" w:before="48" w:afterLines="20" w:after="48"/>
              <w:jc w:val="right"/>
              <w:rPr>
                <w:noProof/>
                <w:sz w:val="18"/>
              </w:rPr>
            </w:pPr>
            <w:r w:rsidRPr="006B0F72">
              <w:rPr>
                <w:noProof/>
                <w:sz w:val="18"/>
              </w:rPr>
              <w:t>2,214</w:t>
            </w:r>
          </w:p>
        </w:tc>
        <w:tc>
          <w:tcPr>
            <w:tcW w:w="1985" w:type="dxa"/>
            <w:tcBorders>
              <w:top w:val="single" w:sz="8" w:space="0" w:color="auto"/>
              <w:left w:val="nil"/>
              <w:bottom w:val="single" w:sz="8" w:space="0" w:color="auto"/>
              <w:right w:val="single" w:sz="8" w:space="0" w:color="auto"/>
            </w:tcBorders>
            <w:shd w:val="clear" w:color="000000" w:fill="DDEBF7"/>
            <w:vAlign w:val="bottom"/>
          </w:tcPr>
          <w:p w14:paraId="0436C0DE" w14:textId="77777777" w:rsidR="00BE0A2F" w:rsidRPr="006B0F72" w:rsidRDefault="001056E8" w:rsidP="00BE0A2F">
            <w:pPr>
              <w:spacing w:beforeLines="20" w:before="48" w:afterLines="20" w:after="48"/>
              <w:jc w:val="right"/>
              <w:rPr>
                <w:b/>
                <w:noProof/>
                <w:sz w:val="18"/>
              </w:rPr>
            </w:pPr>
            <w:r w:rsidRPr="006B0F72">
              <w:rPr>
                <w:b/>
                <w:noProof/>
                <w:sz w:val="18"/>
              </w:rPr>
              <w:t>9,621</w:t>
            </w:r>
          </w:p>
        </w:tc>
      </w:tr>
      <w:tr w:rsidR="004B7DAE" w:rsidRPr="006B0F72" w14:paraId="7161A142" w14:textId="77777777" w:rsidTr="00BE0A2F">
        <w:trPr>
          <w:gridAfter w:val="5"/>
          <w:wAfter w:w="4918" w:type="dxa"/>
          <w:cantSplit/>
          <w:trHeight w:val="528"/>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948AA2D" w14:textId="77777777" w:rsidR="00BE0A2F" w:rsidRPr="006B0F72" w:rsidRDefault="00BE0A2F" w:rsidP="00853EE5">
            <w:pPr>
              <w:spacing w:before="0" w:after="0"/>
              <w:rPr>
                <w:rFonts w:eastAsia="Times New Roman"/>
                <w:noProof/>
                <w:color w:val="000000" w:themeColor="text1"/>
                <w:sz w:val="20"/>
                <w:szCs w:val="20"/>
              </w:rPr>
            </w:pPr>
            <w:r w:rsidRPr="006B0F72">
              <w:rPr>
                <w:noProof/>
                <w:color w:val="000000" w:themeColor="text1"/>
                <w:sz w:val="20"/>
              </w:rPr>
              <w:t>Naslov 2: Infrastrukturni, upravni odhodki</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03B5509A"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obveznosti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E1C5A9"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(1a)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3968DA8F"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6956496" w14:textId="77777777" w:rsidR="00BE0A2F" w:rsidRPr="006B0F72" w:rsidRDefault="00BE0A2F" w:rsidP="00BE0A2F">
            <w:pPr>
              <w:spacing w:beforeLines="20" w:before="48" w:afterLines="20" w:after="48"/>
              <w:jc w:val="right"/>
              <w:rPr>
                <w:rFonts w:eastAsia="Times New Roman"/>
                <w:noProof/>
                <w:color w:val="000000" w:themeColor="text1"/>
                <w:sz w:val="20"/>
                <w:szCs w:val="20"/>
              </w:rPr>
            </w:pPr>
            <w:r w:rsidRPr="006B0F72">
              <w:rPr>
                <w:noProof/>
                <w:sz w:val="18"/>
              </w:rPr>
              <w:t>0,275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C4090A8"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0,281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3FA3F6B"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0,287</w:t>
            </w:r>
          </w:p>
        </w:tc>
        <w:tc>
          <w:tcPr>
            <w:tcW w:w="851" w:type="dxa"/>
            <w:tcBorders>
              <w:top w:val="single" w:sz="4" w:space="0" w:color="auto"/>
              <w:left w:val="nil"/>
              <w:bottom w:val="single" w:sz="4" w:space="0" w:color="auto"/>
              <w:right w:val="single" w:sz="4" w:space="0" w:color="auto"/>
            </w:tcBorders>
            <w:shd w:val="clear" w:color="auto" w:fill="auto"/>
            <w:vAlign w:val="center"/>
          </w:tcPr>
          <w:p w14:paraId="725FC329"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0,292</w:t>
            </w:r>
          </w:p>
        </w:tc>
        <w:tc>
          <w:tcPr>
            <w:tcW w:w="850" w:type="dxa"/>
            <w:tcBorders>
              <w:top w:val="single" w:sz="4" w:space="0" w:color="auto"/>
              <w:left w:val="nil"/>
              <w:bottom w:val="single" w:sz="4" w:space="0" w:color="auto"/>
              <w:right w:val="single" w:sz="4" w:space="0" w:color="auto"/>
            </w:tcBorders>
            <w:shd w:val="clear" w:color="auto" w:fill="auto"/>
            <w:vAlign w:val="center"/>
          </w:tcPr>
          <w:p w14:paraId="5ECEED2F"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0,298</w:t>
            </w:r>
          </w:p>
        </w:tc>
        <w:tc>
          <w:tcPr>
            <w:tcW w:w="1985" w:type="dxa"/>
            <w:tcBorders>
              <w:top w:val="single" w:sz="4" w:space="0" w:color="auto"/>
              <w:left w:val="nil"/>
              <w:bottom w:val="single" w:sz="4" w:space="0" w:color="auto"/>
              <w:right w:val="single" w:sz="4" w:space="0" w:color="auto"/>
            </w:tcBorders>
            <w:shd w:val="clear" w:color="auto" w:fill="auto"/>
            <w:vAlign w:val="center"/>
          </w:tcPr>
          <w:p w14:paraId="436E167D" w14:textId="77777777" w:rsidR="00BE0A2F" w:rsidRPr="006B0F72" w:rsidRDefault="00BE0A2F" w:rsidP="00BE0A2F">
            <w:pPr>
              <w:spacing w:beforeLines="20" w:before="48" w:afterLines="20" w:after="48"/>
              <w:jc w:val="right"/>
              <w:rPr>
                <w:b/>
                <w:bCs/>
                <w:noProof/>
                <w:color w:val="000000" w:themeColor="text1"/>
                <w:sz w:val="20"/>
                <w:szCs w:val="20"/>
              </w:rPr>
            </w:pPr>
            <w:r w:rsidRPr="006B0F72">
              <w:rPr>
                <w:b/>
                <w:noProof/>
                <w:sz w:val="18"/>
              </w:rPr>
              <w:t>1,433</w:t>
            </w:r>
          </w:p>
        </w:tc>
      </w:tr>
      <w:tr w:rsidR="004B7DAE" w:rsidRPr="006B0F72" w14:paraId="6383CE7A" w14:textId="77777777" w:rsidTr="00BE0A2F">
        <w:trPr>
          <w:gridAfter w:val="5"/>
          <w:wAfter w:w="4918" w:type="dxa"/>
          <w:cantSplit/>
          <w:trHeight w:val="288"/>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7457BD" w14:textId="77777777" w:rsidR="00BE0A2F" w:rsidRPr="006B0F72" w:rsidRDefault="00BE0A2F" w:rsidP="00BE0A2F">
            <w:pPr>
              <w:spacing w:before="0" w:after="0"/>
              <w:jc w:val="left"/>
              <w:rPr>
                <w:rFonts w:eastAsia="Times New Roman"/>
                <w:noProof/>
                <w:color w:val="000000" w:themeColor="text1"/>
                <w:sz w:val="20"/>
                <w:szCs w:val="20"/>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0F56C3C2"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plačila</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091A4"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(2a)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410001D7"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376F6" w14:textId="77777777" w:rsidR="00BE0A2F" w:rsidRPr="006B0F72" w:rsidRDefault="00BE0A2F" w:rsidP="00BE0A2F">
            <w:pPr>
              <w:spacing w:beforeLines="20" w:before="48" w:afterLines="20" w:after="48"/>
              <w:jc w:val="right"/>
              <w:rPr>
                <w:rFonts w:eastAsia="Times New Roman"/>
                <w:noProof/>
                <w:color w:val="000000" w:themeColor="text1"/>
                <w:sz w:val="20"/>
                <w:szCs w:val="20"/>
              </w:rPr>
            </w:pPr>
            <w:r w:rsidRPr="006B0F72">
              <w:rPr>
                <w:noProof/>
                <w:sz w:val="18"/>
              </w:rPr>
              <w:t>0,275</w:t>
            </w:r>
          </w:p>
        </w:tc>
        <w:tc>
          <w:tcPr>
            <w:tcW w:w="851"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5079DBF"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0,281</w:t>
            </w:r>
          </w:p>
        </w:tc>
        <w:tc>
          <w:tcPr>
            <w:tcW w:w="850" w:type="dxa"/>
            <w:gridSpan w:val="2"/>
            <w:tcBorders>
              <w:top w:val="nil"/>
              <w:left w:val="nil"/>
              <w:bottom w:val="single" w:sz="4" w:space="0" w:color="auto"/>
              <w:right w:val="single" w:sz="4" w:space="0" w:color="auto"/>
            </w:tcBorders>
            <w:shd w:val="clear" w:color="auto" w:fill="FFFFFF" w:themeFill="background1"/>
            <w:vAlign w:val="center"/>
          </w:tcPr>
          <w:p w14:paraId="403B952F"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0,287</w:t>
            </w:r>
          </w:p>
        </w:tc>
        <w:tc>
          <w:tcPr>
            <w:tcW w:w="851" w:type="dxa"/>
            <w:tcBorders>
              <w:top w:val="nil"/>
              <w:left w:val="nil"/>
              <w:bottom w:val="single" w:sz="4" w:space="0" w:color="auto"/>
              <w:right w:val="single" w:sz="4" w:space="0" w:color="auto"/>
            </w:tcBorders>
            <w:shd w:val="clear" w:color="auto" w:fill="FFFFFF" w:themeFill="background1"/>
            <w:vAlign w:val="center"/>
          </w:tcPr>
          <w:p w14:paraId="48D6FC06"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0,292</w:t>
            </w:r>
          </w:p>
        </w:tc>
        <w:tc>
          <w:tcPr>
            <w:tcW w:w="850" w:type="dxa"/>
            <w:tcBorders>
              <w:top w:val="nil"/>
              <w:left w:val="nil"/>
              <w:bottom w:val="single" w:sz="4" w:space="0" w:color="auto"/>
              <w:right w:val="single" w:sz="4" w:space="0" w:color="auto"/>
            </w:tcBorders>
            <w:shd w:val="clear" w:color="auto" w:fill="FFFFFF" w:themeFill="background1"/>
            <w:vAlign w:val="center"/>
          </w:tcPr>
          <w:p w14:paraId="7A8F44BF" w14:textId="77777777" w:rsidR="00BE0A2F" w:rsidRPr="006B0F72" w:rsidRDefault="00BE0A2F" w:rsidP="00BE0A2F">
            <w:pPr>
              <w:spacing w:beforeLines="20" w:before="48" w:afterLines="20" w:after="48"/>
              <w:jc w:val="right"/>
              <w:rPr>
                <w:noProof/>
                <w:color w:val="000000" w:themeColor="text1"/>
                <w:sz w:val="20"/>
                <w:szCs w:val="20"/>
              </w:rPr>
            </w:pPr>
            <w:r w:rsidRPr="006B0F72">
              <w:rPr>
                <w:noProof/>
                <w:sz w:val="18"/>
              </w:rPr>
              <w:t>0,298</w:t>
            </w:r>
          </w:p>
        </w:tc>
        <w:tc>
          <w:tcPr>
            <w:tcW w:w="1985" w:type="dxa"/>
            <w:tcBorders>
              <w:top w:val="nil"/>
              <w:left w:val="nil"/>
              <w:bottom w:val="single" w:sz="4" w:space="0" w:color="auto"/>
              <w:right w:val="single" w:sz="4" w:space="0" w:color="auto"/>
            </w:tcBorders>
            <w:shd w:val="clear" w:color="auto" w:fill="FFFFFF" w:themeFill="background1"/>
            <w:vAlign w:val="center"/>
          </w:tcPr>
          <w:p w14:paraId="654D5A08" w14:textId="77777777" w:rsidR="00BE0A2F" w:rsidRPr="006B0F72" w:rsidRDefault="00BE0A2F" w:rsidP="00BE0A2F">
            <w:pPr>
              <w:spacing w:beforeLines="20" w:before="48" w:afterLines="20" w:after="48"/>
              <w:jc w:val="right"/>
              <w:rPr>
                <w:b/>
                <w:bCs/>
                <w:noProof/>
                <w:color w:val="000000" w:themeColor="text1"/>
                <w:sz w:val="20"/>
                <w:szCs w:val="20"/>
              </w:rPr>
            </w:pPr>
            <w:r w:rsidRPr="006B0F72">
              <w:rPr>
                <w:b/>
                <w:noProof/>
                <w:sz w:val="18"/>
              </w:rPr>
              <w:t>1,433</w:t>
            </w:r>
          </w:p>
        </w:tc>
      </w:tr>
      <w:tr w:rsidR="004B7DAE" w:rsidRPr="006B0F72" w14:paraId="5550D695" w14:textId="77777777" w:rsidTr="00BE0A2F">
        <w:trPr>
          <w:gridAfter w:val="5"/>
          <w:wAfter w:w="4918" w:type="dxa"/>
          <w:cantSplit/>
          <w:trHeight w:val="288"/>
        </w:trPr>
        <w:tc>
          <w:tcPr>
            <w:tcW w:w="31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951BE6" w14:textId="77777777" w:rsidR="00BE0A2F" w:rsidRPr="006B0F72" w:rsidRDefault="00BE0A2F" w:rsidP="00BE0A2F">
            <w:pPr>
              <w:spacing w:before="0" w:after="0"/>
              <w:rPr>
                <w:rFonts w:eastAsia="Times New Roman"/>
                <w:noProof/>
                <w:color w:val="000000" w:themeColor="text1"/>
                <w:sz w:val="20"/>
                <w:szCs w:val="20"/>
              </w:rPr>
            </w:pPr>
            <w:r w:rsidRPr="006B0F72">
              <w:rPr>
                <w:noProof/>
                <w:color w:val="000000" w:themeColor="text1"/>
                <w:sz w:val="20"/>
              </w:rPr>
              <w:t>Naslov 3: Odhodki za poslovanje</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3D5C30E1"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obveznosti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CBF7EA"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(3 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6FF28D1E"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nil"/>
              <w:left w:val="nil"/>
              <w:bottom w:val="nil"/>
              <w:right w:val="single" w:sz="4" w:space="0" w:color="auto"/>
            </w:tcBorders>
            <w:shd w:val="clear" w:color="auto" w:fill="auto"/>
            <w:vAlign w:val="center"/>
          </w:tcPr>
          <w:p w14:paraId="471CB22E" w14:textId="77777777" w:rsidR="00BE0A2F" w:rsidRPr="006B0F72" w:rsidRDefault="00BE0A2F" w:rsidP="00BE0A2F">
            <w:pPr>
              <w:spacing w:beforeLines="20" w:before="48" w:afterLines="20" w:after="48"/>
              <w:jc w:val="right"/>
              <w:rPr>
                <w:rFonts w:eastAsia="Times New Roman"/>
                <w:noProof/>
                <w:color w:val="000000" w:themeColor="text1"/>
                <w:sz w:val="20"/>
                <w:szCs w:val="20"/>
              </w:rPr>
            </w:pPr>
            <w:r w:rsidRPr="006B0F72">
              <w:rPr>
                <w:rFonts w:ascii="Calibri" w:hAnsi="Calibri"/>
                <w:noProof/>
                <w:sz w:val="18"/>
              </w:rPr>
              <w:t>1,004</w:t>
            </w:r>
          </w:p>
        </w:tc>
        <w:tc>
          <w:tcPr>
            <w:tcW w:w="851" w:type="dxa"/>
            <w:gridSpan w:val="2"/>
            <w:tcBorders>
              <w:top w:val="nil"/>
              <w:left w:val="nil"/>
              <w:bottom w:val="nil"/>
              <w:right w:val="single" w:sz="4" w:space="0" w:color="auto"/>
            </w:tcBorders>
            <w:shd w:val="clear" w:color="auto" w:fill="auto"/>
            <w:vAlign w:val="center"/>
          </w:tcPr>
          <w:p w14:paraId="32EC7956"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0,587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4F79DED"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0,596</w:t>
            </w:r>
          </w:p>
        </w:tc>
        <w:tc>
          <w:tcPr>
            <w:tcW w:w="851" w:type="dxa"/>
            <w:tcBorders>
              <w:top w:val="single" w:sz="4" w:space="0" w:color="auto"/>
              <w:left w:val="nil"/>
              <w:bottom w:val="single" w:sz="4" w:space="0" w:color="auto"/>
              <w:right w:val="single" w:sz="4" w:space="0" w:color="auto"/>
            </w:tcBorders>
            <w:shd w:val="clear" w:color="auto" w:fill="auto"/>
            <w:vAlign w:val="center"/>
          </w:tcPr>
          <w:p w14:paraId="1A726418"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0,605</w:t>
            </w:r>
          </w:p>
        </w:tc>
        <w:tc>
          <w:tcPr>
            <w:tcW w:w="850" w:type="dxa"/>
            <w:tcBorders>
              <w:top w:val="single" w:sz="4" w:space="0" w:color="auto"/>
              <w:left w:val="nil"/>
              <w:bottom w:val="single" w:sz="4" w:space="0" w:color="auto"/>
              <w:right w:val="single" w:sz="4" w:space="0" w:color="auto"/>
            </w:tcBorders>
            <w:shd w:val="clear" w:color="auto" w:fill="auto"/>
            <w:vAlign w:val="center"/>
          </w:tcPr>
          <w:p w14:paraId="31769BC6"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0,614</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42D778" w14:textId="77777777" w:rsidR="00BE0A2F" w:rsidRPr="006B0F72" w:rsidRDefault="00BE0A2F" w:rsidP="00BE0A2F">
            <w:pPr>
              <w:spacing w:beforeLines="20" w:before="48" w:afterLines="20" w:after="48"/>
              <w:jc w:val="right"/>
              <w:rPr>
                <w:b/>
                <w:bCs/>
                <w:noProof/>
                <w:color w:val="000000" w:themeColor="text1"/>
                <w:sz w:val="20"/>
                <w:szCs w:val="20"/>
              </w:rPr>
            </w:pPr>
            <w:r w:rsidRPr="006B0F72">
              <w:rPr>
                <w:rFonts w:ascii="Calibri" w:hAnsi="Calibri"/>
                <w:b/>
                <w:noProof/>
                <w:sz w:val="18"/>
              </w:rPr>
              <w:t>3,406</w:t>
            </w:r>
          </w:p>
        </w:tc>
      </w:tr>
      <w:tr w:rsidR="004B7DAE" w:rsidRPr="006B0F72" w14:paraId="079409F1" w14:textId="77777777" w:rsidTr="00BE0A2F">
        <w:trPr>
          <w:gridAfter w:val="5"/>
          <w:wAfter w:w="4918" w:type="dxa"/>
          <w:cantSplit/>
          <w:trHeight w:val="288"/>
        </w:trPr>
        <w:tc>
          <w:tcPr>
            <w:tcW w:w="31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44F09E" w14:textId="77777777" w:rsidR="00BE0A2F" w:rsidRPr="006B0F72" w:rsidRDefault="00BE0A2F" w:rsidP="00BE0A2F">
            <w:pPr>
              <w:spacing w:before="0" w:after="0"/>
              <w:rPr>
                <w:rFonts w:eastAsia="Times New Roman"/>
                <w:b/>
                <w:bCs/>
                <w:noProof/>
                <w:color w:val="000000" w:themeColor="text1"/>
                <w:sz w:val="20"/>
                <w:szCs w:val="20"/>
              </w:rPr>
            </w:pPr>
            <w:r w:rsidRPr="006B0F72">
              <w:rPr>
                <w:b/>
                <w:noProof/>
                <w:color w:val="000000" w:themeColor="text1"/>
                <w:sz w:val="20"/>
              </w:rPr>
              <w:t xml:space="preserve"> </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04CF92C0"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plačila</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3D8FD1"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(3b)</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16C30405" w14:textId="77777777" w:rsidR="00BE0A2F" w:rsidRPr="006B0F72"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27DE50B" w14:textId="77777777" w:rsidR="00BE0A2F" w:rsidRPr="006B0F72" w:rsidRDefault="00BE0A2F" w:rsidP="00BE0A2F">
            <w:pPr>
              <w:spacing w:beforeLines="20" w:before="48" w:afterLines="20" w:after="48"/>
              <w:jc w:val="right"/>
              <w:rPr>
                <w:rFonts w:eastAsia="Times New Roman"/>
                <w:noProof/>
                <w:color w:val="000000" w:themeColor="text1"/>
                <w:sz w:val="20"/>
                <w:szCs w:val="20"/>
              </w:rPr>
            </w:pPr>
            <w:r w:rsidRPr="006B0F72">
              <w:rPr>
                <w:rFonts w:ascii="Calibri" w:hAnsi="Calibri"/>
                <w:noProof/>
                <w:sz w:val="18"/>
              </w:rPr>
              <w:t>1,004</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2C8BDCC"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0,587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A261D0B"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0,596</w:t>
            </w:r>
          </w:p>
        </w:tc>
        <w:tc>
          <w:tcPr>
            <w:tcW w:w="851" w:type="dxa"/>
            <w:tcBorders>
              <w:top w:val="single" w:sz="4" w:space="0" w:color="auto"/>
              <w:left w:val="nil"/>
              <w:bottom w:val="single" w:sz="4" w:space="0" w:color="auto"/>
              <w:right w:val="single" w:sz="4" w:space="0" w:color="auto"/>
            </w:tcBorders>
            <w:shd w:val="clear" w:color="auto" w:fill="auto"/>
            <w:vAlign w:val="center"/>
          </w:tcPr>
          <w:p w14:paraId="1334F1FC"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0,605</w:t>
            </w:r>
          </w:p>
        </w:tc>
        <w:tc>
          <w:tcPr>
            <w:tcW w:w="850" w:type="dxa"/>
            <w:tcBorders>
              <w:top w:val="single" w:sz="4" w:space="0" w:color="auto"/>
              <w:left w:val="nil"/>
              <w:bottom w:val="single" w:sz="4" w:space="0" w:color="auto"/>
              <w:right w:val="single" w:sz="4" w:space="0" w:color="auto"/>
            </w:tcBorders>
            <w:shd w:val="clear" w:color="auto" w:fill="auto"/>
            <w:vAlign w:val="center"/>
          </w:tcPr>
          <w:p w14:paraId="713412DB" w14:textId="77777777" w:rsidR="00BE0A2F" w:rsidRPr="006B0F72" w:rsidRDefault="00BE0A2F" w:rsidP="00BE0A2F">
            <w:pPr>
              <w:spacing w:beforeLines="20" w:before="48" w:afterLines="20" w:after="48"/>
              <w:jc w:val="right"/>
              <w:rPr>
                <w:noProof/>
                <w:color w:val="000000" w:themeColor="text1"/>
                <w:sz w:val="20"/>
                <w:szCs w:val="20"/>
              </w:rPr>
            </w:pPr>
            <w:r w:rsidRPr="006B0F72">
              <w:rPr>
                <w:rFonts w:ascii="Calibri" w:hAnsi="Calibri"/>
                <w:noProof/>
                <w:sz w:val="18"/>
              </w:rPr>
              <w:t>0,614</w:t>
            </w:r>
          </w:p>
        </w:tc>
        <w:tc>
          <w:tcPr>
            <w:tcW w:w="1985" w:type="dxa"/>
            <w:tcBorders>
              <w:top w:val="single" w:sz="4" w:space="0" w:color="auto"/>
              <w:left w:val="nil"/>
              <w:bottom w:val="single" w:sz="4" w:space="0" w:color="auto"/>
              <w:right w:val="single" w:sz="4" w:space="0" w:color="auto"/>
            </w:tcBorders>
            <w:shd w:val="clear" w:color="auto" w:fill="auto"/>
            <w:vAlign w:val="center"/>
          </w:tcPr>
          <w:p w14:paraId="75C4523E" w14:textId="77777777" w:rsidR="00BE0A2F" w:rsidRPr="006B0F72" w:rsidRDefault="00BE0A2F" w:rsidP="00BE0A2F">
            <w:pPr>
              <w:spacing w:beforeLines="20" w:before="48" w:afterLines="20" w:after="48"/>
              <w:jc w:val="right"/>
              <w:rPr>
                <w:b/>
                <w:bCs/>
                <w:noProof/>
                <w:color w:val="000000" w:themeColor="text1"/>
                <w:sz w:val="20"/>
                <w:szCs w:val="20"/>
              </w:rPr>
            </w:pPr>
            <w:r w:rsidRPr="006B0F72">
              <w:rPr>
                <w:rFonts w:ascii="Calibri" w:hAnsi="Calibri"/>
                <w:b/>
                <w:noProof/>
                <w:sz w:val="18"/>
              </w:rPr>
              <w:t>3,406</w:t>
            </w:r>
          </w:p>
        </w:tc>
      </w:tr>
      <w:tr w:rsidR="004B7DAE" w:rsidRPr="006B0F72" w14:paraId="44087B6C" w14:textId="77777777" w:rsidTr="00BE0A2F">
        <w:trPr>
          <w:gridAfter w:val="5"/>
          <w:wAfter w:w="4918" w:type="dxa"/>
          <w:cantSplit/>
          <w:trHeight w:val="468"/>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54E07F0" w14:textId="77777777" w:rsidR="00BE0A2F" w:rsidRPr="006B0F72" w:rsidRDefault="00BE0A2F" w:rsidP="00BE0A2F">
            <w:pPr>
              <w:spacing w:before="0" w:after="0"/>
              <w:jc w:val="left"/>
              <w:rPr>
                <w:rFonts w:eastAsia="Times New Roman"/>
                <w:b/>
                <w:bCs/>
                <w:noProof/>
                <w:color w:val="000000" w:themeColor="text1"/>
                <w:sz w:val="22"/>
              </w:rPr>
            </w:pPr>
            <w:r w:rsidRPr="006B0F72">
              <w:rPr>
                <w:b/>
                <w:noProof/>
                <w:color w:val="000000" w:themeColor="text1"/>
                <w:sz w:val="22"/>
              </w:rPr>
              <w:t>Odobritve za agencijo EEA SKUPAJ</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2D937488"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obveznosti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EA3FEE"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 1 + 1a + 3a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11A33B9F" w14:textId="77777777" w:rsidR="00BE0A2F" w:rsidRPr="006B0F72" w:rsidRDefault="00BE0A2F" w:rsidP="00BE0A2F">
            <w:pPr>
              <w:spacing w:beforeLines="20" w:before="48" w:afterLines="20" w:after="48"/>
              <w:jc w:val="right"/>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E32F20B" w14:textId="77777777" w:rsidR="00BE0A2F" w:rsidRPr="006B0F72" w:rsidRDefault="001056E8" w:rsidP="00BE0A2F">
            <w:pPr>
              <w:spacing w:beforeLines="20" w:before="48" w:afterLines="20" w:after="48"/>
              <w:jc w:val="right"/>
              <w:rPr>
                <w:noProof/>
                <w:sz w:val="18"/>
              </w:rPr>
            </w:pPr>
            <w:r w:rsidRPr="006B0F72">
              <w:rPr>
                <w:noProof/>
                <w:sz w:val="18"/>
              </w:rPr>
              <w:t>2,302</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14:paraId="437C5B13" w14:textId="77777777" w:rsidR="00BE0A2F" w:rsidRPr="006B0F72" w:rsidRDefault="00BE0A2F" w:rsidP="00BE0A2F">
            <w:pPr>
              <w:spacing w:beforeLines="20" w:before="48" w:afterLines="20" w:after="48"/>
              <w:jc w:val="right"/>
              <w:rPr>
                <w:noProof/>
                <w:sz w:val="18"/>
              </w:rPr>
            </w:pPr>
            <w:r w:rsidRPr="006B0F72">
              <w:rPr>
                <w:noProof/>
                <w:sz w:val="18"/>
              </w:rPr>
              <w:t>2,954</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14BEC1E5" w14:textId="77777777" w:rsidR="00BE0A2F" w:rsidRPr="006B0F72" w:rsidRDefault="00BE0A2F" w:rsidP="00BE0A2F">
            <w:pPr>
              <w:spacing w:beforeLines="20" w:before="48" w:afterLines="20" w:after="48"/>
              <w:jc w:val="right"/>
              <w:rPr>
                <w:noProof/>
                <w:sz w:val="18"/>
              </w:rPr>
            </w:pPr>
            <w:r w:rsidRPr="006B0F72">
              <w:rPr>
                <w:noProof/>
                <w:sz w:val="18"/>
              </w:rPr>
              <w:t>3,011</w:t>
            </w:r>
          </w:p>
        </w:tc>
        <w:tc>
          <w:tcPr>
            <w:tcW w:w="851" w:type="dxa"/>
            <w:tcBorders>
              <w:top w:val="single" w:sz="4" w:space="0" w:color="auto"/>
              <w:left w:val="nil"/>
              <w:bottom w:val="single" w:sz="4" w:space="0" w:color="auto"/>
              <w:right w:val="single" w:sz="4" w:space="0" w:color="auto"/>
            </w:tcBorders>
            <w:shd w:val="clear" w:color="auto" w:fill="auto"/>
            <w:vAlign w:val="bottom"/>
          </w:tcPr>
          <w:p w14:paraId="7521276F" w14:textId="77777777" w:rsidR="00BE0A2F" w:rsidRPr="006B0F72" w:rsidRDefault="00BE0A2F" w:rsidP="00BE0A2F">
            <w:pPr>
              <w:spacing w:beforeLines="20" w:before="48" w:afterLines="20" w:after="48"/>
              <w:jc w:val="right"/>
              <w:rPr>
                <w:noProof/>
                <w:sz w:val="18"/>
              </w:rPr>
            </w:pPr>
            <w:r w:rsidRPr="006B0F72">
              <w:rPr>
                <w:noProof/>
                <w:sz w:val="18"/>
              </w:rPr>
              <w:t>3,067</w:t>
            </w:r>
          </w:p>
        </w:tc>
        <w:tc>
          <w:tcPr>
            <w:tcW w:w="850" w:type="dxa"/>
            <w:tcBorders>
              <w:top w:val="single" w:sz="4" w:space="0" w:color="auto"/>
              <w:left w:val="nil"/>
              <w:bottom w:val="single" w:sz="4" w:space="0" w:color="auto"/>
              <w:right w:val="single" w:sz="4" w:space="0" w:color="auto"/>
            </w:tcBorders>
            <w:shd w:val="clear" w:color="auto" w:fill="auto"/>
            <w:vAlign w:val="bottom"/>
          </w:tcPr>
          <w:p w14:paraId="13F2C4D6" w14:textId="77777777" w:rsidR="00BE0A2F" w:rsidRPr="006B0F72" w:rsidRDefault="00BE0A2F" w:rsidP="00BE0A2F">
            <w:pPr>
              <w:spacing w:beforeLines="20" w:before="48" w:afterLines="20" w:after="48"/>
              <w:jc w:val="right"/>
              <w:rPr>
                <w:noProof/>
                <w:sz w:val="18"/>
              </w:rPr>
            </w:pPr>
            <w:r w:rsidRPr="006B0F72">
              <w:rPr>
                <w:noProof/>
                <w:sz w:val="18"/>
              </w:rPr>
              <w:t>3,126</w:t>
            </w:r>
          </w:p>
        </w:tc>
        <w:tc>
          <w:tcPr>
            <w:tcW w:w="1985" w:type="dxa"/>
            <w:tcBorders>
              <w:top w:val="single" w:sz="4" w:space="0" w:color="auto"/>
              <w:left w:val="nil"/>
              <w:bottom w:val="single" w:sz="4" w:space="0" w:color="auto"/>
              <w:right w:val="single" w:sz="4" w:space="0" w:color="auto"/>
            </w:tcBorders>
            <w:shd w:val="clear" w:color="auto" w:fill="auto"/>
            <w:vAlign w:val="bottom"/>
          </w:tcPr>
          <w:p w14:paraId="637614CA" w14:textId="77777777" w:rsidR="00BE0A2F" w:rsidRPr="006B0F72" w:rsidRDefault="001056E8" w:rsidP="00BE0A2F">
            <w:pPr>
              <w:spacing w:beforeLines="20" w:before="48" w:afterLines="20" w:after="48"/>
              <w:jc w:val="right"/>
              <w:rPr>
                <w:b/>
                <w:noProof/>
                <w:sz w:val="18"/>
              </w:rPr>
            </w:pPr>
            <w:r w:rsidRPr="006B0F72">
              <w:rPr>
                <w:b/>
                <w:noProof/>
                <w:sz w:val="18"/>
              </w:rPr>
              <w:t>14,460</w:t>
            </w:r>
          </w:p>
        </w:tc>
      </w:tr>
      <w:tr w:rsidR="004B7DAE" w:rsidRPr="006B0F72" w14:paraId="299AE2CC" w14:textId="77777777" w:rsidTr="00BE0A2F">
        <w:trPr>
          <w:gridAfter w:val="5"/>
          <w:wAfter w:w="4918" w:type="dxa"/>
          <w:cantSplit/>
          <w:trHeight w:val="480"/>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73C99C" w14:textId="77777777" w:rsidR="00BE0A2F" w:rsidRPr="006B0F72" w:rsidRDefault="00BE0A2F" w:rsidP="00BE0A2F">
            <w:pPr>
              <w:spacing w:before="0" w:after="0"/>
              <w:jc w:val="left"/>
              <w:rPr>
                <w:rFonts w:eastAsia="Times New Roman"/>
                <w:b/>
                <w:bCs/>
                <w:noProof/>
                <w:color w:val="000000" w:themeColor="text1"/>
                <w:sz w:val="22"/>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390A2450" w14:textId="77777777" w:rsidR="00BE0A2F" w:rsidRPr="006B0F72" w:rsidRDefault="00BE0A2F" w:rsidP="00BE0A2F">
            <w:pPr>
              <w:spacing w:beforeLines="20" w:before="48" w:afterLines="20" w:after="48"/>
              <w:rPr>
                <w:rFonts w:eastAsia="Times New Roman"/>
                <w:noProof/>
                <w:color w:val="000000" w:themeColor="text1"/>
                <w:sz w:val="18"/>
                <w:szCs w:val="18"/>
              </w:rPr>
            </w:pPr>
            <w:r w:rsidRPr="006B0F72">
              <w:rPr>
                <w:noProof/>
                <w:color w:val="000000" w:themeColor="text1"/>
                <w:sz w:val="18"/>
              </w:rPr>
              <w:t>plačila</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1FE535" w14:textId="77777777" w:rsidR="00BE0A2F" w:rsidRPr="006B0F72" w:rsidRDefault="00BE0A2F" w:rsidP="00BE0A2F">
            <w:pPr>
              <w:spacing w:beforeLines="20" w:before="48" w:afterLines="20" w:after="48"/>
              <w:jc w:val="center"/>
              <w:rPr>
                <w:rFonts w:eastAsia="Times New Roman"/>
                <w:noProof/>
                <w:color w:val="000000" w:themeColor="text1"/>
                <w:sz w:val="14"/>
                <w:szCs w:val="14"/>
              </w:rPr>
            </w:pPr>
            <w:r w:rsidRPr="006B0F72">
              <w:rPr>
                <w:noProof/>
                <w:color w:val="000000" w:themeColor="text1"/>
                <w:sz w:val="14"/>
              </w:rPr>
              <w:t>= 2 + 2a + 3b</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43A8FB6B" w14:textId="77777777" w:rsidR="00BE0A2F" w:rsidRPr="006B0F72" w:rsidRDefault="00BE0A2F" w:rsidP="00BE0A2F">
            <w:pPr>
              <w:spacing w:beforeLines="20" w:before="48" w:afterLines="20" w:after="48"/>
              <w:jc w:val="right"/>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4C2178E" w14:textId="77777777" w:rsidR="00BE0A2F" w:rsidRPr="006B0F72" w:rsidRDefault="001056E8" w:rsidP="00BE0A2F">
            <w:pPr>
              <w:spacing w:beforeLines="20" w:before="48" w:afterLines="20" w:after="48"/>
              <w:jc w:val="right"/>
              <w:rPr>
                <w:noProof/>
                <w:sz w:val="18"/>
              </w:rPr>
            </w:pPr>
            <w:r w:rsidRPr="006B0F72">
              <w:rPr>
                <w:noProof/>
                <w:sz w:val="18"/>
              </w:rPr>
              <w:t>2,302</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14:paraId="650E7AB3" w14:textId="77777777" w:rsidR="00BE0A2F" w:rsidRPr="006B0F72" w:rsidRDefault="00BE0A2F" w:rsidP="00BE0A2F">
            <w:pPr>
              <w:spacing w:beforeLines="20" w:before="48" w:afterLines="20" w:after="48"/>
              <w:jc w:val="right"/>
              <w:rPr>
                <w:noProof/>
                <w:sz w:val="18"/>
              </w:rPr>
            </w:pPr>
            <w:r w:rsidRPr="006B0F72">
              <w:rPr>
                <w:noProof/>
                <w:sz w:val="18"/>
              </w:rPr>
              <w:t>2,954</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7786163E" w14:textId="77777777" w:rsidR="00BE0A2F" w:rsidRPr="006B0F72" w:rsidRDefault="00BE0A2F" w:rsidP="00BE0A2F">
            <w:pPr>
              <w:spacing w:beforeLines="20" w:before="48" w:afterLines="20" w:after="48"/>
              <w:jc w:val="right"/>
              <w:rPr>
                <w:noProof/>
                <w:sz w:val="18"/>
              </w:rPr>
            </w:pPr>
            <w:r w:rsidRPr="006B0F72">
              <w:rPr>
                <w:noProof/>
                <w:sz w:val="18"/>
              </w:rPr>
              <w:t>3,011</w:t>
            </w:r>
          </w:p>
        </w:tc>
        <w:tc>
          <w:tcPr>
            <w:tcW w:w="851" w:type="dxa"/>
            <w:tcBorders>
              <w:top w:val="single" w:sz="4" w:space="0" w:color="auto"/>
              <w:left w:val="nil"/>
              <w:bottom w:val="single" w:sz="4" w:space="0" w:color="auto"/>
              <w:right w:val="single" w:sz="4" w:space="0" w:color="auto"/>
            </w:tcBorders>
            <w:shd w:val="clear" w:color="auto" w:fill="auto"/>
            <w:vAlign w:val="bottom"/>
          </w:tcPr>
          <w:p w14:paraId="6E1033F8" w14:textId="77777777" w:rsidR="00BE0A2F" w:rsidRPr="006B0F72" w:rsidRDefault="00BE0A2F" w:rsidP="00BE0A2F">
            <w:pPr>
              <w:spacing w:beforeLines="20" w:before="48" w:afterLines="20" w:after="48"/>
              <w:jc w:val="right"/>
              <w:rPr>
                <w:noProof/>
                <w:sz w:val="18"/>
              </w:rPr>
            </w:pPr>
            <w:r w:rsidRPr="006B0F72">
              <w:rPr>
                <w:noProof/>
                <w:sz w:val="18"/>
              </w:rPr>
              <w:t>3,067</w:t>
            </w:r>
          </w:p>
        </w:tc>
        <w:tc>
          <w:tcPr>
            <w:tcW w:w="850" w:type="dxa"/>
            <w:tcBorders>
              <w:top w:val="single" w:sz="4" w:space="0" w:color="auto"/>
              <w:left w:val="nil"/>
              <w:bottom w:val="single" w:sz="4" w:space="0" w:color="auto"/>
              <w:right w:val="single" w:sz="4" w:space="0" w:color="auto"/>
            </w:tcBorders>
            <w:shd w:val="clear" w:color="auto" w:fill="auto"/>
            <w:vAlign w:val="bottom"/>
          </w:tcPr>
          <w:p w14:paraId="7EA69D36" w14:textId="77777777" w:rsidR="00BE0A2F" w:rsidRPr="006B0F72" w:rsidRDefault="00BE0A2F" w:rsidP="00BE0A2F">
            <w:pPr>
              <w:spacing w:beforeLines="20" w:before="48" w:afterLines="20" w:after="48"/>
              <w:jc w:val="right"/>
              <w:rPr>
                <w:noProof/>
                <w:sz w:val="18"/>
              </w:rPr>
            </w:pPr>
            <w:r w:rsidRPr="006B0F72">
              <w:rPr>
                <w:noProof/>
                <w:sz w:val="18"/>
              </w:rPr>
              <w:t>3,126</w:t>
            </w:r>
          </w:p>
        </w:tc>
        <w:tc>
          <w:tcPr>
            <w:tcW w:w="1985" w:type="dxa"/>
            <w:tcBorders>
              <w:top w:val="single" w:sz="4" w:space="0" w:color="auto"/>
              <w:left w:val="nil"/>
              <w:bottom w:val="single" w:sz="4" w:space="0" w:color="auto"/>
              <w:right w:val="single" w:sz="4" w:space="0" w:color="auto"/>
            </w:tcBorders>
            <w:shd w:val="clear" w:color="auto" w:fill="auto"/>
            <w:vAlign w:val="bottom"/>
          </w:tcPr>
          <w:p w14:paraId="58EA2504" w14:textId="77777777" w:rsidR="00BE0A2F" w:rsidRPr="006B0F72" w:rsidRDefault="001056E8" w:rsidP="00BE0A2F">
            <w:pPr>
              <w:spacing w:beforeLines="20" w:before="48" w:afterLines="20" w:after="48"/>
              <w:jc w:val="right"/>
              <w:rPr>
                <w:b/>
                <w:noProof/>
                <w:sz w:val="18"/>
              </w:rPr>
            </w:pPr>
            <w:r w:rsidRPr="006B0F72">
              <w:rPr>
                <w:b/>
                <w:noProof/>
                <w:sz w:val="18"/>
              </w:rPr>
              <w:t>14,460</w:t>
            </w:r>
          </w:p>
        </w:tc>
      </w:tr>
    </w:tbl>
    <w:p w14:paraId="35FB6581" w14:textId="77777777" w:rsidR="00BE0A2F" w:rsidRPr="006B0F72" w:rsidRDefault="00BE0A2F" w:rsidP="00BE0A2F">
      <w:pPr>
        <w:spacing w:after="40"/>
        <w:rPr>
          <w:b/>
          <w:noProof/>
          <w:color w:val="000000" w:themeColor="text1"/>
          <w:sz w:val="22"/>
          <w:u w:val="single"/>
        </w:rPr>
      </w:pPr>
    </w:p>
    <w:p w14:paraId="0871E4F3" w14:textId="77777777" w:rsidR="00BE0A2F" w:rsidRPr="006B0F72" w:rsidRDefault="00BE0A2F" w:rsidP="00BE0A2F">
      <w:pPr>
        <w:rPr>
          <w:b/>
          <w:bCs/>
          <w:noProof/>
          <w:color w:val="000000" w:themeColor="text1"/>
        </w:rPr>
      </w:pPr>
      <w:r w:rsidRPr="006B0F72">
        <w:rPr>
          <w:b/>
          <w:noProof/>
          <w:color w:val="000000" w:themeColor="text1"/>
        </w:rPr>
        <w:t>Opombe v zvezi z odhodki za agencijo EEA:</w:t>
      </w:r>
    </w:p>
    <w:p w14:paraId="14690503" w14:textId="77777777" w:rsidR="00BE0A2F" w:rsidRPr="006B0F72" w:rsidRDefault="00BE0A2F" w:rsidP="00BE0A2F">
      <w:pPr>
        <w:rPr>
          <w:noProof/>
          <w:color w:val="000000" w:themeColor="text1"/>
        </w:rPr>
      </w:pPr>
      <w:r w:rsidRPr="006B0F72">
        <w:rPr>
          <w:b/>
          <w:noProof/>
          <w:color w:val="000000" w:themeColor="text1"/>
        </w:rPr>
        <w:t>Naslov 1</w:t>
      </w:r>
      <w:r w:rsidRPr="006B0F72">
        <w:rPr>
          <w:noProof/>
          <w:color w:val="000000" w:themeColor="text1"/>
        </w:rPr>
        <w:t xml:space="preserve"> Stroški na EPDČ so izračunani:</w:t>
      </w:r>
    </w:p>
    <w:p w14:paraId="1BF2098D" w14:textId="77777777" w:rsidR="00BE0A2F" w:rsidRPr="006B0F72" w:rsidRDefault="00BE0A2F" w:rsidP="00B0251E">
      <w:pPr>
        <w:pStyle w:val="Tiret0"/>
        <w:rPr>
          <w:noProof/>
        </w:rPr>
      </w:pPr>
      <w:r w:rsidRPr="006B0F72">
        <w:rPr>
          <w:noProof/>
        </w:rPr>
        <w:t xml:space="preserve">za začasne uslužbence (AD/AST) glede na povprečne stroške za zaposlene v višini 157 000 EUR/leto, pomnoženo z 1,342 (koeficient za življenjske stroške v Københavnu); </w:t>
      </w:r>
    </w:p>
    <w:p w14:paraId="2F652850" w14:textId="77777777" w:rsidR="00BE0A2F" w:rsidRPr="006B0F72" w:rsidRDefault="00BE0A2F" w:rsidP="00633D25">
      <w:pPr>
        <w:pStyle w:val="Tiret0"/>
        <w:rPr>
          <w:noProof/>
        </w:rPr>
      </w:pPr>
      <w:r w:rsidRPr="006B0F72">
        <w:rPr>
          <w:noProof/>
        </w:rPr>
        <w:t xml:space="preserve">za pogodbene uslužbence glede na povprečne stroške za zaposlene v višini 85 000 EUR/leto x 1,342; </w:t>
      </w:r>
    </w:p>
    <w:p w14:paraId="56C8407B" w14:textId="77777777" w:rsidR="00BE0A2F" w:rsidRPr="006B0F72" w:rsidRDefault="00BE0A2F" w:rsidP="00633D25">
      <w:pPr>
        <w:pStyle w:val="Tiret0"/>
        <w:rPr>
          <w:noProof/>
        </w:rPr>
      </w:pPr>
      <w:r w:rsidRPr="006B0F72">
        <w:rPr>
          <w:noProof/>
        </w:rPr>
        <w:t>ob upoštevanju letne 2-odstotne stopnje inflacije, ki se uporablja od leta 2024;</w:t>
      </w:r>
    </w:p>
    <w:p w14:paraId="5B5E8A18" w14:textId="77777777" w:rsidR="001056E8" w:rsidRPr="006B0F72" w:rsidRDefault="001056E8" w:rsidP="00633D25">
      <w:pPr>
        <w:pStyle w:val="Tiret0"/>
        <w:rPr>
          <w:noProof/>
        </w:rPr>
      </w:pPr>
      <w:r w:rsidRPr="006B0F72">
        <w:rPr>
          <w:noProof/>
        </w:rPr>
        <w:t>v prvem letu (2023) so stroški za zaposlene izračunani le za pol leta na podlagi predpostavke, da ne bo vse osebje zaposleno že januarja 2023.</w:t>
      </w:r>
    </w:p>
    <w:p w14:paraId="54E4ABA2" w14:textId="77777777" w:rsidR="00BE0A2F" w:rsidRPr="006B0F72" w:rsidRDefault="00BE0A2F" w:rsidP="00BE0A2F">
      <w:pPr>
        <w:rPr>
          <w:noProof/>
          <w:color w:val="000000" w:themeColor="text1"/>
        </w:rPr>
      </w:pPr>
      <w:r w:rsidRPr="006B0F72">
        <w:rPr>
          <w:b/>
          <w:noProof/>
          <w:color w:val="000000" w:themeColor="text1"/>
        </w:rPr>
        <w:t>Naslov 2:</w:t>
      </w:r>
      <w:r w:rsidRPr="006B0F72">
        <w:rPr>
          <w:noProof/>
          <w:color w:val="000000" w:themeColor="text1"/>
        </w:rPr>
        <w:t xml:space="preserve"> ta naslov vključuje javne storitve, najemnino in storitve ter potrebe po IT in komunikaciji za končne uporabnike, na primer prenosne računalnike, telefonijo, gostovanje.  Stroški so prilagojeni glede na 2-odstotno stopnjo inflacije na leto.</w:t>
      </w:r>
    </w:p>
    <w:p w14:paraId="63995BC9" w14:textId="77777777" w:rsidR="00BE0A2F" w:rsidRPr="006B0F72" w:rsidRDefault="00BE0A2F" w:rsidP="00BE0A2F">
      <w:pPr>
        <w:rPr>
          <w:noProof/>
          <w:color w:val="000000" w:themeColor="text1"/>
        </w:rPr>
      </w:pPr>
      <w:r w:rsidRPr="006B0F72">
        <w:rPr>
          <w:noProof/>
          <w:color w:val="000000" w:themeColor="text1"/>
        </w:rPr>
        <w:t xml:space="preserve">Stroške </w:t>
      </w:r>
      <w:r w:rsidRPr="006B0F72">
        <w:rPr>
          <w:b/>
          <w:noProof/>
          <w:color w:val="000000" w:themeColor="text1"/>
        </w:rPr>
        <w:t>Naslova 3</w:t>
      </w:r>
      <w:r w:rsidRPr="006B0F72">
        <w:rPr>
          <w:noProof/>
          <w:color w:val="000000" w:themeColor="text1"/>
        </w:rPr>
        <w:t xml:space="preserve"> sestavljajo:</w:t>
      </w:r>
    </w:p>
    <w:p w14:paraId="0D632A7B" w14:textId="77777777" w:rsidR="00BE0A2F" w:rsidRPr="006B0F72" w:rsidRDefault="00BE0A2F" w:rsidP="00633D25">
      <w:pPr>
        <w:pStyle w:val="Tiret0"/>
        <w:rPr>
          <w:noProof/>
        </w:rPr>
      </w:pPr>
      <w:r w:rsidRPr="006B0F72">
        <w:rPr>
          <w:noProof/>
        </w:rPr>
        <w:t>stroški IT, potrebni za oceno &amp; nadzor kakovosti podatkov, zbranih od držav članic (600 000 EUR za začetni razvoj in strukturo sistema IT, 200 000 za letno vzdrževanje). Agencija EEA po poskusila uporabiti zunanje strokovnjake za IT (na kraju samem ali zunaj prostorov, tako da bo mogoče doseči nadaljnjo učinkovitost). Upoštevajte, da gre pri teh stroških za dodatne stroške za IT iz Naslova 2, povezane z obstoječimi podatkovnimi zbirkami in sistemi IT agencije EEA.</w:t>
      </w:r>
    </w:p>
    <w:p w14:paraId="306158D9" w14:textId="77777777" w:rsidR="00BE0A2F" w:rsidRPr="006B0F72" w:rsidRDefault="00BE0A2F" w:rsidP="00633D25">
      <w:pPr>
        <w:pStyle w:val="Tiret0"/>
        <w:rPr>
          <w:noProof/>
        </w:rPr>
      </w:pPr>
      <w:r w:rsidRPr="006B0F72">
        <w:rPr>
          <w:noProof/>
        </w:rPr>
        <w:t>Letna posodobitev posebnega informacijskega sistema na področju zakona o obnovi narave za njihovo gostovanje ter predvsem predstavitev podatkov in drugih komunikacijskih aplikacij (200 000 EUR).</w:t>
      </w:r>
    </w:p>
    <w:p w14:paraId="219A3E19" w14:textId="77777777" w:rsidR="00BE0A2F" w:rsidRPr="006B0F72" w:rsidRDefault="00BE0A2F" w:rsidP="00633D25">
      <w:pPr>
        <w:pStyle w:val="Tiret0"/>
        <w:rPr>
          <w:noProof/>
        </w:rPr>
      </w:pPr>
      <w:r w:rsidRPr="006B0F72">
        <w:rPr>
          <w:noProof/>
        </w:rPr>
        <w:t>Podporne pogodbe za strokovno znanje na področju ekosistemov (naročilo storitev, študij): 150 000 EUR na leto.</w:t>
      </w:r>
    </w:p>
    <w:p w14:paraId="354D0093" w14:textId="77777777" w:rsidR="00BE0A2F" w:rsidRPr="006B0F72" w:rsidRDefault="00BE0A2F" w:rsidP="00633D25">
      <w:pPr>
        <w:pStyle w:val="Tiret0"/>
        <w:rPr>
          <w:noProof/>
        </w:rPr>
      </w:pPr>
      <w:r w:rsidRPr="006B0F72">
        <w:rPr>
          <w:noProof/>
        </w:rPr>
        <w:t>Razvoj in oblikovanje 9 kazalnikov, plus 1 sestavljen kazalnik (60 strani): 15 000 EUR na leto</w:t>
      </w:r>
    </w:p>
    <w:p w14:paraId="661BE9C8" w14:textId="77777777" w:rsidR="00BE0A2F" w:rsidRPr="006B0F72" w:rsidRDefault="00BE0A2F" w:rsidP="00633D25">
      <w:pPr>
        <w:pStyle w:val="Tiret0"/>
        <w:rPr>
          <w:noProof/>
        </w:rPr>
      </w:pPr>
      <w:r w:rsidRPr="006B0F72">
        <w:rPr>
          <w:noProof/>
        </w:rPr>
        <w:t>Komunikacijske dejavnosti: objava enega glavnega poročila na leto (v digitalni, ne papirni obliki): 15 000 EUR na leto</w:t>
      </w:r>
    </w:p>
    <w:p w14:paraId="57E48A73" w14:textId="77777777" w:rsidR="00BE0A2F" w:rsidRPr="006B0F72" w:rsidRDefault="00BE0A2F" w:rsidP="00633D25">
      <w:pPr>
        <w:pStyle w:val="Tiret0"/>
        <w:rPr>
          <w:noProof/>
        </w:rPr>
      </w:pPr>
      <w:r w:rsidRPr="006B0F72">
        <w:rPr>
          <w:noProof/>
        </w:rPr>
        <w:t>Srečanja Eionet 1 fizično srečanje na leto 20 000 EUR</w:t>
      </w:r>
    </w:p>
    <w:p w14:paraId="75A05416" w14:textId="77777777" w:rsidR="00BE0A2F" w:rsidRPr="006B0F72" w:rsidRDefault="00BE0A2F" w:rsidP="00BE0A2F">
      <w:pPr>
        <w:rPr>
          <w:noProof/>
          <w:color w:val="000000" w:themeColor="text1"/>
        </w:rPr>
      </w:pPr>
      <w:r w:rsidRPr="006B0F72">
        <w:rPr>
          <w:noProof/>
          <w:color w:val="000000" w:themeColor="text1"/>
        </w:rPr>
        <w:t xml:space="preserve">Potrebno povečanje prispevka EU agenciji EEA bo izravnano z ustreznim zmanjšanjem sredstev programa LIFE (proračunska vrstica 09 02 01 – </w:t>
      </w:r>
      <w:r w:rsidRPr="006B0F72">
        <w:rPr>
          <w:i/>
          <w:noProof/>
          <w:color w:val="000000" w:themeColor="text1"/>
        </w:rPr>
        <w:t>Narava &amp; biotska raznovrstnost)</w:t>
      </w:r>
      <w:r w:rsidRPr="006B0F72">
        <w:rPr>
          <w:noProof/>
          <w:color w:val="000000" w:themeColor="text1"/>
        </w:rPr>
        <w:t>.</w:t>
      </w:r>
    </w:p>
    <w:p w14:paraId="22C6C8EE" w14:textId="77777777" w:rsidR="00BE0A2F" w:rsidRPr="006B0F72" w:rsidRDefault="00BE0A2F" w:rsidP="00BE0A2F">
      <w:pPr>
        <w:jc w:val="right"/>
        <w:rPr>
          <w:b/>
          <w:noProof/>
          <w:color w:val="000000" w:themeColor="text1"/>
          <w:sz w:val="18"/>
          <w:szCs w:val="18"/>
        </w:rPr>
      </w:pPr>
      <w:r w:rsidRPr="006B0F72">
        <w:rPr>
          <w:b/>
          <w:noProof/>
          <w:color w:val="000000" w:themeColor="text1"/>
          <w:sz w:val="18"/>
        </w:rPr>
        <w:t xml:space="preserve">EUR (v milijonih)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565"/>
      </w:tblGrid>
      <w:tr w:rsidR="00BE0A2F" w:rsidRPr="006B0F72" w14:paraId="79867024" w14:textId="77777777" w:rsidTr="00BE0A2F">
        <w:trPr>
          <w:trHeight w:val="277"/>
        </w:trPr>
        <w:tc>
          <w:tcPr>
            <w:tcW w:w="3960" w:type="dxa"/>
            <w:vAlign w:val="center"/>
          </w:tcPr>
          <w:p w14:paraId="3F170C88" w14:textId="77777777" w:rsidR="00BE0A2F" w:rsidRPr="006B0F72" w:rsidRDefault="00BE0A2F" w:rsidP="00BE0A2F">
            <w:pPr>
              <w:spacing w:before="20" w:after="20"/>
              <w:rPr>
                <w:noProof/>
                <w:color w:val="000000" w:themeColor="text1"/>
                <w:sz w:val="22"/>
              </w:rPr>
            </w:pPr>
          </w:p>
        </w:tc>
        <w:tc>
          <w:tcPr>
            <w:tcW w:w="1440" w:type="dxa"/>
            <w:vAlign w:val="center"/>
          </w:tcPr>
          <w:p w14:paraId="72488E7A" w14:textId="77777777" w:rsidR="00BE0A2F" w:rsidRPr="006B0F72" w:rsidRDefault="00BE0A2F" w:rsidP="00BE0A2F">
            <w:pPr>
              <w:spacing w:beforeLines="20" w:before="48" w:afterLines="20" w:after="48"/>
              <w:rPr>
                <w:noProof/>
                <w:color w:val="000000" w:themeColor="text1"/>
                <w:sz w:val="18"/>
              </w:rPr>
            </w:pPr>
          </w:p>
        </w:tc>
        <w:tc>
          <w:tcPr>
            <w:tcW w:w="654" w:type="dxa"/>
            <w:vAlign w:val="center"/>
          </w:tcPr>
          <w:p w14:paraId="648ECCB0" w14:textId="77777777" w:rsidR="00BE0A2F" w:rsidRPr="006B0F72" w:rsidRDefault="00BE0A2F" w:rsidP="00BE0A2F">
            <w:pPr>
              <w:spacing w:beforeLines="20" w:before="48" w:afterLines="20" w:after="48"/>
              <w:jc w:val="center"/>
              <w:rPr>
                <w:noProof/>
                <w:color w:val="000000" w:themeColor="text1"/>
                <w:sz w:val="14"/>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6B34"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2022</w:t>
            </w: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9FFA"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2023</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78961DD9"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2024</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3203FA7B"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2025</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5DAD02D8"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2026</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51530138" w14:textId="77777777" w:rsidR="00BE0A2F" w:rsidRPr="006B0F72" w:rsidRDefault="00BE0A2F" w:rsidP="00BE0A2F">
            <w:pPr>
              <w:spacing w:before="20" w:after="20"/>
              <w:jc w:val="center"/>
              <w:rPr>
                <w:noProof/>
                <w:color w:val="000000" w:themeColor="text1"/>
                <w:sz w:val="20"/>
              </w:rPr>
            </w:pPr>
            <w:r w:rsidRPr="006B0F72">
              <w:rPr>
                <w:b/>
                <w:noProof/>
                <w:color w:val="000000" w:themeColor="text1"/>
                <w:sz w:val="20"/>
              </w:rPr>
              <w:t>2027</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298A2" w14:textId="77777777" w:rsidR="00BE0A2F" w:rsidRPr="006B0F72" w:rsidRDefault="00BE0A2F" w:rsidP="00BE0A2F">
            <w:pPr>
              <w:spacing w:before="20" w:after="20"/>
              <w:jc w:val="center"/>
              <w:rPr>
                <w:b/>
                <w:noProof/>
                <w:color w:val="000000" w:themeColor="text1"/>
                <w:sz w:val="20"/>
              </w:rPr>
            </w:pPr>
            <w:r w:rsidRPr="006B0F72">
              <w:rPr>
                <w:b/>
                <w:noProof/>
                <w:color w:val="000000" w:themeColor="text1"/>
                <w:sz w:val="20"/>
              </w:rPr>
              <w:t>SKUPAJ</w:t>
            </w:r>
          </w:p>
        </w:tc>
      </w:tr>
      <w:tr w:rsidR="00BE0A2F" w:rsidRPr="006B0F72" w14:paraId="02C430B8" w14:textId="77777777" w:rsidTr="00BE0A2F">
        <w:trPr>
          <w:trHeight w:val="277"/>
        </w:trPr>
        <w:tc>
          <w:tcPr>
            <w:tcW w:w="3960" w:type="dxa"/>
            <w:vMerge w:val="restart"/>
            <w:vAlign w:val="center"/>
          </w:tcPr>
          <w:p w14:paraId="3589077F" w14:textId="77777777" w:rsidR="00BE0A2F" w:rsidRPr="006B0F72" w:rsidRDefault="00BE0A2F" w:rsidP="00BE0A2F">
            <w:pPr>
              <w:spacing w:before="20" w:after="20"/>
              <w:rPr>
                <w:noProof/>
                <w:color w:val="000000" w:themeColor="text1"/>
              </w:rPr>
            </w:pPr>
            <w:r w:rsidRPr="006B0F72">
              <w:rPr>
                <w:noProof/>
              </w:rPr>
              <w:br w:type="page"/>
            </w:r>
            <w:r w:rsidRPr="006B0F72">
              <w:rPr>
                <w:noProof/>
                <w:color w:val="000000" w:themeColor="text1"/>
                <w:sz w:val="21"/>
              </w:rPr>
              <w:sym w:font="Wingdings" w:char="F09F"/>
            </w:r>
            <w:r w:rsidRPr="006B0F72">
              <w:rPr>
                <w:noProof/>
                <w:color w:val="000000" w:themeColor="text1"/>
                <w:sz w:val="21"/>
              </w:rPr>
              <w:t xml:space="preserve"> Odobritve za poslovanje SKUPAJ </w:t>
            </w:r>
          </w:p>
        </w:tc>
        <w:tc>
          <w:tcPr>
            <w:tcW w:w="1440" w:type="dxa"/>
            <w:vAlign w:val="center"/>
          </w:tcPr>
          <w:p w14:paraId="64F154B2" w14:textId="77777777" w:rsidR="00BE0A2F" w:rsidRPr="006B0F72" w:rsidRDefault="00BE0A2F" w:rsidP="00BE0A2F">
            <w:pPr>
              <w:spacing w:beforeLines="20" w:before="48" w:afterLines="20" w:after="48"/>
              <w:rPr>
                <w:noProof/>
                <w:color w:val="000000" w:themeColor="text1"/>
                <w:sz w:val="18"/>
              </w:rPr>
            </w:pPr>
            <w:r w:rsidRPr="006B0F72">
              <w:rPr>
                <w:noProof/>
                <w:color w:val="000000" w:themeColor="text1"/>
                <w:sz w:val="18"/>
              </w:rPr>
              <w:t>obveznosti</w:t>
            </w:r>
          </w:p>
        </w:tc>
        <w:tc>
          <w:tcPr>
            <w:tcW w:w="654" w:type="dxa"/>
            <w:vAlign w:val="center"/>
          </w:tcPr>
          <w:p w14:paraId="194B2E65"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(4)</w:t>
            </w:r>
          </w:p>
        </w:tc>
        <w:tc>
          <w:tcPr>
            <w:tcW w:w="868" w:type="dxa"/>
            <w:vAlign w:val="center"/>
          </w:tcPr>
          <w:p w14:paraId="743FAA96" w14:textId="77777777" w:rsidR="00BE0A2F" w:rsidRPr="006B0F72" w:rsidRDefault="00BE0A2F" w:rsidP="00BE0A2F">
            <w:pPr>
              <w:spacing w:before="20" w:after="20"/>
              <w:jc w:val="right"/>
              <w:rPr>
                <w:noProof/>
                <w:color w:val="000000" w:themeColor="text1"/>
                <w:sz w:val="20"/>
              </w:rPr>
            </w:pPr>
          </w:p>
        </w:tc>
        <w:tc>
          <w:tcPr>
            <w:tcW w:w="868" w:type="dxa"/>
            <w:vAlign w:val="center"/>
          </w:tcPr>
          <w:p w14:paraId="49802AC9" w14:textId="77777777" w:rsidR="00BE0A2F" w:rsidRPr="006B0F72" w:rsidRDefault="00BE0A2F" w:rsidP="00BE0A2F">
            <w:pPr>
              <w:spacing w:before="20" w:after="20"/>
              <w:jc w:val="right"/>
              <w:rPr>
                <w:noProof/>
                <w:color w:val="000000" w:themeColor="text1"/>
                <w:sz w:val="20"/>
              </w:rPr>
            </w:pPr>
          </w:p>
        </w:tc>
        <w:tc>
          <w:tcPr>
            <w:tcW w:w="868" w:type="dxa"/>
            <w:vAlign w:val="center"/>
          </w:tcPr>
          <w:p w14:paraId="54F6493E" w14:textId="77777777" w:rsidR="00BE0A2F" w:rsidRPr="006B0F72" w:rsidRDefault="00BE0A2F" w:rsidP="00BE0A2F">
            <w:pPr>
              <w:spacing w:before="20" w:after="20"/>
              <w:jc w:val="right"/>
              <w:rPr>
                <w:noProof/>
                <w:color w:val="000000" w:themeColor="text1"/>
                <w:sz w:val="20"/>
              </w:rPr>
            </w:pPr>
          </w:p>
        </w:tc>
        <w:tc>
          <w:tcPr>
            <w:tcW w:w="868" w:type="dxa"/>
            <w:vAlign w:val="center"/>
          </w:tcPr>
          <w:p w14:paraId="0764C2C4" w14:textId="77777777" w:rsidR="00BE0A2F" w:rsidRPr="006B0F72" w:rsidRDefault="00BE0A2F" w:rsidP="00BE0A2F">
            <w:pPr>
              <w:spacing w:before="20" w:after="20"/>
              <w:jc w:val="right"/>
              <w:rPr>
                <w:noProof/>
                <w:color w:val="000000" w:themeColor="text1"/>
                <w:sz w:val="20"/>
              </w:rPr>
            </w:pPr>
          </w:p>
        </w:tc>
        <w:tc>
          <w:tcPr>
            <w:tcW w:w="868" w:type="dxa"/>
            <w:vAlign w:val="center"/>
          </w:tcPr>
          <w:p w14:paraId="3F909A9E" w14:textId="77777777" w:rsidR="00BE0A2F" w:rsidRPr="006B0F72" w:rsidRDefault="00BE0A2F" w:rsidP="00BE0A2F">
            <w:pPr>
              <w:spacing w:before="20" w:after="20"/>
              <w:jc w:val="right"/>
              <w:rPr>
                <w:noProof/>
                <w:color w:val="000000" w:themeColor="text1"/>
                <w:sz w:val="20"/>
              </w:rPr>
            </w:pPr>
          </w:p>
        </w:tc>
        <w:tc>
          <w:tcPr>
            <w:tcW w:w="868" w:type="dxa"/>
            <w:vAlign w:val="center"/>
          </w:tcPr>
          <w:p w14:paraId="298868D4" w14:textId="77777777" w:rsidR="00BE0A2F" w:rsidRPr="006B0F72" w:rsidRDefault="00BE0A2F" w:rsidP="00BE0A2F">
            <w:pPr>
              <w:spacing w:before="20" w:after="20"/>
              <w:jc w:val="right"/>
              <w:rPr>
                <w:noProof/>
                <w:color w:val="000000" w:themeColor="text1"/>
                <w:sz w:val="20"/>
              </w:rPr>
            </w:pPr>
          </w:p>
        </w:tc>
        <w:tc>
          <w:tcPr>
            <w:tcW w:w="2565" w:type="dxa"/>
            <w:vAlign w:val="center"/>
          </w:tcPr>
          <w:p w14:paraId="712A6727" w14:textId="77777777" w:rsidR="00BE0A2F" w:rsidRPr="006B0F72" w:rsidRDefault="00BE0A2F" w:rsidP="00BE0A2F">
            <w:pPr>
              <w:spacing w:before="20" w:after="20"/>
              <w:jc w:val="right"/>
              <w:rPr>
                <w:b/>
                <w:noProof/>
                <w:color w:val="000000" w:themeColor="text1"/>
                <w:sz w:val="20"/>
              </w:rPr>
            </w:pPr>
          </w:p>
        </w:tc>
      </w:tr>
      <w:tr w:rsidR="00BE0A2F" w:rsidRPr="006B0F72" w14:paraId="160F8ABC" w14:textId="77777777" w:rsidTr="00BE0A2F">
        <w:tc>
          <w:tcPr>
            <w:tcW w:w="3960" w:type="dxa"/>
            <w:vMerge/>
          </w:tcPr>
          <w:p w14:paraId="3B8DA589" w14:textId="77777777" w:rsidR="00BE0A2F" w:rsidRPr="006B0F72" w:rsidRDefault="00BE0A2F" w:rsidP="00BE0A2F">
            <w:pPr>
              <w:jc w:val="center"/>
              <w:rPr>
                <w:noProof/>
                <w:color w:val="000000" w:themeColor="text1"/>
                <w:sz w:val="20"/>
              </w:rPr>
            </w:pPr>
          </w:p>
        </w:tc>
        <w:tc>
          <w:tcPr>
            <w:tcW w:w="1440" w:type="dxa"/>
            <w:vAlign w:val="center"/>
          </w:tcPr>
          <w:p w14:paraId="4414566F" w14:textId="77777777" w:rsidR="00BE0A2F" w:rsidRPr="006B0F72" w:rsidRDefault="00BE0A2F" w:rsidP="00BE0A2F">
            <w:pPr>
              <w:spacing w:beforeLines="20" w:before="48" w:afterLines="20" w:after="48"/>
              <w:rPr>
                <w:noProof/>
                <w:color w:val="000000" w:themeColor="text1"/>
                <w:sz w:val="18"/>
              </w:rPr>
            </w:pPr>
            <w:r w:rsidRPr="006B0F72">
              <w:rPr>
                <w:noProof/>
                <w:color w:val="000000" w:themeColor="text1"/>
                <w:sz w:val="18"/>
              </w:rPr>
              <w:t>plačila</w:t>
            </w:r>
          </w:p>
        </w:tc>
        <w:tc>
          <w:tcPr>
            <w:tcW w:w="654" w:type="dxa"/>
            <w:vAlign w:val="center"/>
          </w:tcPr>
          <w:p w14:paraId="5B44ACC0"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(5)</w:t>
            </w:r>
          </w:p>
        </w:tc>
        <w:tc>
          <w:tcPr>
            <w:tcW w:w="868" w:type="dxa"/>
            <w:vAlign w:val="center"/>
          </w:tcPr>
          <w:p w14:paraId="74A42613" w14:textId="77777777" w:rsidR="00BE0A2F" w:rsidRPr="006B0F72" w:rsidRDefault="00BE0A2F" w:rsidP="00BE0A2F">
            <w:pPr>
              <w:spacing w:before="20" w:after="20"/>
              <w:jc w:val="right"/>
              <w:rPr>
                <w:noProof/>
                <w:color w:val="000000" w:themeColor="text1"/>
                <w:sz w:val="20"/>
              </w:rPr>
            </w:pPr>
          </w:p>
        </w:tc>
        <w:tc>
          <w:tcPr>
            <w:tcW w:w="868" w:type="dxa"/>
            <w:vAlign w:val="center"/>
          </w:tcPr>
          <w:p w14:paraId="5855AF6C" w14:textId="77777777" w:rsidR="00BE0A2F" w:rsidRPr="006B0F72" w:rsidRDefault="00BE0A2F" w:rsidP="00BE0A2F">
            <w:pPr>
              <w:spacing w:before="20" w:after="20"/>
              <w:jc w:val="right"/>
              <w:rPr>
                <w:noProof/>
                <w:color w:val="000000" w:themeColor="text1"/>
                <w:sz w:val="20"/>
              </w:rPr>
            </w:pPr>
          </w:p>
        </w:tc>
        <w:tc>
          <w:tcPr>
            <w:tcW w:w="868" w:type="dxa"/>
            <w:vAlign w:val="center"/>
          </w:tcPr>
          <w:p w14:paraId="6A379A46" w14:textId="77777777" w:rsidR="00BE0A2F" w:rsidRPr="006B0F72" w:rsidRDefault="00BE0A2F" w:rsidP="00BE0A2F">
            <w:pPr>
              <w:spacing w:before="20" w:after="20"/>
              <w:jc w:val="right"/>
              <w:rPr>
                <w:noProof/>
                <w:color w:val="000000" w:themeColor="text1"/>
                <w:sz w:val="20"/>
              </w:rPr>
            </w:pPr>
          </w:p>
        </w:tc>
        <w:tc>
          <w:tcPr>
            <w:tcW w:w="868" w:type="dxa"/>
            <w:vAlign w:val="center"/>
          </w:tcPr>
          <w:p w14:paraId="722659AD" w14:textId="77777777" w:rsidR="00BE0A2F" w:rsidRPr="006B0F72" w:rsidRDefault="00BE0A2F" w:rsidP="00BE0A2F">
            <w:pPr>
              <w:spacing w:before="20" w:after="20"/>
              <w:jc w:val="right"/>
              <w:rPr>
                <w:noProof/>
                <w:color w:val="000000" w:themeColor="text1"/>
                <w:sz w:val="20"/>
              </w:rPr>
            </w:pPr>
          </w:p>
        </w:tc>
        <w:tc>
          <w:tcPr>
            <w:tcW w:w="868" w:type="dxa"/>
            <w:vAlign w:val="center"/>
          </w:tcPr>
          <w:p w14:paraId="444B316A" w14:textId="77777777" w:rsidR="00BE0A2F" w:rsidRPr="006B0F72" w:rsidRDefault="00BE0A2F" w:rsidP="00BE0A2F">
            <w:pPr>
              <w:spacing w:before="20" w:after="20"/>
              <w:jc w:val="right"/>
              <w:rPr>
                <w:noProof/>
                <w:color w:val="000000" w:themeColor="text1"/>
                <w:sz w:val="20"/>
              </w:rPr>
            </w:pPr>
          </w:p>
        </w:tc>
        <w:tc>
          <w:tcPr>
            <w:tcW w:w="868" w:type="dxa"/>
            <w:vAlign w:val="center"/>
          </w:tcPr>
          <w:p w14:paraId="13B39B2F" w14:textId="77777777" w:rsidR="00BE0A2F" w:rsidRPr="006B0F72" w:rsidRDefault="00BE0A2F" w:rsidP="00BE0A2F">
            <w:pPr>
              <w:spacing w:before="20" w:after="20"/>
              <w:jc w:val="right"/>
              <w:rPr>
                <w:noProof/>
                <w:color w:val="000000" w:themeColor="text1"/>
                <w:sz w:val="20"/>
              </w:rPr>
            </w:pPr>
          </w:p>
        </w:tc>
        <w:tc>
          <w:tcPr>
            <w:tcW w:w="2565" w:type="dxa"/>
            <w:vAlign w:val="center"/>
          </w:tcPr>
          <w:p w14:paraId="6C550E39" w14:textId="77777777" w:rsidR="00BE0A2F" w:rsidRPr="006B0F72" w:rsidRDefault="00BE0A2F" w:rsidP="00BE0A2F">
            <w:pPr>
              <w:spacing w:before="20" w:after="20"/>
              <w:jc w:val="right"/>
              <w:rPr>
                <w:b/>
                <w:noProof/>
                <w:color w:val="000000" w:themeColor="text1"/>
                <w:sz w:val="20"/>
              </w:rPr>
            </w:pPr>
          </w:p>
        </w:tc>
      </w:tr>
      <w:tr w:rsidR="00BE0A2F" w:rsidRPr="006B0F72" w14:paraId="3EC371A6" w14:textId="77777777" w:rsidTr="00BE0A2F">
        <w:trPr>
          <w:trHeight w:val="533"/>
        </w:trPr>
        <w:tc>
          <w:tcPr>
            <w:tcW w:w="5400" w:type="dxa"/>
            <w:gridSpan w:val="2"/>
            <w:vAlign w:val="center"/>
          </w:tcPr>
          <w:p w14:paraId="6D4A02AB" w14:textId="77777777" w:rsidR="00BE0A2F" w:rsidRPr="006B0F72" w:rsidRDefault="00BE0A2F" w:rsidP="00BE0A2F">
            <w:pPr>
              <w:spacing w:beforeLines="20" w:before="48" w:afterLines="20" w:after="48"/>
              <w:rPr>
                <w:noProof/>
                <w:color w:val="000000" w:themeColor="text1"/>
              </w:rPr>
            </w:pPr>
            <w:r w:rsidRPr="006B0F72">
              <w:rPr>
                <w:noProof/>
                <w:color w:val="000000" w:themeColor="text1"/>
                <w:sz w:val="21"/>
              </w:rPr>
              <w:sym w:font="Wingdings" w:char="F09F"/>
            </w:r>
            <w:r w:rsidRPr="006B0F72">
              <w:rPr>
                <w:noProof/>
                <w:color w:val="000000" w:themeColor="text1"/>
                <w:sz w:val="21"/>
              </w:rPr>
              <w:t xml:space="preserve"> Odobritve za upravne zadeve, ki se financirajo iz sredstev določenih programov, SKUPAJ </w:t>
            </w:r>
          </w:p>
        </w:tc>
        <w:tc>
          <w:tcPr>
            <w:tcW w:w="654" w:type="dxa"/>
            <w:vAlign w:val="center"/>
          </w:tcPr>
          <w:p w14:paraId="4B55590D"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(6)</w:t>
            </w:r>
          </w:p>
        </w:tc>
        <w:tc>
          <w:tcPr>
            <w:tcW w:w="868" w:type="dxa"/>
            <w:vAlign w:val="center"/>
          </w:tcPr>
          <w:p w14:paraId="2446162D"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2FCD76A5"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784D578D"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4A24C498"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7F96C52B"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56170D8A" w14:textId="77777777" w:rsidR="00BE0A2F" w:rsidRPr="006B0F72" w:rsidRDefault="00BE0A2F" w:rsidP="00BE0A2F">
            <w:pPr>
              <w:spacing w:before="20" w:after="20"/>
              <w:jc w:val="right"/>
              <w:rPr>
                <w:b/>
                <w:noProof/>
                <w:color w:val="000000" w:themeColor="text1"/>
                <w:sz w:val="20"/>
              </w:rPr>
            </w:pPr>
          </w:p>
        </w:tc>
        <w:tc>
          <w:tcPr>
            <w:tcW w:w="2565" w:type="dxa"/>
            <w:vAlign w:val="center"/>
          </w:tcPr>
          <w:p w14:paraId="4D6F37FB" w14:textId="77777777" w:rsidR="00BE0A2F" w:rsidRPr="006B0F72" w:rsidRDefault="00BE0A2F" w:rsidP="00BE0A2F">
            <w:pPr>
              <w:spacing w:before="20" w:after="20"/>
              <w:jc w:val="right"/>
              <w:rPr>
                <w:b/>
                <w:noProof/>
                <w:color w:val="000000" w:themeColor="text1"/>
                <w:sz w:val="20"/>
              </w:rPr>
            </w:pPr>
          </w:p>
        </w:tc>
      </w:tr>
      <w:tr w:rsidR="00BE0A2F" w:rsidRPr="006B0F72" w14:paraId="7E0CF6B5" w14:textId="77777777" w:rsidTr="00B0251E">
        <w:tc>
          <w:tcPr>
            <w:tcW w:w="3960" w:type="dxa"/>
            <w:vMerge w:val="restart"/>
            <w:shd w:val="thinDiagStripe" w:color="C0C0C0" w:fill="auto"/>
            <w:vAlign w:val="center"/>
          </w:tcPr>
          <w:p w14:paraId="6AEBC27F" w14:textId="77777777" w:rsidR="00BE0A2F" w:rsidRPr="006B0F72" w:rsidRDefault="00BE0A2F" w:rsidP="00BE0A2F">
            <w:pPr>
              <w:jc w:val="center"/>
              <w:rPr>
                <w:b/>
                <w:noProof/>
                <w:color w:val="000000" w:themeColor="text1"/>
              </w:rPr>
            </w:pPr>
            <w:r w:rsidRPr="006B0F72">
              <w:rPr>
                <w:b/>
                <w:noProof/>
                <w:color w:val="000000" w:themeColor="text1"/>
                <w:sz w:val="22"/>
              </w:rPr>
              <w:t xml:space="preserve">Odobritve </w:t>
            </w:r>
            <w:r w:rsidRPr="006B0F72">
              <w:rPr>
                <w:noProof/>
              </w:rPr>
              <w:t xml:space="preserve"> </w:t>
            </w:r>
            <w:r w:rsidRPr="006B0F72">
              <w:rPr>
                <w:noProof/>
              </w:rPr>
              <w:br/>
            </w:r>
            <w:r w:rsidRPr="006B0F72">
              <w:rPr>
                <w:b/>
                <w:noProof/>
                <w:color w:val="000000" w:themeColor="text1"/>
                <w:sz w:val="22"/>
              </w:rPr>
              <w:t>iz RAZDELKA 3 (ENV + EEA)</w:t>
            </w:r>
            <w:r w:rsidRPr="006B0F72">
              <w:rPr>
                <w:noProof/>
              </w:rPr>
              <w:t xml:space="preserve"> </w:t>
            </w:r>
            <w:r w:rsidRPr="006B0F72">
              <w:rPr>
                <w:noProof/>
              </w:rPr>
              <w:br/>
            </w:r>
            <w:r w:rsidRPr="006B0F72">
              <w:rPr>
                <w:noProof/>
                <w:color w:val="000000" w:themeColor="text1"/>
                <w:sz w:val="22"/>
              </w:rPr>
              <w:t>večletnega finančnega okvira</w:t>
            </w:r>
            <w:r w:rsidRPr="006B0F72">
              <w:rPr>
                <w:noProof/>
                <w:color w:val="000000" w:themeColor="text1"/>
                <w:sz w:val="22"/>
              </w:rPr>
              <w:br/>
            </w:r>
            <w:r w:rsidRPr="006B0F72">
              <w:rPr>
                <w:b/>
                <w:noProof/>
                <w:color w:val="000000" w:themeColor="text1"/>
                <w:sz w:val="22"/>
              </w:rPr>
              <w:t>SKUPAJ</w:t>
            </w:r>
          </w:p>
        </w:tc>
        <w:tc>
          <w:tcPr>
            <w:tcW w:w="1440" w:type="dxa"/>
            <w:vAlign w:val="center"/>
          </w:tcPr>
          <w:p w14:paraId="71917021" w14:textId="77777777" w:rsidR="00BE0A2F" w:rsidRPr="006B0F72" w:rsidRDefault="00BE0A2F" w:rsidP="00BE0A2F">
            <w:pPr>
              <w:rPr>
                <w:noProof/>
                <w:color w:val="000000" w:themeColor="text1"/>
                <w:sz w:val="18"/>
              </w:rPr>
            </w:pPr>
            <w:r w:rsidRPr="006B0F72">
              <w:rPr>
                <w:noProof/>
                <w:color w:val="000000" w:themeColor="text1"/>
                <w:sz w:val="18"/>
              </w:rPr>
              <w:t>obveznosti</w:t>
            </w:r>
          </w:p>
        </w:tc>
        <w:tc>
          <w:tcPr>
            <w:tcW w:w="654" w:type="dxa"/>
            <w:vAlign w:val="center"/>
          </w:tcPr>
          <w:p w14:paraId="738794B3" w14:textId="77777777" w:rsidR="00BE0A2F" w:rsidRPr="006B0F72" w:rsidRDefault="00BE0A2F" w:rsidP="00BE0A2F">
            <w:pPr>
              <w:jc w:val="center"/>
              <w:rPr>
                <w:noProof/>
                <w:color w:val="000000" w:themeColor="text1"/>
                <w:sz w:val="14"/>
              </w:rPr>
            </w:pPr>
            <w:r w:rsidRPr="006B0F72">
              <w:rPr>
                <w:noProof/>
                <w:color w:val="000000" w:themeColor="text1"/>
                <w:sz w:val="14"/>
              </w:rPr>
              <w:t>= 4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3609AD4" w14:textId="77777777" w:rsidR="00BE0A2F" w:rsidRPr="006B0F72" w:rsidRDefault="00BE0A2F" w:rsidP="00BE0A2F">
            <w:pPr>
              <w:spacing w:before="20" w:after="20"/>
              <w:jc w:val="right"/>
              <w:rPr>
                <w:noProof/>
                <w:color w:val="000000" w:themeColor="text1"/>
                <w:sz w:val="18"/>
              </w:rPr>
            </w:pPr>
            <w:r w:rsidRPr="006B0F72">
              <w:rPr>
                <w:b/>
                <w:noProof/>
                <w:color w:val="000000"/>
                <w:sz w:val="18"/>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C207DFA" w14:textId="77777777" w:rsidR="00BE0A2F" w:rsidRPr="006B0F72" w:rsidRDefault="001056E8" w:rsidP="00BE0A2F">
            <w:pPr>
              <w:spacing w:before="20" w:after="20"/>
              <w:jc w:val="right"/>
              <w:rPr>
                <w:noProof/>
                <w:color w:val="000000" w:themeColor="text1"/>
                <w:sz w:val="18"/>
              </w:rPr>
            </w:pPr>
            <w:r w:rsidRPr="006B0F72">
              <w:rPr>
                <w:b/>
                <w:noProof/>
                <w:color w:val="000000"/>
                <w:sz w:val="18"/>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258D93D3" w14:textId="77777777" w:rsidR="00BE0A2F" w:rsidRPr="006B0F72" w:rsidRDefault="00BE0A2F" w:rsidP="00BE0A2F">
            <w:pPr>
              <w:spacing w:before="20" w:after="20"/>
              <w:jc w:val="right"/>
              <w:rPr>
                <w:noProof/>
                <w:color w:val="000000" w:themeColor="text1"/>
                <w:sz w:val="18"/>
              </w:rPr>
            </w:pPr>
            <w:r w:rsidRPr="006B0F72">
              <w:rPr>
                <w:b/>
                <w:noProof/>
                <w:color w:val="000000"/>
                <w:sz w:val="18"/>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36CBB60" w14:textId="77777777" w:rsidR="00BE0A2F" w:rsidRPr="006B0F72" w:rsidRDefault="00BE0A2F" w:rsidP="00BE0A2F">
            <w:pPr>
              <w:spacing w:before="20" w:after="20"/>
              <w:jc w:val="right"/>
              <w:rPr>
                <w:noProof/>
                <w:color w:val="000000" w:themeColor="text1"/>
                <w:sz w:val="18"/>
              </w:rPr>
            </w:pPr>
            <w:r w:rsidRPr="006B0F72">
              <w:rPr>
                <w:b/>
                <w:noProof/>
                <w:color w:val="000000"/>
                <w:sz w:val="18"/>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D5D34C8" w14:textId="77777777" w:rsidR="00BE0A2F" w:rsidRPr="006B0F72" w:rsidRDefault="00BE0A2F" w:rsidP="00BE0A2F">
            <w:pPr>
              <w:spacing w:before="20" w:after="20"/>
              <w:jc w:val="right"/>
              <w:rPr>
                <w:noProof/>
                <w:color w:val="000000" w:themeColor="text1"/>
                <w:sz w:val="18"/>
              </w:rPr>
            </w:pPr>
            <w:r w:rsidRPr="006B0F72">
              <w:rPr>
                <w:b/>
                <w:noProof/>
                <w:color w:val="000000"/>
                <w:sz w:val="18"/>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BBEAD81" w14:textId="77777777" w:rsidR="00BE0A2F" w:rsidRPr="006B0F72" w:rsidRDefault="00BE0A2F" w:rsidP="00BE0A2F">
            <w:pPr>
              <w:spacing w:before="20" w:after="20"/>
              <w:jc w:val="right"/>
              <w:rPr>
                <w:noProof/>
                <w:color w:val="000000" w:themeColor="text1"/>
                <w:sz w:val="18"/>
              </w:rPr>
            </w:pPr>
            <w:r w:rsidRPr="006B0F72">
              <w:rPr>
                <w:b/>
                <w:noProof/>
                <w:color w:val="000000"/>
                <w:sz w:val="18"/>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1D130755" w14:textId="77777777" w:rsidR="00BE0A2F" w:rsidRPr="006B0F72" w:rsidRDefault="001056E8" w:rsidP="00BE0A2F">
            <w:pPr>
              <w:spacing w:before="20" w:after="20"/>
              <w:jc w:val="right"/>
              <w:rPr>
                <w:b/>
                <w:noProof/>
                <w:color w:val="000000" w:themeColor="text1"/>
                <w:sz w:val="18"/>
              </w:rPr>
            </w:pPr>
            <w:r w:rsidRPr="006B0F72">
              <w:rPr>
                <w:b/>
                <w:noProof/>
                <w:color w:val="000000"/>
                <w:sz w:val="18"/>
              </w:rPr>
              <w:t>21,060</w:t>
            </w:r>
          </w:p>
        </w:tc>
      </w:tr>
      <w:tr w:rsidR="00BE0A2F" w:rsidRPr="006B0F72" w14:paraId="728D8EED" w14:textId="77777777" w:rsidTr="00B0251E">
        <w:tc>
          <w:tcPr>
            <w:tcW w:w="3960" w:type="dxa"/>
            <w:vMerge/>
            <w:shd w:val="thinDiagStripe" w:color="C0C0C0" w:fill="auto"/>
          </w:tcPr>
          <w:p w14:paraId="52616BBF" w14:textId="77777777" w:rsidR="00BE0A2F" w:rsidRPr="006B0F72" w:rsidRDefault="00BE0A2F" w:rsidP="00BE0A2F">
            <w:pPr>
              <w:rPr>
                <w:noProof/>
                <w:color w:val="000000" w:themeColor="text1"/>
                <w:sz w:val="20"/>
              </w:rPr>
            </w:pPr>
          </w:p>
        </w:tc>
        <w:tc>
          <w:tcPr>
            <w:tcW w:w="1440" w:type="dxa"/>
            <w:vAlign w:val="center"/>
          </w:tcPr>
          <w:p w14:paraId="7E6F7119" w14:textId="77777777" w:rsidR="00BE0A2F" w:rsidRPr="006B0F72" w:rsidRDefault="00BE0A2F" w:rsidP="00BE0A2F">
            <w:pPr>
              <w:rPr>
                <w:noProof/>
                <w:color w:val="000000" w:themeColor="text1"/>
                <w:sz w:val="18"/>
              </w:rPr>
            </w:pPr>
            <w:r w:rsidRPr="006B0F72">
              <w:rPr>
                <w:noProof/>
                <w:color w:val="000000" w:themeColor="text1"/>
                <w:sz w:val="18"/>
              </w:rPr>
              <w:t>plačila</w:t>
            </w:r>
          </w:p>
        </w:tc>
        <w:tc>
          <w:tcPr>
            <w:tcW w:w="654" w:type="dxa"/>
            <w:vAlign w:val="center"/>
          </w:tcPr>
          <w:p w14:paraId="1452CFCF" w14:textId="77777777" w:rsidR="00BE0A2F" w:rsidRPr="006B0F72" w:rsidRDefault="00BE0A2F" w:rsidP="00BE0A2F">
            <w:pPr>
              <w:jc w:val="center"/>
              <w:rPr>
                <w:noProof/>
                <w:color w:val="000000" w:themeColor="text1"/>
                <w:sz w:val="14"/>
              </w:rPr>
            </w:pPr>
            <w:r w:rsidRPr="006B0F72">
              <w:rPr>
                <w:noProof/>
                <w:color w:val="000000" w:themeColor="text1"/>
                <w:sz w:val="14"/>
              </w:rPr>
              <w:t>= 5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7FAF843" w14:textId="77777777" w:rsidR="00BE0A2F" w:rsidRPr="006B0F72" w:rsidRDefault="00BE0A2F" w:rsidP="00BE0A2F">
            <w:pPr>
              <w:spacing w:before="20" w:after="20"/>
              <w:jc w:val="right"/>
              <w:rPr>
                <w:noProof/>
                <w:color w:val="000000" w:themeColor="text1"/>
                <w:sz w:val="18"/>
              </w:rPr>
            </w:pPr>
            <w:r w:rsidRPr="006B0F72">
              <w:rPr>
                <w:b/>
                <w:noProof/>
                <w:color w:val="000000"/>
                <w:sz w:val="18"/>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21307CC" w14:textId="77777777" w:rsidR="00BE0A2F" w:rsidRPr="006B0F72" w:rsidRDefault="001056E8" w:rsidP="00BE0A2F">
            <w:pPr>
              <w:spacing w:before="20" w:after="20"/>
              <w:jc w:val="right"/>
              <w:rPr>
                <w:noProof/>
                <w:color w:val="000000" w:themeColor="text1"/>
                <w:sz w:val="18"/>
              </w:rPr>
            </w:pPr>
            <w:r w:rsidRPr="006B0F72">
              <w:rPr>
                <w:b/>
                <w:noProof/>
                <w:color w:val="000000"/>
                <w:sz w:val="18"/>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2F1ECE57" w14:textId="77777777" w:rsidR="00BE0A2F" w:rsidRPr="006B0F72" w:rsidRDefault="00BE0A2F" w:rsidP="00BE0A2F">
            <w:pPr>
              <w:spacing w:before="20" w:after="20"/>
              <w:jc w:val="right"/>
              <w:rPr>
                <w:noProof/>
                <w:color w:val="000000" w:themeColor="text1"/>
                <w:sz w:val="18"/>
              </w:rPr>
            </w:pPr>
            <w:r w:rsidRPr="006B0F72">
              <w:rPr>
                <w:b/>
                <w:noProof/>
                <w:color w:val="000000"/>
                <w:sz w:val="18"/>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BDEA00C" w14:textId="77777777" w:rsidR="00BE0A2F" w:rsidRPr="006B0F72" w:rsidRDefault="00BE0A2F" w:rsidP="00BE0A2F">
            <w:pPr>
              <w:spacing w:before="20" w:after="20"/>
              <w:jc w:val="right"/>
              <w:rPr>
                <w:noProof/>
                <w:color w:val="000000" w:themeColor="text1"/>
                <w:sz w:val="18"/>
              </w:rPr>
            </w:pPr>
            <w:r w:rsidRPr="006B0F72">
              <w:rPr>
                <w:b/>
                <w:noProof/>
                <w:color w:val="000000"/>
                <w:sz w:val="18"/>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6AEBEEE" w14:textId="77777777" w:rsidR="00BE0A2F" w:rsidRPr="006B0F72" w:rsidRDefault="00BE0A2F" w:rsidP="00BE0A2F">
            <w:pPr>
              <w:spacing w:before="20" w:after="20"/>
              <w:jc w:val="right"/>
              <w:rPr>
                <w:noProof/>
                <w:color w:val="000000" w:themeColor="text1"/>
                <w:sz w:val="18"/>
              </w:rPr>
            </w:pPr>
            <w:r w:rsidRPr="006B0F72">
              <w:rPr>
                <w:b/>
                <w:noProof/>
                <w:color w:val="000000"/>
                <w:sz w:val="18"/>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8DF90BE" w14:textId="77777777" w:rsidR="00BE0A2F" w:rsidRPr="006B0F72" w:rsidRDefault="00BE0A2F" w:rsidP="00BE0A2F">
            <w:pPr>
              <w:spacing w:before="20" w:after="20"/>
              <w:jc w:val="right"/>
              <w:rPr>
                <w:noProof/>
                <w:color w:val="000000" w:themeColor="text1"/>
                <w:sz w:val="18"/>
              </w:rPr>
            </w:pPr>
            <w:r w:rsidRPr="006B0F72">
              <w:rPr>
                <w:b/>
                <w:noProof/>
                <w:color w:val="000000"/>
                <w:sz w:val="18"/>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63C0B285" w14:textId="77777777" w:rsidR="00BE0A2F" w:rsidRPr="006B0F72" w:rsidRDefault="001056E8" w:rsidP="00BE0A2F">
            <w:pPr>
              <w:spacing w:before="20" w:after="20"/>
              <w:jc w:val="right"/>
              <w:rPr>
                <w:b/>
                <w:noProof/>
                <w:color w:val="000000" w:themeColor="text1"/>
                <w:sz w:val="18"/>
              </w:rPr>
            </w:pPr>
            <w:r w:rsidRPr="006B0F72">
              <w:rPr>
                <w:b/>
                <w:noProof/>
                <w:color w:val="000000"/>
                <w:sz w:val="18"/>
              </w:rPr>
              <w:t>21,060</w:t>
            </w:r>
          </w:p>
        </w:tc>
      </w:tr>
    </w:tbl>
    <w:p w14:paraId="3BB1088B" w14:textId="77777777" w:rsidR="00BE0A2F" w:rsidRPr="006B0F72" w:rsidRDefault="00BE0A2F" w:rsidP="00BE0A2F">
      <w:pPr>
        <w:spacing w:after="40"/>
        <w:rPr>
          <w:b/>
          <w:noProof/>
          <w:color w:val="000000" w:themeColor="text1"/>
          <w:sz w:val="22"/>
          <w:u w:val="single"/>
        </w:rPr>
      </w:pP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565"/>
      </w:tblGrid>
      <w:tr w:rsidR="00BE0A2F" w:rsidRPr="006B0F72" w14:paraId="49AA2E52" w14:textId="77777777" w:rsidTr="00BE0A2F">
        <w:trPr>
          <w:trHeight w:val="277"/>
        </w:trPr>
        <w:tc>
          <w:tcPr>
            <w:tcW w:w="3960" w:type="dxa"/>
            <w:vMerge w:val="restart"/>
            <w:tcBorders>
              <w:top w:val="single" w:sz="4" w:space="0" w:color="auto"/>
              <w:left w:val="single" w:sz="4" w:space="0" w:color="auto"/>
              <w:bottom w:val="single" w:sz="4" w:space="0" w:color="FF0000"/>
            </w:tcBorders>
            <w:vAlign w:val="center"/>
          </w:tcPr>
          <w:p w14:paraId="11A18C73" w14:textId="77777777" w:rsidR="00BE0A2F" w:rsidRPr="006B0F72" w:rsidRDefault="00BE0A2F" w:rsidP="00BE0A2F">
            <w:pPr>
              <w:spacing w:before="20" w:after="20"/>
              <w:rPr>
                <w:noProof/>
                <w:color w:val="000000" w:themeColor="text1"/>
              </w:rPr>
            </w:pPr>
            <w:r w:rsidRPr="006B0F72">
              <w:rPr>
                <w:noProof/>
                <w:color w:val="000000" w:themeColor="text1"/>
                <w:sz w:val="21"/>
              </w:rPr>
              <w:sym w:font="Wingdings" w:char="F09F"/>
            </w:r>
            <w:r w:rsidRPr="006B0F72">
              <w:rPr>
                <w:noProof/>
                <w:color w:val="000000" w:themeColor="text1"/>
                <w:sz w:val="21"/>
              </w:rPr>
              <w:t xml:space="preserve"> Odobritve za poslovanje SKUPAJ (vsi razdelki za poslovanje)</w:t>
            </w:r>
          </w:p>
        </w:tc>
        <w:tc>
          <w:tcPr>
            <w:tcW w:w="1440" w:type="dxa"/>
            <w:tcBorders>
              <w:top w:val="single" w:sz="4" w:space="0" w:color="auto"/>
            </w:tcBorders>
            <w:vAlign w:val="center"/>
          </w:tcPr>
          <w:p w14:paraId="7D95C3FB" w14:textId="77777777" w:rsidR="00BE0A2F" w:rsidRPr="006B0F72" w:rsidRDefault="00BE0A2F" w:rsidP="00BE0A2F">
            <w:pPr>
              <w:spacing w:beforeLines="20" w:before="48" w:afterLines="20" w:after="48"/>
              <w:rPr>
                <w:noProof/>
                <w:color w:val="000000" w:themeColor="text1"/>
                <w:sz w:val="18"/>
              </w:rPr>
            </w:pPr>
            <w:r w:rsidRPr="006B0F72">
              <w:rPr>
                <w:noProof/>
                <w:color w:val="000000" w:themeColor="text1"/>
                <w:sz w:val="18"/>
              </w:rPr>
              <w:t>obveznosti</w:t>
            </w:r>
          </w:p>
        </w:tc>
        <w:tc>
          <w:tcPr>
            <w:tcW w:w="654" w:type="dxa"/>
            <w:tcBorders>
              <w:top w:val="single" w:sz="4" w:space="0" w:color="auto"/>
            </w:tcBorders>
            <w:vAlign w:val="center"/>
          </w:tcPr>
          <w:p w14:paraId="758C7AD4"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(4)</w:t>
            </w:r>
          </w:p>
        </w:tc>
        <w:tc>
          <w:tcPr>
            <w:tcW w:w="868" w:type="dxa"/>
            <w:tcBorders>
              <w:top w:val="single" w:sz="4" w:space="0" w:color="auto"/>
            </w:tcBorders>
            <w:vAlign w:val="center"/>
          </w:tcPr>
          <w:p w14:paraId="29510097" w14:textId="77777777" w:rsidR="00BE0A2F" w:rsidRPr="006B0F72"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23907826" w14:textId="77777777" w:rsidR="00BE0A2F" w:rsidRPr="006B0F72"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785E14BB" w14:textId="77777777" w:rsidR="00BE0A2F" w:rsidRPr="006B0F72"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4C4E3C59" w14:textId="77777777" w:rsidR="00BE0A2F" w:rsidRPr="006B0F72"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706E0A41" w14:textId="77777777" w:rsidR="00BE0A2F" w:rsidRPr="006B0F72"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488C5D58" w14:textId="77777777" w:rsidR="00BE0A2F" w:rsidRPr="006B0F72" w:rsidRDefault="00BE0A2F" w:rsidP="00BE0A2F">
            <w:pPr>
              <w:spacing w:before="20" w:after="20"/>
              <w:jc w:val="right"/>
              <w:rPr>
                <w:noProof/>
                <w:color w:val="000000" w:themeColor="text1"/>
                <w:sz w:val="20"/>
              </w:rPr>
            </w:pPr>
          </w:p>
        </w:tc>
        <w:tc>
          <w:tcPr>
            <w:tcW w:w="2565" w:type="dxa"/>
            <w:tcBorders>
              <w:top w:val="single" w:sz="4" w:space="0" w:color="auto"/>
              <w:right w:val="single" w:sz="4" w:space="0" w:color="auto"/>
            </w:tcBorders>
            <w:vAlign w:val="center"/>
          </w:tcPr>
          <w:p w14:paraId="4BE5CB04" w14:textId="77777777" w:rsidR="00BE0A2F" w:rsidRPr="006B0F72" w:rsidRDefault="00BE0A2F" w:rsidP="00BE0A2F">
            <w:pPr>
              <w:spacing w:before="20" w:after="20"/>
              <w:jc w:val="right"/>
              <w:rPr>
                <w:b/>
                <w:noProof/>
                <w:color w:val="000000" w:themeColor="text1"/>
                <w:sz w:val="20"/>
              </w:rPr>
            </w:pPr>
          </w:p>
        </w:tc>
      </w:tr>
      <w:tr w:rsidR="00BE0A2F" w:rsidRPr="006B0F72" w14:paraId="0F01904D" w14:textId="77777777" w:rsidTr="00BE0A2F">
        <w:tc>
          <w:tcPr>
            <w:tcW w:w="3960" w:type="dxa"/>
            <w:vMerge/>
            <w:tcBorders>
              <w:top w:val="single" w:sz="4" w:space="0" w:color="FF0000"/>
              <w:left w:val="single" w:sz="4" w:space="0" w:color="auto"/>
              <w:bottom w:val="single" w:sz="4" w:space="0" w:color="FF0000"/>
            </w:tcBorders>
          </w:tcPr>
          <w:p w14:paraId="20BFDFC6" w14:textId="77777777" w:rsidR="00BE0A2F" w:rsidRPr="006B0F72" w:rsidRDefault="00BE0A2F" w:rsidP="00BE0A2F">
            <w:pPr>
              <w:jc w:val="center"/>
              <w:rPr>
                <w:noProof/>
                <w:color w:val="000000" w:themeColor="text1"/>
                <w:sz w:val="20"/>
              </w:rPr>
            </w:pPr>
          </w:p>
        </w:tc>
        <w:tc>
          <w:tcPr>
            <w:tcW w:w="1440" w:type="dxa"/>
            <w:vAlign w:val="center"/>
          </w:tcPr>
          <w:p w14:paraId="7BF87C8D" w14:textId="77777777" w:rsidR="00BE0A2F" w:rsidRPr="006B0F72" w:rsidRDefault="00BE0A2F" w:rsidP="00BE0A2F">
            <w:pPr>
              <w:spacing w:beforeLines="20" w:before="48" w:afterLines="20" w:after="48"/>
              <w:rPr>
                <w:noProof/>
                <w:color w:val="000000" w:themeColor="text1"/>
                <w:sz w:val="18"/>
              </w:rPr>
            </w:pPr>
            <w:r w:rsidRPr="006B0F72">
              <w:rPr>
                <w:noProof/>
                <w:color w:val="000000" w:themeColor="text1"/>
                <w:sz w:val="18"/>
              </w:rPr>
              <w:t>plačila</w:t>
            </w:r>
          </w:p>
        </w:tc>
        <w:tc>
          <w:tcPr>
            <w:tcW w:w="654" w:type="dxa"/>
            <w:vAlign w:val="center"/>
          </w:tcPr>
          <w:p w14:paraId="06CF3452"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(5)</w:t>
            </w:r>
          </w:p>
        </w:tc>
        <w:tc>
          <w:tcPr>
            <w:tcW w:w="868" w:type="dxa"/>
            <w:vAlign w:val="center"/>
          </w:tcPr>
          <w:p w14:paraId="5616F472" w14:textId="77777777" w:rsidR="00BE0A2F" w:rsidRPr="006B0F72" w:rsidRDefault="00BE0A2F" w:rsidP="00BE0A2F">
            <w:pPr>
              <w:spacing w:before="20" w:after="20"/>
              <w:jc w:val="right"/>
              <w:rPr>
                <w:noProof/>
                <w:color w:val="000000" w:themeColor="text1"/>
                <w:sz w:val="20"/>
              </w:rPr>
            </w:pPr>
          </w:p>
        </w:tc>
        <w:tc>
          <w:tcPr>
            <w:tcW w:w="868" w:type="dxa"/>
            <w:vAlign w:val="center"/>
          </w:tcPr>
          <w:p w14:paraId="49AC9E44" w14:textId="77777777" w:rsidR="00BE0A2F" w:rsidRPr="006B0F72" w:rsidRDefault="00BE0A2F" w:rsidP="00BE0A2F">
            <w:pPr>
              <w:spacing w:before="20" w:after="20"/>
              <w:jc w:val="right"/>
              <w:rPr>
                <w:noProof/>
                <w:color w:val="000000" w:themeColor="text1"/>
                <w:sz w:val="20"/>
              </w:rPr>
            </w:pPr>
          </w:p>
        </w:tc>
        <w:tc>
          <w:tcPr>
            <w:tcW w:w="868" w:type="dxa"/>
            <w:vAlign w:val="center"/>
          </w:tcPr>
          <w:p w14:paraId="7E408345" w14:textId="77777777" w:rsidR="00BE0A2F" w:rsidRPr="006B0F72" w:rsidRDefault="00BE0A2F" w:rsidP="00BE0A2F">
            <w:pPr>
              <w:spacing w:before="20" w:after="20"/>
              <w:jc w:val="right"/>
              <w:rPr>
                <w:noProof/>
                <w:color w:val="000000" w:themeColor="text1"/>
                <w:sz w:val="20"/>
              </w:rPr>
            </w:pPr>
          </w:p>
        </w:tc>
        <w:tc>
          <w:tcPr>
            <w:tcW w:w="868" w:type="dxa"/>
            <w:vAlign w:val="center"/>
          </w:tcPr>
          <w:p w14:paraId="0BF8F5D7" w14:textId="77777777" w:rsidR="00BE0A2F" w:rsidRPr="006B0F72" w:rsidRDefault="00BE0A2F" w:rsidP="00BE0A2F">
            <w:pPr>
              <w:spacing w:before="20" w:after="20"/>
              <w:jc w:val="right"/>
              <w:rPr>
                <w:noProof/>
                <w:color w:val="000000" w:themeColor="text1"/>
                <w:sz w:val="20"/>
              </w:rPr>
            </w:pPr>
          </w:p>
        </w:tc>
        <w:tc>
          <w:tcPr>
            <w:tcW w:w="868" w:type="dxa"/>
            <w:vAlign w:val="center"/>
          </w:tcPr>
          <w:p w14:paraId="68FBF1AD" w14:textId="77777777" w:rsidR="00BE0A2F" w:rsidRPr="006B0F72" w:rsidRDefault="00BE0A2F" w:rsidP="00BE0A2F">
            <w:pPr>
              <w:spacing w:before="20" w:after="20"/>
              <w:jc w:val="right"/>
              <w:rPr>
                <w:noProof/>
                <w:color w:val="000000" w:themeColor="text1"/>
                <w:sz w:val="20"/>
              </w:rPr>
            </w:pPr>
          </w:p>
        </w:tc>
        <w:tc>
          <w:tcPr>
            <w:tcW w:w="868" w:type="dxa"/>
            <w:vAlign w:val="center"/>
          </w:tcPr>
          <w:p w14:paraId="24735902" w14:textId="77777777" w:rsidR="00BE0A2F" w:rsidRPr="006B0F72" w:rsidRDefault="00BE0A2F" w:rsidP="00BE0A2F">
            <w:pPr>
              <w:spacing w:before="20" w:after="20"/>
              <w:jc w:val="right"/>
              <w:rPr>
                <w:noProof/>
                <w:color w:val="000000" w:themeColor="text1"/>
                <w:sz w:val="20"/>
              </w:rPr>
            </w:pPr>
          </w:p>
        </w:tc>
        <w:tc>
          <w:tcPr>
            <w:tcW w:w="2565" w:type="dxa"/>
            <w:tcBorders>
              <w:right w:val="single" w:sz="4" w:space="0" w:color="auto"/>
            </w:tcBorders>
            <w:vAlign w:val="center"/>
          </w:tcPr>
          <w:p w14:paraId="782A6F6D" w14:textId="77777777" w:rsidR="00BE0A2F" w:rsidRPr="006B0F72" w:rsidRDefault="00BE0A2F" w:rsidP="00BE0A2F">
            <w:pPr>
              <w:spacing w:before="20" w:after="20"/>
              <w:jc w:val="right"/>
              <w:rPr>
                <w:b/>
                <w:noProof/>
                <w:color w:val="000000" w:themeColor="text1"/>
                <w:sz w:val="20"/>
              </w:rPr>
            </w:pPr>
          </w:p>
        </w:tc>
      </w:tr>
      <w:tr w:rsidR="00BE0A2F" w:rsidRPr="006B0F72" w14:paraId="635C6E4F" w14:textId="77777777" w:rsidTr="00BE0A2F">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4A099C6F" w14:textId="77777777" w:rsidR="00BE0A2F" w:rsidRPr="006B0F72" w:rsidRDefault="00BE0A2F" w:rsidP="00BE0A2F">
            <w:pPr>
              <w:spacing w:beforeLines="20" w:before="48" w:afterLines="20" w:after="48"/>
              <w:rPr>
                <w:noProof/>
                <w:color w:val="000000" w:themeColor="text1"/>
              </w:rPr>
            </w:pPr>
            <w:r w:rsidRPr="006B0F72">
              <w:rPr>
                <w:noProof/>
                <w:color w:val="000000" w:themeColor="text1"/>
                <w:sz w:val="21"/>
              </w:rPr>
              <w:t xml:space="preserve"> Odobritve za upravne zadeve, ki se financirajo iz sredstev določenih programov, SKUPAJ (vsi razdelki za poslovanje)</w:t>
            </w:r>
          </w:p>
        </w:tc>
        <w:tc>
          <w:tcPr>
            <w:tcW w:w="654" w:type="dxa"/>
            <w:vAlign w:val="center"/>
          </w:tcPr>
          <w:p w14:paraId="6DC32C95" w14:textId="77777777" w:rsidR="00BE0A2F" w:rsidRPr="006B0F72" w:rsidRDefault="00BE0A2F" w:rsidP="00BE0A2F">
            <w:pPr>
              <w:rPr>
                <w:noProof/>
                <w:color w:val="000000" w:themeColor="text1"/>
              </w:rPr>
            </w:pPr>
          </w:p>
          <w:p w14:paraId="73923D4C" w14:textId="77777777" w:rsidR="00BE0A2F" w:rsidRPr="006B0F72" w:rsidRDefault="00BE0A2F" w:rsidP="00BE0A2F">
            <w:pPr>
              <w:spacing w:beforeLines="20" w:before="48" w:afterLines="20" w:after="48"/>
              <w:jc w:val="center"/>
              <w:rPr>
                <w:noProof/>
                <w:color w:val="000000" w:themeColor="text1"/>
                <w:sz w:val="14"/>
              </w:rPr>
            </w:pPr>
            <w:r w:rsidRPr="006B0F72">
              <w:rPr>
                <w:noProof/>
                <w:color w:val="000000" w:themeColor="text1"/>
                <w:sz w:val="14"/>
              </w:rPr>
              <w:t>(6)</w:t>
            </w:r>
          </w:p>
        </w:tc>
        <w:tc>
          <w:tcPr>
            <w:tcW w:w="868" w:type="dxa"/>
            <w:vAlign w:val="center"/>
          </w:tcPr>
          <w:p w14:paraId="4C467F79"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47953054"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416BEB85"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64372176"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320B8508"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7EFB6396" w14:textId="77777777" w:rsidR="00BE0A2F" w:rsidRPr="006B0F72" w:rsidRDefault="00BE0A2F" w:rsidP="00BE0A2F">
            <w:pPr>
              <w:spacing w:before="20" w:after="20"/>
              <w:jc w:val="right"/>
              <w:rPr>
                <w:b/>
                <w:noProof/>
                <w:color w:val="000000" w:themeColor="text1"/>
                <w:sz w:val="20"/>
              </w:rPr>
            </w:pPr>
          </w:p>
        </w:tc>
        <w:tc>
          <w:tcPr>
            <w:tcW w:w="2565" w:type="dxa"/>
            <w:vAlign w:val="center"/>
          </w:tcPr>
          <w:p w14:paraId="0D286FF9" w14:textId="77777777" w:rsidR="00BE0A2F" w:rsidRPr="006B0F72" w:rsidRDefault="00BE0A2F" w:rsidP="00BE0A2F">
            <w:pPr>
              <w:spacing w:before="20" w:after="20"/>
              <w:jc w:val="right"/>
              <w:rPr>
                <w:b/>
                <w:noProof/>
                <w:color w:val="000000" w:themeColor="text1"/>
                <w:sz w:val="20"/>
              </w:rPr>
            </w:pPr>
          </w:p>
        </w:tc>
      </w:tr>
      <w:tr w:rsidR="004B7DAE" w:rsidRPr="006B0F72" w14:paraId="351A3EC0" w14:textId="77777777" w:rsidTr="00BE0A2F">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6C00B825" w14:textId="77777777" w:rsidR="00BE0A2F" w:rsidRPr="006B0F72" w:rsidRDefault="00BE0A2F" w:rsidP="00BE0A2F">
            <w:pPr>
              <w:jc w:val="center"/>
              <w:rPr>
                <w:b/>
                <w:noProof/>
                <w:color w:val="000000" w:themeColor="text1"/>
              </w:rPr>
            </w:pPr>
            <w:r w:rsidRPr="006B0F72">
              <w:rPr>
                <w:b/>
                <w:noProof/>
                <w:color w:val="000000" w:themeColor="text1"/>
                <w:sz w:val="22"/>
              </w:rPr>
              <w:t xml:space="preserve">Odobritve </w:t>
            </w:r>
            <w:r w:rsidRPr="006B0F72">
              <w:rPr>
                <w:noProof/>
              </w:rPr>
              <w:t xml:space="preserve"> </w:t>
            </w:r>
            <w:r w:rsidRPr="006B0F72">
              <w:rPr>
                <w:noProof/>
              </w:rPr>
              <w:br/>
            </w:r>
            <w:r w:rsidRPr="006B0F72">
              <w:rPr>
                <w:b/>
                <w:noProof/>
                <w:color w:val="000000" w:themeColor="text1"/>
                <w:sz w:val="22"/>
              </w:rPr>
              <w:t>iz RAZDELKOV od 1 do 6 (ENV + EEA)</w:t>
            </w:r>
            <w:r w:rsidRPr="006B0F72">
              <w:rPr>
                <w:noProof/>
              </w:rPr>
              <w:t xml:space="preserve"> </w:t>
            </w:r>
            <w:r w:rsidRPr="006B0F72">
              <w:rPr>
                <w:noProof/>
              </w:rPr>
              <w:br/>
            </w:r>
            <w:r w:rsidRPr="006B0F72">
              <w:rPr>
                <w:noProof/>
                <w:color w:val="000000" w:themeColor="text1"/>
                <w:sz w:val="22"/>
              </w:rPr>
              <w:t>večletnega finančnega okvira</w:t>
            </w:r>
            <w:r w:rsidRPr="006B0F72">
              <w:rPr>
                <w:noProof/>
                <w:color w:val="000000" w:themeColor="text1"/>
                <w:sz w:val="22"/>
              </w:rPr>
              <w:br/>
            </w:r>
            <w:r w:rsidRPr="006B0F72">
              <w:rPr>
                <w:b/>
                <w:noProof/>
                <w:color w:val="000000" w:themeColor="text1"/>
                <w:sz w:val="22"/>
              </w:rPr>
              <w:t>SKUPAJ</w:t>
            </w:r>
            <w:r w:rsidRPr="006B0F72">
              <w:rPr>
                <w:noProof/>
              </w:rPr>
              <w:t xml:space="preserve"> </w:t>
            </w:r>
            <w:r w:rsidRPr="006B0F72">
              <w:rPr>
                <w:noProof/>
              </w:rPr>
              <w:br/>
            </w:r>
            <w:r w:rsidRPr="006B0F72">
              <w:rPr>
                <w:noProof/>
                <w:color w:val="000000" w:themeColor="text1"/>
                <w:sz w:val="20"/>
              </w:rPr>
              <w:t>(referenčni znesek)</w:t>
            </w:r>
          </w:p>
        </w:tc>
        <w:tc>
          <w:tcPr>
            <w:tcW w:w="1440" w:type="dxa"/>
            <w:vAlign w:val="center"/>
          </w:tcPr>
          <w:p w14:paraId="72A54F69" w14:textId="77777777" w:rsidR="00BE0A2F" w:rsidRPr="006B0F72" w:rsidRDefault="00BE0A2F" w:rsidP="00BE0A2F">
            <w:pPr>
              <w:rPr>
                <w:noProof/>
                <w:color w:val="000000" w:themeColor="text1"/>
                <w:sz w:val="18"/>
              </w:rPr>
            </w:pPr>
            <w:r w:rsidRPr="006B0F72">
              <w:rPr>
                <w:noProof/>
                <w:color w:val="000000" w:themeColor="text1"/>
                <w:sz w:val="18"/>
              </w:rPr>
              <w:t>obveznosti</w:t>
            </w:r>
          </w:p>
        </w:tc>
        <w:tc>
          <w:tcPr>
            <w:tcW w:w="654" w:type="dxa"/>
            <w:vAlign w:val="center"/>
          </w:tcPr>
          <w:p w14:paraId="4AE4659B" w14:textId="77777777" w:rsidR="00BE0A2F" w:rsidRPr="006B0F72" w:rsidRDefault="00BE0A2F" w:rsidP="00BE0A2F">
            <w:pPr>
              <w:jc w:val="center"/>
              <w:rPr>
                <w:noProof/>
                <w:color w:val="000000" w:themeColor="text1"/>
                <w:sz w:val="14"/>
              </w:rPr>
            </w:pPr>
            <w:r w:rsidRPr="006B0F72">
              <w:rPr>
                <w:noProof/>
                <w:color w:val="000000" w:themeColor="text1"/>
                <w:sz w:val="14"/>
              </w:rPr>
              <w:t>= 4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71ACBE4" w14:textId="77777777" w:rsidR="00BE0A2F" w:rsidRPr="006B0F72" w:rsidRDefault="00BE0A2F" w:rsidP="00BE0A2F">
            <w:pPr>
              <w:spacing w:before="20" w:after="20"/>
              <w:jc w:val="right"/>
              <w:rPr>
                <w:noProof/>
                <w:color w:val="000000" w:themeColor="text1"/>
                <w:sz w:val="20"/>
              </w:rPr>
            </w:pPr>
            <w:r w:rsidRPr="006B0F72">
              <w:rPr>
                <w:b/>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A0CC8D7" w14:textId="77777777" w:rsidR="00BE0A2F" w:rsidRPr="006B0F72" w:rsidRDefault="001056E8" w:rsidP="00BE0A2F">
            <w:pPr>
              <w:spacing w:before="20" w:after="20"/>
              <w:jc w:val="right"/>
              <w:rPr>
                <w:noProof/>
                <w:color w:val="000000" w:themeColor="text1"/>
                <w:sz w:val="20"/>
              </w:rPr>
            </w:pPr>
            <w:r w:rsidRPr="006B0F72">
              <w:rPr>
                <w:b/>
                <w:noProof/>
                <w:color w:val="000000"/>
                <w:sz w:val="20"/>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7819FDE" w14:textId="77777777" w:rsidR="00BE0A2F" w:rsidRPr="006B0F72" w:rsidRDefault="00BE0A2F" w:rsidP="00BE0A2F">
            <w:pPr>
              <w:spacing w:before="20" w:after="20"/>
              <w:jc w:val="right"/>
              <w:rPr>
                <w:noProof/>
                <w:color w:val="000000" w:themeColor="text1"/>
                <w:sz w:val="20"/>
              </w:rPr>
            </w:pPr>
            <w:r w:rsidRPr="006B0F72">
              <w:rPr>
                <w:b/>
                <w:noProof/>
                <w:color w:val="000000"/>
                <w:sz w:val="20"/>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2DEF797" w14:textId="77777777" w:rsidR="00BE0A2F" w:rsidRPr="006B0F72" w:rsidRDefault="00BE0A2F" w:rsidP="00BE0A2F">
            <w:pPr>
              <w:spacing w:before="20" w:after="20"/>
              <w:jc w:val="right"/>
              <w:rPr>
                <w:noProof/>
                <w:color w:val="000000" w:themeColor="text1"/>
                <w:sz w:val="20"/>
              </w:rPr>
            </w:pPr>
            <w:r w:rsidRPr="006B0F72">
              <w:rPr>
                <w:b/>
                <w:noProof/>
                <w:color w:val="000000"/>
                <w:sz w:val="20"/>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ECD4414" w14:textId="77777777" w:rsidR="00BE0A2F" w:rsidRPr="006B0F72" w:rsidRDefault="00BE0A2F" w:rsidP="00BE0A2F">
            <w:pPr>
              <w:spacing w:before="20" w:after="20"/>
              <w:jc w:val="right"/>
              <w:rPr>
                <w:noProof/>
                <w:color w:val="000000" w:themeColor="text1"/>
                <w:sz w:val="20"/>
              </w:rPr>
            </w:pPr>
            <w:r w:rsidRPr="006B0F72">
              <w:rPr>
                <w:b/>
                <w:noProof/>
                <w:color w:val="000000"/>
                <w:sz w:val="20"/>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23B9A682" w14:textId="77777777" w:rsidR="00BE0A2F" w:rsidRPr="006B0F72" w:rsidRDefault="00BE0A2F" w:rsidP="00BE0A2F">
            <w:pPr>
              <w:spacing w:before="20" w:after="20"/>
              <w:jc w:val="right"/>
              <w:rPr>
                <w:noProof/>
                <w:color w:val="000000" w:themeColor="text1"/>
                <w:sz w:val="20"/>
              </w:rPr>
            </w:pPr>
            <w:r w:rsidRPr="006B0F72">
              <w:rPr>
                <w:b/>
                <w:noProof/>
                <w:color w:val="000000"/>
                <w:sz w:val="20"/>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24358ACA" w14:textId="77777777" w:rsidR="00BE0A2F" w:rsidRPr="006B0F72" w:rsidRDefault="001056E8" w:rsidP="00BE0A2F">
            <w:pPr>
              <w:spacing w:before="20" w:after="20"/>
              <w:jc w:val="right"/>
              <w:rPr>
                <w:b/>
                <w:noProof/>
                <w:color w:val="000000" w:themeColor="text1"/>
                <w:sz w:val="20"/>
              </w:rPr>
            </w:pPr>
            <w:r w:rsidRPr="006B0F72">
              <w:rPr>
                <w:b/>
                <w:noProof/>
                <w:color w:val="000000"/>
                <w:sz w:val="20"/>
              </w:rPr>
              <w:t>21,060</w:t>
            </w:r>
          </w:p>
        </w:tc>
      </w:tr>
      <w:tr w:rsidR="004B7DAE" w:rsidRPr="006B0F72" w14:paraId="5D319CC8" w14:textId="77777777" w:rsidTr="00BE0A2F">
        <w:tc>
          <w:tcPr>
            <w:tcW w:w="3960" w:type="dxa"/>
            <w:vMerge/>
            <w:tcBorders>
              <w:top w:val="single" w:sz="4" w:space="0" w:color="FF0000"/>
              <w:left w:val="single" w:sz="4" w:space="0" w:color="auto"/>
              <w:bottom w:val="single" w:sz="4" w:space="0" w:color="auto"/>
            </w:tcBorders>
            <w:shd w:val="thinDiagStripe" w:color="C0C0C0" w:fill="auto"/>
          </w:tcPr>
          <w:p w14:paraId="4AE61DA5" w14:textId="77777777" w:rsidR="00BE0A2F" w:rsidRPr="006B0F72" w:rsidRDefault="00BE0A2F" w:rsidP="00BE0A2F">
            <w:pPr>
              <w:rPr>
                <w:noProof/>
                <w:color w:val="000000" w:themeColor="text1"/>
                <w:sz w:val="20"/>
              </w:rPr>
            </w:pPr>
          </w:p>
        </w:tc>
        <w:tc>
          <w:tcPr>
            <w:tcW w:w="1440" w:type="dxa"/>
            <w:tcBorders>
              <w:bottom w:val="single" w:sz="4" w:space="0" w:color="auto"/>
            </w:tcBorders>
            <w:vAlign w:val="center"/>
          </w:tcPr>
          <w:p w14:paraId="790C313C" w14:textId="77777777" w:rsidR="00BE0A2F" w:rsidRPr="006B0F72" w:rsidRDefault="00BE0A2F" w:rsidP="00BE0A2F">
            <w:pPr>
              <w:rPr>
                <w:noProof/>
                <w:color w:val="000000" w:themeColor="text1"/>
                <w:sz w:val="18"/>
              </w:rPr>
            </w:pPr>
            <w:r w:rsidRPr="006B0F72">
              <w:rPr>
                <w:noProof/>
                <w:color w:val="000000" w:themeColor="text1"/>
                <w:sz w:val="18"/>
              </w:rPr>
              <w:t>plačila</w:t>
            </w:r>
          </w:p>
        </w:tc>
        <w:tc>
          <w:tcPr>
            <w:tcW w:w="654" w:type="dxa"/>
            <w:tcBorders>
              <w:bottom w:val="single" w:sz="4" w:space="0" w:color="auto"/>
            </w:tcBorders>
            <w:vAlign w:val="center"/>
          </w:tcPr>
          <w:p w14:paraId="63C9B305" w14:textId="77777777" w:rsidR="00BE0A2F" w:rsidRPr="006B0F72" w:rsidRDefault="00BE0A2F" w:rsidP="00BE0A2F">
            <w:pPr>
              <w:jc w:val="center"/>
              <w:rPr>
                <w:noProof/>
                <w:color w:val="000000" w:themeColor="text1"/>
                <w:sz w:val="14"/>
              </w:rPr>
            </w:pPr>
            <w:r w:rsidRPr="006B0F72">
              <w:rPr>
                <w:noProof/>
                <w:color w:val="000000" w:themeColor="text1"/>
                <w:sz w:val="14"/>
              </w:rPr>
              <w:t>= 5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BE5BA21" w14:textId="77777777" w:rsidR="00BE0A2F" w:rsidRPr="006B0F72" w:rsidRDefault="00BE0A2F" w:rsidP="00BE0A2F">
            <w:pPr>
              <w:spacing w:before="20" w:after="20"/>
              <w:jc w:val="right"/>
              <w:rPr>
                <w:noProof/>
                <w:color w:val="000000" w:themeColor="text1"/>
                <w:sz w:val="20"/>
              </w:rPr>
            </w:pPr>
            <w:r w:rsidRPr="006B0F72">
              <w:rPr>
                <w:b/>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72272BB" w14:textId="77777777" w:rsidR="00BE0A2F" w:rsidRPr="006B0F72" w:rsidRDefault="001056E8" w:rsidP="00BE0A2F">
            <w:pPr>
              <w:spacing w:before="20" w:after="20"/>
              <w:jc w:val="right"/>
              <w:rPr>
                <w:noProof/>
                <w:color w:val="000000" w:themeColor="text1"/>
                <w:sz w:val="20"/>
              </w:rPr>
            </w:pPr>
            <w:r w:rsidRPr="006B0F72">
              <w:rPr>
                <w:b/>
                <w:noProof/>
                <w:color w:val="000000"/>
                <w:sz w:val="20"/>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F985B9C" w14:textId="77777777" w:rsidR="00BE0A2F" w:rsidRPr="006B0F72" w:rsidRDefault="00BE0A2F" w:rsidP="00BE0A2F">
            <w:pPr>
              <w:spacing w:before="20" w:after="20"/>
              <w:jc w:val="right"/>
              <w:rPr>
                <w:noProof/>
                <w:color w:val="000000" w:themeColor="text1"/>
                <w:sz w:val="20"/>
              </w:rPr>
            </w:pPr>
            <w:r w:rsidRPr="006B0F72">
              <w:rPr>
                <w:b/>
                <w:noProof/>
                <w:color w:val="000000"/>
                <w:sz w:val="20"/>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2FF23D2" w14:textId="77777777" w:rsidR="00BE0A2F" w:rsidRPr="006B0F72" w:rsidRDefault="00BE0A2F" w:rsidP="00BE0A2F">
            <w:pPr>
              <w:spacing w:before="20" w:after="20"/>
              <w:jc w:val="right"/>
              <w:rPr>
                <w:noProof/>
                <w:color w:val="000000" w:themeColor="text1"/>
                <w:sz w:val="20"/>
              </w:rPr>
            </w:pPr>
            <w:r w:rsidRPr="006B0F72">
              <w:rPr>
                <w:b/>
                <w:noProof/>
                <w:color w:val="000000"/>
                <w:sz w:val="20"/>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10E194F" w14:textId="77777777" w:rsidR="00BE0A2F" w:rsidRPr="006B0F72" w:rsidRDefault="00BE0A2F" w:rsidP="00BE0A2F">
            <w:pPr>
              <w:spacing w:before="20" w:after="20"/>
              <w:jc w:val="right"/>
              <w:rPr>
                <w:noProof/>
                <w:color w:val="000000" w:themeColor="text1"/>
                <w:sz w:val="20"/>
              </w:rPr>
            </w:pPr>
            <w:r w:rsidRPr="006B0F72">
              <w:rPr>
                <w:b/>
                <w:noProof/>
                <w:color w:val="000000"/>
                <w:sz w:val="20"/>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4EDECBA" w14:textId="77777777" w:rsidR="00BE0A2F" w:rsidRPr="006B0F72" w:rsidRDefault="00BE0A2F" w:rsidP="00BE0A2F">
            <w:pPr>
              <w:spacing w:before="20" w:after="20"/>
              <w:jc w:val="right"/>
              <w:rPr>
                <w:noProof/>
                <w:color w:val="000000" w:themeColor="text1"/>
                <w:sz w:val="20"/>
              </w:rPr>
            </w:pPr>
            <w:r w:rsidRPr="006B0F72">
              <w:rPr>
                <w:b/>
                <w:noProof/>
                <w:color w:val="000000"/>
                <w:sz w:val="20"/>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769F6D50" w14:textId="77777777" w:rsidR="00BE0A2F" w:rsidRPr="006B0F72" w:rsidRDefault="001056E8" w:rsidP="00BE0A2F">
            <w:pPr>
              <w:spacing w:before="20" w:after="20"/>
              <w:jc w:val="right"/>
              <w:rPr>
                <w:b/>
                <w:noProof/>
                <w:color w:val="000000" w:themeColor="text1"/>
                <w:sz w:val="20"/>
              </w:rPr>
            </w:pPr>
            <w:r w:rsidRPr="006B0F72">
              <w:rPr>
                <w:b/>
                <w:noProof/>
                <w:color w:val="000000"/>
                <w:sz w:val="20"/>
              </w:rPr>
              <w:t>21,060</w:t>
            </w:r>
          </w:p>
        </w:tc>
      </w:tr>
    </w:tbl>
    <w:p w14:paraId="53589546" w14:textId="77777777" w:rsidR="00BE0A2F" w:rsidRPr="006B0F72" w:rsidRDefault="00BE0A2F" w:rsidP="00BE0A2F">
      <w:pPr>
        <w:rPr>
          <w:noProof/>
          <w:color w:val="000000" w:themeColor="text1"/>
        </w:rPr>
      </w:pPr>
      <w:r w:rsidRPr="006B0F72">
        <w:rPr>
          <w:noProof/>
        </w:rPr>
        <w:br w:type="page"/>
      </w:r>
    </w:p>
    <w:p w14:paraId="0863787F" w14:textId="77777777" w:rsidR="00BE0A2F" w:rsidRPr="006B0F72" w:rsidRDefault="00BE0A2F" w:rsidP="00BE0A2F">
      <w:pPr>
        <w:spacing w:before="0" w:after="0"/>
        <w:jc w:val="left"/>
        <w:rPr>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E0A2F" w:rsidRPr="006B0F72" w14:paraId="35EFC823" w14:textId="77777777" w:rsidTr="00BE0A2F">
        <w:trPr>
          <w:jc w:val="center"/>
        </w:trPr>
        <w:tc>
          <w:tcPr>
            <w:tcW w:w="4744" w:type="dxa"/>
            <w:shd w:val="thinDiagStripe" w:color="C0C0C0" w:fill="auto"/>
            <w:vAlign w:val="center"/>
          </w:tcPr>
          <w:p w14:paraId="6B126059" w14:textId="77777777" w:rsidR="00BE0A2F" w:rsidRPr="006B0F72" w:rsidRDefault="00BE0A2F" w:rsidP="00BE0A2F">
            <w:pPr>
              <w:spacing w:before="60" w:after="60"/>
              <w:jc w:val="center"/>
              <w:rPr>
                <w:b/>
                <w:noProof/>
                <w:color w:val="000000" w:themeColor="text1"/>
              </w:rPr>
            </w:pPr>
            <w:r w:rsidRPr="006B0F72">
              <w:rPr>
                <w:noProof/>
              </w:rPr>
              <w:br w:type="page"/>
            </w:r>
            <w:r w:rsidRPr="006B0F72">
              <w:rPr>
                <w:b/>
                <w:noProof/>
                <w:color w:val="000000" w:themeColor="text1"/>
                <w:sz w:val="22"/>
              </w:rPr>
              <w:t xml:space="preserve">Razdelek </w:t>
            </w:r>
            <w:r w:rsidRPr="006B0F72">
              <w:rPr>
                <w:noProof/>
              </w:rPr>
              <w:br/>
            </w:r>
            <w:r w:rsidRPr="006B0F72">
              <w:rPr>
                <w:b/>
                <w:noProof/>
                <w:color w:val="000000" w:themeColor="text1"/>
                <w:sz w:val="22"/>
              </w:rPr>
              <w:t xml:space="preserve">večletnega finančnega okvira </w:t>
            </w:r>
          </w:p>
        </w:tc>
        <w:tc>
          <w:tcPr>
            <w:tcW w:w="1080" w:type="dxa"/>
            <w:shd w:val="thinDiagStripe" w:color="C0C0C0" w:fill="auto"/>
            <w:vAlign w:val="center"/>
          </w:tcPr>
          <w:p w14:paraId="3B0729B9" w14:textId="77777777" w:rsidR="00BE0A2F" w:rsidRPr="006B0F72" w:rsidRDefault="00BE0A2F" w:rsidP="00BE0A2F">
            <w:pPr>
              <w:spacing w:before="60" w:after="60"/>
              <w:jc w:val="center"/>
              <w:rPr>
                <w:noProof/>
                <w:color w:val="000000" w:themeColor="text1"/>
              </w:rPr>
            </w:pPr>
            <w:r w:rsidRPr="006B0F72">
              <w:rPr>
                <w:b/>
                <w:noProof/>
                <w:color w:val="000000" w:themeColor="text1"/>
                <w:sz w:val="22"/>
              </w:rPr>
              <w:t>7</w:t>
            </w:r>
          </w:p>
        </w:tc>
        <w:tc>
          <w:tcPr>
            <w:tcW w:w="7817" w:type="dxa"/>
            <w:vAlign w:val="center"/>
          </w:tcPr>
          <w:p w14:paraId="1CD86D8F" w14:textId="77777777" w:rsidR="00BE0A2F" w:rsidRPr="006B0F72" w:rsidRDefault="00BE0A2F" w:rsidP="00BE0A2F">
            <w:pPr>
              <w:spacing w:before="60" w:after="60"/>
              <w:rPr>
                <w:noProof/>
                <w:color w:val="000000" w:themeColor="text1"/>
              </w:rPr>
            </w:pPr>
            <w:r w:rsidRPr="006B0F72">
              <w:rPr>
                <w:noProof/>
                <w:color w:val="000000" w:themeColor="text1"/>
                <w:sz w:val="22"/>
              </w:rPr>
              <w:t>„Upravni odhodki“</w:t>
            </w:r>
          </w:p>
        </w:tc>
      </w:tr>
    </w:tbl>
    <w:p w14:paraId="4ADDC19A" w14:textId="77777777" w:rsidR="00BE0A2F" w:rsidRPr="006B0F72" w:rsidRDefault="00BE0A2F" w:rsidP="00BE0A2F">
      <w:pPr>
        <w:jc w:val="left"/>
        <w:rPr>
          <w:noProof/>
          <w:color w:val="000000" w:themeColor="text1"/>
          <w:sz w:val="20"/>
        </w:rPr>
      </w:pPr>
      <w:r w:rsidRPr="006B0F72">
        <w:rPr>
          <w:noProof/>
        </w:rPr>
        <w:t xml:space="preserve">Ta oddelek se izpolni s „proračunskimi podatki upravne narave“, ki jih je treba najprej vnesti v </w:t>
      </w:r>
      <w:hyperlink r:id="rId29" w:history="1">
        <w:r w:rsidRPr="006B0F72">
          <w:rPr>
            <w:noProof/>
          </w:rPr>
          <w:t>Prilogo k oceni finančnih posledic zakonodajnega predloga</w:t>
        </w:r>
      </w:hyperlink>
      <w:r w:rsidRPr="006B0F72">
        <w:rPr>
          <w:noProof/>
        </w:rPr>
        <w:t xml:space="preserve"> (Priloga V k notranjim pravilom), ki se prenese v sistem DECIDE za namene posvetovanj med službami.</w:t>
      </w:r>
    </w:p>
    <w:p w14:paraId="38591773" w14:textId="77777777" w:rsidR="00BE0A2F" w:rsidRPr="006B0F72" w:rsidRDefault="00BE0A2F" w:rsidP="00BE0A2F">
      <w:pPr>
        <w:jc w:val="right"/>
        <w:rPr>
          <w:noProof/>
          <w:color w:val="000000" w:themeColor="text1"/>
          <w:sz w:val="20"/>
        </w:rPr>
      </w:pPr>
      <w:r w:rsidRPr="006B0F72">
        <w:rPr>
          <w:noProof/>
          <w:color w:val="000000" w:themeColor="text1"/>
          <w:sz w:val="20"/>
        </w:rPr>
        <w:t>v mio. EUR (na tri decimalna mesta natančno)</w:t>
      </w:r>
    </w:p>
    <w:tbl>
      <w:tblPr>
        <w:tblW w:w="156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176"/>
        <w:gridCol w:w="358"/>
        <w:gridCol w:w="868"/>
        <w:gridCol w:w="868"/>
        <w:gridCol w:w="868"/>
        <w:gridCol w:w="868"/>
        <w:gridCol w:w="868"/>
        <w:gridCol w:w="868"/>
        <w:gridCol w:w="868"/>
        <w:gridCol w:w="868"/>
        <w:gridCol w:w="868"/>
        <w:gridCol w:w="1777"/>
      </w:tblGrid>
      <w:tr w:rsidR="00BE0A2F" w:rsidRPr="006B0F72" w14:paraId="4A541881" w14:textId="77777777" w:rsidTr="00B0251E">
        <w:tc>
          <w:tcPr>
            <w:tcW w:w="3960" w:type="dxa"/>
            <w:tcBorders>
              <w:top w:val="nil"/>
              <w:left w:val="nil"/>
              <w:right w:val="nil"/>
            </w:tcBorders>
            <w:vAlign w:val="center"/>
          </w:tcPr>
          <w:p w14:paraId="4CE55CD6" w14:textId="77777777" w:rsidR="00BE0A2F" w:rsidRPr="006B0F72" w:rsidRDefault="00BE0A2F" w:rsidP="00BE0A2F">
            <w:pPr>
              <w:jc w:val="center"/>
              <w:rPr>
                <w:noProof/>
                <w:color w:val="000000" w:themeColor="text1"/>
              </w:rPr>
            </w:pPr>
          </w:p>
        </w:tc>
        <w:tc>
          <w:tcPr>
            <w:tcW w:w="1560" w:type="dxa"/>
            <w:gridSpan w:val="2"/>
            <w:tcBorders>
              <w:top w:val="nil"/>
              <w:left w:val="nil"/>
              <w:right w:val="nil"/>
            </w:tcBorders>
          </w:tcPr>
          <w:p w14:paraId="16275137" w14:textId="77777777" w:rsidR="00BE0A2F" w:rsidRPr="006B0F72" w:rsidRDefault="00BE0A2F" w:rsidP="00BE0A2F">
            <w:pPr>
              <w:rPr>
                <w:noProof/>
                <w:color w:val="000000" w:themeColor="text1"/>
                <w:sz w:val="20"/>
              </w:rPr>
            </w:pPr>
          </w:p>
        </w:tc>
        <w:tc>
          <w:tcPr>
            <w:tcW w:w="534" w:type="dxa"/>
            <w:gridSpan w:val="2"/>
            <w:tcBorders>
              <w:top w:val="nil"/>
              <w:left w:val="nil"/>
            </w:tcBorders>
          </w:tcPr>
          <w:p w14:paraId="7D636BCA" w14:textId="77777777" w:rsidR="00BE0A2F" w:rsidRPr="006B0F72" w:rsidRDefault="00BE0A2F" w:rsidP="00BE0A2F">
            <w:pPr>
              <w:jc w:val="center"/>
              <w:rPr>
                <w:noProof/>
                <w:color w:val="000000" w:themeColor="text1"/>
                <w:sz w:val="20"/>
              </w:rPr>
            </w:pPr>
          </w:p>
        </w:tc>
        <w:tc>
          <w:tcPr>
            <w:tcW w:w="868" w:type="dxa"/>
            <w:vAlign w:val="center"/>
          </w:tcPr>
          <w:p w14:paraId="6A2B2927" w14:textId="77777777" w:rsidR="00BE0A2F" w:rsidRPr="006B0F72" w:rsidRDefault="00BE0A2F" w:rsidP="00BE0A2F">
            <w:pPr>
              <w:jc w:val="center"/>
              <w:rPr>
                <w:b/>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2022</w:t>
            </w:r>
          </w:p>
        </w:tc>
        <w:tc>
          <w:tcPr>
            <w:tcW w:w="868" w:type="dxa"/>
            <w:vAlign w:val="center"/>
          </w:tcPr>
          <w:p w14:paraId="14D6B847" w14:textId="77777777" w:rsidR="00BE0A2F" w:rsidRPr="006B0F72" w:rsidRDefault="00BE0A2F" w:rsidP="00BE0A2F">
            <w:pPr>
              <w:jc w:val="center"/>
              <w:rPr>
                <w:b/>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2023</w:t>
            </w:r>
          </w:p>
        </w:tc>
        <w:tc>
          <w:tcPr>
            <w:tcW w:w="868" w:type="dxa"/>
            <w:vAlign w:val="center"/>
          </w:tcPr>
          <w:p w14:paraId="0C683FFB"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2024</w:t>
            </w:r>
          </w:p>
        </w:tc>
        <w:tc>
          <w:tcPr>
            <w:tcW w:w="868" w:type="dxa"/>
            <w:vAlign w:val="center"/>
          </w:tcPr>
          <w:p w14:paraId="166B3EE7"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2025</w:t>
            </w:r>
          </w:p>
        </w:tc>
        <w:tc>
          <w:tcPr>
            <w:tcW w:w="868" w:type="dxa"/>
            <w:vAlign w:val="center"/>
          </w:tcPr>
          <w:p w14:paraId="2B58D8AB"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2026</w:t>
            </w:r>
          </w:p>
        </w:tc>
        <w:tc>
          <w:tcPr>
            <w:tcW w:w="868" w:type="dxa"/>
            <w:vAlign w:val="center"/>
          </w:tcPr>
          <w:p w14:paraId="0A7CED2B"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2027</w:t>
            </w:r>
          </w:p>
        </w:tc>
        <w:tc>
          <w:tcPr>
            <w:tcW w:w="2604" w:type="dxa"/>
            <w:gridSpan w:val="3"/>
            <w:vAlign w:val="center"/>
          </w:tcPr>
          <w:p w14:paraId="75A34450" w14:textId="77777777" w:rsidR="00BE0A2F" w:rsidRPr="006B0F72" w:rsidRDefault="00BE0A2F" w:rsidP="00BE0A2F">
            <w:pPr>
              <w:jc w:val="center"/>
              <w:rPr>
                <w:b/>
                <w:noProof/>
                <w:color w:val="000000" w:themeColor="text1"/>
                <w:sz w:val="18"/>
              </w:rPr>
            </w:pPr>
            <w:r w:rsidRPr="006B0F72">
              <w:rPr>
                <w:noProof/>
                <w:color w:val="000000" w:themeColor="text1"/>
                <w:sz w:val="18"/>
              </w:rPr>
              <w:t xml:space="preserve">Vstavite ustrezno število let glede na trajanje posledic (gl. točko 1.6) </w:t>
            </w:r>
          </w:p>
        </w:tc>
        <w:tc>
          <w:tcPr>
            <w:tcW w:w="1777" w:type="dxa"/>
            <w:vAlign w:val="center"/>
          </w:tcPr>
          <w:p w14:paraId="1380AC06" w14:textId="77777777" w:rsidR="00BE0A2F" w:rsidRPr="006B0F72" w:rsidRDefault="00BE0A2F" w:rsidP="00BE0A2F">
            <w:pPr>
              <w:jc w:val="center"/>
              <w:rPr>
                <w:b/>
                <w:noProof/>
                <w:color w:val="000000" w:themeColor="text1"/>
                <w:sz w:val="20"/>
              </w:rPr>
            </w:pPr>
            <w:r w:rsidRPr="006B0F72">
              <w:rPr>
                <w:b/>
                <w:noProof/>
                <w:color w:val="000000" w:themeColor="text1"/>
                <w:sz w:val="20"/>
              </w:rPr>
              <w:t>SKUPAJ</w:t>
            </w:r>
          </w:p>
        </w:tc>
      </w:tr>
      <w:tr w:rsidR="00BE0A2F" w:rsidRPr="006B0F72" w14:paraId="68908CE0" w14:textId="77777777" w:rsidTr="00BE0A2F">
        <w:trPr>
          <w:gridAfter w:val="11"/>
          <w:wAfter w:w="9947" w:type="dxa"/>
        </w:trPr>
        <w:tc>
          <w:tcPr>
            <w:tcW w:w="3960" w:type="dxa"/>
            <w:vAlign w:val="center"/>
          </w:tcPr>
          <w:p w14:paraId="173CDACB" w14:textId="77777777" w:rsidR="00BE0A2F" w:rsidRPr="006B0F72" w:rsidRDefault="00BE0A2F" w:rsidP="00BE0A2F">
            <w:pPr>
              <w:spacing w:before="60" w:after="60"/>
              <w:jc w:val="center"/>
              <w:rPr>
                <w:b/>
                <w:noProof/>
                <w:color w:val="000000" w:themeColor="text1"/>
              </w:rPr>
            </w:pPr>
            <w:r w:rsidRPr="006B0F72">
              <w:rPr>
                <w:b/>
                <w:noProof/>
                <w:color w:val="000000" w:themeColor="text1"/>
                <w:sz w:val="22"/>
              </w:rPr>
              <w:t>GD ENV</w:t>
            </w:r>
          </w:p>
        </w:tc>
        <w:tc>
          <w:tcPr>
            <w:tcW w:w="868" w:type="dxa"/>
          </w:tcPr>
          <w:p w14:paraId="14A24DA1" w14:textId="77777777" w:rsidR="00BE0A2F" w:rsidRPr="006B0F72" w:rsidRDefault="00BE0A2F" w:rsidP="00BE0A2F">
            <w:pPr>
              <w:spacing w:before="60" w:after="60"/>
              <w:jc w:val="center"/>
              <w:rPr>
                <w:noProof/>
                <w:color w:val="000000" w:themeColor="text1"/>
                <w:sz w:val="22"/>
              </w:rPr>
            </w:pPr>
          </w:p>
        </w:tc>
        <w:tc>
          <w:tcPr>
            <w:tcW w:w="868" w:type="dxa"/>
            <w:gridSpan w:val="2"/>
          </w:tcPr>
          <w:p w14:paraId="3188CF96" w14:textId="77777777" w:rsidR="00BE0A2F" w:rsidRPr="006B0F72" w:rsidRDefault="00BE0A2F" w:rsidP="00BE0A2F">
            <w:pPr>
              <w:spacing w:before="60" w:after="60"/>
              <w:jc w:val="center"/>
              <w:rPr>
                <w:noProof/>
                <w:color w:val="000000" w:themeColor="text1"/>
                <w:sz w:val="22"/>
              </w:rPr>
            </w:pPr>
          </w:p>
        </w:tc>
      </w:tr>
      <w:tr w:rsidR="00BE0A2F" w:rsidRPr="006B0F72" w14:paraId="3DEE69BF" w14:textId="77777777" w:rsidTr="00BE0A2F">
        <w:trPr>
          <w:trHeight w:val="313"/>
        </w:trPr>
        <w:tc>
          <w:tcPr>
            <w:tcW w:w="6054" w:type="dxa"/>
            <w:gridSpan w:val="5"/>
            <w:vAlign w:val="center"/>
          </w:tcPr>
          <w:p w14:paraId="0C794FFC" w14:textId="77777777" w:rsidR="00BE0A2F" w:rsidRPr="006B0F72" w:rsidRDefault="00BE0A2F" w:rsidP="00BE0A2F">
            <w:pPr>
              <w:spacing w:before="20" w:after="20"/>
              <w:rPr>
                <w:noProof/>
                <w:color w:val="000000" w:themeColor="text1"/>
              </w:rPr>
            </w:pPr>
            <w:r w:rsidRPr="006B0F72">
              <w:rPr>
                <w:noProof/>
                <w:color w:val="000000" w:themeColor="text1"/>
                <w:sz w:val="22"/>
              </w:rPr>
              <w:sym w:font="Wingdings" w:char="F09F"/>
            </w:r>
            <w:r w:rsidRPr="006B0F72">
              <w:rPr>
                <w:noProof/>
                <w:color w:val="000000" w:themeColor="text1"/>
                <w:sz w:val="22"/>
              </w:rPr>
              <w:t xml:space="preserve"> Človeški viri </w:t>
            </w:r>
          </w:p>
        </w:tc>
        <w:tc>
          <w:tcPr>
            <w:tcW w:w="868" w:type="dxa"/>
          </w:tcPr>
          <w:p w14:paraId="24FE2B86" w14:textId="77777777" w:rsidR="00BE0A2F" w:rsidRPr="006B0F72" w:rsidRDefault="00BE0A2F" w:rsidP="00BE0A2F">
            <w:pPr>
              <w:spacing w:before="60" w:after="180"/>
              <w:jc w:val="center"/>
              <w:rPr>
                <w:rFonts w:eastAsia="Calibri"/>
                <w:noProof/>
                <w:color w:val="000000" w:themeColor="text1"/>
                <w:sz w:val="20"/>
              </w:rPr>
            </w:pPr>
          </w:p>
        </w:tc>
        <w:tc>
          <w:tcPr>
            <w:tcW w:w="868" w:type="dxa"/>
          </w:tcPr>
          <w:p w14:paraId="45D87744"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0,785</w:t>
            </w:r>
          </w:p>
        </w:tc>
        <w:tc>
          <w:tcPr>
            <w:tcW w:w="868" w:type="dxa"/>
          </w:tcPr>
          <w:p w14:paraId="1C643F67"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0,85</w:t>
            </w:r>
          </w:p>
        </w:tc>
        <w:tc>
          <w:tcPr>
            <w:tcW w:w="868" w:type="dxa"/>
          </w:tcPr>
          <w:p w14:paraId="4CE101C6"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0,785</w:t>
            </w:r>
          </w:p>
        </w:tc>
        <w:tc>
          <w:tcPr>
            <w:tcW w:w="868" w:type="dxa"/>
          </w:tcPr>
          <w:p w14:paraId="6F0DDAF9"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0,785</w:t>
            </w:r>
          </w:p>
        </w:tc>
        <w:tc>
          <w:tcPr>
            <w:tcW w:w="868" w:type="dxa"/>
          </w:tcPr>
          <w:p w14:paraId="01967EB1"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0,785</w:t>
            </w:r>
          </w:p>
        </w:tc>
        <w:tc>
          <w:tcPr>
            <w:tcW w:w="868" w:type="dxa"/>
            <w:vAlign w:val="center"/>
          </w:tcPr>
          <w:p w14:paraId="05870613" w14:textId="77777777" w:rsidR="00BE0A2F" w:rsidRPr="006B0F72" w:rsidRDefault="00BE0A2F" w:rsidP="00BE0A2F">
            <w:pPr>
              <w:spacing w:before="20" w:after="20"/>
              <w:jc w:val="right"/>
              <w:rPr>
                <w:noProof/>
                <w:color w:val="000000" w:themeColor="text1"/>
                <w:sz w:val="20"/>
              </w:rPr>
            </w:pPr>
          </w:p>
        </w:tc>
        <w:tc>
          <w:tcPr>
            <w:tcW w:w="868" w:type="dxa"/>
            <w:vAlign w:val="center"/>
          </w:tcPr>
          <w:p w14:paraId="2800BC1B" w14:textId="77777777" w:rsidR="00BE0A2F" w:rsidRPr="006B0F72" w:rsidRDefault="00BE0A2F" w:rsidP="00BE0A2F">
            <w:pPr>
              <w:spacing w:before="20" w:after="20"/>
              <w:jc w:val="right"/>
              <w:rPr>
                <w:noProof/>
                <w:color w:val="000000" w:themeColor="text1"/>
                <w:sz w:val="20"/>
              </w:rPr>
            </w:pPr>
          </w:p>
        </w:tc>
        <w:tc>
          <w:tcPr>
            <w:tcW w:w="868" w:type="dxa"/>
            <w:vAlign w:val="center"/>
          </w:tcPr>
          <w:p w14:paraId="3F3D156F" w14:textId="77777777" w:rsidR="00BE0A2F" w:rsidRPr="006B0F72" w:rsidRDefault="00BE0A2F" w:rsidP="00BE0A2F">
            <w:pPr>
              <w:spacing w:before="20" w:after="20"/>
              <w:jc w:val="right"/>
              <w:rPr>
                <w:b/>
                <w:noProof/>
                <w:color w:val="000000" w:themeColor="text1"/>
                <w:sz w:val="20"/>
              </w:rPr>
            </w:pPr>
          </w:p>
        </w:tc>
        <w:tc>
          <w:tcPr>
            <w:tcW w:w="1777" w:type="dxa"/>
            <w:vAlign w:val="center"/>
          </w:tcPr>
          <w:p w14:paraId="256C11AA"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3,925</w:t>
            </w:r>
          </w:p>
        </w:tc>
      </w:tr>
      <w:tr w:rsidR="00BE0A2F" w:rsidRPr="006B0F72" w14:paraId="0937E245" w14:textId="77777777" w:rsidTr="00BE0A2F">
        <w:trPr>
          <w:trHeight w:val="351"/>
        </w:trPr>
        <w:tc>
          <w:tcPr>
            <w:tcW w:w="6054" w:type="dxa"/>
            <w:gridSpan w:val="5"/>
            <w:vAlign w:val="center"/>
          </w:tcPr>
          <w:p w14:paraId="7E5B86B2" w14:textId="77777777" w:rsidR="00BE0A2F" w:rsidRPr="006B0F72" w:rsidRDefault="00BE0A2F" w:rsidP="00BE0A2F">
            <w:pPr>
              <w:spacing w:before="20" w:after="20"/>
              <w:rPr>
                <w:noProof/>
                <w:color w:val="000000" w:themeColor="text1"/>
              </w:rPr>
            </w:pPr>
            <w:r w:rsidRPr="006B0F72">
              <w:rPr>
                <w:noProof/>
                <w:color w:val="000000" w:themeColor="text1"/>
                <w:sz w:val="22"/>
              </w:rPr>
              <w:sym w:font="Wingdings" w:char="F09F"/>
            </w:r>
            <w:r w:rsidRPr="006B0F72">
              <w:rPr>
                <w:noProof/>
              </w:rPr>
              <w:t>Drugi upravni odhodki</w:t>
            </w:r>
            <w:r w:rsidRPr="006B0F72">
              <w:rPr>
                <w:rStyle w:val="FootnoteReference"/>
                <w:noProof/>
              </w:rPr>
              <w:footnoteReference w:id="122"/>
            </w:r>
            <w:r w:rsidRPr="006B0F72">
              <w:rPr>
                <w:noProof/>
                <w:color w:val="000000" w:themeColor="text1"/>
                <w:sz w:val="22"/>
              </w:rPr>
              <w:t xml:space="preserve"> </w:t>
            </w:r>
          </w:p>
        </w:tc>
        <w:tc>
          <w:tcPr>
            <w:tcW w:w="868" w:type="dxa"/>
          </w:tcPr>
          <w:p w14:paraId="184B515A" w14:textId="77777777" w:rsidR="00BE0A2F" w:rsidRPr="006B0F72" w:rsidRDefault="00BE0A2F" w:rsidP="00BE0A2F">
            <w:pPr>
              <w:spacing w:before="60" w:after="180"/>
              <w:jc w:val="center"/>
              <w:rPr>
                <w:rFonts w:eastAsia="Calibri"/>
                <w:noProof/>
                <w:color w:val="000000" w:themeColor="text1"/>
                <w:sz w:val="20"/>
              </w:rPr>
            </w:pPr>
          </w:p>
        </w:tc>
        <w:tc>
          <w:tcPr>
            <w:tcW w:w="868" w:type="dxa"/>
          </w:tcPr>
          <w:p w14:paraId="1C7CB8BF"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0,114</w:t>
            </w:r>
          </w:p>
        </w:tc>
        <w:tc>
          <w:tcPr>
            <w:tcW w:w="868" w:type="dxa"/>
          </w:tcPr>
          <w:p w14:paraId="77C84310"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0,114</w:t>
            </w:r>
          </w:p>
        </w:tc>
        <w:tc>
          <w:tcPr>
            <w:tcW w:w="868" w:type="dxa"/>
          </w:tcPr>
          <w:p w14:paraId="58C1A82F"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0,114</w:t>
            </w:r>
          </w:p>
        </w:tc>
        <w:tc>
          <w:tcPr>
            <w:tcW w:w="868" w:type="dxa"/>
          </w:tcPr>
          <w:p w14:paraId="185DF828"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0,114</w:t>
            </w:r>
          </w:p>
        </w:tc>
        <w:tc>
          <w:tcPr>
            <w:tcW w:w="868" w:type="dxa"/>
          </w:tcPr>
          <w:p w14:paraId="6805CB47" w14:textId="77777777" w:rsidR="00BE0A2F" w:rsidRPr="006B0F72" w:rsidRDefault="00BE0A2F" w:rsidP="00BE0A2F">
            <w:pPr>
              <w:spacing w:before="60" w:after="180"/>
              <w:jc w:val="center"/>
              <w:rPr>
                <w:rFonts w:eastAsia="Calibri"/>
                <w:noProof/>
                <w:color w:val="000000" w:themeColor="text1"/>
                <w:sz w:val="20"/>
              </w:rPr>
            </w:pPr>
            <w:r w:rsidRPr="006B0F72">
              <w:rPr>
                <w:noProof/>
                <w:color w:val="000000" w:themeColor="text1"/>
                <w:sz w:val="20"/>
              </w:rPr>
              <w:t>0,114</w:t>
            </w:r>
          </w:p>
        </w:tc>
        <w:tc>
          <w:tcPr>
            <w:tcW w:w="868" w:type="dxa"/>
            <w:vAlign w:val="center"/>
          </w:tcPr>
          <w:p w14:paraId="41545E33"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5CAEAA96" w14:textId="77777777" w:rsidR="00BE0A2F" w:rsidRPr="006B0F72" w:rsidRDefault="00BE0A2F" w:rsidP="00BE0A2F">
            <w:pPr>
              <w:spacing w:before="20" w:after="20"/>
              <w:jc w:val="right"/>
              <w:rPr>
                <w:b/>
                <w:noProof/>
                <w:color w:val="000000" w:themeColor="text1"/>
                <w:sz w:val="20"/>
              </w:rPr>
            </w:pPr>
          </w:p>
        </w:tc>
        <w:tc>
          <w:tcPr>
            <w:tcW w:w="868" w:type="dxa"/>
            <w:vAlign w:val="center"/>
          </w:tcPr>
          <w:p w14:paraId="33D31116" w14:textId="77777777" w:rsidR="00BE0A2F" w:rsidRPr="006B0F72" w:rsidRDefault="00BE0A2F" w:rsidP="00BE0A2F">
            <w:pPr>
              <w:spacing w:before="20" w:after="20"/>
              <w:jc w:val="right"/>
              <w:rPr>
                <w:b/>
                <w:noProof/>
                <w:color w:val="000000" w:themeColor="text1"/>
                <w:sz w:val="20"/>
              </w:rPr>
            </w:pPr>
          </w:p>
        </w:tc>
        <w:tc>
          <w:tcPr>
            <w:tcW w:w="1777" w:type="dxa"/>
            <w:vAlign w:val="center"/>
          </w:tcPr>
          <w:p w14:paraId="4343559B"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0,570</w:t>
            </w:r>
          </w:p>
        </w:tc>
      </w:tr>
      <w:tr w:rsidR="00BE0A2F" w:rsidRPr="006B0F72" w14:paraId="2B46F452" w14:textId="77777777" w:rsidTr="00BE0A2F">
        <w:tc>
          <w:tcPr>
            <w:tcW w:w="3960" w:type="dxa"/>
            <w:vAlign w:val="center"/>
          </w:tcPr>
          <w:p w14:paraId="3FF02511" w14:textId="77777777" w:rsidR="00BE0A2F" w:rsidRPr="006B0F72" w:rsidRDefault="00BE0A2F" w:rsidP="00BE0A2F">
            <w:pPr>
              <w:jc w:val="center"/>
              <w:rPr>
                <w:b/>
                <w:noProof/>
                <w:color w:val="000000" w:themeColor="text1"/>
              </w:rPr>
            </w:pPr>
            <w:r w:rsidRPr="006B0F72">
              <w:rPr>
                <w:b/>
                <w:noProof/>
                <w:color w:val="000000" w:themeColor="text1"/>
                <w:sz w:val="22"/>
              </w:rPr>
              <w:t>GD ENV SKUPAJ</w:t>
            </w:r>
          </w:p>
        </w:tc>
        <w:tc>
          <w:tcPr>
            <w:tcW w:w="2094" w:type="dxa"/>
            <w:gridSpan w:val="4"/>
            <w:vAlign w:val="center"/>
          </w:tcPr>
          <w:p w14:paraId="7ACAD942" w14:textId="77777777" w:rsidR="00BE0A2F" w:rsidRPr="006B0F72" w:rsidRDefault="00BE0A2F" w:rsidP="00BE0A2F">
            <w:pPr>
              <w:rPr>
                <w:noProof/>
                <w:color w:val="000000" w:themeColor="text1"/>
                <w:sz w:val="14"/>
              </w:rPr>
            </w:pPr>
            <w:r w:rsidRPr="006B0F72">
              <w:rPr>
                <w:noProof/>
                <w:color w:val="000000" w:themeColor="text1"/>
                <w:sz w:val="18"/>
              </w:rPr>
              <w:t xml:space="preserve">odobritve </w:t>
            </w:r>
          </w:p>
        </w:tc>
        <w:tc>
          <w:tcPr>
            <w:tcW w:w="868" w:type="dxa"/>
          </w:tcPr>
          <w:p w14:paraId="52FDC23F" w14:textId="77777777" w:rsidR="00BE0A2F" w:rsidRPr="006B0F72" w:rsidRDefault="00BE0A2F" w:rsidP="00BE0A2F">
            <w:pPr>
              <w:spacing w:before="60" w:after="60"/>
              <w:jc w:val="right"/>
              <w:rPr>
                <w:noProof/>
                <w:color w:val="000000" w:themeColor="text1"/>
                <w:sz w:val="20"/>
              </w:rPr>
            </w:pPr>
          </w:p>
        </w:tc>
        <w:tc>
          <w:tcPr>
            <w:tcW w:w="868" w:type="dxa"/>
            <w:vAlign w:val="center"/>
          </w:tcPr>
          <w:p w14:paraId="6C11BBBB" w14:textId="77777777" w:rsidR="00BE0A2F" w:rsidRPr="006B0F72" w:rsidRDefault="00BE0A2F" w:rsidP="00BE0A2F">
            <w:pPr>
              <w:spacing w:before="60" w:after="60"/>
              <w:jc w:val="center"/>
              <w:rPr>
                <w:noProof/>
                <w:color w:val="000000" w:themeColor="text1"/>
                <w:sz w:val="20"/>
              </w:rPr>
            </w:pPr>
            <w:r w:rsidRPr="006B0F72">
              <w:rPr>
                <w:noProof/>
                <w:color w:val="000000" w:themeColor="text1"/>
                <w:sz w:val="20"/>
              </w:rPr>
              <w:t>0,899</w:t>
            </w:r>
          </w:p>
        </w:tc>
        <w:tc>
          <w:tcPr>
            <w:tcW w:w="868" w:type="dxa"/>
            <w:vAlign w:val="center"/>
          </w:tcPr>
          <w:p w14:paraId="7F5BF4C2" w14:textId="77777777" w:rsidR="00BE0A2F" w:rsidRPr="006B0F72" w:rsidRDefault="00BE0A2F" w:rsidP="00BE0A2F">
            <w:pPr>
              <w:spacing w:before="60" w:after="60"/>
              <w:jc w:val="center"/>
              <w:rPr>
                <w:noProof/>
                <w:color w:val="000000" w:themeColor="text1"/>
                <w:sz w:val="20"/>
              </w:rPr>
            </w:pPr>
            <w:r w:rsidRPr="006B0F72">
              <w:rPr>
                <w:noProof/>
                <w:color w:val="000000" w:themeColor="text1"/>
                <w:sz w:val="20"/>
              </w:rPr>
              <w:t>0,899</w:t>
            </w:r>
          </w:p>
        </w:tc>
        <w:tc>
          <w:tcPr>
            <w:tcW w:w="868" w:type="dxa"/>
            <w:vAlign w:val="center"/>
          </w:tcPr>
          <w:p w14:paraId="05C9B230"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20"/>
              </w:rPr>
              <w:t>0,899</w:t>
            </w:r>
          </w:p>
        </w:tc>
        <w:tc>
          <w:tcPr>
            <w:tcW w:w="868" w:type="dxa"/>
            <w:vAlign w:val="center"/>
          </w:tcPr>
          <w:p w14:paraId="25C58AB8"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20"/>
              </w:rPr>
              <w:t>0,899</w:t>
            </w:r>
          </w:p>
        </w:tc>
        <w:tc>
          <w:tcPr>
            <w:tcW w:w="868" w:type="dxa"/>
            <w:vAlign w:val="center"/>
          </w:tcPr>
          <w:p w14:paraId="26677FEC" w14:textId="77777777" w:rsidR="00BE0A2F" w:rsidRPr="006B0F72" w:rsidRDefault="00BE0A2F" w:rsidP="00BE0A2F">
            <w:pPr>
              <w:spacing w:before="20" w:after="20"/>
              <w:jc w:val="center"/>
              <w:rPr>
                <w:noProof/>
                <w:color w:val="000000" w:themeColor="text1"/>
                <w:sz w:val="20"/>
              </w:rPr>
            </w:pPr>
            <w:r w:rsidRPr="006B0F72">
              <w:rPr>
                <w:noProof/>
                <w:color w:val="000000" w:themeColor="text1"/>
                <w:sz w:val="20"/>
              </w:rPr>
              <w:t>0,899</w:t>
            </w:r>
          </w:p>
        </w:tc>
        <w:tc>
          <w:tcPr>
            <w:tcW w:w="868" w:type="dxa"/>
            <w:vAlign w:val="center"/>
          </w:tcPr>
          <w:p w14:paraId="6BA35AB9" w14:textId="77777777" w:rsidR="00BE0A2F" w:rsidRPr="006B0F72" w:rsidRDefault="00BE0A2F" w:rsidP="00BE0A2F">
            <w:pPr>
              <w:spacing w:before="20" w:after="20"/>
              <w:jc w:val="right"/>
              <w:rPr>
                <w:noProof/>
                <w:color w:val="000000" w:themeColor="text1"/>
                <w:sz w:val="20"/>
              </w:rPr>
            </w:pPr>
          </w:p>
        </w:tc>
        <w:tc>
          <w:tcPr>
            <w:tcW w:w="868" w:type="dxa"/>
            <w:vAlign w:val="center"/>
          </w:tcPr>
          <w:p w14:paraId="74DC4AD0" w14:textId="77777777" w:rsidR="00BE0A2F" w:rsidRPr="006B0F72" w:rsidRDefault="00BE0A2F" w:rsidP="00BE0A2F">
            <w:pPr>
              <w:spacing w:before="20" w:after="20"/>
              <w:jc w:val="right"/>
              <w:rPr>
                <w:noProof/>
                <w:color w:val="000000" w:themeColor="text1"/>
                <w:sz w:val="20"/>
              </w:rPr>
            </w:pPr>
          </w:p>
        </w:tc>
        <w:tc>
          <w:tcPr>
            <w:tcW w:w="868" w:type="dxa"/>
            <w:vAlign w:val="center"/>
          </w:tcPr>
          <w:p w14:paraId="422F0513" w14:textId="77777777" w:rsidR="00BE0A2F" w:rsidRPr="006B0F72" w:rsidRDefault="00BE0A2F" w:rsidP="00BE0A2F">
            <w:pPr>
              <w:spacing w:before="20" w:after="20"/>
              <w:jc w:val="right"/>
              <w:rPr>
                <w:b/>
                <w:noProof/>
                <w:color w:val="000000" w:themeColor="text1"/>
                <w:sz w:val="20"/>
              </w:rPr>
            </w:pPr>
          </w:p>
        </w:tc>
        <w:tc>
          <w:tcPr>
            <w:tcW w:w="1777" w:type="dxa"/>
            <w:vAlign w:val="center"/>
          </w:tcPr>
          <w:p w14:paraId="20E278F4" w14:textId="77777777" w:rsidR="00BE0A2F" w:rsidRPr="006B0F72" w:rsidRDefault="00BE0A2F" w:rsidP="00BE0A2F">
            <w:pPr>
              <w:spacing w:before="20" w:after="20"/>
              <w:jc w:val="right"/>
              <w:rPr>
                <w:b/>
                <w:noProof/>
                <w:color w:val="000000" w:themeColor="text1"/>
                <w:sz w:val="20"/>
              </w:rPr>
            </w:pPr>
            <w:r w:rsidRPr="006B0F72">
              <w:rPr>
                <w:b/>
                <w:noProof/>
                <w:color w:val="000000" w:themeColor="text1"/>
                <w:sz w:val="20"/>
              </w:rPr>
              <w:t>4,495</w:t>
            </w:r>
          </w:p>
        </w:tc>
      </w:tr>
    </w:tbl>
    <w:p w14:paraId="5C17B2CC" w14:textId="77777777" w:rsidR="00BE0A2F" w:rsidRPr="006B0F72" w:rsidRDefault="00BE0A2F" w:rsidP="00BE0A2F">
      <w:pPr>
        <w:rPr>
          <w:noProof/>
          <w:color w:val="000000" w:themeColor="text1"/>
        </w:rPr>
      </w:pPr>
      <w:r w:rsidRPr="006B0F72">
        <w:rPr>
          <w:noProof/>
          <w:color w:val="000000" w:themeColor="text1"/>
        </w:rPr>
        <w:t>Izračunani stroški na EPDČ (AD/AST) znašajo 157 000 EUR/leto. Drugi odhodki za poslovanje predstavljajo zasedanja odbora in sestanke strokovne skupine, misije in druge stroške, povezane s tem osebjem.</w:t>
      </w:r>
    </w:p>
    <w:tbl>
      <w:tblPr>
        <w:tblW w:w="156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5"/>
        <w:gridCol w:w="2356"/>
        <w:gridCol w:w="977"/>
        <w:gridCol w:w="976"/>
        <w:gridCol w:w="976"/>
        <w:gridCol w:w="976"/>
        <w:gridCol w:w="976"/>
        <w:gridCol w:w="976"/>
        <w:gridCol w:w="976"/>
        <w:gridCol w:w="1999"/>
      </w:tblGrid>
      <w:tr w:rsidR="00B0251E" w:rsidRPr="006B0F72" w14:paraId="3197C27F" w14:textId="77777777" w:rsidTr="00621CA5">
        <w:tc>
          <w:tcPr>
            <w:tcW w:w="3960" w:type="dxa"/>
            <w:shd w:val="thinDiagStripe" w:color="C0C0C0" w:fill="auto"/>
            <w:vAlign w:val="center"/>
          </w:tcPr>
          <w:p w14:paraId="1433211E" w14:textId="77777777" w:rsidR="00B0251E" w:rsidRPr="006B0F72" w:rsidRDefault="00B0251E" w:rsidP="00BE0A2F">
            <w:pPr>
              <w:jc w:val="center"/>
              <w:rPr>
                <w:b/>
                <w:noProof/>
                <w:color w:val="000000" w:themeColor="text1"/>
              </w:rPr>
            </w:pPr>
            <w:r w:rsidRPr="006B0F72">
              <w:rPr>
                <w:b/>
                <w:noProof/>
                <w:color w:val="000000" w:themeColor="text1"/>
                <w:sz w:val="22"/>
              </w:rPr>
              <w:t>Odobritve iz RAZDELKA 7</w:t>
            </w:r>
            <w:r w:rsidRPr="006B0F72">
              <w:rPr>
                <w:noProof/>
              </w:rPr>
              <w:t xml:space="preserve"> </w:t>
            </w:r>
            <w:r w:rsidRPr="006B0F72">
              <w:rPr>
                <w:noProof/>
              </w:rPr>
              <w:br/>
            </w:r>
            <w:r w:rsidRPr="006B0F72">
              <w:rPr>
                <w:noProof/>
                <w:color w:val="000000" w:themeColor="text1"/>
                <w:sz w:val="22"/>
              </w:rPr>
              <w:t>večletnega finančnega okvira</w:t>
            </w:r>
            <w:r w:rsidRPr="006B0F72">
              <w:rPr>
                <w:noProof/>
              </w:rPr>
              <w:t xml:space="preserve"> </w:t>
            </w:r>
            <w:r w:rsidRPr="006B0F72">
              <w:rPr>
                <w:noProof/>
              </w:rPr>
              <w:br/>
            </w:r>
            <w:r w:rsidRPr="006B0F72">
              <w:rPr>
                <w:b/>
                <w:noProof/>
                <w:color w:val="000000" w:themeColor="text1"/>
                <w:sz w:val="22"/>
              </w:rPr>
              <w:t xml:space="preserve">SKUPAJ </w:t>
            </w:r>
          </w:p>
        </w:tc>
        <w:tc>
          <w:tcPr>
            <w:tcW w:w="2094" w:type="dxa"/>
            <w:vAlign w:val="center"/>
          </w:tcPr>
          <w:p w14:paraId="088A29AF" w14:textId="77777777" w:rsidR="00B0251E" w:rsidRPr="006B0F72" w:rsidRDefault="00B0251E" w:rsidP="00B0251E">
            <w:pPr>
              <w:spacing w:before="40" w:after="40"/>
              <w:rPr>
                <w:noProof/>
                <w:color w:val="000000" w:themeColor="text1"/>
              </w:rPr>
            </w:pPr>
            <w:r w:rsidRPr="006B0F72">
              <w:rPr>
                <w:noProof/>
                <w:color w:val="000000" w:themeColor="text1"/>
                <w:sz w:val="18"/>
              </w:rPr>
              <w:t>(obveznosti skupaj = plačila skupaj)</w:t>
            </w:r>
          </w:p>
        </w:tc>
        <w:tc>
          <w:tcPr>
            <w:tcW w:w="868" w:type="dxa"/>
            <w:vAlign w:val="center"/>
          </w:tcPr>
          <w:p w14:paraId="376DD160" w14:textId="77777777" w:rsidR="00B0251E" w:rsidRPr="006B0F72" w:rsidRDefault="00B0251E" w:rsidP="00B0251E">
            <w:pPr>
              <w:spacing w:before="20" w:after="20"/>
              <w:jc w:val="right"/>
              <w:rPr>
                <w:noProof/>
                <w:color w:val="000000" w:themeColor="text1"/>
                <w:sz w:val="20"/>
              </w:rPr>
            </w:pPr>
          </w:p>
        </w:tc>
        <w:tc>
          <w:tcPr>
            <w:tcW w:w="868" w:type="dxa"/>
            <w:vAlign w:val="center"/>
          </w:tcPr>
          <w:p w14:paraId="0B062F90" w14:textId="77777777" w:rsidR="00B0251E" w:rsidRPr="006B0F72" w:rsidRDefault="00B0251E" w:rsidP="00B0251E">
            <w:pPr>
              <w:spacing w:before="20" w:after="20"/>
              <w:jc w:val="right"/>
              <w:rPr>
                <w:noProof/>
                <w:color w:val="000000" w:themeColor="text1"/>
                <w:sz w:val="20"/>
              </w:rPr>
            </w:pPr>
            <w:r w:rsidRPr="006B0F72">
              <w:rPr>
                <w:noProof/>
                <w:color w:val="000000" w:themeColor="text1"/>
                <w:sz w:val="20"/>
              </w:rPr>
              <w:t>0,899</w:t>
            </w:r>
          </w:p>
        </w:tc>
        <w:tc>
          <w:tcPr>
            <w:tcW w:w="868" w:type="dxa"/>
            <w:vAlign w:val="center"/>
          </w:tcPr>
          <w:p w14:paraId="075B5912" w14:textId="77777777" w:rsidR="00B0251E" w:rsidRPr="006B0F72" w:rsidRDefault="00B0251E" w:rsidP="00B0251E">
            <w:pPr>
              <w:spacing w:before="20" w:after="20"/>
              <w:jc w:val="right"/>
              <w:rPr>
                <w:noProof/>
                <w:color w:val="000000" w:themeColor="text1"/>
                <w:sz w:val="20"/>
              </w:rPr>
            </w:pPr>
            <w:r w:rsidRPr="006B0F72">
              <w:rPr>
                <w:noProof/>
                <w:color w:val="000000" w:themeColor="text1"/>
                <w:sz w:val="20"/>
              </w:rPr>
              <w:t>0,899</w:t>
            </w:r>
          </w:p>
        </w:tc>
        <w:tc>
          <w:tcPr>
            <w:tcW w:w="868" w:type="dxa"/>
            <w:vAlign w:val="center"/>
          </w:tcPr>
          <w:p w14:paraId="5674AC07" w14:textId="77777777" w:rsidR="00B0251E" w:rsidRPr="006B0F72" w:rsidRDefault="00B0251E" w:rsidP="00B0251E">
            <w:pPr>
              <w:spacing w:before="20" w:after="20"/>
              <w:jc w:val="right"/>
              <w:rPr>
                <w:noProof/>
                <w:color w:val="000000" w:themeColor="text1"/>
                <w:sz w:val="20"/>
              </w:rPr>
            </w:pPr>
            <w:r w:rsidRPr="006B0F72">
              <w:rPr>
                <w:noProof/>
                <w:color w:val="000000" w:themeColor="text1"/>
                <w:sz w:val="20"/>
              </w:rPr>
              <w:t>0,899</w:t>
            </w:r>
          </w:p>
        </w:tc>
        <w:tc>
          <w:tcPr>
            <w:tcW w:w="868" w:type="dxa"/>
            <w:vAlign w:val="center"/>
          </w:tcPr>
          <w:p w14:paraId="54F873FD" w14:textId="77777777" w:rsidR="00B0251E" w:rsidRPr="006B0F72" w:rsidRDefault="00B0251E" w:rsidP="00B0251E">
            <w:pPr>
              <w:spacing w:before="20" w:after="20"/>
              <w:jc w:val="right"/>
              <w:rPr>
                <w:noProof/>
                <w:color w:val="000000" w:themeColor="text1"/>
                <w:sz w:val="20"/>
              </w:rPr>
            </w:pPr>
            <w:r w:rsidRPr="006B0F72">
              <w:rPr>
                <w:noProof/>
                <w:color w:val="000000" w:themeColor="text1"/>
                <w:sz w:val="20"/>
              </w:rPr>
              <w:t>0,899</w:t>
            </w:r>
          </w:p>
        </w:tc>
        <w:tc>
          <w:tcPr>
            <w:tcW w:w="868" w:type="dxa"/>
            <w:vAlign w:val="center"/>
          </w:tcPr>
          <w:p w14:paraId="5A869CE1" w14:textId="77777777" w:rsidR="00B0251E" w:rsidRPr="006B0F72" w:rsidRDefault="00B0251E" w:rsidP="00B0251E">
            <w:pPr>
              <w:spacing w:before="20" w:after="20"/>
              <w:jc w:val="right"/>
              <w:rPr>
                <w:noProof/>
                <w:color w:val="000000" w:themeColor="text1"/>
                <w:sz w:val="20"/>
              </w:rPr>
            </w:pPr>
            <w:r w:rsidRPr="006B0F72">
              <w:rPr>
                <w:noProof/>
                <w:color w:val="000000" w:themeColor="text1"/>
                <w:sz w:val="20"/>
              </w:rPr>
              <w:t>0,899</w:t>
            </w:r>
          </w:p>
        </w:tc>
        <w:tc>
          <w:tcPr>
            <w:tcW w:w="868" w:type="dxa"/>
            <w:vAlign w:val="center"/>
          </w:tcPr>
          <w:p w14:paraId="793D5A1F" w14:textId="77777777" w:rsidR="00B0251E" w:rsidRPr="006B0F72" w:rsidRDefault="00B0251E" w:rsidP="00BE0A2F">
            <w:pPr>
              <w:spacing w:before="20" w:after="20"/>
              <w:jc w:val="right"/>
              <w:rPr>
                <w:b/>
                <w:noProof/>
                <w:color w:val="000000" w:themeColor="text1"/>
                <w:sz w:val="20"/>
              </w:rPr>
            </w:pPr>
          </w:p>
        </w:tc>
        <w:tc>
          <w:tcPr>
            <w:tcW w:w="1777" w:type="dxa"/>
            <w:vAlign w:val="center"/>
          </w:tcPr>
          <w:p w14:paraId="41B7572A" w14:textId="77777777" w:rsidR="00B0251E" w:rsidRPr="006B0F72" w:rsidRDefault="00B0251E" w:rsidP="00BE0A2F">
            <w:pPr>
              <w:spacing w:before="20" w:after="20"/>
              <w:jc w:val="right"/>
              <w:rPr>
                <w:b/>
                <w:noProof/>
                <w:color w:val="000000" w:themeColor="text1"/>
                <w:sz w:val="20"/>
              </w:rPr>
            </w:pPr>
            <w:r w:rsidRPr="006B0F72">
              <w:rPr>
                <w:b/>
                <w:noProof/>
                <w:color w:val="000000" w:themeColor="text1"/>
                <w:sz w:val="20"/>
              </w:rPr>
              <w:t>4,495</w:t>
            </w:r>
          </w:p>
        </w:tc>
      </w:tr>
    </w:tbl>
    <w:p w14:paraId="260D4C9E" w14:textId="77777777" w:rsidR="00BE0A2F" w:rsidRPr="006B0F72" w:rsidRDefault="00BE0A2F" w:rsidP="00B0251E">
      <w:pPr>
        <w:jc w:val="right"/>
        <w:rPr>
          <w:noProof/>
          <w:color w:val="000000" w:themeColor="text1"/>
          <w:sz w:val="20"/>
        </w:rPr>
      </w:pPr>
    </w:p>
    <w:p w14:paraId="67411200" w14:textId="77777777" w:rsidR="00BE0A2F" w:rsidRPr="006B0F72" w:rsidRDefault="00BE0A2F" w:rsidP="00BE0A2F">
      <w:pPr>
        <w:jc w:val="right"/>
        <w:rPr>
          <w:noProof/>
          <w:color w:val="000000" w:themeColor="text1"/>
          <w:sz w:val="20"/>
        </w:rPr>
      </w:pPr>
    </w:p>
    <w:p w14:paraId="465C8A94" w14:textId="77777777" w:rsidR="00BE0A2F" w:rsidRPr="006B0F72" w:rsidRDefault="00BE0A2F" w:rsidP="00BE0A2F">
      <w:pPr>
        <w:jc w:val="right"/>
        <w:rPr>
          <w:noProof/>
          <w:color w:val="000000" w:themeColor="text1"/>
          <w:sz w:val="20"/>
        </w:rPr>
      </w:pPr>
    </w:p>
    <w:p w14:paraId="673D1DEA" w14:textId="77777777" w:rsidR="00BE0A2F" w:rsidRPr="006B0F72" w:rsidRDefault="00BE0A2F" w:rsidP="00BE0A2F">
      <w:pPr>
        <w:jc w:val="right"/>
        <w:rPr>
          <w:noProof/>
          <w:color w:val="000000" w:themeColor="text1"/>
          <w:sz w:val="20"/>
        </w:rPr>
      </w:pPr>
    </w:p>
    <w:p w14:paraId="2EB18528" w14:textId="77777777" w:rsidR="00BE0A2F" w:rsidRPr="006B0F72" w:rsidRDefault="00BE0A2F" w:rsidP="00BE0A2F">
      <w:pPr>
        <w:jc w:val="right"/>
        <w:rPr>
          <w:noProof/>
          <w:color w:val="000000" w:themeColor="text1"/>
          <w:sz w:val="20"/>
        </w:rPr>
      </w:pPr>
      <w:r w:rsidRPr="006B0F72">
        <w:rPr>
          <w:noProof/>
          <w:color w:val="000000" w:themeColor="text1"/>
          <w:sz w:val="20"/>
        </w:rPr>
        <w:t>v mio. EUR (na tri decimalna mesta natančno)</w:t>
      </w:r>
    </w:p>
    <w:tbl>
      <w:tblPr>
        <w:tblW w:w="130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77"/>
      </w:tblGrid>
      <w:tr w:rsidR="00B0251E" w:rsidRPr="006B0F72" w14:paraId="224C3D01" w14:textId="77777777" w:rsidTr="00621CA5">
        <w:tc>
          <w:tcPr>
            <w:tcW w:w="3960" w:type="dxa"/>
            <w:tcBorders>
              <w:top w:val="nil"/>
              <w:left w:val="nil"/>
              <w:right w:val="nil"/>
            </w:tcBorders>
            <w:vAlign w:val="center"/>
          </w:tcPr>
          <w:p w14:paraId="6B4E1FA1" w14:textId="77777777" w:rsidR="00B0251E" w:rsidRPr="006B0F72" w:rsidRDefault="00B0251E" w:rsidP="00BE0A2F">
            <w:pPr>
              <w:jc w:val="center"/>
              <w:rPr>
                <w:noProof/>
                <w:color w:val="000000" w:themeColor="text1"/>
              </w:rPr>
            </w:pPr>
          </w:p>
        </w:tc>
        <w:tc>
          <w:tcPr>
            <w:tcW w:w="1560" w:type="dxa"/>
            <w:tcBorders>
              <w:top w:val="nil"/>
              <w:left w:val="nil"/>
              <w:right w:val="nil"/>
            </w:tcBorders>
          </w:tcPr>
          <w:p w14:paraId="2F2043FF" w14:textId="77777777" w:rsidR="00B0251E" w:rsidRPr="006B0F72" w:rsidRDefault="00B0251E" w:rsidP="00BE0A2F">
            <w:pPr>
              <w:rPr>
                <w:noProof/>
                <w:color w:val="000000" w:themeColor="text1"/>
                <w:sz w:val="20"/>
              </w:rPr>
            </w:pPr>
          </w:p>
        </w:tc>
        <w:tc>
          <w:tcPr>
            <w:tcW w:w="534" w:type="dxa"/>
            <w:tcBorders>
              <w:top w:val="nil"/>
              <w:left w:val="nil"/>
            </w:tcBorders>
          </w:tcPr>
          <w:p w14:paraId="03DD65AE" w14:textId="77777777" w:rsidR="00B0251E" w:rsidRPr="006B0F72" w:rsidRDefault="00B0251E" w:rsidP="00BE0A2F">
            <w:pPr>
              <w:jc w:val="center"/>
              <w:rPr>
                <w:noProof/>
                <w:color w:val="000000" w:themeColor="text1"/>
                <w:sz w:val="20"/>
              </w:rPr>
            </w:pPr>
          </w:p>
        </w:tc>
        <w:tc>
          <w:tcPr>
            <w:tcW w:w="868" w:type="dxa"/>
            <w:vAlign w:val="center"/>
          </w:tcPr>
          <w:p w14:paraId="5F928818" w14:textId="77777777" w:rsidR="00B0251E" w:rsidRPr="006B0F72" w:rsidRDefault="00B0251E"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noProof/>
                <w:color w:val="000000" w:themeColor="text1"/>
                <w:sz w:val="20"/>
              </w:rPr>
              <w:t>2022</w:t>
            </w:r>
          </w:p>
        </w:tc>
        <w:tc>
          <w:tcPr>
            <w:tcW w:w="868" w:type="dxa"/>
            <w:vAlign w:val="center"/>
          </w:tcPr>
          <w:p w14:paraId="137BF04A" w14:textId="77777777" w:rsidR="00B0251E" w:rsidRPr="006B0F72" w:rsidRDefault="00B0251E"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noProof/>
                <w:color w:val="000000" w:themeColor="text1"/>
                <w:sz w:val="20"/>
              </w:rPr>
              <w:t>2023</w:t>
            </w:r>
          </w:p>
        </w:tc>
        <w:tc>
          <w:tcPr>
            <w:tcW w:w="868" w:type="dxa"/>
            <w:vAlign w:val="center"/>
          </w:tcPr>
          <w:p w14:paraId="14BE0C1F" w14:textId="77777777" w:rsidR="00B0251E" w:rsidRPr="006B0F72" w:rsidRDefault="00B0251E" w:rsidP="00BE0A2F">
            <w:pPr>
              <w:jc w:val="center"/>
              <w:rPr>
                <w:b/>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2024</w:t>
            </w:r>
          </w:p>
        </w:tc>
        <w:tc>
          <w:tcPr>
            <w:tcW w:w="868" w:type="dxa"/>
            <w:vAlign w:val="center"/>
          </w:tcPr>
          <w:p w14:paraId="59E3AE71" w14:textId="77777777" w:rsidR="00B0251E" w:rsidRPr="006B0F72" w:rsidRDefault="00B0251E"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2025</w:t>
            </w:r>
          </w:p>
        </w:tc>
        <w:tc>
          <w:tcPr>
            <w:tcW w:w="868" w:type="dxa"/>
            <w:vAlign w:val="center"/>
          </w:tcPr>
          <w:p w14:paraId="0EA81333" w14:textId="77777777" w:rsidR="00B0251E" w:rsidRPr="006B0F72" w:rsidRDefault="00B0251E"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2026</w:t>
            </w:r>
          </w:p>
        </w:tc>
        <w:tc>
          <w:tcPr>
            <w:tcW w:w="868" w:type="dxa"/>
            <w:vAlign w:val="center"/>
          </w:tcPr>
          <w:p w14:paraId="60F53F73" w14:textId="77777777" w:rsidR="00B0251E" w:rsidRPr="006B0F72" w:rsidRDefault="00B0251E"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2027</w:t>
            </w:r>
          </w:p>
        </w:tc>
        <w:tc>
          <w:tcPr>
            <w:tcW w:w="1777" w:type="dxa"/>
            <w:vAlign w:val="center"/>
          </w:tcPr>
          <w:p w14:paraId="3B901A42" w14:textId="77777777" w:rsidR="00B0251E" w:rsidRPr="006B0F72" w:rsidRDefault="00B0251E" w:rsidP="00BE0A2F">
            <w:pPr>
              <w:jc w:val="center"/>
              <w:rPr>
                <w:b/>
                <w:noProof/>
                <w:color w:val="000000" w:themeColor="text1"/>
                <w:sz w:val="20"/>
              </w:rPr>
            </w:pPr>
            <w:r w:rsidRPr="006B0F72">
              <w:rPr>
                <w:b/>
                <w:noProof/>
                <w:color w:val="000000" w:themeColor="text1"/>
                <w:sz w:val="20"/>
              </w:rPr>
              <w:t>SKUPAJ</w:t>
            </w:r>
          </w:p>
        </w:tc>
      </w:tr>
      <w:tr w:rsidR="00B0251E" w:rsidRPr="006B0F72" w14:paraId="62129CFC" w14:textId="77777777" w:rsidTr="00621CA5">
        <w:tc>
          <w:tcPr>
            <w:tcW w:w="3960" w:type="dxa"/>
            <w:vMerge w:val="restart"/>
            <w:shd w:val="clear" w:color="auto" w:fill="C0C0C0"/>
            <w:vAlign w:val="center"/>
          </w:tcPr>
          <w:p w14:paraId="61CD1FD6" w14:textId="77777777" w:rsidR="00B0251E" w:rsidRPr="006B0F72" w:rsidRDefault="00B0251E" w:rsidP="00BE0A2F">
            <w:pPr>
              <w:jc w:val="center"/>
              <w:rPr>
                <w:b/>
                <w:noProof/>
                <w:color w:val="000000" w:themeColor="text1"/>
              </w:rPr>
            </w:pPr>
            <w:r w:rsidRPr="006B0F72">
              <w:rPr>
                <w:b/>
                <w:noProof/>
                <w:color w:val="000000" w:themeColor="text1"/>
                <w:sz w:val="22"/>
              </w:rPr>
              <w:t>Odobritve iz RAZDELKOV od 1 do 7</w:t>
            </w:r>
            <w:r w:rsidRPr="006B0F72">
              <w:rPr>
                <w:noProof/>
              </w:rPr>
              <w:br/>
              <w:t xml:space="preserve">večletnega finančnega okvira </w:t>
            </w:r>
            <w:r w:rsidRPr="006B0F72">
              <w:rPr>
                <w:noProof/>
              </w:rPr>
              <w:br/>
            </w:r>
            <w:r w:rsidRPr="006B0F72">
              <w:rPr>
                <w:b/>
                <w:noProof/>
                <w:color w:val="000000" w:themeColor="text1"/>
                <w:sz w:val="22"/>
              </w:rPr>
              <w:t xml:space="preserve">SKUPAJ </w:t>
            </w:r>
          </w:p>
        </w:tc>
        <w:tc>
          <w:tcPr>
            <w:tcW w:w="2094" w:type="dxa"/>
            <w:gridSpan w:val="2"/>
            <w:vAlign w:val="center"/>
          </w:tcPr>
          <w:p w14:paraId="154B31BB" w14:textId="77777777" w:rsidR="00B0251E" w:rsidRPr="006B0F72" w:rsidRDefault="00B0251E" w:rsidP="00BE0A2F">
            <w:pPr>
              <w:rPr>
                <w:noProof/>
                <w:color w:val="000000" w:themeColor="text1"/>
                <w:sz w:val="14"/>
              </w:rPr>
            </w:pPr>
            <w:r w:rsidRPr="006B0F72">
              <w:rPr>
                <w:noProof/>
                <w:color w:val="000000" w:themeColor="text1"/>
                <w:sz w:val="18"/>
              </w:rPr>
              <w:t>obveznosti</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0BF9660" w14:textId="77777777" w:rsidR="00B0251E" w:rsidRPr="006B0F72" w:rsidRDefault="00B0251E" w:rsidP="00BE0A2F">
            <w:pPr>
              <w:spacing w:before="60" w:after="60"/>
              <w:jc w:val="right"/>
              <w:rPr>
                <w:noProof/>
                <w:color w:val="000000" w:themeColor="text1"/>
                <w:sz w:val="20"/>
              </w:rPr>
            </w:pPr>
            <w:r w:rsidRPr="006B0F72">
              <w:rPr>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0F88045" w14:textId="77777777" w:rsidR="00B0251E" w:rsidRPr="006B0F72" w:rsidRDefault="00B0251E" w:rsidP="00BE0A2F">
            <w:pPr>
              <w:spacing w:before="60" w:after="60"/>
              <w:jc w:val="right"/>
              <w:rPr>
                <w:noProof/>
                <w:color w:val="000000" w:themeColor="text1"/>
                <w:sz w:val="20"/>
              </w:rPr>
            </w:pPr>
            <w:r w:rsidRPr="006B0F72">
              <w:rPr>
                <w:noProof/>
                <w:color w:val="000000"/>
                <w:sz w:val="20"/>
              </w:rPr>
              <w:t>4,151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85DB507" w14:textId="77777777" w:rsidR="00B0251E" w:rsidRPr="006B0F72" w:rsidRDefault="00B0251E" w:rsidP="00BE0A2F">
            <w:pPr>
              <w:spacing w:before="60" w:after="60"/>
              <w:jc w:val="right"/>
              <w:rPr>
                <w:noProof/>
                <w:color w:val="000000" w:themeColor="text1"/>
                <w:sz w:val="20"/>
              </w:rPr>
            </w:pPr>
            <w:r w:rsidRPr="006B0F72">
              <w:rPr>
                <w:noProof/>
                <w:color w:val="000000"/>
                <w:sz w:val="20"/>
              </w:rPr>
              <w:t>4,803</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DF6AA4D" w14:textId="77777777" w:rsidR="00B0251E" w:rsidRPr="006B0F72" w:rsidRDefault="00B0251E" w:rsidP="00BE0A2F">
            <w:pPr>
              <w:spacing w:before="60" w:after="60"/>
              <w:jc w:val="right"/>
              <w:rPr>
                <w:noProof/>
                <w:color w:val="000000" w:themeColor="text1"/>
                <w:sz w:val="20"/>
              </w:rPr>
            </w:pPr>
            <w:r w:rsidRPr="006B0F72">
              <w:rPr>
                <w:noProof/>
                <w:color w:val="000000"/>
                <w:sz w:val="20"/>
              </w:rPr>
              <w:t>5,160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2AF0473B" w14:textId="77777777" w:rsidR="00B0251E" w:rsidRPr="006B0F72" w:rsidRDefault="00B0251E" w:rsidP="00BE0A2F">
            <w:pPr>
              <w:spacing w:before="60" w:after="60"/>
              <w:jc w:val="right"/>
              <w:rPr>
                <w:noProof/>
                <w:color w:val="000000" w:themeColor="text1"/>
                <w:sz w:val="20"/>
              </w:rPr>
            </w:pPr>
            <w:r w:rsidRPr="006B0F72">
              <w:rPr>
                <w:noProof/>
                <w:color w:val="000000"/>
                <w:sz w:val="20"/>
              </w:rPr>
              <w:t>5,216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EE974A1" w14:textId="77777777" w:rsidR="00B0251E" w:rsidRPr="006B0F72" w:rsidRDefault="00B0251E" w:rsidP="00BE0A2F">
            <w:pPr>
              <w:spacing w:before="60" w:after="60"/>
              <w:jc w:val="right"/>
              <w:rPr>
                <w:noProof/>
                <w:color w:val="000000" w:themeColor="text1"/>
                <w:sz w:val="20"/>
              </w:rPr>
            </w:pPr>
            <w:r w:rsidRPr="006B0F72">
              <w:rPr>
                <w:noProof/>
                <w:color w:val="000000"/>
                <w:sz w:val="20"/>
              </w:rPr>
              <w:t>5,275</w:t>
            </w:r>
          </w:p>
        </w:tc>
        <w:tc>
          <w:tcPr>
            <w:tcW w:w="1777" w:type="dxa"/>
            <w:tcBorders>
              <w:top w:val="single" w:sz="8" w:space="0" w:color="auto"/>
              <w:left w:val="single" w:sz="8" w:space="0" w:color="auto"/>
              <w:bottom w:val="single" w:sz="8" w:space="0" w:color="000000"/>
              <w:right w:val="single" w:sz="8" w:space="0" w:color="auto"/>
            </w:tcBorders>
            <w:shd w:val="clear" w:color="auto" w:fill="auto"/>
            <w:vAlign w:val="center"/>
          </w:tcPr>
          <w:p w14:paraId="3D2C284B" w14:textId="77777777" w:rsidR="00B0251E" w:rsidRPr="006B0F72" w:rsidRDefault="00B0251E" w:rsidP="00BE0A2F">
            <w:pPr>
              <w:spacing w:before="60" w:after="60"/>
              <w:jc w:val="right"/>
              <w:rPr>
                <w:b/>
                <w:noProof/>
                <w:color w:val="000000" w:themeColor="text1"/>
                <w:sz w:val="20"/>
              </w:rPr>
            </w:pPr>
            <w:r w:rsidRPr="006B0F72">
              <w:rPr>
                <w:b/>
                <w:noProof/>
                <w:color w:val="000000"/>
                <w:sz w:val="20"/>
              </w:rPr>
              <w:t>25,555</w:t>
            </w:r>
          </w:p>
        </w:tc>
      </w:tr>
      <w:tr w:rsidR="00B0251E" w:rsidRPr="006B0F72" w14:paraId="7A6B34FA" w14:textId="77777777" w:rsidTr="00621CA5">
        <w:tc>
          <w:tcPr>
            <w:tcW w:w="3960" w:type="dxa"/>
            <w:vMerge/>
            <w:shd w:val="clear" w:color="auto" w:fill="C0C0C0"/>
          </w:tcPr>
          <w:p w14:paraId="7F1D6448" w14:textId="77777777" w:rsidR="00B0251E" w:rsidRPr="006B0F72" w:rsidRDefault="00B0251E" w:rsidP="00BE0A2F">
            <w:pPr>
              <w:rPr>
                <w:noProof/>
                <w:color w:val="000000" w:themeColor="text1"/>
                <w:sz w:val="20"/>
              </w:rPr>
            </w:pPr>
          </w:p>
        </w:tc>
        <w:tc>
          <w:tcPr>
            <w:tcW w:w="2094" w:type="dxa"/>
            <w:gridSpan w:val="2"/>
            <w:vAlign w:val="center"/>
          </w:tcPr>
          <w:p w14:paraId="259D1E36" w14:textId="77777777" w:rsidR="00B0251E" w:rsidRPr="006B0F72" w:rsidRDefault="00B0251E" w:rsidP="00BE0A2F">
            <w:pPr>
              <w:rPr>
                <w:noProof/>
                <w:color w:val="000000" w:themeColor="text1"/>
                <w:sz w:val="14"/>
              </w:rPr>
            </w:pPr>
            <w:r w:rsidRPr="006B0F72">
              <w:rPr>
                <w:noProof/>
                <w:color w:val="000000" w:themeColor="text1"/>
                <w:sz w:val="18"/>
              </w:rPr>
              <w:t>plačila</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79CC16E" w14:textId="77777777" w:rsidR="00B0251E" w:rsidRPr="006B0F72" w:rsidRDefault="00B0251E" w:rsidP="00BE0A2F">
            <w:pPr>
              <w:spacing w:before="60" w:after="60"/>
              <w:jc w:val="right"/>
              <w:rPr>
                <w:noProof/>
                <w:color w:val="000000" w:themeColor="text1"/>
                <w:sz w:val="20"/>
              </w:rPr>
            </w:pPr>
            <w:r w:rsidRPr="006B0F72">
              <w:rPr>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3B55B32" w14:textId="77777777" w:rsidR="00B0251E" w:rsidRPr="006B0F72" w:rsidRDefault="00B0251E" w:rsidP="00BE0A2F">
            <w:pPr>
              <w:spacing w:before="60" w:after="60"/>
              <w:jc w:val="right"/>
              <w:rPr>
                <w:noProof/>
                <w:color w:val="000000" w:themeColor="text1"/>
                <w:sz w:val="20"/>
              </w:rPr>
            </w:pPr>
            <w:r w:rsidRPr="006B0F72">
              <w:rPr>
                <w:noProof/>
                <w:color w:val="000000"/>
                <w:sz w:val="20"/>
              </w:rPr>
              <w:t>4,151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F787CE3" w14:textId="77777777" w:rsidR="00B0251E" w:rsidRPr="006B0F72" w:rsidRDefault="00B0251E" w:rsidP="00BE0A2F">
            <w:pPr>
              <w:spacing w:before="60" w:after="60"/>
              <w:jc w:val="right"/>
              <w:rPr>
                <w:noProof/>
                <w:color w:val="000000" w:themeColor="text1"/>
                <w:sz w:val="20"/>
              </w:rPr>
            </w:pPr>
            <w:r w:rsidRPr="006B0F72">
              <w:rPr>
                <w:noProof/>
                <w:color w:val="000000"/>
                <w:sz w:val="20"/>
              </w:rPr>
              <w:t>4,803</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C5BBD59" w14:textId="77777777" w:rsidR="00B0251E" w:rsidRPr="006B0F72" w:rsidRDefault="00B0251E" w:rsidP="00BE0A2F">
            <w:pPr>
              <w:spacing w:before="60" w:after="60"/>
              <w:jc w:val="right"/>
              <w:rPr>
                <w:noProof/>
                <w:color w:val="000000" w:themeColor="text1"/>
                <w:sz w:val="20"/>
              </w:rPr>
            </w:pPr>
            <w:r w:rsidRPr="006B0F72">
              <w:rPr>
                <w:noProof/>
                <w:color w:val="000000"/>
                <w:sz w:val="20"/>
              </w:rPr>
              <w:t>5,160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67BD19B" w14:textId="77777777" w:rsidR="00B0251E" w:rsidRPr="006B0F72" w:rsidRDefault="00B0251E" w:rsidP="00BE0A2F">
            <w:pPr>
              <w:spacing w:before="60" w:after="60"/>
              <w:jc w:val="right"/>
              <w:rPr>
                <w:noProof/>
                <w:color w:val="000000" w:themeColor="text1"/>
                <w:sz w:val="20"/>
              </w:rPr>
            </w:pPr>
            <w:r w:rsidRPr="006B0F72">
              <w:rPr>
                <w:noProof/>
                <w:color w:val="000000"/>
                <w:sz w:val="20"/>
              </w:rPr>
              <w:t>5,216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724EBB8" w14:textId="77777777" w:rsidR="00B0251E" w:rsidRPr="006B0F72" w:rsidRDefault="00B0251E" w:rsidP="00BE0A2F">
            <w:pPr>
              <w:spacing w:before="60" w:after="60"/>
              <w:jc w:val="right"/>
              <w:rPr>
                <w:noProof/>
                <w:color w:val="000000" w:themeColor="text1"/>
                <w:sz w:val="20"/>
              </w:rPr>
            </w:pPr>
            <w:r w:rsidRPr="006B0F72">
              <w:rPr>
                <w:noProof/>
                <w:color w:val="000000"/>
                <w:sz w:val="20"/>
              </w:rPr>
              <w:t>5,275</w:t>
            </w:r>
          </w:p>
        </w:tc>
        <w:tc>
          <w:tcPr>
            <w:tcW w:w="1777" w:type="dxa"/>
            <w:tcBorders>
              <w:top w:val="single" w:sz="8" w:space="0" w:color="auto"/>
              <w:left w:val="single" w:sz="8" w:space="0" w:color="auto"/>
              <w:bottom w:val="single" w:sz="8" w:space="0" w:color="000000"/>
              <w:right w:val="single" w:sz="8" w:space="0" w:color="auto"/>
            </w:tcBorders>
            <w:shd w:val="clear" w:color="auto" w:fill="auto"/>
            <w:vAlign w:val="center"/>
          </w:tcPr>
          <w:p w14:paraId="3E73C577" w14:textId="77777777" w:rsidR="00B0251E" w:rsidRPr="006B0F72" w:rsidRDefault="00B0251E" w:rsidP="00BE0A2F">
            <w:pPr>
              <w:spacing w:before="60" w:after="60"/>
              <w:jc w:val="right"/>
              <w:rPr>
                <w:b/>
                <w:noProof/>
                <w:color w:val="000000" w:themeColor="text1"/>
                <w:sz w:val="20"/>
              </w:rPr>
            </w:pPr>
            <w:r w:rsidRPr="006B0F72">
              <w:rPr>
                <w:b/>
                <w:noProof/>
                <w:color w:val="000000"/>
                <w:sz w:val="20"/>
              </w:rPr>
              <w:t>25,555</w:t>
            </w:r>
          </w:p>
        </w:tc>
      </w:tr>
    </w:tbl>
    <w:p w14:paraId="7DDC5759" w14:textId="77777777" w:rsidR="00BE0A2F" w:rsidRPr="006B0F72" w:rsidRDefault="00BE0A2F" w:rsidP="00BE0A2F">
      <w:pPr>
        <w:rPr>
          <w:noProof/>
          <w:color w:val="000000" w:themeColor="text1"/>
        </w:rPr>
      </w:pPr>
    </w:p>
    <w:p w14:paraId="090FED58" w14:textId="774E73FD" w:rsidR="00BE0A2F" w:rsidRPr="006B0F72" w:rsidRDefault="00652A97" w:rsidP="00652A97">
      <w:pPr>
        <w:pStyle w:val="ManualHeading3"/>
        <w:rPr>
          <w:noProof/>
        </w:rPr>
      </w:pPr>
      <w:bookmarkStart w:id="53" w:name="_Toc514938054"/>
      <w:bookmarkStart w:id="54" w:name="_Toc520485053"/>
      <w:r w:rsidRPr="00652A97">
        <w:rPr>
          <w:noProof/>
        </w:rPr>
        <w:t>3.2.2.</w:t>
      </w:r>
      <w:r w:rsidRPr="00652A97">
        <w:rPr>
          <w:noProof/>
        </w:rPr>
        <w:tab/>
      </w:r>
      <w:r w:rsidR="00BE0A2F" w:rsidRPr="006B0F72">
        <w:rPr>
          <w:noProof/>
        </w:rPr>
        <w:t>Ocenjene realizacije, financirane z odobritvami za poslovanje</w:t>
      </w:r>
      <w:bookmarkEnd w:id="53"/>
      <w:bookmarkEnd w:id="54"/>
      <w:r w:rsidR="00BE0A2F" w:rsidRPr="006B0F72">
        <w:rPr>
          <w:noProof/>
        </w:rPr>
        <w:t xml:space="preserve"> </w:t>
      </w:r>
    </w:p>
    <w:p w14:paraId="4310EDC2" w14:textId="77777777" w:rsidR="00BE0A2F" w:rsidRPr="006B0F72" w:rsidRDefault="00BE0A2F" w:rsidP="00BE0A2F">
      <w:pPr>
        <w:jc w:val="right"/>
        <w:rPr>
          <w:noProof/>
          <w:color w:val="000000" w:themeColor="text1"/>
          <w:sz w:val="20"/>
        </w:rPr>
      </w:pPr>
      <w:r w:rsidRPr="006B0F72">
        <w:rPr>
          <w:noProof/>
          <w:color w:val="000000" w:themeColor="text1"/>
          <w:sz w:val="20"/>
        </w:rPr>
        <w:t>odobritve za prevzem obveznosti v mio. EUR (na tri decimalna mesta natančno)</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E0A2F" w:rsidRPr="006B0F72" w14:paraId="75F4CA7C" w14:textId="77777777" w:rsidTr="00BE0A2F">
        <w:trPr>
          <w:jc w:val="center"/>
        </w:trPr>
        <w:tc>
          <w:tcPr>
            <w:tcW w:w="1423" w:type="dxa"/>
            <w:vMerge w:val="restart"/>
            <w:vAlign w:val="center"/>
          </w:tcPr>
          <w:p w14:paraId="7B7E0C6E" w14:textId="77777777" w:rsidR="00BE0A2F" w:rsidRPr="006B0F72" w:rsidRDefault="00BE0A2F" w:rsidP="00BE0A2F">
            <w:pPr>
              <w:ind w:right="-29"/>
              <w:jc w:val="center"/>
              <w:rPr>
                <w:b/>
                <w:noProof/>
                <w:color w:val="000000" w:themeColor="text1"/>
                <w:sz w:val="18"/>
                <w:szCs w:val="18"/>
              </w:rPr>
            </w:pPr>
            <w:r w:rsidRPr="006B0F72">
              <w:rPr>
                <w:b/>
                <w:noProof/>
                <w:color w:val="000000" w:themeColor="text1"/>
                <w:sz w:val="18"/>
              </w:rPr>
              <w:t xml:space="preserve">Cilji in realizacije </w:t>
            </w:r>
          </w:p>
          <w:p w14:paraId="2DAFD9D0" w14:textId="77777777" w:rsidR="00BE0A2F" w:rsidRPr="006B0F72" w:rsidRDefault="00BE0A2F" w:rsidP="00BE0A2F">
            <w:pPr>
              <w:ind w:right="-29"/>
              <w:jc w:val="center"/>
              <w:rPr>
                <w:b/>
                <w:noProof/>
                <w:color w:val="000000" w:themeColor="text1"/>
                <w:sz w:val="18"/>
                <w:szCs w:val="18"/>
              </w:rPr>
            </w:pPr>
          </w:p>
          <w:p w14:paraId="4E43D229"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sym w:font="Wingdings" w:char="F0F2"/>
            </w:r>
          </w:p>
        </w:tc>
        <w:tc>
          <w:tcPr>
            <w:tcW w:w="720" w:type="dxa"/>
            <w:vAlign w:val="center"/>
          </w:tcPr>
          <w:p w14:paraId="1AE24151" w14:textId="77777777" w:rsidR="00BE0A2F" w:rsidRPr="006B0F72" w:rsidRDefault="00BE0A2F" w:rsidP="00BE0A2F">
            <w:pPr>
              <w:ind w:right="-29"/>
              <w:jc w:val="center"/>
              <w:rPr>
                <w:noProof/>
                <w:color w:val="000000" w:themeColor="text1"/>
                <w:sz w:val="18"/>
                <w:szCs w:val="18"/>
              </w:rPr>
            </w:pPr>
          </w:p>
        </w:tc>
        <w:tc>
          <w:tcPr>
            <w:tcW w:w="701" w:type="dxa"/>
            <w:vAlign w:val="center"/>
          </w:tcPr>
          <w:p w14:paraId="74F092C5" w14:textId="77777777" w:rsidR="00BE0A2F" w:rsidRPr="006B0F72" w:rsidRDefault="00BE0A2F" w:rsidP="00BE0A2F">
            <w:pPr>
              <w:ind w:right="-29"/>
              <w:jc w:val="center"/>
              <w:rPr>
                <w:noProof/>
                <w:color w:val="000000" w:themeColor="text1"/>
                <w:sz w:val="18"/>
                <w:szCs w:val="18"/>
              </w:rPr>
            </w:pPr>
          </w:p>
        </w:tc>
        <w:tc>
          <w:tcPr>
            <w:tcW w:w="1224" w:type="dxa"/>
            <w:gridSpan w:val="2"/>
            <w:tcBorders>
              <w:left w:val="nil"/>
            </w:tcBorders>
            <w:vAlign w:val="center"/>
          </w:tcPr>
          <w:p w14:paraId="4C3B814F"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w:t>
            </w:r>
          </w:p>
        </w:tc>
        <w:tc>
          <w:tcPr>
            <w:tcW w:w="1260" w:type="dxa"/>
            <w:gridSpan w:val="2"/>
            <w:vAlign w:val="center"/>
          </w:tcPr>
          <w:p w14:paraId="21DC835A"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N+1</w:t>
            </w:r>
          </w:p>
        </w:tc>
        <w:tc>
          <w:tcPr>
            <w:tcW w:w="1440" w:type="dxa"/>
            <w:gridSpan w:val="2"/>
            <w:vAlign w:val="center"/>
          </w:tcPr>
          <w:p w14:paraId="23A7CA65"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N+2</w:t>
            </w:r>
          </w:p>
        </w:tc>
        <w:tc>
          <w:tcPr>
            <w:tcW w:w="1620" w:type="dxa"/>
            <w:gridSpan w:val="3"/>
            <w:vAlign w:val="center"/>
          </w:tcPr>
          <w:p w14:paraId="770C4F18"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N+3</w:t>
            </w:r>
          </w:p>
        </w:tc>
        <w:tc>
          <w:tcPr>
            <w:tcW w:w="3600" w:type="dxa"/>
            <w:gridSpan w:val="6"/>
            <w:vAlign w:val="center"/>
          </w:tcPr>
          <w:p w14:paraId="2E4333B8" w14:textId="77777777" w:rsidR="00BE0A2F" w:rsidRPr="006B0F72" w:rsidRDefault="00BE0A2F" w:rsidP="00BE0A2F">
            <w:pPr>
              <w:jc w:val="center"/>
              <w:rPr>
                <w:noProof/>
                <w:color w:val="000000" w:themeColor="text1"/>
                <w:sz w:val="18"/>
                <w:szCs w:val="18"/>
              </w:rPr>
            </w:pPr>
            <w:r w:rsidRPr="006B0F72">
              <w:rPr>
                <w:noProof/>
                <w:color w:val="000000" w:themeColor="text1"/>
                <w:sz w:val="18"/>
              </w:rPr>
              <w:t>Vstavite ustrezno število let glede na trajanje posledic (gl. točko 1.6)</w:t>
            </w:r>
          </w:p>
        </w:tc>
        <w:tc>
          <w:tcPr>
            <w:tcW w:w="1620" w:type="dxa"/>
            <w:gridSpan w:val="2"/>
            <w:tcBorders>
              <w:left w:val="nil"/>
              <w:bottom w:val="nil"/>
            </w:tcBorders>
            <w:vAlign w:val="center"/>
          </w:tcPr>
          <w:p w14:paraId="6323F82D" w14:textId="77777777" w:rsidR="00BE0A2F" w:rsidRPr="006B0F72" w:rsidRDefault="00BE0A2F" w:rsidP="00BE0A2F">
            <w:pPr>
              <w:ind w:right="-29"/>
              <w:jc w:val="center"/>
              <w:rPr>
                <w:noProof/>
                <w:color w:val="000000" w:themeColor="text1"/>
                <w:sz w:val="18"/>
                <w:szCs w:val="18"/>
              </w:rPr>
            </w:pPr>
            <w:r w:rsidRPr="006B0F72">
              <w:rPr>
                <w:b/>
                <w:noProof/>
                <w:color w:val="000000" w:themeColor="text1"/>
                <w:sz w:val="18"/>
              </w:rPr>
              <w:t>SKUPAJ</w:t>
            </w:r>
          </w:p>
        </w:tc>
      </w:tr>
      <w:tr w:rsidR="00BE0A2F" w:rsidRPr="006B0F72" w14:paraId="4ACF0394" w14:textId="77777777" w:rsidTr="00BE0A2F">
        <w:trPr>
          <w:jc w:val="center"/>
        </w:trPr>
        <w:tc>
          <w:tcPr>
            <w:tcW w:w="1423" w:type="dxa"/>
            <w:vMerge/>
            <w:vAlign w:val="center"/>
          </w:tcPr>
          <w:p w14:paraId="4B08E5B7" w14:textId="77777777" w:rsidR="00BE0A2F" w:rsidRPr="006B0F72" w:rsidRDefault="00BE0A2F" w:rsidP="00BE0A2F">
            <w:pPr>
              <w:ind w:right="-29"/>
              <w:jc w:val="center"/>
              <w:rPr>
                <w:noProof/>
                <w:color w:val="000000" w:themeColor="text1"/>
                <w:sz w:val="18"/>
                <w:szCs w:val="18"/>
              </w:rPr>
            </w:pPr>
          </w:p>
        </w:tc>
        <w:tc>
          <w:tcPr>
            <w:tcW w:w="12185" w:type="dxa"/>
            <w:gridSpan w:val="19"/>
            <w:vAlign w:val="center"/>
          </w:tcPr>
          <w:p w14:paraId="2F618243" w14:textId="77777777" w:rsidR="00BE0A2F" w:rsidRPr="006B0F72" w:rsidRDefault="00BE0A2F" w:rsidP="00BE0A2F">
            <w:pPr>
              <w:spacing w:before="60" w:after="60"/>
              <w:ind w:right="-29"/>
              <w:jc w:val="center"/>
              <w:rPr>
                <w:noProof/>
                <w:color w:val="000000" w:themeColor="text1"/>
                <w:sz w:val="18"/>
                <w:szCs w:val="18"/>
              </w:rPr>
            </w:pPr>
            <w:r w:rsidRPr="006B0F72">
              <w:rPr>
                <w:b/>
                <w:noProof/>
                <w:color w:val="000000" w:themeColor="text1"/>
                <w:sz w:val="18"/>
              </w:rPr>
              <w:t>REALIZACIJE</w:t>
            </w:r>
          </w:p>
        </w:tc>
      </w:tr>
      <w:tr w:rsidR="00BE0A2F" w:rsidRPr="006B0F72" w14:paraId="6B09837F" w14:textId="77777777" w:rsidTr="00BE0A2F">
        <w:trPr>
          <w:cantSplit/>
          <w:trHeight w:val="1134"/>
          <w:jc w:val="center"/>
        </w:trPr>
        <w:tc>
          <w:tcPr>
            <w:tcW w:w="1423" w:type="dxa"/>
            <w:vMerge/>
            <w:vAlign w:val="center"/>
          </w:tcPr>
          <w:p w14:paraId="02C92A4C" w14:textId="77777777" w:rsidR="00BE0A2F" w:rsidRPr="006B0F72" w:rsidRDefault="00BE0A2F" w:rsidP="00BE0A2F">
            <w:pPr>
              <w:rPr>
                <w:noProof/>
                <w:color w:val="000000" w:themeColor="text1"/>
                <w:sz w:val="18"/>
                <w:szCs w:val="18"/>
              </w:rPr>
            </w:pPr>
          </w:p>
        </w:tc>
        <w:tc>
          <w:tcPr>
            <w:tcW w:w="720" w:type="dxa"/>
            <w:vAlign w:val="center"/>
          </w:tcPr>
          <w:p w14:paraId="7A685DCD" w14:textId="77777777" w:rsidR="00BE0A2F" w:rsidRPr="006B0F72" w:rsidRDefault="00BE0A2F" w:rsidP="00BE0A2F">
            <w:pPr>
              <w:jc w:val="center"/>
              <w:rPr>
                <w:noProof/>
                <w:color w:val="000000" w:themeColor="text1"/>
                <w:sz w:val="18"/>
                <w:szCs w:val="18"/>
              </w:rPr>
            </w:pPr>
            <w:r w:rsidRPr="006B0F72">
              <w:rPr>
                <w:noProof/>
                <w:color w:val="000000" w:themeColor="text1"/>
                <w:sz w:val="18"/>
              </w:rPr>
              <w:t>Vrsta</w:t>
            </w:r>
            <w:r w:rsidRPr="006B0F72">
              <w:rPr>
                <w:rStyle w:val="FootnoteReference"/>
                <w:noProof/>
              </w:rPr>
              <w:footnoteReference w:id="123"/>
            </w:r>
          </w:p>
          <w:p w14:paraId="10E38A86" w14:textId="77777777" w:rsidR="00BE0A2F" w:rsidRPr="006B0F72" w:rsidRDefault="00BE0A2F" w:rsidP="00BE0A2F">
            <w:pPr>
              <w:spacing w:before="0" w:after="0"/>
              <w:jc w:val="center"/>
              <w:rPr>
                <w:noProof/>
                <w:color w:val="000000" w:themeColor="text1"/>
                <w:sz w:val="18"/>
                <w:szCs w:val="18"/>
              </w:rPr>
            </w:pPr>
          </w:p>
        </w:tc>
        <w:tc>
          <w:tcPr>
            <w:tcW w:w="701" w:type="dxa"/>
            <w:vAlign w:val="center"/>
          </w:tcPr>
          <w:p w14:paraId="0445E344" w14:textId="77777777" w:rsidR="00BE0A2F" w:rsidRPr="006B0F72" w:rsidRDefault="00BE0A2F" w:rsidP="00BE0A2F">
            <w:pPr>
              <w:jc w:val="center"/>
              <w:rPr>
                <w:noProof/>
                <w:color w:val="000000" w:themeColor="text1"/>
                <w:sz w:val="18"/>
                <w:szCs w:val="18"/>
              </w:rPr>
            </w:pPr>
            <w:r w:rsidRPr="006B0F72">
              <w:rPr>
                <w:noProof/>
                <w:color w:val="000000" w:themeColor="text1"/>
                <w:sz w:val="18"/>
              </w:rPr>
              <w:t>povprečni stroški</w:t>
            </w:r>
          </w:p>
        </w:tc>
        <w:tc>
          <w:tcPr>
            <w:tcW w:w="504" w:type="dxa"/>
            <w:tcBorders>
              <w:left w:val="nil"/>
              <w:right w:val="dashSmallGap" w:sz="4" w:space="0" w:color="auto"/>
            </w:tcBorders>
            <w:shd w:val="pct10" w:color="auto" w:fill="auto"/>
            <w:textDirection w:val="btLr"/>
            <w:vAlign w:val="center"/>
          </w:tcPr>
          <w:p w14:paraId="082C5E1B"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tcBorders>
              <w:left w:val="dashSmallGap" w:sz="4" w:space="0" w:color="auto"/>
            </w:tcBorders>
            <w:shd w:val="pct10" w:color="auto" w:fill="auto"/>
            <w:vAlign w:val="center"/>
          </w:tcPr>
          <w:p w14:paraId="2922E057"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540" w:type="dxa"/>
            <w:tcBorders>
              <w:right w:val="dashSmallGap" w:sz="4" w:space="0" w:color="auto"/>
            </w:tcBorders>
            <w:shd w:val="pct10" w:color="auto" w:fill="auto"/>
            <w:textDirection w:val="btLr"/>
            <w:vAlign w:val="center"/>
          </w:tcPr>
          <w:p w14:paraId="3A053BBA"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tcBorders>
              <w:left w:val="dashSmallGap" w:sz="4" w:space="0" w:color="auto"/>
            </w:tcBorders>
            <w:shd w:val="pct10" w:color="auto" w:fill="auto"/>
            <w:vAlign w:val="center"/>
          </w:tcPr>
          <w:p w14:paraId="75D12B67"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720" w:type="dxa"/>
            <w:tcBorders>
              <w:right w:val="dashSmallGap" w:sz="4" w:space="0" w:color="auto"/>
            </w:tcBorders>
            <w:shd w:val="pct10" w:color="auto" w:fill="auto"/>
            <w:textDirection w:val="btLr"/>
            <w:vAlign w:val="center"/>
          </w:tcPr>
          <w:p w14:paraId="747B10A4"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tcBorders>
              <w:left w:val="dashSmallGap" w:sz="4" w:space="0" w:color="auto"/>
            </w:tcBorders>
            <w:shd w:val="pct10" w:color="auto" w:fill="auto"/>
            <w:vAlign w:val="center"/>
          </w:tcPr>
          <w:p w14:paraId="303A5818"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900" w:type="dxa"/>
            <w:tcBorders>
              <w:right w:val="dashSmallGap" w:sz="4" w:space="0" w:color="auto"/>
            </w:tcBorders>
            <w:shd w:val="pct10" w:color="auto" w:fill="auto"/>
            <w:textDirection w:val="btLr"/>
            <w:vAlign w:val="center"/>
          </w:tcPr>
          <w:p w14:paraId="49525594"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gridSpan w:val="2"/>
            <w:tcBorders>
              <w:left w:val="dashSmallGap" w:sz="4" w:space="0" w:color="auto"/>
            </w:tcBorders>
            <w:shd w:val="pct10" w:color="auto" w:fill="auto"/>
            <w:vAlign w:val="center"/>
          </w:tcPr>
          <w:p w14:paraId="76A9E5D4"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540" w:type="dxa"/>
            <w:tcBorders>
              <w:right w:val="dashSmallGap" w:sz="4" w:space="0" w:color="auto"/>
            </w:tcBorders>
            <w:shd w:val="pct10" w:color="auto" w:fill="auto"/>
            <w:textDirection w:val="btLr"/>
            <w:vAlign w:val="center"/>
          </w:tcPr>
          <w:p w14:paraId="6EE2F8C3"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648" w:type="dxa"/>
            <w:tcBorders>
              <w:left w:val="dashSmallGap" w:sz="4" w:space="0" w:color="auto"/>
            </w:tcBorders>
            <w:shd w:val="pct10" w:color="auto" w:fill="auto"/>
            <w:vAlign w:val="center"/>
          </w:tcPr>
          <w:p w14:paraId="146E4FB2"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432" w:type="dxa"/>
            <w:tcBorders>
              <w:right w:val="dashSmallGap" w:sz="4" w:space="0" w:color="auto"/>
            </w:tcBorders>
            <w:shd w:val="pct10" w:color="auto" w:fill="auto"/>
            <w:textDirection w:val="btLr"/>
            <w:vAlign w:val="center"/>
          </w:tcPr>
          <w:p w14:paraId="66F42712"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tcBorders>
              <w:left w:val="dashSmallGap" w:sz="4" w:space="0" w:color="auto"/>
            </w:tcBorders>
            <w:shd w:val="pct10" w:color="auto" w:fill="auto"/>
            <w:vAlign w:val="center"/>
          </w:tcPr>
          <w:p w14:paraId="3F8BBB5A"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540" w:type="dxa"/>
            <w:tcBorders>
              <w:right w:val="dashSmallGap" w:sz="4" w:space="0" w:color="auto"/>
            </w:tcBorders>
            <w:shd w:val="pct10" w:color="auto" w:fill="auto"/>
            <w:textDirection w:val="btLr"/>
            <w:vAlign w:val="center"/>
          </w:tcPr>
          <w:p w14:paraId="6E9F2F0E" w14:textId="77777777" w:rsidR="00BE0A2F" w:rsidRPr="006B0F72" w:rsidRDefault="00BE0A2F" w:rsidP="00BE0A2F">
            <w:pPr>
              <w:ind w:left="113" w:right="113"/>
              <w:jc w:val="center"/>
              <w:rPr>
                <w:noProof/>
                <w:color w:val="000000" w:themeColor="text1"/>
                <w:sz w:val="18"/>
                <w:szCs w:val="18"/>
              </w:rPr>
            </w:pPr>
            <w:r w:rsidRPr="006B0F72">
              <w:rPr>
                <w:noProof/>
                <w:color w:val="000000" w:themeColor="text1"/>
                <w:sz w:val="18"/>
              </w:rPr>
              <w:t>število</w:t>
            </w:r>
          </w:p>
        </w:tc>
        <w:tc>
          <w:tcPr>
            <w:tcW w:w="720" w:type="dxa"/>
            <w:tcBorders>
              <w:left w:val="dashSmallGap" w:sz="4" w:space="0" w:color="auto"/>
            </w:tcBorders>
            <w:shd w:val="pct10" w:color="auto" w:fill="auto"/>
            <w:vAlign w:val="center"/>
          </w:tcPr>
          <w:p w14:paraId="6BDD113D"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w:t>
            </w:r>
          </w:p>
        </w:tc>
        <w:tc>
          <w:tcPr>
            <w:tcW w:w="720" w:type="dxa"/>
            <w:tcBorders>
              <w:right w:val="dashSmallGap" w:sz="4" w:space="0" w:color="auto"/>
            </w:tcBorders>
            <w:shd w:val="pct10" w:color="auto" w:fill="auto"/>
            <w:vAlign w:val="center"/>
          </w:tcPr>
          <w:p w14:paraId="1AEB3365" w14:textId="77777777" w:rsidR="00BE0A2F" w:rsidRPr="006B0F72" w:rsidRDefault="00BE0A2F" w:rsidP="00BE0A2F">
            <w:pPr>
              <w:jc w:val="center"/>
              <w:rPr>
                <w:noProof/>
                <w:color w:val="000000" w:themeColor="text1"/>
                <w:sz w:val="18"/>
                <w:szCs w:val="18"/>
              </w:rPr>
            </w:pPr>
            <w:r w:rsidRPr="006B0F72">
              <w:rPr>
                <w:noProof/>
                <w:color w:val="000000" w:themeColor="text1"/>
                <w:sz w:val="18"/>
              </w:rPr>
              <w:t>število realizacij skupaj</w:t>
            </w:r>
          </w:p>
        </w:tc>
        <w:tc>
          <w:tcPr>
            <w:tcW w:w="900" w:type="dxa"/>
            <w:tcBorders>
              <w:left w:val="dashSmallGap" w:sz="4" w:space="0" w:color="auto"/>
            </w:tcBorders>
            <w:shd w:val="pct10" w:color="auto" w:fill="auto"/>
            <w:vAlign w:val="center"/>
          </w:tcPr>
          <w:p w14:paraId="4C1F6243" w14:textId="77777777" w:rsidR="00BE0A2F" w:rsidRPr="006B0F72" w:rsidRDefault="00BE0A2F" w:rsidP="00BE0A2F">
            <w:pPr>
              <w:jc w:val="center"/>
              <w:rPr>
                <w:noProof/>
                <w:color w:val="000000" w:themeColor="text1"/>
                <w:sz w:val="18"/>
                <w:szCs w:val="18"/>
              </w:rPr>
            </w:pPr>
            <w:r w:rsidRPr="006B0F72">
              <w:rPr>
                <w:noProof/>
                <w:color w:val="000000" w:themeColor="text1"/>
                <w:sz w:val="18"/>
              </w:rPr>
              <w:t>stroški realizacij skupaj</w:t>
            </w:r>
          </w:p>
        </w:tc>
      </w:tr>
      <w:tr w:rsidR="00BE0A2F" w:rsidRPr="006B0F72" w14:paraId="4FD93E04" w14:textId="77777777" w:rsidTr="00BE0A2F">
        <w:trPr>
          <w:jc w:val="center"/>
        </w:trPr>
        <w:tc>
          <w:tcPr>
            <w:tcW w:w="2844" w:type="dxa"/>
            <w:gridSpan w:val="3"/>
            <w:vAlign w:val="center"/>
          </w:tcPr>
          <w:p w14:paraId="67069333" w14:textId="77777777" w:rsidR="00BE0A2F" w:rsidRPr="006B0F72" w:rsidRDefault="00BE0A2F" w:rsidP="00BE0A2F">
            <w:pPr>
              <w:spacing w:before="60" w:after="60"/>
              <w:ind w:right="-29"/>
              <w:jc w:val="center"/>
              <w:rPr>
                <w:noProof/>
                <w:color w:val="000000" w:themeColor="text1"/>
                <w:sz w:val="18"/>
                <w:szCs w:val="18"/>
              </w:rPr>
            </w:pPr>
            <w:r w:rsidRPr="006B0F72">
              <w:rPr>
                <w:noProof/>
                <w:color w:val="000000" w:themeColor="text1"/>
                <w:sz w:val="18"/>
              </w:rPr>
              <w:t>SPECIFIČNI CILJ št. 1</w:t>
            </w:r>
            <w:r w:rsidRPr="006B0F72">
              <w:rPr>
                <w:rStyle w:val="FootnoteReference"/>
                <w:noProof/>
              </w:rPr>
              <w:footnoteReference w:id="124"/>
            </w:r>
            <w:r w:rsidRPr="006B0F72">
              <w:rPr>
                <w:noProof/>
                <w:color w:val="000000" w:themeColor="text1"/>
                <w:sz w:val="18"/>
              </w:rPr>
              <w:t xml:space="preserve"> …</w:t>
            </w:r>
          </w:p>
        </w:tc>
        <w:tc>
          <w:tcPr>
            <w:tcW w:w="504" w:type="dxa"/>
            <w:tcBorders>
              <w:top w:val="nil"/>
              <w:left w:val="nil"/>
              <w:bottom w:val="nil"/>
              <w:right w:val="nil"/>
            </w:tcBorders>
          </w:tcPr>
          <w:p w14:paraId="0249F34F"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6A07C0C3"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467AF958"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76BC8327"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3900555F"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5CD7EE0F" w14:textId="77777777" w:rsidR="00BE0A2F" w:rsidRPr="006B0F72"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62D49967" w14:textId="77777777" w:rsidR="00BE0A2F" w:rsidRPr="006B0F72" w:rsidRDefault="00BE0A2F" w:rsidP="00BE0A2F">
            <w:pPr>
              <w:spacing w:before="60" w:after="60"/>
              <w:ind w:right="-29"/>
              <w:jc w:val="center"/>
              <w:rPr>
                <w:noProof/>
                <w:color w:val="000000" w:themeColor="text1"/>
                <w:sz w:val="18"/>
                <w:szCs w:val="18"/>
              </w:rPr>
            </w:pPr>
          </w:p>
        </w:tc>
        <w:tc>
          <w:tcPr>
            <w:tcW w:w="720" w:type="dxa"/>
            <w:gridSpan w:val="2"/>
            <w:tcBorders>
              <w:top w:val="nil"/>
              <w:left w:val="nil"/>
              <w:bottom w:val="nil"/>
              <w:right w:val="nil"/>
            </w:tcBorders>
          </w:tcPr>
          <w:p w14:paraId="110DEA19"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5DDA8737" w14:textId="77777777" w:rsidR="00BE0A2F" w:rsidRPr="006B0F72" w:rsidRDefault="00BE0A2F" w:rsidP="00BE0A2F">
            <w:pPr>
              <w:spacing w:before="60" w:after="60"/>
              <w:ind w:right="-29"/>
              <w:jc w:val="center"/>
              <w:rPr>
                <w:noProof/>
                <w:color w:val="000000" w:themeColor="text1"/>
                <w:sz w:val="18"/>
                <w:szCs w:val="18"/>
              </w:rPr>
            </w:pPr>
          </w:p>
        </w:tc>
        <w:tc>
          <w:tcPr>
            <w:tcW w:w="648" w:type="dxa"/>
            <w:tcBorders>
              <w:top w:val="nil"/>
              <w:left w:val="nil"/>
              <w:bottom w:val="nil"/>
              <w:right w:val="nil"/>
            </w:tcBorders>
          </w:tcPr>
          <w:p w14:paraId="2382236C" w14:textId="77777777" w:rsidR="00BE0A2F" w:rsidRPr="006B0F72" w:rsidRDefault="00BE0A2F" w:rsidP="00BE0A2F">
            <w:pPr>
              <w:spacing w:before="60" w:after="60"/>
              <w:ind w:right="-29"/>
              <w:jc w:val="center"/>
              <w:rPr>
                <w:noProof/>
                <w:color w:val="000000" w:themeColor="text1"/>
                <w:sz w:val="18"/>
                <w:szCs w:val="18"/>
              </w:rPr>
            </w:pPr>
          </w:p>
        </w:tc>
        <w:tc>
          <w:tcPr>
            <w:tcW w:w="432" w:type="dxa"/>
            <w:tcBorders>
              <w:top w:val="nil"/>
              <w:left w:val="nil"/>
              <w:bottom w:val="nil"/>
              <w:right w:val="nil"/>
            </w:tcBorders>
          </w:tcPr>
          <w:p w14:paraId="5295A2ED"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51983CE2"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58647B53"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21DBF519"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E5680AC" w14:textId="77777777" w:rsidR="00BE0A2F" w:rsidRPr="006B0F72"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27930FFE" w14:textId="77777777" w:rsidR="00BE0A2F" w:rsidRPr="006B0F72" w:rsidRDefault="00BE0A2F" w:rsidP="00BE0A2F">
            <w:pPr>
              <w:spacing w:before="60" w:after="60"/>
              <w:ind w:right="-29"/>
              <w:jc w:val="center"/>
              <w:rPr>
                <w:noProof/>
                <w:color w:val="000000" w:themeColor="text1"/>
                <w:sz w:val="18"/>
                <w:szCs w:val="18"/>
              </w:rPr>
            </w:pPr>
          </w:p>
        </w:tc>
      </w:tr>
      <w:tr w:rsidR="00BE0A2F" w:rsidRPr="006B0F72" w14:paraId="59BC448E" w14:textId="77777777" w:rsidTr="00BE0A2F">
        <w:trPr>
          <w:trHeight w:hRule="exact" w:val="369"/>
          <w:jc w:val="center"/>
        </w:trPr>
        <w:tc>
          <w:tcPr>
            <w:tcW w:w="1423" w:type="dxa"/>
          </w:tcPr>
          <w:p w14:paraId="5C2D08E0"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 realizacija</w:t>
            </w:r>
          </w:p>
        </w:tc>
        <w:tc>
          <w:tcPr>
            <w:tcW w:w="720" w:type="dxa"/>
          </w:tcPr>
          <w:p w14:paraId="46BA6905" w14:textId="77777777" w:rsidR="00BE0A2F" w:rsidRPr="006B0F72" w:rsidRDefault="00BE0A2F" w:rsidP="00BE0A2F">
            <w:pPr>
              <w:ind w:right="-29"/>
              <w:jc w:val="center"/>
              <w:rPr>
                <w:noProof/>
                <w:color w:val="000000" w:themeColor="text1"/>
                <w:sz w:val="18"/>
                <w:szCs w:val="18"/>
              </w:rPr>
            </w:pPr>
          </w:p>
        </w:tc>
        <w:tc>
          <w:tcPr>
            <w:tcW w:w="701" w:type="dxa"/>
          </w:tcPr>
          <w:p w14:paraId="785BB104" w14:textId="77777777" w:rsidR="00BE0A2F" w:rsidRPr="006B0F72" w:rsidRDefault="00BE0A2F" w:rsidP="00BE0A2F">
            <w:pPr>
              <w:ind w:right="-29"/>
              <w:jc w:val="center"/>
              <w:rPr>
                <w:noProof/>
                <w:color w:val="000000" w:themeColor="text1"/>
                <w:sz w:val="18"/>
                <w:szCs w:val="18"/>
              </w:rPr>
            </w:pPr>
          </w:p>
        </w:tc>
        <w:tc>
          <w:tcPr>
            <w:tcW w:w="504" w:type="dxa"/>
            <w:tcBorders>
              <w:right w:val="dashSmallGap" w:sz="4" w:space="0" w:color="auto"/>
            </w:tcBorders>
          </w:tcPr>
          <w:p w14:paraId="70A2DC3D"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2E7FEAE"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0922300E"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7F9A5090" w14:textId="77777777" w:rsidR="00BE0A2F" w:rsidRPr="006B0F72" w:rsidRDefault="00BE0A2F" w:rsidP="00BE0A2F">
            <w:pPr>
              <w:ind w:right="-29"/>
              <w:jc w:val="center"/>
              <w:rPr>
                <w:noProof/>
                <w:color w:val="000000" w:themeColor="text1"/>
                <w:sz w:val="18"/>
                <w:szCs w:val="18"/>
              </w:rPr>
            </w:pPr>
          </w:p>
        </w:tc>
        <w:tc>
          <w:tcPr>
            <w:tcW w:w="720" w:type="dxa"/>
            <w:tcBorders>
              <w:right w:val="dashSmallGap" w:sz="4" w:space="0" w:color="auto"/>
            </w:tcBorders>
          </w:tcPr>
          <w:p w14:paraId="5E11AF74"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6784DAD1" w14:textId="77777777" w:rsidR="00BE0A2F" w:rsidRPr="006B0F72" w:rsidRDefault="00BE0A2F" w:rsidP="00BE0A2F">
            <w:pPr>
              <w:ind w:right="-29"/>
              <w:jc w:val="center"/>
              <w:rPr>
                <w:noProof/>
                <w:color w:val="000000" w:themeColor="text1"/>
                <w:sz w:val="18"/>
                <w:szCs w:val="18"/>
              </w:rPr>
            </w:pPr>
          </w:p>
        </w:tc>
        <w:tc>
          <w:tcPr>
            <w:tcW w:w="900" w:type="dxa"/>
            <w:tcBorders>
              <w:right w:val="dashSmallGap" w:sz="4" w:space="0" w:color="auto"/>
            </w:tcBorders>
          </w:tcPr>
          <w:p w14:paraId="6ECB706B" w14:textId="77777777" w:rsidR="00BE0A2F" w:rsidRPr="006B0F72" w:rsidRDefault="00BE0A2F" w:rsidP="00BE0A2F">
            <w:pPr>
              <w:ind w:right="-29"/>
              <w:jc w:val="center"/>
              <w:rPr>
                <w:noProof/>
                <w:color w:val="000000" w:themeColor="text1"/>
                <w:sz w:val="18"/>
                <w:szCs w:val="18"/>
              </w:rPr>
            </w:pPr>
          </w:p>
        </w:tc>
        <w:tc>
          <w:tcPr>
            <w:tcW w:w="720" w:type="dxa"/>
            <w:gridSpan w:val="2"/>
            <w:tcBorders>
              <w:left w:val="dashSmallGap" w:sz="4" w:space="0" w:color="auto"/>
            </w:tcBorders>
          </w:tcPr>
          <w:p w14:paraId="0DA4B9AD"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0373DE9E" w14:textId="77777777" w:rsidR="00BE0A2F" w:rsidRPr="006B0F72" w:rsidRDefault="00BE0A2F" w:rsidP="00BE0A2F">
            <w:pPr>
              <w:ind w:right="-29"/>
              <w:jc w:val="center"/>
              <w:rPr>
                <w:noProof/>
                <w:color w:val="000000" w:themeColor="text1"/>
                <w:sz w:val="18"/>
                <w:szCs w:val="18"/>
              </w:rPr>
            </w:pPr>
          </w:p>
        </w:tc>
        <w:tc>
          <w:tcPr>
            <w:tcW w:w="648" w:type="dxa"/>
            <w:tcBorders>
              <w:left w:val="dashSmallGap" w:sz="4" w:space="0" w:color="auto"/>
            </w:tcBorders>
          </w:tcPr>
          <w:p w14:paraId="0F3012CB" w14:textId="77777777" w:rsidR="00BE0A2F" w:rsidRPr="006B0F72" w:rsidRDefault="00BE0A2F" w:rsidP="00BE0A2F">
            <w:pPr>
              <w:ind w:right="-29"/>
              <w:jc w:val="center"/>
              <w:rPr>
                <w:noProof/>
                <w:color w:val="000000" w:themeColor="text1"/>
                <w:sz w:val="18"/>
                <w:szCs w:val="18"/>
              </w:rPr>
            </w:pPr>
          </w:p>
        </w:tc>
        <w:tc>
          <w:tcPr>
            <w:tcW w:w="432" w:type="dxa"/>
            <w:tcBorders>
              <w:right w:val="dashSmallGap" w:sz="4" w:space="0" w:color="auto"/>
            </w:tcBorders>
          </w:tcPr>
          <w:p w14:paraId="424D9C7C"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679175D"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5E822E37"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4333CF3E" w14:textId="77777777" w:rsidR="00BE0A2F" w:rsidRPr="006B0F72" w:rsidRDefault="00BE0A2F" w:rsidP="00BE0A2F">
            <w:pPr>
              <w:ind w:right="-29"/>
              <w:jc w:val="center"/>
              <w:rPr>
                <w:noProof/>
                <w:color w:val="000000" w:themeColor="text1"/>
                <w:sz w:val="18"/>
                <w:szCs w:val="18"/>
              </w:rPr>
            </w:pPr>
          </w:p>
        </w:tc>
        <w:tc>
          <w:tcPr>
            <w:tcW w:w="720" w:type="dxa"/>
          </w:tcPr>
          <w:p w14:paraId="35A26081" w14:textId="77777777" w:rsidR="00BE0A2F" w:rsidRPr="006B0F72" w:rsidRDefault="00BE0A2F" w:rsidP="00BE0A2F">
            <w:pPr>
              <w:ind w:right="-29"/>
              <w:jc w:val="center"/>
              <w:rPr>
                <w:noProof/>
                <w:color w:val="000000" w:themeColor="text1"/>
                <w:sz w:val="18"/>
                <w:szCs w:val="18"/>
              </w:rPr>
            </w:pPr>
          </w:p>
        </w:tc>
        <w:tc>
          <w:tcPr>
            <w:tcW w:w="900" w:type="dxa"/>
          </w:tcPr>
          <w:p w14:paraId="315D0CAE" w14:textId="77777777" w:rsidR="00BE0A2F" w:rsidRPr="006B0F72" w:rsidRDefault="00BE0A2F" w:rsidP="00BE0A2F">
            <w:pPr>
              <w:ind w:right="-29"/>
              <w:jc w:val="center"/>
              <w:rPr>
                <w:noProof/>
                <w:color w:val="000000" w:themeColor="text1"/>
                <w:sz w:val="18"/>
                <w:szCs w:val="18"/>
              </w:rPr>
            </w:pPr>
          </w:p>
        </w:tc>
      </w:tr>
      <w:tr w:rsidR="00BE0A2F" w:rsidRPr="006B0F72" w14:paraId="433B489F" w14:textId="77777777" w:rsidTr="00BE0A2F">
        <w:trPr>
          <w:trHeight w:hRule="exact" w:val="369"/>
          <w:jc w:val="center"/>
        </w:trPr>
        <w:tc>
          <w:tcPr>
            <w:tcW w:w="1423" w:type="dxa"/>
          </w:tcPr>
          <w:p w14:paraId="269ED128"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 realizacija</w:t>
            </w:r>
          </w:p>
        </w:tc>
        <w:tc>
          <w:tcPr>
            <w:tcW w:w="720" w:type="dxa"/>
          </w:tcPr>
          <w:p w14:paraId="35CAAFA4" w14:textId="77777777" w:rsidR="00BE0A2F" w:rsidRPr="006B0F72" w:rsidRDefault="00BE0A2F" w:rsidP="00BE0A2F">
            <w:pPr>
              <w:ind w:right="-29"/>
              <w:jc w:val="center"/>
              <w:rPr>
                <w:noProof/>
                <w:color w:val="000000" w:themeColor="text1"/>
                <w:sz w:val="18"/>
                <w:szCs w:val="18"/>
              </w:rPr>
            </w:pPr>
          </w:p>
        </w:tc>
        <w:tc>
          <w:tcPr>
            <w:tcW w:w="701" w:type="dxa"/>
          </w:tcPr>
          <w:p w14:paraId="3BC104B0" w14:textId="77777777" w:rsidR="00BE0A2F" w:rsidRPr="006B0F72" w:rsidRDefault="00BE0A2F" w:rsidP="00BE0A2F">
            <w:pPr>
              <w:ind w:right="-29"/>
              <w:jc w:val="center"/>
              <w:rPr>
                <w:noProof/>
                <w:color w:val="000000" w:themeColor="text1"/>
                <w:sz w:val="18"/>
                <w:szCs w:val="18"/>
              </w:rPr>
            </w:pPr>
          </w:p>
        </w:tc>
        <w:tc>
          <w:tcPr>
            <w:tcW w:w="504" w:type="dxa"/>
            <w:tcBorders>
              <w:right w:val="dashSmallGap" w:sz="4" w:space="0" w:color="auto"/>
            </w:tcBorders>
          </w:tcPr>
          <w:p w14:paraId="76DDB32B"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22F73A8"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6174B165"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54C666D4" w14:textId="77777777" w:rsidR="00BE0A2F" w:rsidRPr="006B0F72" w:rsidRDefault="00BE0A2F" w:rsidP="00BE0A2F">
            <w:pPr>
              <w:ind w:right="-29"/>
              <w:jc w:val="center"/>
              <w:rPr>
                <w:noProof/>
                <w:color w:val="000000" w:themeColor="text1"/>
                <w:sz w:val="18"/>
                <w:szCs w:val="18"/>
              </w:rPr>
            </w:pPr>
          </w:p>
        </w:tc>
        <w:tc>
          <w:tcPr>
            <w:tcW w:w="720" w:type="dxa"/>
            <w:tcBorders>
              <w:right w:val="dashSmallGap" w:sz="4" w:space="0" w:color="auto"/>
            </w:tcBorders>
          </w:tcPr>
          <w:p w14:paraId="5A63A583"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BD16BE8" w14:textId="77777777" w:rsidR="00BE0A2F" w:rsidRPr="006B0F72" w:rsidRDefault="00BE0A2F" w:rsidP="00BE0A2F">
            <w:pPr>
              <w:ind w:right="-29"/>
              <w:jc w:val="center"/>
              <w:rPr>
                <w:noProof/>
                <w:color w:val="000000" w:themeColor="text1"/>
                <w:sz w:val="18"/>
                <w:szCs w:val="18"/>
              </w:rPr>
            </w:pPr>
          </w:p>
        </w:tc>
        <w:tc>
          <w:tcPr>
            <w:tcW w:w="900" w:type="dxa"/>
            <w:tcBorders>
              <w:right w:val="dashSmallGap" w:sz="4" w:space="0" w:color="auto"/>
            </w:tcBorders>
          </w:tcPr>
          <w:p w14:paraId="6C256A89" w14:textId="77777777" w:rsidR="00BE0A2F" w:rsidRPr="006B0F72" w:rsidRDefault="00BE0A2F" w:rsidP="00BE0A2F">
            <w:pPr>
              <w:ind w:right="-29"/>
              <w:jc w:val="center"/>
              <w:rPr>
                <w:noProof/>
                <w:color w:val="000000" w:themeColor="text1"/>
                <w:sz w:val="18"/>
                <w:szCs w:val="18"/>
              </w:rPr>
            </w:pPr>
          </w:p>
        </w:tc>
        <w:tc>
          <w:tcPr>
            <w:tcW w:w="720" w:type="dxa"/>
            <w:gridSpan w:val="2"/>
            <w:tcBorders>
              <w:left w:val="dashSmallGap" w:sz="4" w:space="0" w:color="auto"/>
            </w:tcBorders>
          </w:tcPr>
          <w:p w14:paraId="72750001"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0D8E187C" w14:textId="77777777" w:rsidR="00BE0A2F" w:rsidRPr="006B0F72" w:rsidRDefault="00BE0A2F" w:rsidP="00BE0A2F">
            <w:pPr>
              <w:ind w:right="-29"/>
              <w:jc w:val="center"/>
              <w:rPr>
                <w:noProof/>
                <w:color w:val="000000" w:themeColor="text1"/>
                <w:sz w:val="18"/>
                <w:szCs w:val="18"/>
              </w:rPr>
            </w:pPr>
          </w:p>
        </w:tc>
        <w:tc>
          <w:tcPr>
            <w:tcW w:w="648" w:type="dxa"/>
            <w:tcBorders>
              <w:left w:val="dashSmallGap" w:sz="4" w:space="0" w:color="auto"/>
            </w:tcBorders>
          </w:tcPr>
          <w:p w14:paraId="1F4DF2BD" w14:textId="77777777" w:rsidR="00BE0A2F" w:rsidRPr="006B0F72" w:rsidRDefault="00BE0A2F" w:rsidP="00BE0A2F">
            <w:pPr>
              <w:ind w:right="-29"/>
              <w:jc w:val="center"/>
              <w:rPr>
                <w:noProof/>
                <w:color w:val="000000" w:themeColor="text1"/>
                <w:sz w:val="18"/>
                <w:szCs w:val="18"/>
              </w:rPr>
            </w:pPr>
          </w:p>
        </w:tc>
        <w:tc>
          <w:tcPr>
            <w:tcW w:w="432" w:type="dxa"/>
            <w:tcBorders>
              <w:right w:val="dashSmallGap" w:sz="4" w:space="0" w:color="auto"/>
            </w:tcBorders>
          </w:tcPr>
          <w:p w14:paraId="0C65FE27"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FD3C834" w14:textId="77777777" w:rsidR="00BE0A2F" w:rsidRPr="006B0F72"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3AB448E9" w14:textId="77777777" w:rsidR="00BE0A2F" w:rsidRPr="006B0F72"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15DDA34" w14:textId="77777777" w:rsidR="00BE0A2F" w:rsidRPr="006B0F72" w:rsidRDefault="00BE0A2F" w:rsidP="00BE0A2F">
            <w:pPr>
              <w:ind w:right="-29"/>
              <w:jc w:val="center"/>
              <w:rPr>
                <w:noProof/>
                <w:color w:val="000000" w:themeColor="text1"/>
                <w:sz w:val="18"/>
                <w:szCs w:val="18"/>
              </w:rPr>
            </w:pPr>
          </w:p>
        </w:tc>
        <w:tc>
          <w:tcPr>
            <w:tcW w:w="720" w:type="dxa"/>
          </w:tcPr>
          <w:p w14:paraId="7888C245" w14:textId="77777777" w:rsidR="00BE0A2F" w:rsidRPr="006B0F72" w:rsidRDefault="00BE0A2F" w:rsidP="00BE0A2F">
            <w:pPr>
              <w:ind w:right="-29"/>
              <w:jc w:val="center"/>
              <w:rPr>
                <w:noProof/>
                <w:color w:val="000000" w:themeColor="text1"/>
                <w:sz w:val="18"/>
                <w:szCs w:val="18"/>
              </w:rPr>
            </w:pPr>
          </w:p>
        </w:tc>
        <w:tc>
          <w:tcPr>
            <w:tcW w:w="900" w:type="dxa"/>
          </w:tcPr>
          <w:p w14:paraId="3191D8EA" w14:textId="77777777" w:rsidR="00BE0A2F" w:rsidRPr="006B0F72" w:rsidRDefault="00BE0A2F" w:rsidP="00BE0A2F">
            <w:pPr>
              <w:ind w:right="-29"/>
              <w:jc w:val="center"/>
              <w:rPr>
                <w:noProof/>
                <w:color w:val="000000" w:themeColor="text1"/>
                <w:sz w:val="18"/>
                <w:szCs w:val="18"/>
              </w:rPr>
            </w:pPr>
          </w:p>
        </w:tc>
      </w:tr>
      <w:tr w:rsidR="00BE0A2F" w:rsidRPr="006B0F72" w14:paraId="7683F5E2" w14:textId="77777777" w:rsidTr="00BE0A2F">
        <w:trPr>
          <w:trHeight w:hRule="exact" w:val="369"/>
          <w:jc w:val="center"/>
        </w:trPr>
        <w:tc>
          <w:tcPr>
            <w:tcW w:w="1423" w:type="dxa"/>
          </w:tcPr>
          <w:p w14:paraId="545DDDC4"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 realizacija</w:t>
            </w:r>
          </w:p>
        </w:tc>
        <w:tc>
          <w:tcPr>
            <w:tcW w:w="720" w:type="dxa"/>
          </w:tcPr>
          <w:p w14:paraId="30119886" w14:textId="77777777" w:rsidR="00BE0A2F" w:rsidRPr="006B0F72" w:rsidRDefault="00BE0A2F" w:rsidP="00BE0A2F">
            <w:pPr>
              <w:ind w:right="-29"/>
              <w:jc w:val="center"/>
              <w:rPr>
                <w:noProof/>
                <w:color w:val="000000" w:themeColor="text1"/>
                <w:sz w:val="18"/>
                <w:szCs w:val="18"/>
              </w:rPr>
            </w:pPr>
          </w:p>
        </w:tc>
        <w:tc>
          <w:tcPr>
            <w:tcW w:w="701" w:type="dxa"/>
          </w:tcPr>
          <w:p w14:paraId="2E150ADF" w14:textId="77777777" w:rsidR="00BE0A2F" w:rsidRPr="006B0F72" w:rsidRDefault="00BE0A2F" w:rsidP="00BE0A2F">
            <w:pPr>
              <w:ind w:right="-29"/>
              <w:jc w:val="center"/>
              <w:rPr>
                <w:noProof/>
                <w:color w:val="000000" w:themeColor="text1"/>
                <w:sz w:val="18"/>
                <w:szCs w:val="18"/>
              </w:rPr>
            </w:pPr>
          </w:p>
        </w:tc>
        <w:tc>
          <w:tcPr>
            <w:tcW w:w="504" w:type="dxa"/>
          </w:tcPr>
          <w:p w14:paraId="784EDDB5" w14:textId="77777777" w:rsidR="00BE0A2F" w:rsidRPr="006B0F72" w:rsidRDefault="00BE0A2F" w:rsidP="00BE0A2F">
            <w:pPr>
              <w:ind w:right="-29"/>
              <w:jc w:val="center"/>
              <w:rPr>
                <w:noProof/>
                <w:color w:val="000000" w:themeColor="text1"/>
                <w:sz w:val="18"/>
                <w:szCs w:val="18"/>
              </w:rPr>
            </w:pPr>
          </w:p>
        </w:tc>
        <w:tc>
          <w:tcPr>
            <w:tcW w:w="720" w:type="dxa"/>
          </w:tcPr>
          <w:p w14:paraId="049C5AA6" w14:textId="77777777" w:rsidR="00BE0A2F" w:rsidRPr="006B0F72" w:rsidRDefault="00BE0A2F" w:rsidP="00BE0A2F">
            <w:pPr>
              <w:ind w:right="-29"/>
              <w:jc w:val="center"/>
              <w:rPr>
                <w:noProof/>
                <w:color w:val="000000" w:themeColor="text1"/>
                <w:sz w:val="18"/>
                <w:szCs w:val="18"/>
              </w:rPr>
            </w:pPr>
          </w:p>
        </w:tc>
        <w:tc>
          <w:tcPr>
            <w:tcW w:w="540" w:type="dxa"/>
          </w:tcPr>
          <w:p w14:paraId="7D4E4960" w14:textId="77777777" w:rsidR="00BE0A2F" w:rsidRPr="006B0F72" w:rsidRDefault="00BE0A2F" w:rsidP="00BE0A2F">
            <w:pPr>
              <w:ind w:right="-29"/>
              <w:jc w:val="center"/>
              <w:rPr>
                <w:noProof/>
                <w:color w:val="000000" w:themeColor="text1"/>
                <w:sz w:val="18"/>
                <w:szCs w:val="18"/>
              </w:rPr>
            </w:pPr>
          </w:p>
        </w:tc>
        <w:tc>
          <w:tcPr>
            <w:tcW w:w="720" w:type="dxa"/>
          </w:tcPr>
          <w:p w14:paraId="3F61D51F" w14:textId="77777777" w:rsidR="00BE0A2F" w:rsidRPr="006B0F72" w:rsidRDefault="00BE0A2F" w:rsidP="00BE0A2F">
            <w:pPr>
              <w:ind w:right="-29"/>
              <w:jc w:val="center"/>
              <w:rPr>
                <w:noProof/>
                <w:color w:val="000000" w:themeColor="text1"/>
                <w:sz w:val="18"/>
                <w:szCs w:val="18"/>
              </w:rPr>
            </w:pPr>
          </w:p>
        </w:tc>
        <w:tc>
          <w:tcPr>
            <w:tcW w:w="720" w:type="dxa"/>
          </w:tcPr>
          <w:p w14:paraId="2739D9CF" w14:textId="77777777" w:rsidR="00BE0A2F" w:rsidRPr="006B0F72" w:rsidRDefault="00BE0A2F" w:rsidP="00BE0A2F">
            <w:pPr>
              <w:ind w:right="-29"/>
              <w:jc w:val="center"/>
              <w:rPr>
                <w:noProof/>
                <w:color w:val="000000" w:themeColor="text1"/>
                <w:sz w:val="18"/>
                <w:szCs w:val="18"/>
              </w:rPr>
            </w:pPr>
          </w:p>
        </w:tc>
        <w:tc>
          <w:tcPr>
            <w:tcW w:w="720" w:type="dxa"/>
          </w:tcPr>
          <w:p w14:paraId="7165A1FA" w14:textId="77777777" w:rsidR="00BE0A2F" w:rsidRPr="006B0F72" w:rsidRDefault="00BE0A2F" w:rsidP="00BE0A2F">
            <w:pPr>
              <w:ind w:right="-29"/>
              <w:jc w:val="center"/>
              <w:rPr>
                <w:noProof/>
                <w:color w:val="000000" w:themeColor="text1"/>
                <w:sz w:val="18"/>
                <w:szCs w:val="18"/>
              </w:rPr>
            </w:pPr>
          </w:p>
        </w:tc>
        <w:tc>
          <w:tcPr>
            <w:tcW w:w="900" w:type="dxa"/>
          </w:tcPr>
          <w:p w14:paraId="6303F478" w14:textId="77777777" w:rsidR="00BE0A2F" w:rsidRPr="006B0F72" w:rsidRDefault="00BE0A2F" w:rsidP="00BE0A2F">
            <w:pPr>
              <w:ind w:right="-29"/>
              <w:jc w:val="center"/>
              <w:rPr>
                <w:noProof/>
                <w:color w:val="000000" w:themeColor="text1"/>
                <w:sz w:val="18"/>
                <w:szCs w:val="18"/>
              </w:rPr>
            </w:pPr>
          </w:p>
        </w:tc>
        <w:tc>
          <w:tcPr>
            <w:tcW w:w="720" w:type="dxa"/>
            <w:gridSpan w:val="2"/>
          </w:tcPr>
          <w:p w14:paraId="29C69B27" w14:textId="77777777" w:rsidR="00BE0A2F" w:rsidRPr="006B0F72" w:rsidRDefault="00BE0A2F" w:rsidP="00BE0A2F">
            <w:pPr>
              <w:ind w:right="-29"/>
              <w:jc w:val="center"/>
              <w:rPr>
                <w:noProof/>
                <w:color w:val="000000" w:themeColor="text1"/>
                <w:sz w:val="18"/>
                <w:szCs w:val="18"/>
              </w:rPr>
            </w:pPr>
          </w:p>
        </w:tc>
        <w:tc>
          <w:tcPr>
            <w:tcW w:w="540" w:type="dxa"/>
          </w:tcPr>
          <w:p w14:paraId="433AEECD" w14:textId="77777777" w:rsidR="00BE0A2F" w:rsidRPr="006B0F72" w:rsidRDefault="00BE0A2F" w:rsidP="00BE0A2F">
            <w:pPr>
              <w:ind w:right="-29"/>
              <w:jc w:val="center"/>
              <w:rPr>
                <w:noProof/>
                <w:color w:val="000000" w:themeColor="text1"/>
                <w:sz w:val="18"/>
                <w:szCs w:val="18"/>
              </w:rPr>
            </w:pPr>
          </w:p>
        </w:tc>
        <w:tc>
          <w:tcPr>
            <w:tcW w:w="648" w:type="dxa"/>
          </w:tcPr>
          <w:p w14:paraId="46E7FAD3" w14:textId="77777777" w:rsidR="00BE0A2F" w:rsidRPr="006B0F72" w:rsidRDefault="00BE0A2F" w:rsidP="00BE0A2F">
            <w:pPr>
              <w:ind w:right="-29"/>
              <w:jc w:val="center"/>
              <w:rPr>
                <w:noProof/>
                <w:color w:val="000000" w:themeColor="text1"/>
                <w:sz w:val="18"/>
                <w:szCs w:val="18"/>
              </w:rPr>
            </w:pPr>
          </w:p>
        </w:tc>
        <w:tc>
          <w:tcPr>
            <w:tcW w:w="432" w:type="dxa"/>
          </w:tcPr>
          <w:p w14:paraId="4C8E4E03" w14:textId="77777777" w:rsidR="00BE0A2F" w:rsidRPr="006B0F72" w:rsidRDefault="00BE0A2F" w:rsidP="00BE0A2F">
            <w:pPr>
              <w:ind w:right="-29"/>
              <w:jc w:val="center"/>
              <w:rPr>
                <w:noProof/>
                <w:color w:val="000000" w:themeColor="text1"/>
                <w:sz w:val="18"/>
                <w:szCs w:val="18"/>
              </w:rPr>
            </w:pPr>
          </w:p>
        </w:tc>
        <w:tc>
          <w:tcPr>
            <w:tcW w:w="720" w:type="dxa"/>
          </w:tcPr>
          <w:p w14:paraId="0A53AF5F" w14:textId="77777777" w:rsidR="00BE0A2F" w:rsidRPr="006B0F72" w:rsidRDefault="00BE0A2F" w:rsidP="00BE0A2F">
            <w:pPr>
              <w:ind w:right="-29"/>
              <w:jc w:val="center"/>
              <w:rPr>
                <w:noProof/>
                <w:color w:val="000000" w:themeColor="text1"/>
                <w:sz w:val="18"/>
                <w:szCs w:val="18"/>
              </w:rPr>
            </w:pPr>
          </w:p>
        </w:tc>
        <w:tc>
          <w:tcPr>
            <w:tcW w:w="540" w:type="dxa"/>
          </w:tcPr>
          <w:p w14:paraId="477B80AA" w14:textId="77777777" w:rsidR="00BE0A2F" w:rsidRPr="006B0F72" w:rsidRDefault="00BE0A2F" w:rsidP="00BE0A2F">
            <w:pPr>
              <w:ind w:right="-29"/>
              <w:jc w:val="center"/>
              <w:rPr>
                <w:noProof/>
                <w:color w:val="000000" w:themeColor="text1"/>
                <w:sz w:val="18"/>
                <w:szCs w:val="18"/>
              </w:rPr>
            </w:pPr>
          </w:p>
        </w:tc>
        <w:tc>
          <w:tcPr>
            <w:tcW w:w="720" w:type="dxa"/>
          </w:tcPr>
          <w:p w14:paraId="6803D997" w14:textId="77777777" w:rsidR="00BE0A2F" w:rsidRPr="006B0F72" w:rsidRDefault="00BE0A2F" w:rsidP="00BE0A2F">
            <w:pPr>
              <w:ind w:right="-29"/>
              <w:jc w:val="center"/>
              <w:rPr>
                <w:noProof/>
                <w:color w:val="000000" w:themeColor="text1"/>
                <w:sz w:val="18"/>
                <w:szCs w:val="18"/>
              </w:rPr>
            </w:pPr>
          </w:p>
        </w:tc>
        <w:tc>
          <w:tcPr>
            <w:tcW w:w="720" w:type="dxa"/>
          </w:tcPr>
          <w:p w14:paraId="76BF5BE8" w14:textId="77777777" w:rsidR="00BE0A2F" w:rsidRPr="006B0F72" w:rsidRDefault="00BE0A2F" w:rsidP="00BE0A2F">
            <w:pPr>
              <w:ind w:right="-29"/>
              <w:jc w:val="center"/>
              <w:rPr>
                <w:noProof/>
                <w:color w:val="000000" w:themeColor="text1"/>
                <w:sz w:val="18"/>
                <w:szCs w:val="18"/>
              </w:rPr>
            </w:pPr>
          </w:p>
        </w:tc>
        <w:tc>
          <w:tcPr>
            <w:tcW w:w="900" w:type="dxa"/>
          </w:tcPr>
          <w:p w14:paraId="2635BC42" w14:textId="77777777" w:rsidR="00BE0A2F" w:rsidRPr="006B0F72" w:rsidRDefault="00BE0A2F" w:rsidP="00BE0A2F">
            <w:pPr>
              <w:ind w:right="-29"/>
              <w:jc w:val="center"/>
              <w:rPr>
                <w:noProof/>
                <w:color w:val="000000" w:themeColor="text1"/>
                <w:sz w:val="18"/>
                <w:szCs w:val="18"/>
              </w:rPr>
            </w:pPr>
          </w:p>
        </w:tc>
      </w:tr>
      <w:tr w:rsidR="00BE0A2F" w:rsidRPr="006B0F72" w14:paraId="26470540" w14:textId="77777777" w:rsidTr="00BE0A2F">
        <w:trPr>
          <w:trHeight w:val="77"/>
          <w:jc w:val="center"/>
        </w:trPr>
        <w:tc>
          <w:tcPr>
            <w:tcW w:w="2844" w:type="dxa"/>
            <w:gridSpan w:val="3"/>
            <w:tcBorders>
              <w:bottom w:val="single" w:sz="12" w:space="0" w:color="auto"/>
            </w:tcBorders>
            <w:vAlign w:val="center"/>
          </w:tcPr>
          <w:p w14:paraId="3F7CCB00"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Seštevek za specifični cilj št. 1</w:t>
            </w:r>
          </w:p>
        </w:tc>
        <w:tc>
          <w:tcPr>
            <w:tcW w:w="504" w:type="dxa"/>
            <w:tcBorders>
              <w:bottom w:val="single" w:sz="12" w:space="0" w:color="auto"/>
            </w:tcBorders>
          </w:tcPr>
          <w:p w14:paraId="3184880E"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44645EBF"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5993A12C"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0F9B0262"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48B72492"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3502CD02" w14:textId="77777777" w:rsidR="00BE0A2F" w:rsidRPr="006B0F72" w:rsidRDefault="00BE0A2F" w:rsidP="00BE0A2F">
            <w:pPr>
              <w:ind w:right="-29"/>
              <w:jc w:val="center"/>
              <w:rPr>
                <w:noProof/>
                <w:color w:val="000000" w:themeColor="text1"/>
                <w:sz w:val="18"/>
                <w:szCs w:val="18"/>
              </w:rPr>
            </w:pPr>
          </w:p>
        </w:tc>
        <w:tc>
          <w:tcPr>
            <w:tcW w:w="900" w:type="dxa"/>
            <w:tcBorders>
              <w:bottom w:val="single" w:sz="12" w:space="0" w:color="auto"/>
            </w:tcBorders>
          </w:tcPr>
          <w:p w14:paraId="477F82A5" w14:textId="77777777" w:rsidR="00BE0A2F" w:rsidRPr="006B0F72" w:rsidRDefault="00BE0A2F" w:rsidP="00BE0A2F">
            <w:pPr>
              <w:ind w:right="-29"/>
              <w:jc w:val="center"/>
              <w:rPr>
                <w:noProof/>
                <w:color w:val="000000" w:themeColor="text1"/>
                <w:sz w:val="18"/>
                <w:szCs w:val="18"/>
              </w:rPr>
            </w:pPr>
          </w:p>
        </w:tc>
        <w:tc>
          <w:tcPr>
            <w:tcW w:w="720" w:type="dxa"/>
            <w:gridSpan w:val="2"/>
            <w:tcBorders>
              <w:bottom w:val="single" w:sz="12" w:space="0" w:color="auto"/>
            </w:tcBorders>
          </w:tcPr>
          <w:p w14:paraId="01C3C146"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4DDA38ED" w14:textId="77777777" w:rsidR="00BE0A2F" w:rsidRPr="006B0F72" w:rsidRDefault="00BE0A2F" w:rsidP="00BE0A2F">
            <w:pPr>
              <w:ind w:right="-29"/>
              <w:jc w:val="center"/>
              <w:rPr>
                <w:noProof/>
                <w:color w:val="000000" w:themeColor="text1"/>
                <w:sz w:val="18"/>
                <w:szCs w:val="18"/>
              </w:rPr>
            </w:pPr>
          </w:p>
        </w:tc>
        <w:tc>
          <w:tcPr>
            <w:tcW w:w="648" w:type="dxa"/>
            <w:tcBorders>
              <w:bottom w:val="single" w:sz="12" w:space="0" w:color="auto"/>
            </w:tcBorders>
          </w:tcPr>
          <w:p w14:paraId="47C6B32B" w14:textId="77777777" w:rsidR="00BE0A2F" w:rsidRPr="006B0F72" w:rsidRDefault="00BE0A2F" w:rsidP="00BE0A2F">
            <w:pPr>
              <w:ind w:right="-29"/>
              <w:jc w:val="center"/>
              <w:rPr>
                <w:noProof/>
                <w:color w:val="000000" w:themeColor="text1"/>
                <w:sz w:val="18"/>
                <w:szCs w:val="18"/>
              </w:rPr>
            </w:pPr>
          </w:p>
        </w:tc>
        <w:tc>
          <w:tcPr>
            <w:tcW w:w="432" w:type="dxa"/>
            <w:tcBorders>
              <w:bottom w:val="single" w:sz="12" w:space="0" w:color="auto"/>
            </w:tcBorders>
          </w:tcPr>
          <w:p w14:paraId="2CD445A6"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6680C0A7"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746BAE37"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6207753B"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53293F02" w14:textId="77777777" w:rsidR="00BE0A2F" w:rsidRPr="006B0F72" w:rsidRDefault="00BE0A2F" w:rsidP="00BE0A2F">
            <w:pPr>
              <w:ind w:right="-29"/>
              <w:jc w:val="center"/>
              <w:rPr>
                <w:noProof/>
                <w:color w:val="000000" w:themeColor="text1"/>
                <w:sz w:val="18"/>
                <w:szCs w:val="18"/>
              </w:rPr>
            </w:pPr>
          </w:p>
        </w:tc>
        <w:tc>
          <w:tcPr>
            <w:tcW w:w="900" w:type="dxa"/>
            <w:tcBorders>
              <w:bottom w:val="single" w:sz="12" w:space="0" w:color="auto"/>
            </w:tcBorders>
          </w:tcPr>
          <w:p w14:paraId="7063231D" w14:textId="77777777" w:rsidR="00BE0A2F" w:rsidRPr="006B0F72" w:rsidRDefault="00BE0A2F" w:rsidP="00BE0A2F">
            <w:pPr>
              <w:ind w:right="-29"/>
              <w:jc w:val="center"/>
              <w:rPr>
                <w:noProof/>
                <w:color w:val="000000" w:themeColor="text1"/>
                <w:sz w:val="18"/>
                <w:szCs w:val="18"/>
              </w:rPr>
            </w:pPr>
          </w:p>
        </w:tc>
      </w:tr>
      <w:tr w:rsidR="00BE0A2F" w:rsidRPr="006B0F72" w14:paraId="2BDB1C9D" w14:textId="77777777" w:rsidTr="00BE0A2F">
        <w:trPr>
          <w:jc w:val="center"/>
        </w:trPr>
        <w:tc>
          <w:tcPr>
            <w:tcW w:w="2844" w:type="dxa"/>
            <w:gridSpan w:val="3"/>
            <w:vAlign w:val="center"/>
          </w:tcPr>
          <w:p w14:paraId="0DA12984" w14:textId="77777777" w:rsidR="00BE0A2F" w:rsidRPr="006B0F72" w:rsidRDefault="00BE0A2F" w:rsidP="00BE0A2F">
            <w:pPr>
              <w:spacing w:before="60" w:after="60"/>
              <w:ind w:right="-29"/>
              <w:jc w:val="center"/>
              <w:rPr>
                <w:noProof/>
                <w:color w:val="000000" w:themeColor="text1"/>
                <w:sz w:val="18"/>
                <w:szCs w:val="18"/>
              </w:rPr>
            </w:pPr>
            <w:r w:rsidRPr="006B0F72">
              <w:rPr>
                <w:noProof/>
                <w:color w:val="000000" w:themeColor="text1"/>
                <w:sz w:val="18"/>
              </w:rPr>
              <w:t>SPECIFIČNI CILJ št. 2 …</w:t>
            </w:r>
          </w:p>
        </w:tc>
        <w:tc>
          <w:tcPr>
            <w:tcW w:w="504" w:type="dxa"/>
            <w:tcBorders>
              <w:top w:val="nil"/>
              <w:left w:val="nil"/>
              <w:bottom w:val="nil"/>
              <w:right w:val="nil"/>
            </w:tcBorders>
          </w:tcPr>
          <w:p w14:paraId="7AC26871"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F2DBFCC"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6923BB9D"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1AE17351"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5611B8E0"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0EE4A09" w14:textId="77777777" w:rsidR="00BE0A2F" w:rsidRPr="006B0F72"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509AFAE2" w14:textId="77777777" w:rsidR="00BE0A2F" w:rsidRPr="006B0F72" w:rsidRDefault="00BE0A2F" w:rsidP="00BE0A2F">
            <w:pPr>
              <w:spacing w:before="60" w:after="60"/>
              <w:ind w:right="-29"/>
              <w:jc w:val="center"/>
              <w:rPr>
                <w:noProof/>
                <w:color w:val="000000" w:themeColor="text1"/>
                <w:sz w:val="18"/>
                <w:szCs w:val="18"/>
              </w:rPr>
            </w:pPr>
          </w:p>
        </w:tc>
        <w:tc>
          <w:tcPr>
            <w:tcW w:w="720" w:type="dxa"/>
            <w:gridSpan w:val="2"/>
            <w:tcBorders>
              <w:top w:val="nil"/>
              <w:left w:val="nil"/>
              <w:bottom w:val="nil"/>
              <w:right w:val="nil"/>
            </w:tcBorders>
          </w:tcPr>
          <w:p w14:paraId="6497921B"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25CD1198" w14:textId="77777777" w:rsidR="00BE0A2F" w:rsidRPr="006B0F72" w:rsidRDefault="00BE0A2F" w:rsidP="00BE0A2F">
            <w:pPr>
              <w:spacing w:before="60" w:after="60"/>
              <w:ind w:right="-29"/>
              <w:jc w:val="center"/>
              <w:rPr>
                <w:noProof/>
                <w:color w:val="000000" w:themeColor="text1"/>
                <w:sz w:val="18"/>
                <w:szCs w:val="18"/>
              </w:rPr>
            </w:pPr>
          </w:p>
        </w:tc>
        <w:tc>
          <w:tcPr>
            <w:tcW w:w="648" w:type="dxa"/>
            <w:tcBorders>
              <w:top w:val="nil"/>
              <w:left w:val="nil"/>
              <w:bottom w:val="nil"/>
              <w:right w:val="nil"/>
            </w:tcBorders>
          </w:tcPr>
          <w:p w14:paraId="4728AA64" w14:textId="77777777" w:rsidR="00BE0A2F" w:rsidRPr="006B0F72" w:rsidRDefault="00BE0A2F" w:rsidP="00BE0A2F">
            <w:pPr>
              <w:spacing w:before="60" w:after="60"/>
              <w:ind w:right="-29"/>
              <w:jc w:val="center"/>
              <w:rPr>
                <w:noProof/>
                <w:color w:val="000000" w:themeColor="text1"/>
                <w:sz w:val="18"/>
                <w:szCs w:val="18"/>
              </w:rPr>
            </w:pPr>
          </w:p>
        </w:tc>
        <w:tc>
          <w:tcPr>
            <w:tcW w:w="432" w:type="dxa"/>
            <w:tcBorders>
              <w:top w:val="nil"/>
              <w:left w:val="nil"/>
              <w:bottom w:val="nil"/>
              <w:right w:val="nil"/>
            </w:tcBorders>
          </w:tcPr>
          <w:p w14:paraId="7E1DA4AD"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524385B2" w14:textId="77777777" w:rsidR="00BE0A2F" w:rsidRPr="006B0F72"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036CD975"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1DEFE2D" w14:textId="77777777" w:rsidR="00BE0A2F" w:rsidRPr="006B0F72"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62C9BF50" w14:textId="77777777" w:rsidR="00BE0A2F" w:rsidRPr="006B0F72"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70BD5E64" w14:textId="77777777" w:rsidR="00BE0A2F" w:rsidRPr="006B0F72" w:rsidRDefault="00BE0A2F" w:rsidP="00BE0A2F">
            <w:pPr>
              <w:spacing w:before="60" w:after="60"/>
              <w:ind w:right="-29"/>
              <w:jc w:val="center"/>
              <w:rPr>
                <w:noProof/>
                <w:color w:val="000000" w:themeColor="text1"/>
                <w:sz w:val="18"/>
                <w:szCs w:val="18"/>
              </w:rPr>
            </w:pPr>
          </w:p>
        </w:tc>
      </w:tr>
      <w:tr w:rsidR="00BE0A2F" w:rsidRPr="006B0F72" w14:paraId="34C8E124" w14:textId="77777777" w:rsidTr="00BE0A2F">
        <w:trPr>
          <w:trHeight w:hRule="exact" w:val="369"/>
          <w:jc w:val="center"/>
        </w:trPr>
        <w:tc>
          <w:tcPr>
            <w:tcW w:w="1423" w:type="dxa"/>
          </w:tcPr>
          <w:p w14:paraId="0FE5774C" w14:textId="77777777" w:rsidR="00BE0A2F" w:rsidRPr="006B0F72" w:rsidRDefault="00BE0A2F" w:rsidP="00BE0A2F">
            <w:pPr>
              <w:ind w:right="-29"/>
              <w:jc w:val="center"/>
              <w:rPr>
                <w:noProof/>
                <w:color w:val="000000" w:themeColor="text1"/>
                <w:sz w:val="18"/>
                <w:szCs w:val="18"/>
              </w:rPr>
            </w:pPr>
            <w:r w:rsidRPr="006B0F72">
              <w:rPr>
                <w:noProof/>
                <w:color w:val="000000" w:themeColor="text1"/>
                <w:sz w:val="18"/>
              </w:rPr>
              <w:t>– realizacija</w:t>
            </w:r>
          </w:p>
        </w:tc>
        <w:tc>
          <w:tcPr>
            <w:tcW w:w="720" w:type="dxa"/>
          </w:tcPr>
          <w:p w14:paraId="711E644A" w14:textId="77777777" w:rsidR="00BE0A2F" w:rsidRPr="006B0F72" w:rsidRDefault="00BE0A2F" w:rsidP="00BE0A2F">
            <w:pPr>
              <w:ind w:right="-29"/>
              <w:jc w:val="center"/>
              <w:rPr>
                <w:noProof/>
                <w:color w:val="000000" w:themeColor="text1"/>
                <w:sz w:val="18"/>
                <w:szCs w:val="18"/>
              </w:rPr>
            </w:pPr>
          </w:p>
        </w:tc>
        <w:tc>
          <w:tcPr>
            <w:tcW w:w="701" w:type="dxa"/>
          </w:tcPr>
          <w:p w14:paraId="35FA683D" w14:textId="77777777" w:rsidR="00BE0A2F" w:rsidRPr="006B0F72" w:rsidRDefault="00BE0A2F" w:rsidP="00BE0A2F">
            <w:pPr>
              <w:ind w:right="-29"/>
              <w:jc w:val="center"/>
              <w:rPr>
                <w:noProof/>
                <w:color w:val="000000" w:themeColor="text1"/>
                <w:sz w:val="18"/>
                <w:szCs w:val="18"/>
              </w:rPr>
            </w:pPr>
          </w:p>
        </w:tc>
        <w:tc>
          <w:tcPr>
            <w:tcW w:w="504" w:type="dxa"/>
          </w:tcPr>
          <w:p w14:paraId="627DC1A7" w14:textId="77777777" w:rsidR="00BE0A2F" w:rsidRPr="006B0F72" w:rsidRDefault="00BE0A2F" w:rsidP="00BE0A2F">
            <w:pPr>
              <w:ind w:right="-29"/>
              <w:jc w:val="center"/>
              <w:rPr>
                <w:noProof/>
                <w:color w:val="000000" w:themeColor="text1"/>
                <w:sz w:val="18"/>
                <w:szCs w:val="18"/>
              </w:rPr>
            </w:pPr>
          </w:p>
        </w:tc>
        <w:tc>
          <w:tcPr>
            <w:tcW w:w="720" w:type="dxa"/>
          </w:tcPr>
          <w:p w14:paraId="0D7B072D" w14:textId="77777777" w:rsidR="00BE0A2F" w:rsidRPr="006B0F72" w:rsidRDefault="00BE0A2F" w:rsidP="00BE0A2F">
            <w:pPr>
              <w:ind w:right="-29"/>
              <w:jc w:val="center"/>
              <w:rPr>
                <w:noProof/>
                <w:color w:val="000000" w:themeColor="text1"/>
                <w:sz w:val="18"/>
                <w:szCs w:val="18"/>
              </w:rPr>
            </w:pPr>
          </w:p>
        </w:tc>
        <w:tc>
          <w:tcPr>
            <w:tcW w:w="540" w:type="dxa"/>
          </w:tcPr>
          <w:p w14:paraId="43CF0537" w14:textId="77777777" w:rsidR="00BE0A2F" w:rsidRPr="006B0F72" w:rsidRDefault="00BE0A2F" w:rsidP="00BE0A2F">
            <w:pPr>
              <w:ind w:right="-29"/>
              <w:jc w:val="center"/>
              <w:rPr>
                <w:noProof/>
                <w:color w:val="000000" w:themeColor="text1"/>
                <w:sz w:val="18"/>
                <w:szCs w:val="18"/>
              </w:rPr>
            </w:pPr>
          </w:p>
        </w:tc>
        <w:tc>
          <w:tcPr>
            <w:tcW w:w="720" w:type="dxa"/>
          </w:tcPr>
          <w:p w14:paraId="7807EDD6" w14:textId="77777777" w:rsidR="00BE0A2F" w:rsidRPr="006B0F72" w:rsidRDefault="00BE0A2F" w:rsidP="00BE0A2F">
            <w:pPr>
              <w:ind w:right="-29"/>
              <w:jc w:val="center"/>
              <w:rPr>
                <w:noProof/>
                <w:color w:val="000000" w:themeColor="text1"/>
                <w:sz w:val="18"/>
                <w:szCs w:val="18"/>
              </w:rPr>
            </w:pPr>
          </w:p>
        </w:tc>
        <w:tc>
          <w:tcPr>
            <w:tcW w:w="720" w:type="dxa"/>
          </w:tcPr>
          <w:p w14:paraId="633C294B" w14:textId="77777777" w:rsidR="00BE0A2F" w:rsidRPr="006B0F72" w:rsidRDefault="00BE0A2F" w:rsidP="00BE0A2F">
            <w:pPr>
              <w:ind w:right="-29"/>
              <w:jc w:val="center"/>
              <w:rPr>
                <w:noProof/>
                <w:color w:val="000000" w:themeColor="text1"/>
                <w:sz w:val="18"/>
                <w:szCs w:val="18"/>
              </w:rPr>
            </w:pPr>
          </w:p>
        </w:tc>
        <w:tc>
          <w:tcPr>
            <w:tcW w:w="720" w:type="dxa"/>
          </w:tcPr>
          <w:p w14:paraId="16091A82" w14:textId="77777777" w:rsidR="00BE0A2F" w:rsidRPr="006B0F72" w:rsidRDefault="00BE0A2F" w:rsidP="00BE0A2F">
            <w:pPr>
              <w:ind w:right="-29"/>
              <w:jc w:val="center"/>
              <w:rPr>
                <w:noProof/>
                <w:color w:val="000000" w:themeColor="text1"/>
                <w:sz w:val="18"/>
                <w:szCs w:val="18"/>
              </w:rPr>
            </w:pPr>
          </w:p>
        </w:tc>
        <w:tc>
          <w:tcPr>
            <w:tcW w:w="900" w:type="dxa"/>
          </w:tcPr>
          <w:p w14:paraId="764AB528" w14:textId="77777777" w:rsidR="00BE0A2F" w:rsidRPr="006B0F72" w:rsidRDefault="00BE0A2F" w:rsidP="00BE0A2F">
            <w:pPr>
              <w:ind w:right="-29"/>
              <w:jc w:val="center"/>
              <w:rPr>
                <w:noProof/>
                <w:color w:val="000000" w:themeColor="text1"/>
                <w:sz w:val="18"/>
                <w:szCs w:val="18"/>
              </w:rPr>
            </w:pPr>
          </w:p>
        </w:tc>
        <w:tc>
          <w:tcPr>
            <w:tcW w:w="720" w:type="dxa"/>
            <w:gridSpan w:val="2"/>
          </w:tcPr>
          <w:p w14:paraId="2B14A7C2" w14:textId="77777777" w:rsidR="00BE0A2F" w:rsidRPr="006B0F72" w:rsidRDefault="00BE0A2F" w:rsidP="00BE0A2F">
            <w:pPr>
              <w:ind w:right="-29"/>
              <w:jc w:val="center"/>
              <w:rPr>
                <w:noProof/>
                <w:color w:val="000000" w:themeColor="text1"/>
                <w:sz w:val="18"/>
                <w:szCs w:val="18"/>
              </w:rPr>
            </w:pPr>
          </w:p>
        </w:tc>
        <w:tc>
          <w:tcPr>
            <w:tcW w:w="540" w:type="dxa"/>
          </w:tcPr>
          <w:p w14:paraId="52748A6D" w14:textId="77777777" w:rsidR="00BE0A2F" w:rsidRPr="006B0F72" w:rsidRDefault="00BE0A2F" w:rsidP="00BE0A2F">
            <w:pPr>
              <w:ind w:right="-29"/>
              <w:jc w:val="center"/>
              <w:rPr>
                <w:noProof/>
                <w:color w:val="000000" w:themeColor="text1"/>
                <w:sz w:val="18"/>
                <w:szCs w:val="18"/>
              </w:rPr>
            </w:pPr>
          </w:p>
        </w:tc>
        <w:tc>
          <w:tcPr>
            <w:tcW w:w="648" w:type="dxa"/>
          </w:tcPr>
          <w:p w14:paraId="5BEF6657" w14:textId="77777777" w:rsidR="00BE0A2F" w:rsidRPr="006B0F72" w:rsidRDefault="00BE0A2F" w:rsidP="00BE0A2F">
            <w:pPr>
              <w:ind w:right="-29"/>
              <w:jc w:val="center"/>
              <w:rPr>
                <w:noProof/>
                <w:color w:val="000000" w:themeColor="text1"/>
                <w:sz w:val="18"/>
                <w:szCs w:val="18"/>
              </w:rPr>
            </w:pPr>
          </w:p>
        </w:tc>
        <w:tc>
          <w:tcPr>
            <w:tcW w:w="432" w:type="dxa"/>
          </w:tcPr>
          <w:p w14:paraId="0A360348" w14:textId="77777777" w:rsidR="00BE0A2F" w:rsidRPr="006B0F72" w:rsidRDefault="00BE0A2F" w:rsidP="00BE0A2F">
            <w:pPr>
              <w:ind w:right="-29"/>
              <w:jc w:val="center"/>
              <w:rPr>
                <w:noProof/>
                <w:color w:val="000000" w:themeColor="text1"/>
                <w:sz w:val="18"/>
                <w:szCs w:val="18"/>
              </w:rPr>
            </w:pPr>
          </w:p>
        </w:tc>
        <w:tc>
          <w:tcPr>
            <w:tcW w:w="720" w:type="dxa"/>
          </w:tcPr>
          <w:p w14:paraId="5528954E" w14:textId="77777777" w:rsidR="00BE0A2F" w:rsidRPr="006B0F72" w:rsidRDefault="00BE0A2F" w:rsidP="00BE0A2F">
            <w:pPr>
              <w:ind w:right="-29"/>
              <w:jc w:val="center"/>
              <w:rPr>
                <w:noProof/>
                <w:color w:val="000000" w:themeColor="text1"/>
                <w:sz w:val="18"/>
                <w:szCs w:val="18"/>
              </w:rPr>
            </w:pPr>
          </w:p>
        </w:tc>
        <w:tc>
          <w:tcPr>
            <w:tcW w:w="540" w:type="dxa"/>
          </w:tcPr>
          <w:p w14:paraId="10F4BB5D" w14:textId="77777777" w:rsidR="00BE0A2F" w:rsidRPr="006B0F72" w:rsidRDefault="00BE0A2F" w:rsidP="00BE0A2F">
            <w:pPr>
              <w:ind w:right="-29"/>
              <w:jc w:val="center"/>
              <w:rPr>
                <w:noProof/>
                <w:color w:val="000000" w:themeColor="text1"/>
                <w:sz w:val="18"/>
                <w:szCs w:val="18"/>
              </w:rPr>
            </w:pPr>
          </w:p>
        </w:tc>
        <w:tc>
          <w:tcPr>
            <w:tcW w:w="720" w:type="dxa"/>
          </w:tcPr>
          <w:p w14:paraId="17C49316" w14:textId="77777777" w:rsidR="00BE0A2F" w:rsidRPr="006B0F72" w:rsidRDefault="00BE0A2F" w:rsidP="00BE0A2F">
            <w:pPr>
              <w:ind w:right="-29"/>
              <w:jc w:val="center"/>
              <w:rPr>
                <w:noProof/>
                <w:color w:val="000000" w:themeColor="text1"/>
                <w:sz w:val="18"/>
                <w:szCs w:val="18"/>
              </w:rPr>
            </w:pPr>
          </w:p>
        </w:tc>
        <w:tc>
          <w:tcPr>
            <w:tcW w:w="720" w:type="dxa"/>
          </w:tcPr>
          <w:p w14:paraId="6B4B8496" w14:textId="77777777" w:rsidR="00BE0A2F" w:rsidRPr="006B0F72" w:rsidRDefault="00BE0A2F" w:rsidP="00BE0A2F">
            <w:pPr>
              <w:ind w:right="-29"/>
              <w:jc w:val="center"/>
              <w:rPr>
                <w:noProof/>
                <w:color w:val="000000" w:themeColor="text1"/>
                <w:sz w:val="18"/>
                <w:szCs w:val="18"/>
              </w:rPr>
            </w:pPr>
          </w:p>
        </w:tc>
        <w:tc>
          <w:tcPr>
            <w:tcW w:w="900" w:type="dxa"/>
          </w:tcPr>
          <w:p w14:paraId="4B2A6747" w14:textId="77777777" w:rsidR="00BE0A2F" w:rsidRPr="006B0F72" w:rsidRDefault="00BE0A2F" w:rsidP="00BE0A2F">
            <w:pPr>
              <w:ind w:right="-29"/>
              <w:jc w:val="center"/>
              <w:rPr>
                <w:noProof/>
                <w:color w:val="000000" w:themeColor="text1"/>
                <w:sz w:val="18"/>
                <w:szCs w:val="18"/>
              </w:rPr>
            </w:pPr>
          </w:p>
        </w:tc>
      </w:tr>
      <w:tr w:rsidR="00BE0A2F" w:rsidRPr="006B0F72" w14:paraId="51A306BE" w14:textId="77777777" w:rsidTr="00BE0A2F">
        <w:trPr>
          <w:jc w:val="center"/>
        </w:trPr>
        <w:tc>
          <w:tcPr>
            <w:tcW w:w="2844" w:type="dxa"/>
            <w:gridSpan w:val="3"/>
            <w:tcBorders>
              <w:bottom w:val="single" w:sz="12" w:space="0" w:color="auto"/>
            </w:tcBorders>
            <w:vAlign w:val="center"/>
          </w:tcPr>
          <w:p w14:paraId="1971ED75" w14:textId="77777777" w:rsidR="00BE0A2F" w:rsidRPr="006B0F72" w:rsidRDefault="00BE0A2F" w:rsidP="00BE0A2F">
            <w:pPr>
              <w:jc w:val="center"/>
              <w:rPr>
                <w:noProof/>
                <w:color w:val="000000" w:themeColor="text1"/>
                <w:sz w:val="18"/>
                <w:szCs w:val="18"/>
              </w:rPr>
            </w:pPr>
            <w:r w:rsidRPr="006B0F72">
              <w:rPr>
                <w:noProof/>
                <w:color w:val="000000" w:themeColor="text1"/>
                <w:sz w:val="18"/>
              </w:rPr>
              <w:t>Seštevek za specifični cilj št. 2</w:t>
            </w:r>
          </w:p>
        </w:tc>
        <w:tc>
          <w:tcPr>
            <w:tcW w:w="504" w:type="dxa"/>
            <w:tcBorders>
              <w:bottom w:val="single" w:sz="12" w:space="0" w:color="auto"/>
            </w:tcBorders>
          </w:tcPr>
          <w:p w14:paraId="42AF7101"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5F8F027C"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0C5F480F"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3E5C2856"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7084509E"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1F15B463" w14:textId="77777777" w:rsidR="00BE0A2F" w:rsidRPr="006B0F72" w:rsidRDefault="00BE0A2F" w:rsidP="00BE0A2F">
            <w:pPr>
              <w:ind w:right="-29"/>
              <w:jc w:val="center"/>
              <w:rPr>
                <w:noProof/>
                <w:color w:val="000000" w:themeColor="text1"/>
                <w:sz w:val="18"/>
                <w:szCs w:val="18"/>
              </w:rPr>
            </w:pPr>
          </w:p>
        </w:tc>
        <w:tc>
          <w:tcPr>
            <w:tcW w:w="951" w:type="dxa"/>
            <w:gridSpan w:val="2"/>
            <w:tcBorders>
              <w:bottom w:val="single" w:sz="12" w:space="0" w:color="auto"/>
            </w:tcBorders>
          </w:tcPr>
          <w:p w14:paraId="1EB5FE87" w14:textId="77777777" w:rsidR="00BE0A2F" w:rsidRPr="006B0F72" w:rsidRDefault="00BE0A2F" w:rsidP="00BE0A2F">
            <w:pPr>
              <w:ind w:right="-29"/>
              <w:jc w:val="center"/>
              <w:rPr>
                <w:noProof/>
                <w:color w:val="000000" w:themeColor="text1"/>
                <w:sz w:val="18"/>
                <w:szCs w:val="18"/>
              </w:rPr>
            </w:pPr>
          </w:p>
        </w:tc>
        <w:tc>
          <w:tcPr>
            <w:tcW w:w="669" w:type="dxa"/>
            <w:tcBorders>
              <w:bottom w:val="single" w:sz="12" w:space="0" w:color="auto"/>
            </w:tcBorders>
          </w:tcPr>
          <w:p w14:paraId="46F23C3C"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55FDB6AB" w14:textId="77777777" w:rsidR="00BE0A2F" w:rsidRPr="006B0F72" w:rsidRDefault="00BE0A2F" w:rsidP="00BE0A2F">
            <w:pPr>
              <w:ind w:right="-29"/>
              <w:jc w:val="center"/>
              <w:rPr>
                <w:noProof/>
                <w:color w:val="000000" w:themeColor="text1"/>
                <w:sz w:val="18"/>
                <w:szCs w:val="18"/>
              </w:rPr>
            </w:pPr>
          </w:p>
        </w:tc>
        <w:tc>
          <w:tcPr>
            <w:tcW w:w="648" w:type="dxa"/>
            <w:tcBorders>
              <w:bottom w:val="single" w:sz="12" w:space="0" w:color="auto"/>
            </w:tcBorders>
          </w:tcPr>
          <w:p w14:paraId="0155950B" w14:textId="77777777" w:rsidR="00BE0A2F" w:rsidRPr="006B0F72" w:rsidRDefault="00BE0A2F" w:rsidP="00BE0A2F">
            <w:pPr>
              <w:ind w:right="-29"/>
              <w:jc w:val="center"/>
              <w:rPr>
                <w:noProof/>
                <w:color w:val="000000" w:themeColor="text1"/>
                <w:sz w:val="18"/>
                <w:szCs w:val="18"/>
              </w:rPr>
            </w:pPr>
          </w:p>
        </w:tc>
        <w:tc>
          <w:tcPr>
            <w:tcW w:w="432" w:type="dxa"/>
            <w:tcBorders>
              <w:bottom w:val="single" w:sz="12" w:space="0" w:color="auto"/>
            </w:tcBorders>
          </w:tcPr>
          <w:p w14:paraId="4B436F15"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75095949" w14:textId="77777777" w:rsidR="00BE0A2F" w:rsidRPr="006B0F72" w:rsidRDefault="00BE0A2F" w:rsidP="00BE0A2F">
            <w:pPr>
              <w:ind w:right="-29"/>
              <w:jc w:val="center"/>
              <w:rPr>
                <w:noProof/>
                <w:color w:val="000000" w:themeColor="text1"/>
                <w:sz w:val="18"/>
                <w:szCs w:val="18"/>
              </w:rPr>
            </w:pPr>
          </w:p>
        </w:tc>
        <w:tc>
          <w:tcPr>
            <w:tcW w:w="540" w:type="dxa"/>
            <w:tcBorders>
              <w:bottom w:val="single" w:sz="12" w:space="0" w:color="auto"/>
            </w:tcBorders>
          </w:tcPr>
          <w:p w14:paraId="02B336F7"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30505582" w14:textId="77777777" w:rsidR="00BE0A2F" w:rsidRPr="006B0F72" w:rsidRDefault="00BE0A2F" w:rsidP="00BE0A2F">
            <w:pPr>
              <w:ind w:right="-29"/>
              <w:jc w:val="center"/>
              <w:rPr>
                <w:noProof/>
                <w:color w:val="000000" w:themeColor="text1"/>
                <w:sz w:val="18"/>
                <w:szCs w:val="18"/>
              </w:rPr>
            </w:pPr>
          </w:p>
        </w:tc>
        <w:tc>
          <w:tcPr>
            <w:tcW w:w="720" w:type="dxa"/>
            <w:tcBorders>
              <w:bottom w:val="single" w:sz="12" w:space="0" w:color="auto"/>
            </w:tcBorders>
          </w:tcPr>
          <w:p w14:paraId="14ED236A" w14:textId="77777777" w:rsidR="00BE0A2F" w:rsidRPr="006B0F72" w:rsidRDefault="00BE0A2F" w:rsidP="00BE0A2F">
            <w:pPr>
              <w:ind w:right="-29"/>
              <w:jc w:val="center"/>
              <w:rPr>
                <w:noProof/>
                <w:color w:val="000000" w:themeColor="text1"/>
                <w:sz w:val="18"/>
                <w:szCs w:val="18"/>
              </w:rPr>
            </w:pPr>
          </w:p>
        </w:tc>
        <w:tc>
          <w:tcPr>
            <w:tcW w:w="900" w:type="dxa"/>
            <w:tcBorders>
              <w:bottom w:val="single" w:sz="12" w:space="0" w:color="auto"/>
            </w:tcBorders>
          </w:tcPr>
          <w:p w14:paraId="6874530D" w14:textId="77777777" w:rsidR="00BE0A2F" w:rsidRPr="006B0F72" w:rsidRDefault="00BE0A2F" w:rsidP="00BE0A2F">
            <w:pPr>
              <w:ind w:right="-29"/>
              <w:jc w:val="center"/>
              <w:rPr>
                <w:noProof/>
                <w:color w:val="000000" w:themeColor="text1"/>
                <w:sz w:val="18"/>
                <w:szCs w:val="18"/>
              </w:rPr>
            </w:pPr>
          </w:p>
        </w:tc>
      </w:tr>
      <w:tr w:rsidR="00BE0A2F" w:rsidRPr="006B0F72" w14:paraId="5DE17C43" w14:textId="77777777" w:rsidTr="00BE0A2F">
        <w:trPr>
          <w:jc w:val="center"/>
        </w:trPr>
        <w:tc>
          <w:tcPr>
            <w:tcW w:w="2844" w:type="dxa"/>
            <w:gridSpan w:val="3"/>
            <w:tcBorders>
              <w:top w:val="single" w:sz="12" w:space="0" w:color="auto"/>
              <w:left w:val="single" w:sz="12" w:space="0" w:color="auto"/>
              <w:bottom w:val="single" w:sz="12" w:space="0" w:color="auto"/>
            </w:tcBorders>
            <w:vAlign w:val="center"/>
          </w:tcPr>
          <w:p w14:paraId="76468BE0" w14:textId="77777777" w:rsidR="00BE0A2F" w:rsidRPr="006B0F72" w:rsidRDefault="00BE0A2F" w:rsidP="00BE0A2F">
            <w:pPr>
              <w:ind w:right="-29"/>
              <w:jc w:val="center"/>
              <w:rPr>
                <w:noProof/>
                <w:color w:val="000000" w:themeColor="text1"/>
                <w:sz w:val="18"/>
                <w:szCs w:val="18"/>
              </w:rPr>
            </w:pPr>
            <w:r w:rsidRPr="006B0F72">
              <w:rPr>
                <w:b/>
                <w:noProof/>
                <w:color w:val="000000" w:themeColor="text1"/>
                <w:sz w:val="18"/>
              </w:rPr>
              <w:t>SKUPAJ</w:t>
            </w:r>
          </w:p>
        </w:tc>
        <w:tc>
          <w:tcPr>
            <w:tcW w:w="504" w:type="dxa"/>
            <w:tcBorders>
              <w:top w:val="single" w:sz="12" w:space="0" w:color="auto"/>
              <w:bottom w:val="single" w:sz="12" w:space="0" w:color="auto"/>
            </w:tcBorders>
          </w:tcPr>
          <w:p w14:paraId="0B70FCF3"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08A4B166" w14:textId="77777777" w:rsidR="00BE0A2F" w:rsidRPr="006B0F72"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31365598"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0C7E8343"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6C7E490D"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43C55BE7" w14:textId="77777777" w:rsidR="00BE0A2F" w:rsidRPr="006B0F72" w:rsidRDefault="00BE0A2F" w:rsidP="00BE0A2F">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tcBorders>
          </w:tcPr>
          <w:p w14:paraId="05638137" w14:textId="77777777" w:rsidR="00BE0A2F" w:rsidRPr="006B0F72" w:rsidRDefault="00BE0A2F" w:rsidP="00BE0A2F">
            <w:pPr>
              <w:spacing w:before="180" w:after="180"/>
              <w:ind w:right="-29"/>
              <w:jc w:val="center"/>
              <w:rPr>
                <w:noProof/>
                <w:color w:val="000000" w:themeColor="text1"/>
                <w:sz w:val="18"/>
                <w:szCs w:val="18"/>
              </w:rPr>
            </w:pPr>
          </w:p>
        </w:tc>
        <w:tc>
          <w:tcPr>
            <w:tcW w:w="720" w:type="dxa"/>
            <w:gridSpan w:val="2"/>
            <w:tcBorders>
              <w:top w:val="single" w:sz="12" w:space="0" w:color="auto"/>
              <w:bottom w:val="single" w:sz="12" w:space="0" w:color="auto"/>
            </w:tcBorders>
          </w:tcPr>
          <w:p w14:paraId="5560DBB8" w14:textId="77777777" w:rsidR="00BE0A2F" w:rsidRPr="006B0F72"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7FD9F948" w14:textId="77777777" w:rsidR="00BE0A2F" w:rsidRPr="006B0F72" w:rsidRDefault="00BE0A2F" w:rsidP="00BE0A2F">
            <w:pPr>
              <w:spacing w:before="180" w:after="180"/>
              <w:ind w:right="-29"/>
              <w:jc w:val="center"/>
              <w:rPr>
                <w:noProof/>
                <w:color w:val="000000" w:themeColor="text1"/>
                <w:sz w:val="18"/>
                <w:szCs w:val="18"/>
              </w:rPr>
            </w:pPr>
          </w:p>
        </w:tc>
        <w:tc>
          <w:tcPr>
            <w:tcW w:w="648" w:type="dxa"/>
            <w:tcBorders>
              <w:top w:val="single" w:sz="12" w:space="0" w:color="auto"/>
              <w:bottom w:val="single" w:sz="12" w:space="0" w:color="auto"/>
            </w:tcBorders>
          </w:tcPr>
          <w:p w14:paraId="683D3E62" w14:textId="77777777" w:rsidR="00BE0A2F" w:rsidRPr="006B0F72" w:rsidRDefault="00BE0A2F" w:rsidP="00BE0A2F">
            <w:pPr>
              <w:spacing w:before="180" w:after="180"/>
              <w:ind w:right="-29"/>
              <w:jc w:val="center"/>
              <w:rPr>
                <w:noProof/>
                <w:color w:val="000000" w:themeColor="text1"/>
                <w:sz w:val="18"/>
                <w:szCs w:val="18"/>
              </w:rPr>
            </w:pPr>
          </w:p>
        </w:tc>
        <w:tc>
          <w:tcPr>
            <w:tcW w:w="432" w:type="dxa"/>
            <w:tcBorders>
              <w:top w:val="single" w:sz="12" w:space="0" w:color="auto"/>
              <w:bottom w:val="single" w:sz="12" w:space="0" w:color="auto"/>
            </w:tcBorders>
          </w:tcPr>
          <w:p w14:paraId="108F1FEE"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5DC89745" w14:textId="77777777" w:rsidR="00BE0A2F" w:rsidRPr="006B0F72"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7360198A"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48C0BD6A" w14:textId="77777777" w:rsidR="00BE0A2F" w:rsidRPr="006B0F72"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252F7622" w14:textId="77777777" w:rsidR="00BE0A2F" w:rsidRPr="006B0F72" w:rsidRDefault="00BE0A2F" w:rsidP="00BE0A2F">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right w:val="single" w:sz="12" w:space="0" w:color="auto"/>
            </w:tcBorders>
          </w:tcPr>
          <w:p w14:paraId="28D3BC09" w14:textId="77777777" w:rsidR="00BE0A2F" w:rsidRPr="006B0F72" w:rsidRDefault="00BE0A2F" w:rsidP="00BE0A2F">
            <w:pPr>
              <w:spacing w:before="180" w:after="180"/>
              <w:ind w:right="-29"/>
              <w:jc w:val="center"/>
              <w:rPr>
                <w:noProof/>
                <w:color w:val="000000" w:themeColor="text1"/>
                <w:sz w:val="18"/>
                <w:szCs w:val="18"/>
              </w:rPr>
            </w:pPr>
          </w:p>
        </w:tc>
      </w:tr>
    </w:tbl>
    <w:p w14:paraId="2E68EBC2" w14:textId="77777777" w:rsidR="00BE0A2F" w:rsidRPr="006B0F72" w:rsidRDefault="00BE0A2F" w:rsidP="00BE0A2F">
      <w:pPr>
        <w:rPr>
          <w:noProof/>
          <w:color w:val="000000" w:themeColor="text1"/>
        </w:rPr>
      </w:pPr>
    </w:p>
    <w:p w14:paraId="0A294E04" w14:textId="77777777" w:rsidR="00BE0A2F" w:rsidRPr="006B0F72" w:rsidRDefault="00BE0A2F" w:rsidP="00BE0A2F">
      <w:pPr>
        <w:spacing w:before="0" w:after="200" w:line="276" w:lineRule="auto"/>
        <w:jc w:val="left"/>
        <w:rPr>
          <w:noProof/>
          <w:color w:val="000000" w:themeColor="text1"/>
        </w:rPr>
      </w:pPr>
      <w:r w:rsidRPr="006B0F72">
        <w:rPr>
          <w:noProof/>
        </w:rPr>
        <w:br w:type="page"/>
      </w:r>
    </w:p>
    <w:p w14:paraId="6DA2AF70" w14:textId="2FC36D8D" w:rsidR="00BE0A2F" w:rsidRPr="006B0F72" w:rsidRDefault="00652A97" w:rsidP="00652A97">
      <w:pPr>
        <w:pStyle w:val="ManualHeading3"/>
        <w:rPr>
          <w:noProof/>
        </w:rPr>
      </w:pPr>
      <w:r w:rsidRPr="00652A97">
        <w:rPr>
          <w:noProof/>
        </w:rPr>
        <w:t>3.2.3.</w:t>
      </w:r>
      <w:r w:rsidRPr="00652A97">
        <w:rPr>
          <w:noProof/>
        </w:rPr>
        <w:tab/>
      </w:r>
      <w:r w:rsidR="00BE0A2F" w:rsidRPr="006B0F72">
        <w:rPr>
          <w:noProof/>
        </w:rPr>
        <w:t>Povzetek ocenjenih posledic za človeške vire</w:t>
      </w:r>
    </w:p>
    <w:p w14:paraId="1531608A" w14:textId="77777777" w:rsidR="00BE0A2F" w:rsidRPr="006B0F72" w:rsidRDefault="00BE0A2F" w:rsidP="00B0251E">
      <w:pPr>
        <w:keepNext/>
        <w:outlineLvl w:val="3"/>
        <w:rPr>
          <w:i/>
          <w:noProof/>
          <w:color w:val="000000" w:themeColor="text1"/>
          <w:szCs w:val="24"/>
        </w:rPr>
      </w:pPr>
      <w:r w:rsidRPr="006B0F72">
        <w:rPr>
          <w:i/>
          <w:noProof/>
          <w:color w:val="000000" w:themeColor="text1"/>
        </w:rPr>
        <w:t>v agenciji EEA;</w:t>
      </w:r>
    </w:p>
    <w:p w14:paraId="2251438F" w14:textId="77777777" w:rsidR="00BE0A2F" w:rsidRPr="006B0F72" w:rsidRDefault="00BE0A2F" w:rsidP="00B0251E">
      <w:pPr>
        <w:pStyle w:val="ListDash1"/>
        <w:rPr>
          <w:noProof/>
        </w:rPr>
      </w:pPr>
      <w:r w:rsidRPr="006B0F72">
        <w:rPr>
          <w:noProof/>
        </w:rPr>
        <w:sym w:font="Wingdings" w:char="F0A8"/>
      </w:r>
      <w:r w:rsidRPr="006B0F72">
        <w:rPr>
          <w:noProof/>
        </w:rPr>
        <w:tab/>
        <w:t xml:space="preserve">Za predlog/pobudo niso potrebne odobritve za upravne zadeve. </w:t>
      </w:r>
    </w:p>
    <w:p w14:paraId="22998BFC" w14:textId="77777777" w:rsidR="00BE0A2F" w:rsidRPr="006B0F72" w:rsidRDefault="00BE0A2F" w:rsidP="00B0251E">
      <w:pPr>
        <w:pStyle w:val="ListDash1"/>
        <w:rPr>
          <w:noProof/>
        </w:rPr>
      </w:pPr>
      <w:r w:rsidRPr="006B0F72">
        <w:rPr>
          <w:noProof/>
        </w:rPr>
        <w:sym w:font="Wingdings" w:char="F0FE"/>
      </w:r>
      <w:r w:rsidRPr="006B0F72">
        <w:rPr>
          <w:noProof/>
        </w:rPr>
        <w:tab/>
        <w:t>Za predlog/pobudo so potrebne odobritve za upravne zadeve, kot je pojasnjeno v nadaljevanju:</w:t>
      </w:r>
    </w:p>
    <w:p w14:paraId="779BFD83" w14:textId="77777777" w:rsidR="00BE0A2F" w:rsidRPr="006B0F72" w:rsidRDefault="00BE0A2F" w:rsidP="00BE0A2F">
      <w:pPr>
        <w:rPr>
          <w:b/>
          <w:noProof/>
          <w:color w:val="000000" w:themeColor="text1"/>
        </w:rPr>
      </w:pPr>
      <w:r w:rsidRPr="006B0F72">
        <w:rPr>
          <w:noProof/>
          <w:color w:val="000000" w:themeColor="text1"/>
        </w:rPr>
        <w:t xml:space="preserve"> </w:t>
      </w:r>
    </w:p>
    <w:p w14:paraId="365988EB" w14:textId="77777777" w:rsidR="00BE0A2F" w:rsidRPr="006B0F72" w:rsidRDefault="00BE0A2F" w:rsidP="00BE0A2F">
      <w:pPr>
        <w:tabs>
          <w:tab w:val="num" w:pos="1134"/>
        </w:tabs>
        <w:ind w:left="1134" w:hanging="283"/>
        <w:rPr>
          <w:rFonts w:eastAsia="Times New Roman"/>
          <w:b/>
          <w:noProof/>
          <w:color w:val="000000" w:themeColor="text1"/>
        </w:rPr>
      </w:pPr>
      <w:r w:rsidRPr="006B0F72">
        <w:rPr>
          <w:b/>
          <w:noProof/>
          <w:color w:val="000000" w:themeColor="text1"/>
        </w:rPr>
        <w:t>potrebe po osebju v agenciji EEA (v mio. EUR (na tri decimalna mesta natančno))</w:t>
      </w:r>
    </w:p>
    <w:tbl>
      <w:tblPr>
        <w:tblW w:w="1148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992"/>
        <w:gridCol w:w="993"/>
        <w:gridCol w:w="1134"/>
        <w:gridCol w:w="1019"/>
        <w:gridCol w:w="1151"/>
        <w:gridCol w:w="9"/>
        <w:gridCol w:w="10"/>
        <w:gridCol w:w="1213"/>
        <w:gridCol w:w="2268"/>
      </w:tblGrid>
      <w:tr w:rsidR="00BE0A2F" w:rsidRPr="006B0F72" w14:paraId="547B7582" w14:textId="77777777" w:rsidTr="00BE0A2F">
        <w:trPr>
          <w:trHeight w:val="585"/>
        </w:trPr>
        <w:tc>
          <w:tcPr>
            <w:tcW w:w="2694" w:type="dxa"/>
          </w:tcPr>
          <w:p w14:paraId="23E682CE" w14:textId="77777777" w:rsidR="00BE0A2F" w:rsidRPr="006B0F72" w:rsidRDefault="00BE0A2F" w:rsidP="00BE0A2F">
            <w:pPr>
              <w:spacing w:before="40" w:after="40"/>
              <w:rPr>
                <w:rFonts w:eastAsia="Calibri"/>
                <w:noProof/>
                <w:color w:val="000000" w:themeColor="text1"/>
                <w:sz w:val="18"/>
                <w:szCs w:val="18"/>
              </w:rPr>
            </w:pPr>
          </w:p>
        </w:tc>
        <w:tc>
          <w:tcPr>
            <w:tcW w:w="992" w:type="dxa"/>
            <w:vAlign w:val="center"/>
          </w:tcPr>
          <w:p w14:paraId="5D34CDBC"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2022</w:t>
            </w:r>
          </w:p>
        </w:tc>
        <w:tc>
          <w:tcPr>
            <w:tcW w:w="993" w:type="dxa"/>
            <w:vAlign w:val="center"/>
          </w:tcPr>
          <w:p w14:paraId="4DC58847"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2023</w:t>
            </w:r>
          </w:p>
        </w:tc>
        <w:tc>
          <w:tcPr>
            <w:tcW w:w="1134" w:type="dxa"/>
            <w:vAlign w:val="center"/>
          </w:tcPr>
          <w:p w14:paraId="2E09E39C"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2024</w:t>
            </w:r>
          </w:p>
        </w:tc>
        <w:tc>
          <w:tcPr>
            <w:tcW w:w="1019" w:type="dxa"/>
            <w:vAlign w:val="center"/>
          </w:tcPr>
          <w:p w14:paraId="4C6DAD04"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2025</w:t>
            </w:r>
          </w:p>
        </w:tc>
        <w:tc>
          <w:tcPr>
            <w:tcW w:w="1170" w:type="dxa"/>
            <w:gridSpan w:val="3"/>
            <w:vAlign w:val="center"/>
          </w:tcPr>
          <w:p w14:paraId="26934806"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2026</w:t>
            </w:r>
          </w:p>
        </w:tc>
        <w:tc>
          <w:tcPr>
            <w:tcW w:w="1213" w:type="dxa"/>
            <w:vAlign w:val="center"/>
          </w:tcPr>
          <w:p w14:paraId="7B3ED249"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2027</w:t>
            </w:r>
          </w:p>
        </w:tc>
        <w:tc>
          <w:tcPr>
            <w:tcW w:w="2268" w:type="dxa"/>
            <w:vAlign w:val="center"/>
          </w:tcPr>
          <w:p w14:paraId="34163EFE" w14:textId="77777777" w:rsidR="00BE0A2F" w:rsidRPr="006B0F72" w:rsidRDefault="00BE0A2F" w:rsidP="00BE0A2F">
            <w:pPr>
              <w:spacing w:before="40" w:after="40"/>
              <w:jc w:val="center"/>
              <w:rPr>
                <w:rFonts w:eastAsia="Calibri"/>
                <w:b/>
                <w:noProof/>
                <w:color w:val="000000" w:themeColor="text1"/>
                <w:sz w:val="18"/>
                <w:szCs w:val="18"/>
              </w:rPr>
            </w:pPr>
            <w:r w:rsidRPr="006B0F72">
              <w:rPr>
                <w:b/>
                <w:noProof/>
                <w:color w:val="000000" w:themeColor="text1"/>
                <w:sz w:val="18"/>
              </w:rPr>
              <w:t>SKUPAJ</w:t>
            </w:r>
          </w:p>
        </w:tc>
      </w:tr>
      <w:tr w:rsidR="004B7DAE" w:rsidRPr="006B0F72" w14:paraId="2AC5CD11" w14:textId="77777777" w:rsidTr="00BE0A2F">
        <w:trPr>
          <w:trHeight w:val="585"/>
        </w:trPr>
        <w:tc>
          <w:tcPr>
            <w:tcW w:w="2694" w:type="dxa"/>
            <w:shd w:val="clear" w:color="auto" w:fill="D9D9D9"/>
            <w:vAlign w:val="center"/>
          </w:tcPr>
          <w:p w14:paraId="1F57D0E6" w14:textId="77777777" w:rsidR="00BE0A2F" w:rsidRPr="006B0F72" w:rsidRDefault="00BE0A2F" w:rsidP="00BE0A2F">
            <w:pPr>
              <w:spacing w:before="40" w:after="40"/>
              <w:jc w:val="center"/>
              <w:rPr>
                <w:rFonts w:eastAsia="Calibri"/>
                <w:noProof/>
                <w:color w:val="000000" w:themeColor="text1"/>
                <w:sz w:val="18"/>
                <w:szCs w:val="18"/>
              </w:rPr>
            </w:pPr>
            <w:r w:rsidRPr="006B0F72">
              <w:rPr>
                <w:noProof/>
                <w:color w:val="000000" w:themeColor="text1"/>
                <w:sz w:val="18"/>
              </w:rPr>
              <w:t>Začasni uslužbenci (razredi AD)</w:t>
            </w:r>
          </w:p>
        </w:tc>
        <w:tc>
          <w:tcPr>
            <w:tcW w:w="992" w:type="dxa"/>
            <w:tcBorders>
              <w:top w:val="single" w:sz="4" w:space="0" w:color="auto"/>
              <w:left w:val="single" w:sz="4" w:space="0" w:color="auto"/>
              <w:bottom w:val="single" w:sz="4" w:space="0" w:color="auto"/>
              <w:right w:val="single" w:sz="4" w:space="0" w:color="auto"/>
            </w:tcBorders>
            <w:vAlign w:val="center"/>
          </w:tcPr>
          <w:p w14:paraId="06F5C4C6" w14:textId="77777777" w:rsidR="00BE0A2F" w:rsidRPr="006B0F72" w:rsidRDefault="00BE0A2F" w:rsidP="00BE0A2F">
            <w:pPr>
              <w:spacing w:before="40" w:after="40"/>
              <w:jc w:val="center"/>
              <w:rPr>
                <w:rFonts w:eastAsia="Calibri"/>
                <w:noProof/>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D8AA2C5" w14:textId="77777777" w:rsidR="00BE0A2F" w:rsidRPr="006B0F72" w:rsidRDefault="00D14556" w:rsidP="00BE0A2F">
            <w:pPr>
              <w:jc w:val="center"/>
              <w:rPr>
                <w:noProof/>
                <w:sz w:val="18"/>
              </w:rPr>
            </w:pPr>
            <w:r w:rsidRPr="006B0F72">
              <w:rPr>
                <w:noProof/>
                <w:sz w:val="18"/>
              </w:rPr>
              <w:t>0,632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9313F0" w14:textId="77777777" w:rsidR="00BE0A2F" w:rsidRPr="006B0F72" w:rsidRDefault="00BE0A2F" w:rsidP="00BE0A2F">
            <w:pPr>
              <w:jc w:val="center"/>
              <w:rPr>
                <w:noProof/>
                <w:sz w:val="18"/>
              </w:rPr>
            </w:pPr>
            <w:r w:rsidRPr="006B0F72">
              <w:rPr>
                <w:noProof/>
                <w:sz w:val="18"/>
              </w:rPr>
              <w:t>1,289</w:t>
            </w:r>
          </w:p>
        </w:tc>
        <w:tc>
          <w:tcPr>
            <w:tcW w:w="1019" w:type="dxa"/>
            <w:tcBorders>
              <w:top w:val="single" w:sz="4" w:space="0" w:color="auto"/>
              <w:left w:val="nil"/>
              <w:bottom w:val="single" w:sz="4" w:space="0" w:color="auto"/>
              <w:right w:val="single" w:sz="4" w:space="0" w:color="auto"/>
            </w:tcBorders>
            <w:shd w:val="clear" w:color="auto" w:fill="auto"/>
            <w:vAlign w:val="bottom"/>
          </w:tcPr>
          <w:p w14:paraId="2770DD1E" w14:textId="77777777" w:rsidR="00BE0A2F" w:rsidRPr="006B0F72" w:rsidRDefault="00BE0A2F" w:rsidP="00BE0A2F">
            <w:pPr>
              <w:jc w:val="center"/>
              <w:rPr>
                <w:noProof/>
                <w:sz w:val="18"/>
              </w:rPr>
            </w:pPr>
            <w:r w:rsidRPr="006B0F72">
              <w:rPr>
                <w:noProof/>
                <w:sz w:val="18"/>
              </w:rPr>
              <w:t>1,315</w:t>
            </w:r>
          </w:p>
        </w:tc>
        <w:tc>
          <w:tcPr>
            <w:tcW w:w="1151" w:type="dxa"/>
            <w:tcBorders>
              <w:top w:val="single" w:sz="4" w:space="0" w:color="auto"/>
              <w:left w:val="nil"/>
              <w:bottom w:val="single" w:sz="4" w:space="0" w:color="auto"/>
              <w:right w:val="single" w:sz="4" w:space="0" w:color="auto"/>
            </w:tcBorders>
            <w:shd w:val="clear" w:color="auto" w:fill="auto"/>
            <w:vAlign w:val="bottom"/>
          </w:tcPr>
          <w:p w14:paraId="2FDF9633" w14:textId="77777777" w:rsidR="00BE0A2F" w:rsidRPr="006B0F72" w:rsidRDefault="00BE0A2F" w:rsidP="00BE0A2F">
            <w:pPr>
              <w:jc w:val="center"/>
              <w:rPr>
                <w:noProof/>
                <w:sz w:val="18"/>
              </w:rPr>
            </w:pPr>
            <w:r w:rsidRPr="006B0F72">
              <w:rPr>
                <w:noProof/>
                <w:sz w:val="18"/>
              </w:rPr>
              <w:t>1,342</w:t>
            </w:r>
          </w:p>
        </w:tc>
        <w:tc>
          <w:tcPr>
            <w:tcW w:w="1232" w:type="dxa"/>
            <w:gridSpan w:val="3"/>
            <w:tcBorders>
              <w:top w:val="single" w:sz="4" w:space="0" w:color="auto"/>
              <w:left w:val="nil"/>
              <w:bottom w:val="single" w:sz="4" w:space="0" w:color="auto"/>
              <w:right w:val="single" w:sz="4" w:space="0" w:color="auto"/>
            </w:tcBorders>
            <w:shd w:val="clear" w:color="auto" w:fill="auto"/>
            <w:vAlign w:val="bottom"/>
          </w:tcPr>
          <w:p w14:paraId="2F91F540" w14:textId="77777777" w:rsidR="00BE0A2F" w:rsidRPr="006B0F72" w:rsidRDefault="00BE0A2F" w:rsidP="00BE0A2F">
            <w:pPr>
              <w:jc w:val="center"/>
              <w:rPr>
                <w:noProof/>
                <w:sz w:val="18"/>
              </w:rPr>
            </w:pPr>
            <w:r w:rsidRPr="006B0F72">
              <w:rPr>
                <w:noProof/>
                <w:sz w:val="18"/>
              </w:rPr>
              <w:t>1,368</w:t>
            </w:r>
          </w:p>
        </w:tc>
        <w:tc>
          <w:tcPr>
            <w:tcW w:w="2268" w:type="dxa"/>
            <w:tcBorders>
              <w:top w:val="single" w:sz="4" w:space="0" w:color="auto"/>
              <w:left w:val="nil"/>
              <w:bottom w:val="single" w:sz="4" w:space="0" w:color="auto"/>
              <w:right w:val="single" w:sz="8" w:space="0" w:color="auto"/>
            </w:tcBorders>
            <w:shd w:val="clear" w:color="auto" w:fill="auto"/>
            <w:vAlign w:val="bottom"/>
          </w:tcPr>
          <w:p w14:paraId="0D7A601C" w14:textId="77777777" w:rsidR="00BE0A2F" w:rsidRPr="006B0F72" w:rsidRDefault="00D14556" w:rsidP="00BE0A2F">
            <w:pPr>
              <w:spacing w:before="40" w:after="40"/>
              <w:jc w:val="center"/>
              <w:rPr>
                <w:b/>
                <w:noProof/>
                <w:sz w:val="18"/>
              </w:rPr>
            </w:pPr>
            <w:r w:rsidRPr="006B0F72">
              <w:rPr>
                <w:noProof/>
                <w:sz w:val="18"/>
              </w:rPr>
              <w:t>5,947</w:t>
            </w:r>
          </w:p>
        </w:tc>
      </w:tr>
      <w:tr w:rsidR="004B7DAE" w:rsidRPr="006B0F72" w14:paraId="51CA8D7C" w14:textId="77777777" w:rsidTr="00BE0A2F">
        <w:trPr>
          <w:trHeight w:val="393"/>
        </w:trPr>
        <w:tc>
          <w:tcPr>
            <w:tcW w:w="2694" w:type="dxa"/>
            <w:shd w:val="clear" w:color="auto" w:fill="BFBFBF"/>
            <w:vAlign w:val="center"/>
          </w:tcPr>
          <w:p w14:paraId="0158D62D" w14:textId="77777777" w:rsidR="00BE0A2F" w:rsidRPr="006B0F72" w:rsidRDefault="00BE0A2F" w:rsidP="00BE0A2F">
            <w:pPr>
              <w:spacing w:before="40" w:after="40"/>
              <w:ind w:left="72"/>
              <w:rPr>
                <w:rFonts w:eastAsia="Calibri"/>
                <w:noProof/>
                <w:color w:val="000000" w:themeColor="text1"/>
                <w:sz w:val="18"/>
                <w:szCs w:val="18"/>
              </w:rPr>
            </w:pPr>
            <w:r w:rsidRPr="006B0F72">
              <w:rPr>
                <w:noProof/>
                <w:color w:val="000000" w:themeColor="text1"/>
                <w:sz w:val="18"/>
              </w:rPr>
              <w:t>Začasni uslužbenci (razredi AST)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1D3D63" w14:textId="77777777" w:rsidR="00BE0A2F" w:rsidRPr="006B0F72" w:rsidRDefault="00BE0A2F" w:rsidP="00BE0A2F">
            <w:pPr>
              <w:spacing w:before="40" w:after="40"/>
              <w:jc w:val="center"/>
              <w:rPr>
                <w:rFonts w:eastAsia="Calibri"/>
                <w:noProof/>
                <w:color w:val="000000" w:themeColor="text1"/>
                <w:sz w:val="18"/>
                <w:szCs w:val="18"/>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24C8CBEB" w14:textId="77777777" w:rsidR="00BE0A2F" w:rsidRPr="006B0F72" w:rsidRDefault="00D14556" w:rsidP="00BE0A2F">
            <w:pPr>
              <w:jc w:val="center"/>
              <w:rPr>
                <w:noProof/>
                <w:sz w:val="18"/>
              </w:rPr>
            </w:pPr>
            <w:r w:rsidRPr="006B0F72">
              <w:rPr>
                <w:noProof/>
                <w:sz w:val="18"/>
              </w:rPr>
              <w:t>0,105</w:t>
            </w:r>
          </w:p>
        </w:tc>
        <w:tc>
          <w:tcPr>
            <w:tcW w:w="1134" w:type="dxa"/>
            <w:tcBorders>
              <w:top w:val="nil"/>
              <w:left w:val="nil"/>
              <w:bottom w:val="single" w:sz="4" w:space="0" w:color="auto"/>
              <w:right w:val="single" w:sz="4" w:space="0" w:color="auto"/>
            </w:tcBorders>
            <w:shd w:val="clear" w:color="auto" w:fill="auto"/>
            <w:vAlign w:val="bottom"/>
          </w:tcPr>
          <w:p w14:paraId="4643CA37" w14:textId="77777777" w:rsidR="00BE0A2F" w:rsidRPr="006B0F72" w:rsidRDefault="00BE0A2F" w:rsidP="00BE0A2F">
            <w:pPr>
              <w:jc w:val="center"/>
              <w:rPr>
                <w:noProof/>
                <w:sz w:val="18"/>
              </w:rPr>
            </w:pPr>
            <w:r w:rsidRPr="006B0F72">
              <w:rPr>
                <w:noProof/>
                <w:sz w:val="18"/>
              </w:rPr>
              <w:t>0,215</w:t>
            </w:r>
          </w:p>
        </w:tc>
        <w:tc>
          <w:tcPr>
            <w:tcW w:w="1019" w:type="dxa"/>
            <w:tcBorders>
              <w:top w:val="nil"/>
              <w:left w:val="nil"/>
              <w:bottom w:val="single" w:sz="4" w:space="0" w:color="auto"/>
              <w:right w:val="single" w:sz="4" w:space="0" w:color="auto"/>
            </w:tcBorders>
            <w:shd w:val="clear" w:color="auto" w:fill="auto"/>
            <w:vAlign w:val="bottom"/>
          </w:tcPr>
          <w:p w14:paraId="31B183A3" w14:textId="77777777" w:rsidR="00BE0A2F" w:rsidRPr="006B0F72" w:rsidRDefault="00BE0A2F" w:rsidP="00BE0A2F">
            <w:pPr>
              <w:jc w:val="center"/>
              <w:rPr>
                <w:b/>
                <w:noProof/>
                <w:sz w:val="18"/>
              </w:rPr>
            </w:pPr>
            <w:r w:rsidRPr="006B0F72">
              <w:rPr>
                <w:noProof/>
                <w:sz w:val="18"/>
              </w:rPr>
              <w:t>0,219</w:t>
            </w:r>
          </w:p>
        </w:tc>
        <w:tc>
          <w:tcPr>
            <w:tcW w:w="1151" w:type="dxa"/>
            <w:tcBorders>
              <w:top w:val="nil"/>
              <w:left w:val="nil"/>
              <w:bottom w:val="single" w:sz="4" w:space="0" w:color="auto"/>
              <w:right w:val="single" w:sz="4" w:space="0" w:color="auto"/>
            </w:tcBorders>
            <w:shd w:val="clear" w:color="auto" w:fill="auto"/>
            <w:vAlign w:val="bottom"/>
          </w:tcPr>
          <w:p w14:paraId="0213CE06" w14:textId="77777777" w:rsidR="00BE0A2F" w:rsidRPr="006B0F72" w:rsidRDefault="00BE0A2F" w:rsidP="00BE0A2F">
            <w:pPr>
              <w:jc w:val="center"/>
              <w:rPr>
                <w:b/>
                <w:noProof/>
                <w:sz w:val="18"/>
              </w:rPr>
            </w:pPr>
            <w:r w:rsidRPr="006B0F72">
              <w:rPr>
                <w:noProof/>
                <w:sz w:val="18"/>
              </w:rPr>
              <w:t>0,224</w:t>
            </w:r>
          </w:p>
        </w:tc>
        <w:tc>
          <w:tcPr>
            <w:tcW w:w="1232" w:type="dxa"/>
            <w:gridSpan w:val="3"/>
            <w:tcBorders>
              <w:top w:val="nil"/>
              <w:left w:val="nil"/>
              <w:bottom w:val="single" w:sz="4" w:space="0" w:color="auto"/>
              <w:right w:val="single" w:sz="4" w:space="0" w:color="auto"/>
            </w:tcBorders>
            <w:shd w:val="clear" w:color="auto" w:fill="auto"/>
            <w:vAlign w:val="bottom"/>
          </w:tcPr>
          <w:p w14:paraId="4CD36C6F" w14:textId="77777777" w:rsidR="00BE0A2F" w:rsidRPr="006B0F72" w:rsidRDefault="00BE0A2F" w:rsidP="00BE0A2F">
            <w:pPr>
              <w:jc w:val="center"/>
              <w:rPr>
                <w:b/>
                <w:noProof/>
                <w:sz w:val="18"/>
              </w:rPr>
            </w:pPr>
            <w:r w:rsidRPr="006B0F72">
              <w:rPr>
                <w:noProof/>
                <w:sz w:val="18"/>
              </w:rPr>
              <w:t>0,228</w:t>
            </w:r>
          </w:p>
        </w:tc>
        <w:tc>
          <w:tcPr>
            <w:tcW w:w="2268" w:type="dxa"/>
            <w:tcBorders>
              <w:top w:val="nil"/>
              <w:left w:val="nil"/>
              <w:bottom w:val="single" w:sz="4" w:space="0" w:color="auto"/>
              <w:right w:val="single" w:sz="8" w:space="0" w:color="auto"/>
            </w:tcBorders>
            <w:shd w:val="clear" w:color="auto" w:fill="auto"/>
            <w:vAlign w:val="bottom"/>
          </w:tcPr>
          <w:p w14:paraId="65F3B744" w14:textId="77777777" w:rsidR="00BE0A2F" w:rsidRPr="006B0F72" w:rsidRDefault="00D14556" w:rsidP="00BE0A2F">
            <w:pPr>
              <w:spacing w:before="40" w:after="40"/>
              <w:jc w:val="center"/>
              <w:rPr>
                <w:b/>
                <w:noProof/>
                <w:sz w:val="18"/>
              </w:rPr>
            </w:pPr>
            <w:r w:rsidRPr="006B0F72">
              <w:rPr>
                <w:noProof/>
                <w:sz w:val="18"/>
              </w:rPr>
              <w:t>0,991</w:t>
            </w:r>
          </w:p>
        </w:tc>
      </w:tr>
      <w:tr w:rsidR="004B7DAE" w:rsidRPr="006B0F72" w14:paraId="0E87BBF2" w14:textId="77777777" w:rsidTr="00BE0A2F">
        <w:trPr>
          <w:trHeight w:val="585"/>
        </w:trPr>
        <w:tc>
          <w:tcPr>
            <w:tcW w:w="2694" w:type="dxa"/>
            <w:shd w:val="clear" w:color="auto" w:fill="BFBFBF"/>
            <w:vAlign w:val="center"/>
          </w:tcPr>
          <w:p w14:paraId="62A2A975" w14:textId="77777777" w:rsidR="00BE0A2F" w:rsidRPr="006B0F72" w:rsidRDefault="00BE0A2F" w:rsidP="00BE0A2F">
            <w:pPr>
              <w:spacing w:before="40" w:after="40"/>
              <w:ind w:left="72"/>
              <w:rPr>
                <w:rFonts w:eastAsia="Calibri"/>
                <w:noProof/>
                <w:color w:val="000000" w:themeColor="text1"/>
                <w:sz w:val="18"/>
                <w:szCs w:val="18"/>
              </w:rPr>
            </w:pPr>
            <w:r w:rsidRPr="006B0F72">
              <w:rPr>
                <w:noProof/>
                <w:color w:val="000000" w:themeColor="text1"/>
                <w:sz w:val="18"/>
              </w:rPr>
              <w:t>Pogodbeni uslužbenci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BDE6C" w14:textId="77777777" w:rsidR="00BE0A2F" w:rsidRPr="006B0F72" w:rsidRDefault="00BE0A2F" w:rsidP="00BE0A2F">
            <w:pPr>
              <w:spacing w:before="40" w:after="40"/>
              <w:jc w:val="center"/>
              <w:rPr>
                <w:rFonts w:eastAsia="Calibri"/>
                <w:noProof/>
                <w:color w:val="000000" w:themeColor="text1"/>
                <w:sz w:val="18"/>
                <w:szCs w:val="18"/>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1AA0A4D0" w14:textId="77777777" w:rsidR="00BE0A2F" w:rsidRPr="006B0F72" w:rsidRDefault="00D14556" w:rsidP="00BE0A2F">
            <w:pPr>
              <w:jc w:val="center"/>
              <w:rPr>
                <w:noProof/>
                <w:sz w:val="18"/>
              </w:rPr>
            </w:pPr>
            <w:r w:rsidRPr="006B0F72">
              <w:rPr>
                <w:noProof/>
                <w:sz w:val="18"/>
              </w:rPr>
              <w:t>0,285</w:t>
            </w:r>
          </w:p>
        </w:tc>
        <w:tc>
          <w:tcPr>
            <w:tcW w:w="1134" w:type="dxa"/>
            <w:tcBorders>
              <w:top w:val="nil"/>
              <w:left w:val="nil"/>
              <w:bottom w:val="single" w:sz="4" w:space="0" w:color="auto"/>
              <w:right w:val="single" w:sz="4" w:space="0" w:color="auto"/>
            </w:tcBorders>
            <w:shd w:val="clear" w:color="auto" w:fill="auto"/>
            <w:vAlign w:val="bottom"/>
          </w:tcPr>
          <w:p w14:paraId="1FDF6F4B" w14:textId="77777777" w:rsidR="00BE0A2F" w:rsidRPr="006B0F72" w:rsidRDefault="00BE0A2F" w:rsidP="00BE0A2F">
            <w:pPr>
              <w:jc w:val="center"/>
              <w:rPr>
                <w:noProof/>
                <w:sz w:val="18"/>
              </w:rPr>
            </w:pPr>
            <w:r w:rsidRPr="006B0F72">
              <w:rPr>
                <w:noProof/>
                <w:sz w:val="18"/>
              </w:rPr>
              <w:t>0,582</w:t>
            </w:r>
          </w:p>
        </w:tc>
        <w:tc>
          <w:tcPr>
            <w:tcW w:w="1019" w:type="dxa"/>
            <w:tcBorders>
              <w:top w:val="nil"/>
              <w:left w:val="nil"/>
              <w:bottom w:val="single" w:sz="4" w:space="0" w:color="auto"/>
              <w:right w:val="single" w:sz="4" w:space="0" w:color="auto"/>
            </w:tcBorders>
            <w:shd w:val="clear" w:color="auto" w:fill="auto"/>
            <w:vAlign w:val="bottom"/>
          </w:tcPr>
          <w:p w14:paraId="59BD5EC5" w14:textId="77777777" w:rsidR="00BE0A2F" w:rsidRPr="006B0F72" w:rsidRDefault="00BE0A2F" w:rsidP="00BE0A2F">
            <w:pPr>
              <w:jc w:val="center"/>
              <w:rPr>
                <w:noProof/>
                <w:sz w:val="18"/>
              </w:rPr>
            </w:pPr>
            <w:r w:rsidRPr="006B0F72">
              <w:rPr>
                <w:noProof/>
                <w:sz w:val="18"/>
              </w:rPr>
              <w:t>0,593</w:t>
            </w:r>
          </w:p>
        </w:tc>
        <w:tc>
          <w:tcPr>
            <w:tcW w:w="1151" w:type="dxa"/>
            <w:tcBorders>
              <w:top w:val="nil"/>
              <w:left w:val="nil"/>
              <w:bottom w:val="single" w:sz="4" w:space="0" w:color="auto"/>
              <w:right w:val="single" w:sz="4" w:space="0" w:color="auto"/>
            </w:tcBorders>
            <w:shd w:val="clear" w:color="auto" w:fill="auto"/>
            <w:vAlign w:val="bottom"/>
          </w:tcPr>
          <w:p w14:paraId="50E99331" w14:textId="77777777" w:rsidR="00BE0A2F" w:rsidRPr="006B0F72" w:rsidRDefault="00BE0A2F" w:rsidP="00BE0A2F">
            <w:pPr>
              <w:jc w:val="center"/>
              <w:rPr>
                <w:noProof/>
                <w:sz w:val="18"/>
              </w:rPr>
            </w:pPr>
            <w:r w:rsidRPr="006B0F72">
              <w:rPr>
                <w:noProof/>
                <w:sz w:val="18"/>
              </w:rPr>
              <w:t>0,605</w:t>
            </w:r>
          </w:p>
        </w:tc>
        <w:tc>
          <w:tcPr>
            <w:tcW w:w="1232" w:type="dxa"/>
            <w:gridSpan w:val="3"/>
            <w:tcBorders>
              <w:top w:val="nil"/>
              <w:left w:val="nil"/>
              <w:bottom w:val="single" w:sz="4" w:space="0" w:color="auto"/>
              <w:right w:val="single" w:sz="4" w:space="0" w:color="auto"/>
            </w:tcBorders>
            <w:shd w:val="clear" w:color="auto" w:fill="auto"/>
            <w:vAlign w:val="bottom"/>
          </w:tcPr>
          <w:p w14:paraId="2BC0A0A9" w14:textId="77777777" w:rsidR="00BE0A2F" w:rsidRPr="006B0F72" w:rsidRDefault="00BE0A2F" w:rsidP="00BE0A2F">
            <w:pPr>
              <w:jc w:val="center"/>
              <w:rPr>
                <w:noProof/>
                <w:sz w:val="18"/>
              </w:rPr>
            </w:pPr>
            <w:r w:rsidRPr="006B0F72">
              <w:rPr>
                <w:noProof/>
                <w:sz w:val="18"/>
              </w:rPr>
              <w:t>0,617</w:t>
            </w:r>
          </w:p>
        </w:tc>
        <w:tc>
          <w:tcPr>
            <w:tcW w:w="2268" w:type="dxa"/>
            <w:tcBorders>
              <w:top w:val="nil"/>
              <w:left w:val="nil"/>
              <w:bottom w:val="single" w:sz="4" w:space="0" w:color="auto"/>
              <w:right w:val="single" w:sz="8" w:space="0" w:color="auto"/>
            </w:tcBorders>
            <w:shd w:val="clear" w:color="auto" w:fill="auto"/>
            <w:vAlign w:val="bottom"/>
          </w:tcPr>
          <w:p w14:paraId="17E02F6A" w14:textId="77777777" w:rsidR="00BE0A2F" w:rsidRPr="006B0F72" w:rsidRDefault="00D14556" w:rsidP="00BE0A2F">
            <w:pPr>
              <w:spacing w:before="40" w:after="40"/>
              <w:jc w:val="center"/>
              <w:rPr>
                <w:b/>
                <w:noProof/>
                <w:sz w:val="18"/>
              </w:rPr>
            </w:pPr>
            <w:r w:rsidRPr="006B0F72">
              <w:rPr>
                <w:noProof/>
                <w:sz w:val="18"/>
              </w:rPr>
              <w:t>2,683</w:t>
            </w:r>
          </w:p>
        </w:tc>
      </w:tr>
      <w:tr w:rsidR="00BE0A2F" w:rsidRPr="006B0F72" w14:paraId="5EBE8C00" w14:textId="77777777" w:rsidTr="00BE0A2F">
        <w:trPr>
          <w:trHeight w:val="339"/>
        </w:trPr>
        <w:tc>
          <w:tcPr>
            <w:tcW w:w="2694" w:type="dxa"/>
            <w:shd w:val="clear" w:color="auto" w:fill="CCCCCC"/>
            <w:vAlign w:val="center"/>
          </w:tcPr>
          <w:p w14:paraId="0841DC81" w14:textId="77777777" w:rsidR="00BE0A2F" w:rsidRPr="006B0F72" w:rsidRDefault="00BE0A2F" w:rsidP="00BE0A2F">
            <w:pPr>
              <w:spacing w:before="40" w:after="40"/>
              <w:jc w:val="center"/>
              <w:rPr>
                <w:rFonts w:eastAsia="Calibri"/>
                <w:noProof/>
                <w:color w:val="000000" w:themeColor="text1"/>
                <w:sz w:val="18"/>
                <w:szCs w:val="18"/>
              </w:rPr>
            </w:pPr>
            <w:r w:rsidRPr="006B0F72">
              <w:rPr>
                <w:noProof/>
                <w:color w:val="000000" w:themeColor="text1"/>
                <w:sz w:val="18"/>
              </w:rPr>
              <w:t>Napoteni nacionalni strokovnjaki</w:t>
            </w:r>
          </w:p>
        </w:tc>
        <w:tc>
          <w:tcPr>
            <w:tcW w:w="992" w:type="dxa"/>
            <w:tcBorders>
              <w:top w:val="single" w:sz="4" w:space="0" w:color="auto"/>
            </w:tcBorders>
            <w:vAlign w:val="center"/>
          </w:tcPr>
          <w:p w14:paraId="61B4ED12" w14:textId="77777777" w:rsidR="00BE0A2F" w:rsidRPr="006B0F72" w:rsidRDefault="00BE0A2F" w:rsidP="00BE0A2F">
            <w:pPr>
              <w:spacing w:before="40" w:after="40"/>
              <w:jc w:val="right"/>
              <w:rPr>
                <w:rFonts w:eastAsia="Calibri"/>
                <w:noProof/>
                <w:color w:val="000000" w:themeColor="text1"/>
                <w:sz w:val="18"/>
                <w:szCs w:val="18"/>
              </w:rPr>
            </w:pPr>
          </w:p>
        </w:tc>
        <w:tc>
          <w:tcPr>
            <w:tcW w:w="993" w:type="dxa"/>
            <w:tcBorders>
              <w:top w:val="single" w:sz="4" w:space="0" w:color="auto"/>
            </w:tcBorders>
            <w:vAlign w:val="center"/>
          </w:tcPr>
          <w:p w14:paraId="74F7ABD2" w14:textId="77777777" w:rsidR="00BE0A2F" w:rsidRPr="006B0F72" w:rsidRDefault="00BE0A2F" w:rsidP="00BE0A2F">
            <w:pPr>
              <w:spacing w:before="40" w:after="40"/>
              <w:ind w:right="-179"/>
              <w:jc w:val="right"/>
              <w:rPr>
                <w:noProof/>
                <w:sz w:val="18"/>
              </w:rPr>
            </w:pPr>
          </w:p>
        </w:tc>
        <w:tc>
          <w:tcPr>
            <w:tcW w:w="1134" w:type="dxa"/>
            <w:tcBorders>
              <w:top w:val="single" w:sz="4" w:space="0" w:color="auto"/>
            </w:tcBorders>
            <w:vAlign w:val="center"/>
          </w:tcPr>
          <w:p w14:paraId="5C8780C9" w14:textId="77777777" w:rsidR="00BE0A2F" w:rsidRPr="006B0F72" w:rsidRDefault="00BE0A2F" w:rsidP="00BE0A2F">
            <w:pPr>
              <w:spacing w:before="40" w:after="40"/>
              <w:jc w:val="right"/>
              <w:rPr>
                <w:noProof/>
                <w:sz w:val="18"/>
              </w:rPr>
            </w:pPr>
          </w:p>
        </w:tc>
        <w:tc>
          <w:tcPr>
            <w:tcW w:w="1019" w:type="dxa"/>
            <w:tcBorders>
              <w:top w:val="single" w:sz="4" w:space="0" w:color="auto"/>
            </w:tcBorders>
            <w:vAlign w:val="center"/>
          </w:tcPr>
          <w:p w14:paraId="556495A1" w14:textId="77777777" w:rsidR="00BE0A2F" w:rsidRPr="006B0F72" w:rsidRDefault="00BE0A2F" w:rsidP="00BE0A2F">
            <w:pPr>
              <w:spacing w:before="40" w:after="40"/>
              <w:jc w:val="right"/>
              <w:rPr>
                <w:b/>
                <w:noProof/>
                <w:sz w:val="18"/>
              </w:rPr>
            </w:pPr>
          </w:p>
        </w:tc>
        <w:tc>
          <w:tcPr>
            <w:tcW w:w="1151" w:type="dxa"/>
            <w:tcBorders>
              <w:top w:val="single" w:sz="4" w:space="0" w:color="auto"/>
            </w:tcBorders>
          </w:tcPr>
          <w:p w14:paraId="0ECD2FF0" w14:textId="77777777" w:rsidR="00BE0A2F" w:rsidRPr="006B0F72" w:rsidRDefault="00BE0A2F" w:rsidP="00BE0A2F">
            <w:pPr>
              <w:spacing w:before="40" w:after="40"/>
              <w:jc w:val="center"/>
              <w:rPr>
                <w:b/>
                <w:noProof/>
                <w:sz w:val="18"/>
              </w:rPr>
            </w:pPr>
          </w:p>
        </w:tc>
        <w:tc>
          <w:tcPr>
            <w:tcW w:w="1232" w:type="dxa"/>
            <w:gridSpan w:val="3"/>
            <w:tcBorders>
              <w:top w:val="single" w:sz="4" w:space="0" w:color="auto"/>
            </w:tcBorders>
          </w:tcPr>
          <w:p w14:paraId="70B4B39F" w14:textId="77777777" w:rsidR="00BE0A2F" w:rsidRPr="006B0F72" w:rsidRDefault="00BE0A2F" w:rsidP="00BE0A2F">
            <w:pPr>
              <w:spacing w:before="40" w:after="40"/>
              <w:jc w:val="center"/>
              <w:rPr>
                <w:b/>
                <w:noProof/>
                <w:sz w:val="18"/>
              </w:rPr>
            </w:pPr>
          </w:p>
        </w:tc>
        <w:tc>
          <w:tcPr>
            <w:tcW w:w="2268" w:type="dxa"/>
            <w:tcBorders>
              <w:top w:val="single" w:sz="4" w:space="0" w:color="auto"/>
            </w:tcBorders>
            <w:vAlign w:val="center"/>
          </w:tcPr>
          <w:p w14:paraId="5F5BC5C2" w14:textId="77777777" w:rsidR="00BE0A2F" w:rsidRPr="006B0F72" w:rsidRDefault="00BE0A2F" w:rsidP="00BE0A2F">
            <w:pPr>
              <w:spacing w:before="40" w:after="40"/>
              <w:jc w:val="center"/>
              <w:rPr>
                <w:b/>
                <w:noProof/>
                <w:sz w:val="18"/>
              </w:rPr>
            </w:pPr>
          </w:p>
        </w:tc>
      </w:tr>
      <w:tr w:rsidR="004B7DAE" w:rsidRPr="006B0F72" w14:paraId="680D2A68" w14:textId="77777777" w:rsidTr="00BE0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2694" w:type="dxa"/>
            <w:tcBorders>
              <w:top w:val="single" w:sz="12" w:space="0" w:color="auto"/>
              <w:left w:val="single" w:sz="12" w:space="0" w:color="auto"/>
              <w:bottom w:val="single" w:sz="12" w:space="0" w:color="auto"/>
              <w:right w:val="single" w:sz="2" w:space="0" w:color="auto"/>
            </w:tcBorders>
            <w:vAlign w:val="center"/>
          </w:tcPr>
          <w:p w14:paraId="4F0DC4C0" w14:textId="77777777" w:rsidR="00BE0A2F" w:rsidRPr="006B0F72" w:rsidRDefault="00BE0A2F" w:rsidP="00BE0A2F">
            <w:pPr>
              <w:spacing w:before="40" w:after="40"/>
              <w:jc w:val="center"/>
              <w:rPr>
                <w:rFonts w:eastAsia="Calibri"/>
                <w:noProof/>
                <w:color w:val="000000" w:themeColor="text1"/>
                <w:sz w:val="18"/>
                <w:szCs w:val="18"/>
              </w:rPr>
            </w:pPr>
            <w:r w:rsidRPr="006B0F72">
              <w:rPr>
                <w:b/>
                <w:noProof/>
                <w:color w:val="000000" w:themeColor="text1"/>
                <w:sz w:val="18"/>
              </w:rPr>
              <w:t>SKUPAJ</w:t>
            </w:r>
          </w:p>
        </w:tc>
        <w:tc>
          <w:tcPr>
            <w:tcW w:w="992" w:type="dxa"/>
            <w:tcBorders>
              <w:top w:val="single" w:sz="12" w:space="0" w:color="auto"/>
              <w:left w:val="single" w:sz="2" w:space="0" w:color="auto"/>
              <w:bottom w:val="single" w:sz="12" w:space="0" w:color="auto"/>
              <w:right w:val="single" w:sz="2" w:space="0" w:color="auto"/>
            </w:tcBorders>
            <w:vAlign w:val="center"/>
          </w:tcPr>
          <w:p w14:paraId="5E41D10A" w14:textId="77777777" w:rsidR="00BE0A2F" w:rsidRPr="006B0F72" w:rsidRDefault="00BE0A2F" w:rsidP="00BE0A2F">
            <w:pPr>
              <w:spacing w:before="40" w:after="40"/>
              <w:jc w:val="center"/>
              <w:rPr>
                <w:rFonts w:eastAsia="Calibri"/>
                <w:b/>
                <w:noProof/>
                <w:color w:val="000000" w:themeColor="text1"/>
                <w:sz w:val="18"/>
                <w:szCs w:val="18"/>
              </w:rPr>
            </w:pPr>
          </w:p>
        </w:tc>
        <w:tc>
          <w:tcPr>
            <w:tcW w:w="993" w:type="dxa"/>
            <w:tcBorders>
              <w:top w:val="single" w:sz="8" w:space="0" w:color="auto"/>
              <w:left w:val="single" w:sz="4" w:space="0" w:color="auto"/>
              <w:bottom w:val="single" w:sz="8" w:space="0" w:color="auto"/>
              <w:right w:val="single" w:sz="4" w:space="0" w:color="auto"/>
            </w:tcBorders>
            <w:shd w:val="clear" w:color="000000" w:fill="DDEBF7"/>
            <w:vAlign w:val="bottom"/>
          </w:tcPr>
          <w:p w14:paraId="1DFD5DED" w14:textId="77777777" w:rsidR="00BE0A2F" w:rsidRPr="006B0F72" w:rsidRDefault="00D14556" w:rsidP="00BE0A2F">
            <w:pPr>
              <w:spacing w:before="40" w:after="40"/>
              <w:jc w:val="center"/>
              <w:rPr>
                <w:b/>
                <w:noProof/>
                <w:sz w:val="18"/>
              </w:rPr>
            </w:pPr>
            <w:r w:rsidRPr="006B0F72">
              <w:rPr>
                <w:b/>
                <w:noProof/>
                <w:sz w:val="18"/>
              </w:rPr>
              <w:t>1,023</w:t>
            </w:r>
          </w:p>
        </w:tc>
        <w:tc>
          <w:tcPr>
            <w:tcW w:w="1134" w:type="dxa"/>
            <w:tcBorders>
              <w:top w:val="single" w:sz="8" w:space="0" w:color="auto"/>
              <w:left w:val="nil"/>
              <w:bottom w:val="single" w:sz="8" w:space="0" w:color="auto"/>
              <w:right w:val="single" w:sz="4" w:space="0" w:color="auto"/>
            </w:tcBorders>
            <w:shd w:val="clear" w:color="000000" w:fill="DDEBF7"/>
            <w:vAlign w:val="bottom"/>
          </w:tcPr>
          <w:p w14:paraId="1C091927" w14:textId="77777777" w:rsidR="00BE0A2F" w:rsidRPr="006B0F72" w:rsidRDefault="00BE0A2F" w:rsidP="00BE0A2F">
            <w:pPr>
              <w:spacing w:before="40" w:after="40"/>
              <w:jc w:val="center"/>
              <w:rPr>
                <w:b/>
                <w:noProof/>
                <w:sz w:val="18"/>
              </w:rPr>
            </w:pPr>
            <w:r w:rsidRPr="006B0F72">
              <w:rPr>
                <w:b/>
                <w:noProof/>
                <w:sz w:val="18"/>
              </w:rPr>
              <w:t>2,086</w:t>
            </w:r>
          </w:p>
        </w:tc>
        <w:tc>
          <w:tcPr>
            <w:tcW w:w="1019" w:type="dxa"/>
            <w:tcBorders>
              <w:top w:val="single" w:sz="8" w:space="0" w:color="auto"/>
              <w:left w:val="nil"/>
              <w:bottom w:val="single" w:sz="8" w:space="0" w:color="auto"/>
              <w:right w:val="single" w:sz="4" w:space="0" w:color="auto"/>
            </w:tcBorders>
            <w:shd w:val="clear" w:color="000000" w:fill="DDEBF7"/>
            <w:vAlign w:val="bottom"/>
          </w:tcPr>
          <w:p w14:paraId="2416AEA8" w14:textId="77777777" w:rsidR="00BE0A2F" w:rsidRPr="006B0F72" w:rsidRDefault="00BE0A2F" w:rsidP="00BE0A2F">
            <w:pPr>
              <w:spacing w:before="40" w:after="40"/>
              <w:jc w:val="center"/>
              <w:rPr>
                <w:b/>
                <w:noProof/>
                <w:sz w:val="18"/>
              </w:rPr>
            </w:pPr>
            <w:r w:rsidRPr="006B0F72">
              <w:rPr>
                <w:b/>
                <w:noProof/>
                <w:sz w:val="18"/>
              </w:rPr>
              <w:t>2,128</w:t>
            </w:r>
          </w:p>
        </w:tc>
        <w:tc>
          <w:tcPr>
            <w:tcW w:w="1160" w:type="dxa"/>
            <w:gridSpan w:val="2"/>
            <w:tcBorders>
              <w:top w:val="single" w:sz="8" w:space="0" w:color="auto"/>
              <w:left w:val="nil"/>
              <w:bottom w:val="single" w:sz="8" w:space="0" w:color="auto"/>
              <w:right w:val="single" w:sz="4" w:space="0" w:color="auto"/>
            </w:tcBorders>
            <w:shd w:val="clear" w:color="000000" w:fill="DDEBF7"/>
            <w:vAlign w:val="bottom"/>
          </w:tcPr>
          <w:p w14:paraId="1537336F" w14:textId="77777777" w:rsidR="00BE0A2F" w:rsidRPr="006B0F72" w:rsidRDefault="00BE0A2F" w:rsidP="00BE0A2F">
            <w:pPr>
              <w:spacing w:before="40" w:after="40"/>
              <w:jc w:val="center"/>
              <w:rPr>
                <w:b/>
                <w:noProof/>
                <w:sz w:val="18"/>
              </w:rPr>
            </w:pPr>
            <w:r w:rsidRPr="006B0F72">
              <w:rPr>
                <w:b/>
                <w:noProof/>
                <w:sz w:val="18"/>
              </w:rPr>
              <w:t>2,170</w:t>
            </w:r>
          </w:p>
        </w:tc>
        <w:tc>
          <w:tcPr>
            <w:tcW w:w="1223" w:type="dxa"/>
            <w:gridSpan w:val="2"/>
            <w:tcBorders>
              <w:top w:val="single" w:sz="8" w:space="0" w:color="auto"/>
              <w:left w:val="nil"/>
              <w:bottom w:val="single" w:sz="8" w:space="0" w:color="auto"/>
              <w:right w:val="single" w:sz="4" w:space="0" w:color="auto"/>
            </w:tcBorders>
            <w:shd w:val="clear" w:color="000000" w:fill="DDEBF7"/>
            <w:vAlign w:val="bottom"/>
          </w:tcPr>
          <w:p w14:paraId="01BCD8FC" w14:textId="77777777" w:rsidR="00BE0A2F" w:rsidRPr="006B0F72" w:rsidRDefault="00BE0A2F" w:rsidP="00BE0A2F">
            <w:pPr>
              <w:spacing w:before="40" w:after="40"/>
              <w:jc w:val="center"/>
              <w:rPr>
                <w:b/>
                <w:noProof/>
                <w:sz w:val="18"/>
              </w:rPr>
            </w:pPr>
            <w:r w:rsidRPr="006B0F72">
              <w:rPr>
                <w:b/>
                <w:noProof/>
                <w:sz w:val="18"/>
              </w:rPr>
              <w:t>2,214</w:t>
            </w:r>
          </w:p>
        </w:tc>
        <w:tc>
          <w:tcPr>
            <w:tcW w:w="2268" w:type="dxa"/>
            <w:tcBorders>
              <w:top w:val="single" w:sz="8" w:space="0" w:color="auto"/>
              <w:left w:val="nil"/>
              <w:bottom w:val="single" w:sz="8" w:space="0" w:color="auto"/>
              <w:right w:val="single" w:sz="8" w:space="0" w:color="auto"/>
            </w:tcBorders>
            <w:shd w:val="clear" w:color="000000" w:fill="DDEBF7"/>
            <w:vAlign w:val="bottom"/>
          </w:tcPr>
          <w:p w14:paraId="44DCDCBD" w14:textId="77777777" w:rsidR="00BE0A2F" w:rsidRPr="006B0F72" w:rsidRDefault="00D14556" w:rsidP="00BE0A2F">
            <w:pPr>
              <w:spacing w:before="40" w:after="40"/>
              <w:jc w:val="center"/>
              <w:rPr>
                <w:b/>
                <w:noProof/>
                <w:sz w:val="18"/>
              </w:rPr>
            </w:pPr>
            <w:r w:rsidRPr="006B0F72">
              <w:rPr>
                <w:b/>
                <w:noProof/>
                <w:sz w:val="18"/>
              </w:rPr>
              <w:t>9,621</w:t>
            </w:r>
          </w:p>
        </w:tc>
      </w:tr>
    </w:tbl>
    <w:p w14:paraId="5C20D044" w14:textId="77777777" w:rsidR="00BE0A2F" w:rsidRPr="006B0F72" w:rsidRDefault="00BE0A2F" w:rsidP="00BE0A2F">
      <w:pPr>
        <w:rPr>
          <w:noProof/>
          <w:color w:val="000000" w:themeColor="text1"/>
        </w:rPr>
      </w:pPr>
      <w:r w:rsidRPr="006B0F72">
        <w:rPr>
          <w:noProof/>
          <w:color w:val="000000" w:themeColor="text1"/>
        </w:rPr>
        <w:t>Stroški na EPDČ so izračunani:</w:t>
      </w:r>
    </w:p>
    <w:p w14:paraId="71E29D89" w14:textId="77777777" w:rsidR="00BE0A2F" w:rsidRPr="006B0F72" w:rsidRDefault="00BE0A2F" w:rsidP="00633D25">
      <w:pPr>
        <w:pStyle w:val="Tiret0"/>
        <w:rPr>
          <w:noProof/>
        </w:rPr>
      </w:pPr>
      <w:r w:rsidRPr="006B0F72">
        <w:rPr>
          <w:noProof/>
        </w:rPr>
        <w:t xml:space="preserve">za začasne uslužbence (AD/AST) glede na povprečne stroške za zaposlene v višini 157 000 EUR/leto, pomnoženo z 1,342 (koeficient za življenjske stroške v Københavnu); </w:t>
      </w:r>
    </w:p>
    <w:p w14:paraId="1DC292FF" w14:textId="77777777" w:rsidR="00BE0A2F" w:rsidRPr="006B0F72" w:rsidRDefault="00BE0A2F" w:rsidP="00633D25">
      <w:pPr>
        <w:pStyle w:val="Tiret0"/>
        <w:rPr>
          <w:noProof/>
        </w:rPr>
      </w:pPr>
      <w:r w:rsidRPr="006B0F72">
        <w:rPr>
          <w:noProof/>
        </w:rPr>
        <w:t>za pogodbene uslužbence glede na povprečne stroške za osebje v višini 85 000 EUR/leto x 1,342;</w:t>
      </w:r>
    </w:p>
    <w:p w14:paraId="4C8E0EC9" w14:textId="77777777" w:rsidR="00D14556" w:rsidRPr="006B0F72" w:rsidRDefault="00D14556" w:rsidP="00633D25">
      <w:pPr>
        <w:pStyle w:val="Tiret0"/>
        <w:rPr>
          <w:noProof/>
        </w:rPr>
      </w:pPr>
      <w:r w:rsidRPr="006B0F72">
        <w:rPr>
          <w:noProof/>
        </w:rPr>
        <w:t>v prvem letu (2023) so stroški za zaposlene izračunani le za pol leta na podlagi predpostavke, da ne bo vse osebje zaposleno že januarja 2023.</w:t>
      </w:r>
    </w:p>
    <w:p w14:paraId="00DA202C" w14:textId="77777777" w:rsidR="00BE0A2F" w:rsidRPr="006B0F72" w:rsidRDefault="00BE0A2F" w:rsidP="00BE0A2F">
      <w:pPr>
        <w:rPr>
          <w:noProof/>
          <w:color w:val="000000" w:themeColor="text1"/>
        </w:rPr>
      </w:pPr>
    </w:p>
    <w:p w14:paraId="4B10E1B8" w14:textId="77777777" w:rsidR="00BE0A2F" w:rsidRPr="006B0F72" w:rsidRDefault="00BE0A2F" w:rsidP="00BE0A2F">
      <w:pPr>
        <w:tabs>
          <w:tab w:val="num" w:pos="1134"/>
        </w:tabs>
        <w:ind w:left="1134" w:hanging="283"/>
        <w:rPr>
          <w:rFonts w:eastAsia="Times New Roman"/>
          <w:b/>
          <w:noProof/>
          <w:color w:val="000000" w:themeColor="text1"/>
        </w:rPr>
      </w:pPr>
      <w:r w:rsidRPr="006B0F72">
        <w:rPr>
          <w:b/>
          <w:noProof/>
          <w:color w:val="000000" w:themeColor="text1"/>
        </w:rPr>
        <w:t>potrebe po osebju v agenciji EEA (v EPDČ)</w:t>
      </w:r>
    </w:p>
    <w:tbl>
      <w:tblPr>
        <w:tblW w:w="11908"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45"/>
        <w:gridCol w:w="1134"/>
        <w:gridCol w:w="992"/>
        <w:gridCol w:w="992"/>
        <w:gridCol w:w="992"/>
        <w:gridCol w:w="993"/>
        <w:gridCol w:w="1134"/>
        <w:gridCol w:w="2126"/>
      </w:tblGrid>
      <w:tr w:rsidR="00BE0A2F" w:rsidRPr="006B0F72" w14:paraId="0356498F" w14:textId="77777777" w:rsidTr="00BE0A2F">
        <w:trPr>
          <w:trHeight w:val="585"/>
        </w:trPr>
        <w:tc>
          <w:tcPr>
            <w:tcW w:w="3545" w:type="dxa"/>
          </w:tcPr>
          <w:p w14:paraId="61B0305A" w14:textId="77777777" w:rsidR="00BE0A2F" w:rsidRPr="006B0F72" w:rsidRDefault="00BE0A2F" w:rsidP="00BE0A2F">
            <w:pPr>
              <w:spacing w:before="40" w:after="40"/>
              <w:rPr>
                <w:rFonts w:eastAsia="Calibri"/>
                <w:noProof/>
                <w:color w:val="000000" w:themeColor="text1"/>
                <w:sz w:val="20"/>
              </w:rPr>
            </w:pPr>
          </w:p>
        </w:tc>
        <w:tc>
          <w:tcPr>
            <w:tcW w:w="1134" w:type="dxa"/>
            <w:vAlign w:val="center"/>
          </w:tcPr>
          <w:p w14:paraId="3F3BD033"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2022</w:t>
            </w:r>
          </w:p>
        </w:tc>
        <w:tc>
          <w:tcPr>
            <w:tcW w:w="992" w:type="dxa"/>
            <w:vAlign w:val="center"/>
          </w:tcPr>
          <w:p w14:paraId="74AF16C1"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2023</w:t>
            </w:r>
          </w:p>
        </w:tc>
        <w:tc>
          <w:tcPr>
            <w:tcW w:w="992" w:type="dxa"/>
            <w:vAlign w:val="center"/>
          </w:tcPr>
          <w:p w14:paraId="7C08EF55"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2024</w:t>
            </w:r>
          </w:p>
        </w:tc>
        <w:tc>
          <w:tcPr>
            <w:tcW w:w="992" w:type="dxa"/>
            <w:vAlign w:val="center"/>
          </w:tcPr>
          <w:p w14:paraId="7DD28E94"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2025</w:t>
            </w:r>
          </w:p>
        </w:tc>
        <w:tc>
          <w:tcPr>
            <w:tcW w:w="993" w:type="dxa"/>
            <w:vAlign w:val="center"/>
          </w:tcPr>
          <w:p w14:paraId="11B4C9F7"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2026</w:t>
            </w:r>
          </w:p>
        </w:tc>
        <w:tc>
          <w:tcPr>
            <w:tcW w:w="1134" w:type="dxa"/>
            <w:vAlign w:val="center"/>
          </w:tcPr>
          <w:p w14:paraId="5FB4C87E" w14:textId="77777777" w:rsidR="00BE0A2F" w:rsidRPr="006B0F72" w:rsidRDefault="00BE0A2F" w:rsidP="00BE0A2F">
            <w:pPr>
              <w:spacing w:before="40" w:after="40"/>
              <w:jc w:val="center"/>
              <w:rPr>
                <w:rFonts w:eastAsia="Calibri"/>
                <w:b/>
                <w:noProof/>
                <w:color w:val="000000" w:themeColor="text1"/>
                <w:sz w:val="20"/>
                <w:szCs w:val="20"/>
              </w:rPr>
            </w:pPr>
            <w:r w:rsidRPr="006B0F72">
              <w:rPr>
                <w:b/>
                <w:noProof/>
                <w:color w:val="000000" w:themeColor="text1"/>
                <w:sz w:val="20"/>
              </w:rPr>
              <w:t>2027</w:t>
            </w:r>
          </w:p>
        </w:tc>
        <w:tc>
          <w:tcPr>
            <w:tcW w:w="2126" w:type="dxa"/>
            <w:vAlign w:val="center"/>
          </w:tcPr>
          <w:p w14:paraId="357C79B8" w14:textId="77777777" w:rsidR="00BE0A2F" w:rsidRPr="006B0F72" w:rsidRDefault="00BE0A2F" w:rsidP="00BE0A2F">
            <w:pPr>
              <w:spacing w:before="40" w:after="40"/>
              <w:jc w:val="center"/>
              <w:rPr>
                <w:rFonts w:eastAsia="Calibri"/>
                <w:b/>
                <w:noProof/>
                <w:color w:val="000000" w:themeColor="text1"/>
                <w:sz w:val="20"/>
              </w:rPr>
            </w:pPr>
            <w:r w:rsidRPr="006B0F72">
              <w:rPr>
                <w:b/>
                <w:noProof/>
                <w:color w:val="000000" w:themeColor="text1"/>
                <w:sz w:val="20"/>
              </w:rPr>
              <w:t>SKUPAJ</w:t>
            </w:r>
          </w:p>
        </w:tc>
      </w:tr>
      <w:tr w:rsidR="00BE0A2F" w:rsidRPr="006B0F72" w14:paraId="4C82C79E" w14:textId="77777777" w:rsidTr="00BE0A2F">
        <w:trPr>
          <w:trHeight w:val="585"/>
        </w:trPr>
        <w:tc>
          <w:tcPr>
            <w:tcW w:w="3545" w:type="dxa"/>
            <w:shd w:val="clear" w:color="auto" w:fill="D9D9D9"/>
            <w:vAlign w:val="center"/>
          </w:tcPr>
          <w:p w14:paraId="2050B1E4" w14:textId="77777777" w:rsidR="00BE0A2F" w:rsidRPr="006B0F72" w:rsidRDefault="00BE0A2F" w:rsidP="00BE0A2F">
            <w:pPr>
              <w:spacing w:before="40" w:after="40"/>
              <w:jc w:val="center"/>
              <w:rPr>
                <w:rFonts w:eastAsia="Calibri"/>
                <w:noProof/>
                <w:color w:val="000000" w:themeColor="text1"/>
                <w:sz w:val="18"/>
              </w:rPr>
            </w:pPr>
            <w:r w:rsidRPr="006B0F72">
              <w:rPr>
                <w:noProof/>
                <w:color w:val="000000" w:themeColor="text1"/>
                <w:sz w:val="18"/>
              </w:rPr>
              <w:t xml:space="preserve">Začasni uslužbenci </w:t>
            </w:r>
          </w:p>
          <w:p w14:paraId="52C5417B" w14:textId="77777777" w:rsidR="00BE0A2F" w:rsidRPr="006B0F72" w:rsidRDefault="00BE0A2F" w:rsidP="00BE0A2F">
            <w:pPr>
              <w:spacing w:before="40" w:after="40"/>
              <w:jc w:val="center"/>
              <w:rPr>
                <w:rFonts w:eastAsia="Calibri"/>
                <w:noProof/>
                <w:color w:val="000000" w:themeColor="text1"/>
              </w:rPr>
            </w:pPr>
            <w:r w:rsidRPr="006B0F72">
              <w:rPr>
                <w:noProof/>
                <w:color w:val="000000" w:themeColor="text1"/>
                <w:sz w:val="18"/>
              </w:rPr>
              <w:t>(1 razred AD 7 + 5 razredov AD 6)</w:t>
            </w:r>
          </w:p>
        </w:tc>
        <w:tc>
          <w:tcPr>
            <w:tcW w:w="1134" w:type="dxa"/>
            <w:vAlign w:val="center"/>
          </w:tcPr>
          <w:p w14:paraId="746DFAB9" w14:textId="77777777" w:rsidR="00BE0A2F" w:rsidRPr="006B0F72" w:rsidRDefault="00BE0A2F" w:rsidP="00BE0A2F">
            <w:pPr>
              <w:spacing w:before="40" w:after="40"/>
              <w:jc w:val="center"/>
              <w:rPr>
                <w:rFonts w:eastAsia="Calibri"/>
                <w:noProof/>
                <w:color w:val="000000" w:themeColor="text1"/>
                <w:sz w:val="20"/>
              </w:rPr>
            </w:pPr>
          </w:p>
        </w:tc>
        <w:tc>
          <w:tcPr>
            <w:tcW w:w="992" w:type="dxa"/>
            <w:vAlign w:val="bottom"/>
          </w:tcPr>
          <w:p w14:paraId="3A3892C1" w14:textId="77777777" w:rsidR="00BE0A2F" w:rsidRPr="006B0F72" w:rsidRDefault="00BE0A2F" w:rsidP="00BE0A2F">
            <w:pPr>
              <w:spacing w:before="40" w:after="40"/>
              <w:ind w:right="-179"/>
              <w:jc w:val="center"/>
              <w:rPr>
                <w:rFonts w:eastAsia="Calibri"/>
                <w:noProof/>
                <w:color w:val="000000" w:themeColor="text1"/>
                <w:sz w:val="20"/>
              </w:rPr>
            </w:pPr>
            <w:r w:rsidRPr="006B0F72">
              <w:rPr>
                <w:noProof/>
                <w:color w:val="000000" w:themeColor="text1"/>
                <w:sz w:val="20"/>
              </w:rPr>
              <w:t>6</w:t>
            </w:r>
          </w:p>
        </w:tc>
        <w:tc>
          <w:tcPr>
            <w:tcW w:w="992" w:type="dxa"/>
            <w:vAlign w:val="bottom"/>
          </w:tcPr>
          <w:p w14:paraId="2762C038"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6</w:t>
            </w:r>
          </w:p>
        </w:tc>
        <w:tc>
          <w:tcPr>
            <w:tcW w:w="992" w:type="dxa"/>
            <w:vAlign w:val="bottom"/>
          </w:tcPr>
          <w:p w14:paraId="1274F079"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6</w:t>
            </w:r>
          </w:p>
        </w:tc>
        <w:tc>
          <w:tcPr>
            <w:tcW w:w="993" w:type="dxa"/>
            <w:vAlign w:val="bottom"/>
          </w:tcPr>
          <w:p w14:paraId="2B3A1A6A"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6</w:t>
            </w:r>
          </w:p>
        </w:tc>
        <w:tc>
          <w:tcPr>
            <w:tcW w:w="1134" w:type="dxa"/>
            <w:vAlign w:val="bottom"/>
          </w:tcPr>
          <w:p w14:paraId="6F1420C8"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6</w:t>
            </w:r>
          </w:p>
        </w:tc>
        <w:tc>
          <w:tcPr>
            <w:tcW w:w="2126" w:type="dxa"/>
            <w:vAlign w:val="center"/>
          </w:tcPr>
          <w:p w14:paraId="723A9569" w14:textId="77777777" w:rsidR="00BE0A2F" w:rsidRPr="006B0F72" w:rsidRDefault="00BE0A2F" w:rsidP="00BE0A2F">
            <w:pPr>
              <w:spacing w:before="40" w:after="40"/>
              <w:jc w:val="center"/>
              <w:rPr>
                <w:rFonts w:eastAsia="Calibri"/>
                <w:b/>
                <w:noProof/>
                <w:color w:val="000000" w:themeColor="text1"/>
                <w:sz w:val="20"/>
                <w:szCs w:val="20"/>
              </w:rPr>
            </w:pPr>
          </w:p>
        </w:tc>
      </w:tr>
      <w:tr w:rsidR="00BE0A2F" w:rsidRPr="006B0F72" w14:paraId="5C62685F" w14:textId="77777777" w:rsidTr="00BE0A2F">
        <w:trPr>
          <w:trHeight w:val="585"/>
        </w:trPr>
        <w:tc>
          <w:tcPr>
            <w:tcW w:w="3545" w:type="dxa"/>
            <w:shd w:val="clear" w:color="auto" w:fill="BFBFBF"/>
            <w:vAlign w:val="center"/>
          </w:tcPr>
          <w:p w14:paraId="5030D695" w14:textId="77777777" w:rsidR="00BE0A2F" w:rsidRPr="006B0F72" w:rsidRDefault="00BE0A2F" w:rsidP="00BE0A2F">
            <w:pPr>
              <w:spacing w:before="40" w:after="40"/>
              <w:ind w:left="72"/>
              <w:rPr>
                <w:rFonts w:eastAsia="Calibri"/>
                <w:noProof/>
                <w:color w:val="000000" w:themeColor="text1"/>
              </w:rPr>
            </w:pPr>
            <w:r w:rsidRPr="006B0F72">
              <w:rPr>
                <w:noProof/>
                <w:color w:val="000000" w:themeColor="text1"/>
                <w:sz w:val="20"/>
              </w:rPr>
              <w:t>Začasni uslužbenci (razred AST)</w:t>
            </w:r>
          </w:p>
        </w:tc>
        <w:tc>
          <w:tcPr>
            <w:tcW w:w="1134" w:type="dxa"/>
            <w:shd w:val="clear" w:color="auto" w:fill="auto"/>
            <w:vAlign w:val="center"/>
          </w:tcPr>
          <w:p w14:paraId="7CA4F854" w14:textId="77777777" w:rsidR="00BE0A2F" w:rsidRPr="006B0F72" w:rsidRDefault="00BE0A2F" w:rsidP="00BE0A2F">
            <w:pPr>
              <w:spacing w:before="40" w:after="40"/>
              <w:jc w:val="center"/>
              <w:rPr>
                <w:rFonts w:eastAsia="Calibri"/>
                <w:noProof/>
                <w:color w:val="000000" w:themeColor="text1"/>
                <w:sz w:val="20"/>
              </w:rPr>
            </w:pPr>
          </w:p>
        </w:tc>
        <w:tc>
          <w:tcPr>
            <w:tcW w:w="992" w:type="dxa"/>
            <w:vAlign w:val="center"/>
          </w:tcPr>
          <w:p w14:paraId="5FD7A56D" w14:textId="77777777" w:rsidR="00BE0A2F" w:rsidRPr="006B0F72" w:rsidRDefault="00BE0A2F" w:rsidP="00BE0A2F">
            <w:pPr>
              <w:spacing w:before="40" w:after="40"/>
              <w:ind w:right="-179"/>
              <w:jc w:val="center"/>
              <w:rPr>
                <w:rFonts w:eastAsia="Calibri"/>
                <w:noProof/>
                <w:color w:val="000000" w:themeColor="text1"/>
                <w:sz w:val="20"/>
              </w:rPr>
            </w:pPr>
            <w:r w:rsidRPr="006B0F72">
              <w:rPr>
                <w:noProof/>
                <w:color w:val="000000" w:themeColor="text1"/>
                <w:sz w:val="20"/>
              </w:rPr>
              <w:t>1</w:t>
            </w:r>
          </w:p>
        </w:tc>
        <w:tc>
          <w:tcPr>
            <w:tcW w:w="992" w:type="dxa"/>
            <w:vAlign w:val="center"/>
          </w:tcPr>
          <w:p w14:paraId="6EF22AA0"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w:t>
            </w:r>
          </w:p>
        </w:tc>
        <w:tc>
          <w:tcPr>
            <w:tcW w:w="992" w:type="dxa"/>
            <w:vAlign w:val="center"/>
          </w:tcPr>
          <w:p w14:paraId="5B5A28C5"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w:t>
            </w:r>
          </w:p>
        </w:tc>
        <w:tc>
          <w:tcPr>
            <w:tcW w:w="993" w:type="dxa"/>
            <w:vAlign w:val="center"/>
          </w:tcPr>
          <w:p w14:paraId="2CDAF618"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w:t>
            </w:r>
          </w:p>
        </w:tc>
        <w:tc>
          <w:tcPr>
            <w:tcW w:w="1134" w:type="dxa"/>
            <w:vAlign w:val="center"/>
          </w:tcPr>
          <w:p w14:paraId="671FB91A"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w:t>
            </w:r>
          </w:p>
        </w:tc>
        <w:tc>
          <w:tcPr>
            <w:tcW w:w="2126" w:type="dxa"/>
            <w:vAlign w:val="center"/>
          </w:tcPr>
          <w:p w14:paraId="470D181A" w14:textId="77777777" w:rsidR="00BE0A2F" w:rsidRPr="006B0F72" w:rsidRDefault="00BE0A2F" w:rsidP="00BE0A2F">
            <w:pPr>
              <w:spacing w:before="40" w:after="40"/>
              <w:jc w:val="center"/>
              <w:rPr>
                <w:rFonts w:eastAsia="Calibri"/>
                <w:b/>
                <w:noProof/>
                <w:color w:val="000000" w:themeColor="text1"/>
                <w:sz w:val="20"/>
                <w:szCs w:val="20"/>
              </w:rPr>
            </w:pPr>
          </w:p>
        </w:tc>
      </w:tr>
      <w:tr w:rsidR="00BE0A2F" w:rsidRPr="006B0F72" w14:paraId="41AE52A2" w14:textId="77777777" w:rsidTr="00BE0A2F">
        <w:trPr>
          <w:trHeight w:val="585"/>
        </w:trPr>
        <w:tc>
          <w:tcPr>
            <w:tcW w:w="3545" w:type="dxa"/>
            <w:shd w:val="clear" w:color="auto" w:fill="BFBFBF"/>
            <w:vAlign w:val="center"/>
          </w:tcPr>
          <w:p w14:paraId="464AF6ED" w14:textId="77777777" w:rsidR="00BE0A2F" w:rsidRPr="006B0F72" w:rsidRDefault="00BE0A2F" w:rsidP="00BE0A2F">
            <w:pPr>
              <w:spacing w:before="40" w:after="40"/>
              <w:ind w:left="72"/>
              <w:rPr>
                <w:rFonts w:eastAsia="Calibri"/>
                <w:noProof/>
                <w:color w:val="000000" w:themeColor="text1"/>
                <w:sz w:val="20"/>
              </w:rPr>
            </w:pPr>
            <w:r w:rsidRPr="006B0F72">
              <w:rPr>
                <w:noProof/>
                <w:color w:val="000000" w:themeColor="text1"/>
                <w:sz w:val="20"/>
              </w:rPr>
              <w:t xml:space="preserve">Pogodbeni uslužbenci </w:t>
            </w:r>
          </w:p>
          <w:p w14:paraId="44EFC9F3" w14:textId="77777777" w:rsidR="00BE0A2F" w:rsidRPr="006B0F72" w:rsidRDefault="00BE0A2F" w:rsidP="00BE0A2F">
            <w:pPr>
              <w:spacing w:before="40" w:after="40"/>
              <w:ind w:left="72"/>
              <w:rPr>
                <w:rFonts w:eastAsia="Calibri"/>
                <w:noProof/>
                <w:color w:val="000000" w:themeColor="text1"/>
              </w:rPr>
            </w:pPr>
            <w:r w:rsidRPr="006B0F72">
              <w:rPr>
                <w:noProof/>
                <w:color w:val="000000" w:themeColor="text1"/>
                <w:sz w:val="20"/>
              </w:rPr>
              <w:t>(3 razredi GF-4 + 1 razred GF-3)</w:t>
            </w:r>
          </w:p>
        </w:tc>
        <w:tc>
          <w:tcPr>
            <w:tcW w:w="1134" w:type="dxa"/>
            <w:shd w:val="clear" w:color="auto" w:fill="auto"/>
            <w:vAlign w:val="center"/>
          </w:tcPr>
          <w:p w14:paraId="3E233FAD" w14:textId="77777777" w:rsidR="00BE0A2F" w:rsidRPr="006B0F72" w:rsidRDefault="00BE0A2F" w:rsidP="00BE0A2F">
            <w:pPr>
              <w:spacing w:before="40" w:after="40"/>
              <w:jc w:val="center"/>
              <w:rPr>
                <w:rFonts w:eastAsia="Calibri"/>
                <w:noProof/>
                <w:color w:val="000000" w:themeColor="text1"/>
                <w:sz w:val="20"/>
              </w:rPr>
            </w:pPr>
          </w:p>
        </w:tc>
        <w:tc>
          <w:tcPr>
            <w:tcW w:w="992" w:type="dxa"/>
            <w:shd w:val="clear" w:color="auto" w:fill="auto"/>
            <w:vAlign w:val="center"/>
          </w:tcPr>
          <w:p w14:paraId="694EA5DD" w14:textId="77777777" w:rsidR="00BE0A2F" w:rsidRPr="006B0F72" w:rsidRDefault="00BE0A2F" w:rsidP="00BE0A2F">
            <w:pPr>
              <w:spacing w:before="40" w:after="40"/>
              <w:ind w:right="-179"/>
              <w:jc w:val="center"/>
              <w:rPr>
                <w:rFonts w:eastAsia="Calibri"/>
                <w:noProof/>
                <w:color w:val="000000" w:themeColor="text1"/>
                <w:sz w:val="20"/>
              </w:rPr>
            </w:pPr>
            <w:r w:rsidRPr="006B0F72">
              <w:rPr>
                <w:noProof/>
                <w:color w:val="000000" w:themeColor="text1"/>
                <w:sz w:val="20"/>
              </w:rPr>
              <w:t>5</w:t>
            </w:r>
          </w:p>
        </w:tc>
        <w:tc>
          <w:tcPr>
            <w:tcW w:w="992" w:type="dxa"/>
            <w:shd w:val="clear" w:color="auto" w:fill="auto"/>
            <w:vAlign w:val="center"/>
          </w:tcPr>
          <w:p w14:paraId="093DFD35"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5</w:t>
            </w:r>
          </w:p>
        </w:tc>
        <w:tc>
          <w:tcPr>
            <w:tcW w:w="992" w:type="dxa"/>
            <w:shd w:val="clear" w:color="auto" w:fill="auto"/>
            <w:vAlign w:val="center"/>
          </w:tcPr>
          <w:p w14:paraId="2A279FA4"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5</w:t>
            </w:r>
          </w:p>
        </w:tc>
        <w:tc>
          <w:tcPr>
            <w:tcW w:w="993" w:type="dxa"/>
            <w:shd w:val="clear" w:color="auto" w:fill="auto"/>
            <w:vAlign w:val="center"/>
          </w:tcPr>
          <w:p w14:paraId="4D2411B2"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5</w:t>
            </w:r>
          </w:p>
        </w:tc>
        <w:tc>
          <w:tcPr>
            <w:tcW w:w="1134" w:type="dxa"/>
            <w:shd w:val="clear" w:color="auto" w:fill="auto"/>
            <w:vAlign w:val="center"/>
          </w:tcPr>
          <w:p w14:paraId="7BC7BF90"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5</w:t>
            </w:r>
          </w:p>
        </w:tc>
        <w:tc>
          <w:tcPr>
            <w:tcW w:w="2126" w:type="dxa"/>
            <w:shd w:val="clear" w:color="auto" w:fill="auto"/>
            <w:vAlign w:val="center"/>
          </w:tcPr>
          <w:p w14:paraId="390CF8B7" w14:textId="77777777" w:rsidR="00BE0A2F" w:rsidRPr="006B0F72" w:rsidRDefault="00BE0A2F" w:rsidP="00BE0A2F">
            <w:pPr>
              <w:spacing w:before="40" w:after="40"/>
              <w:jc w:val="center"/>
              <w:rPr>
                <w:rFonts w:eastAsia="Calibri"/>
                <w:noProof/>
                <w:color w:val="000000" w:themeColor="text1"/>
                <w:sz w:val="20"/>
              </w:rPr>
            </w:pPr>
          </w:p>
        </w:tc>
      </w:tr>
      <w:tr w:rsidR="00BE0A2F" w:rsidRPr="006B0F72" w14:paraId="2131CE24" w14:textId="77777777" w:rsidTr="00BE0A2F">
        <w:trPr>
          <w:trHeight w:val="585"/>
        </w:trPr>
        <w:tc>
          <w:tcPr>
            <w:tcW w:w="3545" w:type="dxa"/>
            <w:shd w:val="clear" w:color="auto" w:fill="CCCCCC"/>
            <w:vAlign w:val="center"/>
          </w:tcPr>
          <w:p w14:paraId="57A4D5A2" w14:textId="77777777" w:rsidR="00BE0A2F" w:rsidRPr="006B0F72" w:rsidRDefault="00BE0A2F" w:rsidP="00BE0A2F">
            <w:pPr>
              <w:spacing w:before="40" w:after="40"/>
              <w:jc w:val="center"/>
              <w:rPr>
                <w:rFonts w:eastAsia="Calibri"/>
                <w:noProof/>
                <w:color w:val="000000" w:themeColor="text1"/>
              </w:rPr>
            </w:pPr>
            <w:r w:rsidRPr="006B0F72">
              <w:rPr>
                <w:noProof/>
                <w:color w:val="000000" w:themeColor="text1"/>
                <w:sz w:val="18"/>
              </w:rPr>
              <w:t>Napoteni nacionalni strokovnjaki</w:t>
            </w:r>
          </w:p>
        </w:tc>
        <w:tc>
          <w:tcPr>
            <w:tcW w:w="1134" w:type="dxa"/>
            <w:vAlign w:val="center"/>
          </w:tcPr>
          <w:p w14:paraId="69A49E50" w14:textId="77777777" w:rsidR="00BE0A2F" w:rsidRPr="006B0F72" w:rsidRDefault="00BE0A2F" w:rsidP="00BE0A2F">
            <w:pPr>
              <w:spacing w:before="40" w:after="40"/>
              <w:jc w:val="center"/>
              <w:rPr>
                <w:rFonts w:eastAsia="Calibri"/>
                <w:noProof/>
                <w:color w:val="000000" w:themeColor="text1"/>
              </w:rPr>
            </w:pPr>
          </w:p>
        </w:tc>
        <w:tc>
          <w:tcPr>
            <w:tcW w:w="992" w:type="dxa"/>
            <w:vAlign w:val="center"/>
          </w:tcPr>
          <w:p w14:paraId="6B5A4391" w14:textId="77777777" w:rsidR="00BE0A2F" w:rsidRPr="006B0F72" w:rsidRDefault="00BE0A2F" w:rsidP="00BE0A2F">
            <w:pPr>
              <w:spacing w:before="40" w:after="40"/>
              <w:ind w:right="-179"/>
              <w:jc w:val="center"/>
              <w:rPr>
                <w:rFonts w:eastAsia="Calibri"/>
                <w:noProof/>
                <w:color w:val="000000" w:themeColor="text1"/>
              </w:rPr>
            </w:pPr>
          </w:p>
        </w:tc>
        <w:tc>
          <w:tcPr>
            <w:tcW w:w="992" w:type="dxa"/>
            <w:vAlign w:val="center"/>
          </w:tcPr>
          <w:p w14:paraId="00DF1016" w14:textId="77777777" w:rsidR="00BE0A2F" w:rsidRPr="006B0F72" w:rsidRDefault="00BE0A2F" w:rsidP="00BE0A2F">
            <w:pPr>
              <w:spacing w:before="40" w:after="40"/>
              <w:jc w:val="center"/>
              <w:rPr>
                <w:rFonts w:eastAsia="Calibri"/>
                <w:noProof/>
                <w:color w:val="000000" w:themeColor="text1"/>
              </w:rPr>
            </w:pPr>
          </w:p>
        </w:tc>
        <w:tc>
          <w:tcPr>
            <w:tcW w:w="992" w:type="dxa"/>
            <w:vAlign w:val="center"/>
          </w:tcPr>
          <w:p w14:paraId="0878B998" w14:textId="77777777" w:rsidR="00BE0A2F" w:rsidRPr="006B0F72" w:rsidRDefault="00BE0A2F" w:rsidP="00BE0A2F">
            <w:pPr>
              <w:spacing w:before="40" w:after="40"/>
              <w:jc w:val="center"/>
              <w:rPr>
                <w:rFonts w:eastAsia="Calibri"/>
                <w:noProof/>
                <w:color w:val="000000" w:themeColor="text1"/>
              </w:rPr>
            </w:pPr>
          </w:p>
        </w:tc>
        <w:tc>
          <w:tcPr>
            <w:tcW w:w="993" w:type="dxa"/>
          </w:tcPr>
          <w:p w14:paraId="1A74A608" w14:textId="77777777" w:rsidR="00BE0A2F" w:rsidRPr="006B0F72" w:rsidRDefault="00BE0A2F" w:rsidP="00BE0A2F">
            <w:pPr>
              <w:spacing w:before="40" w:after="40"/>
              <w:jc w:val="center"/>
              <w:rPr>
                <w:rFonts w:eastAsia="Calibri"/>
                <w:noProof/>
                <w:color w:val="000000" w:themeColor="text1"/>
              </w:rPr>
            </w:pPr>
          </w:p>
        </w:tc>
        <w:tc>
          <w:tcPr>
            <w:tcW w:w="1134" w:type="dxa"/>
          </w:tcPr>
          <w:p w14:paraId="08124D86" w14:textId="77777777" w:rsidR="00BE0A2F" w:rsidRPr="006B0F72" w:rsidRDefault="00BE0A2F" w:rsidP="00BE0A2F">
            <w:pPr>
              <w:spacing w:before="40" w:after="40"/>
              <w:jc w:val="center"/>
              <w:rPr>
                <w:rFonts w:eastAsia="Calibri"/>
                <w:noProof/>
                <w:color w:val="000000" w:themeColor="text1"/>
              </w:rPr>
            </w:pPr>
          </w:p>
        </w:tc>
        <w:tc>
          <w:tcPr>
            <w:tcW w:w="2126" w:type="dxa"/>
            <w:vAlign w:val="center"/>
          </w:tcPr>
          <w:p w14:paraId="4134C9E3" w14:textId="77777777" w:rsidR="00BE0A2F" w:rsidRPr="006B0F72" w:rsidRDefault="00BE0A2F" w:rsidP="00BE0A2F">
            <w:pPr>
              <w:spacing w:before="40" w:after="40"/>
              <w:jc w:val="center"/>
              <w:rPr>
                <w:rFonts w:eastAsia="Calibri"/>
                <w:b/>
                <w:noProof/>
                <w:color w:val="000000" w:themeColor="text1"/>
                <w:sz w:val="20"/>
              </w:rPr>
            </w:pPr>
          </w:p>
        </w:tc>
      </w:tr>
      <w:tr w:rsidR="00BE0A2F" w:rsidRPr="006B0F72" w14:paraId="596BF05B" w14:textId="77777777" w:rsidTr="00BE0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3545" w:type="dxa"/>
            <w:tcBorders>
              <w:top w:val="single" w:sz="12" w:space="0" w:color="auto"/>
              <w:left w:val="single" w:sz="12" w:space="0" w:color="auto"/>
              <w:bottom w:val="single" w:sz="12" w:space="0" w:color="auto"/>
              <w:right w:val="single" w:sz="2" w:space="0" w:color="auto"/>
            </w:tcBorders>
            <w:vAlign w:val="center"/>
          </w:tcPr>
          <w:p w14:paraId="0EBDED95" w14:textId="77777777" w:rsidR="00BE0A2F" w:rsidRPr="006B0F72" w:rsidRDefault="00BE0A2F" w:rsidP="00BE0A2F">
            <w:pPr>
              <w:spacing w:before="40" w:after="40"/>
              <w:jc w:val="center"/>
              <w:rPr>
                <w:rFonts w:eastAsia="Calibri"/>
                <w:noProof/>
                <w:color w:val="000000" w:themeColor="text1"/>
                <w:sz w:val="20"/>
              </w:rPr>
            </w:pPr>
            <w:r w:rsidRPr="006B0F72">
              <w:rPr>
                <w:b/>
                <w:noProof/>
                <w:color w:val="000000" w:themeColor="text1"/>
                <w:sz w:val="20"/>
              </w:rPr>
              <w:t>SKUPAJ</w:t>
            </w:r>
          </w:p>
        </w:tc>
        <w:tc>
          <w:tcPr>
            <w:tcW w:w="1134" w:type="dxa"/>
            <w:tcBorders>
              <w:top w:val="single" w:sz="12" w:space="0" w:color="auto"/>
              <w:left w:val="single" w:sz="2" w:space="0" w:color="auto"/>
              <w:bottom w:val="single" w:sz="12" w:space="0" w:color="auto"/>
              <w:right w:val="single" w:sz="2" w:space="0" w:color="auto"/>
            </w:tcBorders>
            <w:vAlign w:val="center"/>
          </w:tcPr>
          <w:p w14:paraId="275030F1" w14:textId="77777777" w:rsidR="00BE0A2F" w:rsidRPr="006B0F72" w:rsidRDefault="00BE0A2F" w:rsidP="00BE0A2F">
            <w:pPr>
              <w:spacing w:before="40" w:after="40"/>
              <w:jc w:val="center"/>
              <w:rPr>
                <w:rFonts w:eastAsia="Calibri"/>
                <w:noProof/>
                <w:color w:val="000000" w:themeColor="text1"/>
                <w:sz w:val="20"/>
              </w:rPr>
            </w:pPr>
          </w:p>
        </w:tc>
        <w:tc>
          <w:tcPr>
            <w:tcW w:w="992" w:type="dxa"/>
            <w:tcBorders>
              <w:top w:val="single" w:sz="12" w:space="0" w:color="auto"/>
              <w:left w:val="single" w:sz="2" w:space="0" w:color="auto"/>
              <w:bottom w:val="single" w:sz="12" w:space="0" w:color="auto"/>
              <w:right w:val="single" w:sz="2" w:space="0" w:color="auto"/>
            </w:tcBorders>
            <w:vAlign w:val="center"/>
          </w:tcPr>
          <w:p w14:paraId="4A724FC9"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12</w:t>
            </w:r>
          </w:p>
        </w:tc>
        <w:tc>
          <w:tcPr>
            <w:tcW w:w="992" w:type="dxa"/>
            <w:tcBorders>
              <w:top w:val="single" w:sz="12" w:space="0" w:color="auto"/>
              <w:left w:val="single" w:sz="2" w:space="0" w:color="auto"/>
              <w:bottom w:val="single" w:sz="12" w:space="0" w:color="auto"/>
              <w:right w:val="single" w:sz="2" w:space="0" w:color="auto"/>
            </w:tcBorders>
            <w:vAlign w:val="center"/>
          </w:tcPr>
          <w:p w14:paraId="1E6BC1BD"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12</w:t>
            </w:r>
          </w:p>
        </w:tc>
        <w:tc>
          <w:tcPr>
            <w:tcW w:w="992" w:type="dxa"/>
            <w:tcBorders>
              <w:top w:val="single" w:sz="12" w:space="0" w:color="auto"/>
              <w:left w:val="single" w:sz="2" w:space="0" w:color="auto"/>
              <w:bottom w:val="single" w:sz="12" w:space="0" w:color="auto"/>
              <w:right w:val="single" w:sz="2" w:space="0" w:color="auto"/>
            </w:tcBorders>
            <w:vAlign w:val="center"/>
          </w:tcPr>
          <w:p w14:paraId="26F442D5"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12</w:t>
            </w:r>
          </w:p>
        </w:tc>
        <w:tc>
          <w:tcPr>
            <w:tcW w:w="993" w:type="dxa"/>
            <w:tcBorders>
              <w:top w:val="single" w:sz="12" w:space="0" w:color="auto"/>
              <w:left w:val="single" w:sz="2" w:space="0" w:color="auto"/>
              <w:bottom w:val="single" w:sz="12" w:space="0" w:color="auto"/>
              <w:right w:val="single" w:sz="2" w:space="0" w:color="auto"/>
            </w:tcBorders>
            <w:vAlign w:val="center"/>
          </w:tcPr>
          <w:p w14:paraId="03B4B0B0"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12</w:t>
            </w:r>
          </w:p>
        </w:tc>
        <w:tc>
          <w:tcPr>
            <w:tcW w:w="1134" w:type="dxa"/>
            <w:tcBorders>
              <w:top w:val="single" w:sz="12" w:space="0" w:color="auto"/>
              <w:left w:val="single" w:sz="2" w:space="0" w:color="auto"/>
              <w:bottom w:val="single" w:sz="12" w:space="0" w:color="auto"/>
              <w:right w:val="single" w:sz="2" w:space="0" w:color="auto"/>
            </w:tcBorders>
            <w:vAlign w:val="center"/>
          </w:tcPr>
          <w:p w14:paraId="45EAF21B" w14:textId="77777777" w:rsidR="00BE0A2F" w:rsidRPr="006B0F72" w:rsidRDefault="00BE0A2F" w:rsidP="00BE0A2F">
            <w:pPr>
              <w:spacing w:before="40" w:after="40"/>
              <w:jc w:val="center"/>
              <w:rPr>
                <w:rFonts w:eastAsia="Calibri"/>
                <w:noProof/>
                <w:color w:val="000000" w:themeColor="text1"/>
                <w:sz w:val="20"/>
              </w:rPr>
            </w:pPr>
            <w:r w:rsidRPr="006B0F72">
              <w:rPr>
                <w:noProof/>
                <w:color w:val="000000" w:themeColor="text1"/>
                <w:sz w:val="20"/>
              </w:rPr>
              <w:t>12</w:t>
            </w:r>
          </w:p>
        </w:tc>
        <w:tc>
          <w:tcPr>
            <w:tcW w:w="2126" w:type="dxa"/>
            <w:tcBorders>
              <w:top w:val="single" w:sz="12" w:space="0" w:color="auto"/>
              <w:left w:val="single" w:sz="2" w:space="0" w:color="auto"/>
              <w:bottom w:val="single" w:sz="12" w:space="0" w:color="auto"/>
              <w:right w:val="single" w:sz="2" w:space="0" w:color="auto"/>
            </w:tcBorders>
            <w:vAlign w:val="center"/>
          </w:tcPr>
          <w:p w14:paraId="6156C90D" w14:textId="77777777" w:rsidR="00BE0A2F" w:rsidRPr="006B0F72" w:rsidRDefault="00BE0A2F" w:rsidP="00BE0A2F">
            <w:pPr>
              <w:spacing w:before="40" w:after="40"/>
              <w:jc w:val="center"/>
              <w:rPr>
                <w:rFonts w:eastAsia="Calibri"/>
                <w:b/>
                <w:noProof/>
                <w:color w:val="000000" w:themeColor="text1"/>
                <w:sz w:val="20"/>
                <w:szCs w:val="20"/>
              </w:rPr>
            </w:pPr>
          </w:p>
        </w:tc>
      </w:tr>
    </w:tbl>
    <w:p w14:paraId="1CF0BDD5" w14:textId="77777777" w:rsidR="00BE0A2F" w:rsidRPr="006B0F72" w:rsidRDefault="00BE0A2F" w:rsidP="00BE0A2F">
      <w:pPr>
        <w:rPr>
          <w:noProof/>
          <w:color w:val="000000" w:themeColor="text1"/>
        </w:rPr>
        <w:sectPr w:rsidR="00BE0A2F" w:rsidRPr="006B0F72" w:rsidSect="00D77511">
          <w:headerReference w:type="default" r:id="rId30"/>
          <w:footerReference w:type="default" r:id="rId31"/>
          <w:headerReference w:type="first" r:id="rId32"/>
          <w:footerReference w:type="first" r:id="rId33"/>
          <w:pgSz w:w="16840" w:h="11907" w:orient="landscape" w:code="9"/>
          <w:pgMar w:top="1134" w:right="1418" w:bottom="567" w:left="1418" w:header="709" w:footer="709" w:gutter="0"/>
          <w:cols w:space="708"/>
          <w:docGrid w:linePitch="360"/>
        </w:sectPr>
      </w:pPr>
    </w:p>
    <w:p w14:paraId="5AAF67FF" w14:textId="77777777" w:rsidR="00BE0A2F" w:rsidRPr="006B0F72" w:rsidRDefault="00BE0A2F" w:rsidP="00B0251E">
      <w:pPr>
        <w:keepNext/>
        <w:outlineLvl w:val="3"/>
        <w:rPr>
          <w:i/>
          <w:noProof/>
          <w:color w:val="000000" w:themeColor="text1"/>
        </w:rPr>
      </w:pPr>
      <w:r w:rsidRPr="006B0F72">
        <w:rPr>
          <w:i/>
          <w:noProof/>
          <w:color w:val="000000" w:themeColor="text1"/>
        </w:rPr>
        <w:t>V Komisiji</w:t>
      </w:r>
    </w:p>
    <w:p w14:paraId="163596C1" w14:textId="77777777" w:rsidR="00BE0A2F" w:rsidRPr="006B0F72" w:rsidRDefault="00BE0A2F" w:rsidP="00B0251E">
      <w:pPr>
        <w:pStyle w:val="Tiret0"/>
        <w:rPr>
          <w:noProof/>
        </w:rPr>
      </w:pPr>
      <w:r w:rsidRPr="006B0F72">
        <w:rPr>
          <w:noProof/>
        </w:rPr>
        <w:sym w:font="Wingdings" w:char="F0A8"/>
      </w:r>
      <w:r w:rsidRPr="006B0F72">
        <w:rPr>
          <w:noProof/>
        </w:rPr>
        <w:tab/>
        <w:t xml:space="preserve">Za predlog/pobudo niso potrebni človeški viri. </w:t>
      </w:r>
    </w:p>
    <w:p w14:paraId="20E519EB" w14:textId="77777777" w:rsidR="00BE0A2F" w:rsidRPr="006B0F72" w:rsidRDefault="00BE0A2F" w:rsidP="00B0251E">
      <w:pPr>
        <w:pStyle w:val="Tiret0"/>
        <w:rPr>
          <w:noProof/>
        </w:rPr>
      </w:pPr>
      <w:r w:rsidRPr="006B0F72">
        <w:rPr>
          <w:noProof/>
        </w:rPr>
        <w:sym w:font="Wingdings" w:char="F078"/>
      </w:r>
      <w:r w:rsidRPr="006B0F72">
        <w:rPr>
          <w:noProof/>
        </w:rPr>
        <w:t xml:space="preserve"> Za predlog/pobudo so potrebni človeški viri, kot je pojasnjeno v nadaljevanju:</w:t>
      </w:r>
    </w:p>
    <w:p w14:paraId="102021DE" w14:textId="77777777" w:rsidR="00BE0A2F" w:rsidRPr="006B0F72" w:rsidRDefault="00BE0A2F" w:rsidP="00BE0A2F">
      <w:pPr>
        <w:spacing w:after="60"/>
        <w:jc w:val="right"/>
        <w:rPr>
          <w:i/>
          <w:noProof/>
          <w:color w:val="000000" w:themeColor="text1"/>
          <w:sz w:val="20"/>
        </w:rPr>
      </w:pPr>
      <w:r w:rsidRPr="006B0F72">
        <w:rPr>
          <w:i/>
          <w:noProof/>
          <w:color w:val="000000" w:themeColor="text1"/>
          <w:sz w:val="20"/>
        </w:rPr>
        <w:t>ocena, izražena v ekvivalentu polnega delovnega časa</w:t>
      </w:r>
    </w:p>
    <w:tbl>
      <w:tblPr>
        <w:tblW w:w="11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716"/>
        <w:gridCol w:w="15"/>
        <w:gridCol w:w="716"/>
        <w:gridCol w:w="15"/>
        <w:gridCol w:w="914"/>
        <w:gridCol w:w="2378"/>
        <w:gridCol w:w="731"/>
        <w:gridCol w:w="731"/>
        <w:gridCol w:w="731"/>
        <w:gridCol w:w="731"/>
        <w:gridCol w:w="731"/>
        <w:gridCol w:w="731"/>
        <w:gridCol w:w="731"/>
        <w:gridCol w:w="731"/>
        <w:gridCol w:w="731"/>
      </w:tblGrid>
      <w:tr w:rsidR="00BE0A2F" w:rsidRPr="006B0F72" w14:paraId="5786B978" w14:textId="77777777" w:rsidTr="00BE0A2F">
        <w:trPr>
          <w:gridBefore w:val="1"/>
          <w:wBefore w:w="15" w:type="dxa"/>
          <w:trHeight w:val="289"/>
          <w:jc w:val="center"/>
        </w:trPr>
        <w:tc>
          <w:tcPr>
            <w:tcW w:w="4754" w:type="dxa"/>
            <w:gridSpan w:val="6"/>
            <w:shd w:val="clear" w:color="auto" w:fill="auto"/>
          </w:tcPr>
          <w:p w14:paraId="3BBFFECA" w14:textId="77777777" w:rsidR="00BE0A2F" w:rsidRPr="006B0F72" w:rsidRDefault="00BE0A2F" w:rsidP="00B0251E">
            <w:pPr>
              <w:spacing w:before="40" w:after="40"/>
              <w:jc w:val="center"/>
              <w:rPr>
                <w:i/>
                <w:noProof/>
                <w:color w:val="000000" w:themeColor="text1"/>
                <w:sz w:val="16"/>
                <w:szCs w:val="16"/>
              </w:rPr>
            </w:pPr>
          </w:p>
        </w:tc>
        <w:tc>
          <w:tcPr>
            <w:tcW w:w="731" w:type="dxa"/>
            <w:vAlign w:val="center"/>
          </w:tcPr>
          <w:p w14:paraId="4F9E6D9D" w14:textId="77777777" w:rsidR="00BE0A2F" w:rsidRPr="006B0F72" w:rsidRDefault="00BE0A2F" w:rsidP="00BE0A2F">
            <w:pPr>
              <w:spacing w:before="20" w:after="20"/>
              <w:jc w:val="center"/>
              <w:rPr>
                <w:noProof/>
                <w:color w:val="000000" w:themeColor="text1"/>
                <w:sz w:val="16"/>
              </w:rPr>
            </w:pPr>
            <w:r w:rsidRPr="006B0F72">
              <w:rPr>
                <w:noProof/>
                <w:color w:val="000000" w:themeColor="text1"/>
                <w:sz w:val="16"/>
              </w:rPr>
              <w:t>Leto</w:t>
            </w:r>
            <w:r w:rsidRPr="006B0F72">
              <w:rPr>
                <w:noProof/>
              </w:rPr>
              <w:t xml:space="preserve"> </w:t>
            </w:r>
            <w:r w:rsidRPr="006B0F72">
              <w:rPr>
                <w:noProof/>
              </w:rPr>
              <w:br/>
            </w:r>
            <w:r w:rsidRPr="006B0F72">
              <w:rPr>
                <w:b/>
                <w:noProof/>
                <w:color w:val="000000" w:themeColor="text1"/>
                <w:sz w:val="16"/>
              </w:rPr>
              <w:t>2022</w:t>
            </w:r>
          </w:p>
        </w:tc>
        <w:tc>
          <w:tcPr>
            <w:tcW w:w="731" w:type="dxa"/>
            <w:vAlign w:val="center"/>
          </w:tcPr>
          <w:p w14:paraId="0BDFFEE6" w14:textId="77777777" w:rsidR="00BE0A2F" w:rsidRPr="006B0F72" w:rsidRDefault="00BE0A2F" w:rsidP="00BE0A2F">
            <w:pPr>
              <w:spacing w:before="20" w:after="20"/>
              <w:jc w:val="center"/>
              <w:rPr>
                <w:noProof/>
                <w:color w:val="000000" w:themeColor="text1"/>
                <w:sz w:val="16"/>
              </w:rPr>
            </w:pPr>
            <w:r w:rsidRPr="006B0F72">
              <w:rPr>
                <w:noProof/>
                <w:color w:val="000000" w:themeColor="text1"/>
                <w:sz w:val="16"/>
              </w:rPr>
              <w:t>Leto</w:t>
            </w:r>
            <w:r w:rsidRPr="006B0F72">
              <w:rPr>
                <w:noProof/>
              </w:rPr>
              <w:t xml:space="preserve"> </w:t>
            </w:r>
            <w:r w:rsidRPr="006B0F72">
              <w:rPr>
                <w:noProof/>
              </w:rPr>
              <w:br/>
            </w:r>
            <w:r w:rsidRPr="006B0F72">
              <w:rPr>
                <w:b/>
                <w:noProof/>
                <w:color w:val="000000" w:themeColor="text1"/>
                <w:sz w:val="16"/>
              </w:rPr>
              <w:t>2023</w:t>
            </w:r>
          </w:p>
        </w:tc>
        <w:tc>
          <w:tcPr>
            <w:tcW w:w="731" w:type="dxa"/>
            <w:shd w:val="clear" w:color="auto" w:fill="auto"/>
            <w:vAlign w:val="center"/>
          </w:tcPr>
          <w:p w14:paraId="2B426F62" w14:textId="77777777" w:rsidR="00BE0A2F" w:rsidRPr="006B0F72" w:rsidRDefault="00BE0A2F" w:rsidP="00BE0A2F">
            <w:pPr>
              <w:spacing w:before="20" w:after="20"/>
              <w:jc w:val="center"/>
              <w:rPr>
                <w:noProof/>
                <w:color w:val="000000" w:themeColor="text1"/>
                <w:sz w:val="16"/>
                <w:szCs w:val="16"/>
              </w:rPr>
            </w:pPr>
            <w:r w:rsidRPr="006B0F72">
              <w:rPr>
                <w:noProof/>
                <w:color w:val="000000" w:themeColor="text1"/>
                <w:sz w:val="16"/>
              </w:rPr>
              <w:t>Leto</w:t>
            </w:r>
            <w:r w:rsidRPr="006B0F72">
              <w:rPr>
                <w:noProof/>
              </w:rPr>
              <w:t xml:space="preserve"> </w:t>
            </w:r>
            <w:r w:rsidRPr="006B0F72">
              <w:rPr>
                <w:noProof/>
              </w:rPr>
              <w:br/>
            </w:r>
            <w:r w:rsidRPr="006B0F72">
              <w:rPr>
                <w:b/>
                <w:noProof/>
                <w:color w:val="000000" w:themeColor="text1"/>
                <w:sz w:val="16"/>
              </w:rPr>
              <w:t>2024</w:t>
            </w:r>
          </w:p>
        </w:tc>
        <w:tc>
          <w:tcPr>
            <w:tcW w:w="731" w:type="dxa"/>
            <w:shd w:val="clear" w:color="auto" w:fill="auto"/>
            <w:vAlign w:val="center"/>
          </w:tcPr>
          <w:p w14:paraId="2EB7D46D" w14:textId="77777777" w:rsidR="00BE0A2F" w:rsidRPr="006B0F72" w:rsidRDefault="00BE0A2F" w:rsidP="00BE0A2F">
            <w:pPr>
              <w:spacing w:before="20" w:after="20"/>
              <w:jc w:val="center"/>
              <w:rPr>
                <w:noProof/>
                <w:color w:val="000000" w:themeColor="text1"/>
                <w:sz w:val="16"/>
                <w:szCs w:val="16"/>
              </w:rPr>
            </w:pPr>
            <w:r w:rsidRPr="006B0F72">
              <w:rPr>
                <w:noProof/>
                <w:color w:val="000000" w:themeColor="text1"/>
                <w:sz w:val="16"/>
              </w:rPr>
              <w:t>Leto</w:t>
            </w:r>
            <w:r w:rsidRPr="006B0F72">
              <w:rPr>
                <w:noProof/>
              </w:rPr>
              <w:t xml:space="preserve"> </w:t>
            </w:r>
            <w:r w:rsidRPr="006B0F72">
              <w:rPr>
                <w:noProof/>
              </w:rPr>
              <w:br/>
            </w:r>
            <w:r w:rsidRPr="006B0F72">
              <w:rPr>
                <w:b/>
                <w:noProof/>
                <w:color w:val="000000" w:themeColor="text1"/>
                <w:sz w:val="16"/>
              </w:rPr>
              <w:t>2025</w:t>
            </w:r>
          </w:p>
        </w:tc>
        <w:tc>
          <w:tcPr>
            <w:tcW w:w="731" w:type="dxa"/>
            <w:shd w:val="clear" w:color="auto" w:fill="auto"/>
            <w:vAlign w:val="center"/>
          </w:tcPr>
          <w:p w14:paraId="5D5D1A8F" w14:textId="77777777" w:rsidR="00BE0A2F" w:rsidRPr="006B0F72" w:rsidRDefault="00BE0A2F" w:rsidP="00BE0A2F">
            <w:pPr>
              <w:spacing w:before="20" w:after="20"/>
              <w:jc w:val="center"/>
              <w:rPr>
                <w:noProof/>
                <w:color w:val="000000" w:themeColor="text1"/>
                <w:sz w:val="16"/>
                <w:szCs w:val="16"/>
              </w:rPr>
            </w:pPr>
            <w:r w:rsidRPr="006B0F72">
              <w:rPr>
                <w:noProof/>
                <w:color w:val="000000" w:themeColor="text1"/>
                <w:sz w:val="16"/>
              </w:rPr>
              <w:t>Leto </w:t>
            </w:r>
            <w:r w:rsidRPr="006B0F72">
              <w:rPr>
                <w:b/>
                <w:noProof/>
                <w:color w:val="000000" w:themeColor="text1"/>
                <w:sz w:val="16"/>
              </w:rPr>
              <w:t>2026</w:t>
            </w:r>
          </w:p>
        </w:tc>
        <w:tc>
          <w:tcPr>
            <w:tcW w:w="731" w:type="dxa"/>
            <w:shd w:val="clear" w:color="auto" w:fill="auto"/>
            <w:vAlign w:val="center"/>
          </w:tcPr>
          <w:p w14:paraId="57D0CC4B" w14:textId="77777777" w:rsidR="00BE0A2F" w:rsidRPr="006B0F72" w:rsidRDefault="00BE0A2F" w:rsidP="00BE0A2F">
            <w:pPr>
              <w:spacing w:before="20" w:after="20"/>
              <w:jc w:val="center"/>
              <w:rPr>
                <w:noProof/>
                <w:color w:val="000000" w:themeColor="text1"/>
                <w:sz w:val="16"/>
                <w:szCs w:val="16"/>
              </w:rPr>
            </w:pPr>
            <w:r w:rsidRPr="006B0F72">
              <w:rPr>
                <w:noProof/>
                <w:color w:val="000000" w:themeColor="text1"/>
                <w:sz w:val="16"/>
              </w:rPr>
              <w:t>Leto </w:t>
            </w:r>
            <w:r w:rsidRPr="006B0F72">
              <w:rPr>
                <w:b/>
                <w:noProof/>
                <w:color w:val="000000" w:themeColor="text1"/>
                <w:sz w:val="16"/>
              </w:rPr>
              <w:t>2027</w:t>
            </w:r>
          </w:p>
        </w:tc>
        <w:tc>
          <w:tcPr>
            <w:tcW w:w="2193" w:type="dxa"/>
            <w:gridSpan w:val="3"/>
            <w:shd w:val="clear" w:color="auto" w:fill="auto"/>
            <w:vAlign w:val="center"/>
          </w:tcPr>
          <w:p w14:paraId="003A4C1E" w14:textId="77777777" w:rsidR="00BE0A2F" w:rsidRPr="006B0F72" w:rsidRDefault="00BE0A2F" w:rsidP="00BE0A2F">
            <w:pPr>
              <w:jc w:val="center"/>
              <w:rPr>
                <w:b/>
                <w:noProof/>
                <w:color w:val="000000" w:themeColor="text1"/>
                <w:sz w:val="16"/>
                <w:szCs w:val="16"/>
              </w:rPr>
            </w:pPr>
            <w:r w:rsidRPr="006B0F72">
              <w:rPr>
                <w:noProof/>
                <w:color w:val="000000" w:themeColor="text1"/>
                <w:sz w:val="16"/>
              </w:rPr>
              <w:t>Vstavite ustrezno število let glede na trajanje posledic (gl. točko 1.6)</w:t>
            </w:r>
          </w:p>
        </w:tc>
      </w:tr>
      <w:tr w:rsidR="00BE0A2F" w:rsidRPr="006B0F72" w14:paraId="49F01E21" w14:textId="77777777" w:rsidTr="00BE0A2F">
        <w:trPr>
          <w:gridBefore w:val="1"/>
          <w:wBefore w:w="15" w:type="dxa"/>
          <w:trHeight w:val="289"/>
          <w:jc w:val="center"/>
        </w:trPr>
        <w:tc>
          <w:tcPr>
            <w:tcW w:w="731" w:type="dxa"/>
            <w:gridSpan w:val="2"/>
          </w:tcPr>
          <w:p w14:paraId="66860EA1" w14:textId="77777777" w:rsidR="00BE0A2F" w:rsidRPr="006B0F72" w:rsidRDefault="00BE0A2F" w:rsidP="00BE0A2F">
            <w:pPr>
              <w:jc w:val="left"/>
              <w:rPr>
                <w:b/>
                <w:noProof/>
                <w:color w:val="000000" w:themeColor="text1"/>
                <w:sz w:val="16"/>
              </w:rPr>
            </w:pPr>
          </w:p>
        </w:tc>
        <w:tc>
          <w:tcPr>
            <w:tcW w:w="731" w:type="dxa"/>
            <w:gridSpan w:val="2"/>
          </w:tcPr>
          <w:p w14:paraId="3FEC1D24" w14:textId="77777777" w:rsidR="00BE0A2F" w:rsidRPr="006B0F72" w:rsidRDefault="00BE0A2F" w:rsidP="00BE0A2F">
            <w:pPr>
              <w:jc w:val="left"/>
              <w:rPr>
                <w:b/>
                <w:noProof/>
                <w:color w:val="000000" w:themeColor="text1"/>
                <w:sz w:val="16"/>
              </w:rPr>
            </w:pPr>
          </w:p>
        </w:tc>
        <w:tc>
          <w:tcPr>
            <w:tcW w:w="9871" w:type="dxa"/>
            <w:gridSpan w:val="11"/>
            <w:shd w:val="clear" w:color="auto" w:fill="auto"/>
          </w:tcPr>
          <w:p w14:paraId="6026C212" w14:textId="77777777" w:rsidR="00BE0A2F" w:rsidRPr="006B0F72" w:rsidRDefault="00BE0A2F" w:rsidP="00BE0A2F">
            <w:pPr>
              <w:jc w:val="left"/>
              <w:rPr>
                <w:noProof/>
                <w:color w:val="000000" w:themeColor="text1"/>
                <w:sz w:val="16"/>
                <w:szCs w:val="16"/>
              </w:rPr>
            </w:pPr>
            <w:r w:rsidRPr="006B0F72">
              <w:rPr>
                <w:b/>
                <w:noProof/>
                <w:color w:val="000000" w:themeColor="text1"/>
                <w:sz w:val="16"/>
              </w:rPr>
              <w:sym w:font="Wingdings" w:char="F09F"/>
            </w:r>
            <w:r w:rsidRPr="006B0F72">
              <w:rPr>
                <w:b/>
                <w:noProof/>
                <w:color w:val="000000" w:themeColor="text1"/>
                <w:sz w:val="16"/>
              </w:rPr>
              <w:t xml:space="preserve"> Delovna mesta v skladu s kadrovskim načrtom (uradniki in začasni uslužbenci)</w:t>
            </w:r>
          </w:p>
        </w:tc>
      </w:tr>
      <w:tr w:rsidR="00BE0A2F" w:rsidRPr="006B0F72" w14:paraId="165A2426" w14:textId="77777777" w:rsidTr="00BE0A2F">
        <w:trPr>
          <w:gridBefore w:val="1"/>
          <w:wBefore w:w="15" w:type="dxa"/>
          <w:trHeight w:val="289"/>
          <w:jc w:val="center"/>
        </w:trPr>
        <w:tc>
          <w:tcPr>
            <w:tcW w:w="4754" w:type="dxa"/>
            <w:gridSpan w:val="6"/>
            <w:shd w:val="clear" w:color="auto" w:fill="auto"/>
            <w:vAlign w:val="center"/>
          </w:tcPr>
          <w:p w14:paraId="1BC0BFEB" w14:textId="77777777" w:rsidR="00BE0A2F" w:rsidRPr="006B0F72" w:rsidRDefault="00BE0A2F" w:rsidP="00B0251E">
            <w:pPr>
              <w:spacing w:beforeLines="20" w:before="48" w:afterLines="20" w:after="48"/>
              <w:ind w:left="134"/>
              <w:jc w:val="left"/>
              <w:rPr>
                <w:b/>
                <w:noProof/>
                <w:color w:val="000000" w:themeColor="text1"/>
                <w:sz w:val="16"/>
                <w:szCs w:val="16"/>
              </w:rPr>
            </w:pPr>
            <w:r w:rsidRPr="006B0F72">
              <w:rPr>
                <w:noProof/>
                <w:color w:val="000000" w:themeColor="text1"/>
                <w:sz w:val="16"/>
              </w:rPr>
              <w:t>20 01 02 01</w:t>
            </w:r>
            <w:r w:rsidRPr="006B0F72">
              <w:rPr>
                <w:rFonts w:ascii="Arial Narrow" w:hAnsi="Arial Narrow"/>
                <w:noProof/>
                <w:color w:val="000000" w:themeColor="text1"/>
                <w:sz w:val="20"/>
              </w:rPr>
              <w:t xml:space="preserve"> </w:t>
            </w:r>
            <w:r w:rsidRPr="006B0F72">
              <w:rPr>
                <w:noProof/>
                <w:color w:val="000000" w:themeColor="text1"/>
                <w:sz w:val="16"/>
              </w:rPr>
              <w:t>(sedež in predstavništva Komisije)</w:t>
            </w:r>
          </w:p>
        </w:tc>
        <w:tc>
          <w:tcPr>
            <w:tcW w:w="731" w:type="dxa"/>
            <w:vAlign w:val="center"/>
          </w:tcPr>
          <w:p w14:paraId="4C8F4B60"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vAlign w:val="center"/>
          </w:tcPr>
          <w:p w14:paraId="304B73C6"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shd w:val="clear" w:color="auto" w:fill="auto"/>
            <w:vAlign w:val="center"/>
          </w:tcPr>
          <w:p w14:paraId="59A53ADC"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shd w:val="clear" w:color="auto" w:fill="auto"/>
            <w:vAlign w:val="center"/>
          </w:tcPr>
          <w:p w14:paraId="32CFF226"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shd w:val="clear" w:color="auto" w:fill="auto"/>
            <w:vAlign w:val="center"/>
          </w:tcPr>
          <w:p w14:paraId="6E8968AE"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shd w:val="clear" w:color="auto" w:fill="auto"/>
            <w:vAlign w:val="center"/>
          </w:tcPr>
          <w:p w14:paraId="2881C2FD"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shd w:val="clear" w:color="auto" w:fill="auto"/>
            <w:vAlign w:val="center"/>
          </w:tcPr>
          <w:p w14:paraId="15222D6B"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B351C9D"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F979C76"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202719D5" w14:textId="77777777" w:rsidTr="00BE0A2F">
        <w:trPr>
          <w:gridBefore w:val="1"/>
          <w:wBefore w:w="15" w:type="dxa"/>
          <w:trHeight w:val="289"/>
          <w:jc w:val="center"/>
        </w:trPr>
        <w:tc>
          <w:tcPr>
            <w:tcW w:w="4754" w:type="dxa"/>
            <w:gridSpan w:val="6"/>
            <w:shd w:val="clear" w:color="auto" w:fill="auto"/>
            <w:vAlign w:val="center"/>
          </w:tcPr>
          <w:p w14:paraId="1B299202" w14:textId="77777777" w:rsidR="00BE0A2F" w:rsidRPr="006B0F72" w:rsidRDefault="00BE0A2F" w:rsidP="00B0251E">
            <w:pPr>
              <w:spacing w:beforeLines="20" w:before="48" w:afterLines="20" w:after="48"/>
              <w:ind w:left="134"/>
              <w:jc w:val="left"/>
              <w:rPr>
                <w:noProof/>
                <w:color w:val="000000" w:themeColor="text1"/>
                <w:sz w:val="16"/>
              </w:rPr>
            </w:pPr>
            <w:r w:rsidRPr="006B0F72">
              <w:rPr>
                <w:noProof/>
                <w:color w:val="000000" w:themeColor="text1"/>
                <w:sz w:val="16"/>
              </w:rPr>
              <w:t>20 01 02 03 (delegacije)</w:t>
            </w:r>
          </w:p>
        </w:tc>
        <w:tc>
          <w:tcPr>
            <w:tcW w:w="731" w:type="dxa"/>
          </w:tcPr>
          <w:p w14:paraId="24D32627" w14:textId="77777777" w:rsidR="00BE0A2F" w:rsidRPr="006B0F72" w:rsidRDefault="00BE0A2F" w:rsidP="00BE0A2F">
            <w:pPr>
              <w:spacing w:before="60" w:after="60"/>
              <w:jc w:val="center"/>
              <w:rPr>
                <w:rFonts w:eastAsia="Calibri"/>
                <w:noProof/>
                <w:color w:val="000000" w:themeColor="text1"/>
                <w:sz w:val="18"/>
              </w:rPr>
            </w:pPr>
          </w:p>
        </w:tc>
        <w:tc>
          <w:tcPr>
            <w:tcW w:w="731" w:type="dxa"/>
          </w:tcPr>
          <w:p w14:paraId="536B6E53"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5B743CEB"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1551EA40"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02945BCA"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10921340"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EF940F0"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B3D1AFE"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2415A05"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71844BF7" w14:textId="77777777" w:rsidTr="00BE0A2F">
        <w:trPr>
          <w:gridBefore w:val="1"/>
          <w:wBefore w:w="15" w:type="dxa"/>
          <w:trHeight w:val="289"/>
          <w:jc w:val="center"/>
        </w:trPr>
        <w:tc>
          <w:tcPr>
            <w:tcW w:w="4754" w:type="dxa"/>
            <w:gridSpan w:val="6"/>
            <w:shd w:val="clear" w:color="auto" w:fill="auto"/>
            <w:vAlign w:val="center"/>
          </w:tcPr>
          <w:p w14:paraId="1716B3B6" w14:textId="77777777" w:rsidR="00BE0A2F" w:rsidRPr="006B0F72" w:rsidRDefault="00BE0A2F" w:rsidP="00B0251E">
            <w:pPr>
              <w:spacing w:beforeLines="20" w:before="48" w:afterLines="20" w:after="48"/>
              <w:ind w:left="134"/>
              <w:jc w:val="left"/>
              <w:rPr>
                <w:noProof/>
                <w:color w:val="000000" w:themeColor="text1"/>
                <w:sz w:val="16"/>
                <w:szCs w:val="16"/>
              </w:rPr>
            </w:pPr>
            <w:r w:rsidRPr="006B0F72">
              <w:rPr>
                <w:noProof/>
                <w:color w:val="000000" w:themeColor="text1"/>
                <w:sz w:val="16"/>
              </w:rPr>
              <w:t>01 01 01 01</w:t>
            </w:r>
            <w:r w:rsidRPr="006B0F72">
              <w:rPr>
                <w:rFonts w:ascii="Arial Narrow" w:hAnsi="Arial Narrow"/>
                <w:noProof/>
                <w:color w:val="000000" w:themeColor="text1"/>
                <w:sz w:val="20"/>
              </w:rPr>
              <w:t xml:space="preserve"> </w:t>
            </w:r>
            <w:r w:rsidRPr="006B0F72">
              <w:rPr>
                <w:noProof/>
                <w:color w:val="000000" w:themeColor="text1"/>
                <w:sz w:val="16"/>
              </w:rPr>
              <w:t>(posredne raziskave)</w:t>
            </w:r>
          </w:p>
        </w:tc>
        <w:tc>
          <w:tcPr>
            <w:tcW w:w="731" w:type="dxa"/>
          </w:tcPr>
          <w:p w14:paraId="5CF9017E" w14:textId="77777777" w:rsidR="00BE0A2F" w:rsidRPr="006B0F72" w:rsidRDefault="00BE0A2F" w:rsidP="00BE0A2F">
            <w:pPr>
              <w:spacing w:before="60" w:after="60"/>
              <w:jc w:val="center"/>
              <w:rPr>
                <w:rFonts w:eastAsia="Calibri"/>
                <w:noProof/>
                <w:color w:val="000000" w:themeColor="text1"/>
                <w:sz w:val="18"/>
              </w:rPr>
            </w:pPr>
          </w:p>
        </w:tc>
        <w:tc>
          <w:tcPr>
            <w:tcW w:w="731" w:type="dxa"/>
          </w:tcPr>
          <w:p w14:paraId="57BB1756"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3F7B32E8"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745CC100"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25650B39"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306C44AD"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49378D0"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88EA6D7"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3A379CB"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7D733D62" w14:textId="77777777" w:rsidTr="00BE0A2F">
        <w:trPr>
          <w:gridBefore w:val="1"/>
          <w:wBefore w:w="15" w:type="dxa"/>
          <w:trHeight w:val="289"/>
          <w:jc w:val="center"/>
        </w:trPr>
        <w:tc>
          <w:tcPr>
            <w:tcW w:w="4754" w:type="dxa"/>
            <w:gridSpan w:val="6"/>
            <w:shd w:val="clear" w:color="auto" w:fill="auto"/>
            <w:vAlign w:val="center"/>
          </w:tcPr>
          <w:p w14:paraId="7B634028" w14:textId="77777777" w:rsidR="00BE0A2F" w:rsidRPr="006B0F72" w:rsidRDefault="00BE0A2F" w:rsidP="00B0251E">
            <w:pPr>
              <w:spacing w:beforeLines="20" w:before="48" w:afterLines="20" w:after="48"/>
              <w:ind w:left="134"/>
              <w:jc w:val="left"/>
              <w:rPr>
                <w:noProof/>
                <w:color w:val="000000" w:themeColor="text1"/>
                <w:sz w:val="16"/>
                <w:szCs w:val="16"/>
              </w:rPr>
            </w:pPr>
            <w:r w:rsidRPr="006B0F72">
              <w:rPr>
                <w:noProof/>
                <w:color w:val="000000" w:themeColor="text1"/>
                <w:sz w:val="16"/>
              </w:rPr>
              <w:t xml:space="preserve"> 01 01 01 11 (neposredne raziskave)</w:t>
            </w:r>
          </w:p>
        </w:tc>
        <w:tc>
          <w:tcPr>
            <w:tcW w:w="731" w:type="dxa"/>
          </w:tcPr>
          <w:p w14:paraId="29A1416F" w14:textId="77777777" w:rsidR="00BE0A2F" w:rsidRPr="006B0F72" w:rsidRDefault="00BE0A2F" w:rsidP="00BE0A2F">
            <w:pPr>
              <w:spacing w:before="60" w:after="60"/>
              <w:jc w:val="center"/>
              <w:rPr>
                <w:rFonts w:eastAsia="Calibri"/>
                <w:noProof/>
                <w:color w:val="000000" w:themeColor="text1"/>
                <w:sz w:val="18"/>
              </w:rPr>
            </w:pPr>
          </w:p>
        </w:tc>
        <w:tc>
          <w:tcPr>
            <w:tcW w:w="731" w:type="dxa"/>
          </w:tcPr>
          <w:p w14:paraId="2A57FF64"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0CED5E6C"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094C0677"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4A0C3AB"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667F590D"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3E883112"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9CF6838"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4DDD64D"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2D550805" w14:textId="77777777" w:rsidTr="00BE0A2F">
        <w:trPr>
          <w:gridBefore w:val="1"/>
          <w:wBefore w:w="15" w:type="dxa"/>
          <w:trHeight w:val="289"/>
          <w:jc w:val="center"/>
        </w:trPr>
        <w:tc>
          <w:tcPr>
            <w:tcW w:w="4754" w:type="dxa"/>
            <w:gridSpan w:val="6"/>
            <w:shd w:val="clear" w:color="auto" w:fill="auto"/>
            <w:vAlign w:val="center"/>
          </w:tcPr>
          <w:p w14:paraId="4906CAB8" w14:textId="77777777" w:rsidR="00BE0A2F" w:rsidRPr="006B0F72" w:rsidRDefault="00BE0A2F" w:rsidP="00B0251E">
            <w:pPr>
              <w:spacing w:beforeLines="20" w:before="48" w:afterLines="20" w:after="48"/>
              <w:jc w:val="left"/>
              <w:rPr>
                <w:noProof/>
                <w:color w:val="000000" w:themeColor="text1"/>
                <w:sz w:val="16"/>
              </w:rPr>
            </w:pPr>
          </w:p>
        </w:tc>
        <w:tc>
          <w:tcPr>
            <w:tcW w:w="731" w:type="dxa"/>
            <w:vAlign w:val="center"/>
          </w:tcPr>
          <w:p w14:paraId="249BC0E6" w14:textId="77777777" w:rsidR="00BE0A2F" w:rsidRPr="006B0F72" w:rsidRDefault="00BE0A2F" w:rsidP="00BE0A2F">
            <w:pPr>
              <w:spacing w:before="60" w:after="60"/>
              <w:jc w:val="center"/>
              <w:rPr>
                <w:rFonts w:eastAsia="Calibri"/>
                <w:noProof/>
                <w:color w:val="000000" w:themeColor="text1"/>
                <w:sz w:val="18"/>
              </w:rPr>
            </w:pPr>
          </w:p>
        </w:tc>
        <w:tc>
          <w:tcPr>
            <w:tcW w:w="731" w:type="dxa"/>
          </w:tcPr>
          <w:p w14:paraId="0643F90C" w14:textId="77777777" w:rsidR="00BE0A2F" w:rsidRPr="006B0F72" w:rsidRDefault="00BE0A2F" w:rsidP="00BE0A2F">
            <w:pPr>
              <w:spacing w:before="60" w:after="60"/>
              <w:rPr>
                <w:rFonts w:eastAsia="Calibri"/>
                <w:noProof/>
                <w:color w:val="000000" w:themeColor="text1"/>
                <w:sz w:val="18"/>
              </w:rPr>
            </w:pPr>
          </w:p>
        </w:tc>
        <w:tc>
          <w:tcPr>
            <w:tcW w:w="731" w:type="dxa"/>
            <w:shd w:val="clear" w:color="auto" w:fill="auto"/>
          </w:tcPr>
          <w:p w14:paraId="78B5EB64"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761457B5"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0575A8AD"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0DD4BA4F"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34FC2AC9"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90242CD"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6C98DE2"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4C6756AC" w14:textId="77777777" w:rsidTr="00BE0A2F">
        <w:trPr>
          <w:trHeight w:val="248"/>
          <w:jc w:val="center"/>
        </w:trPr>
        <w:tc>
          <w:tcPr>
            <w:tcW w:w="731" w:type="dxa"/>
            <w:gridSpan w:val="2"/>
          </w:tcPr>
          <w:p w14:paraId="32217777" w14:textId="77777777" w:rsidR="00BE0A2F" w:rsidRPr="006B0F72" w:rsidRDefault="00BE0A2F" w:rsidP="00B0251E">
            <w:pPr>
              <w:spacing w:before="60" w:after="60"/>
              <w:jc w:val="left"/>
              <w:rPr>
                <w:b/>
                <w:noProof/>
                <w:color w:val="000000" w:themeColor="text1"/>
                <w:sz w:val="16"/>
              </w:rPr>
            </w:pPr>
          </w:p>
        </w:tc>
        <w:tc>
          <w:tcPr>
            <w:tcW w:w="731" w:type="dxa"/>
            <w:gridSpan w:val="2"/>
          </w:tcPr>
          <w:p w14:paraId="48F0ED4B" w14:textId="77777777" w:rsidR="00BE0A2F" w:rsidRPr="006B0F72" w:rsidRDefault="00BE0A2F" w:rsidP="00B0251E">
            <w:pPr>
              <w:spacing w:before="60" w:after="60"/>
              <w:jc w:val="left"/>
              <w:rPr>
                <w:b/>
                <w:noProof/>
                <w:color w:val="000000" w:themeColor="text1"/>
                <w:sz w:val="16"/>
              </w:rPr>
            </w:pPr>
          </w:p>
        </w:tc>
        <w:tc>
          <w:tcPr>
            <w:tcW w:w="9886" w:type="dxa"/>
            <w:gridSpan w:val="12"/>
            <w:shd w:val="clear" w:color="auto" w:fill="auto"/>
            <w:vAlign w:val="center"/>
          </w:tcPr>
          <w:p w14:paraId="5DCC20A6" w14:textId="77777777" w:rsidR="00BE0A2F" w:rsidRPr="006B0F72" w:rsidRDefault="00BE0A2F" w:rsidP="00B0251E">
            <w:pPr>
              <w:spacing w:before="60" w:after="60"/>
              <w:jc w:val="left"/>
              <w:rPr>
                <w:b/>
                <w:noProof/>
                <w:color w:val="000000" w:themeColor="text1"/>
                <w:sz w:val="16"/>
                <w:szCs w:val="16"/>
              </w:rPr>
            </w:pPr>
            <w:r w:rsidRPr="006B0F72">
              <w:rPr>
                <w:b/>
                <w:noProof/>
                <w:color w:val="000000" w:themeColor="text1"/>
                <w:sz w:val="16"/>
              </w:rPr>
              <w:sym w:font="Wingdings" w:char="F09F"/>
            </w:r>
            <w:r w:rsidRPr="006B0F72">
              <w:rPr>
                <w:b/>
                <w:noProof/>
                <w:color w:val="000000" w:themeColor="text1"/>
                <w:sz w:val="16"/>
              </w:rPr>
              <w:t xml:space="preserve"> Zunanji sodelavci (v ekvivalentu polnega delovnega časa: </w:t>
            </w:r>
            <w:r w:rsidRPr="006B0F72">
              <w:rPr>
                <w:b/>
                <w:bCs/>
                <w:noProof/>
                <w:color w:val="000000" w:themeColor="text1"/>
                <w:sz w:val="16"/>
              </w:rPr>
              <w:t>EPDČ</w:t>
            </w:r>
            <w:r w:rsidRPr="006B0F72">
              <w:rPr>
                <w:b/>
                <w:noProof/>
                <w:color w:val="000000" w:themeColor="text1"/>
                <w:sz w:val="16"/>
              </w:rPr>
              <w:t>)</w:t>
            </w:r>
            <w:r w:rsidRPr="006B0F72">
              <w:rPr>
                <w:rStyle w:val="FootnoteReference"/>
                <w:noProof/>
              </w:rPr>
              <w:footnoteReference w:id="125"/>
            </w:r>
          </w:p>
          <w:p w14:paraId="7B0D684D" w14:textId="77777777" w:rsidR="00BE0A2F" w:rsidRPr="006B0F72" w:rsidRDefault="00BE0A2F" w:rsidP="00B0251E">
            <w:pPr>
              <w:spacing w:before="0" w:after="0"/>
              <w:jc w:val="left"/>
              <w:rPr>
                <w:noProof/>
                <w:color w:val="000000" w:themeColor="text1"/>
                <w:sz w:val="16"/>
                <w:szCs w:val="16"/>
              </w:rPr>
            </w:pPr>
          </w:p>
        </w:tc>
      </w:tr>
      <w:tr w:rsidR="00BE0A2F" w:rsidRPr="006B0F72" w14:paraId="3CCBA2E6" w14:textId="77777777" w:rsidTr="00BE0A2F">
        <w:trPr>
          <w:gridBefore w:val="1"/>
          <w:wBefore w:w="15" w:type="dxa"/>
          <w:trHeight w:val="289"/>
          <w:jc w:val="center"/>
        </w:trPr>
        <w:tc>
          <w:tcPr>
            <w:tcW w:w="4754" w:type="dxa"/>
            <w:gridSpan w:val="6"/>
            <w:shd w:val="clear" w:color="auto" w:fill="auto"/>
            <w:vAlign w:val="center"/>
          </w:tcPr>
          <w:p w14:paraId="3374D256" w14:textId="77777777" w:rsidR="00BE0A2F" w:rsidRPr="006B0F72" w:rsidRDefault="00BE0A2F" w:rsidP="00B0251E">
            <w:pPr>
              <w:spacing w:beforeLines="20" w:before="48" w:afterLines="20" w:after="48"/>
              <w:ind w:left="136"/>
              <w:jc w:val="left"/>
              <w:rPr>
                <w:b/>
                <w:noProof/>
                <w:color w:val="000000" w:themeColor="text1"/>
                <w:sz w:val="16"/>
                <w:szCs w:val="16"/>
              </w:rPr>
            </w:pPr>
            <w:r w:rsidRPr="006B0F72">
              <w:rPr>
                <w:noProof/>
                <w:color w:val="000000" w:themeColor="text1"/>
                <w:sz w:val="16"/>
              </w:rPr>
              <w:t>20 02 01</w:t>
            </w:r>
            <w:r w:rsidRPr="006B0F72">
              <w:rPr>
                <w:rFonts w:ascii="Arial Narrow" w:hAnsi="Arial Narrow"/>
                <w:noProof/>
                <w:color w:val="000000" w:themeColor="text1"/>
                <w:sz w:val="20"/>
              </w:rPr>
              <w:t xml:space="preserve"> </w:t>
            </w:r>
            <w:r w:rsidRPr="006B0F72">
              <w:rPr>
                <w:noProof/>
                <w:color w:val="000000" w:themeColor="text1"/>
                <w:sz w:val="16"/>
              </w:rPr>
              <w:t>(PU, NNS, ZU iz splošnih sredstev)</w:t>
            </w:r>
          </w:p>
        </w:tc>
        <w:tc>
          <w:tcPr>
            <w:tcW w:w="731" w:type="dxa"/>
          </w:tcPr>
          <w:p w14:paraId="23B5FC85"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tcPr>
          <w:p w14:paraId="17A5348A"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7DD4AC8"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F8A9A6C"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352EAD0"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F0715A3"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DD5F385"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3EBFEFA"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FA15F24"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46FB9694" w14:textId="77777777" w:rsidTr="00BE0A2F">
        <w:trPr>
          <w:gridBefore w:val="1"/>
          <w:wBefore w:w="15" w:type="dxa"/>
          <w:trHeight w:val="289"/>
          <w:jc w:val="center"/>
        </w:trPr>
        <w:tc>
          <w:tcPr>
            <w:tcW w:w="4754" w:type="dxa"/>
            <w:gridSpan w:val="6"/>
            <w:shd w:val="clear" w:color="auto" w:fill="auto"/>
            <w:vAlign w:val="center"/>
          </w:tcPr>
          <w:p w14:paraId="6B351B95" w14:textId="77777777" w:rsidR="00BE0A2F" w:rsidRPr="006B0F72" w:rsidRDefault="00BE0A2F" w:rsidP="00B0251E">
            <w:pPr>
              <w:spacing w:beforeLines="20" w:before="48" w:afterLines="20" w:after="48"/>
              <w:ind w:left="136"/>
              <w:jc w:val="left"/>
              <w:rPr>
                <w:noProof/>
                <w:color w:val="000000" w:themeColor="text1"/>
                <w:sz w:val="16"/>
              </w:rPr>
            </w:pPr>
            <w:r w:rsidRPr="006B0F72">
              <w:rPr>
                <w:noProof/>
                <w:color w:val="000000" w:themeColor="text1"/>
                <w:sz w:val="16"/>
              </w:rPr>
              <w:t>20 02 03 (PU, LU, NNS, ZU in MSD na delegacijah)</w:t>
            </w:r>
          </w:p>
        </w:tc>
        <w:tc>
          <w:tcPr>
            <w:tcW w:w="731" w:type="dxa"/>
          </w:tcPr>
          <w:p w14:paraId="6F700EA6"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tcPr>
          <w:p w14:paraId="38EEE952"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079C1BC"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A0A2610"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262E259"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6921C16"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E4C7B31"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71EE2BD"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6ED41A1"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26F2D777" w14:textId="77777777" w:rsidTr="00BE0A2F">
        <w:trPr>
          <w:gridBefore w:val="1"/>
          <w:wBefore w:w="15" w:type="dxa"/>
          <w:trHeight w:val="289"/>
          <w:jc w:val="center"/>
        </w:trPr>
        <w:tc>
          <w:tcPr>
            <w:tcW w:w="2376" w:type="dxa"/>
            <w:gridSpan w:val="5"/>
            <w:vMerge w:val="restart"/>
            <w:shd w:val="clear" w:color="auto" w:fill="auto"/>
            <w:vAlign w:val="center"/>
          </w:tcPr>
          <w:p w14:paraId="3CCC847B" w14:textId="77777777" w:rsidR="00BE0A2F" w:rsidRPr="006B0F72" w:rsidRDefault="00BE0A2F" w:rsidP="00B0251E">
            <w:pPr>
              <w:spacing w:beforeLines="20" w:before="48" w:afterLines="20" w:after="48"/>
              <w:ind w:left="136"/>
              <w:jc w:val="left"/>
              <w:rPr>
                <w:b/>
                <w:noProof/>
                <w:color w:val="000000" w:themeColor="text1"/>
                <w:sz w:val="16"/>
                <w:szCs w:val="16"/>
              </w:rPr>
            </w:pPr>
            <w:r w:rsidRPr="006B0F72">
              <w:rPr>
                <w:b/>
                <w:bCs/>
                <w:noProof/>
                <w:color w:val="000000" w:themeColor="text1"/>
                <w:sz w:val="16"/>
              </w:rPr>
              <w:t>XX</w:t>
            </w:r>
            <w:r w:rsidRPr="006B0F72">
              <w:rPr>
                <w:noProof/>
                <w:color w:val="000000" w:themeColor="text1"/>
                <w:sz w:val="16"/>
              </w:rPr>
              <w:t> 01 xx </w:t>
            </w:r>
            <w:r w:rsidRPr="006B0F72">
              <w:rPr>
                <w:b/>
                <w:bCs/>
                <w:noProof/>
                <w:color w:val="000000" w:themeColor="text1"/>
                <w:sz w:val="16"/>
              </w:rPr>
              <w:t>yy zz</w:t>
            </w:r>
            <w:r w:rsidRPr="006B0F72">
              <w:rPr>
                <w:b/>
                <w:noProof/>
                <w:color w:val="000000" w:themeColor="text1"/>
                <w:sz w:val="16"/>
              </w:rPr>
              <w:t xml:space="preserve"> </w:t>
            </w:r>
            <w:r w:rsidRPr="006B0F72">
              <w:rPr>
                <w:b/>
                <w:i/>
                <w:noProof/>
                <w:color w:val="000000" w:themeColor="text1"/>
                <w:sz w:val="16"/>
              </w:rPr>
              <w:t xml:space="preserve"> </w:t>
            </w:r>
            <w:r w:rsidRPr="006B0F72">
              <w:rPr>
                <w:rStyle w:val="FootnoteReference"/>
                <w:noProof/>
              </w:rPr>
              <w:footnoteReference w:id="126"/>
            </w:r>
          </w:p>
          <w:p w14:paraId="0D033EEC" w14:textId="77777777" w:rsidR="00BE0A2F" w:rsidRPr="006B0F72" w:rsidRDefault="00BE0A2F" w:rsidP="00B0251E">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5091AE36" w14:textId="77777777" w:rsidR="00BE0A2F" w:rsidRPr="006B0F72" w:rsidRDefault="00BE0A2F" w:rsidP="00B0251E">
            <w:pPr>
              <w:spacing w:beforeLines="20" w:before="48" w:afterLines="20" w:after="48"/>
              <w:ind w:left="136"/>
              <w:jc w:val="left"/>
              <w:rPr>
                <w:b/>
                <w:noProof/>
                <w:color w:val="000000" w:themeColor="text1"/>
                <w:sz w:val="16"/>
                <w:szCs w:val="16"/>
              </w:rPr>
            </w:pPr>
            <w:r w:rsidRPr="006B0F72">
              <w:rPr>
                <w:noProof/>
                <w:color w:val="000000" w:themeColor="text1"/>
                <w:sz w:val="16"/>
              </w:rPr>
              <w:t>– na sedežu</w:t>
            </w:r>
          </w:p>
          <w:p w14:paraId="7FD53C95" w14:textId="77777777" w:rsidR="00BE0A2F" w:rsidRPr="006B0F72" w:rsidRDefault="00BE0A2F" w:rsidP="00B0251E">
            <w:pPr>
              <w:spacing w:beforeLines="20" w:before="48" w:afterLines="20" w:after="48"/>
              <w:ind w:left="136"/>
              <w:jc w:val="left"/>
              <w:rPr>
                <w:b/>
                <w:noProof/>
                <w:color w:val="000000" w:themeColor="text1"/>
                <w:sz w:val="16"/>
                <w:szCs w:val="16"/>
              </w:rPr>
            </w:pPr>
          </w:p>
        </w:tc>
        <w:tc>
          <w:tcPr>
            <w:tcW w:w="731" w:type="dxa"/>
          </w:tcPr>
          <w:p w14:paraId="328220B5" w14:textId="77777777" w:rsidR="00BE0A2F" w:rsidRPr="006B0F72" w:rsidRDefault="00BE0A2F" w:rsidP="00B0251E">
            <w:pPr>
              <w:spacing w:beforeLines="20" w:before="48" w:afterLines="20" w:after="48"/>
              <w:rPr>
                <w:noProof/>
                <w:color w:val="000000" w:themeColor="text1"/>
                <w:sz w:val="16"/>
                <w:szCs w:val="16"/>
              </w:rPr>
            </w:pPr>
          </w:p>
        </w:tc>
        <w:tc>
          <w:tcPr>
            <w:tcW w:w="731" w:type="dxa"/>
          </w:tcPr>
          <w:p w14:paraId="452D8DE7" w14:textId="77777777" w:rsidR="00BE0A2F" w:rsidRPr="006B0F72"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7FA9C210" w14:textId="77777777" w:rsidR="00BE0A2F" w:rsidRPr="006B0F72"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2E86D647"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5D71C04"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85A7E1A"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2A46B36"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8B1C032"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627263E"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3DC7A16C" w14:textId="77777777" w:rsidTr="00BE0A2F">
        <w:trPr>
          <w:gridBefore w:val="1"/>
          <w:wBefore w:w="15" w:type="dxa"/>
          <w:trHeight w:val="289"/>
          <w:jc w:val="center"/>
        </w:trPr>
        <w:tc>
          <w:tcPr>
            <w:tcW w:w="2376" w:type="dxa"/>
            <w:gridSpan w:val="5"/>
            <w:vMerge/>
            <w:shd w:val="clear" w:color="auto" w:fill="auto"/>
            <w:vAlign w:val="center"/>
          </w:tcPr>
          <w:p w14:paraId="4D40B9E2" w14:textId="77777777" w:rsidR="00BE0A2F" w:rsidRPr="006B0F72" w:rsidRDefault="00BE0A2F" w:rsidP="00B0251E">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47280225" w14:textId="77777777" w:rsidR="00BE0A2F" w:rsidRPr="006B0F72" w:rsidRDefault="00BE0A2F" w:rsidP="00B0251E">
            <w:pPr>
              <w:spacing w:beforeLines="20" w:before="48" w:afterLines="20" w:after="48"/>
              <w:ind w:left="136"/>
              <w:jc w:val="left"/>
              <w:rPr>
                <w:b/>
                <w:noProof/>
                <w:color w:val="000000" w:themeColor="text1"/>
                <w:sz w:val="16"/>
                <w:szCs w:val="16"/>
              </w:rPr>
            </w:pPr>
            <w:r w:rsidRPr="006B0F72">
              <w:rPr>
                <w:noProof/>
                <w:color w:val="000000" w:themeColor="text1"/>
                <w:sz w:val="16"/>
              </w:rPr>
              <w:t xml:space="preserve">– na delegacijah </w:t>
            </w:r>
          </w:p>
        </w:tc>
        <w:tc>
          <w:tcPr>
            <w:tcW w:w="731" w:type="dxa"/>
          </w:tcPr>
          <w:p w14:paraId="64E7269F" w14:textId="77777777" w:rsidR="00BE0A2F" w:rsidRPr="006B0F72" w:rsidRDefault="00BE0A2F" w:rsidP="00B0251E">
            <w:pPr>
              <w:spacing w:beforeLines="20" w:before="48" w:afterLines="20" w:after="48"/>
              <w:rPr>
                <w:noProof/>
                <w:color w:val="000000" w:themeColor="text1"/>
                <w:sz w:val="16"/>
                <w:szCs w:val="16"/>
              </w:rPr>
            </w:pPr>
          </w:p>
        </w:tc>
        <w:tc>
          <w:tcPr>
            <w:tcW w:w="731" w:type="dxa"/>
          </w:tcPr>
          <w:p w14:paraId="12C19228" w14:textId="77777777" w:rsidR="00BE0A2F" w:rsidRPr="006B0F72"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2710CDB1" w14:textId="77777777" w:rsidR="00BE0A2F" w:rsidRPr="006B0F72"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4AAFCBE1"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52D42A4"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462677E"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E29256B"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B8D28C6"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16228E4"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5C305401" w14:textId="77777777" w:rsidTr="00BE0A2F">
        <w:trPr>
          <w:gridBefore w:val="1"/>
          <w:wBefore w:w="15" w:type="dxa"/>
          <w:trHeight w:val="289"/>
          <w:jc w:val="center"/>
        </w:trPr>
        <w:tc>
          <w:tcPr>
            <w:tcW w:w="4754" w:type="dxa"/>
            <w:gridSpan w:val="6"/>
            <w:shd w:val="clear" w:color="auto" w:fill="auto"/>
            <w:vAlign w:val="center"/>
          </w:tcPr>
          <w:p w14:paraId="2E8889F9" w14:textId="77777777" w:rsidR="00BE0A2F" w:rsidRPr="006B0F72" w:rsidRDefault="00BE0A2F" w:rsidP="00B0251E">
            <w:pPr>
              <w:spacing w:beforeLines="20" w:before="48" w:afterLines="20" w:after="48"/>
              <w:ind w:left="136"/>
              <w:jc w:val="left"/>
              <w:rPr>
                <w:noProof/>
                <w:color w:val="000000" w:themeColor="text1"/>
                <w:sz w:val="16"/>
                <w:szCs w:val="16"/>
              </w:rPr>
            </w:pPr>
            <w:r w:rsidRPr="006B0F72">
              <w:rPr>
                <w:noProof/>
                <w:color w:val="000000" w:themeColor="text1"/>
                <w:sz w:val="16"/>
              </w:rPr>
              <w:t>01 01 01 02</w:t>
            </w:r>
            <w:r w:rsidRPr="006B0F72">
              <w:rPr>
                <w:rFonts w:ascii="Arial Narrow" w:hAnsi="Arial Narrow"/>
                <w:noProof/>
                <w:color w:val="000000" w:themeColor="text1"/>
                <w:sz w:val="20"/>
              </w:rPr>
              <w:t xml:space="preserve"> </w:t>
            </w:r>
            <w:r w:rsidRPr="006B0F72">
              <w:rPr>
                <w:noProof/>
                <w:color w:val="000000" w:themeColor="text1"/>
                <w:sz w:val="16"/>
              </w:rPr>
              <w:t>(PU, NNS, ZU za posredne raziskave)</w:t>
            </w:r>
          </w:p>
        </w:tc>
        <w:tc>
          <w:tcPr>
            <w:tcW w:w="731" w:type="dxa"/>
          </w:tcPr>
          <w:p w14:paraId="4721D1D9"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tcPr>
          <w:p w14:paraId="777C5B1A"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8BFFC83"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8472865"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CE59FCE"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0307813"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E7B73BB"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113861B"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50C83FD"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57231A8C" w14:textId="77777777" w:rsidTr="00BE0A2F">
        <w:trPr>
          <w:gridBefore w:val="1"/>
          <w:wBefore w:w="15" w:type="dxa"/>
          <w:trHeight w:val="289"/>
          <w:jc w:val="center"/>
        </w:trPr>
        <w:tc>
          <w:tcPr>
            <w:tcW w:w="4754" w:type="dxa"/>
            <w:gridSpan w:val="6"/>
            <w:shd w:val="clear" w:color="auto" w:fill="auto"/>
            <w:vAlign w:val="center"/>
          </w:tcPr>
          <w:p w14:paraId="45139510" w14:textId="77777777" w:rsidR="00BE0A2F" w:rsidRPr="006B0F72" w:rsidRDefault="00BE0A2F" w:rsidP="00B0251E">
            <w:pPr>
              <w:spacing w:beforeLines="20" w:before="48" w:afterLines="20" w:after="48"/>
              <w:ind w:left="136"/>
              <w:jc w:val="left"/>
              <w:rPr>
                <w:noProof/>
                <w:color w:val="000000" w:themeColor="text1"/>
                <w:sz w:val="16"/>
                <w:szCs w:val="16"/>
              </w:rPr>
            </w:pPr>
            <w:r w:rsidRPr="006B0F72">
              <w:rPr>
                <w:noProof/>
                <w:color w:val="000000" w:themeColor="text1"/>
                <w:sz w:val="16"/>
              </w:rPr>
              <w:t xml:space="preserve"> 01 01 01 12 (PU, NNS, ZU za neposredne raziskave)</w:t>
            </w:r>
          </w:p>
        </w:tc>
        <w:tc>
          <w:tcPr>
            <w:tcW w:w="731" w:type="dxa"/>
          </w:tcPr>
          <w:p w14:paraId="1B4A5377"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tcPr>
          <w:p w14:paraId="0D70CF1B"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BC5EE3D"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351732D"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6BC5718"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2661414"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11D0D5E"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296C1A5"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C8F7908"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0223791E" w14:textId="77777777" w:rsidTr="00BE0A2F">
        <w:trPr>
          <w:gridBefore w:val="1"/>
          <w:wBefore w:w="15" w:type="dxa"/>
          <w:trHeight w:val="289"/>
          <w:jc w:val="center"/>
        </w:trPr>
        <w:tc>
          <w:tcPr>
            <w:tcW w:w="4754" w:type="dxa"/>
            <w:gridSpan w:val="6"/>
            <w:shd w:val="clear" w:color="auto" w:fill="auto"/>
            <w:vAlign w:val="center"/>
          </w:tcPr>
          <w:p w14:paraId="78BE5A54" w14:textId="77777777" w:rsidR="00BE0A2F" w:rsidRPr="006B0F72" w:rsidRDefault="00BE0A2F" w:rsidP="00B0251E">
            <w:pPr>
              <w:spacing w:beforeLines="20" w:before="48" w:afterLines="20" w:after="48"/>
              <w:ind w:left="136"/>
              <w:jc w:val="left"/>
              <w:rPr>
                <w:noProof/>
                <w:color w:val="000000" w:themeColor="text1"/>
                <w:sz w:val="16"/>
              </w:rPr>
            </w:pPr>
          </w:p>
        </w:tc>
        <w:tc>
          <w:tcPr>
            <w:tcW w:w="731" w:type="dxa"/>
          </w:tcPr>
          <w:p w14:paraId="399C30D1" w14:textId="77777777" w:rsidR="00BE0A2F" w:rsidRPr="006B0F72" w:rsidRDefault="00BE0A2F" w:rsidP="00BE0A2F">
            <w:pPr>
              <w:spacing w:before="60" w:after="60"/>
              <w:jc w:val="center"/>
              <w:rPr>
                <w:rFonts w:eastAsia="Calibri"/>
                <w:noProof/>
                <w:color w:val="000000" w:themeColor="text1"/>
                <w:sz w:val="18"/>
              </w:rPr>
            </w:pPr>
          </w:p>
        </w:tc>
        <w:tc>
          <w:tcPr>
            <w:tcW w:w="731" w:type="dxa"/>
          </w:tcPr>
          <w:p w14:paraId="380995C5"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62C38A38"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029A7684"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7AC15634"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tcPr>
          <w:p w14:paraId="66150832" w14:textId="77777777" w:rsidR="00BE0A2F" w:rsidRPr="006B0F72"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FE847F2"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D1CEA54" w14:textId="77777777" w:rsidR="00BE0A2F" w:rsidRPr="006B0F72"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9566311" w14:textId="77777777" w:rsidR="00BE0A2F" w:rsidRPr="006B0F72" w:rsidRDefault="00BE0A2F" w:rsidP="00BE0A2F">
            <w:pPr>
              <w:spacing w:beforeLines="20" w:before="48" w:afterLines="20" w:after="48"/>
              <w:jc w:val="center"/>
              <w:rPr>
                <w:noProof/>
                <w:color w:val="000000" w:themeColor="text1"/>
                <w:sz w:val="16"/>
                <w:szCs w:val="16"/>
              </w:rPr>
            </w:pPr>
          </w:p>
        </w:tc>
      </w:tr>
      <w:tr w:rsidR="00BE0A2F" w:rsidRPr="006B0F72" w14:paraId="7A1ADEBD" w14:textId="77777777" w:rsidTr="00BE0A2F">
        <w:trPr>
          <w:gridBefore w:val="1"/>
          <w:wBefore w:w="15" w:type="dxa"/>
          <w:trHeight w:val="289"/>
          <w:jc w:val="center"/>
        </w:trPr>
        <w:tc>
          <w:tcPr>
            <w:tcW w:w="4754" w:type="dxa"/>
            <w:gridSpan w:val="6"/>
            <w:tcBorders>
              <w:top w:val="double" w:sz="4" w:space="0" w:color="auto"/>
            </w:tcBorders>
            <w:shd w:val="clear" w:color="auto" w:fill="auto"/>
            <w:vAlign w:val="center"/>
          </w:tcPr>
          <w:p w14:paraId="25EA23C8" w14:textId="77777777" w:rsidR="00BE0A2F" w:rsidRPr="006B0F72" w:rsidRDefault="00BE0A2F" w:rsidP="00B0251E">
            <w:pPr>
              <w:spacing w:beforeLines="20" w:before="48" w:afterLines="20" w:after="48"/>
              <w:ind w:left="136"/>
              <w:jc w:val="left"/>
              <w:rPr>
                <w:noProof/>
                <w:color w:val="000000" w:themeColor="text1"/>
                <w:sz w:val="16"/>
                <w:szCs w:val="16"/>
              </w:rPr>
            </w:pPr>
            <w:r w:rsidRPr="006B0F72">
              <w:rPr>
                <w:b/>
                <w:noProof/>
                <w:color w:val="000000" w:themeColor="text1"/>
                <w:sz w:val="16"/>
              </w:rPr>
              <w:t>SKUPAJ</w:t>
            </w:r>
          </w:p>
        </w:tc>
        <w:tc>
          <w:tcPr>
            <w:tcW w:w="731" w:type="dxa"/>
            <w:tcBorders>
              <w:top w:val="double" w:sz="4" w:space="0" w:color="auto"/>
            </w:tcBorders>
          </w:tcPr>
          <w:p w14:paraId="226B65C2"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vAlign w:val="center"/>
          </w:tcPr>
          <w:p w14:paraId="0D2B9381"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shd w:val="clear" w:color="auto" w:fill="auto"/>
            <w:vAlign w:val="center"/>
          </w:tcPr>
          <w:p w14:paraId="5BC66F0A"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shd w:val="clear" w:color="auto" w:fill="auto"/>
            <w:vAlign w:val="center"/>
          </w:tcPr>
          <w:p w14:paraId="669EAECB"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shd w:val="clear" w:color="auto" w:fill="auto"/>
            <w:vAlign w:val="center"/>
          </w:tcPr>
          <w:p w14:paraId="70A48B9E"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shd w:val="clear" w:color="auto" w:fill="auto"/>
            <w:vAlign w:val="center"/>
          </w:tcPr>
          <w:p w14:paraId="738D1F7C" w14:textId="77777777" w:rsidR="00BE0A2F" w:rsidRPr="006B0F72" w:rsidRDefault="00BE0A2F" w:rsidP="00BE0A2F">
            <w:pPr>
              <w:spacing w:before="60" w:after="60"/>
              <w:jc w:val="center"/>
              <w:rPr>
                <w:rFonts w:eastAsia="Calibri"/>
                <w:noProof/>
                <w:color w:val="000000" w:themeColor="text1"/>
                <w:sz w:val="18"/>
              </w:rPr>
            </w:pPr>
            <w:r w:rsidRPr="006B0F72">
              <w:rPr>
                <w:noProof/>
                <w:color w:val="000000" w:themeColor="text1"/>
                <w:sz w:val="18"/>
              </w:rPr>
              <w:t>65,0</w:t>
            </w:r>
          </w:p>
        </w:tc>
        <w:tc>
          <w:tcPr>
            <w:tcW w:w="731" w:type="dxa"/>
            <w:tcBorders>
              <w:top w:val="double" w:sz="4" w:space="0" w:color="auto"/>
            </w:tcBorders>
            <w:shd w:val="clear" w:color="auto" w:fill="auto"/>
            <w:vAlign w:val="center"/>
          </w:tcPr>
          <w:p w14:paraId="07FDD841" w14:textId="77777777" w:rsidR="00BE0A2F" w:rsidRPr="006B0F72" w:rsidRDefault="00BE0A2F" w:rsidP="00BE0A2F">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05DE100" w14:textId="77777777" w:rsidR="00BE0A2F" w:rsidRPr="006B0F72" w:rsidRDefault="00BE0A2F" w:rsidP="00BE0A2F">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1C8D76FF" w14:textId="77777777" w:rsidR="00BE0A2F" w:rsidRPr="006B0F72" w:rsidRDefault="00BE0A2F" w:rsidP="00BE0A2F">
            <w:pPr>
              <w:spacing w:beforeLines="20" w:before="48" w:afterLines="20" w:after="48"/>
              <w:jc w:val="center"/>
              <w:rPr>
                <w:b/>
                <w:noProof/>
                <w:color w:val="000000" w:themeColor="text1"/>
                <w:sz w:val="16"/>
                <w:szCs w:val="16"/>
              </w:rPr>
            </w:pPr>
          </w:p>
        </w:tc>
      </w:tr>
    </w:tbl>
    <w:p w14:paraId="73DFEB26" w14:textId="77777777" w:rsidR="00BE0A2F" w:rsidRPr="006B0F72" w:rsidRDefault="00BE0A2F" w:rsidP="00B0251E">
      <w:pPr>
        <w:ind w:left="850"/>
        <w:rPr>
          <w:noProof/>
          <w:color w:val="000000" w:themeColor="text1"/>
          <w:sz w:val="18"/>
          <w:szCs w:val="18"/>
        </w:rPr>
      </w:pPr>
      <w:r w:rsidRPr="006B0F72">
        <w:rPr>
          <w:noProof/>
          <w:color w:val="000000" w:themeColor="text1"/>
          <w:sz w:val="18"/>
        </w:rPr>
        <w:t>Potrebe po človeških virih se krijejo z osebjem GD, ki je že dodeljeno za upravljanje ukrepa in/ali je bilo prerazporejeno znotraj GD, po potrebi skupaj z dodatnimi viri, ki se lahko pristojnemu GD dodelijo v postopku letne dodelitve virov glede na proračunske omejitve.</w:t>
      </w:r>
    </w:p>
    <w:p w14:paraId="704CFF9F" w14:textId="77777777" w:rsidR="00BE0A2F" w:rsidRPr="006B0F72" w:rsidRDefault="00BE0A2F" w:rsidP="00BE0A2F">
      <w:pPr>
        <w:rPr>
          <w:noProof/>
          <w:color w:val="000000" w:themeColor="text1"/>
          <w:sz w:val="20"/>
        </w:rPr>
      </w:pPr>
      <w:r w:rsidRPr="006B0F72">
        <w:rPr>
          <w:noProof/>
          <w:color w:val="000000" w:themeColor="text1"/>
          <w:sz w:val="20"/>
        </w:rPr>
        <w:t>Opis nalog: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E0A2F" w:rsidRPr="006B0F72" w14:paraId="12268BD2" w14:textId="77777777" w:rsidTr="00BE0A2F">
        <w:tc>
          <w:tcPr>
            <w:tcW w:w="3240" w:type="dxa"/>
          </w:tcPr>
          <w:p w14:paraId="54F7697A" w14:textId="77777777" w:rsidR="00BE0A2F" w:rsidRPr="006B0F72" w:rsidRDefault="00BE0A2F" w:rsidP="00BE0A2F">
            <w:pPr>
              <w:rPr>
                <w:noProof/>
                <w:color w:val="000000" w:themeColor="text1"/>
                <w:sz w:val="20"/>
              </w:rPr>
            </w:pPr>
            <w:r w:rsidRPr="006B0F72">
              <w:rPr>
                <w:noProof/>
                <w:color w:val="000000" w:themeColor="text1"/>
                <w:sz w:val="20"/>
              </w:rPr>
              <w:t>Uradniki in začasni uslužbenci</w:t>
            </w:r>
          </w:p>
        </w:tc>
        <w:tc>
          <w:tcPr>
            <w:tcW w:w="7200" w:type="dxa"/>
          </w:tcPr>
          <w:p w14:paraId="32964AC2" w14:textId="77777777" w:rsidR="00BE0A2F" w:rsidRPr="006B0F72" w:rsidRDefault="00BE0A2F" w:rsidP="00BE0A2F">
            <w:pPr>
              <w:rPr>
                <w:noProof/>
                <w:color w:val="000000" w:themeColor="text1"/>
                <w:sz w:val="20"/>
              </w:rPr>
            </w:pPr>
            <w:r w:rsidRPr="006B0F72">
              <w:rPr>
                <w:noProof/>
                <w:color w:val="000000" w:themeColor="text1"/>
                <w:sz w:val="20"/>
              </w:rPr>
              <w:t xml:space="preserve">Za GD ENV so potrebna 4 dodatna delovna mesta uslužbencev AD za splošno izvajanje uredbe ter za zagotavljanje kontinuitete za pripravo, postopke priprave in odobritve sekundarne zakonodaje v skladu z roki, predlaganimi v Uredbi. </w:t>
            </w:r>
          </w:p>
          <w:p w14:paraId="4ABEBB5C" w14:textId="77777777" w:rsidR="00BE0A2F" w:rsidRPr="006B0F72" w:rsidRDefault="00BE0A2F" w:rsidP="00BE0A2F">
            <w:pPr>
              <w:rPr>
                <w:noProof/>
                <w:color w:val="000000" w:themeColor="text1"/>
                <w:sz w:val="20"/>
              </w:rPr>
            </w:pPr>
            <w:r w:rsidRPr="006B0F72">
              <w:rPr>
                <w:noProof/>
                <w:color w:val="000000" w:themeColor="text1"/>
                <w:sz w:val="20"/>
              </w:rPr>
              <w:t xml:space="preserve">Dodatno je potreben 1 uslužbenec AST za zagotavljanje podpore pri splošnem izvajanju zakonodaje. </w:t>
            </w:r>
          </w:p>
        </w:tc>
      </w:tr>
      <w:tr w:rsidR="00BE0A2F" w:rsidRPr="006B0F72" w14:paraId="68C87D8B" w14:textId="77777777" w:rsidTr="00BE0A2F">
        <w:tc>
          <w:tcPr>
            <w:tcW w:w="3240" w:type="dxa"/>
          </w:tcPr>
          <w:p w14:paraId="6BCEB122" w14:textId="77777777" w:rsidR="00BE0A2F" w:rsidRPr="006B0F72" w:rsidRDefault="00BE0A2F" w:rsidP="00BE0A2F">
            <w:pPr>
              <w:spacing w:before="60" w:after="60"/>
              <w:rPr>
                <w:noProof/>
                <w:color w:val="000000" w:themeColor="text1"/>
                <w:sz w:val="20"/>
              </w:rPr>
            </w:pPr>
            <w:r w:rsidRPr="006B0F72">
              <w:rPr>
                <w:noProof/>
                <w:color w:val="000000" w:themeColor="text1"/>
                <w:sz w:val="20"/>
              </w:rPr>
              <w:t>Zunanji sodelavci</w:t>
            </w:r>
          </w:p>
        </w:tc>
        <w:tc>
          <w:tcPr>
            <w:tcW w:w="7200" w:type="dxa"/>
          </w:tcPr>
          <w:p w14:paraId="736E47E1" w14:textId="77777777" w:rsidR="00BE0A2F" w:rsidRPr="006B0F72" w:rsidRDefault="000B03DA" w:rsidP="00BE0A2F">
            <w:pPr>
              <w:rPr>
                <w:noProof/>
                <w:color w:val="000000" w:themeColor="text1"/>
                <w:sz w:val="20"/>
              </w:rPr>
            </w:pPr>
            <w:r w:rsidRPr="006B0F72">
              <w:rPr>
                <w:noProof/>
                <w:color w:val="000000" w:themeColor="text1"/>
                <w:sz w:val="20"/>
              </w:rPr>
              <w:t>n. r.</w:t>
            </w:r>
          </w:p>
        </w:tc>
      </w:tr>
    </w:tbl>
    <w:p w14:paraId="6E85329B" w14:textId="77777777" w:rsidR="00BE0A2F" w:rsidRPr="006B0F72" w:rsidRDefault="00BE0A2F" w:rsidP="00BE0A2F">
      <w:pPr>
        <w:rPr>
          <w:noProof/>
          <w:color w:val="000000" w:themeColor="text1"/>
        </w:rPr>
        <w:sectPr w:rsidR="00BE0A2F" w:rsidRPr="006B0F72" w:rsidSect="00D77511">
          <w:headerReference w:type="default" r:id="rId34"/>
          <w:footerReference w:type="default" r:id="rId35"/>
          <w:headerReference w:type="first" r:id="rId36"/>
          <w:footerReference w:type="first" r:id="rId37"/>
          <w:pgSz w:w="11907" w:h="16840"/>
          <w:pgMar w:top="1134" w:right="1418" w:bottom="1134" w:left="1418" w:header="709" w:footer="709" w:gutter="0"/>
          <w:cols w:space="708"/>
          <w:docGrid w:linePitch="360"/>
        </w:sectPr>
      </w:pPr>
    </w:p>
    <w:p w14:paraId="06F360D8" w14:textId="77777777" w:rsidR="00BE0A2F" w:rsidRPr="006B0F72" w:rsidRDefault="00BE0A2F" w:rsidP="00B0251E">
      <w:pPr>
        <w:keepNext/>
        <w:outlineLvl w:val="2"/>
        <w:rPr>
          <w:noProof/>
          <w:color w:val="000000" w:themeColor="text1"/>
        </w:rPr>
      </w:pPr>
      <w:bookmarkStart w:id="55" w:name="_Toc514938056"/>
      <w:bookmarkStart w:id="56" w:name="_Toc520485055"/>
      <w:r w:rsidRPr="006B0F72">
        <w:rPr>
          <w:i/>
          <w:noProof/>
          <w:color w:val="000000" w:themeColor="text1"/>
        </w:rPr>
        <w:t>Skladnost z veljavnim večletnim finančnim okvirom</w:t>
      </w:r>
      <w:bookmarkEnd w:id="55"/>
      <w:bookmarkEnd w:id="56"/>
      <w:r w:rsidRPr="006B0F72">
        <w:rPr>
          <w:i/>
          <w:noProof/>
          <w:color w:val="000000" w:themeColor="text1"/>
        </w:rPr>
        <w:t xml:space="preserve"> </w:t>
      </w:r>
    </w:p>
    <w:p w14:paraId="41D6EDC0" w14:textId="77777777" w:rsidR="00BE0A2F" w:rsidRPr="006B0F72" w:rsidRDefault="00BE0A2F" w:rsidP="00B0251E">
      <w:pPr>
        <w:ind w:left="850"/>
        <w:rPr>
          <w:noProof/>
          <w:color w:val="000000" w:themeColor="text1"/>
        </w:rPr>
      </w:pPr>
      <w:r w:rsidRPr="006B0F72">
        <w:rPr>
          <w:noProof/>
          <w:color w:val="000000" w:themeColor="text1"/>
        </w:rPr>
        <w:t>Predlog/pobuda:</w:t>
      </w:r>
    </w:p>
    <w:p w14:paraId="6D6BA9D3" w14:textId="77777777" w:rsidR="00BE0A2F" w:rsidRPr="006B0F72" w:rsidRDefault="00BE0A2F" w:rsidP="00B0251E">
      <w:pPr>
        <w:pStyle w:val="Tiret0"/>
        <w:rPr>
          <w:noProof/>
        </w:rPr>
      </w:pPr>
      <w:r w:rsidRPr="006B0F72">
        <w:rPr>
          <w:noProof/>
        </w:rPr>
        <w:sym w:font="Wingdings" w:char="F078"/>
      </w:r>
      <w:r w:rsidRPr="006B0F72">
        <w:rPr>
          <w:noProof/>
        </w:rPr>
        <w:tab/>
        <w:t>se lahko v celoti financira s prerazporeditvijo znotraj zadevnega razdelka večletnega finančnega okvira;</w:t>
      </w:r>
    </w:p>
    <w:p w14:paraId="565F0401" w14:textId="77777777" w:rsidR="00BE0A2F" w:rsidRPr="006B0F72" w:rsidRDefault="00BE0A2F" w:rsidP="00BE0A2F">
      <w:pPr>
        <w:rPr>
          <w:noProof/>
          <w:color w:val="000000" w:themeColor="text1"/>
        </w:rPr>
      </w:pPr>
    </w:p>
    <w:p w14:paraId="16297A0D"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6B0F72">
        <w:rPr>
          <w:noProof/>
          <w:color w:val="000000" w:themeColor="text1"/>
          <w:sz w:val="20"/>
        </w:rPr>
        <w:t>Dodatne naloge, ki jih mora prevzeti Komisija, pomenijo dodatne potrebe po sredstvih, ki se nanašajo na višino prispevka Unije in delovna mesta v skladu s kadrovskim načrtom za Evropsko agencijo za okolje. Te bodo financirane iz proračunske vrstice 09 02 01 – program LIFE Narava &amp; biotska raznovrstnost.</w:t>
      </w:r>
    </w:p>
    <w:p w14:paraId="503BF679"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6B0F72">
        <w:rPr>
          <w:noProof/>
          <w:color w:val="000000" w:themeColor="text1"/>
          <w:sz w:val="20"/>
        </w:rPr>
        <w:t>Stroški, predvideni v proračunski vrstici 09 02 01, bodo kriti iz programa LIFE in načrtovani v okviru letnega načrtovanja upravljanja GD ENV. Potrebe po človeških virih se po možnosti zadovoljijo z dodatno dodelitvijo v okviru letnega postopka dodelitve človeških virov.</w:t>
      </w:r>
    </w:p>
    <w:p w14:paraId="276B712D" w14:textId="77777777" w:rsidR="00BE0A2F" w:rsidRPr="006B0F72" w:rsidRDefault="00BE0A2F" w:rsidP="00B0251E">
      <w:pPr>
        <w:pStyle w:val="Tiret0"/>
        <w:rPr>
          <w:noProof/>
        </w:rPr>
      </w:pPr>
      <w:r w:rsidRPr="006B0F72">
        <w:rPr>
          <w:noProof/>
        </w:rPr>
        <w:sym w:font="Wingdings" w:char="F0A8"/>
      </w:r>
      <w:r w:rsidRPr="006B0F72">
        <w:rPr>
          <w:noProof/>
        </w:rPr>
        <w:tab/>
        <w:t>zahteva uporabo nedodeljene razlike do zgornje meje v zadevnem razdelku večletnega finančnega okvira in/ali uporabo posebnih instrumentov, kot so opredeljeni v uredbi o večletnem finančnem okviru;</w:t>
      </w:r>
    </w:p>
    <w:p w14:paraId="5FE1906E"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6B0F72">
        <w:rPr>
          <w:noProof/>
          <w:color w:val="000000" w:themeColor="text1"/>
          <w:sz w:val="20"/>
        </w:rPr>
        <w:t>Pojasnite te zahteve ter navedite zadevne razdelke in proračunske vrstice, ustrezne zneske in instrumente, ki naj bi bili uporabljeni.</w:t>
      </w:r>
    </w:p>
    <w:p w14:paraId="6B6EB7EE" w14:textId="77777777" w:rsidR="00BE0A2F" w:rsidRPr="006B0F72" w:rsidRDefault="00BE0A2F" w:rsidP="00B0251E">
      <w:pPr>
        <w:pStyle w:val="Tiret0"/>
        <w:rPr>
          <w:noProof/>
        </w:rPr>
      </w:pPr>
      <w:r w:rsidRPr="006B0F72">
        <w:rPr>
          <w:noProof/>
        </w:rPr>
        <w:sym w:font="Wingdings" w:char="F0A8"/>
      </w:r>
      <w:r w:rsidRPr="006B0F72">
        <w:rPr>
          <w:noProof/>
        </w:rPr>
        <w:tab/>
        <w:t>zahteva spremembo večletnega finančnega okvira.</w:t>
      </w:r>
    </w:p>
    <w:p w14:paraId="11931BDA" w14:textId="77777777" w:rsidR="00BE0A2F" w:rsidRPr="006B0F72"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6B0F72">
        <w:rPr>
          <w:noProof/>
          <w:color w:val="000000" w:themeColor="text1"/>
          <w:sz w:val="20"/>
        </w:rPr>
        <w:t>Pojasnite te zahteve ter navedite zadevne razdelke in proračunske vrstice ter ustrezne zneske.</w:t>
      </w:r>
    </w:p>
    <w:p w14:paraId="53A02D5F" w14:textId="77777777" w:rsidR="00BE0A2F" w:rsidRPr="006B0F72" w:rsidRDefault="00BE0A2F" w:rsidP="00B0251E">
      <w:pPr>
        <w:keepNext/>
        <w:outlineLvl w:val="2"/>
        <w:rPr>
          <w:noProof/>
          <w:color w:val="000000" w:themeColor="text1"/>
        </w:rPr>
      </w:pPr>
      <w:bookmarkStart w:id="57" w:name="_Toc514938058"/>
      <w:bookmarkStart w:id="58" w:name="_Toc520485056"/>
      <w:r w:rsidRPr="006B0F72">
        <w:rPr>
          <w:i/>
          <w:noProof/>
          <w:color w:val="000000" w:themeColor="text1"/>
        </w:rPr>
        <w:t>Udeležba tretjih oseb pri financiranju</w:t>
      </w:r>
      <w:bookmarkEnd w:id="57"/>
      <w:bookmarkEnd w:id="58"/>
      <w:r w:rsidRPr="006B0F72">
        <w:rPr>
          <w:i/>
          <w:noProof/>
          <w:color w:val="000000" w:themeColor="text1"/>
        </w:rPr>
        <w:t xml:space="preserve"> </w:t>
      </w:r>
    </w:p>
    <w:p w14:paraId="42F971AC" w14:textId="77777777" w:rsidR="00BE0A2F" w:rsidRPr="006B0F72" w:rsidRDefault="00BE0A2F" w:rsidP="00B0251E">
      <w:pPr>
        <w:ind w:left="850"/>
        <w:rPr>
          <w:noProof/>
          <w:color w:val="000000" w:themeColor="text1"/>
        </w:rPr>
      </w:pPr>
      <w:r w:rsidRPr="006B0F72">
        <w:rPr>
          <w:noProof/>
          <w:color w:val="000000" w:themeColor="text1"/>
        </w:rPr>
        <w:t>V predlogu/pobudi:</w:t>
      </w:r>
    </w:p>
    <w:p w14:paraId="768ABD5B" w14:textId="77777777" w:rsidR="00BE0A2F" w:rsidRPr="006B0F72" w:rsidRDefault="00BE0A2F" w:rsidP="00B0251E">
      <w:pPr>
        <w:pStyle w:val="Tiret0"/>
        <w:rPr>
          <w:noProof/>
        </w:rPr>
      </w:pPr>
      <w:r w:rsidRPr="006B0F72">
        <w:rPr>
          <w:noProof/>
        </w:rPr>
        <w:sym w:font="Wingdings" w:char="F078"/>
      </w:r>
      <w:r w:rsidRPr="006B0F72">
        <w:rPr>
          <w:noProof/>
        </w:rPr>
        <w:tab/>
        <w:t>ni načrtovano sofinanciranje tretjih oseb;</w:t>
      </w:r>
    </w:p>
    <w:p w14:paraId="438F3F26" w14:textId="77777777" w:rsidR="00BE0A2F" w:rsidRPr="006B0F72" w:rsidRDefault="00BE0A2F" w:rsidP="00B0251E">
      <w:pPr>
        <w:pStyle w:val="Tiret0"/>
        <w:rPr>
          <w:noProof/>
        </w:rPr>
      </w:pPr>
      <w:r w:rsidRPr="006B0F72">
        <w:rPr>
          <w:noProof/>
        </w:rPr>
        <w:sym w:font="Wingdings" w:char="F0A8"/>
      </w:r>
      <w:r w:rsidRPr="006B0F72">
        <w:rPr>
          <w:noProof/>
        </w:rPr>
        <w:tab/>
        <w:t>je načrtovano sofinanciranje, kot je ocenjeno v nadaljevanju:</w:t>
      </w:r>
    </w:p>
    <w:p w14:paraId="69766EA4" w14:textId="77777777" w:rsidR="00BE0A2F" w:rsidRPr="006B0F72" w:rsidRDefault="00BE0A2F" w:rsidP="00BE0A2F">
      <w:pPr>
        <w:jc w:val="right"/>
        <w:rPr>
          <w:noProof/>
          <w:color w:val="000000" w:themeColor="text1"/>
          <w:sz w:val="20"/>
        </w:rPr>
      </w:pPr>
      <w:r w:rsidRPr="006B0F72">
        <w:rPr>
          <w:noProof/>
          <w:color w:val="000000" w:themeColor="text1"/>
          <w:sz w:val="20"/>
        </w:rPr>
        <w:t>odobritve v mio. EUR (na tri decimalna mesta natančno)</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E0A2F" w:rsidRPr="006B0F72" w14:paraId="57EB4A7E" w14:textId="77777777" w:rsidTr="00BE0A2F">
        <w:trPr>
          <w:cantSplit/>
        </w:trPr>
        <w:tc>
          <w:tcPr>
            <w:tcW w:w="2340" w:type="dxa"/>
          </w:tcPr>
          <w:p w14:paraId="7F7F819C" w14:textId="77777777" w:rsidR="00BE0A2F" w:rsidRPr="006B0F72" w:rsidRDefault="00BE0A2F" w:rsidP="00BE0A2F">
            <w:pPr>
              <w:spacing w:before="60" w:after="60"/>
              <w:rPr>
                <w:noProof/>
                <w:color w:val="000000" w:themeColor="text1"/>
                <w:sz w:val="20"/>
              </w:rPr>
            </w:pPr>
          </w:p>
        </w:tc>
        <w:tc>
          <w:tcPr>
            <w:tcW w:w="964" w:type="dxa"/>
            <w:vAlign w:val="center"/>
          </w:tcPr>
          <w:p w14:paraId="599C3D6C"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N</w:t>
            </w:r>
            <w:r w:rsidRPr="006B0F72">
              <w:rPr>
                <w:rStyle w:val="FootnoteReference"/>
                <w:noProof/>
              </w:rPr>
              <w:footnoteReference w:id="127"/>
            </w:r>
          </w:p>
        </w:tc>
        <w:tc>
          <w:tcPr>
            <w:tcW w:w="964" w:type="dxa"/>
            <w:vAlign w:val="center"/>
          </w:tcPr>
          <w:p w14:paraId="59ED4CE5"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N+1</w:t>
            </w:r>
          </w:p>
        </w:tc>
        <w:tc>
          <w:tcPr>
            <w:tcW w:w="964" w:type="dxa"/>
            <w:vAlign w:val="center"/>
          </w:tcPr>
          <w:p w14:paraId="7FABE646"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N+2</w:t>
            </w:r>
          </w:p>
        </w:tc>
        <w:tc>
          <w:tcPr>
            <w:tcW w:w="964" w:type="dxa"/>
            <w:vAlign w:val="center"/>
          </w:tcPr>
          <w:p w14:paraId="00ADF9A7" w14:textId="77777777" w:rsidR="00BE0A2F" w:rsidRPr="006B0F72" w:rsidRDefault="00BE0A2F" w:rsidP="00BE0A2F">
            <w:pPr>
              <w:jc w:val="center"/>
              <w:rPr>
                <w:noProof/>
                <w:color w:val="000000" w:themeColor="text1"/>
                <w:sz w:val="20"/>
              </w:rPr>
            </w:pPr>
            <w:r w:rsidRPr="006B0F72">
              <w:rPr>
                <w:noProof/>
                <w:color w:val="000000" w:themeColor="text1"/>
                <w:sz w:val="20"/>
              </w:rPr>
              <w:t>Leto</w:t>
            </w:r>
            <w:r w:rsidRPr="006B0F72">
              <w:rPr>
                <w:noProof/>
              </w:rPr>
              <w:t xml:space="preserve"> </w:t>
            </w:r>
            <w:r w:rsidRPr="006B0F72">
              <w:rPr>
                <w:noProof/>
              </w:rPr>
              <w:br/>
            </w:r>
            <w:r w:rsidRPr="006B0F72">
              <w:rPr>
                <w:b/>
                <w:noProof/>
                <w:color w:val="000000" w:themeColor="text1"/>
                <w:sz w:val="20"/>
              </w:rPr>
              <w:t>N+3</w:t>
            </w:r>
          </w:p>
        </w:tc>
        <w:tc>
          <w:tcPr>
            <w:tcW w:w="2892" w:type="dxa"/>
            <w:gridSpan w:val="3"/>
            <w:vAlign w:val="center"/>
          </w:tcPr>
          <w:p w14:paraId="2D4F36A3" w14:textId="77777777" w:rsidR="00BE0A2F" w:rsidRPr="006B0F72" w:rsidRDefault="00BE0A2F" w:rsidP="00BE0A2F">
            <w:pPr>
              <w:jc w:val="center"/>
              <w:rPr>
                <w:b/>
                <w:noProof/>
                <w:color w:val="000000" w:themeColor="text1"/>
                <w:sz w:val="20"/>
              </w:rPr>
            </w:pPr>
            <w:r w:rsidRPr="006B0F72">
              <w:rPr>
                <w:noProof/>
                <w:color w:val="000000" w:themeColor="text1"/>
                <w:sz w:val="20"/>
              </w:rPr>
              <w:t>Vstavite ustrezno število let glede na trajanje posledic (gl. točko 1.6)</w:t>
            </w:r>
          </w:p>
        </w:tc>
        <w:tc>
          <w:tcPr>
            <w:tcW w:w="1158" w:type="dxa"/>
            <w:vAlign w:val="center"/>
          </w:tcPr>
          <w:p w14:paraId="52EFE32E" w14:textId="77777777" w:rsidR="00BE0A2F" w:rsidRPr="006B0F72" w:rsidRDefault="00BE0A2F" w:rsidP="00BE0A2F">
            <w:pPr>
              <w:spacing w:before="60" w:after="60"/>
              <w:jc w:val="center"/>
              <w:rPr>
                <w:noProof/>
                <w:color w:val="000000" w:themeColor="text1"/>
                <w:sz w:val="20"/>
              </w:rPr>
            </w:pPr>
            <w:r w:rsidRPr="006B0F72">
              <w:rPr>
                <w:noProof/>
                <w:color w:val="000000" w:themeColor="text1"/>
                <w:sz w:val="20"/>
              </w:rPr>
              <w:t>Skupaj</w:t>
            </w:r>
          </w:p>
        </w:tc>
      </w:tr>
      <w:tr w:rsidR="00BE0A2F" w:rsidRPr="006B0F72" w14:paraId="303C18CA" w14:textId="77777777" w:rsidTr="00BE0A2F">
        <w:trPr>
          <w:cantSplit/>
        </w:trPr>
        <w:tc>
          <w:tcPr>
            <w:tcW w:w="2340" w:type="dxa"/>
          </w:tcPr>
          <w:p w14:paraId="78959FC8" w14:textId="77777777" w:rsidR="00BE0A2F" w:rsidRPr="006B0F72" w:rsidRDefault="00BE0A2F" w:rsidP="00BE0A2F">
            <w:pPr>
              <w:rPr>
                <w:noProof/>
                <w:color w:val="000000" w:themeColor="text1"/>
              </w:rPr>
            </w:pPr>
            <w:r w:rsidRPr="006B0F72">
              <w:rPr>
                <w:noProof/>
                <w:color w:val="000000" w:themeColor="text1"/>
                <w:sz w:val="20"/>
              </w:rPr>
              <w:t>Navedite organ, ki bo sofinanciral predlog/pobudo</w:t>
            </w:r>
            <w:r w:rsidRPr="006B0F72">
              <w:rPr>
                <w:i/>
                <w:noProof/>
                <w:color w:val="000000" w:themeColor="text1"/>
                <w:sz w:val="20"/>
              </w:rPr>
              <w:t xml:space="preserve"> </w:t>
            </w:r>
          </w:p>
        </w:tc>
        <w:tc>
          <w:tcPr>
            <w:tcW w:w="964" w:type="dxa"/>
            <w:vAlign w:val="center"/>
          </w:tcPr>
          <w:p w14:paraId="1F1FBDF5"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1FC7350D"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384AED6B"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2D82F677"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14360FD8"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790A986C"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268667F7" w14:textId="77777777" w:rsidR="00BE0A2F" w:rsidRPr="006B0F72" w:rsidRDefault="00BE0A2F" w:rsidP="00BE0A2F">
            <w:pPr>
              <w:spacing w:before="60" w:after="60"/>
              <w:jc w:val="center"/>
              <w:rPr>
                <w:noProof/>
                <w:color w:val="000000" w:themeColor="text1"/>
                <w:sz w:val="20"/>
              </w:rPr>
            </w:pPr>
          </w:p>
        </w:tc>
        <w:tc>
          <w:tcPr>
            <w:tcW w:w="1158" w:type="dxa"/>
            <w:vAlign w:val="center"/>
          </w:tcPr>
          <w:p w14:paraId="0D4F249B" w14:textId="77777777" w:rsidR="00BE0A2F" w:rsidRPr="006B0F72" w:rsidRDefault="00BE0A2F" w:rsidP="00BE0A2F">
            <w:pPr>
              <w:spacing w:before="60" w:after="60"/>
              <w:jc w:val="center"/>
              <w:rPr>
                <w:noProof/>
                <w:color w:val="000000" w:themeColor="text1"/>
                <w:sz w:val="20"/>
              </w:rPr>
            </w:pPr>
          </w:p>
        </w:tc>
      </w:tr>
      <w:tr w:rsidR="00BE0A2F" w:rsidRPr="006B0F72" w14:paraId="69905FAB" w14:textId="77777777" w:rsidTr="00BE0A2F">
        <w:trPr>
          <w:cantSplit/>
        </w:trPr>
        <w:tc>
          <w:tcPr>
            <w:tcW w:w="2340" w:type="dxa"/>
          </w:tcPr>
          <w:p w14:paraId="0C8FC5FE" w14:textId="77777777" w:rsidR="00BE0A2F" w:rsidRPr="006B0F72" w:rsidRDefault="00BE0A2F" w:rsidP="00BE0A2F">
            <w:pPr>
              <w:spacing w:before="60" w:after="60"/>
              <w:jc w:val="left"/>
              <w:rPr>
                <w:noProof/>
                <w:color w:val="000000" w:themeColor="text1"/>
                <w:sz w:val="20"/>
              </w:rPr>
            </w:pPr>
            <w:r w:rsidRPr="006B0F72">
              <w:rPr>
                <w:noProof/>
                <w:color w:val="000000" w:themeColor="text1"/>
                <w:sz w:val="20"/>
              </w:rPr>
              <w:t xml:space="preserve">Sofinancirane odobritve SKUPAJ </w:t>
            </w:r>
          </w:p>
        </w:tc>
        <w:tc>
          <w:tcPr>
            <w:tcW w:w="964" w:type="dxa"/>
            <w:vAlign w:val="center"/>
          </w:tcPr>
          <w:p w14:paraId="02AB5521"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01ED7AC8"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0E8BE915"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28798B5D"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59E43E9A"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24427D14" w14:textId="77777777" w:rsidR="00BE0A2F" w:rsidRPr="006B0F72" w:rsidRDefault="00BE0A2F" w:rsidP="00BE0A2F">
            <w:pPr>
              <w:spacing w:before="60" w:after="60"/>
              <w:jc w:val="center"/>
              <w:rPr>
                <w:noProof/>
                <w:color w:val="000000" w:themeColor="text1"/>
                <w:sz w:val="20"/>
              </w:rPr>
            </w:pPr>
          </w:p>
        </w:tc>
        <w:tc>
          <w:tcPr>
            <w:tcW w:w="964" w:type="dxa"/>
            <w:vAlign w:val="center"/>
          </w:tcPr>
          <w:p w14:paraId="25C527A8" w14:textId="77777777" w:rsidR="00BE0A2F" w:rsidRPr="006B0F72" w:rsidRDefault="00BE0A2F" w:rsidP="00BE0A2F">
            <w:pPr>
              <w:spacing w:before="60" w:after="60"/>
              <w:jc w:val="center"/>
              <w:rPr>
                <w:noProof/>
                <w:color w:val="000000" w:themeColor="text1"/>
                <w:sz w:val="20"/>
              </w:rPr>
            </w:pPr>
          </w:p>
        </w:tc>
        <w:tc>
          <w:tcPr>
            <w:tcW w:w="1158" w:type="dxa"/>
            <w:vAlign w:val="center"/>
          </w:tcPr>
          <w:p w14:paraId="178F2523" w14:textId="77777777" w:rsidR="00BE0A2F" w:rsidRPr="006B0F72" w:rsidRDefault="00BE0A2F" w:rsidP="00BE0A2F">
            <w:pPr>
              <w:spacing w:before="60" w:after="60"/>
              <w:jc w:val="center"/>
              <w:rPr>
                <w:noProof/>
                <w:color w:val="000000" w:themeColor="text1"/>
                <w:sz w:val="20"/>
              </w:rPr>
            </w:pPr>
          </w:p>
        </w:tc>
      </w:tr>
    </w:tbl>
    <w:p w14:paraId="62B3068D" w14:textId="77777777" w:rsidR="00BE0A2F" w:rsidRPr="006B0F72" w:rsidRDefault="00BE0A2F" w:rsidP="00BE0A2F">
      <w:pPr>
        <w:rPr>
          <w:noProof/>
          <w:color w:val="000000" w:themeColor="text1"/>
        </w:rPr>
      </w:pPr>
      <w:r w:rsidRPr="006B0F72">
        <w:rPr>
          <w:noProof/>
        </w:rPr>
        <w:t xml:space="preserve"> </w:t>
      </w:r>
      <w:r w:rsidRPr="006B0F72">
        <w:rPr>
          <w:noProof/>
        </w:rPr>
        <w:br/>
      </w:r>
    </w:p>
    <w:p w14:paraId="090F2A7D" w14:textId="73F24163" w:rsidR="00BE0A2F" w:rsidRPr="006B0F72" w:rsidRDefault="00BE0A2F" w:rsidP="00652A97">
      <w:pPr>
        <w:pStyle w:val="ManualHeading2"/>
        <w:rPr>
          <w:noProof/>
        </w:rPr>
      </w:pPr>
      <w:r w:rsidRPr="006B0F72">
        <w:rPr>
          <w:noProof/>
        </w:rPr>
        <w:br w:type="page"/>
      </w:r>
      <w:bookmarkStart w:id="59" w:name="_Toc514938059"/>
      <w:bookmarkStart w:id="60" w:name="_Toc520485057"/>
      <w:r w:rsidR="00652A97" w:rsidRPr="00652A97">
        <w:rPr>
          <w:noProof/>
        </w:rPr>
        <w:t>3.3.</w:t>
      </w:r>
      <w:r w:rsidR="00652A97" w:rsidRPr="00652A97">
        <w:rPr>
          <w:noProof/>
        </w:rPr>
        <w:tab/>
      </w:r>
      <w:r w:rsidRPr="006B0F72">
        <w:rPr>
          <w:noProof/>
        </w:rPr>
        <w:t>Ocenjene posledice za prihodke</w:t>
      </w:r>
      <w:bookmarkEnd w:id="59"/>
      <w:bookmarkEnd w:id="60"/>
      <w:r w:rsidRPr="006B0F72">
        <w:rPr>
          <w:noProof/>
        </w:rPr>
        <w:t xml:space="preserve"> </w:t>
      </w:r>
    </w:p>
    <w:p w14:paraId="25DDBA07" w14:textId="77777777" w:rsidR="00BE0A2F" w:rsidRPr="006B0F72" w:rsidRDefault="00BE0A2F" w:rsidP="00B0251E">
      <w:pPr>
        <w:pStyle w:val="ListDash1"/>
        <w:rPr>
          <w:noProof/>
        </w:rPr>
      </w:pPr>
      <w:r w:rsidRPr="006B0F72">
        <w:rPr>
          <w:noProof/>
        </w:rPr>
        <w:sym w:font="Wingdings" w:char="F078"/>
      </w:r>
      <w:r w:rsidRPr="006B0F72">
        <w:rPr>
          <w:noProof/>
        </w:rPr>
        <w:tab/>
        <w:t>Predlog/pobuda nima finančnih posledic za prihodke.</w:t>
      </w:r>
    </w:p>
    <w:p w14:paraId="4636765C" w14:textId="77777777" w:rsidR="00BE0A2F" w:rsidRPr="006B0F72" w:rsidRDefault="00BE0A2F" w:rsidP="00B0251E">
      <w:pPr>
        <w:pStyle w:val="ListDash1"/>
        <w:rPr>
          <w:noProof/>
        </w:rPr>
      </w:pPr>
      <w:r w:rsidRPr="006B0F72">
        <w:rPr>
          <w:noProof/>
        </w:rPr>
        <w:sym w:font="Wingdings" w:char="F0A8"/>
      </w:r>
      <w:r w:rsidRPr="006B0F72">
        <w:rPr>
          <w:noProof/>
        </w:rPr>
        <w:tab/>
        <w:t>Predlog/pobuda ima finančne posledice, kot je pojasnjeno v nadaljevanju:</w:t>
      </w:r>
    </w:p>
    <w:p w14:paraId="32677CC4" w14:textId="77777777" w:rsidR="00BE0A2F" w:rsidRPr="006B0F72" w:rsidRDefault="00BE0A2F" w:rsidP="002C1AD1">
      <w:pPr>
        <w:pStyle w:val="ListNumberLevel3"/>
        <w:rPr>
          <w:noProof/>
        </w:rPr>
      </w:pPr>
      <w:r w:rsidRPr="006B0F72">
        <w:rPr>
          <w:noProof/>
        </w:rPr>
        <w:sym w:font="Wingdings" w:char="F0A8"/>
      </w:r>
      <w:r w:rsidRPr="006B0F72">
        <w:rPr>
          <w:noProof/>
        </w:rPr>
        <w:tab/>
        <w:t xml:space="preserve">za lastna sredstva, </w:t>
      </w:r>
    </w:p>
    <w:p w14:paraId="472A40C5" w14:textId="77777777" w:rsidR="00BE0A2F" w:rsidRPr="006B0F72" w:rsidRDefault="00BE0A2F" w:rsidP="002C1AD1">
      <w:pPr>
        <w:pStyle w:val="ListNumberLevel3"/>
        <w:rPr>
          <w:noProof/>
        </w:rPr>
      </w:pPr>
      <w:r w:rsidRPr="006B0F72">
        <w:rPr>
          <w:noProof/>
        </w:rPr>
        <w:sym w:font="Wingdings" w:char="F0A8"/>
      </w:r>
      <w:r w:rsidRPr="006B0F72">
        <w:rPr>
          <w:noProof/>
        </w:rPr>
        <w:tab/>
        <w:t>za druge prihodke.</w:t>
      </w:r>
    </w:p>
    <w:p w14:paraId="3B03B00A" w14:textId="77777777" w:rsidR="00BE0A2F" w:rsidRPr="006B0F72" w:rsidRDefault="00BE0A2F" w:rsidP="002C1AD1">
      <w:pPr>
        <w:pStyle w:val="ListNumberLevel3"/>
        <w:rPr>
          <w:noProof/>
        </w:rPr>
      </w:pPr>
      <w:r w:rsidRPr="006B0F72">
        <w:rPr>
          <w:noProof/>
        </w:rPr>
        <w:t xml:space="preserve">navedite, ali so prihodki dodeljeni za odhodkovne vrstice </w:t>
      </w:r>
      <w:r w:rsidRPr="006B0F72">
        <w:rPr>
          <w:noProof/>
        </w:rPr>
        <w:sym w:font="Wingdings" w:char="F0A8"/>
      </w:r>
      <w:r w:rsidRPr="006B0F72">
        <w:rPr>
          <w:noProof/>
        </w:rPr>
        <w:tab/>
      </w:r>
    </w:p>
    <w:p w14:paraId="17854DBF" w14:textId="77777777" w:rsidR="00BE0A2F" w:rsidRPr="006B0F72" w:rsidRDefault="00BE0A2F" w:rsidP="00B0251E">
      <w:pPr>
        <w:pStyle w:val="ListNumberLevel3"/>
        <w:rPr>
          <w:i/>
          <w:noProof/>
          <w:sz w:val="20"/>
        </w:rPr>
      </w:pPr>
      <w:r w:rsidRPr="006B0F72">
        <w:rPr>
          <w:noProof/>
        </w:rPr>
        <w:t xml:space="preserve">     v mio. EUR (na tri decimalna mesta natančno)</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E0A2F" w:rsidRPr="006B0F72" w14:paraId="322AAD55" w14:textId="77777777" w:rsidTr="00BE0A2F">
        <w:trPr>
          <w:trHeight w:val="388"/>
        </w:trPr>
        <w:tc>
          <w:tcPr>
            <w:tcW w:w="2144" w:type="dxa"/>
            <w:vMerge w:val="restart"/>
            <w:vAlign w:val="center"/>
          </w:tcPr>
          <w:p w14:paraId="70045141" w14:textId="77777777" w:rsidR="00BE0A2F" w:rsidRPr="006B0F72" w:rsidRDefault="00BE0A2F" w:rsidP="00BE0A2F">
            <w:pPr>
              <w:spacing w:before="40" w:after="40"/>
              <w:rPr>
                <w:noProof/>
                <w:color w:val="000000" w:themeColor="text1"/>
                <w:sz w:val="18"/>
              </w:rPr>
            </w:pPr>
            <w:r w:rsidRPr="006B0F72">
              <w:rPr>
                <w:noProof/>
                <w:color w:val="000000" w:themeColor="text1"/>
                <w:sz w:val="18"/>
              </w:rPr>
              <w:t>Prihodkovna proračunska vrstica</w:t>
            </w:r>
          </w:p>
        </w:tc>
        <w:tc>
          <w:tcPr>
            <w:tcW w:w="1325" w:type="dxa"/>
            <w:vMerge w:val="restart"/>
            <w:vAlign w:val="center"/>
          </w:tcPr>
          <w:p w14:paraId="70AE25A5" w14:textId="77777777" w:rsidR="00BE0A2F" w:rsidRPr="006B0F72" w:rsidRDefault="00BE0A2F" w:rsidP="00BE0A2F">
            <w:pPr>
              <w:jc w:val="center"/>
              <w:rPr>
                <w:noProof/>
                <w:color w:val="000000" w:themeColor="text1"/>
                <w:sz w:val="18"/>
              </w:rPr>
            </w:pPr>
            <w:r w:rsidRPr="006B0F72">
              <w:rPr>
                <w:noProof/>
                <w:color w:val="000000" w:themeColor="text1"/>
                <w:sz w:val="18"/>
              </w:rPr>
              <w:t>Odobritve na voljo za tekoče proračunsko leto</w:t>
            </w:r>
          </w:p>
        </w:tc>
        <w:tc>
          <w:tcPr>
            <w:tcW w:w="7151" w:type="dxa"/>
            <w:gridSpan w:val="7"/>
            <w:vAlign w:val="center"/>
          </w:tcPr>
          <w:p w14:paraId="63E70EAB" w14:textId="77777777" w:rsidR="00BE0A2F" w:rsidRPr="006B0F72" w:rsidRDefault="00BE0A2F" w:rsidP="00BE0A2F">
            <w:pPr>
              <w:jc w:val="center"/>
              <w:rPr>
                <w:noProof/>
                <w:color w:val="000000" w:themeColor="text1"/>
                <w:sz w:val="18"/>
              </w:rPr>
            </w:pPr>
            <w:r w:rsidRPr="006B0F72">
              <w:rPr>
                <w:noProof/>
                <w:color w:val="000000" w:themeColor="text1"/>
                <w:sz w:val="18"/>
              </w:rPr>
              <w:t>Posledice predloga/pobude</w:t>
            </w:r>
            <w:r w:rsidRPr="006B0F72">
              <w:rPr>
                <w:rStyle w:val="FootnoteReference"/>
                <w:noProof/>
              </w:rPr>
              <w:footnoteReference w:id="128"/>
            </w:r>
          </w:p>
        </w:tc>
      </w:tr>
      <w:tr w:rsidR="00BE0A2F" w:rsidRPr="006B0F72" w14:paraId="090CBEE3" w14:textId="77777777" w:rsidTr="00BE0A2F">
        <w:trPr>
          <w:trHeight w:val="388"/>
        </w:trPr>
        <w:tc>
          <w:tcPr>
            <w:tcW w:w="2144" w:type="dxa"/>
            <w:vMerge/>
          </w:tcPr>
          <w:p w14:paraId="2A486F58" w14:textId="77777777" w:rsidR="00BE0A2F" w:rsidRPr="006B0F72" w:rsidRDefault="00BE0A2F" w:rsidP="00BE0A2F">
            <w:pPr>
              <w:spacing w:before="40" w:after="40"/>
              <w:rPr>
                <w:noProof/>
                <w:color w:val="000000" w:themeColor="text1"/>
                <w:sz w:val="18"/>
              </w:rPr>
            </w:pPr>
          </w:p>
        </w:tc>
        <w:tc>
          <w:tcPr>
            <w:tcW w:w="1325" w:type="dxa"/>
            <w:vMerge/>
          </w:tcPr>
          <w:p w14:paraId="37E4582A" w14:textId="77777777" w:rsidR="00BE0A2F" w:rsidRPr="006B0F72" w:rsidRDefault="00BE0A2F" w:rsidP="00BE0A2F">
            <w:pPr>
              <w:spacing w:beforeLines="40" w:before="96" w:afterLines="40" w:after="96"/>
              <w:rPr>
                <w:i/>
                <w:noProof/>
                <w:color w:val="000000" w:themeColor="text1"/>
                <w:sz w:val="18"/>
              </w:rPr>
            </w:pPr>
          </w:p>
        </w:tc>
        <w:tc>
          <w:tcPr>
            <w:tcW w:w="1031" w:type="dxa"/>
            <w:vAlign w:val="center"/>
          </w:tcPr>
          <w:p w14:paraId="4E170AE4" w14:textId="77777777" w:rsidR="00BE0A2F" w:rsidRPr="006B0F72" w:rsidRDefault="00BE0A2F" w:rsidP="00BE0A2F">
            <w:pPr>
              <w:jc w:val="center"/>
              <w:rPr>
                <w:noProof/>
                <w:color w:val="000000" w:themeColor="text1"/>
                <w:sz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w:t>
            </w:r>
          </w:p>
        </w:tc>
        <w:tc>
          <w:tcPr>
            <w:tcW w:w="900" w:type="dxa"/>
            <w:vAlign w:val="center"/>
          </w:tcPr>
          <w:p w14:paraId="6509992E" w14:textId="77777777" w:rsidR="00BE0A2F" w:rsidRPr="006B0F72" w:rsidRDefault="00BE0A2F" w:rsidP="00BE0A2F">
            <w:pPr>
              <w:jc w:val="center"/>
              <w:rPr>
                <w:noProof/>
                <w:color w:val="000000" w:themeColor="text1"/>
                <w:sz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N+1</w:t>
            </w:r>
          </w:p>
        </w:tc>
        <w:tc>
          <w:tcPr>
            <w:tcW w:w="900" w:type="dxa"/>
            <w:vAlign w:val="center"/>
          </w:tcPr>
          <w:p w14:paraId="3C465712" w14:textId="77777777" w:rsidR="00BE0A2F" w:rsidRPr="006B0F72" w:rsidRDefault="00BE0A2F" w:rsidP="00BE0A2F">
            <w:pPr>
              <w:jc w:val="center"/>
              <w:rPr>
                <w:noProof/>
                <w:color w:val="000000" w:themeColor="text1"/>
                <w:sz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N+2</w:t>
            </w:r>
          </w:p>
        </w:tc>
        <w:tc>
          <w:tcPr>
            <w:tcW w:w="1080" w:type="dxa"/>
            <w:vAlign w:val="center"/>
          </w:tcPr>
          <w:p w14:paraId="718733D0" w14:textId="77777777" w:rsidR="00BE0A2F" w:rsidRPr="006B0F72" w:rsidRDefault="00BE0A2F" w:rsidP="00BE0A2F">
            <w:pPr>
              <w:jc w:val="center"/>
              <w:rPr>
                <w:noProof/>
                <w:color w:val="000000" w:themeColor="text1"/>
                <w:sz w:val="18"/>
              </w:rPr>
            </w:pPr>
            <w:r w:rsidRPr="006B0F72">
              <w:rPr>
                <w:noProof/>
                <w:color w:val="000000" w:themeColor="text1"/>
                <w:sz w:val="18"/>
              </w:rPr>
              <w:t>Leto</w:t>
            </w:r>
            <w:r w:rsidRPr="006B0F72">
              <w:rPr>
                <w:noProof/>
              </w:rPr>
              <w:t xml:space="preserve"> </w:t>
            </w:r>
            <w:r w:rsidRPr="006B0F72">
              <w:rPr>
                <w:noProof/>
              </w:rPr>
              <w:br/>
            </w:r>
            <w:r w:rsidRPr="006B0F72">
              <w:rPr>
                <w:b/>
                <w:noProof/>
                <w:color w:val="000000" w:themeColor="text1"/>
                <w:sz w:val="18"/>
              </w:rPr>
              <w:t>N+3</w:t>
            </w:r>
          </w:p>
        </w:tc>
        <w:tc>
          <w:tcPr>
            <w:tcW w:w="3240" w:type="dxa"/>
            <w:gridSpan w:val="3"/>
            <w:vAlign w:val="center"/>
          </w:tcPr>
          <w:p w14:paraId="6ADBB071" w14:textId="77777777" w:rsidR="00BE0A2F" w:rsidRPr="006B0F72" w:rsidRDefault="00BE0A2F" w:rsidP="00BE0A2F">
            <w:pPr>
              <w:jc w:val="center"/>
              <w:rPr>
                <w:b/>
                <w:noProof/>
                <w:color w:val="000000" w:themeColor="text1"/>
                <w:sz w:val="18"/>
              </w:rPr>
            </w:pPr>
            <w:r w:rsidRPr="006B0F72">
              <w:rPr>
                <w:noProof/>
                <w:color w:val="000000" w:themeColor="text1"/>
                <w:sz w:val="18"/>
              </w:rPr>
              <w:t>Vstavite ustrezno število let glede na trajanje posledic (gl. točko 1.6)</w:t>
            </w:r>
          </w:p>
        </w:tc>
      </w:tr>
      <w:tr w:rsidR="00BE0A2F" w:rsidRPr="006B0F72" w14:paraId="4DA32952" w14:textId="77777777" w:rsidTr="00BE0A2F">
        <w:trPr>
          <w:trHeight w:val="388"/>
        </w:trPr>
        <w:tc>
          <w:tcPr>
            <w:tcW w:w="2144" w:type="dxa"/>
            <w:vAlign w:val="center"/>
          </w:tcPr>
          <w:p w14:paraId="4903CA3B" w14:textId="77777777" w:rsidR="00BE0A2F" w:rsidRPr="006B0F72" w:rsidRDefault="00BE0A2F" w:rsidP="00BE0A2F">
            <w:pPr>
              <w:spacing w:before="40" w:after="40"/>
              <w:rPr>
                <w:noProof/>
                <w:color w:val="000000" w:themeColor="text1"/>
                <w:sz w:val="18"/>
              </w:rPr>
            </w:pPr>
            <w:r w:rsidRPr="006B0F72">
              <w:rPr>
                <w:noProof/>
                <w:color w:val="000000" w:themeColor="text1"/>
                <w:sz w:val="18"/>
              </w:rPr>
              <w:t>Člen ………….</w:t>
            </w:r>
          </w:p>
        </w:tc>
        <w:tc>
          <w:tcPr>
            <w:tcW w:w="1325" w:type="dxa"/>
          </w:tcPr>
          <w:p w14:paraId="31720304" w14:textId="77777777" w:rsidR="00BE0A2F" w:rsidRPr="006B0F72" w:rsidRDefault="00BE0A2F" w:rsidP="00BE0A2F">
            <w:pPr>
              <w:spacing w:beforeLines="40" w:before="96" w:afterLines="40" w:after="96"/>
              <w:jc w:val="center"/>
              <w:rPr>
                <w:i/>
                <w:noProof/>
                <w:color w:val="000000" w:themeColor="text1"/>
                <w:sz w:val="18"/>
              </w:rPr>
            </w:pPr>
          </w:p>
        </w:tc>
        <w:tc>
          <w:tcPr>
            <w:tcW w:w="1031" w:type="dxa"/>
          </w:tcPr>
          <w:p w14:paraId="7DEA7229" w14:textId="77777777" w:rsidR="00BE0A2F" w:rsidRPr="006B0F72" w:rsidRDefault="00BE0A2F" w:rsidP="00BE0A2F">
            <w:pPr>
              <w:spacing w:beforeLines="40" w:before="96" w:afterLines="40" w:after="96"/>
              <w:jc w:val="center"/>
              <w:rPr>
                <w:noProof/>
                <w:color w:val="000000" w:themeColor="text1"/>
                <w:sz w:val="18"/>
              </w:rPr>
            </w:pPr>
          </w:p>
        </w:tc>
        <w:tc>
          <w:tcPr>
            <w:tcW w:w="900" w:type="dxa"/>
          </w:tcPr>
          <w:p w14:paraId="262A9A90" w14:textId="77777777" w:rsidR="00BE0A2F" w:rsidRPr="006B0F72" w:rsidRDefault="00BE0A2F" w:rsidP="00BE0A2F">
            <w:pPr>
              <w:spacing w:beforeLines="40" w:before="96" w:afterLines="40" w:after="96"/>
              <w:jc w:val="center"/>
              <w:rPr>
                <w:noProof/>
                <w:color w:val="000000" w:themeColor="text1"/>
                <w:sz w:val="18"/>
              </w:rPr>
            </w:pPr>
          </w:p>
        </w:tc>
        <w:tc>
          <w:tcPr>
            <w:tcW w:w="900" w:type="dxa"/>
          </w:tcPr>
          <w:p w14:paraId="4B784FF7" w14:textId="77777777" w:rsidR="00BE0A2F" w:rsidRPr="006B0F72" w:rsidRDefault="00BE0A2F" w:rsidP="00BE0A2F">
            <w:pPr>
              <w:spacing w:beforeLines="40" w:before="96" w:afterLines="40" w:after="96"/>
              <w:jc w:val="center"/>
              <w:rPr>
                <w:noProof/>
                <w:color w:val="000000" w:themeColor="text1"/>
                <w:sz w:val="18"/>
              </w:rPr>
            </w:pPr>
          </w:p>
        </w:tc>
        <w:tc>
          <w:tcPr>
            <w:tcW w:w="1080" w:type="dxa"/>
          </w:tcPr>
          <w:p w14:paraId="61A0A5C6" w14:textId="77777777" w:rsidR="00BE0A2F" w:rsidRPr="006B0F72" w:rsidRDefault="00BE0A2F" w:rsidP="00BE0A2F">
            <w:pPr>
              <w:spacing w:beforeLines="40" w:before="96" w:afterLines="40" w:after="96"/>
              <w:jc w:val="center"/>
              <w:rPr>
                <w:noProof/>
                <w:color w:val="000000" w:themeColor="text1"/>
                <w:sz w:val="18"/>
              </w:rPr>
            </w:pPr>
          </w:p>
        </w:tc>
        <w:tc>
          <w:tcPr>
            <w:tcW w:w="1080" w:type="dxa"/>
          </w:tcPr>
          <w:p w14:paraId="6B047E1C" w14:textId="77777777" w:rsidR="00BE0A2F" w:rsidRPr="006B0F72" w:rsidRDefault="00BE0A2F" w:rsidP="00BE0A2F">
            <w:pPr>
              <w:spacing w:beforeLines="40" w:before="96" w:afterLines="40" w:after="96"/>
              <w:jc w:val="center"/>
              <w:rPr>
                <w:noProof/>
                <w:color w:val="000000" w:themeColor="text1"/>
                <w:sz w:val="18"/>
              </w:rPr>
            </w:pPr>
          </w:p>
        </w:tc>
        <w:tc>
          <w:tcPr>
            <w:tcW w:w="1080" w:type="dxa"/>
          </w:tcPr>
          <w:p w14:paraId="2666E891" w14:textId="77777777" w:rsidR="00BE0A2F" w:rsidRPr="006B0F72" w:rsidRDefault="00BE0A2F" w:rsidP="00BE0A2F">
            <w:pPr>
              <w:spacing w:beforeLines="40" w:before="96" w:afterLines="40" w:after="96"/>
              <w:jc w:val="center"/>
              <w:rPr>
                <w:noProof/>
                <w:color w:val="000000" w:themeColor="text1"/>
                <w:sz w:val="18"/>
              </w:rPr>
            </w:pPr>
          </w:p>
        </w:tc>
        <w:tc>
          <w:tcPr>
            <w:tcW w:w="1080" w:type="dxa"/>
          </w:tcPr>
          <w:p w14:paraId="54F4C7D5" w14:textId="77777777" w:rsidR="00BE0A2F" w:rsidRPr="006B0F72" w:rsidRDefault="00BE0A2F" w:rsidP="00BE0A2F">
            <w:pPr>
              <w:spacing w:beforeLines="40" w:before="96" w:afterLines="40" w:after="96"/>
              <w:jc w:val="center"/>
              <w:rPr>
                <w:noProof/>
                <w:color w:val="000000" w:themeColor="text1"/>
                <w:sz w:val="18"/>
              </w:rPr>
            </w:pPr>
          </w:p>
        </w:tc>
      </w:tr>
    </w:tbl>
    <w:p w14:paraId="0774FAB2" w14:textId="77777777" w:rsidR="00BE0A2F" w:rsidRPr="006B0F72" w:rsidRDefault="00BE0A2F" w:rsidP="002C1AD1">
      <w:pPr>
        <w:pStyle w:val="Text1"/>
        <w:rPr>
          <w:noProof/>
        </w:rPr>
      </w:pPr>
      <w:r w:rsidRPr="006B0F72">
        <w:rPr>
          <w:noProof/>
        </w:rPr>
        <w:t>Za namenske prejemke navedite zadevne odhodkovne proračunske vrstice.</w:t>
      </w:r>
    </w:p>
    <w:p w14:paraId="2DC23237" w14:textId="77777777" w:rsidR="00BE0A2F" w:rsidRPr="006B0F72" w:rsidRDefault="00BE0A2F" w:rsidP="00B0251E">
      <w:pPr>
        <w:pStyle w:val="Text1"/>
        <w:rPr>
          <w:noProof/>
        </w:rPr>
      </w:pPr>
      <w:r w:rsidRPr="006B0F72">
        <w:rPr>
          <w:noProof/>
        </w:rPr>
        <w:t>[…]</w:t>
      </w:r>
    </w:p>
    <w:p w14:paraId="0E0D40A0" w14:textId="77777777" w:rsidR="00BE0A2F" w:rsidRPr="006B0F72" w:rsidRDefault="00BE0A2F" w:rsidP="002C1AD1">
      <w:pPr>
        <w:pStyle w:val="Text1"/>
        <w:rPr>
          <w:noProof/>
        </w:rPr>
      </w:pPr>
      <w:r w:rsidRPr="006B0F72">
        <w:rPr>
          <w:noProof/>
        </w:rPr>
        <w:t>Druge opombe (npr. metoda/formula za izračun posledic za prihodke ali druge informacije).</w:t>
      </w:r>
    </w:p>
    <w:p w14:paraId="2D74E908" w14:textId="77777777" w:rsidR="00BE0A2F" w:rsidRPr="006B0F72" w:rsidRDefault="00BE0A2F" w:rsidP="00B0251E">
      <w:pPr>
        <w:pStyle w:val="Text1"/>
        <w:rPr>
          <w:noProof/>
        </w:rPr>
      </w:pPr>
      <w:r w:rsidRPr="006B0F72">
        <w:rPr>
          <w:noProof/>
        </w:rPr>
        <w:t>[…]</w:t>
      </w:r>
    </w:p>
    <w:p w14:paraId="791CA681" w14:textId="77777777" w:rsidR="00BE0A2F" w:rsidRPr="006B0F72" w:rsidRDefault="00BE0A2F" w:rsidP="002C1AD1">
      <w:pPr>
        <w:pStyle w:val="Text1"/>
        <w:rPr>
          <w:noProof/>
        </w:rPr>
      </w:pPr>
    </w:p>
    <w:p w14:paraId="5B2C9175" w14:textId="77777777" w:rsidR="00BE0A2F" w:rsidRPr="006B0F72" w:rsidRDefault="00BE0A2F" w:rsidP="002C1AD1">
      <w:pPr>
        <w:pStyle w:val="Text1"/>
        <w:rPr>
          <w:noProof/>
        </w:rPr>
      </w:pPr>
    </w:p>
    <w:p w14:paraId="57D5133D" w14:textId="77777777" w:rsidR="00C85BC9" w:rsidRPr="006B0F72" w:rsidRDefault="00C85BC9" w:rsidP="00B0251E">
      <w:pPr>
        <w:pStyle w:val="Text1"/>
        <w:rPr>
          <w:noProof/>
        </w:rPr>
      </w:pPr>
    </w:p>
    <w:sectPr w:rsidR="00C85BC9" w:rsidRPr="006B0F72" w:rsidSect="00D77511">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3E967" w14:textId="77777777" w:rsidR="001F6E0F" w:rsidRDefault="001F6E0F" w:rsidP="00EC044F">
      <w:pPr>
        <w:spacing w:before="0" w:after="0"/>
      </w:pPr>
      <w:r>
        <w:separator/>
      </w:r>
    </w:p>
  </w:endnote>
  <w:endnote w:type="continuationSeparator" w:id="0">
    <w:p w14:paraId="6F3BE740" w14:textId="77777777" w:rsidR="001F6E0F" w:rsidRDefault="001F6E0F" w:rsidP="00EC044F">
      <w:pPr>
        <w:spacing w:before="0" w:after="0"/>
      </w:pPr>
      <w:r>
        <w:continuationSeparator/>
      </w:r>
    </w:p>
  </w:endnote>
  <w:endnote w:type="continuationNotice" w:id="1">
    <w:p w14:paraId="317F19DC" w14:textId="77777777" w:rsidR="001F6E0F" w:rsidRDefault="001F6E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4CD1" w14:textId="3796E54F" w:rsidR="001F6E0F" w:rsidRPr="00D77511" w:rsidRDefault="00D77511" w:rsidP="00D77511">
    <w:pPr>
      <w:pStyle w:val="Footer"/>
      <w:rPr>
        <w:rFonts w:ascii="Arial" w:hAnsi="Arial" w:cs="Arial"/>
        <w:b/>
        <w:sz w:val="48"/>
      </w:rPr>
    </w:pPr>
    <w:r w:rsidRPr="00D77511">
      <w:rPr>
        <w:rFonts w:ascii="Arial" w:hAnsi="Arial" w:cs="Arial"/>
        <w:b/>
        <w:sz w:val="48"/>
      </w:rPr>
      <w:t>SL</w:t>
    </w:r>
    <w:r w:rsidRPr="00D77511">
      <w:rPr>
        <w:rFonts w:ascii="Arial" w:hAnsi="Arial" w:cs="Arial"/>
        <w:b/>
        <w:sz w:val="48"/>
      </w:rPr>
      <w:tab/>
    </w:r>
    <w:r w:rsidRPr="00D77511">
      <w:rPr>
        <w:rFonts w:ascii="Arial" w:hAnsi="Arial" w:cs="Arial"/>
        <w:b/>
        <w:sz w:val="48"/>
      </w:rPr>
      <w:tab/>
    </w:r>
    <w:r w:rsidRPr="00D77511">
      <w:tab/>
    </w:r>
    <w:r w:rsidRPr="00D77511">
      <w:rPr>
        <w:rFonts w:ascii="Arial" w:hAnsi="Arial" w:cs="Arial"/>
        <w:b/>
        <w:sz w:val="48"/>
      </w:rPr>
      <w:t>SL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9744" w14:textId="5DF427CB" w:rsidR="00D77511" w:rsidRPr="00D77511" w:rsidRDefault="00D77511" w:rsidP="00D77511">
    <w:pPr>
      <w:pStyle w:val="Footer"/>
      <w:rPr>
        <w:rFonts w:ascii="Arial" w:hAnsi="Arial" w:cs="Arial"/>
        <w:b/>
        <w:sz w:val="48"/>
      </w:rPr>
    </w:pPr>
    <w:r w:rsidRPr="00D77511">
      <w:rPr>
        <w:rFonts w:ascii="Arial" w:hAnsi="Arial" w:cs="Arial"/>
        <w:b/>
        <w:sz w:val="48"/>
      </w:rPr>
      <w:t>SL</w:t>
    </w:r>
    <w:r w:rsidRPr="00D77511">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D77511">
      <w:tab/>
    </w:r>
    <w:r w:rsidRPr="00D77511">
      <w:rPr>
        <w:rFonts w:ascii="Arial" w:hAnsi="Arial" w:cs="Arial"/>
        <w:b/>
        <w:sz w:val="48"/>
      </w:rPr>
      <w:t>SL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B34D" w14:textId="77777777" w:rsidR="00D77511" w:rsidRPr="00D77511" w:rsidRDefault="00D77511" w:rsidP="00D7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7328" w14:textId="446BC262" w:rsidR="00D77511" w:rsidRPr="00D77511" w:rsidRDefault="00D77511" w:rsidP="00D77511">
    <w:pPr>
      <w:pStyle w:val="Footer"/>
      <w:rPr>
        <w:rFonts w:ascii="Arial" w:hAnsi="Arial" w:cs="Arial"/>
        <w:b/>
        <w:sz w:val="48"/>
      </w:rPr>
    </w:pPr>
    <w:r w:rsidRPr="00D77511">
      <w:rPr>
        <w:rFonts w:ascii="Arial" w:hAnsi="Arial" w:cs="Arial"/>
        <w:b/>
        <w:sz w:val="48"/>
      </w:rPr>
      <w:t>SL</w:t>
    </w:r>
    <w:r w:rsidRPr="00D77511">
      <w:rPr>
        <w:rFonts w:ascii="Arial" w:hAnsi="Arial" w:cs="Arial"/>
        <w:b/>
        <w:sz w:val="48"/>
      </w:rPr>
      <w:tab/>
    </w:r>
    <w:r>
      <w:fldChar w:fldCharType="begin"/>
    </w:r>
    <w:r>
      <w:instrText xml:space="preserve"> PAGE  \* MERGEFORMAT </w:instrText>
    </w:r>
    <w:r>
      <w:fldChar w:fldCharType="separate"/>
    </w:r>
    <w:r w:rsidR="00E12BCF">
      <w:rPr>
        <w:noProof/>
      </w:rPr>
      <w:t>51</w:t>
    </w:r>
    <w:r>
      <w:fldChar w:fldCharType="end"/>
    </w:r>
    <w:r>
      <w:tab/>
    </w:r>
    <w:r w:rsidRPr="00D77511">
      <w:tab/>
    </w:r>
    <w:r w:rsidRPr="00D77511">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8A15" w14:textId="77777777" w:rsidR="00D77511" w:rsidRPr="00D77511" w:rsidRDefault="00D77511" w:rsidP="00D77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9FAA" w14:textId="49033AAB" w:rsidR="00D77511" w:rsidRPr="00D77511" w:rsidRDefault="00D77511" w:rsidP="00D77511">
    <w:pPr>
      <w:pStyle w:val="FooterLandscape"/>
      <w:rPr>
        <w:rFonts w:ascii="Arial" w:hAnsi="Arial" w:cs="Arial"/>
        <w:b/>
        <w:sz w:val="48"/>
      </w:rPr>
    </w:pPr>
    <w:r w:rsidRPr="00D77511">
      <w:rPr>
        <w:rFonts w:ascii="Arial" w:hAnsi="Arial" w:cs="Arial"/>
        <w:b/>
        <w:sz w:val="48"/>
      </w:rPr>
      <w:t>SL</w:t>
    </w:r>
    <w:r w:rsidRPr="00D7751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77511">
      <w:tab/>
    </w:r>
    <w:r w:rsidRPr="00D77511">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0E4A" w14:textId="77777777" w:rsidR="00D77511" w:rsidRPr="00D77511" w:rsidRDefault="00D77511" w:rsidP="00D7751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DC94" w14:textId="40D76D27" w:rsidR="00652A97" w:rsidRPr="00D77511" w:rsidRDefault="00D77511" w:rsidP="00D77511">
    <w:pPr>
      <w:pStyle w:val="Footer"/>
      <w:rPr>
        <w:rFonts w:ascii="Arial" w:hAnsi="Arial" w:cs="Arial"/>
        <w:b/>
        <w:sz w:val="48"/>
      </w:rPr>
    </w:pPr>
    <w:r w:rsidRPr="00D77511">
      <w:rPr>
        <w:rFonts w:ascii="Arial" w:hAnsi="Arial" w:cs="Arial"/>
        <w:b/>
        <w:sz w:val="48"/>
      </w:rPr>
      <w:t>SL</w:t>
    </w:r>
    <w:r w:rsidRPr="00D7751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77511">
      <w:tab/>
    </w:r>
    <w:r w:rsidRPr="00D77511">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156B" w14:textId="77777777" w:rsidR="00D77511" w:rsidRPr="00D77511" w:rsidRDefault="00D77511" w:rsidP="00D775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A1BE" w14:textId="68988C11" w:rsidR="00D77511" w:rsidRPr="00D77511" w:rsidRDefault="00D77511" w:rsidP="00D77511">
    <w:pPr>
      <w:pStyle w:val="FooterLandscape"/>
      <w:rPr>
        <w:rFonts w:ascii="Arial" w:hAnsi="Arial" w:cs="Arial"/>
        <w:b/>
        <w:sz w:val="48"/>
      </w:rPr>
    </w:pPr>
    <w:r w:rsidRPr="00D77511">
      <w:rPr>
        <w:rFonts w:ascii="Arial" w:hAnsi="Arial" w:cs="Arial"/>
        <w:b/>
        <w:sz w:val="48"/>
      </w:rPr>
      <w:t>SL</w:t>
    </w:r>
    <w:r w:rsidRPr="00D77511">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D77511">
      <w:tab/>
    </w:r>
    <w:r w:rsidRPr="00D77511">
      <w:rPr>
        <w:rFonts w:ascii="Arial" w:hAnsi="Arial" w:cs="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D3E3" w14:textId="77777777" w:rsidR="00D77511" w:rsidRPr="00D77511" w:rsidRDefault="00D77511" w:rsidP="00D77511">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0E27" w14:textId="77777777" w:rsidR="001F6E0F" w:rsidRDefault="001F6E0F" w:rsidP="00EC044F">
      <w:pPr>
        <w:spacing w:before="0" w:after="0"/>
      </w:pPr>
      <w:r>
        <w:separator/>
      </w:r>
    </w:p>
  </w:footnote>
  <w:footnote w:type="continuationSeparator" w:id="0">
    <w:p w14:paraId="27AA7BAF" w14:textId="77777777" w:rsidR="001F6E0F" w:rsidRDefault="001F6E0F" w:rsidP="00EC044F">
      <w:pPr>
        <w:spacing w:before="0" w:after="0"/>
      </w:pPr>
      <w:r>
        <w:continuationSeparator/>
      </w:r>
    </w:p>
  </w:footnote>
  <w:footnote w:type="continuationNotice" w:id="1">
    <w:p w14:paraId="0774A01A" w14:textId="77777777" w:rsidR="001F6E0F" w:rsidRDefault="001F6E0F">
      <w:pPr>
        <w:spacing w:before="0" w:after="0"/>
      </w:pPr>
    </w:p>
  </w:footnote>
  <w:footnote w:id="2">
    <w:p w14:paraId="7DFC4267" w14:textId="77777777" w:rsidR="001F6E0F" w:rsidRPr="00FD34A5" w:rsidRDefault="001F6E0F" w:rsidP="00CD623F">
      <w:pPr>
        <w:pStyle w:val="FootnoteText"/>
        <w:ind w:left="142" w:hanging="142"/>
      </w:pPr>
      <w:r>
        <w:rPr>
          <w:rStyle w:val="FootnoteReference"/>
        </w:rPr>
        <w:footnoteRef/>
      </w:r>
      <w:r>
        <w:tab/>
        <w:t xml:space="preserve">Medvladni panel za podnebne spremembe (IPCC): Posebno poročilo o učinkih globalnega segrevanja za 1,5 °C, na voljo na </w:t>
      </w:r>
      <w:hyperlink r:id="rId1" w:history="1">
        <w:r>
          <w:rPr>
            <w:rStyle w:val="Hyperlink"/>
          </w:rPr>
          <w:t>https://www.ipcc.ch/sr15/</w:t>
        </w:r>
      </w:hyperlink>
      <w:r>
        <w:rPr>
          <w:rStyle w:val="Hyperlink"/>
        </w:rPr>
        <w:t>,</w:t>
      </w:r>
      <w:r>
        <w:t xml:space="preserve"> in šesto ocenjevalno poročilo IPCC, </w:t>
      </w:r>
      <w:hyperlink r:id="rId2" w:history="1">
        <w:r>
          <w:rPr>
            <w:rStyle w:val="Hyperlink"/>
          </w:rPr>
          <w:t>Climate Change 2022:</w:t>
        </w:r>
      </w:hyperlink>
      <w:hyperlink r:id="rId3" w:history="1">
        <w:r>
          <w:rPr>
            <w:rStyle w:val="Hyperlink"/>
          </w:rPr>
          <w:t>Impacts, Adaptation and Vulnerability</w:t>
        </w:r>
      </w:hyperlink>
      <w:r>
        <w:t xml:space="preserve"> (Podnebne spremembe leta 2022: vplivi, prilagoditev in ranljivost).</w:t>
      </w:r>
      <w:hyperlink r:id="rId4" w:history="1">
        <w:r>
          <w:rPr>
            <w:rStyle w:val="Hyperlink"/>
          </w:rPr>
          <w:t xml:space="preserve"> Climate Change 2022:</w:t>
        </w:r>
      </w:hyperlink>
      <w:hyperlink r:id="rId5" w:history="1">
        <w:r>
          <w:rPr>
            <w:rStyle w:val="Hyperlink"/>
          </w:rPr>
          <w:t xml:space="preserve"> Impacts, Adaptation and Vulnerability (ipcc.ch)</w:t>
        </w:r>
      </w:hyperlink>
      <w:r>
        <w:t xml:space="preserve"> (Podnebne spremembe leta 2022: vplivi, prilagoditev in ranljivost)</w:t>
      </w:r>
    </w:p>
  </w:footnote>
  <w:footnote w:id="3">
    <w:p w14:paraId="518C61AD" w14:textId="77777777" w:rsidR="001F6E0F" w:rsidRPr="00267038" w:rsidRDefault="001F6E0F" w:rsidP="00CD623F">
      <w:pPr>
        <w:pStyle w:val="FootnoteText"/>
        <w:ind w:left="142" w:hanging="142"/>
      </w:pPr>
      <w:r>
        <w:rPr>
          <w:rStyle w:val="FootnoteReference"/>
        </w:rPr>
        <w:footnoteRef/>
      </w:r>
      <w:r>
        <w:tab/>
        <w:t xml:space="preserve">Medvladna znanstveno-politična platforma o biotski raznovrstnosti in ekosistemskih storitvah: Globalno ocenjevalno poročilo o biotski raznovrstnosti in ekosistemskih storitvah iz leta 2019, na voljo na </w:t>
      </w:r>
      <w:r>
        <w:rPr>
          <w:color w:val="333333"/>
          <w:shd w:val="clear" w:color="auto" w:fill="F5F5F5"/>
        </w:rPr>
        <w:t>https://doi.org/10.5281/zenodo.5657041</w:t>
      </w:r>
      <w:r>
        <w:t>.</w:t>
      </w:r>
    </w:p>
  </w:footnote>
  <w:footnote w:id="4">
    <w:p w14:paraId="118C1838" w14:textId="77777777" w:rsidR="001F6E0F" w:rsidRPr="00267038" w:rsidRDefault="001F6E0F" w:rsidP="00CD623F">
      <w:pPr>
        <w:pStyle w:val="FootnoteText"/>
        <w:ind w:left="142" w:hanging="142"/>
      </w:pPr>
      <w:r>
        <w:rPr>
          <w:rStyle w:val="FootnoteReference"/>
        </w:rPr>
        <w:footnoteRef/>
      </w:r>
      <w:r>
        <w:tab/>
        <w:t xml:space="preserve">Konvencija o biološki raznovrstnosti, na voljo na </w:t>
      </w:r>
      <w:hyperlink r:id="rId6" w:history="1">
        <w:r>
          <w:rPr>
            <w:rStyle w:val="Hyperlink"/>
          </w:rPr>
          <w:t>https://www.cbd.int/convention/text/</w:t>
        </w:r>
      </w:hyperlink>
      <w:r>
        <w:t>.</w:t>
      </w:r>
    </w:p>
  </w:footnote>
  <w:footnote w:id="5">
    <w:p w14:paraId="4689E52D" w14:textId="77777777" w:rsidR="001F6E0F" w:rsidRPr="00267038" w:rsidRDefault="001F6E0F" w:rsidP="00CD623F">
      <w:pPr>
        <w:pStyle w:val="FootnoteText"/>
        <w:ind w:left="142" w:hanging="142"/>
      </w:pPr>
      <w:r>
        <w:rPr>
          <w:rStyle w:val="FootnoteReference"/>
        </w:rPr>
        <w:footnoteRef/>
      </w:r>
      <w:r>
        <w:tab/>
        <w:t xml:space="preserve">Profesor Sir Partha Dasgupta, Končno poročilo o neodvisnem pregledu Ekonomike biotske raznovrstnosti, 2. februar 2021, na voljo na </w:t>
      </w:r>
      <w:hyperlink r:id="rId7" w:history="1">
        <w:r>
          <w:rPr>
            <w:rStyle w:val="Hyperlink"/>
          </w:rPr>
          <w:t>https://www.gov.uk/government/publications/final-report-the-economics-of-biodiversity-the-dasgupta-review</w:t>
        </w:r>
      </w:hyperlink>
      <w:r>
        <w:t>.</w:t>
      </w:r>
    </w:p>
  </w:footnote>
  <w:footnote w:id="6">
    <w:p w14:paraId="3329B81B" w14:textId="77777777" w:rsidR="001F6E0F" w:rsidRPr="009615EA" w:rsidRDefault="001F6E0F" w:rsidP="00FA6BEC">
      <w:pPr>
        <w:pStyle w:val="FootnoteText"/>
      </w:pPr>
      <w:r>
        <w:rPr>
          <w:rStyle w:val="FootnoteReference"/>
        </w:rPr>
        <w:footnoteRef/>
      </w:r>
      <w:r>
        <w:tab/>
        <w:t xml:space="preserve">Sporočilo Komisije Evropskemu parlamentu, Evropskemu svetu, Svetu, Evropskemu ekonomsko-socialnemu odboru in Odboru regij, Zagotavljanje prehranske varnosti in krepitev odpornosti prehranskih sistemov (COM(2022) 133 final). </w:t>
      </w:r>
    </w:p>
  </w:footnote>
  <w:footnote w:id="7">
    <w:p w14:paraId="6288A598" w14:textId="77777777" w:rsidR="001F6E0F" w:rsidRPr="00126EE2" w:rsidRDefault="001F6E0F" w:rsidP="008557A1">
      <w:pPr>
        <w:pStyle w:val="FootnoteText"/>
      </w:pPr>
      <w:r w:rsidRPr="008F2B22">
        <w:rPr>
          <w:rStyle w:val="FootnoteReference"/>
        </w:rPr>
        <w:footnoteRef/>
      </w:r>
      <w:r>
        <w:tab/>
      </w:r>
      <w:r>
        <w:rPr>
          <w:shd w:val="clear" w:color="auto" w:fill="FFFFFF"/>
        </w:rPr>
        <w:t>Konferenca o prihodnosti Evrope je potekala med aprilom 2021 in majem 2022. To je bila edinstvena</w:t>
      </w:r>
      <w:r>
        <w:t xml:space="preserve"> pobuda posvetovalne demokracije na vseevropski ravni pod vodstvom državljanov, ki je vključevala na tisoče evropskih državljank in državljanov, pa tudi politične akterje, socialne partnerje, predstavnike civilne družbe in ključne deležnike</w:t>
      </w:r>
      <w:r>
        <w:rPr>
          <w:shd w:val="clear" w:color="auto" w:fill="FFFFFF"/>
        </w:rPr>
        <w:t>.</w:t>
      </w:r>
    </w:p>
  </w:footnote>
  <w:footnote w:id="8">
    <w:p w14:paraId="2F45A47E" w14:textId="77777777" w:rsidR="001F6E0F" w:rsidRPr="00596C6A" w:rsidRDefault="001F6E0F" w:rsidP="0094744A">
      <w:pPr>
        <w:pStyle w:val="FootnoteText"/>
      </w:pPr>
      <w:r w:rsidRPr="008F2B22">
        <w:rPr>
          <w:rStyle w:val="FootnoteReference"/>
        </w:rPr>
        <w:footnoteRef/>
      </w:r>
      <w:r>
        <w:tab/>
      </w:r>
      <w:r>
        <w:rPr>
          <w:i/>
          <w:iCs/>
        </w:rPr>
        <w:t>Konferenca o prihodnosti Evrope – Poročilo o končnem izidu</w:t>
      </w:r>
      <w:r>
        <w:t>, maj 2022, predlog 2, str. 44, predlog 6, str. 48.</w:t>
      </w:r>
    </w:p>
  </w:footnote>
  <w:footnote w:id="9">
    <w:p w14:paraId="1DC43B4F" w14:textId="77777777" w:rsidR="001F6E0F" w:rsidRPr="00C91579" w:rsidRDefault="001F6E0F" w:rsidP="00CD623F">
      <w:pPr>
        <w:pStyle w:val="FootnoteText"/>
        <w:spacing w:line="276" w:lineRule="auto"/>
        <w:ind w:left="142" w:hanging="142"/>
      </w:pPr>
      <w:r>
        <w:rPr>
          <w:rStyle w:val="FootnoteReference"/>
        </w:rPr>
        <w:footnoteRef/>
      </w:r>
      <w:r>
        <w:tab/>
        <w:t>Sporočilo Komisije Evropskemu parlamentu, Svetu, Evropskemu ekonomsko-socialnemu odboru in Odboru regij, Evropski zeleni dogovor (COM(2019) 640 final)</w:t>
      </w:r>
      <w:hyperlink r:id="rId8" w:history="1">
        <w:r>
          <w:rPr>
            <w:rStyle w:val="Hyperlink"/>
          </w:rPr>
          <w:t>.</w:t>
        </w:r>
      </w:hyperlink>
    </w:p>
  </w:footnote>
  <w:footnote w:id="10">
    <w:p w14:paraId="0C240EC2" w14:textId="77777777" w:rsidR="001F6E0F" w:rsidRPr="00C91579" w:rsidRDefault="001F6E0F" w:rsidP="00CD623F">
      <w:pPr>
        <w:pStyle w:val="FootnoteText"/>
        <w:spacing w:line="276" w:lineRule="auto"/>
        <w:ind w:left="142" w:hanging="142"/>
      </w:pPr>
      <w:r>
        <w:rPr>
          <w:rStyle w:val="FootnoteReference"/>
        </w:rPr>
        <w:footnoteRef/>
      </w:r>
      <w:r>
        <w:tab/>
      </w:r>
      <w:hyperlink r:id="rId9" w:anchor="Poslovni vidik biotske raznovrstnosti" w:history="1">
        <w:r>
          <w:rPr>
            <w:rStyle w:val="Hyperlink"/>
          </w:rPr>
          <w:t>https://ec.europa.eu/environment/strategy/biodiversity-strategy-2030_sl</w:t>
        </w:r>
      </w:hyperlink>
    </w:p>
  </w:footnote>
  <w:footnote w:id="11">
    <w:p w14:paraId="5E56DFC6" w14:textId="77777777" w:rsidR="001F6E0F" w:rsidRPr="00F63841" w:rsidRDefault="001F6E0F" w:rsidP="009C5FC4">
      <w:pPr>
        <w:pStyle w:val="FootnoteText"/>
        <w:spacing w:line="276" w:lineRule="auto"/>
        <w:ind w:left="142" w:hanging="142"/>
      </w:pPr>
      <w:r>
        <w:rPr>
          <w:rStyle w:val="FootnoteReference"/>
        </w:rPr>
        <w:footnoteRef/>
      </w:r>
      <w:r>
        <w:tab/>
        <w:t>Trinomics B.V. (2021) Support to the evaluation of the EU Biodiversity Strategy to 2020, and follow-up: Final study report (Podpora oceni strategije EU za biotsko raznovrstnost do leta 2020 in nadaljnje ukrepanje: končno poročilo o študiji) (Urad za publikacije EU, 2022). Za povzetek glavnih pomembnih ugotovitev glej Prilogo IX k oceni učinka. Poročilo Komisije o oceni strategije EU za biotsko raznovrstnost do leta 2020 mora biti pripravljeno do aprila 2022.</w:t>
      </w:r>
    </w:p>
    <w:p w14:paraId="45D38AB8" w14:textId="77777777" w:rsidR="001F6E0F" w:rsidRPr="00267038" w:rsidRDefault="001F6E0F" w:rsidP="009C5FC4">
      <w:pPr>
        <w:pStyle w:val="FootnoteText"/>
        <w:spacing w:line="276" w:lineRule="auto"/>
        <w:ind w:left="142" w:hanging="142"/>
      </w:pPr>
    </w:p>
  </w:footnote>
  <w:footnote w:id="12">
    <w:p w14:paraId="5F7D7BE0" w14:textId="77777777" w:rsidR="001F6E0F" w:rsidRPr="00267038" w:rsidRDefault="001F6E0F" w:rsidP="00CD623F">
      <w:pPr>
        <w:pStyle w:val="FootnoteText"/>
        <w:spacing w:line="276" w:lineRule="auto"/>
        <w:ind w:left="142" w:hanging="142"/>
      </w:pPr>
      <w:r>
        <w:rPr>
          <w:rStyle w:val="FootnoteReference"/>
        </w:rPr>
        <w:footnoteRef/>
      </w:r>
      <w:r>
        <w:tab/>
        <w:t>Sporočilo Komisije Evropskemu parlamentu, Svetu, Evropskemu ekonomsko-socialnemu odboru in Odboru regij, Naše življenjsko zavarovanje, naš naravni kapital: strategija EU za biotsko raznovrstnost do leta 2020 (COM(2011) 244 final)</w:t>
      </w:r>
      <w:hyperlink r:id="rId10" w:history="1">
        <w:r>
          <w:rPr>
            <w:rStyle w:val="Hyperlink"/>
          </w:rPr>
          <w:t>.</w:t>
        </w:r>
      </w:hyperlink>
    </w:p>
  </w:footnote>
  <w:footnote w:id="13">
    <w:p w14:paraId="6C0621B4" w14:textId="77777777" w:rsidR="001F6E0F" w:rsidRPr="00BE145C" w:rsidRDefault="001F6E0F" w:rsidP="00CD623F">
      <w:pPr>
        <w:pStyle w:val="FootnoteText"/>
        <w:spacing w:line="276" w:lineRule="auto"/>
        <w:ind w:left="0" w:firstLine="0"/>
        <w:rPr>
          <w:sz w:val="16"/>
          <w:szCs w:val="16"/>
        </w:rPr>
      </w:pPr>
      <w:r>
        <w:rPr>
          <w:rStyle w:val="FootnoteReference"/>
        </w:rPr>
        <w:footnoteRef/>
      </w:r>
      <w:r>
        <w:tab/>
      </w:r>
      <w:r>
        <w:rPr>
          <w:i/>
        </w:rPr>
        <w:t>Strateški načrt za obdobje 2011–2020 Konvencije o biološki raznovrstnosti</w:t>
      </w:r>
      <w:r>
        <w:t xml:space="preserve"> je vseboval 20 „aičijskih ciljev glede biotske raznovrstnosti“. V aičijskem cilju št. 15 je navedeno: „Do leta 2020 sta se povečala odpornost ekosistemov in prispevek biotske raznovrstnosti k zalogam ogljika z ohranjanjem in obnavljanjem, vključno z obnovitvijo najmanj 15 % degradiranih ekosistemov, s čimer se je prispevalo k blažitvi podnebnih sprememb  in prilagoditvi podnebnim spremembam ter k boju proti dezertifikaciji.“ Na voljo na </w:t>
      </w:r>
      <w:hyperlink r:id="rId11" w:history="1">
        <w:r>
          <w:rPr>
            <w:rStyle w:val="Hyperlink"/>
          </w:rPr>
          <w:t>https://www.cbd.int/sp/targets/rationale/target-15/</w:t>
        </w:r>
      </w:hyperlink>
    </w:p>
  </w:footnote>
  <w:footnote w:id="14">
    <w:p w14:paraId="4247F4B8" w14:textId="77777777" w:rsidR="001F6E0F" w:rsidRPr="00F602B2" w:rsidRDefault="001F6E0F" w:rsidP="00CD623F">
      <w:pPr>
        <w:pStyle w:val="FootnoteText"/>
        <w:spacing w:line="276" w:lineRule="auto"/>
        <w:ind w:left="0" w:firstLine="0"/>
      </w:pPr>
      <w:r>
        <w:rPr>
          <w:rStyle w:val="FootnoteReference"/>
        </w:rPr>
        <w:footnoteRef/>
      </w:r>
      <w:r>
        <w:tab/>
        <w:t>Priprava globalnega okvira za biotsko raznovrstnost po letu 2020 – Konvencija o biološki raznovrstnosti, Sklepi Sveta (15272/19) z dne 19. decembra 2019.</w:t>
      </w:r>
    </w:p>
  </w:footnote>
  <w:footnote w:id="15">
    <w:p w14:paraId="5D841A46" w14:textId="77777777" w:rsidR="001F6E0F" w:rsidRPr="00B35BB1" w:rsidRDefault="001F6E0F" w:rsidP="00CD623F">
      <w:pPr>
        <w:pStyle w:val="FootnoteText"/>
        <w:spacing w:line="276" w:lineRule="auto"/>
        <w:ind w:left="0" w:firstLine="0"/>
      </w:pPr>
      <w:r>
        <w:rPr>
          <w:rStyle w:val="FootnoteReference"/>
        </w:rPr>
        <w:footnoteRef/>
      </w:r>
      <w:r>
        <w:tab/>
        <w:t xml:space="preserve">Resolucija Evropskega parlamenta z dne 16. januarja 2020 o 15. zasedanju Konference pogodbenic Konvencije o biološki raznovrstnosti (COP15) (2019/2824(RSP)). </w:t>
      </w:r>
      <w:r>
        <w:rPr>
          <w:rStyle w:val="Hyperlink"/>
        </w:rPr>
        <w:t xml:space="preserve"> </w:t>
      </w:r>
    </w:p>
  </w:footnote>
  <w:footnote w:id="16">
    <w:p w14:paraId="2FF0CAB2" w14:textId="77777777" w:rsidR="001F6E0F" w:rsidRPr="00B35BB1" w:rsidRDefault="001F6E0F" w:rsidP="00CD623F">
      <w:pPr>
        <w:pStyle w:val="FootnoteText"/>
        <w:spacing w:line="276" w:lineRule="auto"/>
        <w:ind w:left="0" w:firstLine="0"/>
      </w:pPr>
      <w:r>
        <w:rPr>
          <w:rStyle w:val="FootnoteReference"/>
        </w:rPr>
        <w:footnoteRef/>
      </w:r>
      <w:r>
        <w:tab/>
        <w:t>Resolucija Evropskega parlamenta z dne 9. junija 2021 o strategiji EU za biotsko raznovrstnost do leta 2030: Vračanje narave v naša življenja (2020/2273(INI)).</w:t>
      </w:r>
    </w:p>
  </w:footnote>
  <w:footnote w:id="17">
    <w:p w14:paraId="439CCB48" w14:textId="77777777" w:rsidR="001F6E0F" w:rsidRPr="00B35BB1" w:rsidRDefault="001F6E0F" w:rsidP="00CD623F">
      <w:pPr>
        <w:pStyle w:val="FootnoteText"/>
        <w:spacing w:line="276" w:lineRule="auto"/>
        <w:ind w:left="0" w:firstLine="0"/>
      </w:pPr>
      <w:r>
        <w:rPr>
          <w:rStyle w:val="FootnoteReference"/>
        </w:rPr>
        <w:footnoteRef/>
      </w:r>
      <w:r>
        <w:tab/>
        <w:t xml:space="preserve">Prvi osnutek svetovnega okvira za biotsko raznovrstnost po letu 2020, na voljo na </w:t>
      </w:r>
      <w:hyperlink r:id="rId12" w:history="1">
        <w:r>
          <w:rPr>
            <w:rStyle w:val="Hyperlink"/>
          </w:rPr>
          <w:t>https://www.cbd.int/doc/c/914a/eca3/24ad42235033f031badf61b1/wg2020-03-03-en.pdf</w:t>
        </w:r>
      </w:hyperlink>
      <w:r>
        <w:t>.</w:t>
      </w:r>
    </w:p>
  </w:footnote>
  <w:footnote w:id="18">
    <w:p w14:paraId="712F60F8" w14:textId="77777777" w:rsidR="001F6E0F" w:rsidRPr="00B35BB1" w:rsidRDefault="001F6E0F" w:rsidP="00CD623F">
      <w:pPr>
        <w:pStyle w:val="FootnoteText"/>
        <w:spacing w:line="276" w:lineRule="auto"/>
        <w:ind w:left="0" w:firstLine="0"/>
      </w:pPr>
      <w:r>
        <w:rPr>
          <w:rStyle w:val="FootnoteReference"/>
        </w:rPr>
        <w:footnoteRef/>
      </w:r>
      <w:r>
        <w:tab/>
        <w:t xml:space="preserve">Konvencija Združenih narodov o boju proti dezertifikaciji v državah, ki doživljajo hudo sušo in/ali dezertifikacijo, zlasti v Afriki (UNCCD), na voljo na </w:t>
      </w:r>
      <w:hyperlink r:id="rId13" w:history="1">
        <w:r>
          <w:rPr>
            <w:rStyle w:val="Hyperlink"/>
          </w:rPr>
          <w:t>https://www.unccd.int/sites/default/files/relevant-links/2017-01/UNCCD_Convention_ENG_0.pdf</w:t>
        </w:r>
      </w:hyperlink>
      <w:r>
        <w:t>.</w:t>
      </w:r>
    </w:p>
  </w:footnote>
  <w:footnote w:id="19">
    <w:p w14:paraId="41A805CD" w14:textId="77777777" w:rsidR="001F6E0F" w:rsidRPr="00A12E38" w:rsidRDefault="001F6E0F" w:rsidP="00CD623F">
      <w:pPr>
        <w:pStyle w:val="FootnoteText"/>
        <w:spacing w:line="276" w:lineRule="auto"/>
        <w:ind w:left="0" w:firstLine="0"/>
        <w:rPr>
          <w:color w:val="0000FF"/>
          <w:u w:val="single"/>
        </w:rPr>
      </w:pPr>
      <w:r>
        <w:rPr>
          <w:rStyle w:val="FootnoteReference"/>
        </w:rPr>
        <w:footnoteRef/>
      </w:r>
      <w:r>
        <w:tab/>
        <w:t xml:space="preserve">Združeni narodi: Resolucija, ki jo je Generalna skupščina sprejela 25. septembra 2015, z naslovom Spreminjamo naš svet: Agenda za trajnostni razvoj do leta 2030, na voljo na </w:t>
      </w:r>
      <w:hyperlink r:id="rId14" w:history="1">
        <w:r>
          <w:rPr>
            <w:rStyle w:val="Hyperlink"/>
          </w:rPr>
          <w:t>https://www.un.org/ga/search/view_doc.asp?symbol=A/RES/70/1&amp;Lang=E</w:t>
        </w:r>
      </w:hyperlink>
      <w:r>
        <w:t>.</w:t>
      </w:r>
    </w:p>
  </w:footnote>
  <w:footnote w:id="20">
    <w:p w14:paraId="65F35F1D" w14:textId="77777777" w:rsidR="001F6E0F" w:rsidRPr="00B35BB1" w:rsidRDefault="001F6E0F" w:rsidP="00CD623F">
      <w:pPr>
        <w:pStyle w:val="FootnoteText"/>
        <w:spacing w:line="276" w:lineRule="auto"/>
        <w:ind w:left="0" w:firstLine="0"/>
      </w:pPr>
      <w:r>
        <w:rPr>
          <w:rStyle w:val="FootnoteReference"/>
        </w:rPr>
        <w:footnoteRef/>
      </w:r>
      <w:r>
        <w:tab/>
        <w:t xml:space="preserve">Resolucija, ki jo je Generalna skupščina sprejela 1. marca 2019, z naslovom Desetletje Združenih narodov za obnovo ekosistemov (2021–2030), na voljo na </w:t>
      </w:r>
      <w:hyperlink r:id="rId15" w:history="1">
        <w:r>
          <w:rPr>
            <w:rStyle w:val="Hyperlink"/>
          </w:rPr>
          <w:t>https://www.decadeonrestoration.org/about-un-decade</w:t>
        </w:r>
      </w:hyperlink>
      <w:r>
        <w:t>.</w:t>
      </w:r>
    </w:p>
  </w:footnote>
  <w:footnote w:id="21">
    <w:p w14:paraId="4494CCFA" w14:textId="77777777" w:rsidR="001F6E0F" w:rsidRPr="003F6747" w:rsidRDefault="001F6E0F" w:rsidP="00CD623F">
      <w:pPr>
        <w:pStyle w:val="FootnoteText"/>
        <w:spacing w:line="276" w:lineRule="auto"/>
        <w:ind w:left="0" w:firstLine="0"/>
      </w:pPr>
      <w:r>
        <w:rPr>
          <w:rStyle w:val="FootnoteReference"/>
        </w:rPr>
        <w:footnoteRef/>
      </w:r>
      <w:r>
        <w:tab/>
        <w:t xml:space="preserve">Pariški sporazum, na voljo na </w:t>
      </w:r>
      <w:hyperlink r:id="rId16" w:history="1">
        <w:r>
          <w:rPr>
            <w:rStyle w:val="Hyperlink"/>
          </w:rPr>
          <w:t>https://unfccc.int/sites/default/files/english_paris_agreement.pdf</w:t>
        </w:r>
      </w:hyperlink>
      <w:r>
        <w:t>.</w:t>
      </w:r>
    </w:p>
  </w:footnote>
  <w:footnote w:id="22">
    <w:p w14:paraId="1B886CD0" w14:textId="77777777" w:rsidR="001F6E0F" w:rsidRPr="00EE4EDE" w:rsidRDefault="001F6E0F" w:rsidP="00CD623F">
      <w:pPr>
        <w:pStyle w:val="FootnoteText"/>
        <w:ind w:left="0" w:firstLine="0"/>
      </w:pPr>
      <w:r>
        <w:rPr>
          <w:rStyle w:val="FootnoteReference"/>
        </w:rPr>
        <w:footnoteRef/>
      </w:r>
      <w:r>
        <w:tab/>
        <w:t>Direktiva 2009/147/ES Evropskega parlamenta in Sveta z dne 30. novembra 2009 o ohranjanju prosto živečih ptic (UL L 20, 26.1.2010, str. 7).</w:t>
      </w:r>
    </w:p>
  </w:footnote>
  <w:footnote w:id="23">
    <w:p w14:paraId="5BC320CE" w14:textId="77777777" w:rsidR="001F6E0F" w:rsidRPr="00B35BB1" w:rsidRDefault="001F6E0F" w:rsidP="00CD623F">
      <w:pPr>
        <w:pStyle w:val="FootnoteText"/>
        <w:ind w:left="0" w:hanging="11"/>
      </w:pPr>
      <w:r>
        <w:rPr>
          <w:rStyle w:val="FootnoteReference"/>
        </w:rPr>
        <w:footnoteRef/>
      </w:r>
      <w:r>
        <w:tab/>
        <w:t>Direktiva Sveta 92/43/EGS z dne 21. maja 1992 o ohranjanju naravnih habitatov ter prosto živečih živalskih in rastlinskih vrst (</w:t>
      </w:r>
      <w:r>
        <w:rPr>
          <w:color w:val="000000"/>
          <w:shd w:val="clear" w:color="auto" w:fill="FFFFFF"/>
        </w:rPr>
        <w:t>UL L 206, 22.7.1992, str. 7</w:t>
      </w:r>
      <w:r>
        <w:t>).</w:t>
      </w:r>
    </w:p>
  </w:footnote>
  <w:footnote w:id="24">
    <w:p w14:paraId="67CE7658" w14:textId="77777777" w:rsidR="001F6E0F" w:rsidRPr="00B35BB1" w:rsidRDefault="001F6E0F" w:rsidP="00CD623F">
      <w:pPr>
        <w:pStyle w:val="FootnoteText"/>
        <w:ind w:left="0" w:firstLine="0"/>
      </w:pPr>
      <w:r>
        <w:rPr>
          <w:rStyle w:val="FootnoteReference"/>
        </w:rPr>
        <w:footnoteRef/>
      </w:r>
      <w:r>
        <w:tab/>
        <w:t>Direktiva Evropskega parlamenta in Sveta 2000/60/ES z dne 23. oktobra 2000 o določitvi okvira za ukrepe Skupnosti na področju vodne politike (UL L 327, 22.12.2000, str. 1).</w:t>
      </w:r>
    </w:p>
  </w:footnote>
  <w:footnote w:id="25">
    <w:p w14:paraId="769F034E" w14:textId="77777777" w:rsidR="001F6E0F" w:rsidRPr="00B35BB1" w:rsidRDefault="001F6E0F" w:rsidP="00CD623F">
      <w:pPr>
        <w:pStyle w:val="FootnoteText"/>
        <w:ind w:left="0" w:firstLine="0"/>
      </w:pPr>
      <w:r>
        <w:rPr>
          <w:rStyle w:val="FootnoteReference"/>
        </w:rPr>
        <w:footnoteRef/>
      </w:r>
      <w:r>
        <w:tab/>
        <w:t>Direktiva 2008/56/ES Evropskega parlamenta in Sveta z dne 17. junija 2008 o določitvi okvira za ukrepe Skupnosti na področju politike morskega okolja (UL L 164, 25.6.2008, str. 19).</w:t>
      </w:r>
    </w:p>
  </w:footnote>
  <w:footnote w:id="26">
    <w:p w14:paraId="4D4EB268" w14:textId="77777777" w:rsidR="001F6E0F" w:rsidRPr="00914B4D" w:rsidRDefault="001F6E0F" w:rsidP="00CD623F">
      <w:pPr>
        <w:pStyle w:val="FootnoteText"/>
        <w:ind w:left="0" w:firstLine="0"/>
      </w:pPr>
      <w:r>
        <w:rPr>
          <w:rStyle w:val="FootnoteReference"/>
        </w:rPr>
        <w:footnoteRef/>
      </w:r>
      <w:r>
        <w:tab/>
        <w:t>Uredba (EU) št. 1143/2014 Evropskega parlamenta in Sveta z dne 22. oktobra 2014 o preprečevanju in obvladovanju vnosa in širjenja invazivnih tujerodnih vrst (UL L 317, 4.11.2014, str. 35).</w:t>
      </w:r>
    </w:p>
  </w:footnote>
  <w:footnote w:id="27">
    <w:p w14:paraId="5F1F2F59" w14:textId="77777777" w:rsidR="001F6E0F" w:rsidRPr="00142420" w:rsidRDefault="001F6E0F" w:rsidP="00CD623F">
      <w:pPr>
        <w:pStyle w:val="FootnoteText"/>
        <w:ind w:left="0" w:hanging="11"/>
      </w:pPr>
      <w:r>
        <w:rPr>
          <w:rStyle w:val="FootnoteReference"/>
        </w:rPr>
        <w:footnoteRef/>
      </w:r>
      <w:r>
        <w:tab/>
        <w:t>Sporočilo Komisije Evropskemu parlamentu, Svetu, Evropskemu, ekonomsko-socialnemu odboru in Odboru regij, Nova strategija EU za gozdove do leta 2030 (COM(2021) 572 final).</w:t>
      </w:r>
    </w:p>
  </w:footnote>
  <w:footnote w:id="28">
    <w:p w14:paraId="4A6854EE" w14:textId="77777777" w:rsidR="001F6E0F" w:rsidRPr="007353A0" w:rsidRDefault="001F6E0F" w:rsidP="00CD623F">
      <w:pPr>
        <w:pStyle w:val="FootnoteText"/>
        <w:ind w:left="0" w:firstLine="0"/>
      </w:pPr>
      <w:r>
        <w:rPr>
          <w:rStyle w:val="FootnoteReference"/>
        </w:rPr>
        <w:footnoteRef/>
      </w:r>
      <w:r>
        <w:tab/>
        <w:t>Sporočilo Komisije Evropskemu parlamentu, Svetu, Evropskemu ekonomsko-socialnemu odboru in Odboru regij, Pobuda EU za opraševalce (COM(2018) 395 final).</w:t>
      </w:r>
    </w:p>
  </w:footnote>
  <w:footnote w:id="29">
    <w:p w14:paraId="1F8F0202" w14:textId="77777777" w:rsidR="001F6E0F" w:rsidRPr="007353A0" w:rsidRDefault="001F6E0F" w:rsidP="00CD623F">
      <w:pPr>
        <w:pStyle w:val="FootnoteText"/>
        <w:ind w:left="0" w:firstLine="0"/>
      </w:pPr>
      <w:r>
        <w:rPr>
          <w:rStyle w:val="FootnoteReference"/>
        </w:rPr>
        <w:footnoteRef/>
      </w:r>
      <w:r>
        <w:tab/>
        <w:t>Sporočilo Komisije Evropskemu parlamentu, Svetu, Evropskemu ekonomsko-socialnemu odboru in Odboru regij, Zelena infrastruktura – izboljšanje evropskega naravnega kapitala (COM(2013) 249 final).</w:t>
      </w:r>
    </w:p>
  </w:footnote>
  <w:footnote w:id="30">
    <w:p w14:paraId="4C4CCE82" w14:textId="77777777" w:rsidR="001F6E0F" w:rsidRPr="00A17960" w:rsidRDefault="001F6E0F" w:rsidP="00CD623F">
      <w:pPr>
        <w:pStyle w:val="FootnoteText"/>
        <w:ind w:left="0" w:firstLine="0"/>
      </w:pPr>
      <w:r>
        <w:rPr>
          <w:rStyle w:val="FootnoteReference"/>
        </w:rPr>
        <w:footnoteRef/>
      </w:r>
      <w:r>
        <w:tab/>
        <w:t>Sporočilo Komisije Evropskemu parlamentu, Svetu, Evropskemu ekonomsko-socialnemu odboru in Odboru regij, Novi akcijski načrt za krožno gospodarstvo – Za čistejšo in konkurenčnejšo Evropo (COM(2020) 98 final).</w:t>
      </w:r>
    </w:p>
  </w:footnote>
  <w:footnote w:id="31">
    <w:p w14:paraId="399B2B84" w14:textId="77777777" w:rsidR="001F6E0F" w:rsidRPr="00A17960" w:rsidRDefault="001F6E0F" w:rsidP="00CD623F">
      <w:pPr>
        <w:pStyle w:val="FootnoteText"/>
        <w:ind w:left="0" w:firstLine="0"/>
      </w:pPr>
      <w:r>
        <w:rPr>
          <w:rStyle w:val="FootnoteReference"/>
        </w:rPr>
        <w:footnoteRef/>
      </w:r>
      <w:r>
        <w:tab/>
        <w:t>Sporočilo Komisije Evropskemu parlamentu, Svetu, Evropskemu ekonomsko-socialnemu odboru in Odboru regij, Pot do zdravega planeta za vse – Akcijski načrt EU: Naproti ničelnemu onesnaževanju zraka, vode in tal (COM(2021) 400 final).</w:t>
      </w:r>
    </w:p>
  </w:footnote>
  <w:footnote w:id="32">
    <w:p w14:paraId="10E13C13" w14:textId="77777777" w:rsidR="001F6E0F" w:rsidRPr="00600F6A" w:rsidRDefault="001F6E0F" w:rsidP="009503BE">
      <w:pPr>
        <w:pStyle w:val="FootnoteText"/>
      </w:pPr>
      <w:r>
        <w:rPr>
          <w:rStyle w:val="FootnoteReference"/>
        </w:rPr>
        <w:footnoteRef/>
      </w:r>
      <w:r>
        <w:tab/>
        <w:t>Na podlagi predloga Komisije za priporočilo Sveta o učenju za okoljsko trajnostnost (COM(2022) 11 final).</w:t>
      </w:r>
    </w:p>
  </w:footnote>
  <w:footnote w:id="33">
    <w:p w14:paraId="2BCA6591" w14:textId="77777777" w:rsidR="001F6E0F" w:rsidRPr="00C36072" w:rsidRDefault="001F6E0F" w:rsidP="00CD623F">
      <w:pPr>
        <w:pStyle w:val="FootnoteText"/>
        <w:rPr>
          <w:szCs w:val="24"/>
        </w:rPr>
      </w:pPr>
      <w:r>
        <w:rPr>
          <w:rStyle w:val="FootnoteReference"/>
          <w:szCs w:val="24"/>
        </w:rPr>
        <w:footnoteRef/>
      </w:r>
      <w:r>
        <w:tab/>
        <w:t>Uredba (EU) 2021/1119 Evropskega parlamenta in Sveta z dne 30. junija 2021 o vzpostavitvi okvira za doseganje podnebne nevtralnosti in spremembi uredb (ES) št. 401/2009 in (EU) 2018/1999.</w:t>
      </w:r>
    </w:p>
  </w:footnote>
  <w:footnote w:id="34">
    <w:p w14:paraId="0EA73C27" w14:textId="77777777" w:rsidR="001F6E0F" w:rsidRPr="00DF1CC5" w:rsidRDefault="001F6E0F" w:rsidP="00647444">
      <w:pPr>
        <w:pStyle w:val="FootnoteText"/>
      </w:pPr>
      <w:r>
        <w:rPr>
          <w:rStyle w:val="FootnoteReference"/>
        </w:rPr>
        <w:footnoteRef/>
      </w:r>
      <w:r>
        <w:tab/>
        <w:t>Predlog uredbe Evropskega parlamenta in Sveta o spremembi Uredbe (EU) 2018/841 glede področja uporabe, poenostavitve pravil o skladnosti, določitve ciljev držav članic za leto 2030 in zaveze skupnemu doseganju podnebne nevtralnosti do leta 2035 v sektorju rabe zemljišč, gozdarstva in kmetijstva ter Uredbe (EU) 2018/1999 glede izboljšanja spremljanja, poročanja, spremljanja napredka in pregleda (COM(2021) 554 final).</w:t>
      </w:r>
    </w:p>
  </w:footnote>
  <w:footnote w:id="35">
    <w:p w14:paraId="40BB5ACA" w14:textId="77777777" w:rsidR="001F6E0F" w:rsidRPr="002F20A6" w:rsidRDefault="001F6E0F" w:rsidP="00CD623F">
      <w:pPr>
        <w:pStyle w:val="FootnoteText"/>
        <w:ind w:left="0" w:firstLine="0"/>
      </w:pPr>
      <w:r>
        <w:rPr>
          <w:rStyle w:val="FootnoteReference"/>
        </w:rPr>
        <w:footnoteRef/>
      </w:r>
      <w:r>
        <w:tab/>
        <w:t xml:space="preserve">Sporočilo Komisije Evropskemu parlamentu, Svetu, Evropskemu ekonomsko-socialnemu odboru in Odboru regij, Oblikovanje Evrope, odporne proti podnebnim spremembam – nova strategija EU za prilagajanje podnebnim spremembam (COM(2021) 82 final). </w:t>
      </w:r>
    </w:p>
  </w:footnote>
  <w:footnote w:id="36">
    <w:p w14:paraId="6E96E12E" w14:textId="77777777" w:rsidR="001F6E0F" w:rsidRPr="00C0567E" w:rsidRDefault="001F6E0F" w:rsidP="00CD623F">
      <w:pPr>
        <w:ind w:right="4"/>
        <w:rPr>
          <w:color w:val="000000"/>
          <w:sz w:val="20"/>
          <w:szCs w:val="20"/>
        </w:rPr>
      </w:pPr>
      <w:r>
        <w:rPr>
          <w:rStyle w:val="FootnoteReference"/>
        </w:rPr>
        <w:footnoteRef/>
      </w:r>
      <w:r>
        <w:tab/>
      </w:r>
      <w:r>
        <w:rPr>
          <w:sz w:val="20"/>
        </w:rPr>
        <w:t>Sklep št. 1313/2013/EU Evropskega parlamenta in Sveta z dne 17. decembra 2013 o mehanizmu Unije na področju civilne zaščite, spremenjen s Sklepom št. 2019/420.</w:t>
      </w:r>
    </w:p>
  </w:footnote>
  <w:footnote w:id="37">
    <w:p w14:paraId="2D498DD5" w14:textId="77777777" w:rsidR="001F6E0F" w:rsidRPr="006C3F8E" w:rsidRDefault="001F6E0F" w:rsidP="00CD623F">
      <w:pPr>
        <w:pStyle w:val="FootnoteText"/>
        <w:ind w:left="0" w:firstLine="0"/>
      </w:pPr>
      <w:r>
        <w:rPr>
          <w:rStyle w:val="FootnoteReference"/>
        </w:rPr>
        <w:footnoteRef/>
      </w:r>
      <w:r>
        <w:tab/>
        <w:t xml:space="preserve">Glej strateške načrte SKP, na voljo na </w:t>
      </w:r>
      <w:hyperlink r:id="rId17" w:history="1">
        <w:r>
          <w:rPr>
            <w:rStyle w:val="Hyperlink"/>
          </w:rPr>
          <w:t>https://ec.europa.eu/info/food-farming-fisheries/key-policies/common-agricultural-policy/cap-strategic-plans_sl</w:t>
        </w:r>
      </w:hyperlink>
      <w:r>
        <w:t xml:space="preserve">. </w:t>
      </w:r>
    </w:p>
  </w:footnote>
  <w:footnote w:id="38">
    <w:p w14:paraId="79D30269" w14:textId="77777777" w:rsidR="001F6E0F" w:rsidRPr="00E44FA3" w:rsidRDefault="001F6E0F" w:rsidP="00CD623F">
      <w:pPr>
        <w:pStyle w:val="FootnoteText"/>
        <w:ind w:left="0" w:firstLine="0"/>
      </w:pPr>
      <w:r>
        <w:rPr>
          <w:rStyle w:val="FootnoteReference"/>
        </w:rPr>
        <w:footnoteRef/>
      </w:r>
      <w:r>
        <w:tab/>
        <w:t>Sporočilo Komisije Evropskemu parlamentu, Svetu, Evropskemu ekonomsko-socialnemu odboru in Odboru regij, Strategija „od vil do vilic“ za pravičen, zdrav in okolju prijazen prehranski sistem (COM(2020) 381 final).</w:t>
      </w:r>
    </w:p>
  </w:footnote>
  <w:footnote w:id="39">
    <w:p w14:paraId="2F1074C6" w14:textId="77777777" w:rsidR="001F6E0F" w:rsidRPr="00FF338E" w:rsidRDefault="001F6E0F" w:rsidP="00CD623F">
      <w:pPr>
        <w:pStyle w:val="FootnoteText"/>
      </w:pPr>
      <w:r>
        <w:rPr>
          <w:rStyle w:val="FootnoteReference"/>
        </w:rPr>
        <w:footnoteRef/>
      </w:r>
      <w:r>
        <w:tab/>
        <w:t xml:space="preserve">Glej Evropski sklad za regionalni razvoj, na voljo na </w:t>
      </w:r>
      <w:hyperlink r:id="rId18" w:history="1">
        <w:r>
          <w:rPr>
            <w:rStyle w:val="Hyperlink"/>
          </w:rPr>
          <w:t>https://ec.europa.eu/regional_policy/sl/funding/erdf/</w:t>
        </w:r>
      </w:hyperlink>
      <w:r>
        <w:t xml:space="preserve">, in Uredbo (EU) 2021/1058 Evropskega parlamenta in Sveta z dne 24. junija 2021 o Evropskem skladu za regionalni razvoj in Kohezijskem skladu, na voljo na </w:t>
      </w:r>
      <w:hyperlink r:id="rId19" w:history="1">
        <w:r>
          <w:rPr>
            <w:rStyle w:val="Hyperlink"/>
          </w:rPr>
          <w:t>https://eur-lex.europa.eu/legal-content/SL/TXT/?uri=CELEX:32021R1058</w:t>
        </w:r>
      </w:hyperlink>
      <w:r>
        <w:t xml:space="preserve">. </w:t>
      </w:r>
    </w:p>
  </w:footnote>
  <w:footnote w:id="40">
    <w:p w14:paraId="255CA8DF" w14:textId="77777777" w:rsidR="001F6E0F" w:rsidRDefault="001F6E0F" w:rsidP="00CD623F">
      <w:pPr>
        <w:pStyle w:val="FootnoteText"/>
      </w:pPr>
      <w:r>
        <w:rPr>
          <w:rStyle w:val="FootnoteReference"/>
        </w:rPr>
        <w:footnoteRef/>
      </w:r>
      <w:r>
        <w:tab/>
        <w:t xml:space="preserve">Glej raziskovalno politiko na področju biotske raznovrstnosti, na voljo na </w:t>
      </w:r>
      <w:hyperlink r:id="rId20" w:history="1">
        <w:r>
          <w:rPr>
            <w:rStyle w:val="Hyperlink"/>
          </w:rPr>
          <w:t>https://ec.europa.eu/info/research-and-innovation/research-area/environment/biodiversity/biodiversity-research-policy_en</w:t>
        </w:r>
      </w:hyperlink>
      <w:r>
        <w:t xml:space="preserve">. </w:t>
      </w:r>
    </w:p>
    <w:p w14:paraId="6EC73DCA" w14:textId="77777777" w:rsidR="001F6E0F" w:rsidRPr="00FF338E" w:rsidRDefault="001F6E0F" w:rsidP="00CD623F">
      <w:pPr>
        <w:pStyle w:val="FootnoteText"/>
      </w:pPr>
    </w:p>
  </w:footnote>
  <w:footnote w:id="41">
    <w:p w14:paraId="6C9A52DC" w14:textId="77777777" w:rsidR="001F6E0F" w:rsidRPr="00BE0A2F" w:rsidRDefault="001F6E0F" w:rsidP="00CD623F">
      <w:pPr>
        <w:pBdr>
          <w:top w:val="nil"/>
          <w:left w:val="nil"/>
          <w:bottom w:val="nil"/>
          <w:right w:val="nil"/>
          <w:between w:val="nil"/>
          <w:bar w:val="nil"/>
        </w:pBdr>
        <w:spacing w:before="0" w:after="240"/>
        <w:rPr>
          <w:rFonts w:eastAsia="Calibri"/>
          <w:noProof/>
          <w:sz w:val="20"/>
          <w:szCs w:val="20"/>
        </w:rPr>
      </w:pPr>
      <w:r>
        <w:rPr>
          <w:rStyle w:val="FootnoteReference"/>
        </w:rPr>
        <w:footnoteRef/>
      </w:r>
      <w:r>
        <w:tab/>
      </w:r>
      <w:r>
        <w:rPr>
          <w:sz w:val="20"/>
        </w:rPr>
        <w:t>Pregled stanja morskega okolja v Evropski uniji za čiste, zdrave in produktivne oceane in morja, priložen poročilu Komisije Evropskemu parlamentu in Svetu o izvajanju okvirne direktive o morski strategiji (Direktive 2008/56/ES) (SWD(2020) 61 final).</w:t>
      </w:r>
    </w:p>
  </w:footnote>
  <w:footnote w:id="42">
    <w:p w14:paraId="7769B216" w14:textId="77777777" w:rsidR="001F6E0F" w:rsidRPr="00032C27" w:rsidRDefault="001F6E0F" w:rsidP="00834343">
      <w:pPr>
        <w:pStyle w:val="NormalWeb"/>
        <w:shd w:val="clear" w:color="auto" w:fill="FFFFFF"/>
        <w:spacing w:before="0" w:after="75"/>
        <w:rPr>
          <w:rFonts w:eastAsia="Times New Roman"/>
          <w:color w:val="444444"/>
          <w:sz w:val="21"/>
          <w:szCs w:val="21"/>
        </w:rPr>
      </w:pPr>
      <w:r>
        <w:rPr>
          <w:rStyle w:val="FootnoteReference"/>
        </w:rPr>
        <w:footnoteRef/>
      </w:r>
      <w:r>
        <w:rPr>
          <w:color w:val="444444"/>
          <w:sz w:val="21"/>
        </w:rPr>
        <w:tab/>
        <w:t>Uredba (EU) 2020/852 Evropskega parlamenta in Sveta z dne 18. junija 2020 o vzpostavitvi okvira za spodbujanje trajnostnih naložb ter spremembi Uredbe (EU) 2019/2088 (UL L 198, 22.6.2020, str. 13).</w:t>
      </w:r>
    </w:p>
  </w:footnote>
  <w:footnote w:id="43">
    <w:p w14:paraId="2CE1F30D" w14:textId="77777777" w:rsidR="001F6E0F" w:rsidRPr="007F562B" w:rsidRDefault="001F6E0F" w:rsidP="00186DC5">
      <w:pPr>
        <w:pStyle w:val="FootnoteText"/>
      </w:pPr>
      <w:r>
        <w:rPr>
          <w:rStyle w:val="FootnoteReference"/>
        </w:rPr>
        <w:footnoteRef/>
      </w:r>
      <w:r>
        <w:tab/>
        <w:t>UL C , , str. .</w:t>
      </w:r>
    </w:p>
  </w:footnote>
  <w:footnote w:id="44">
    <w:p w14:paraId="7335F357" w14:textId="77777777" w:rsidR="001F6E0F" w:rsidRPr="007F562B" w:rsidRDefault="001F6E0F" w:rsidP="00B76C20">
      <w:pPr>
        <w:pStyle w:val="FootnoteText"/>
      </w:pPr>
      <w:r>
        <w:rPr>
          <w:rStyle w:val="FootnoteReference"/>
        </w:rPr>
        <w:footnoteRef/>
      </w:r>
      <w:r>
        <w:tab/>
        <w:t>Sporočilo Komisije Evropskemu parlamentu, Evropskemu svetu, Svetu,</w:t>
      </w:r>
    </w:p>
    <w:p w14:paraId="77C54497" w14:textId="77777777" w:rsidR="001F6E0F" w:rsidRPr="007F562B" w:rsidRDefault="001F6E0F" w:rsidP="00B76C20">
      <w:pPr>
        <w:pStyle w:val="FootnoteText"/>
        <w:ind w:firstLine="0"/>
      </w:pPr>
      <w:r>
        <w:t>Evropskemu ekonomsko-socialnemu odboru in Odboru regij, Evropski zeleni</w:t>
      </w:r>
    </w:p>
    <w:p w14:paraId="65E55BF3" w14:textId="77777777" w:rsidR="001F6E0F" w:rsidRPr="007F562B" w:rsidRDefault="001F6E0F" w:rsidP="0065238B">
      <w:pPr>
        <w:pStyle w:val="FootnoteText"/>
        <w:ind w:firstLine="0"/>
      </w:pPr>
      <w:r>
        <w:t>dogovor, 11.12.2019 (COM(2019) 640 final).</w:t>
      </w:r>
    </w:p>
  </w:footnote>
  <w:footnote w:id="45">
    <w:p w14:paraId="2B05664D" w14:textId="77777777" w:rsidR="001F6E0F" w:rsidRPr="00B0251E" w:rsidRDefault="001F6E0F" w:rsidP="00D9253E">
      <w:pPr>
        <w:pStyle w:val="rfrenceinstitutionnelle"/>
        <w:shd w:val="clear" w:color="auto" w:fill="FFFFFF"/>
        <w:spacing w:before="0" w:beforeAutospacing="0" w:after="0" w:afterAutospacing="0"/>
        <w:jc w:val="both"/>
        <w:rPr>
          <w:color w:val="444444"/>
          <w:sz w:val="20"/>
        </w:rPr>
      </w:pPr>
      <w:r>
        <w:rPr>
          <w:rStyle w:val="FootnoteReference"/>
        </w:rPr>
        <w:footnoteRef/>
      </w:r>
      <w:r>
        <w:tab/>
      </w:r>
      <w:r>
        <w:rPr>
          <w:sz w:val="20"/>
        </w:rPr>
        <w:t xml:space="preserve">Sporočilo Komisije Evropskemu parlamentu, Svetu, Evropskemu </w:t>
      </w:r>
      <w:r>
        <w:tab/>
      </w:r>
      <w:r>
        <w:rPr>
          <w:sz w:val="20"/>
        </w:rPr>
        <w:t>ekonomsko-socialnemu odboru in Odboru regij, Strategija EU za biotsko raznovrstnost do leta 2030, Vračanje</w:t>
      </w:r>
      <w:r>
        <w:rPr>
          <w:color w:val="444444"/>
          <w:sz w:val="20"/>
        </w:rPr>
        <w:t xml:space="preserve"> </w:t>
      </w:r>
      <w:r>
        <w:tab/>
      </w:r>
      <w:r>
        <w:rPr>
          <w:color w:val="444444"/>
          <w:sz w:val="20"/>
        </w:rPr>
        <w:t>narave v naša življenja, 20.5.2020, COM(2020) 380 final.</w:t>
      </w:r>
    </w:p>
  </w:footnote>
  <w:footnote w:id="46">
    <w:p w14:paraId="09325677" w14:textId="77777777" w:rsidR="001F6E0F" w:rsidRPr="009F41AA" w:rsidRDefault="001F6E0F">
      <w:pPr>
        <w:pStyle w:val="FootnoteText"/>
      </w:pPr>
      <w:r>
        <w:rPr>
          <w:rStyle w:val="FootnoteReference"/>
        </w:rPr>
        <w:footnoteRef/>
      </w:r>
      <w:r>
        <w:tab/>
        <w:t>Sklep Sveta 93/626/EGS z dne 25. oktobra 1993 o sklenitvi Konvencije o biološki raznovrstnosti (UL L 309, 13.12.1993, str. 1).</w:t>
      </w:r>
    </w:p>
  </w:footnote>
  <w:footnote w:id="47">
    <w:p w14:paraId="6B2BD970" w14:textId="77777777" w:rsidR="001F6E0F" w:rsidRPr="00B0251E" w:rsidRDefault="001F6E0F">
      <w:pPr>
        <w:pStyle w:val="FootnoteText"/>
      </w:pPr>
      <w:r>
        <w:rPr>
          <w:rStyle w:val="FootnoteReference"/>
        </w:rPr>
        <w:footnoteRef/>
      </w:r>
      <w:r>
        <w:tab/>
      </w:r>
      <w:hyperlink r:id="rId21" w:history="1">
        <w:r>
          <w:rPr>
            <w:rStyle w:val="Hyperlink"/>
          </w:rPr>
          <w:t>https://www.cbd.int/decision/cop/?id=12268</w:t>
        </w:r>
      </w:hyperlink>
    </w:p>
  </w:footnote>
  <w:footnote w:id="48">
    <w:p w14:paraId="0C417F19" w14:textId="77777777" w:rsidR="001F6E0F" w:rsidRPr="007F562B" w:rsidRDefault="001F6E0F" w:rsidP="0075764C">
      <w:pPr>
        <w:pStyle w:val="FootnoteText"/>
      </w:pPr>
      <w:r>
        <w:rPr>
          <w:rStyle w:val="FootnoteReference"/>
        </w:rPr>
        <w:footnoteRef/>
      </w:r>
      <w:r>
        <w:tab/>
      </w:r>
      <w:hyperlink r:id="rId22" w:history="1">
        <w:r>
          <w:rPr>
            <w:rStyle w:val="Hyperlink"/>
          </w:rPr>
          <w:t>United Nations Sustainable Development – 17 Goals to Transform Our World</w:t>
        </w:r>
      </w:hyperlink>
      <w:r>
        <w:t xml:space="preserve"> (Trajnostni razvoj Organizacije združenih narodov – 17 ciljev za spremembo našega sveta).</w:t>
      </w:r>
    </w:p>
  </w:footnote>
  <w:footnote w:id="49">
    <w:p w14:paraId="47B59AA7" w14:textId="77777777" w:rsidR="001F6E0F" w:rsidRPr="007F562B" w:rsidRDefault="001F6E0F" w:rsidP="00C92898">
      <w:pPr>
        <w:pStyle w:val="FootnoteText"/>
        <w:rPr>
          <w:rFonts w:eastAsia="Calibri"/>
        </w:rPr>
      </w:pPr>
      <w:r>
        <w:rPr>
          <w:rStyle w:val="FootnoteReference"/>
          <w:rFonts w:eastAsia="Calibri"/>
        </w:rPr>
        <w:footnoteRef/>
      </w:r>
      <w:r>
        <w:tab/>
        <w:t>Resolucija št. 73/284 z dne 1. marca 2019 o desetletju Združenih narodov za obnovo ekosistemov (2021–2030).</w:t>
      </w:r>
    </w:p>
  </w:footnote>
  <w:footnote w:id="50">
    <w:p w14:paraId="1CFAD7D4" w14:textId="77777777" w:rsidR="001F6E0F" w:rsidRPr="007F562B" w:rsidRDefault="001F6E0F" w:rsidP="000C1A3B">
      <w:pPr>
        <w:pStyle w:val="FootnoteText"/>
      </w:pPr>
      <w:r>
        <w:rPr>
          <w:rStyle w:val="FootnoteReference"/>
        </w:rPr>
        <w:footnoteRef/>
      </w:r>
      <w:r>
        <w:tab/>
        <w:t>Resolucija Evropskega parlamenta z dne 9. junija 2021 o strategiji EU za biotsko raznovrstnost do leta 2030: Vračanje narave v naša življenja (2020/2273(INI)).</w:t>
      </w:r>
    </w:p>
  </w:footnote>
  <w:footnote w:id="51">
    <w:p w14:paraId="5E36ADB7" w14:textId="77777777" w:rsidR="001F6E0F" w:rsidRPr="007F562B" w:rsidRDefault="001F6E0F" w:rsidP="00F52EFB">
      <w:pPr>
        <w:pStyle w:val="FootnoteText"/>
      </w:pPr>
      <w:r>
        <w:rPr>
          <w:rStyle w:val="FootnoteReference"/>
        </w:rPr>
        <w:footnoteRef/>
      </w:r>
      <w:r>
        <w:tab/>
        <w:t>Sklepi Sveta o biotski raznovrstnosti – potreba po nujnem ukrepanju (12210/20).</w:t>
      </w:r>
    </w:p>
  </w:footnote>
  <w:footnote w:id="52">
    <w:p w14:paraId="72B32D2E" w14:textId="77777777" w:rsidR="001F6E0F" w:rsidRPr="008800DA" w:rsidRDefault="001F6E0F" w:rsidP="001112B3">
      <w:pPr>
        <w:pStyle w:val="FootnoteText"/>
      </w:pPr>
      <w:r>
        <w:rPr>
          <w:rStyle w:val="FootnoteReference"/>
        </w:rPr>
        <w:footnoteRef/>
      </w:r>
      <w:r>
        <w:tab/>
        <w:t>Delovni dokument služb Komisije, Criteria and guidance for protected areas designations (Merila in smernice za določitev zavarovanih območij) (SWD(2022) 23 final).</w:t>
      </w:r>
    </w:p>
  </w:footnote>
  <w:footnote w:id="53">
    <w:p w14:paraId="5ED92689" w14:textId="77777777" w:rsidR="001F6E0F" w:rsidRPr="008800DA" w:rsidRDefault="001F6E0F">
      <w:pPr>
        <w:pStyle w:val="FootnoteText"/>
      </w:pPr>
      <w:r>
        <w:rPr>
          <w:rStyle w:val="FootnoteReference"/>
        </w:rPr>
        <w:footnoteRef/>
      </w:r>
      <w:r>
        <w:tab/>
        <w:t xml:space="preserve">Na voljo na </w:t>
      </w:r>
      <w:hyperlink r:id="rId23" w:history="1">
        <w:r>
          <w:rPr>
            <w:rStyle w:val="Hyperlink"/>
          </w:rPr>
          <w:t>Circabc (europa.eu)</w:t>
        </w:r>
      </w:hyperlink>
      <w:r>
        <w:t xml:space="preserve"> [Vstaviti je treba sklic].</w:t>
      </w:r>
    </w:p>
  </w:footnote>
  <w:footnote w:id="54">
    <w:p w14:paraId="4BA8341B" w14:textId="77777777" w:rsidR="001F6E0F" w:rsidRPr="009F41AA" w:rsidRDefault="001F6E0F" w:rsidP="00D06994">
      <w:pPr>
        <w:pStyle w:val="FootnoteText"/>
      </w:pPr>
      <w:r>
        <w:rPr>
          <w:rStyle w:val="FootnoteReference"/>
        </w:rPr>
        <w:footnoteRef/>
      </w:r>
      <w:r>
        <w:tab/>
        <w:t>Poročilo Komisije Evropskemu parlamentu, Svetu in Evropskemu ekonomsko-socialnemu odboru, Stanje narave v Evropski uniji, Poročilo o stanju in trendih vrst in habitatnih tipov, zavarovanih z direktivo o pticah in direktivo o habitatih, v obdobju 2013–2018 (COM(2020) 635 final).</w:t>
      </w:r>
    </w:p>
  </w:footnote>
  <w:footnote w:id="55">
    <w:p w14:paraId="0EE3BD96" w14:textId="77777777" w:rsidR="001F6E0F" w:rsidRPr="00DE3ABE" w:rsidRDefault="001F6E0F">
      <w:pPr>
        <w:pStyle w:val="FootnoteText"/>
      </w:pPr>
      <w:r>
        <w:rPr>
          <w:rStyle w:val="FootnoteReference"/>
        </w:rPr>
        <w:footnoteRef/>
      </w:r>
      <w:r>
        <w:tab/>
      </w:r>
      <w:hyperlink r:id="rId24" w:history="1">
        <w:r>
          <w:rPr>
            <w:rStyle w:val="Hyperlink"/>
          </w:rPr>
          <w:t>https://seea.un.org/sites/seea.un.org/files/documents/EA/seea_ea_white_cover_final.pdf</w:t>
        </w:r>
      </w:hyperlink>
      <w:r>
        <w:t>.</w:t>
      </w:r>
    </w:p>
  </w:footnote>
  <w:footnote w:id="56">
    <w:p w14:paraId="51ECEBCC" w14:textId="77777777" w:rsidR="001F6E0F" w:rsidRPr="00A12107" w:rsidRDefault="001F6E0F" w:rsidP="00EC6FCD">
      <w:pPr>
        <w:pStyle w:val="FootnoteText"/>
      </w:pPr>
      <w:r>
        <w:rPr>
          <w:rStyle w:val="FootnoteReference"/>
        </w:rPr>
        <w:footnoteRef/>
      </w:r>
      <w:r>
        <w:tab/>
        <w:t xml:space="preserve">Medvladni panel za podnebne spremembe (IPCC): Posebno poročilo o učinkih globalnega segrevanja za 1,5 °C in povezanem globalnem poteku emisij toplogrednih plinov v okviru okrepitve globalnega odziva na grožnjo podnebnih sprememb, trajnostnega razvoja in prizadevanj za odpravo revščine [Masson-Delmotte, V., P. Zhai, H.-O. Pörtner, D. Roberts, J. Skea, P. R. Shukla, A. Pirani, W. Moufouma-Okia, C. Péan, R. Pidcock, S. Connors, J. B. R. Matthews, Y. Chen, X. Zhou, M.I. Gomis, E. Lonnoy, T. Maycock, M. Tignor, in T. Waterfield (ur.)] </w:t>
      </w:r>
      <w:hyperlink r:id="rId25" w:history="1">
        <w:r>
          <w:rPr>
            <w:rStyle w:val="Hyperlink"/>
          </w:rPr>
          <w:t>https://www.ipcc.ch/sr15/</w:t>
        </w:r>
      </w:hyperlink>
      <w:r>
        <w:rPr>
          <w:rStyle w:val="Hyperlink"/>
        </w:rPr>
        <w:t xml:space="preserve"> </w:t>
      </w:r>
    </w:p>
  </w:footnote>
  <w:footnote w:id="57">
    <w:p w14:paraId="091ED5D1" w14:textId="77777777" w:rsidR="001F6E0F" w:rsidRPr="007F562B" w:rsidRDefault="001F6E0F">
      <w:pPr>
        <w:pStyle w:val="FootnoteText"/>
      </w:pPr>
      <w:r>
        <w:rPr>
          <w:rStyle w:val="FootnoteReference"/>
        </w:rPr>
        <w:footnoteRef/>
      </w:r>
      <w:r>
        <w:tab/>
      </w:r>
      <w:hyperlink r:id="rId26" w:history="1">
        <w:r>
          <w:rPr>
            <w:rStyle w:val="Hyperlink"/>
          </w:rPr>
          <w:t xml:space="preserve"> Climate Change 2022:</w:t>
        </w:r>
      </w:hyperlink>
      <w:hyperlink r:id="rId27" w:history="1">
        <w:r>
          <w:rPr>
            <w:rStyle w:val="Hyperlink"/>
          </w:rPr>
          <w:t>Impacts, Adaptation and Vulnerability</w:t>
        </w:r>
      </w:hyperlink>
      <w:r>
        <w:t xml:space="preserve"> (Podnebne spremembe leta 2022: vplivi, prilagoditev in ranljivost).</w:t>
      </w:r>
      <w:hyperlink r:id="rId28" w:history="1">
        <w:r>
          <w:rPr>
            <w:rStyle w:val="Hyperlink"/>
          </w:rPr>
          <w:t xml:space="preserve"> Climate Change 2022:</w:t>
        </w:r>
      </w:hyperlink>
      <w:hyperlink r:id="rId29" w:history="1">
        <w:r>
          <w:rPr>
            <w:rStyle w:val="Hyperlink"/>
          </w:rPr>
          <w:t xml:space="preserve"> Impacts, Adaptation and Vulnerability (ipcc.ch)</w:t>
        </w:r>
      </w:hyperlink>
      <w:r>
        <w:t xml:space="preserve"> (Podnebne spremembe leta 2022: vplivi, prilagoditev in ranljivost).</w:t>
      </w:r>
    </w:p>
  </w:footnote>
  <w:footnote w:id="58">
    <w:p w14:paraId="7EFD6B32" w14:textId="77777777" w:rsidR="001F6E0F" w:rsidRPr="00A12107" w:rsidRDefault="001F6E0F">
      <w:pPr>
        <w:pStyle w:val="FootnoteText"/>
      </w:pPr>
      <w:r>
        <w:rPr>
          <w:rStyle w:val="FootnoteReference"/>
        </w:rPr>
        <w:footnoteRef/>
      </w:r>
      <w:r>
        <w:tab/>
      </w:r>
      <w:r>
        <w:rPr>
          <w:shd w:val="clear" w:color="auto" w:fill="FFFFFF"/>
        </w:rPr>
        <w:t>IPBES (2019): Global assessment report on biodiversity and ecosystem services of the Intergovernmental Science - Policy Platform on Biodiversity and Ecosystem Services (Globalno ocenjevalno poročilo Medvladne znanstveno-politične platforme o biotski raznovrstnosti in ekosistemskih storitvah). Brondizio, E. S., Settele, J., Díaz, S., in Ngo, H. T. (ur.). Sekretariat IPBES, Bonn, Nemčija. 1 148 strani. </w:t>
      </w:r>
      <w:hyperlink r:id="rId30" w:tgtFrame="_blank" w:history="1">
        <w:r>
          <w:rPr>
            <w:rStyle w:val="Hyperlink"/>
            <w:color w:val="009390"/>
            <w:shd w:val="clear" w:color="auto" w:fill="FFFFFF"/>
          </w:rPr>
          <w:t>https://doi.org/10.5281/zenodo.3831673</w:t>
        </w:r>
      </w:hyperlink>
      <w:r>
        <w:t>.</w:t>
      </w:r>
    </w:p>
  </w:footnote>
  <w:footnote w:id="59">
    <w:p w14:paraId="5B0646D0" w14:textId="77777777" w:rsidR="001F6E0F" w:rsidRPr="007F562B" w:rsidRDefault="001F6E0F" w:rsidP="001C1CF1">
      <w:pPr>
        <w:pStyle w:val="NormalWeb"/>
        <w:shd w:val="clear" w:color="auto" w:fill="FFFFFF"/>
        <w:spacing w:before="0" w:after="75"/>
        <w:ind w:left="709" w:hanging="709"/>
        <w:rPr>
          <w:rFonts w:eastAsia="Times New Roman"/>
          <w:color w:val="444444"/>
          <w:sz w:val="20"/>
          <w:szCs w:val="20"/>
        </w:rPr>
      </w:pPr>
      <w:r>
        <w:rPr>
          <w:rStyle w:val="FootnoteReference"/>
        </w:rPr>
        <w:footnoteRef/>
      </w:r>
      <w:r>
        <w:tab/>
        <w:t>Uredba (EU) 2021/1119 Evropskega parlamenta in Sveta z dne 30. junija 2021 o vzpostavitvi okvira za doseganje podnebne nevtralnosti in spremembi uredb (ES) št. 401/2009 in (EU) 2018/1999 (evropska podnebna pravila) (UL L</w:t>
      </w:r>
      <w:r>
        <w:rPr>
          <w:color w:val="000000" w:themeColor="text1"/>
          <w:sz w:val="20"/>
        </w:rPr>
        <w:t xml:space="preserve"> </w:t>
      </w:r>
      <w:r>
        <w:tab/>
      </w:r>
      <w:r>
        <w:rPr>
          <w:color w:val="000000" w:themeColor="text1"/>
          <w:sz w:val="20"/>
        </w:rPr>
        <w:t>243, 9.7.2021, str. 1).</w:t>
      </w:r>
    </w:p>
  </w:footnote>
  <w:footnote w:id="60">
    <w:p w14:paraId="1AD777E6" w14:textId="77777777" w:rsidR="001F6E0F" w:rsidRPr="007F562B" w:rsidRDefault="001F6E0F" w:rsidP="0045435C">
      <w:pPr>
        <w:pStyle w:val="FootnoteText"/>
      </w:pPr>
      <w:r>
        <w:rPr>
          <w:rStyle w:val="FootnoteReference"/>
        </w:rPr>
        <w:footnoteRef/>
      </w:r>
      <w:r>
        <w:tab/>
        <w:t>Sonaravne rešitve so rešitve, ki imajo navdih in podporo v naravi, so stroškovno učinkovite, sočasno zagotavljajo okoljske, družbene in gospodarske koristi ter pomagajo krepiti odpornost. Take rešitve z lokalno prilagojenimi, z viri gospodarnimi in sistemskimi intervencijami prinašajo v mesta, krajine in morja več narave ter naravnih značilnosti in procesov, ki so obenem tudi bolj raznoliki. Sonaravne rešitve morajo zato koristiti biotski raznovrstnosti in podpirati zagotavljanje številnih ekosistemskih storitev.</w:t>
      </w:r>
    </w:p>
  </w:footnote>
  <w:footnote w:id="61">
    <w:p w14:paraId="571F8054" w14:textId="77777777" w:rsidR="001F6E0F" w:rsidRPr="00F10DF0" w:rsidRDefault="001F6E0F" w:rsidP="00B0251E">
      <w:pPr>
        <w:rPr>
          <w:rFonts w:eastAsia="Times New Roman"/>
          <w:sz w:val="16"/>
          <w:szCs w:val="16"/>
        </w:rPr>
      </w:pPr>
      <w:r>
        <w:rPr>
          <w:rStyle w:val="FootnoteReference"/>
        </w:rPr>
        <w:footnoteRef/>
      </w:r>
      <w:r>
        <w:tab/>
      </w:r>
      <w:r>
        <w:rPr>
          <w:sz w:val="20"/>
        </w:rPr>
        <w:t>Sporočilo Komisije Evropskemu parlamentu, Svetu, Evropskemu ekonomsko-socialnemu odboru in Odboru Regij, Oblikovanje Evrope, odporne proti podnebnim spremembam – nova strategija EU za prilagajanje podnebnim spremembam (COM(2021) 82 final).</w:t>
      </w:r>
    </w:p>
  </w:footnote>
  <w:footnote w:id="62">
    <w:p w14:paraId="6E8B052F" w14:textId="77777777" w:rsidR="001F6E0F" w:rsidRPr="009503BE" w:rsidRDefault="001F6E0F" w:rsidP="00B0251E">
      <w:pPr>
        <w:pStyle w:val="FootnoteText"/>
        <w:ind w:left="0" w:firstLine="0"/>
      </w:pPr>
      <w:r>
        <w:rPr>
          <w:rStyle w:val="FootnoteReference"/>
        </w:rPr>
        <w:footnoteRef/>
      </w:r>
      <w:r>
        <w:tab/>
        <w:t>Predlog uredbe Evropskega parlamenta in Sveta o spremembi Uredbe (EU) 2018/841 glede področja uporabe, poenostavitve pravil o skladnosti, določitve ciljev držav članic za leto 2030 in zaveze skupnemu doseganju podnebne nevtralnosti do leta 2035 v sektorju rabe zemljišč, gozdarstva in kmetijstva ter Uredbe (EU) 2018/1999 glede izboljšanja spremljanja, poročanja, spremljanja napredka in pregleda (COM(2021) 554 final).</w:t>
      </w:r>
    </w:p>
  </w:footnote>
  <w:footnote w:id="63">
    <w:p w14:paraId="6652C0C7" w14:textId="77777777" w:rsidR="001F6E0F" w:rsidRPr="001110E5" w:rsidRDefault="001F6E0F" w:rsidP="00210EC1">
      <w:pPr>
        <w:pStyle w:val="FootnoteText"/>
      </w:pPr>
      <w:r>
        <w:rPr>
          <w:rStyle w:val="FootnoteReference"/>
        </w:rPr>
        <w:footnoteRef/>
      </w:r>
      <w:r>
        <w:tab/>
        <w:t xml:space="preserve">Sporočilo Komisije Evropskemu parlamentu, Evropskemu svetu, Svetu, Evropskemu ekonomsko-socialnemu odboru in Odboru regij, Zagotavljanje prehranske varnosti in krepitev odpornosti prehranskih sistemov (COM(2022) 133 final). </w:t>
      </w:r>
    </w:p>
  </w:footnote>
  <w:footnote w:id="64">
    <w:p w14:paraId="0FBA70EE" w14:textId="77777777" w:rsidR="001F6E0F" w:rsidRPr="00126EE2" w:rsidRDefault="001F6E0F" w:rsidP="0094744A">
      <w:pPr>
        <w:pStyle w:val="FootnoteText"/>
      </w:pPr>
      <w:r w:rsidRPr="008F2B22">
        <w:rPr>
          <w:rStyle w:val="FootnoteReference"/>
        </w:rPr>
        <w:footnoteRef/>
      </w:r>
      <w:r>
        <w:tab/>
      </w:r>
      <w:r>
        <w:rPr>
          <w:i/>
          <w:iCs/>
        </w:rPr>
        <w:t>Konferenca o prihodnosti Evrope – Poročilo o končnem izidu</w:t>
      </w:r>
      <w:r>
        <w:t>, maj 2022, predlog 2 (1, 4, 5), str. 44, predlog 6 (6), str. 48.</w:t>
      </w:r>
    </w:p>
  </w:footnote>
  <w:footnote w:id="65">
    <w:p w14:paraId="7E8B1DBE" w14:textId="77777777" w:rsidR="001F6E0F" w:rsidRPr="007F562B" w:rsidRDefault="001F6E0F" w:rsidP="00B80697">
      <w:pPr>
        <w:pStyle w:val="FootnoteText"/>
      </w:pPr>
      <w:r>
        <w:rPr>
          <w:rStyle w:val="FootnoteReference"/>
        </w:rPr>
        <w:footnoteRef/>
      </w:r>
      <w:r>
        <w:tab/>
        <w:t>Sporočilo Komisije Evropskemu parlamentu, Svetu, Evropskemu ekonomsko-socialnemu odboru in Odboru Regij, Strategija EU za tla do leta 2030 Koristi zdravih tal za ljudi, hrano, naravo in podnebje</w:t>
      </w:r>
    </w:p>
    <w:p w14:paraId="3A010693" w14:textId="77777777" w:rsidR="001F6E0F" w:rsidRPr="007F562B" w:rsidRDefault="001F6E0F" w:rsidP="00B80697">
      <w:pPr>
        <w:pStyle w:val="FootnoteText"/>
      </w:pPr>
      <w:r>
        <w:tab/>
        <w:t>(COM(2021) 699 final).</w:t>
      </w:r>
    </w:p>
  </w:footnote>
  <w:footnote w:id="66">
    <w:p w14:paraId="5465F551" w14:textId="77777777" w:rsidR="001F6E0F" w:rsidRPr="007F562B" w:rsidRDefault="001F6E0F" w:rsidP="00E01AEC">
      <w:pPr>
        <w:pStyle w:val="FootnoteText"/>
      </w:pPr>
      <w:r>
        <w:rPr>
          <w:rStyle w:val="FootnoteReference"/>
        </w:rPr>
        <w:footnoteRef/>
      </w:r>
      <w:r>
        <w:tab/>
        <w:t>Direktiva Sveta 92/43/EGS z dne 21. maja 1992 o ohranjanju naravnih habitatov ter prosto živečih živalskih in rastlinskih vrst (UL L 206, 22.7.1992, str. 7).</w:t>
      </w:r>
    </w:p>
  </w:footnote>
  <w:footnote w:id="67">
    <w:p w14:paraId="6680FBF1" w14:textId="77777777" w:rsidR="001F6E0F" w:rsidRPr="007F562B" w:rsidRDefault="001F6E0F" w:rsidP="002579B8">
      <w:pPr>
        <w:pStyle w:val="FootnoteText"/>
      </w:pPr>
      <w:r>
        <w:rPr>
          <w:rStyle w:val="FootnoteReference"/>
        </w:rPr>
        <w:footnoteRef/>
      </w:r>
      <w:r>
        <w:tab/>
        <w:t>Direktiva 2009/147/ES Evropskega parlamenta in Sveta z dne 30. novembra 2009 o ohranjanju prosto živečih ptic (UL L 20, 26.1.2010, str. 7).</w:t>
      </w:r>
    </w:p>
  </w:footnote>
  <w:footnote w:id="68">
    <w:p w14:paraId="7D4E2C61" w14:textId="77777777" w:rsidR="001F6E0F" w:rsidRPr="008D6A36" w:rsidRDefault="001F6E0F" w:rsidP="00426E2F">
      <w:pPr>
        <w:pStyle w:val="FootnoteText"/>
      </w:pPr>
      <w:r>
        <w:rPr>
          <w:rStyle w:val="FootnoteReference"/>
        </w:rPr>
        <w:footnoteRef/>
      </w:r>
      <w:r>
        <w:tab/>
        <w:t>GD za okolje, 2017, Reporting under Article 17 of the Habitats Directive: Explanatory notes and guidelines for the period 2013-2018 (Poročanje na podlagi člena 17 direktive o habitatih: Pojasnjevalne opombe in smernice za obdobje 2013–2018) in GD za okolje, 2013, Interpretation manual of European Union habitats Eur 28 (Razlagalni priročnik o habitatih Evropske unije – EUR28).</w:t>
      </w:r>
    </w:p>
  </w:footnote>
  <w:footnote w:id="69">
    <w:p w14:paraId="3B0991A8" w14:textId="77777777" w:rsidR="001F6E0F" w:rsidRPr="009F41AA" w:rsidRDefault="001F6E0F" w:rsidP="008C2681">
      <w:pPr>
        <w:pStyle w:val="FootnoteText"/>
      </w:pPr>
      <w:r>
        <w:rPr>
          <w:rStyle w:val="FootnoteReference"/>
        </w:rPr>
        <w:footnoteRef/>
      </w:r>
      <w:r>
        <w:tab/>
        <w:t>Uredba (EU) št. 1380/2013 Evropskega parlamenta in Sveta z dne 11. decembra 2013 o skupni ribiški politiki in o spremembi uredb Sveta (ES) št. 1954/2003 in (ES) št. 1224/2009 ter razveljavitvi uredb Sveta (ES) št. 2371/2002 in (ES) št. 639/2004 ter Sklepa Sveta 2004/585/ES (UL L 354, 28.12.2013, str. 22).</w:t>
      </w:r>
    </w:p>
    <w:p w14:paraId="79259CCA" w14:textId="77777777" w:rsidR="001F6E0F" w:rsidRPr="009F41AA" w:rsidRDefault="001F6E0F" w:rsidP="008C2681">
      <w:pPr>
        <w:pStyle w:val="FootnoteText"/>
      </w:pPr>
    </w:p>
  </w:footnote>
  <w:footnote w:id="70">
    <w:p w14:paraId="32FCEB84" w14:textId="77777777" w:rsidR="001F6E0F" w:rsidRPr="00C9630F" w:rsidRDefault="001F6E0F" w:rsidP="00C9630F">
      <w:pPr>
        <w:pStyle w:val="FootnoteText"/>
      </w:pPr>
      <w:r>
        <w:rPr>
          <w:rStyle w:val="FootnoteReference"/>
        </w:rPr>
        <w:footnoteRef/>
      </w:r>
      <w:r>
        <w:tab/>
        <w:t>Konvencija o varstvu morskega okolja severovzhodnega Atlantika iz leta 1992 – Konvencija OSPAR (OSPAR), Konvencija o varstvu morskega okolja območja Baltika iz leta 1992 – Helsinška konvencija (HELCOM), Konvencija za varstvo morskega okolja in obalnega območja Sredozemlja iz leta 1995 – Barcelonska konvencija (UNEP-MAP) in Konvencija o varstvu Črnega morja pred onesnaženjem iz leta 1992 – Bukareška konvencija.</w:t>
      </w:r>
    </w:p>
  </w:footnote>
  <w:footnote w:id="71">
    <w:p w14:paraId="2BE403CA" w14:textId="77777777" w:rsidR="001F6E0F" w:rsidRPr="005C2C67" w:rsidRDefault="001F6E0F" w:rsidP="00586816">
      <w:pPr>
        <w:pStyle w:val="FootnoteText"/>
        <w:rPr>
          <w:color w:val="000000" w:themeColor="text1"/>
        </w:rPr>
      </w:pPr>
      <w:r>
        <w:rPr>
          <w:rStyle w:val="FootnoteReference"/>
        </w:rPr>
        <w:footnoteRef/>
      </w:r>
      <w:r>
        <w:tab/>
        <w:t xml:space="preserve">Vysna, V., Maes, J., Petersen, J. E., La Notte, A., Vallecillo, S., Aizpurua, N., Ivits, E., Teller, A., Accounting for ecosystems and their services in the European Union (INCA). Final report from phase II of the INCA </w:t>
      </w:r>
      <w:r>
        <w:rPr>
          <w:color w:val="000000" w:themeColor="text1"/>
        </w:rPr>
        <w:t>project aiming to develop a pilot for an integrated system of ecosystem accounts for the EU (Računovodstvo za ekosisteme in njihove storitve v Evropski uniji (INCA). Končno poročilo o fazi II projekta INCA, katerega cilj je razviti pilotni projekt za integriran sistem ekosistemskih računov za EU). Statistično poročilo. Urad za publikacije Evropske unije, Luxembourg, 2021.</w:t>
      </w:r>
    </w:p>
  </w:footnote>
  <w:footnote w:id="72">
    <w:p w14:paraId="6572383E" w14:textId="77777777" w:rsidR="001F6E0F" w:rsidRPr="005C2C67" w:rsidRDefault="001F6E0F" w:rsidP="00586816">
      <w:pPr>
        <w:pStyle w:val="FootnoteText"/>
        <w:rPr>
          <w:color w:val="000000" w:themeColor="text1"/>
        </w:rPr>
      </w:pPr>
      <w:r>
        <w:rPr>
          <w:rStyle w:val="FootnoteReference"/>
        </w:rPr>
        <w:footnoteRef/>
      </w:r>
      <w:r>
        <w:tab/>
      </w:r>
      <w:r>
        <w:rPr>
          <w:color w:val="000000" w:themeColor="text1"/>
          <w:shd w:val="clear" w:color="auto" w:fill="FFFFFF"/>
        </w:rPr>
        <w:t xml:space="preserve">Sporočilo Komisije Evropskemu parlamentu, Svetu, Evropskemu ekonomsko-socialnemu odboru in Odboru regij. </w:t>
      </w:r>
      <w:r>
        <w:rPr>
          <w:color w:val="000000" w:themeColor="text1"/>
        </w:rPr>
        <w:t>Pobuda EU za opraševalce (COM(2018) 395 final).</w:t>
      </w:r>
    </w:p>
  </w:footnote>
  <w:footnote w:id="73">
    <w:p w14:paraId="69E496E3" w14:textId="77777777" w:rsidR="001F6E0F" w:rsidRPr="005C2C67" w:rsidRDefault="001F6E0F" w:rsidP="00586816">
      <w:pPr>
        <w:pStyle w:val="FootnoteText"/>
        <w:rPr>
          <w:color w:val="000000" w:themeColor="text1"/>
        </w:rPr>
      </w:pPr>
      <w:r>
        <w:rPr>
          <w:rStyle w:val="FootnoteReference"/>
        </w:rPr>
        <w:footnoteRef/>
      </w:r>
      <w:r>
        <w:tab/>
        <w:t>Poročilo Komisije Evropskemu parlamentu, Svetu, Evropskemu ekonomsko-socialnemu odboru in Odboru regij,</w:t>
      </w:r>
      <w:r>
        <w:rPr>
          <w:color w:val="000000" w:themeColor="text1"/>
        </w:rPr>
        <w:t xml:space="preserve"> Napredek pri izvajanju pobude EU za opraševalce (COM(2021) 261 final).</w:t>
      </w:r>
    </w:p>
  </w:footnote>
  <w:footnote w:id="74">
    <w:p w14:paraId="017D5FAE" w14:textId="77777777" w:rsidR="001F6E0F" w:rsidRPr="005C2C67" w:rsidRDefault="001F6E0F" w:rsidP="00CC1539">
      <w:pPr>
        <w:pStyle w:val="FootnoteText"/>
        <w:rPr>
          <w:color w:val="000000" w:themeColor="text1"/>
        </w:rPr>
      </w:pPr>
      <w:r>
        <w:rPr>
          <w:rStyle w:val="FootnoteReference"/>
        </w:rPr>
        <w:footnoteRef/>
      </w:r>
      <w:r>
        <w:tab/>
        <w:t>Resolucija Evropskega parlamenta z dne 9. junija 2021 o strategiji EU za biotsko raznovrstnost do leta 2030:</w:t>
      </w:r>
      <w:r>
        <w:rPr>
          <w:color w:val="000000" w:themeColor="text1"/>
        </w:rPr>
        <w:t xml:space="preserve"> Vračanje narave v naša življenja (2020/2273(INI)), na voljo na https://www.europarl.europa.eu/doceo/document/TA-9-2021-0277_SL.pdf.  </w:t>
      </w:r>
    </w:p>
  </w:footnote>
  <w:footnote w:id="75">
    <w:p w14:paraId="41CC4830" w14:textId="77777777" w:rsidR="001F6E0F" w:rsidRPr="005C2C67" w:rsidRDefault="001F6E0F" w:rsidP="005E1366">
      <w:pPr>
        <w:pStyle w:val="FootnoteText"/>
        <w:rPr>
          <w:color w:val="000000" w:themeColor="text1"/>
        </w:rPr>
      </w:pPr>
      <w:r>
        <w:rPr>
          <w:rStyle w:val="FootnoteReference"/>
        </w:rPr>
        <w:footnoteRef/>
      </w:r>
      <w:r>
        <w:tab/>
        <w:t>Sklepi Sveta z dne 17. decembra 2020 o posebnem poročilu Evropskega računskega sodišča št. 15/2020 Zaščita divjih opraševalcev v EU:</w:t>
      </w:r>
      <w:r>
        <w:rPr>
          <w:color w:val="000000" w:themeColor="text1"/>
        </w:rPr>
        <w:t xml:space="preserve"> pobude Komisije niso bile uspešne (14168/20).</w:t>
      </w:r>
    </w:p>
  </w:footnote>
  <w:footnote w:id="76">
    <w:p w14:paraId="54FA3932" w14:textId="77777777" w:rsidR="001F6E0F" w:rsidRPr="00E16AA3" w:rsidRDefault="001F6E0F" w:rsidP="00586816">
      <w:pPr>
        <w:pStyle w:val="FootnoteText"/>
      </w:pPr>
      <w:r>
        <w:rPr>
          <w:rStyle w:val="FootnoteReference"/>
        </w:rPr>
        <w:footnoteRef/>
      </w:r>
      <w:r>
        <w:tab/>
        <w:t xml:space="preserve">Posebno poročilo št. 15/2020, </w:t>
      </w:r>
      <w:hyperlink r:id="rId31" w:history="1">
        <w:r>
          <w:rPr>
            <w:rStyle w:val="Hyperlink"/>
          </w:rPr>
          <w:t>https://www.eca.europa.eu/Lists/ECADocuments/SR20_15/SR_Pollinators_SL.pdf</w:t>
        </w:r>
      </w:hyperlink>
      <w:r>
        <w:t xml:space="preserve"> </w:t>
      </w:r>
    </w:p>
  </w:footnote>
  <w:footnote w:id="77">
    <w:p w14:paraId="1E711DB7" w14:textId="77777777" w:rsidR="001F6E0F" w:rsidRPr="00955085" w:rsidRDefault="001F6E0F">
      <w:pPr>
        <w:pStyle w:val="FootnoteText"/>
      </w:pPr>
      <w:r w:rsidRPr="008F2B22">
        <w:rPr>
          <w:rStyle w:val="FootnoteReference"/>
        </w:rPr>
        <w:footnoteRef/>
      </w:r>
      <w:r>
        <w:tab/>
      </w:r>
      <w:hyperlink r:id="rId32" w:history="1">
        <w:r>
          <w:rPr>
            <w:rStyle w:val="Hyperlink"/>
          </w:rPr>
          <w:t>Evropski rdeči seznam – Okolje – Evropska komisija (europa.eu)</w:t>
        </w:r>
      </w:hyperlink>
      <w:r>
        <w:t>.</w:t>
      </w:r>
    </w:p>
  </w:footnote>
  <w:footnote w:id="78">
    <w:p w14:paraId="748DB431" w14:textId="77777777" w:rsidR="001F6E0F" w:rsidRPr="00441FD0" w:rsidRDefault="001F6E0F" w:rsidP="00D14943">
      <w:pPr>
        <w:pStyle w:val="FootnoteText"/>
      </w:pPr>
      <w:r>
        <w:rPr>
          <w:rStyle w:val="FootnoteReference"/>
        </w:rPr>
        <w:footnoteRef/>
      </w:r>
      <w:r>
        <w:tab/>
        <w:t>Uredba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 6.12.2021, str. 1).</w:t>
      </w:r>
    </w:p>
  </w:footnote>
  <w:footnote w:id="79">
    <w:p w14:paraId="7B46BD46" w14:textId="77777777" w:rsidR="001F6E0F" w:rsidRPr="00E41BA3" w:rsidRDefault="001F6E0F" w:rsidP="00D14943">
      <w:pPr>
        <w:pStyle w:val="FootnoteText"/>
      </w:pPr>
      <w:r>
        <w:rPr>
          <w:rStyle w:val="FootnoteReference"/>
        </w:rPr>
        <w:footnoteRef/>
      </w:r>
      <w:r>
        <w:tab/>
        <w:t>Kadar se kmet zaveže, da bo vsaj 7 % svojega ornega zemljišča namenil neproizvodnim površinam ali značilnostim, vključno z neobdelanimi zemljišči, v okviru razširjene okoljske sheme, ali če je na ravni kmetije minimalni delež vsaj 7 % ornih zemljišč, ki vključujejo tudi vmesne posevke ali kmetijske rastline, ki vežejo dušik, gojene brez uporabe fitofarmacevtskih sredstev.</w:t>
      </w:r>
    </w:p>
  </w:footnote>
  <w:footnote w:id="80">
    <w:p w14:paraId="63D821D6" w14:textId="77777777" w:rsidR="001F6E0F" w:rsidRPr="00287546" w:rsidRDefault="001F6E0F" w:rsidP="00272A2A">
      <w:pPr>
        <w:pStyle w:val="FootnoteText"/>
      </w:pPr>
      <w:r>
        <w:rPr>
          <w:rStyle w:val="FootnoteReference"/>
        </w:rPr>
        <w:footnoteRef/>
      </w:r>
      <w:r>
        <w:tab/>
        <w:t xml:space="preserve">Ponovno mokrenje je proces spreminjanja izsušene zemlje v mokro zemljo. Poglavje 1 </w:t>
      </w:r>
      <w:r>
        <w:rPr>
          <w:sz w:val="18"/>
        </w:rPr>
        <w:t>IPCC 2014, 2013 in dodatek smernicam IPCC za nacionalne sezname toplogrednih plinov iz leta 2006: Mokrišča, Hiraishi, T., Krug, T., Tanabe, K., Srivastava, N., Baasansuren, J., Fukuda, M. in Troxler, T. G. (ur.).</w:t>
      </w:r>
    </w:p>
  </w:footnote>
  <w:footnote w:id="81">
    <w:p w14:paraId="7596EEDF" w14:textId="77777777" w:rsidR="001F6E0F" w:rsidRPr="00287546" w:rsidRDefault="001F6E0F" w:rsidP="00272A2A">
      <w:pPr>
        <w:pStyle w:val="FootnoteText"/>
        <w:rPr>
          <w:sz w:val="18"/>
          <w:szCs w:val="18"/>
        </w:rPr>
      </w:pPr>
      <w:r>
        <w:rPr>
          <w:rStyle w:val="FootnoteReference"/>
        </w:rPr>
        <w:footnoteRef/>
      </w:r>
      <w:r>
        <w:tab/>
      </w:r>
      <w:r>
        <w:rPr>
          <w:sz w:val="18"/>
        </w:rPr>
        <w:t>Izraz „organska tla“ je opredeljen v smernicah IPCC za nacionalne evidence toplogrednih plinov iz leta 2006, pripravljenih v okviru programa za nacionalne evidence toplogrednih plinov, Eggleston, H. S., Buendia, L., Miwa, K., Ngara, T. in Tanabe, K. (ur.)</w:t>
      </w:r>
    </w:p>
  </w:footnote>
  <w:footnote w:id="82">
    <w:p w14:paraId="3A56E2F0" w14:textId="77777777" w:rsidR="001F6E0F" w:rsidRPr="00A12107" w:rsidRDefault="001F6E0F" w:rsidP="00586816">
      <w:pPr>
        <w:pStyle w:val="FootnoteText"/>
        <w:ind w:left="0" w:firstLine="0"/>
      </w:pPr>
      <w:r>
        <w:rPr>
          <w:rStyle w:val="FootnoteReference"/>
        </w:rPr>
        <w:footnoteRef/>
      </w:r>
      <w:r>
        <w:tab/>
        <w:t xml:space="preserve">Sporočilo Komisije Evropskemu parlamentu, Svetu, Evropskemu ekonomsko-socialnemu odboru </w:t>
      </w:r>
      <w:r>
        <w:tab/>
        <w:t xml:space="preserve">in Odboru regij, Nova strategija EU za gozdove do leta 2030 (COM(2021) 572 final).  </w:t>
      </w:r>
    </w:p>
  </w:footnote>
  <w:footnote w:id="83">
    <w:p w14:paraId="324CE9D4" w14:textId="77777777" w:rsidR="001F6E0F" w:rsidRPr="0033269E" w:rsidRDefault="001F6E0F">
      <w:pPr>
        <w:pStyle w:val="FootnoteText"/>
        <w:rPr>
          <w:color w:val="000000" w:themeColor="text1"/>
        </w:rPr>
      </w:pPr>
      <w:r>
        <w:rPr>
          <w:rStyle w:val="FootnoteReference"/>
        </w:rPr>
        <w:footnoteRef/>
      </w:r>
      <w:r>
        <w:tab/>
      </w:r>
      <w:hyperlink r:id="rId33" w:anchor=":~:text=Common%20bird%20index%20%28EU%20aggregate%29%20The%20indicator%20is,and%20all%20common%20birds%29%20is%20a%20composite%2C%20" w:history="1">
        <w:r>
          <w:rPr>
            <w:rStyle w:val="Hyperlink"/>
            <w:color w:val="000000" w:themeColor="text1"/>
          </w:rPr>
          <w:t>Indeks splošno razširjenih ptic (zbirni podatki EU) – Nabori podatkov o izdelkih – Eurostat (europa.eu)</w:t>
        </w:r>
      </w:hyperlink>
      <w:r>
        <w:rPr>
          <w:color w:val="000000" w:themeColor="text1"/>
        </w:rPr>
        <w:t>.</w:t>
      </w:r>
    </w:p>
  </w:footnote>
  <w:footnote w:id="84">
    <w:p w14:paraId="4BB33F49" w14:textId="77777777" w:rsidR="001F6E0F" w:rsidRPr="009002F3" w:rsidRDefault="001F6E0F" w:rsidP="00D84029">
      <w:pPr>
        <w:pStyle w:val="NormalWeb"/>
        <w:shd w:val="clear" w:color="auto" w:fill="FFFFFF"/>
        <w:spacing w:before="0" w:after="75"/>
        <w:ind w:left="709" w:hanging="709"/>
        <w:rPr>
          <w:rFonts w:eastAsia="Times New Roman"/>
          <w:color w:val="000000" w:themeColor="text1"/>
          <w:sz w:val="20"/>
          <w:szCs w:val="20"/>
        </w:rPr>
      </w:pPr>
      <w:r>
        <w:rPr>
          <w:rStyle w:val="FootnoteReference"/>
        </w:rPr>
        <w:footnoteRef/>
      </w:r>
      <w:r>
        <w:tab/>
        <w:t>Uredba (EU) 2019/1241 Evropskega parlamenta in Sveta z dne 20. junija 2019 o ohranjanju ribolovnih virov in varstvu morskih ekosistemov s tehničnimi ukrepi, o spremembi uredb Sveta (ES) št. 1967/2006, (ES) št. 1224/2009 ter uredb (EU) št. 1380/2013, (EU) 2016/1139, (EU) 2018/973, (EU) 2019/472 in (EU) 2019/1022 Evropskega parlamenta in Sveta ter o razveljavitvi uredb Sveta (ES) št. 894/97, (ES) št. 850/98, (ES) št. 2549/2000, (ES) št. 254/2002, (ES) št. 812/2004 in (ES) št. 2187/2005 (UL L 198, 25.7.2019, str. 105).</w:t>
      </w:r>
    </w:p>
  </w:footnote>
  <w:footnote w:id="85">
    <w:p w14:paraId="368FA21F" w14:textId="77777777" w:rsidR="001F6E0F" w:rsidRPr="007F562B" w:rsidRDefault="001F6E0F" w:rsidP="00D84029">
      <w:pPr>
        <w:pStyle w:val="FootnoteText"/>
        <w:ind w:left="709" w:hanging="709"/>
      </w:pPr>
      <w:r>
        <w:rPr>
          <w:rStyle w:val="FootnoteReference"/>
        </w:rPr>
        <w:footnoteRef/>
      </w:r>
      <w:r>
        <w:tab/>
        <w:t>Direktiva (EU) 2018/2001 Evropskega parlamenta in Sveta z dne 11. decembra 2018 o spodbujanju uporabe energije iz obnovljivih virov (UL L 328, 21.12.2018, str. 82).</w:t>
      </w:r>
    </w:p>
  </w:footnote>
  <w:footnote w:id="86">
    <w:p w14:paraId="3F4B477E" w14:textId="77777777" w:rsidR="001F6E0F" w:rsidRPr="00303AA9" w:rsidRDefault="001F6E0F" w:rsidP="00D84029">
      <w:pPr>
        <w:pStyle w:val="NormalWeb"/>
        <w:shd w:val="clear" w:color="auto" w:fill="FFFFFF"/>
        <w:spacing w:before="0" w:after="75"/>
        <w:ind w:left="709" w:hanging="709"/>
        <w:rPr>
          <w:rFonts w:eastAsia="Times New Roman"/>
          <w:color w:val="000000" w:themeColor="text1"/>
          <w:sz w:val="20"/>
          <w:szCs w:val="20"/>
        </w:rPr>
      </w:pPr>
      <w:r>
        <w:rPr>
          <w:rStyle w:val="FootnoteReference"/>
        </w:rPr>
        <w:footnoteRef/>
      </w:r>
      <w:r>
        <w:tab/>
        <w:t>Uredba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328, 21.12.2018, str. 1).</w:t>
      </w:r>
    </w:p>
  </w:footnote>
  <w:footnote w:id="87">
    <w:p w14:paraId="46028A82" w14:textId="77777777" w:rsidR="001F6E0F" w:rsidRPr="00303AA9" w:rsidRDefault="001F6E0F" w:rsidP="00D84029">
      <w:pPr>
        <w:pStyle w:val="NormalWeb"/>
        <w:shd w:val="clear" w:color="auto" w:fill="FFFFFF"/>
        <w:spacing w:before="0" w:after="75"/>
        <w:ind w:left="709" w:hanging="709"/>
        <w:rPr>
          <w:rFonts w:ascii="Roboto" w:hAnsi="Roboto"/>
          <w:color w:val="000000" w:themeColor="text1"/>
          <w:sz w:val="20"/>
          <w:szCs w:val="20"/>
        </w:rPr>
      </w:pPr>
      <w:r>
        <w:rPr>
          <w:rStyle w:val="FootnoteReference"/>
        </w:rPr>
        <w:footnoteRef/>
      </w:r>
      <w:r>
        <w:tab/>
      </w:r>
      <w:r>
        <w:rPr>
          <w:color w:val="000000" w:themeColor="text1"/>
          <w:sz w:val="20"/>
        </w:rPr>
        <w:t>Direktiva 98/70/ES Evropskega parlamenta in Sveta z dne 13. oktobra 1998 o kakovosti motornega bencina in dizelskega goriva ter spremembi Direktive 93/12/EGS (</w:t>
      </w:r>
      <w:r>
        <w:rPr>
          <w:rStyle w:val="Emphasis"/>
          <w:i w:val="0"/>
          <w:color w:val="000000" w:themeColor="text1"/>
          <w:sz w:val="20"/>
        </w:rPr>
        <w:t>UL L 350, 28.12.1998, str. 58).</w:t>
      </w:r>
    </w:p>
  </w:footnote>
  <w:footnote w:id="88">
    <w:p w14:paraId="6A887FFB" w14:textId="77777777" w:rsidR="001F6E0F" w:rsidRPr="00303AA9" w:rsidRDefault="001F6E0F" w:rsidP="00D84029">
      <w:pPr>
        <w:pStyle w:val="NormalWeb"/>
        <w:shd w:val="clear" w:color="auto" w:fill="FFFFFF"/>
        <w:spacing w:before="0" w:after="75"/>
        <w:ind w:left="709" w:hanging="709"/>
        <w:rPr>
          <w:color w:val="000000" w:themeColor="text1"/>
          <w:sz w:val="20"/>
          <w:szCs w:val="20"/>
        </w:rPr>
      </w:pPr>
      <w:r>
        <w:rPr>
          <w:rStyle w:val="FootnoteReference"/>
        </w:rPr>
        <w:footnoteRef/>
      </w:r>
      <w:r>
        <w:tab/>
      </w:r>
      <w:r>
        <w:rPr>
          <w:color w:val="000000" w:themeColor="text1"/>
          <w:sz w:val="20"/>
        </w:rPr>
        <w:t>Sporočilo Komisije Evropskemu parlamentu, Evropskemu svetu, Svetu, Evropskemu ekonomsko-socialnemu odboru in Odboru regij, REPowerEU: skupni evropski ukrepi za cenovno dostopnejšo, zanesljivejšo in bolj trajnostno energijo (COM(2022) 108 final).</w:t>
      </w:r>
    </w:p>
    <w:p w14:paraId="11A2A976" w14:textId="77777777" w:rsidR="001F6E0F" w:rsidRPr="00695E96" w:rsidRDefault="001F6E0F" w:rsidP="00D84029">
      <w:pPr>
        <w:pStyle w:val="FootnoteText"/>
        <w:ind w:left="709" w:hanging="709"/>
        <w:rPr>
          <w:sz w:val="18"/>
        </w:rPr>
      </w:pPr>
    </w:p>
  </w:footnote>
  <w:footnote w:id="89">
    <w:p w14:paraId="284BCF36" w14:textId="77777777" w:rsidR="001F6E0F" w:rsidRPr="00533D18" w:rsidRDefault="001F6E0F" w:rsidP="00D84029">
      <w:pPr>
        <w:pStyle w:val="title-bold"/>
        <w:shd w:val="clear" w:color="auto" w:fill="FFFFFF"/>
        <w:spacing w:before="0" w:beforeAutospacing="0" w:after="75" w:afterAutospacing="0"/>
        <w:ind w:left="709" w:hanging="709"/>
        <w:rPr>
          <w:bCs/>
          <w:color w:val="333333"/>
          <w:sz w:val="21"/>
          <w:szCs w:val="21"/>
        </w:rPr>
      </w:pPr>
      <w:r>
        <w:rPr>
          <w:rStyle w:val="FootnoteReference"/>
        </w:rPr>
        <w:footnoteRef/>
      </w:r>
      <w:r>
        <w:tab/>
        <w:t>Predlog direktive Evropskega parlamenta in Sveta o spremembi Direktive (EU) 2018/2001 o spodbujanju uporabe energije iz obnovljivih virov, Direktive 2010/31/EU o energetski učinkovitosti stavb in Direktive 2012/27/EU o energetski učinkovitosti (COM(2022) 222 final).</w:t>
      </w:r>
    </w:p>
  </w:footnote>
  <w:footnote w:id="90">
    <w:p w14:paraId="7F591F0F" w14:textId="77777777" w:rsidR="001F6E0F" w:rsidRPr="00BF79F9" w:rsidRDefault="001F6E0F" w:rsidP="00BF79F9">
      <w:pPr>
        <w:pStyle w:val="FootnoteText"/>
      </w:pPr>
      <w:r>
        <w:rPr>
          <w:rStyle w:val="FootnoteReference"/>
        </w:rPr>
        <w:footnoteRef/>
      </w:r>
      <w:r>
        <w:tab/>
        <w:t xml:space="preserve">Priporočilo Komisije </w:t>
      </w:r>
      <w:r>
        <w:rPr>
          <w:color w:val="333333"/>
          <w:sz w:val="21"/>
          <w:shd w:val="clear" w:color="auto" w:fill="FFFFFF"/>
        </w:rPr>
        <w:t xml:space="preserve">o pospešitvi postopkov izdaje dovoljenj za projekte na področju energije iz obnovljivih virov in poenostavitvi sklepanja pogodb o nakupu električne energije </w:t>
      </w:r>
      <w:r>
        <w:t xml:space="preserve">(C(2022) 3219 final). </w:t>
      </w:r>
    </w:p>
  </w:footnote>
  <w:footnote w:id="91">
    <w:p w14:paraId="1909777D" w14:textId="77777777" w:rsidR="001F6E0F" w:rsidRPr="00062770" w:rsidRDefault="001F6E0F" w:rsidP="00B32E01">
      <w:pPr>
        <w:pStyle w:val="FootnoteText"/>
      </w:pPr>
      <w:r>
        <w:rPr>
          <w:rStyle w:val="FootnoteReference"/>
        </w:rPr>
        <w:footnoteRef/>
      </w:r>
      <w:r>
        <w:tab/>
        <w:t>Direktiva Sveta 92/43/EGS z dne 21. maja 1992 o ohranjanju naravnih habitatov ter prosto živečih živalskih in rastlinskih vrst (UL L 206, 22.7.1992, str. 7).</w:t>
      </w:r>
    </w:p>
  </w:footnote>
  <w:footnote w:id="92">
    <w:p w14:paraId="1B39C5C3" w14:textId="77777777" w:rsidR="001F6E0F" w:rsidRPr="00075EC9" w:rsidRDefault="001F6E0F" w:rsidP="0073109D">
      <w:pPr>
        <w:spacing w:before="0"/>
        <w:ind w:left="709" w:hanging="709"/>
        <w:rPr>
          <w:sz w:val="20"/>
          <w:szCs w:val="20"/>
        </w:rPr>
      </w:pPr>
      <w:r>
        <w:rPr>
          <w:rStyle w:val="FootnoteReference"/>
        </w:rPr>
        <w:footnoteRef/>
      </w:r>
      <w:r>
        <w:tab/>
      </w:r>
      <w:r>
        <w:rPr>
          <w:sz w:val="20"/>
        </w:rPr>
        <w:t>Sporočilo Komisije Evropskemu parlamentu, Svetu, Evropskemu ekonomsko-socialnemu odboru in Odboru regij o misijah Evropske unije (COM(2021) 609 final).</w:t>
      </w:r>
    </w:p>
    <w:p w14:paraId="12648B08" w14:textId="77777777" w:rsidR="001F6E0F" w:rsidRPr="0056432A" w:rsidRDefault="001F6E0F" w:rsidP="00B0251E">
      <w:pPr>
        <w:pStyle w:val="FootnoteText"/>
        <w:ind w:left="0" w:firstLine="0"/>
      </w:pPr>
    </w:p>
  </w:footnote>
  <w:footnote w:id="93">
    <w:p w14:paraId="3636666F" w14:textId="77777777" w:rsidR="001F6E0F" w:rsidRPr="00E720DB" w:rsidRDefault="001F6E0F" w:rsidP="00AC748E">
      <w:pPr>
        <w:pStyle w:val="FootnoteText"/>
      </w:pPr>
      <w:r>
        <w:rPr>
          <w:rStyle w:val="FootnoteReference"/>
        </w:rPr>
        <w:footnoteRef/>
      </w:r>
      <w:r>
        <w:tab/>
        <w:t>Direktiva 2003/4/ES Evropskega parlamenta in Sveta z dne 28. januarja 2003 o dostopu javnosti do informacij o okolju in o razveljavitvi Direktive Sveta 90/313/EGS (UL L 41, 14.2.2003, str. 26).</w:t>
      </w:r>
    </w:p>
  </w:footnote>
  <w:footnote w:id="94">
    <w:p w14:paraId="60047076" w14:textId="77777777" w:rsidR="001F6E0F" w:rsidRPr="00062770" w:rsidRDefault="001F6E0F" w:rsidP="00A15E7F">
      <w:pPr>
        <w:pStyle w:val="FootnoteText"/>
      </w:pPr>
      <w:r>
        <w:rPr>
          <w:rStyle w:val="FootnoteReference"/>
        </w:rPr>
        <w:footnoteRef/>
      </w:r>
      <w:r>
        <w:tab/>
        <w:t>Direktiva 2007/2/ES Evropskega parlamenta in Sveta z dne 14. marca 2007 o vzpostavitvi infrastrukture za prostorske informacije v Evropski skupnosti (INSPIRE) (UL L 108, 25.4.2007, str. 1).</w:t>
      </w:r>
    </w:p>
  </w:footnote>
  <w:footnote w:id="95">
    <w:p w14:paraId="255B4B4A" w14:textId="77777777" w:rsidR="001F6E0F" w:rsidRPr="00E720DB" w:rsidRDefault="001F6E0F" w:rsidP="00AC748E">
      <w:pPr>
        <w:pStyle w:val="FootnoteText"/>
      </w:pPr>
      <w:r>
        <w:rPr>
          <w:rStyle w:val="FootnoteReference"/>
        </w:rPr>
        <w:footnoteRef/>
      </w:r>
      <w:r>
        <w:tab/>
        <w:t>Direktiva (EU) 2019/1024 Evropskega parlamenta in Sveta z dne 20. junija 2019 o odprtih podatkih in ponovni uporabi informacij javnega sektorja (UL L 172, 26.6.2019, str. 56).</w:t>
      </w:r>
    </w:p>
  </w:footnote>
  <w:footnote w:id="96">
    <w:p w14:paraId="3A64295B" w14:textId="77777777" w:rsidR="001F6E0F" w:rsidRDefault="001F6E0F" w:rsidP="00B82114">
      <w:pPr>
        <w:pStyle w:val="FootnoteText"/>
      </w:pPr>
      <w:r>
        <w:rPr>
          <w:rStyle w:val="FootnoteReference"/>
        </w:rPr>
        <w:footnoteRef/>
      </w:r>
      <w:r>
        <w:tab/>
        <w:t>Uredba (EU) 2021/240 Evropskega parlamenta in Sveta</w:t>
      </w:r>
      <w:r>
        <w:rPr>
          <w:shd w:val="clear" w:color="auto" w:fill="FFFFFF"/>
        </w:rPr>
        <w:t xml:space="preserve"> z dne 10. februarja 2021 o vzpostavitvi Instrumenta za tehnično podporo (</w:t>
      </w:r>
      <w:r>
        <w:rPr>
          <w:rStyle w:val="Emphasis"/>
          <w:i w:val="0"/>
          <w:color w:val="444444"/>
          <w:shd w:val="clear" w:color="auto" w:fill="FFFFFF"/>
        </w:rPr>
        <w:t>UL L 57, 18.2.2021, str. 1).</w:t>
      </w:r>
    </w:p>
  </w:footnote>
  <w:footnote w:id="97">
    <w:p w14:paraId="2F9348DF" w14:textId="77777777" w:rsidR="001F6E0F" w:rsidRPr="007F562B" w:rsidRDefault="001F6E0F" w:rsidP="00FB6FA4">
      <w:pPr>
        <w:pStyle w:val="FootnoteText"/>
      </w:pPr>
      <w:r>
        <w:rPr>
          <w:rStyle w:val="FootnoteReference"/>
        </w:rPr>
        <w:footnoteRef/>
      </w:r>
      <w:r>
        <w:tab/>
        <w:t>Uredba (EU) 2021/783 Evropskega parlamenta in Sveta z dne 29. aprila 2021 o vzpostavitvi Programa za okolje in podnebne ukrepe (LIFE) ter razveljavitvi Uredbe (EU) št. 1293/2013 (UL L 172, 17.5.2021, str. 53).</w:t>
      </w:r>
    </w:p>
  </w:footnote>
  <w:footnote w:id="98">
    <w:p w14:paraId="405F716C" w14:textId="77777777" w:rsidR="001F6E0F" w:rsidRPr="007F562B" w:rsidRDefault="001F6E0F" w:rsidP="00FB6FA4">
      <w:pPr>
        <w:pStyle w:val="FootnoteText"/>
      </w:pPr>
      <w:r>
        <w:rPr>
          <w:rStyle w:val="FootnoteReference"/>
        </w:rPr>
        <w:footnoteRef/>
      </w:r>
      <w:r>
        <w:tab/>
        <w:t>Uredba (EU) 2021/1139 Evropskega parlamenta in Sveta z dne 7. julija 2021 o vzpostavitvi Evropskega sklada za pomorstvo, ribištvo in akvakulturo ter spremembi Uredbe (EU) 2017/1004 (UL L 247, 13.7.2021, str. 1).</w:t>
      </w:r>
    </w:p>
  </w:footnote>
  <w:footnote w:id="99">
    <w:p w14:paraId="288F10FB" w14:textId="77777777" w:rsidR="001F6E0F" w:rsidRPr="007F562B" w:rsidRDefault="001F6E0F" w:rsidP="00170244">
      <w:pPr>
        <w:pStyle w:val="FootnoteText"/>
      </w:pPr>
      <w:r>
        <w:rPr>
          <w:rStyle w:val="FootnoteReference"/>
        </w:rPr>
        <w:footnoteRef/>
      </w:r>
      <w:r>
        <w:tab/>
        <w:t xml:space="preserve">Uredba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 (UL L 437, 28.12.2020, str. 1). </w:t>
      </w:r>
    </w:p>
  </w:footnote>
  <w:footnote w:id="100">
    <w:p w14:paraId="138B315F" w14:textId="77777777" w:rsidR="001F6E0F" w:rsidRPr="007F562B" w:rsidRDefault="001F6E0F" w:rsidP="00DE622E">
      <w:pPr>
        <w:pStyle w:val="FootnoteText"/>
      </w:pPr>
      <w:r>
        <w:rPr>
          <w:rStyle w:val="FootnoteReference"/>
        </w:rPr>
        <w:footnoteRef/>
      </w:r>
      <w:r>
        <w:tab/>
        <w:t>Uredba (EU) 2021/1058 Evropskega parlamenta in Sveta z dne 24. junija 2021 o Evropskem skladu za regionalni razvoj in Kohezijskem skladu (UL L 231, 30.6.2021, str. 60).</w:t>
      </w:r>
    </w:p>
  </w:footnote>
  <w:footnote w:id="101">
    <w:p w14:paraId="5DF1C83A" w14:textId="77777777" w:rsidR="001F6E0F" w:rsidRPr="007F562B" w:rsidRDefault="001F6E0F">
      <w:pPr>
        <w:pStyle w:val="FootnoteText"/>
      </w:pPr>
      <w:r>
        <w:rPr>
          <w:rStyle w:val="FootnoteReference"/>
        </w:rPr>
        <w:footnoteRef/>
      </w:r>
      <w:r>
        <w:tab/>
        <w:t>Uredba (EU) 2021/1056 Evropskega parlamenta in Sveta z dne 24. junija 2021 o vzpostavitvi Sklada za pravični prehod (UL L 231, 30.6.2021, str. 1).</w:t>
      </w:r>
    </w:p>
  </w:footnote>
  <w:footnote w:id="102">
    <w:p w14:paraId="1F9B342F" w14:textId="77777777" w:rsidR="001F6E0F" w:rsidRPr="007F562B" w:rsidRDefault="001F6E0F" w:rsidP="00737DB0">
      <w:pPr>
        <w:pStyle w:val="FootnoteText"/>
      </w:pPr>
      <w:r>
        <w:rPr>
          <w:rStyle w:val="FootnoteReference"/>
        </w:rPr>
        <w:footnoteRef/>
      </w:r>
      <w:r>
        <w:tab/>
        <w:t xml:space="preserve">Uredba (EU) 2021/695 Evropskega parlamenta in Sveta z dne 28. aprila 2021 o vzpostavitvi okvirnega programa za raziskave in inovacije Obzorje Evropa, določitvi pravil za sodelovanje in razširjanje rezultatov ter razveljavitvi uredb (EU) št. 1290/2013 in (EU) št. 1291/2013 </w:t>
      </w:r>
    </w:p>
    <w:p w14:paraId="202DC41F" w14:textId="77777777" w:rsidR="001F6E0F" w:rsidRPr="007F562B" w:rsidRDefault="001F6E0F" w:rsidP="008D6A36">
      <w:pPr>
        <w:pStyle w:val="FootnoteText"/>
        <w:ind w:left="0" w:firstLine="720"/>
      </w:pPr>
      <w:r>
        <w:t>(UL L 170, 12.5.2021, str. 1).</w:t>
      </w:r>
    </w:p>
  </w:footnote>
  <w:footnote w:id="103">
    <w:p w14:paraId="16C992F6" w14:textId="77777777" w:rsidR="001F6E0F" w:rsidRPr="007F562B" w:rsidRDefault="001F6E0F" w:rsidP="002D41A0">
      <w:pPr>
        <w:pStyle w:val="FootnoteText"/>
      </w:pPr>
      <w:r>
        <w:rPr>
          <w:rStyle w:val="FootnoteReference"/>
        </w:rPr>
        <w:footnoteRef/>
      </w:r>
      <w:r>
        <w:tab/>
        <w:t xml:space="preserve">Uredba Sveta (EU, Euratom) 2020/2093 z dne 17. decembra 2020 o določitvi večletnega finančnega okvira za obdobje 2021–2027 (UL L 433I, 22.12.2020, str. 11). </w:t>
      </w:r>
    </w:p>
  </w:footnote>
  <w:footnote w:id="104">
    <w:p w14:paraId="4E179599" w14:textId="77777777" w:rsidR="001F6E0F" w:rsidRPr="007F562B" w:rsidRDefault="001F6E0F" w:rsidP="003F15C0">
      <w:pPr>
        <w:pStyle w:val="FootnoteText"/>
      </w:pPr>
      <w:r>
        <w:rPr>
          <w:rStyle w:val="FootnoteReference"/>
        </w:rPr>
        <w:footnoteRef/>
      </w:r>
      <w:r>
        <w:tab/>
        <w:t>Uredba (EU) 2021/241 Evropskega parlamenta in Sveta z dne 12. februarja 2021 o vzpostavitvi Mehanizma za okrevanje in odpornost (UL L 57, 18.2.2021, str. 17).</w:t>
      </w:r>
    </w:p>
  </w:footnote>
  <w:footnote w:id="105">
    <w:p w14:paraId="79D2EB31" w14:textId="77777777" w:rsidR="001F6E0F" w:rsidRPr="007F562B" w:rsidRDefault="001F6E0F" w:rsidP="0061410D">
      <w:pPr>
        <w:pStyle w:val="FootnoteText"/>
      </w:pPr>
      <w:r>
        <w:rPr>
          <w:rStyle w:val="FootnoteReference"/>
        </w:rPr>
        <w:footnoteRef/>
      </w:r>
      <w:r>
        <w:tab/>
      </w:r>
      <w:r>
        <w:rPr>
          <w:color w:val="444444"/>
          <w:shd w:val="clear" w:color="auto" w:fill="FFFFFF"/>
        </w:rPr>
        <w:t>Uredba (EU) 2021/523 Evropskega parlamenta in Sveta z dne 24. marca 2021 o vzpostavitvi Programa InvestEU in spremembi Uredbe (EU) 2015/1017 (UL L 107, 26.3.2021, str. 30).</w:t>
      </w:r>
    </w:p>
  </w:footnote>
  <w:footnote w:id="106">
    <w:p w14:paraId="2B95A41F" w14:textId="77777777" w:rsidR="001F6E0F" w:rsidRPr="007F562B" w:rsidRDefault="001F6E0F" w:rsidP="008856A7">
      <w:pPr>
        <w:pStyle w:val="FootnoteText"/>
      </w:pPr>
      <w:r>
        <w:rPr>
          <w:rStyle w:val="FootnoteReference"/>
        </w:rPr>
        <w:footnoteRef/>
      </w:r>
      <w:r>
        <w:tab/>
        <w:t>Sporočilo Komisije Evropskemu parlamentu in Svetu, Trajnostni ogljikovi krogi (COM(2021) 800 final).</w:t>
      </w:r>
    </w:p>
  </w:footnote>
  <w:footnote w:id="107">
    <w:p w14:paraId="26C613B4" w14:textId="77777777" w:rsidR="001F6E0F" w:rsidRPr="00583C7A" w:rsidRDefault="001F6E0F" w:rsidP="00565D4A">
      <w:pPr>
        <w:pStyle w:val="FootnoteText"/>
      </w:pPr>
      <w:r>
        <w:rPr>
          <w:rStyle w:val="FootnoteReference"/>
        </w:rPr>
        <w:footnoteRef/>
      </w:r>
      <w:r>
        <w:tab/>
        <w:t>Uredba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w:t>
      </w:r>
    </w:p>
  </w:footnote>
  <w:footnote w:id="108">
    <w:p w14:paraId="17EE9D16" w14:textId="77777777" w:rsidR="001F6E0F" w:rsidRPr="000E1493" w:rsidRDefault="001F6E0F">
      <w:pPr>
        <w:pStyle w:val="FootnoteText"/>
      </w:pPr>
      <w:r>
        <w:rPr>
          <w:rStyle w:val="FootnoteReference"/>
        </w:rPr>
        <w:footnoteRef/>
      </w:r>
      <w:r>
        <w:tab/>
        <w:t xml:space="preserve">[Sklic se vstavi, ko bo objavljen osmi okoljski akcijski program]. </w:t>
      </w:r>
    </w:p>
  </w:footnote>
  <w:footnote w:id="109">
    <w:p w14:paraId="380D0D6A" w14:textId="77777777" w:rsidR="001F6E0F" w:rsidRPr="005F1256" w:rsidRDefault="001F6E0F" w:rsidP="00A579E0">
      <w:pPr>
        <w:pStyle w:val="FootnoteText"/>
      </w:pPr>
      <w:r>
        <w:rPr>
          <w:rStyle w:val="FootnoteReference"/>
        </w:rPr>
        <w:footnoteRef/>
      </w:r>
      <w:r>
        <w:tab/>
        <w:t>Uredba (EU) št. 182/2011 Evropskega parlamenta in Sveta z dne 16. februarja 2011 o določitvi splošnih pravil in načel, na podlagi katerih države članice nadzirajo izvajanje izvedbenih pooblastil Komisije (UL L 55, 28.2.2011, str. 13).</w:t>
      </w:r>
    </w:p>
  </w:footnote>
  <w:footnote w:id="110">
    <w:p w14:paraId="67C86CBA" w14:textId="77777777" w:rsidR="001F6E0F" w:rsidRPr="00032C27" w:rsidRDefault="001F6E0F" w:rsidP="009E21CA">
      <w:pPr>
        <w:pStyle w:val="FootnoteText"/>
        <w:ind w:left="0" w:firstLine="0"/>
      </w:pPr>
      <w:r>
        <w:rPr>
          <w:rStyle w:val="FootnoteReference"/>
        </w:rPr>
        <w:footnoteRef/>
      </w:r>
      <w:r>
        <w:tab/>
      </w:r>
      <w:r>
        <w:rPr>
          <w:color w:val="000000"/>
          <w:shd w:val="clear" w:color="auto" w:fill="FFFFFF"/>
        </w:rPr>
        <w:t xml:space="preserve">Uredba (ES) št. 1059/2003 Evropskega parlamenta in Sveta z dne 26. maja 2003 o </w:t>
      </w:r>
      <w:r>
        <w:tab/>
      </w:r>
      <w:r>
        <w:rPr>
          <w:shd w:val="clear" w:color="auto" w:fill="FFFFFF"/>
        </w:rPr>
        <w:t>oblikovanju skupne klasifikacije statističnih teritorialnih enot (NUTS) (</w:t>
      </w:r>
      <w:r>
        <w:rPr>
          <w:rStyle w:val="Emphasis"/>
          <w:i w:val="0"/>
          <w:color w:val="444444"/>
          <w:sz w:val="21"/>
          <w:shd w:val="clear" w:color="auto" w:fill="FFFFFF"/>
        </w:rPr>
        <w:t xml:space="preserve">UL L 154, </w:t>
      </w:r>
      <w:r>
        <w:tab/>
      </w:r>
      <w:r>
        <w:rPr>
          <w:rStyle w:val="Emphasis"/>
          <w:i w:val="0"/>
          <w:color w:val="444444"/>
          <w:sz w:val="21"/>
          <w:shd w:val="clear" w:color="auto" w:fill="FFFFFF"/>
        </w:rPr>
        <w:t>21.6.2003, str. 1).</w:t>
      </w:r>
    </w:p>
  </w:footnote>
  <w:footnote w:id="111">
    <w:p w14:paraId="0F0017E1" w14:textId="77777777" w:rsidR="001F6E0F" w:rsidRPr="001C09A2" w:rsidRDefault="001F6E0F" w:rsidP="001C09A2">
      <w:pPr>
        <w:pStyle w:val="FootnoteText"/>
      </w:pPr>
      <w:r>
        <w:rPr>
          <w:rStyle w:val="FootnoteReference"/>
        </w:rPr>
        <w:footnoteRef/>
      </w:r>
      <w:r>
        <w:tab/>
        <w:t>Uredba (EU) 2021/696 Evropskega parlamenta in Sveta z dne 28. aprila 2021 o vzpostavitvi Vesoljskega programa Unije in ustanovitvi Agencije Evropske unije za vesoljski program ter razveljavitvi uredb (EU) št. 912/2010, (EU) št. 1285/2013 in (EU) št. 377/2014 in Sklepa št. 541/2014/EU (UL L 170, 12.5.2021, str. 69).</w:t>
      </w:r>
      <w:r>
        <w:rPr>
          <w:color w:val="444444"/>
        </w:rPr>
        <w:t xml:space="preserve"> </w:t>
      </w:r>
    </w:p>
  </w:footnote>
  <w:footnote w:id="112">
    <w:p w14:paraId="11A0D354" w14:textId="77777777" w:rsidR="001F6E0F" w:rsidRPr="00885C89" w:rsidRDefault="001F6E0F" w:rsidP="00EF4EC2">
      <w:pPr>
        <w:pStyle w:val="Point0number"/>
        <w:numPr>
          <w:ilvl w:val="0"/>
          <w:numId w:val="0"/>
        </w:numPr>
        <w:ind w:left="709" w:hanging="709"/>
      </w:pPr>
      <w:r>
        <w:rPr>
          <w:rStyle w:val="FootnoteReference"/>
        </w:rPr>
        <w:footnoteRef/>
      </w:r>
      <w:r>
        <w:tab/>
        <w:t xml:space="preserve">Predlog direktive Evropskega parlamenta in Sveta o spremembi Direktive (EU) 2018/2001 o spodbujanju uporabe energije iz obnovljivih virov, Direktive 2010/31/EU o energetski učinkovitosti stavb in Direktive 2012/27/EU o energetski učinkovitosti (COM(2022) 222 final). </w:t>
      </w:r>
    </w:p>
    <w:p w14:paraId="61D80705" w14:textId="77777777" w:rsidR="001F6E0F" w:rsidRPr="00626D88" w:rsidRDefault="001F6E0F" w:rsidP="00E51EFA">
      <w:pPr>
        <w:pStyle w:val="FootnoteText"/>
      </w:pPr>
    </w:p>
  </w:footnote>
  <w:footnote w:id="113">
    <w:p w14:paraId="37922BED" w14:textId="77777777" w:rsidR="001F6E0F" w:rsidRPr="00227400" w:rsidRDefault="001F6E0F" w:rsidP="00FA5692">
      <w:pPr>
        <w:pStyle w:val="FootnoteText"/>
        <w:rPr>
          <w:rFonts w:ascii="Roboto" w:hAnsi="Roboto"/>
          <w:color w:val="444444"/>
        </w:rPr>
      </w:pPr>
      <w:r>
        <w:rPr>
          <w:rStyle w:val="FootnoteReference"/>
        </w:rPr>
        <w:footnoteRef/>
      </w:r>
      <w:r>
        <w:tab/>
        <w:t>Direktiva 2007/2/ES Evropskega parlamenta in Sveta z dne 14. marca 2007 o vzpostavitvi infrastrukture za prostorske informacije v Evropski skupnosti (INSPIRE) (UL L 108, 25.4.2007, str. 1).</w:t>
      </w:r>
    </w:p>
  </w:footnote>
  <w:footnote w:id="114">
    <w:p w14:paraId="7DABE628" w14:textId="77777777" w:rsidR="001F6E0F" w:rsidRPr="00731465" w:rsidRDefault="001F6E0F" w:rsidP="00171635">
      <w:pPr>
        <w:pStyle w:val="FootnoteText"/>
      </w:pPr>
      <w:r>
        <w:rPr>
          <w:rStyle w:val="FootnoteReference"/>
        </w:rPr>
        <w:footnoteRef/>
      </w:r>
      <w:r>
        <w:tab/>
        <w:t>Medinstitucionalni sporazum med Evropskim parlamentom, Svetom Evropske unije in Evropsko komisijo o boljši pripravi zakonodaje (UL L 123, 12.5.2016, str. 1).</w:t>
      </w:r>
    </w:p>
    <w:p w14:paraId="46A97C2D" w14:textId="77777777" w:rsidR="001F6E0F" w:rsidRPr="00B16B21" w:rsidRDefault="001F6E0F">
      <w:pPr>
        <w:pStyle w:val="FootnoteText"/>
      </w:pPr>
    </w:p>
  </w:footnote>
  <w:footnote w:id="115">
    <w:p w14:paraId="6F0D96B2" w14:textId="77777777" w:rsidR="001F6E0F" w:rsidRDefault="001F6E0F" w:rsidP="00BE0A2F">
      <w:pPr>
        <w:pStyle w:val="FootnoteText"/>
        <w:rPr>
          <w:szCs w:val="24"/>
        </w:rPr>
      </w:pPr>
      <w:r>
        <w:rPr>
          <w:rStyle w:val="FootnoteReference"/>
        </w:rPr>
        <w:footnoteRef/>
      </w:r>
      <w:r>
        <w:tab/>
        <w:t>Po členu 58(2)(a) oz. (b) finančne uredbe.</w:t>
      </w:r>
    </w:p>
  </w:footnote>
  <w:footnote w:id="116">
    <w:p w14:paraId="775B2E63" w14:textId="77777777" w:rsidR="001F6E0F" w:rsidRDefault="001F6E0F" w:rsidP="00BE0A2F">
      <w:pPr>
        <w:pStyle w:val="FootnoteText"/>
      </w:pPr>
      <w:r>
        <w:rPr>
          <w:rStyle w:val="FootnoteReference"/>
        </w:rPr>
        <w:footnoteRef/>
      </w:r>
      <w:r>
        <w:tab/>
        <w:t>Odvisno od tega, kdaj bo uredba začela veljati, kar pa je odvisno od datuma sprejetja.</w:t>
      </w:r>
    </w:p>
  </w:footnote>
  <w:footnote w:id="117">
    <w:p w14:paraId="000F7265" w14:textId="77777777" w:rsidR="001F6E0F" w:rsidRDefault="001F6E0F" w:rsidP="00BE0A2F">
      <w:pPr>
        <w:pStyle w:val="FootnoteText"/>
        <w:jc w:val="left"/>
        <w:rPr>
          <w:szCs w:val="24"/>
        </w:rPr>
      </w:pPr>
      <w:r>
        <w:rPr>
          <w:rStyle w:val="FootnoteReference"/>
        </w:rPr>
        <w:footnoteRef/>
      </w:r>
      <w:r>
        <w:tab/>
        <w:t xml:space="preserve">Pojasnila o načinih upravljanja in sklici na finančno uredbo so na voljo na spletišču BudgWeb: </w:t>
      </w:r>
      <w:hyperlink r:id="rId34" w:history="1">
        <w:r>
          <w:rPr>
            <w:rStyle w:val="Hyperlink"/>
          </w:rPr>
          <w:t>https://myintracomm.ec.europa.eu/budgweb/EN/man/budgmanag/Pages/budgmanag.aspx</w:t>
        </w:r>
      </w:hyperlink>
      <w:r>
        <w:t xml:space="preserve">. </w:t>
      </w:r>
    </w:p>
  </w:footnote>
  <w:footnote w:id="118">
    <w:p w14:paraId="6BA44BDB" w14:textId="77777777" w:rsidR="001F6E0F" w:rsidRDefault="001F6E0F" w:rsidP="00BE0A2F">
      <w:pPr>
        <w:pStyle w:val="FootnoteText"/>
        <w:rPr>
          <w:szCs w:val="24"/>
        </w:rPr>
      </w:pPr>
      <w:r>
        <w:rPr>
          <w:rStyle w:val="FootnoteReference"/>
        </w:rPr>
        <w:footnoteRef/>
      </w:r>
      <w:r>
        <w:tab/>
        <w:t>Dif. = diferencirana sredstva / nedif. = nediferencirana sredstva.</w:t>
      </w:r>
    </w:p>
  </w:footnote>
  <w:footnote w:id="119">
    <w:p w14:paraId="18FEEF1F" w14:textId="77777777" w:rsidR="001F6E0F" w:rsidRDefault="001F6E0F" w:rsidP="00BE0A2F">
      <w:pPr>
        <w:pStyle w:val="FootnoteText"/>
        <w:rPr>
          <w:szCs w:val="24"/>
        </w:rPr>
      </w:pPr>
      <w:r>
        <w:rPr>
          <w:rStyle w:val="FootnoteReference"/>
        </w:rPr>
        <w:footnoteRef/>
      </w:r>
      <w:r>
        <w:tab/>
        <w:t xml:space="preserve">Efta: Evropsko združenje za prosto trgovino. </w:t>
      </w:r>
    </w:p>
  </w:footnote>
  <w:footnote w:id="120">
    <w:p w14:paraId="0728425F" w14:textId="77777777" w:rsidR="001F6E0F" w:rsidRDefault="001F6E0F" w:rsidP="00BE0A2F">
      <w:pPr>
        <w:pStyle w:val="FootnoteText"/>
        <w:rPr>
          <w:szCs w:val="24"/>
        </w:rPr>
      </w:pPr>
      <w:r>
        <w:rPr>
          <w:rStyle w:val="FootnoteReference"/>
        </w:rPr>
        <w:footnoteRef/>
      </w:r>
      <w:r>
        <w:tab/>
        <w:t>Države kandidatke in po potrebi potencialne kandidatke z Zahodnega Balkana.</w:t>
      </w:r>
    </w:p>
  </w:footnote>
  <w:footnote w:id="121">
    <w:p w14:paraId="2E86DC47" w14:textId="77777777" w:rsidR="001F6E0F" w:rsidRDefault="001F6E0F" w:rsidP="00BE0A2F">
      <w:pPr>
        <w:pStyle w:val="FootnoteText"/>
        <w:rPr>
          <w:szCs w:val="24"/>
        </w:rPr>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122">
    <w:p w14:paraId="06BD5841" w14:textId="77777777" w:rsidR="001F6E0F" w:rsidRDefault="001F6E0F" w:rsidP="00BE0A2F">
      <w:pPr>
        <w:pStyle w:val="FootnoteText"/>
        <w:ind w:left="142" w:hanging="142"/>
      </w:pPr>
      <w:r>
        <w:rPr>
          <w:rStyle w:val="FootnoteReference"/>
        </w:rPr>
        <w:footnoteRef/>
      </w:r>
      <w:r>
        <w:tab/>
        <w:t>Potrebe po odobritvah za upravne zadeve se krijejo z odobritvami, ki so že dodeljene za upravljanje ukrepa in/ali so bile prerazporejene, po potrebi skupaj z dodatnimi viri, ki se lahko pristojnemu GD dodelijo v postopku letne dodelitve virov glede na obstoječe proračunske omejitve.</w:t>
      </w:r>
    </w:p>
  </w:footnote>
  <w:footnote w:id="123">
    <w:p w14:paraId="28EF5B87" w14:textId="77777777" w:rsidR="001F6E0F" w:rsidRDefault="001F6E0F" w:rsidP="00BE0A2F">
      <w:pPr>
        <w:pStyle w:val="FootnoteText"/>
        <w:rPr>
          <w:szCs w:val="24"/>
        </w:rPr>
      </w:pPr>
      <w:r>
        <w:rPr>
          <w:rStyle w:val="FootnoteReference"/>
        </w:rPr>
        <w:footnoteRef/>
      </w:r>
      <w:r>
        <w:tab/>
        <w:t>Realizacije so dobavljeni proizvodi in opravljene storitve (npr. število financiranih izmenjav študentov, število kilometrov novozgrajenih cest …).</w:t>
      </w:r>
    </w:p>
  </w:footnote>
  <w:footnote w:id="124">
    <w:p w14:paraId="01972070" w14:textId="77777777" w:rsidR="001F6E0F" w:rsidRDefault="001F6E0F" w:rsidP="00BE0A2F">
      <w:pPr>
        <w:pStyle w:val="FootnoteText"/>
        <w:rPr>
          <w:szCs w:val="24"/>
        </w:rPr>
      </w:pPr>
      <w:r>
        <w:rPr>
          <w:rStyle w:val="FootnoteReference"/>
        </w:rPr>
        <w:footnoteRef/>
      </w:r>
      <w:r>
        <w:tab/>
        <w:t xml:space="preserve">Kakor je opisan v točki 1.4.2 „Specifični cilji …“. </w:t>
      </w:r>
    </w:p>
  </w:footnote>
  <w:footnote w:id="125">
    <w:p w14:paraId="1DC42CBA" w14:textId="77777777" w:rsidR="001F6E0F" w:rsidRDefault="001F6E0F" w:rsidP="00BE0A2F">
      <w:pPr>
        <w:pStyle w:val="FootnoteText"/>
        <w:rPr>
          <w:szCs w:val="24"/>
        </w:rPr>
      </w:pPr>
      <w:r>
        <w:rPr>
          <w:rStyle w:val="FootnoteReference"/>
        </w:rPr>
        <w:footnoteRef/>
      </w:r>
      <w:r>
        <w:tab/>
        <w:t xml:space="preserve">PU = pogodbeni uslužbenec; LU = lokalni uslužbenec; NNS = napoteni nacionalni strokovnjak; ZU = začasni uslužbenec; MSD = mladi strokovnjak na delegaciji. </w:t>
      </w:r>
    </w:p>
  </w:footnote>
  <w:footnote w:id="126">
    <w:p w14:paraId="09F48C5A" w14:textId="77777777" w:rsidR="001F6E0F" w:rsidRDefault="001F6E0F" w:rsidP="00BE0A2F">
      <w:pPr>
        <w:pStyle w:val="FootnoteText"/>
        <w:rPr>
          <w:szCs w:val="24"/>
        </w:rPr>
      </w:pPr>
      <w:r>
        <w:rPr>
          <w:rStyle w:val="FootnoteReference"/>
        </w:rPr>
        <w:footnoteRef/>
      </w:r>
      <w:r>
        <w:tab/>
        <w:t>Dodatna zgornja meja za zunanje sodelavce v okviru odobritev za poslovanje (prej vrstice BA).</w:t>
      </w:r>
    </w:p>
  </w:footnote>
  <w:footnote w:id="127">
    <w:p w14:paraId="05B92131" w14:textId="77777777" w:rsidR="001F6E0F" w:rsidRDefault="001F6E0F" w:rsidP="00BE0A2F">
      <w:pPr>
        <w:pStyle w:val="FootnoteText"/>
      </w:pPr>
      <w:r>
        <w:rPr>
          <w:rStyle w:val="FootnoteReference"/>
        </w:rPr>
        <w:footnoteRef/>
      </w:r>
      <w:r>
        <w:tab/>
        <w:t>Leto N je leto začetka izvajanja predloga/pobude. Nadomestite „N“ s pričakovanim prvim letom izvajanja (na primer: 2021). Naredite isto za naslednja leta.</w:t>
      </w:r>
    </w:p>
  </w:footnote>
  <w:footnote w:id="128">
    <w:p w14:paraId="2A3B1162" w14:textId="77777777" w:rsidR="001F6E0F" w:rsidRDefault="001F6E0F" w:rsidP="00BE0A2F">
      <w:pPr>
        <w:pStyle w:val="FootnoteText"/>
        <w:rPr>
          <w:szCs w:val="24"/>
        </w:rPr>
      </w:pPr>
      <w:r>
        <w:rPr>
          <w:rStyle w:val="FootnoteReference"/>
        </w:rPr>
        <w:footnoteRef/>
      </w:r>
      <w:r>
        <w:tab/>
        <w:t>Pri tradicionalnih lastnih sredstvih (carine, prelevmani na sladkor) se navedejo neto zneski, tj. bruto zneski po odbitku 20 % stroškov pobiranja.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DEDD" w14:textId="77777777" w:rsidR="00D77511" w:rsidRPr="00D77511" w:rsidRDefault="00D77511" w:rsidP="00D7751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F738" w14:textId="77777777" w:rsidR="00D77511" w:rsidRPr="00D77511" w:rsidRDefault="00D77511" w:rsidP="00D7751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D97C" w14:textId="77777777" w:rsidR="00652A97" w:rsidRPr="00652A97" w:rsidRDefault="00652A97" w:rsidP="00D77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A2CB" w14:textId="77777777" w:rsidR="00D77511" w:rsidRPr="00D77511" w:rsidRDefault="00D77511" w:rsidP="00D775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3245" w14:textId="77777777" w:rsidR="00D77511" w:rsidRPr="00652A97" w:rsidRDefault="00D77511" w:rsidP="00D77511">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20F78" w14:textId="77777777" w:rsidR="00D77511" w:rsidRPr="00D77511" w:rsidRDefault="00D77511" w:rsidP="00D77511">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5600" w14:textId="77777777" w:rsidR="00D77511" w:rsidRPr="00652A97" w:rsidRDefault="00D77511" w:rsidP="00D775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07F3" w14:textId="77777777" w:rsidR="00D77511" w:rsidRPr="00D77511" w:rsidRDefault="00D77511" w:rsidP="00D77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AF42013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78749BC"/>
    <w:multiLevelType w:val="hybridMultilevel"/>
    <w:tmpl w:val="5B9A90D0"/>
    <w:lvl w:ilvl="0" w:tplc="074670F6">
      <w:start w:val="1"/>
      <w:numFmt w:val="decimal"/>
      <w:pStyle w:val="Revis"/>
      <w:lvlText w:val="%1."/>
      <w:lvlJc w:val="left"/>
      <w:pPr>
        <w:ind w:left="6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AD447FE6">
      <w:start w:val="1"/>
      <w:numFmt w:val="low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994F56"/>
    <w:multiLevelType w:val="hybridMultilevel"/>
    <w:tmpl w:val="D5DAB6CC"/>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0E5955"/>
    <w:multiLevelType w:val="hybridMultilevel"/>
    <w:tmpl w:val="C62042A2"/>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F9969EA0"/>
    <w:lvl w:ilvl="0">
      <w:start w:val="1"/>
      <w:numFmt w:val="decimal"/>
      <w:pStyle w:val="ListNumber3"/>
      <w:lvlText w:val="(%1)"/>
      <w:lvlJc w:val="left"/>
      <w:pPr>
        <w:tabs>
          <w:tab w:val="num" w:pos="1560"/>
        </w:tabs>
        <w:ind w:left="1560" w:hanging="709"/>
      </w:pPr>
      <w:rPr>
        <w:rFonts w:cs="Times New Roman" w:hint="default"/>
      </w:rPr>
    </w:lvl>
    <w:lvl w:ilvl="1">
      <w:start w:val="1"/>
      <w:numFmt w:val="lowerLetter"/>
      <w:pStyle w:val="ListNumber3Level2"/>
      <w:lvlText w:val="(%2)"/>
      <w:lvlJc w:val="left"/>
      <w:pPr>
        <w:tabs>
          <w:tab w:val="num" w:pos="2268"/>
        </w:tabs>
        <w:ind w:left="2268" w:hanging="708"/>
      </w:pPr>
      <w:rPr>
        <w:rFonts w:cs="Times New Roman" w:hint="default"/>
      </w:rPr>
    </w:lvl>
    <w:lvl w:ilvl="2">
      <w:start w:val="1"/>
      <w:numFmt w:val="bullet"/>
      <w:pStyle w:val="ListNumber3Level3"/>
      <w:lvlText w:val="–"/>
      <w:lvlJc w:val="left"/>
      <w:pPr>
        <w:tabs>
          <w:tab w:val="num" w:pos="2977"/>
        </w:tabs>
        <w:ind w:left="2977" w:hanging="709"/>
      </w:pPr>
      <w:rPr>
        <w:rFonts w:ascii="Times New Roman" w:hAnsi="Times New Roman" w:hint="default"/>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1174FB0A"/>
    <w:name w:val="List Dash 4"/>
    <w:lvl w:ilvl="0">
      <w:start w:val="1"/>
      <w:numFmt w:val="decimal"/>
      <w:pStyle w:val="ListNumber2"/>
      <w:lvlText w:val="(%1)"/>
      <w:lvlJc w:val="left"/>
      <w:pPr>
        <w:tabs>
          <w:tab w:val="num" w:pos="1560"/>
        </w:tabs>
        <w:ind w:left="1560" w:hanging="709"/>
      </w:pPr>
      <w:rPr>
        <w:rFonts w:cs="Times New Roman" w:hint="default"/>
      </w:rPr>
    </w:lvl>
    <w:lvl w:ilvl="1">
      <w:start w:val="1"/>
      <w:numFmt w:val="lowerLetter"/>
      <w:pStyle w:val="ListNumber2Level2"/>
      <w:lvlText w:val="(%2)"/>
      <w:lvlJc w:val="left"/>
      <w:pPr>
        <w:tabs>
          <w:tab w:val="num" w:pos="2268"/>
        </w:tabs>
        <w:ind w:left="2268" w:hanging="708"/>
      </w:pPr>
      <w:rPr>
        <w:rFonts w:cs="Times New Roman" w:hint="default"/>
      </w:rPr>
    </w:lvl>
    <w:lvl w:ilvl="2">
      <w:start w:val="1"/>
      <w:numFmt w:val="bullet"/>
      <w:pStyle w:val="ListNumber2Level3"/>
      <w:lvlText w:val="–"/>
      <w:lvlJc w:val="left"/>
      <w:pPr>
        <w:tabs>
          <w:tab w:val="num" w:pos="2977"/>
        </w:tabs>
        <w:ind w:left="2977" w:hanging="709"/>
      </w:pPr>
      <w:rPr>
        <w:rFonts w:ascii="Times New Roman" w:hAnsi="Times New Roman" w:hint="default"/>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CE88B178"/>
    <w:name w:val="List Dash 1"/>
    <w:lvl w:ilvl="0">
      <w:start w:val="1"/>
      <w:numFmt w:val="bullet"/>
      <w:lvlRestart w:val="0"/>
      <w:pStyle w:val="ListDash1"/>
      <w:lvlText w:val="–"/>
      <w:lvlJc w:val="left"/>
      <w:pPr>
        <w:tabs>
          <w:tab w:val="num" w:pos="1133"/>
        </w:tabs>
        <w:ind w:left="1133" w:hanging="283"/>
      </w:pPr>
      <w:rPr>
        <w:rFonts w:ascii="Times New Roman" w:hAnsi="Times New Roman" w:cs="Times New Roman"/>
      </w:rPr>
    </w:lvl>
  </w:abstractNum>
  <w:abstractNum w:abstractNumId="20" w15:restartNumberingAfterBreak="0">
    <w:nsid w:val="542A1204"/>
    <w:multiLevelType w:val="multilevel"/>
    <w:tmpl w:val="6F9C0EEC"/>
    <w:lvl w:ilvl="0">
      <w:start w:val="1"/>
      <w:numFmt w:val="decimal"/>
      <w:pStyle w:val="ListNumber4"/>
      <w:lvlText w:val="(%1)"/>
      <w:lvlJc w:val="left"/>
      <w:pPr>
        <w:tabs>
          <w:tab w:val="num" w:pos="1560"/>
        </w:tabs>
        <w:ind w:left="1560" w:hanging="709"/>
      </w:pPr>
      <w:rPr>
        <w:rFonts w:cs="Times New Roman" w:hint="default"/>
      </w:rPr>
    </w:lvl>
    <w:lvl w:ilvl="1">
      <w:start w:val="1"/>
      <w:numFmt w:val="lowerRoman"/>
      <w:pStyle w:val="ListNumber4Level2"/>
      <w:lvlText w:val="(%2)"/>
      <w:lvlJc w:val="left"/>
      <w:pPr>
        <w:tabs>
          <w:tab w:val="num" w:pos="2268"/>
        </w:tabs>
        <w:ind w:left="2268" w:hanging="708"/>
      </w:pPr>
      <w:rPr>
        <w:rFonts w:ascii="Times New Roman" w:eastAsia="Times New Roman" w:hAnsi="Times New Roman" w:cs="Times New Roman"/>
      </w:rPr>
    </w:lvl>
    <w:lvl w:ilvl="2">
      <w:start w:val="1"/>
      <w:numFmt w:val="bullet"/>
      <w:pStyle w:val="ListNumber4Level3"/>
      <w:lvlText w:val="–"/>
      <w:lvlJc w:val="left"/>
      <w:pPr>
        <w:tabs>
          <w:tab w:val="num" w:pos="2977"/>
        </w:tabs>
        <w:ind w:left="2977" w:hanging="709"/>
      </w:pPr>
      <w:rPr>
        <w:rFonts w:ascii="Times New Roman" w:hAnsi="Times New Roman" w:hint="default"/>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9031C16"/>
    <w:multiLevelType w:val="hybridMultilevel"/>
    <w:tmpl w:val="3B36D5DE"/>
    <w:lvl w:ilvl="0" w:tplc="D138D2D2">
      <w:start w:val="1"/>
      <w:numFmt w:val="decimal"/>
      <w:lvlText w:val="%1."/>
      <w:lvlJc w:val="left"/>
      <w:pPr>
        <w:tabs>
          <w:tab w:val="num" w:pos="720"/>
        </w:tabs>
        <w:ind w:left="720" w:hanging="360"/>
      </w:pPr>
      <w:rPr>
        <w:rFonts w:cs="Times New Roman"/>
      </w:rPr>
    </w:lvl>
    <w:lvl w:ilvl="1" w:tplc="63FC49FE" w:tentative="1">
      <w:start w:val="1"/>
      <w:numFmt w:val="lowerLetter"/>
      <w:lvlText w:val="%2."/>
      <w:lvlJc w:val="left"/>
      <w:pPr>
        <w:tabs>
          <w:tab w:val="num" w:pos="1440"/>
        </w:tabs>
        <w:ind w:left="1440" w:hanging="360"/>
      </w:pPr>
      <w:rPr>
        <w:rFonts w:cs="Times New Roman"/>
      </w:rPr>
    </w:lvl>
    <w:lvl w:ilvl="2" w:tplc="00BC669E" w:tentative="1">
      <w:start w:val="1"/>
      <w:numFmt w:val="lowerRoman"/>
      <w:lvlText w:val="%3."/>
      <w:lvlJc w:val="right"/>
      <w:pPr>
        <w:tabs>
          <w:tab w:val="num" w:pos="2160"/>
        </w:tabs>
        <w:ind w:left="2160" w:hanging="180"/>
      </w:pPr>
      <w:rPr>
        <w:rFonts w:cs="Times New Roman"/>
      </w:rPr>
    </w:lvl>
    <w:lvl w:ilvl="3" w:tplc="4F164F92" w:tentative="1">
      <w:start w:val="1"/>
      <w:numFmt w:val="decimal"/>
      <w:lvlText w:val="%4."/>
      <w:lvlJc w:val="left"/>
      <w:pPr>
        <w:tabs>
          <w:tab w:val="num" w:pos="2880"/>
        </w:tabs>
        <w:ind w:left="2880" w:hanging="360"/>
      </w:pPr>
      <w:rPr>
        <w:rFonts w:cs="Times New Roman"/>
      </w:rPr>
    </w:lvl>
    <w:lvl w:ilvl="4" w:tplc="E6F26370" w:tentative="1">
      <w:start w:val="1"/>
      <w:numFmt w:val="lowerLetter"/>
      <w:lvlText w:val="%5."/>
      <w:lvlJc w:val="left"/>
      <w:pPr>
        <w:tabs>
          <w:tab w:val="num" w:pos="3600"/>
        </w:tabs>
        <w:ind w:left="3600" w:hanging="360"/>
      </w:pPr>
      <w:rPr>
        <w:rFonts w:cs="Times New Roman"/>
      </w:rPr>
    </w:lvl>
    <w:lvl w:ilvl="5" w:tplc="20DE3B18" w:tentative="1">
      <w:start w:val="1"/>
      <w:numFmt w:val="lowerRoman"/>
      <w:lvlText w:val="%6."/>
      <w:lvlJc w:val="right"/>
      <w:pPr>
        <w:tabs>
          <w:tab w:val="num" w:pos="4320"/>
        </w:tabs>
        <w:ind w:left="4320" w:hanging="180"/>
      </w:pPr>
      <w:rPr>
        <w:rFonts w:cs="Times New Roman"/>
      </w:rPr>
    </w:lvl>
    <w:lvl w:ilvl="6" w:tplc="50C62708" w:tentative="1">
      <w:start w:val="1"/>
      <w:numFmt w:val="decimal"/>
      <w:lvlText w:val="%7."/>
      <w:lvlJc w:val="left"/>
      <w:pPr>
        <w:tabs>
          <w:tab w:val="num" w:pos="5040"/>
        </w:tabs>
        <w:ind w:left="5040" w:hanging="360"/>
      </w:pPr>
      <w:rPr>
        <w:rFonts w:cs="Times New Roman"/>
      </w:rPr>
    </w:lvl>
    <w:lvl w:ilvl="7" w:tplc="B3241FA0" w:tentative="1">
      <w:start w:val="1"/>
      <w:numFmt w:val="lowerLetter"/>
      <w:lvlText w:val="%8."/>
      <w:lvlJc w:val="left"/>
      <w:pPr>
        <w:tabs>
          <w:tab w:val="num" w:pos="5760"/>
        </w:tabs>
        <w:ind w:left="5760" w:hanging="360"/>
      </w:pPr>
      <w:rPr>
        <w:rFonts w:cs="Times New Roman"/>
      </w:rPr>
    </w:lvl>
    <w:lvl w:ilvl="8" w:tplc="A8E4A074"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5B44EC"/>
    <w:multiLevelType w:val="hybridMultilevel"/>
    <w:tmpl w:val="4238C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71F06166"/>
    <w:multiLevelType w:val="multilevel"/>
    <w:tmpl w:val="DC1A7A22"/>
    <w:name w:val="0.6719891"/>
    <w:lvl w:ilvl="0">
      <w:start w:val="1"/>
      <w:numFmt w:val="decimal"/>
      <w:lvlRestart w:val="0"/>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rPr>
        <w:rFonts w:ascii="Times New Roman" w:hAnsi="Times New Roman" w:cs="Times New Roman" w:hint="default"/>
      </w:r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3"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3"/>
  </w:num>
  <w:num w:numId="3">
    <w:abstractNumId w:val="10"/>
  </w:num>
  <w:num w:numId="4">
    <w:abstractNumId w:val="19"/>
  </w:num>
  <w:num w:numId="5">
    <w:abstractNumId w:val="18"/>
  </w:num>
  <w:num w:numId="6">
    <w:abstractNumId w:val="31"/>
  </w:num>
  <w:num w:numId="7">
    <w:abstractNumId w:val="28"/>
  </w:num>
  <w:num w:numId="8">
    <w:abstractNumId w:val="32"/>
  </w:num>
  <w:num w:numId="9">
    <w:abstractNumId w:val="33"/>
  </w:num>
  <w:num w:numId="10">
    <w:abstractNumId w:val="1"/>
  </w:num>
  <w:num w:numId="11">
    <w:abstractNumId w:val="12"/>
  </w:num>
  <w:num w:numId="12">
    <w:abstractNumId w:val="2"/>
  </w:num>
  <w:num w:numId="13">
    <w:abstractNumId w:val="13"/>
  </w:num>
  <w:num w:numId="14">
    <w:abstractNumId w:val="11"/>
  </w:num>
  <w:num w:numId="15">
    <w:abstractNumId w:val="20"/>
  </w:num>
  <w:num w:numId="16">
    <w:abstractNumId w:val="3"/>
  </w:num>
  <w:num w:numId="17">
    <w:abstractNumId w:val="22"/>
  </w:num>
  <w:num w:numId="18">
    <w:abstractNumId w:val="6"/>
  </w:num>
  <w:num w:numId="19">
    <w:abstractNumId w:val="7"/>
  </w:num>
  <w:num w:numId="20">
    <w:abstractNumId w:val="27"/>
  </w:num>
  <w:num w:numId="21">
    <w:abstractNumId w:val="26"/>
    <w:lvlOverride w:ilvl="0">
      <w:startOverride w:val="1"/>
    </w:lvlOverride>
  </w:num>
  <w:num w:numId="22">
    <w:abstractNumId w:val="26"/>
  </w:num>
  <w:num w:numId="23">
    <w:abstractNumId w:val="14"/>
  </w:num>
  <w:num w:numId="24">
    <w:abstractNumId w:val="30"/>
  </w:num>
  <w:num w:numId="25">
    <w:abstractNumId w:val="9"/>
  </w:num>
  <w:num w:numId="26">
    <w:abstractNumId w:val="15"/>
  </w:num>
  <w:num w:numId="27">
    <w:abstractNumId w:val="16"/>
  </w:num>
  <w:num w:numId="28">
    <w:abstractNumId w:val="5"/>
  </w:num>
  <w:num w:numId="29">
    <w:abstractNumId w:val="29"/>
  </w:num>
  <w:num w:numId="30">
    <w:abstractNumId w:val="4"/>
  </w:num>
  <w:num w:numId="31">
    <w:abstractNumId w:val="17"/>
  </w:num>
  <w:num w:numId="32">
    <w:abstractNumId w:val="24"/>
  </w:num>
  <w:num w:numId="33">
    <w:abstractNumId w:val="25"/>
  </w:num>
  <w:num w:numId="34">
    <w:abstractNumId w:val="8"/>
  </w:num>
  <w:num w:numId="35">
    <w:abstractNumId w:val="21"/>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da-DK"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a-DK" w:vendorID="64" w:dllVersion="131078" w:nlCheck="1" w:checkStyle="0"/>
  <w:activeWritingStyle w:appName="MSWord" w:lang="it-IT"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27 19:21:02"/>
    <w:docVar w:name="DQCRepairStyles" w:val=";NumPar 1;Considérant;"/>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10E23FA3-4836-4188-82D5-E034380FBCD8"/>
    <w:docVar w:name="LW_COVERPAGE_TYPE" w:val="1"/>
    <w:docVar w:name="LW_CROSSREFERENCE" w:val="{SEC(2022) 256 final} - {SWD(2022) 167 final} - {SWD(2022) 168 final}"/>
    <w:docVar w:name="LW_DocType" w:val="COM"/>
    <w:docVar w:name="LW_EMISSION" w:val="22.6.2022"/>
    <w:docVar w:name="LW_EMISSION_ISODATE" w:val="2022-06-22"/>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195"/>
    <w:docVar w:name="LW_REF.II.NEW.CP_YEAR" w:val="2022"/>
    <w:docVar w:name="LW_REF.INST.NEW" w:val="COM"/>
    <w:docVar w:name="LW_REF.INST.NEW_ADOPTED" w:val="final"/>
    <w:docVar w:name="LW_REF.INST.NEW_TEXT" w:val="(2022)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obnovi narave"/>
    <w:docVar w:name="LW_TYPE.DOC.CP" w:val="UREDBA EVROPSKEGA PARLAMENTA IN SVETA"/>
    <w:docVar w:name="LwApiVersions" w:val="LW4CoDe 1.23.2.0; LW 8.0, Build 20211117"/>
  </w:docVars>
  <w:rsids>
    <w:rsidRoot w:val="00EC044F"/>
    <w:rsid w:val="0000031E"/>
    <w:rsid w:val="000006E9"/>
    <w:rsid w:val="00000CF9"/>
    <w:rsid w:val="00000DD3"/>
    <w:rsid w:val="00001C71"/>
    <w:rsid w:val="00001F2C"/>
    <w:rsid w:val="00002C78"/>
    <w:rsid w:val="00003516"/>
    <w:rsid w:val="00003893"/>
    <w:rsid w:val="00003A2B"/>
    <w:rsid w:val="00004A03"/>
    <w:rsid w:val="000050C6"/>
    <w:rsid w:val="0000524A"/>
    <w:rsid w:val="000055C9"/>
    <w:rsid w:val="00005714"/>
    <w:rsid w:val="000078AE"/>
    <w:rsid w:val="00007BB3"/>
    <w:rsid w:val="0000FA78"/>
    <w:rsid w:val="00010232"/>
    <w:rsid w:val="000107F6"/>
    <w:rsid w:val="00011E12"/>
    <w:rsid w:val="0001259A"/>
    <w:rsid w:val="00012AB1"/>
    <w:rsid w:val="000132D5"/>
    <w:rsid w:val="00013712"/>
    <w:rsid w:val="000142EF"/>
    <w:rsid w:val="0001443F"/>
    <w:rsid w:val="00014EA8"/>
    <w:rsid w:val="000165A0"/>
    <w:rsid w:val="000168C3"/>
    <w:rsid w:val="0001794C"/>
    <w:rsid w:val="00020201"/>
    <w:rsid w:val="00020A82"/>
    <w:rsid w:val="00020AB3"/>
    <w:rsid w:val="00023BC7"/>
    <w:rsid w:val="00024680"/>
    <w:rsid w:val="000252A5"/>
    <w:rsid w:val="00025835"/>
    <w:rsid w:val="00026C7D"/>
    <w:rsid w:val="00027129"/>
    <w:rsid w:val="000279BE"/>
    <w:rsid w:val="00027F6A"/>
    <w:rsid w:val="000301C0"/>
    <w:rsid w:val="000304BB"/>
    <w:rsid w:val="000304FA"/>
    <w:rsid w:val="000308C2"/>
    <w:rsid w:val="00030D0B"/>
    <w:rsid w:val="00030DDD"/>
    <w:rsid w:val="00031CAB"/>
    <w:rsid w:val="0003287F"/>
    <w:rsid w:val="00032C27"/>
    <w:rsid w:val="0003302C"/>
    <w:rsid w:val="000331D0"/>
    <w:rsid w:val="000337FB"/>
    <w:rsid w:val="00033912"/>
    <w:rsid w:val="000342F0"/>
    <w:rsid w:val="00034605"/>
    <w:rsid w:val="00036129"/>
    <w:rsid w:val="00036245"/>
    <w:rsid w:val="00036B51"/>
    <w:rsid w:val="0003776F"/>
    <w:rsid w:val="00037D01"/>
    <w:rsid w:val="00037EBA"/>
    <w:rsid w:val="00041561"/>
    <w:rsid w:val="00041F34"/>
    <w:rsid w:val="00042190"/>
    <w:rsid w:val="00042373"/>
    <w:rsid w:val="0004293C"/>
    <w:rsid w:val="000435A7"/>
    <w:rsid w:val="000437D8"/>
    <w:rsid w:val="00044173"/>
    <w:rsid w:val="00045DCC"/>
    <w:rsid w:val="00046CFD"/>
    <w:rsid w:val="00046E3C"/>
    <w:rsid w:val="000470E9"/>
    <w:rsid w:val="000475F7"/>
    <w:rsid w:val="0005193F"/>
    <w:rsid w:val="00052705"/>
    <w:rsid w:val="00052C4D"/>
    <w:rsid w:val="00053A97"/>
    <w:rsid w:val="00053DED"/>
    <w:rsid w:val="00054154"/>
    <w:rsid w:val="000548D6"/>
    <w:rsid w:val="00054D9C"/>
    <w:rsid w:val="00055BC7"/>
    <w:rsid w:val="00056050"/>
    <w:rsid w:val="00056585"/>
    <w:rsid w:val="00056941"/>
    <w:rsid w:val="000570CE"/>
    <w:rsid w:val="00057C95"/>
    <w:rsid w:val="00060A30"/>
    <w:rsid w:val="00062770"/>
    <w:rsid w:val="00062AF6"/>
    <w:rsid w:val="00062D6F"/>
    <w:rsid w:val="00063A57"/>
    <w:rsid w:val="0006487C"/>
    <w:rsid w:val="000648E4"/>
    <w:rsid w:val="000713EE"/>
    <w:rsid w:val="00071E41"/>
    <w:rsid w:val="0007345A"/>
    <w:rsid w:val="0007356B"/>
    <w:rsid w:val="0007460B"/>
    <w:rsid w:val="0007462E"/>
    <w:rsid w:val="000749FD"/>
    <w:rsid w:val="00075D4D"/>
    <w:rsid w:val="00075E43"/>
    <w:rsid w:val="00076301"/>
    <w:rsid w:val="00076446"/>
    <w:rsid w:val="00080E68"/>
    <w:rsid w:val="000810AB"/>
    <w:rsid w:val="000824C6"/>
    <w:rsid w:val="00082EE7"/>
    <w:rsid w:val="00082F5D"/>
    <w:rsid w:val="0008333B"/>
    <w:rsid w:val="00084450"/>
    <w:rsid w:val="00084501"/>
    <w:rsid w:val="000847C3"/>
    <w:rsid w:val="00084FAB"/>
    <w:rsid w:val="000850C6"/>
    <w:rsid w:val="0008598F"/>
    <w:rsid w:val="00085F2A"/>
    <w:rsid w:val="000869EC"/>
    <w:rsid w:val="0009048A"/>
    <w:rsid w:val="00093319"/>
    <w:rsid w:val="0009383B"/>
    <w:rsid w:val="000939CE"/>
    <w:rsid w:val="00093F47"/>
    <w:rsid w:val="00094BDF"/>
    <w:rsid w:val="00095189"/>
    <w:rsid w:val="00095D3F"/>
    <w:rsid w:val="000964CB"/>
    <w:rsid w:val="0009738D"/>
    <w:rsid w:val="00097CFE"/>
    <w:rsid w:val="000A00BD"/>
    <w:rsid w:val="000A02E9"/>
    <w:rsid w:val="000A12E6"/>
    <w:rsid w:val="000A143A"/>
    <w:rsid w:val="000A1D6C"/>
    <w:rsid w:val="000A1DCD"/>
    <w:rsid w:val="000A33D9"/>
    <w:rsid w:val="000A5C05"/>
    <w:rsid w:val="000A5D3A"/>
    <w:rsid w:val="000A6D68"/>
    <w:rsid w:val="000A7517"/>
    <w:rsid w:val="000A7819"/>
    <w:rsid w:val="000B03DA"/>
    <w:rsid w:val="000B0A41"/>
    <w:rsid w:val="000B0F91"/>
    <w:rsid w:val="000B3CD6"/>
    <w:rsid w:val="000B498B"/>
    <w:rsid w:val="000B4F2F"/>
    <w:rsid w:val="000B56CF"/>
    <w:rsid w:val="000B5868"/>
    <w:rsid w:val="000B7636"/>
    <w:rsid w:val="000C0B84"/>
    <w:rsid w:val="000C0DB6"/>
    <w:rsid w:val="000C14B9"/>
    <w:rsid w:val="000C1A3B"/>
    <w:rsid w:val="000C23EA"/>
    <w:rsid w:val="000C419F"/>
    <w:rsid w:val="000C56EB"/>
    <w:rsid w:val="000C67F4"/>
    <w:rsid w:val="000C688E"/>
    <w:rsid w:val="000C7075"/>
    <w:rsid w:val="000C7215"/>
    <w:rsid w:val="000C755F"/>
    <w:rsid w:val="000C75F0"/>
    <w:rsid w:val="000C7853"/>
    <w:rsid w:val="000C7854"/>
    <w:rsid w:val="000C8E98"/>
    <w:rsid w:val="000D05DC"/>
    <w:rsid w:val="000D1459"/>
    <w:rsid w:val="000D157F"/>
    <w:rsid w:val="000D183C"/>
    <w:rsid w:val="000D1BC2"/>
    <w:rsid w:val="000D3324"/>
    <w:rsid w:val="000D41C4"/>
    <w:rsid w:val="000D4959"/>
    <w:rsid w:val="000D4BB8"/>
    <w:rsid w:val="000D4F0E"/>
    <w:rsid w:val="000D56EA"/>
    <w:rsid w:val="000D6883"/>
    <w:rsid w:val="000D7095"/>
    <w:rsid w:val="000D71A6"/>
    <w:rsid w:val="000E0097"/>
    <w:rsid w:val="000E063D"/>
    <w:rsid w:val="000E0DD1"/>
    <w:rsid w:val="000E0F07"/>
    <w:rsid w:val="000E103B"/>
    <w:rsid w:val="000E139E"/>
    <w:rsid w:val="000E1493"/>
    <w:rsid w:val="000E198E"/>
    <w:rsid w:val="000E1E02"/>
    <w:rsid w:val="000E6287"/>
    <w:rsid w:val="000E62BC"/>
    <w:rsid w:val="000E68F8"/>
    <w:rsid w:val="000F1033"/>
    <w:rsid w:val="000F1071"/>
    <w:rsid w:val="000F2B97"/>
    <w:rsid w:val="000F302C"/>
    <w:rsid w:val="000F3933"/>
    <w:rsid w:val="000F3CE0"/>
    <w:rsid w:val="000F41CE"/>
    <w:rsid w:val="000F4C6B"/>
    <w:rsid w:val="000F55D5"/>
    <w:rsid w:val="000F5912"/>
    <w:rsid w:val="000F6753"/>
    <w:rsid w:val="000F6FE2"/>
    <w:rsid w:val="00100094"/>
    <w:rsid w:val="00100A32"/>
    <w:rsid w:val="00100CE6"/>
    <w:rsid w:val="00101638"/>
    <w:rsid w:val="001018DE"/>
    <w:rsid w:val="00101B58"/>
    <w:rsid w:val="00102E63"/>
    <w:rsid w:val="00103851"/>
    <w:rsid w:val="00104FCC"/>
    <w:rsid w:val="0010563E"/>
    <w:rsid w:val="001056E8"/>
    <w:rsid w:val="001059C5"/>
    <w:rsid w:val="00105D13"/>
    <w:rsid w:val="00106973"/>
    <w:rsid w:val="0010E6BB"/>
    <w:rsid w:val="00111153"/>
    <w:rsid w:val="001112B3"/>
    <w:rsid w:val="00111E58"/>
    <w:rsid w:val="00111FF6"/>
    <w:rsid w:val="0011284D"/>
    <w:rsid w:val="00112D53"/>
    <w:rsid w:val="00113719"/>
    <w:rsid w:val="00114BF5"/>
    <w:rsid w:val="00115EEC"/>
    <w:rsid w:val="00116625"/>
    <w:rsid w:val="0011779A"/>
    <w:rsid w:val="0012002E"/>
    <w:rsid w:val="001204A9"/>
    <w:rsid w:val="00120F30"/>
    <w:rsid w:val="00121DF9"/>
    <w:rsid w:val="00122964"/>
    <w:rsid w:val="00122E2A"/>
    <w:rsid w:val="00122EC4"/>
    <w:rsid w:val="00123F80"/>
    <w:rsid w:val="0012583A"/>
    <w:rsid w:val="00126288"/>
    <w:rsid w:val="001279FE"/>
    <w:rsid w:val="00130EE7"/>
    <w:rsid w:val="001324B9"/>
    <w:rsid w:val="001327CD"/>
    <w:rsid w:val="00132BF4"/>
    <w:rsid w:val="00134AEC"/>
    <w:rsid w:val="00134FFD"/>
    <w:rsid w:val="00135185"/>
    <w:rsid w:val="00135AE9"/>
    <w:rsid w:val="001362E6"/>
    <w:rsid w:val="0014092C"/>
    <w:rsid w:val="00141327"/>
    <w:rsid w:val="00142167"/>
    <w:rsid w:val="00142752"/>
    <w:rsid w:val="001428A2"/>
    <w:rsid w:val="001428B1"/>
    <w:rsid w:val="00142926"/>
    <w:rsid w:val="00142DD5"/>
    <w:rsid w:val="001436A1"/>
    <w:rsid w:val="001442C3"/>
    <w:rsid w:val="00145A9B"/>
    <w:rsid w:val="00145AD5"/>
    <w:rsid w:val="00145E24"/>
    <w:rsid w:val="00147657"/>
    <w:rsid w:val="00147C75"/>
    <w:rsid w:val="00147CE9"/>
    <w:rsid w:val="00147D2E"/>
    <w:rsid w:val="00150F93"/>
    <w:rsid w:val="00152648"/>
    <w:rsid w:val="0015361A"/>
    <w:rsid w:val="001538B9"/>
    <w:rsid w:val="00153A7C"/>
    <w:rsid w:val="00154520"/>
    <w:rsid w:val="00154C5A"/>
    <w:rsid w:val="0015523E"/>
    <w:rsid w:val="00155EDB"/>
    <w:rsid w:val="001560DB"/>
    <w:rsid w:val="00156773"/>
    <w:rsid w:val="001569C7"/>
    <w:rsid w:val="00157190"/>
    <w:rsid w:val="001574B6"/>
    <w:rsid w:val="00160863"/>
    <w:rsid w:val="00160FCA"/>
    <w:rsid w:val="0016184A"/>
    <w:rsid w:val="0016217C"/>
    <w:rsid w:val="00162303"/>
    <w:rsid w:val="001632AE"/>
    <w:rsid w:val="00163432"/>
    <w:rsid w:val="0016566A"/>
    <w:rsid w:val="00166297"/>
    <w:rsid w:val="001668B6"/>
    <w:rsid w:val="00166CCB"/>
    <w:rsid w:val="0016706F"/>
    <w:rsid w:val="001674F9"/>
    <w:rsid w:val="00170244"/>
    <w:rsid w:val="001703D8"/>
    <w:rsid w:val="00171635"/>
    <w:rsid w:val="00171F01"/>
    <w:rsid w:val="0017266B"/>
    <w:rsid w:val="001737B4"/>
    <w:rsid w:val="00173E2A"/>
    <w:rsid w:val="001740C6"/>
    <w:rsid w:val="00174DE1"/>
    <w:rsid w:val="00175160"/>
    <w:rsid w:val="001753BB"/>
    <w:rsid w:val="00175922"/>
    <w:rsid w:val="00175B79"/>
    <w:rsid w:val="001762DD"/>
    <w:rsid w:val="00176499"/>
    <w:rsid w:val="0017677C"/>
    <w:rsid w:val="00176EAF"/>
    <w:rsid w:val="001772BD"/>
    <w:rsid w:val="00177769"/>
    <w:rsid w:val="0017DF3C"/>
    <w:rsid w:val="00180210"/>
    <w:rsid w:val="00180351"/>
    <w:rsid w:val="0018073E"/>
    <w:rsid w:val="00180A27"/>
    <w:rsid w:val="00180A5D"/>
    <w:rsid w:val="00181784"/>
    <w:rsid w:val="00181EA4"/>
    <w:rsid w:val="00182F2F"/>
    <w:rsid w:val="0018333B"/>
    <w:rsid w:val="00183DF2"/>
    <w:rsid w:val="001846B4"/>
    <w:rsid w:val="0018483E"/>
    <w:rsid w:val="0018484E"/>
    <w:rsid w:val="00184A16"/>
    <w:rsid w:val="00184F44"/>
    <w:rsid w:val="001855AC"/>
    <w:rsid w:val="00186C31"/>
    <w:rsid w:val="00186DC5"/>
    <w:rsid w:val="00187628"/>
    <w:rsid w:val="001903B2"/>
    <w:rsid w:val="0019168E"/>
    <w:rsid w:val="0019321E"/>
    <w:rsid w:val="00193CD3"/>
    <w:rsid w:val="0019405C"/>
    <w:rsid w:val="00194F00"/>
    <w:rsid w:val="00195885"/>
    <w:rsid w:val="00196F18"/>
    <w:rsid w:val="00197564"/>
    <w:rsid w:val="001A053E"/>
    <w:rsid w:val="001A18DE"/>
    <w:rsid w:val="001A268A"/>
    <w:rsid w:val="001A2749"/>
    <w:rsid w:val="001A30FD"/>
    <w:rsid w:val="001A4281"/>
    <w:rsid w:val="001A5DA5"/>
    <w:rsid w:val="001A6237"/>
    <w:rsid w:val="001A7B88"/>
    <w:rsid w:val="001A7F91"/>
    <w:rsid w:val="001B0264"/>
    <w:rsid w:val="001B0C95"/>
    <w:rsid w:val="001B14F1"/>
    <w:rsid w:val="001B1C4D"/>
    <w:rsid w:val="001B1E3C"/>
    <w:rsid w:val="001B24D3"/>
    <w:rsid w:val="001B2B48"/>
    <w:rsid w:val="001B4032"/>
    <w:rsid w:val="001B5018"/>
    <w:rsid w:val="001B529F"/>
    <w:rsid w:val="001B52C5"/>
    <w:rsid w:val="001B6480"/>
    <w:rsid w:val="001B64A4"/>
    <w:rsid w:val="001B737E"/>
    <w:rsid w:val="001B7BF0"/>
    <w:rsid w:val="001C0627"/>
    <w:rsid w:val="001C09A2"/>
    <w:rsid w:val="001C0F3F"/>
    <w:rsid w:val="001C1A2E"/>
    <w:rsid w:val="001C1CF1"/>
    <w:rsid w:val="001C2816"/>
    <w:rsid w:val="001C3324"/>
    <w:rsid w:val="001C35F7"/>
    <w:rsid w:val="001C3DB5"/>
    <w:rsid w:val="001C5B8B"/>
    <w:rsid w:val="001C692B"/>
    <w:rsid w:val="001C6B83"/>
    <w:rsid w:val="001D019E"/>
    <w:rsid w:val="001D055F"/>
    <w:rsid w:val="001D202C"/>
    <w:rsid w:val="001D2814"/>
    <w:rsid w:val="001D2B70"/>
    <w:rsid w:val="001D2CEA"/>
    <w:rsid w:val="001D4A54"/>
    <w:rsid w:val="001D5ADD"/>
    <w:rsid w:val="001D5FDB"/>
    <w:rsid w:val="001D63EB"/>
    <w:rsid w:val="001D64DA"/>
    <w:rsid w:val="001D65B6"/>
    <w:rsid w:val="001D6A8D"/>
    <w:rsid w:val="001D6C67"/>
    <w:rsid w:val="001D716C"/>
    <w:rsid w:val="001D7C6E"/>
    <w:rsid w:val="001E119A"/>
    <w:rsid w:val="001E21BF"/>
    <w:rsid w:val="001E2FA5"/>
    <w:rsid w:val="001E3DE6"/>
    <w:rsid w:val="001E40D6"/>
    <w:rsid w:val="001E43DB"/>
    <w:rsid w:val="001E4B51"/>
    <w:rsid w:val="001E52F3"/>
    <w:rsid w:val="001E54A7"/>
    <w:rsid w:val="001E58C0"/>
    <w:rsid w:val="001E5C10"/>
    <w:rsid w:val="001E5F64"/>
    <w:rsid w:val="001E6202"/>
    <w:rsid w:val="001E6406"/>
    <w:rsid w:val="001E75A7"/>
    <w:rsid w:val="001E7981"/>
    <w:rsid w:val="001F16F7"/>
    <w:rsid w:val="001F1763"/>
    <w:rsid w:val="001F2014"/>
    <w:rsid w:val="001F2923"/>
    <w:rsid w:val="001F29CD"/>
    <w:rsid w:val="001F2E1A"/>
    <w:rsid w:val="001F3489"/>
    <w:rsid w:val="001F3EC3"/>
    <w:rsid w:val="001F40B0"/>
    <w:rsid w:val="001F56EA"/>
    <w:rsid w:val="001F581D"/>
    <w:rsid w:val="001F582D"/>
    <w:rsid w:val="001F584C"/>
    <w:rsid w:val="001F5C4D"/>
    <w:rsid w:val="001F5FF3"/>
    <w:rsid w:val="001F6700"/>
    <w:rsid w:val="001F6E0F"/>
    <w:rsid w:val="001F7563"/>
    <w:rsid w:val="00201468"/>
    <w:rsid w:val="00201732"/>
    <w:rsid w:val="00201F3D"/>
    <w:rsid w:val="0020251E"/>
    <w:rsid w:val="00202AC0"/>
    <w:rsid w:val="00202F96"/>
    <w:rsid w:val="00203956"/>
    <w:rsid w:val="00203C6E"/>
    <w:rsid w:val="0020408A"/>
    <w:rsid w:val="002040AE"/>
    <w:rsid w:val="00204336"/>
    <w:rsid w:val="00204A2C"/>
    <w:rsid w:val="00205223"/>
    <w:rsid w:val="00205A7F"/>
    <w:rsid w:val="00207006"/>
    <w:rsid w:val="002074D3"/>
    <w:rsid w:val="00207CD0"/>
    <w:rsid w:val="0021050E"/>
    <w:rsid w:val="00210EC1"/>
    <w:rsid w:val="002116F5"/>
    <w:rsid w:val="002122D8"/>
    <w:rsid w:val="00212358"/>
    <w:rsid w:val="0021347F"/>
    <w:rsid w:val="00214536"/>
    <w:rsid w:val="00215E19"/>
    <w:rsid w:val="002164A5"/>
    <w:rsid w:val="00216DB2"/>
    <w:rsid w:val="002173A6"/>
    <w:rsid w:val="00217851"/>
    <w:rsid w:val="002178A6"/>
    <w:rsid w:val="00217F73"/>
    <w:rsid w:val="00220099"/>
    <w:rsid w:val="00220F4B"/>
    <w:rsid w:val="00221994"/>
    <w:rsid w:val="002222DF"/>
    <w:rsid w:val="00223C58"/>
    <w:rsid w:val="00223F54"/>
    <w:rsid w:val="0022436D"/>
    <w:rsid w:val="00224484"/>
    <w:rsid w:val="00225B35"/>
    <w:rsid w:val="002260E2"/>
    <w:rsid w:val="00226D97"/>
    <w:rsid w:val="00227400"/>
    <w:rsid w:val="00230E9A"/>
    <w:rsid w:val="002316FD"/>
    <w:rsid w:val="002319B1"/>
    <w:rsid w:val="00232072"/>
    <w:rsid w:val="002324EA"/>
    <w:rsid w:val="00232E98"/>
    <w:rsid w:val="00233064"/>
    <w:rsid w:val="00234087"/>
    <w:rsid w:val="00234D78"/>
    <w:rsid w:val="002354DE"/>
    <w:rsid w:val="00235ED7"/>
    <w:rsid w:val="0023770E"/>
    <w:rsid w:val="00237CEB"/>
    <w:rsid w:val="00237EDF"/>
    <w:rsid w:val="002400F2"/>
    <w:rsid w:val="002404C2"/>
    <w:rsid w:val="00240902"/>
    <w:rsid w:val="0024092B"/>
    <w:rsid w:val="0024241E"/>
    <w:rsid w:val="00242C75"/>
    <w:rsid w:val="00243652"/>
    <w:rsid w:val="0024409E"/>
    <w:rsid w:val="002441AF"/>
    <w:rsid w:val="00244BDE"/>
    <w:rsid w:val="00246308"/>
    <w:rsid w:val="00246715"/>
    <w:rsid w:val="00246BBB"/>
    <w:rsid w:val="00246F8F"/>
    <w:rsid w:val="002479CC"/>
    <w:rsid w:val="00247BC2"/>
    <w:rsid w:val="002504BF"/>
    <w:rsid w:val="002505BE"/>
    <w:rsid w:val="00250646"/>
    <w:rsid w:val="00250760"/>
    <w:rsid w:val="00251834"/>
    <w:rsid w:val="002519AE"/>
    <w:rsid w:val="002521F1"/>
    <w:rsid w:val="00252A74"/>
    <w:rsid w:val="0025313A"/>
    <w:rsid w:val="0025315F"/>
    <w:rsid w:val="00253CBB"/>
    <w:rsid w:val="00254BF4"/>
    <w:rsid w:val="002559C1"/>
    <w:rsid w:val="0025626C"/>
    <w:rsid w:val="0025671C"/>
    <w:rsid w:val="00256836"/>
    <w:rsid w:val="00257175"/>
    <w:rsid w:val="00257381"/>
    <w:rsid w:val="002579B8"/>
    <w:rsid w:val="00260B33"/>
    <w:rsid w:val="00260D20"/>
    <w:rsid w:val="0026363E"/>
    <w:rsid w:val="00264702"/>
    <w:rsid w:val="002654F3"/>
    <w:rsid w:val="002659B9"/>
    <w:rsid w:val="00266231"/>
    <w:rsid w:val="00266F29"/>
    <w:rsid w:val="002673C6"/>
    <w:rsid w:val="002677FD"/>
    <w:rsid w:val="00267866"/>
    <w:rsid w:val="00270602"/>
    <w:rsid w:val="00271B1E"/>
    <w:rsid w:val="00272070"/>
    <w:rsid w:val="00272A2A"/>
    <w:rsid w:val="002731CA"/>
    <w:rsid w:val="00274442"/>
    <w:rsid w:val="00275839"/>
    <w:rsid w:val="0027681F"/>
    <w:rsid w:val="00277B8D"/>
    <w:rsid w:val="00277F2B"/>
    <w:rsid w:val="00277F90"/>
    <w:rsid w:val="002803A6"/>
    <w:rsid w:val="002806CC"/>
    <w:rsid w:val="00280893"/>
    <w:rsid w:val="00281281"/>
    <w:rsid w:val="00281795"/>
    <w:rsid w:val="002817B1"/>
    <w:rsid w:val="002818EE"/>
    <w:rsid w:val="0028222F"/>
    <w:rsid w:val="00282508"/>
    <w:rsid w:val="00282AAC"/>
    <w:rsid w:val="00282BF1"/>
    <w:rsid w:val="00282D13"/>
    <w:rsid w:val="00282DE9"/>
    <w:rsid w:val="0028380D"/>
    <w:rsid w:val="00285A63"/>
    <w:rsid w:val="00286262"/>
    <w:rsid w:val="00286468"/>
    <w:rsid w:val="00286606"/>
    <w:rsid w:val="002873E2"/>
    <w:rsid w:val="002877FA"/>
    <w:rsid w:val="0029010A"/>
    <w:rsid w:val="0029035D"/>
    <w:rsid w:val="00291A09"/>
    <w:rsid w:val="00292CBD"/>
    <w:rsid w:val="00293C8E"/>
    <w:rsid w:val="00294009"/>
    <w:rsid w:val="00295B94"/>
    <w:rsid w:val="00297AD1"/>
    <w:rsid w:val="002A0BFF"/>
    <w:rsid w:val="002A0C41"/>
    <w:rsid w:val="002A125E"/>
    <w:rsid w:val="002A153A"/>
    <w:rsid w:val="002A19BD"/>
    <w:rsid w:val="002A1F82"/>
    <w:rsid w:val="002A203D"/>
    <w:rsid w:val="002A2ADB"/>
    <w:rsid w:val="002A2B31"/>
    <w:rsid w:val="002A2C2B"/>
    <w:rsid w:val="002A58C0"/>
    <w:rsid w:val="002A5CF1"/>
    <w:rsid w:val="002A5F3A"/>
    <w:rsid w:val="002A6428"/>
    <w:rsid w:val="002A6DBF"/>
    <w:rsid w:val="002A7199"/>
    <w:rsid w:val="002A74E0"/>
    <w:rsid w:val="002A7B89"/>
    <w:rsid w:val="002A7EA6"/>
    <w:rsid w:val="002B0789"/>
    <w:rsid w:val="002B07E3"/>
    <w:rsid w:val="002B08FE"/>
    <w:rsid w:val="002B0AA5"/>
    <w:rsid w:val="002B0AEC"/>
    <w:rsid w:val="002B1428"/>
    <w:rsid w:val="002B1A22"/>
    <w:rsid w:val="002B1CC2"/>
    <w:rsid w:val="002B20A3"/>
    <w:rsid w:val="002B2320"/>
    <w:rsid w:val="002B306F"/>
    <w:rsid w:val="002B3786"/>
    <w:rsid w:val="002B3B13"/>
    <w:rsid w:val="002B3E7B"/>
    <w:rsid w:val="002B3F9A"/>
    <w:rsid w:val="002B4643"/>
    <w:rsid w:val="002B49D9"/>
    <w:rsid w:val="002B4DCB"/>
    <w:rsid w:val="002B5B53"/>
    <w:rsid w:val="002B6462"/>
    <w:rsid w:val="002B6499"/>
    <w:rsid w:val="002B657E"/>
    <w:rsid w:val="002B6BEC"/>
    <w:rsid w:val="002B7623"/>
    <w:rsid w:val="002B7A30"/>
    <w:rsid w:val="002C15BC"/>
    <w:rsid w:val="002C1AD1"/>
    <w:rsid w:val="002C1B0D"/>
    <w:rsid w:val="002C2A3C"/>
    <w:rsid w:val="002C2B2A"/>
    <w:rsid w:val="002C2F37"/>
    <w:rsid w:val="002C3868"/>
    <w:rsid w:val="002C4441"/>
    <w:rsid w:val="002C45E8"/>
    <w:rsid w:val="002C6584"/>
    <w:rsid w:val="002C6BF8"/>
    <w:rsid w:val="002C71D9"/>
    <w:rsid w:val="002C7FEF"/>
    <w:rsid w:val="002CA661"/>
    <w:rsid w:val="002D014A"/>
    <w:rsid w:val="002D02F4"/>
    <w:rsid w:val="002D070A"/>
    <w:rsid w:val="002D0731"/>
    <w:rsid w:val="002D154C"/>
    <w:rsid w:val="002D17EB"/>
    <w:rsid w:val="002D2115"/>
    <w:rsid w:val="002D2581"/>
    <w:rsid w:val="002D41A0"/>
    <w:rsid w:val="002D45C1"/>
    <w:rsid w:val="002D47F6"/>
    <w:rsid w:val="002D49D9"/>
    <w:rsid w:val="002D4ADA"/>
    <w:rsid w:val="002D5194"/>
    <w:rsid w:val="002D6B48"/>
    <w:rsid w:val="002D7773"/>
    <w:rsid w:val="002D7C9D"/>
    <w:rsid w:val="002E001E"/>
    <w:rsid w:val="002E0082"/>
    <w:rsid w:val="002E016C"/>
    <w:rsid w:val="002E027C"/>
    <w:rsid w:val="002E06AE"/>
    <w:rsid w:val="002E07FB"/>
    <w:rsid w:val="002E098E"/>
    <w:rsid w:val="002E1ABD"/>
    <w:rsid w:val="002E55EA"/>
    <w:rsid w:val="002E5DDA"/>
    <w:rsid w:val="002E6000"/>
    <w:rsid w:val="002E61AD"/>
    <w:rsid w:val="002E648B"/>
    <w:rsid w:val="002E6CE3"/>
    <w:rsid w:val="002E7160"/>
    <w:rsid w:val="002F0812"/>
    <w:rsid w:val="002F11AC"/>
    <w:rsid w:val="002F1676"/>
    <w:rsid w:val="002F1685"/>
    <w:rsid w:val="002F172B"/>
    <w:rsid w:val="002F1C3F"/>
    <w:rsid w:val="002F25F1"/>
    <w:rsid w:val="002F2CC4"/>
    <w:rsid w:val="002F2D27"/>
    <w:rsid w:val="002F531E"/>
    <w:rsid w:val="002F57AB"/>
    <w:rsid w:val="002F6997"/>
    <w:rsid w:val="002F6C57"/>
    <w:rsid w:val="002F7421"/>
    <w:rsid w:val="002F7B1A"/>
    <w:rsid w:val="002F7CF0"/>
    <w:rsid w:val="002F7D18"/>
    <w:rsid w:val="00301046"/>
    <w:rsid w:val="003019B3"/>
    <w:rsid w:val="00303AA9"/>
    <w:rsid w:val="0030C3EE"/>
    <w:rsid w:val="00310555"/>
    <w:rsid w:val="0031173F"/>
    <w:rsid w:val="0031197F"/>
    <w:rsid w:val="00311FD0"/>
    <w:rsid w:val="0031214B"/>
    <w:rsid w:val="00314051"/>
    <w:rsid w:val="00314BD7"/>
    <w:rsid w:val="00314C25"/>
    <w:rsid w:val="00314DB5"/>
    <w:rsid w:val="003150B6"/>
    <w:rsid w:val="003150B8"/>
    <w:rsid w:val="003201CC"/>
    <w:rsid w:val="003208C0"/>
    <w:rsid w:val="00320EC6"/>
    <w:rsid w:val="00320F0E"/>
    <w:rsid w:val="00322253"/>
    <w:rsid w:val="003229DF"/>
    <w:rsid w:val="003230AA"/>
    <w:rsid w:val="00323BDC"/>
    <w:rsid w:val="003252B4"/>
    <w:rsid w:val="00326DF1"/>
    <w:rsid w:val="00327566"/>
    <w:rsid w:val="00327C4B"/>
    <w:rsid w:val="00330840"/>
    <w:rsid w:val="00330A15"/>
    <w:rsid w:val="00330A4F"/>
    <w:rsid w:val="00330F9C"/>
    <w:rsid w:val="003315CB"/>
    <w:rsid w:val="003321D1"/>
    <w:rsid w:val="0033269E"/>
    <w:rsid w:val="00332A1E"/>
    <w:rsid w:val="0033668D"/>
    <w:rsid w:val="0033687D"/>
    <w:rsid w:val="00336968"/>
    <w:rsid w:val="00336CB5"/>
    <w:rsid w:val="003371ED"/>
    <w:rsid w:val="00341D71"/>
    <w:rsid w:val="003421A1"/>
    <w:rsid w:val="0034242C"/>
    <w:rsid w:val="003425C9"/>
    <w:rsid w:val="0034277F"/>
    <w:rsid w:val="00342B4C"/>
    <w:rsid w:val="003436C6"/>
    <w:rsid w:val="003442C8"/>
    <w:rsid w:val="00344E79"/>
    <w:rsid w:val="00344F2A"/>
    <w:rsid w:val="00345A8B"/>
    <w:rsid w:val="00345FC3"/>
    <w:rsid w:val="00346A48"/>
    <w:rsid w:val="0034771C"/>
    <w:rsid w:val="00350288"/>
    <w:rsid w:val="00351554"/>
    <w:rsid w:val="00351DC0"/>
    <w:rsid w:val="003522F7"/>
    <w:rsid w:val="003540D8"/>
    <w:rsid w:val="00354513"/>
    <w:rsid w:val="0035556F"/>
    <w:rsid w:val="003555C7"/>
    <w:rsid w:val="00355A75"/>
    <w:rsid w:val="00356C64"/>
    <w:rsid w:val="0036034C"/>
    <w:rsid w:val="00360AB0"/>
    <w:rsid w:val="003617BB"/>
    <w:rsid w:val="00361AF5"/>
    <w:rsid w:val="0036289B"/>
    <w:rsid w:val="00364479"/>
    <w:rsid w:val="00364A23"/>
    <w:rsid w:val="003655B6"/>
    <w:rsid w:val="00367020"/>
    <w:rsid w:val="0036771E"/>
    <w:rsid w:val="00367D57"/>
    <w:rsid w:val="003703CF"/>
    <w:rsid w:val="00371418"/>
    <w:rsid w:val="00371733"/>
    <w:rsid w:val="003723AA"/>
    <w:rsid w:val="003737A1"/>
    <w:rsid w:val="00373BD7"/>
    <w:rsid w:val="0037406B"/>
    <w:rsid w:val="003743A1"/>
    <w:rsid w:val="00375063"/>
    <w:rsid w:val="00375360"/>
    <w:rsid w:val="003761C1"/>
    <w:rsid w:val="003764F1"/>
    <w:rsid w:val="00377DA9"/>
    <w:rsid w:val="00380033"/>
    <w:rsid w:val="00380088"/>
    <w:rsid w:val="0038161C"/>
    <w:rsid w:val="00382163"/>
    <w:rsid w:val="0038266C"/>
    <w:rsid w:val="00382781"/>
    <w:rsid w:val="00384C9B"/>
    <w:rsid w:val="00385224"/>
    <w:rsid w:val="00385692"/>
    <w:rsid w:val="00385CD2"/>
    <w:rsid w:val="003865EB"/>
    <w:rsid w:val="003866B6"/>
    <w:rsid w:val="003866F6"/>
    <w:rsid w:val="0038717A"/>
    <w:rsid w:val="003872C0"/>
    <w:rsid w:val="00387A06"/>
    <w:rsid w:val="00390608"/>
    <w:rsid w:val="003907F7"/>
    <w:rsid w:val="00391026"/>
    <w:rsid w:val="003929F2"/>
    <w:rsid w:val="00392EAB"/>
    <w:rsid w:val="0039354B"/>
    <w:rsid w:val="00393BE9"/>
    <w:rsid w:val="003946A2"/>
    <w:rsid w:val="003950E3"/>
    <w:rsid w:val="00396B03"/>
    <w:rsid w:val="003A06EA"/>
    <w:rsid w:val="003A1BE8"/>
    <w:rsid w:val="003A2369"/>
    <w:rsid w:val="003A24CC"/>
    <w:rsid w:val="003A2DE8"/>
    <w:rsid w:val="003A552E"/>
    <w:rsid w:val="003A558B"/>
    <w:rsid w:val="003A60A2"/>
    <w:rsid w:val="003A63D3"/>
    <w:rsid w:val="003A6F04"/>
    <w:rsid w:val="003A7326"/>
    <w:rsid w:val="003A7774"/>
    <w:rsid w:val="003A7B94"/>
    <w:rsid w:val="003B1390"/>
    <w:rsid w:val="003B26DA"/>
    <w:rsid w:val="003B2B14"/>
    <w:rsid w:val="003B2B36"/>
    <w:rsid w:val="003B32D4"/>
    <w:rsid w:val="003B4A9E"/>
    <w:rsid w:val="003B7475"/>
    <w:rsid w:val="003B7B89"/>
    <w:rsid w:val="003C012B"/>
    <w:rsid w:val="003C04DA"/>
    <w:rsid w:val="003C0CDA"/>
    <w:rsid w:val="003C19DD"/>
    <w:rsid w:val="003C27F8"/>
    <w:rsid w:val="003C4419"/>
    <w:rsid w:val="003C645A"/>
    <w:rsid w:val="003C6563"/>
    <w:rsid w:val="003C687C"/>
    <w:rsid w:val="003C6A01"/>
    <w:rsid w:val="003C6E66"/>
    <w:rsid w:val="003C753E"/>
    <w:rsid w:val="003D0089"/>
    <w:rsid w:val="003D037F"/>
    <w:rsid w:val="003D050C"/>
    <w:rsid w:val="003D0C15"/>
    <w:rsid w:val="003D1D2A"/>
    <w:rsid w:val="003D1D5F"/>
    <w:rsid w:val="003D29FF"/>
    <w:rsid w:val="003D3EBB"/>
    <w:rsid w:val="003D48AD"/>
    <w:rsid w:val="003D509A"/>
    <w:rsid w:val="003D6458"/>
    <w:rsid w:val="003D6715"/>
    <w:rsid w:val="003DAFDA"/>
    <w:rsid w:val="003E0000"/>
    <w:rsid w:val="003E03D2"/>
    <w:rsid w:val="003E043A"/>
    <w:rsid w:val="003E0797"/>
    <w:rsid w:val="003E1B88"/>
    <w:rsid w:val="003E1E47"/>
    <w:rsid w:val="003E333A"/>
    <w:rsid w:val="003E45D0"/>
    <w:rsid w:val="003E5A6E"/>
    <w:rsid w:val="003E6140"/>
    <w:rsid w:val="003E635B"/>
    <w:rsid w:val="003E69CA"/>
    <w:rsid w:val="003E6DF8"/>
    <w:rsid w:val="003F08C1"/>
    <w:rsid w:val="003F094D"/>
    <w:rsid w:val="003F0D80"/>
    <w:rsid w:val="003F15C0"/>
    <w:rsid w:val="003F195B"/>
    <w:rsid w:val="003F2735"/>
    <w:rsid w:val="003F2940"/>
    <w:rsid w:val="003F3E32"/>
    <w:rsid w:val="003F5C23"/>
    <w:rsid w:val="003F60CF"/>
    <w:rsid w:val="003F67E3"/>
    <w:rsid w:val="003F685F"/>
    <w:rsid w:val="003F72A7"/>
    <w:rsid w:val="003F951A"/>
    <w:rsid w:val="00400280"/>
    <w:rsid w:val="00400BF5"/>
    <w:rsid w:val="004017E9"/>
    <w:rsid w:val="00401FB6"/>
    <w:rsid w:val="0040245F"/>
    <w:rsid w:val="0040247F"/>
    <w:rsid w:val="00404548"/>
    <w:rsid w:val="004047B1"/>
    <w:rsid w:val="00406261"/>
    <w:rsid w:val="004075C1"/>
    <w:rsid w:val="00407DF5"/>
    <w:rsid w:val="0041031E"/>
    <w:rsid w:val="004111EC"/>
    <w:rsid w:val="00412698"/>
    <w:rsid w:val="0041284E"/>
    <w:rsid w:val="00412C96"/>
    <w:rsid w:val="00412F7A"/>
    <w:rsid w:val="00413F28"/>
    <w:rsid w:val="00416239"/>
    <w:rsid w:val="00416FB8"/>
    <w:rsid w:val="00417699"/>
    <w:rsid w:val="00417A53"/>
    <w:rsid w:val="00417EE9"/>
    <w:rsid w:val="00420C79"/>
    <w:rsid w:val="00422085"/>
    <w:rsid w:val="00422B6F"/>
    <w:rsid w:val="00422BDB"/>
    <w:rsid w:val="00423B34"/>
    <w:rsid w:val="0042472C"/>
    <w:rsid w:val="004255A8"/>
    <w:rsid w:val="00425C8D"/>
    <w:rsid w:val="00425F2C"/>
    <w:rsid w:val="004268A4"/>
    <w:rsid w:val="00426E2F"/>
    <w:rsid w:val="00426E87"/>
    <w:rsid w:val="00427295"/>
    <w:rsid w:val="00430075"/>
    <w:rsid w:val="00430BF9"/>
    <w:rsid w:val="00430FFE"/>
    <w:rsid w:val="00431728"/>
    <w:rsid w:val="00432055"/>
    <w:rsid w:val="004326D1"/>
    <w:rsid w:val="00432B40"/>
    <w:rsid w:val="00433278"/>
    <w:rsid w:val="00433F85"/>
    <w:rsid w:val="00433FEA"/>
    <w:rsid w:val="004348F7"/>
    <w:rsid w:val="004358FE"/>
    <w:rsid w:val="00435DAB"/>
    <w:rsid w:val="00436038"/>
    <w:rsid w:val="00437E85"/>
    <w:rsid w:val="00437F36"/>
    <w:rsid w:val="00441B91"/>
    <w:rsid w:val="00443607"/>
    <w:rsid w:val="00444F74"/>
    <w:rsid w:val="0044514A"/>
    <w:rsid w:val="00445B2E"/>
    <w:rsid w:val="0044684C"/>
    <w:rsid w:val="00446CDC"/>
    <w:rsid w:val="0044772E"/>
    <w:rsid w:val="00447D9A"/>
    <w:rsid w:val="00450D1E"/>
    <w:rsid w:val="00451D83"/>
    <w:rsid w:val="00452193"/>
    <w:rsid w:val="00452195"/>
    <w:rsid w:val="00452B04"/>
    <w:rsid w:val="0045316E"/>
    <w:rsid w:val="00453282"/>
    <w:rsid w:val="0045391D"/>
    <w:rsid w:val="00453F0F"/>
    <w:rsid w:val="004540CC"/>
    <w:rsid w:val="00454240"/>
    <w:rsid w:val="0045435C"/>
    <w:rsid w:val="004549FC"/>
    <w:rsid w:val="00455DE3"/>
    <w:rsid w:val="00456E81"/>
    <w:rsid w:val="0045704F"/>
    <w:rsid w:val="004572C3"/>
    <w:rsid w:val="0045793A"/>
    <w:rsid w:val="004620A9"/>
    <w:rsid w:val="004632CA"/>
    <w:rsid w:val="00463EE3"/>
    <w:rsid w:val="00463FDD"/>
    <w:rsid w:val="00464F2F"/>
    <w:rsid w:val="004668BF"/>
    <w:rsid w:val="004673F2"/>
    <w:rsid w:val="00467434"/>
    <w:rsid w:val="00467577"/>
    <w:rsid w:val="00467F98"/>
    <w:rsid w:val="00470652"/>
    <w:rsid w:val="004709CE"/>
    <w:rsid w:val="0047189A"/>
    <w:rsid w:val="00471EE2"/>
    <w:rsid w:val="00471F40"/>
    <w:rsid w:val="004723E1"/>
    <w:rsid w:val="0047261A"/>
    <w:rsid w:val="00472E86"/>
    <w:rsid w:val="0047301B"/>
    <w:rsid w:val="0047390F"/>
    <w:rsid w:val="004739B1"/>
    <w:rsid w:val="00474086"/>
    <w:rsid w:val="004750DE"/>
    <w:rsid w:val="004755E4"/>
    <w:rsid w:val="00476C62"/>
    <w:rsid w:val="00477A15"/>
    <w:rsid w:val="00477E0A"/>
    <w:rsid w:val="004801DC"/>
    <w:rsid w:val="00480268"/>
    <w:rsid w:val="00480C0C"/>
    <w:rsid w:val="00480F3C"/>
    <w:rsid w:val="004812CA"/>
    <w:rsid w:val="00482A1E"/>
    <w:rsid w:val="0048378F"/>
    <w:rsid w:val="00483A7F"/>
    <w:rsid w:val="0048413C"/>
    <w:rsid w:val="004846D7"/>
    <w:rsid w:val="00484AB4"/>
    <w:rsid w:val="00485850"/>
    <w:rsid w:val="004861DC"/>
    <w:rsid w:val="004904DB"/>
    <w:rsid w:val="004913C8"/>
    <w:rsid w:val="004913EE"/>
    <w:rsid w:val="0049161B"/>
    <w:rsid w:val="00493A68"/>
    <w:rsid w:val="004946F4"/>
    <w:rsid w:val="0049613F"/>
    <w:rsid w:val="004968F4"/>
    <w:rsid w:val="00497733"/>
    <w:rsid w:val="004A0C87"/>
    <w:rsid w:val="004A117A"/>
    <w:rsid w:val="004A1C7F"/>
    <w:rsid w:val="004A2AA4"/>
    <w:rsid w:val="004A2B92"/>
    <w:rsid w:val="004A2BA0"/>
    <w:rsid w:val="004A345D"/>
    <w:rsid w:val="004A35B5"/>
    <w:rsid w:val="004A38FD"/>
    <w:rsid w:val="004A4938"/>
    <w:rsid w:val="004A4D55"/>
    <w:rsid w:val="004A521B"/>
    <w:rsid w:val="004A53AB"/>
    <w:rsid w:val="004A6310"/>
    <w:rsid w:val="004A641F"/>
    <w:rsid w:val="004A7C4B"/>
    <w:rsid w:val="004B0E09"/>
    <w:rsid w:val="004B16A2"/>
    <w:rsid w:val="004B1E62"/>
    <w:rsid w:val="004B2A9C"/>
    <w:rsid w:val="004B3880"/>
    <w:rsid w:val="004B3E96"/>
    <w:rsid w:val="004B42A0"/>
    <w:rsid w:val="004B46DF"/>
    <w:rsid w:val="004B5672"/>
    <w:rsid w:val="004B6019"/>
    <w:rsid w:val="004B6476"/>
    <w:rsid w:val="004B7028"/>
    <w:rsid w:val="004B7DAE"/>
    <w:rsid w:val="004B91DF"/>
    <w:rsid w:val="004C0068"/>
    <w:rsid w:val="004C00F3"/>
    <w:rsid w:val="004C1A5E"/>
    <w:rsid w:val="004C3190"/>
    <w:rsid w:val="004C3A94"/>
    <w:rsid w:val="004C3F49"/>
    <w:rsid w:val="004C4F67"/>
    <w:rsid w:val="004C6826"/>
    <w:rsid w:val="004C73B4"/>
    <w:rsid w:val="004C7476"/>
    <w:rsid w:val="004C7B4F"/>
    <w:rsid w:val="004D1FBB"/>
    <w:rsid w:val="004D2894"/>
    <w:rsid w:val="004D2EF2"/>
    <w:rsid w:val="004D3083"/>
    <w:rsid w:val="004D33BD"/>
    <w:rsid w:val="004D4690"/>
    <w:rsid w:val="004D4773"/>
    <w:rsid w:val="004D4BB7"/>
    <w:rsid w:val="004D545E"/>
    <w:rsid w:val="004D61F7"/>
    <w:rsid w:val="004D6251"/>
    <w:rsid w:val="004D68A7"/>
    <w:rsid w:val="004D7121"/>
    <w:rsid w:val="004D7526"/>
    <w:rsid w:val="004D7564"/>
    <w:rsid w:val="004D759C"/>
    <w:rsid w:val="004D7939"/>
    <w:rsid w:val="004E0551"/>
    <w:rsid w:val="004E0E27"/>
    <w:rsid w:val="004E14D9"/>
    <w:rsid w:val="004E157B"/>
    <w:rsid w:val="004E17E9"/>
    <w:rsid w:val="004E1C3C"/>
    <w:rsid w:val="004E1F97"/>
    <w:rsid w:val="004E267A"/>
    <w:rsid w:val="004E2A3C"/>
    <w:rsid w:val="004E362F"/>
    <w:rsid w:val="004E371E"/>
    <w:rsid w:val="004E3836"/>
    <w:rsid w:val="004E38B7"/>
    <w:rsid w:val="004E3CDF"/>
    <w:rsid w:val="004E4415"/>
    <w:rsid w:val="004E55DA"/>
    <w:rsid w:val="004E588F"/>
    <w:rsid w:val="004E5B27"/>
    <w:rsid w:val="004E5E5D"/>
    <w:rsid w:val="004E7B6F"/>
    <w:rsid w:val="004E7D57"/>
    <w:rsid w:val="004F02EB"/>
    <w:rsid w:val="004F1046"/>
    <w:rsid w:val="004F10E5"/>
    <w:rsid w:val="004F2720"/>
    <w:rsid w:val="004F31D6"/>
    <w:rsid w:val="004F338C"/>
    <w:rsid w:val="004F35B6"/>
    <w:rsid w:val="004F372A"/>
    <w:rsid w:val="004F44EB"/>
    <w:rsid w:val="004F4C2A"/>
    <w:rsid w:val="004F4EE9"/>
    <w:rsid w:val="004F56DB"/>
    <w:rsid w:val="004F58AA"/>
    <w:rsid w:val="004F69FC"/>
    <w:rsid w:val="004F6C5D"/>
    <w:rsid w:val="004F7C4E"/>
    <w:rsid w:val="0050055D"/>
    <w:rsid w:val="00502F96"/>
    <w:rsid w:val="0050382B"/>
    <w:rsid w:val="00503C11"/>
    <w:rsid w:val="00503D98"/>
    <w:rsid w:val="00504D66"/>
    <w:rsid w:val="00505755"/>
    <w:rsid w:val="00505870"/>
    <w:rsid w:val="00505CB7"/>
    <w:rsid w:val="0050665C"/>
    <w:rsid w:val="00506B00"/>
    <w:rsid w:val="00506D53"/>
    <w:rsid w:val="00506EE2"/>
    <w:rsid w:val="00506F75"/>
    <w:rsid w:val="00507F5C"/>
    <w:rsid w:val="005109E7"/>
    <w:rsid w:val="00512C2F"/>
    <w:rsid w:val="00513808"/>
    <w:rsid w:val="0051380B"/>
    <w:rsid w:val="00515199"/>
    <w:rsid w:val="0051551E"/>
    <w:rsid w:val="00515E14"/>
    <w:rsid w:val="005164F8"/>
    <w:rsid w:val="0051C6D8"/>
    <w:rsid w:val="005200FD"/>
    <w:rsid w:val="00520A81"/>
    <w:rsid w:val="00520F45"/>
    <w:rsid w:val="0052111F"/>
    <w:rsid w:val="005213B7"/>
    <w:rsid w:val="005214C9"/>
    <w:rsid w:val="00521BCB"/>
    <w:rsid w:val="0052224F"/>
    <w:rsid w:val="00522FAF"/>
    <w:rsid w:val="0052314F"/>
    <w:rsid w:val="0052328C"/>
    <w:rsid w:val="005245B0"/>
    <w:rsid w:val="00524CD1"/>
    <w:rsid w:val="0052507B"/>
    <w:rsid w:val="00525158"/>
    <w:rsid w:val="00525DC2"/>
    <w:rsid w:val="00526685"/>
    <w:rsid w:val="005274AA"/>
    <w:rsid w:val="00532829"/>
    <w:rsid w:val="00532E32"/>
    <w:rsid w:val="0053382E"/>
    <w:rsid w:val="00533D18"/>
    <w:rsid w:val="00533DA7"/>
    <w:rsid w:val="00533E46"/>
    <w:rsid w:val="005354FC"/>
    <w:rsid w:val="00535A71"/>
    <w:rsid w:val="00536016"/>
    <w:rsid w:val="0053629B"/>
    <w:rsid w:val="0054071E"/>
    <w:rsid w:val="0054090F"/>
    <w:rsid w:val="00541786"/>
    <w:rsid w:val="00541DBB"/>
    <w:rsid w:val="00542CCD"/>
    <w:rsid w:val="005432C1"/>
    <w:rsid w:val="0054378A"/>
    <w:rsid w:val="00543D91"/>
    <w:rsid w:val="00543FBB"/>
    <w:rsid w:val="0054430E"/>
    <w:rsid w:val="00544716"/>
    <w:rsid w:val="00544A4E"/>
    <w:rsid w:val="00546D2E"/>
    <w:rsid w:val="0054725B"/>
    <w:rsid w:val="005474C4"/>
    <w:rsid w:val="005500A5"/>
    <w:rsid w:val="005509BF"/>
    <w:rsid w:val="005518EF"/>
    <w:rsid w:val="00551E9D"/>
    <w:rsid w:val="00552676"/>
    <w:rsid w:val="00553051"/>
    <w:rsid w:val="005532C0"/>
    <w:rsid w:val="005533CD"/>
    <w:rsid w:val="0055344A"/>
    <w:rsid w:val="00553626"/>
    <w:rsid w:val="00553E89"/>
    <w:rsid w:val="00554426"/>
    <w:rsid w:val="00554B4D"/>
    <w:rsid w:val="00554D8E"/>
    <w:rsid w:val="00555383"/>
    <w:rsid w:val="00555C37"/>
    <w:rsid w:val="0055702A"/>
    <w:rsid w:val="005576C7"/>
    <w:rsid w:val="00557D4E"/>
    <w:rsid w:val="00561654"/>
    <w:rsid w:val="00561CFF"/>
    <w:rsid w:val="00561E56"/>
    <w:rsid w:val="005625A8"/>
    <w:rsid w:val="00562FA4"/>
    <w:rsid w:val="005633E5"/>
    <w:rsid w:val="0056432A"/>
    <w:rsid w:val="00564407"/>
    <w:rsid w:val="0056443B"/>
    <w:rsid w:val="00564954"/>
    <w:rsid w:val="00564E04"/>
    <w:rsid w:val="00565D4A"/>
    <w:rsid w:val="00566CBD"/>
    <w:rsid w:val="00567456"/>
    <w:rsid w:val="005677FE"/>
    <w:rsid w:val="00567AA9"/>
    <w:rsid w:val="00567C37"/>
    <w:rsid w:val="00567C55"/>
    <w:rsid w:val="00570299"/>
    <w:rsid w:val="00570347"/>
    <w:rsid w:val="005706E0"/>
    <w:rsid w:val="0057259A"/>
    <w:rsid w:val="005732F9"/>
    <w:rsid w:val="005739AE"/>
    <w:rsid w:val="00573BCA"/>
    <w:rsid w:val="005748D3"/>
    <w:rsid w:val="005748FD"/>
    <w:rsid w:val="00574FBD"/>
    <w:rsid w:val="0057529D"/>
    <w:rsid w:val="005771E6"/>
    <w:rsid w:val="005779DB"/>
    <w:rsid w:val="005779F9"/>
    <w:rsid w:val="00577F48"/>
    <w:rsid w:val="005811BB"/>
    <w:rsid w:val="00581750"/>
    <w:rsid w:val="005817C8"/>
    <w:rsid w:val="005819CD"/>
    <w:rsid w:val="0058243C"/>
    <w:rsid w:val="0058254A"/>
    <w:rsid w:val="00583EA8"/>
    <w:rsid w:val="0058429D"/>
    <w:rsid w:val="0058443A"/>
    <w:rsid w:val="005844B7"/>
    <w:rsid w:val="00585719"/>
    <w:rsid w:val="005857AA"/>
    <w:rsid w:val="00585D8E"/>
    <w:rsid w:val="00586816"/>
    <w:rsid w:val="00587D8F"/>
    <w:rsid w:val="00590B02"/>
    <w:rsid w:val="00591290"/>
    <w:rsid w:val="005919A7"/>
    <w:rsid w:val="00593737"/>
    <w:rsid w:val="00594A78"/>
    <w:rsid w:val="005961A4"/>
    <w:rsid w:val="005965DF"/>
    <w:rsid w:val="005977A3"/>
    <w:rsid w:val="00597A60"/>
    <w:rsid w:val="005A12E0"/>
    <w:rsid w:val="005A2640"/>
    <w:rsid w:val="005A2795"/>
    <w:rsid w:val="005A28BF"/>
    <w:rsid w:val="005A3422"/>
    <w:rsid w:val="005A3A6D"/>
    <w:rsid w:val="005A48BA"/>
    <w:rsid w:val="005A4A06"/>
    <w:rsid w:val="005A4F01"/>
    <w:rsid w:val="005A51D1"/>
    <w:rsid w:val="005A5269"/>
    <w:rsid w:val="005A526E"/>
    <w:rsid w:val="005A6036"/>
    <w:rsid w:val="005A7CE7"/>
    <w:rsid w:val="005B02BC"/>
    <w:rsid w:val="005B0D7D"/>
    <w:rsid w:val="005B1117"/>
    <w:rsid w:val="005B16EA"/>
    <w:rsid w:val="005B1DA5"/>
    <w:rsid w:val="005B28BE"/>
    <w:rsid w:val="005B45F1"/>
    <w:rsid w:val="005B52EA"/>
    <w:rsid w:val="005B62FF"/>
    <w:rsid w:val="005B6BF1"/>
    <w:rsid w:val="005BAF00"/>
    <w:rsid w:val="005C0168"/>
    <w:rsid w:val="005C12F5"/>
    <w:rsid w:val="005C148B"/>
    <w:rsid w:val="005C1CE1"/>
    <w:rsid w:val="005C2C67"/>
    <w:rsid w:val="005C33B3"/>
    <w:rsid w:val="005C3D8A"/>
    <w:rsid w:val="005C52C2"/>
    <w:rsid w:val="005C5950"/>
    <w:rsid w:val="005C5A87"/>
    <w:rsid w:val="005C5C05"/>
    <w:rsid w:val="005C7CE0"/>
    <w:rsid w:val="005C7FCA"/>
    <w:rsid w:val="005D10B1"/>
    <w:rsid w:val="005D13F1"/>
    <w:rsid w:val="005D21C5"/>
    <w:rsid w:val="005D2204"/>
    <w:rsid w:val="005D28BB"/>
    <w:rsid w:val="005D3504"/>
    <w:rsid w:val="005D3B43"/>
    <w:rsid w:val="005D50BD"/>
    <w:rsid w:val="005D58C3"/>
    <w:rsid w:val="005D6A2F"/>
    <w:rsid w:val="005D6BF3"/>
    <w:rsid w:val="005D74F0"/>
    <w:rsid w:val="005D759D"/>
    <w:rsid w:val="005E0772"/>
    <w:rsid w:val="005E0D0C"/>
    <w:rsid w:val="005E0E29"/>
    <w:rsid w:val="005E1366"/>
    <w:rsid w:val="005E1740"/>
    <w:rsid w:val="005E2B12"/>
    <w:rsid w:val="005E2E6C"/>
    <w:rsid w:val="005E313D"/>
    <w:rsid w:val="005E5211"/>
    <w:rsid w:val="005E5572"/>
    <w:rsid w:val="005E57B1"/>
    <w:rsid w:val="005E5897"/>
    <w:rsid w:val="005E5AF1"/>
    <w:rsid w:val="005E699E"/>
    <w:rsid w:val="005E6A9E"/>
    <w:rsid w:val="005E6D5A"/>
    <w:rsid w:val="005E6E8D"/>
    <w:rsid w:val="005E7ADF"/>
    <w:rsid w:val="005E7B1E"/>
    <w:rsid w:val="005F101C"/>
    <w:rsid w:val="005F1256"/>
    <w:rsid w:val="005F14F3"/>
    <w:rsid w:val="005F1CAA"/>
    <w:rsid w:val="005F290F"/>
    <w:rsid w:val="005F2AA3"/>
    <w:rsid w:val="005F322B"/>
    <w:rsid w:val="005F4335"/>
    <w:rsid w:val="005F4E97"/>
    <w:rsid w:val="005F66C7"/>
    <w:rsid w:val="005F7F36"/>
    <w:rsid w:val="006005A9"/>
    <w:rsid w:val="00600962"/>
    <w:rsid w:val="00600DBA"/>
    <w:rsid w:val="00600EC4"/>
    <w:rsid w:val="00602914"/>
    <w:rsid w:val="006033F2"/>
    <w:rsid w:val="00603F3C"/>
    <w:rsid w:val="006060C6"/>
    <w:rsid w:val="00606D48"/>
    <w:rsid w:val="006070F5"/>
    <w:rsid w:val="0060717C"/>
    <w:rsid w:val="0060722F"/>
    <w:rsid w:val="00607671"/>
    <w:rsid w:val="00610D58"/>
    <w:rsid w:val="006117D5"/>
    <w:rsid w:val="00611E21"/>
    <w:rsid w:val="006134C9"/>
    <w:rsid w:val="0061410D"/>
    <w:rsid w:val="00614660"/>
    <w:rsid w:val="006152F3"/>
    <w:rsid w:val="006156B3"/>
    <w:rsid w:val="006160C1"/>
    <w:rsid w:val="00616A1B"/>
    <w:rsid w:val="00620118"/>
    <w:rsid w:val="006204B1"/>
    <w:rsid w:val="00620999"/>
    <w:rsid w:val="006215DB"/>
    <w:rsid w:val="0062190E"/>
    <w:rsid w:val="00621CA5"/>
    <w:rsid w:val="006227E8"/>
    <w:rsid w:val="006234A2"/>
    <w:rsid w:val="0062393B"/>
    <w:rsid w:val="00623DBD"/>
    <w:rsid w:val="00624199"/>
    <w:rsid w:val="00625A5D"/>
    <w:rsid w:val="00627B43"/>
    <w:rsid w:val="006312DC"/>
    <w:rsid w:val="00631542"/>
    <w:rsid w:val="00631700"/>
    <w:rsid w:val="00631A9B"/>
    <w:rsid w:val="00631C78"/>
    <w:rsid w:val="0063284E"/>
    <w:rsid w:val="00633085"/>
    <w:rsid w:val="0063316B"/>
    <w:rsid w:val="00633A13"/>
    <w:rsid w:val="00633D25"/>
    <w:rsid w:val="006342DA"/>
    <w:rsid w:val="006379EC"/>
    <w:rsid w:val="00637C87"/>
    <w:rsid w:val="006414D6"/>
    <w:rsid w:val="0064192D"/>
    <w:rsid w:val="00641D95"/>
    <w:rsid w:val="006450AB"/>
    <w:rsid w:val="00645D97"/>
    <w:rsid w:val="006463FA"/>
    <w:rsid w:val="00647444"/>
    <w:rsid w:val="00650128"/>
    <w:rsid w:val="006517BA"/>
    <w:rsid w:val="0065238B"/>
    <w:rsid w:val="00652495"/>
    <w:rsid w:val="00652A97"/>
    <w:rsid w:val="006532E9"/>
    <w:rsid w:val="00653F5C"/>
    <w:rsid w:val="006540B4"/>
    <w:rsid w:val="00655E22"/>
    <w:rsid w:val="00660359"/>
    <w:rsid w:val="00660477"/>
    <w:rsid w:val="006608D1"/>
    <w:rsid w:val="00660E0C"/>
    <w:rsid w:val="00661031"/>
    <w:rsid w:val="00661B4D"/>
    <w:rsid w:val="00662A1F"/>
    <w:rsid w:val="006639E5"/>
    <w:rsid w:val="00664295"/>
    <w:rsid w:val="00664E22"/>
    <w:rsid w:val="00665223"/>
    <w:rsid w:val="006654F0"/>
    <w:rsid w:val="006662C2"/>
    <w:rsid w:val="00667013"/>
    <w:rsid w:val="006673A8"/>
    <w:rsid w:val="00667721"/>
    <w:rsid w:val="00670EB5"/>
    <w:rsid w:val="006710AE"/>
    <w:rsid w:val="00671618"/>
    <w:rsid w:val="00672DA6"/>
    <w:rsid w:val="006733A2"/>
    <w:rsid w:val="00673CA3"/>
    <w:rsid w:val="00673CA6"/>
    <w:rsid w:val="00674B04"/>
    <w:rsid w:val="00675102"/>
    <w:rsid w:val="0067623E"/>
    <w:rsid w:val="00676FCB"/>
    <w:rsid w:val="006776FC"/>
    <w:rsid w:val="00681C7A"/>
    <w:rsid w:val="00681F7D"/>
    <w:rsid w:val="00683253"/>
    <w:rsid w:val="0068330E"/>
    <w:rsid w:val="006834BB"/>
    <w:rsid w:val="00684057"/>
    <w:rsid w:val="00684491"/>
    <w:rsid w:val="00684C06"/>
    <w:rsid w:val="0068548B"/>
    <w:rsid w:val="00685D92"/>
    <w:rsid w:val="0068658A"/>
    <w:rsid w:val="0068667C"/>
    <w:rsid w:val="00686DFF"/>
    <w:rsid w:val="00687B25"/>
    <w:rsid w:val="006918CA"/>
    <w:rsid w:val="0069196A"/>
    <w:rsid w:val="00695B43"/>
    <w:rsid w:val="00695E96"/>
    <w:rsid w:val="006969A6"/>
    <w:rsid w:val="00696C90"/>
    <w:rsid w:val="00697E32"/>
    <w:rsid w:val="006A073D"/>
    <w:rsid w:val="006A0785"/>
    <w:rsid w:val="006A1528"/>
    <w:rsid w:val="006A2704"/>
    <w:rsid w:val="006A2A69"/>
    <w:rsid w:val="006A3062"/>
    <w:rsid w:val="006A3C0E"/>
    <w:rsid w:val="006A40E2"/>
    <w:rsid w:val="006A6764"/>
    <w:rsid w:val="006B0F72"/>
    <w:rsid w:val="006B221F"/>
    <w:rsid w:val="006B2426"/>
    <w:rsid w:val="006B328D"/>
    <w:rsid w:val="006B3595"/>
    <w:rsid w:val="006B3F95"/>
    <w:rsid w:val="006B44C8"/>
    <w:rsid w:val="006B4538"/>
    <w:rsid w:val="006B4910"/>
    <w:rsid w:val="006B4E38"/>
    <w:rsid w:val="006B4FBB"/>
    <w:rsid w:val="006B5F49"/>
    <w:rsid w:val="006B633C"/>
    <w:rsid w:val="006B6977"/>
    <w:rsid w:val="006B6E7E"/>
    <w:rsid w:val="006B7526"/>
    <w:rsid w:val="006B7BF7"/>
    <w:rsid w:val="006BF472"/>
    <w:rsid w:val="006C0AC7"/>
    <w:rsid w:val="006C0AFB"/>
    <w:rsid w:val="006C105F"/>
    <w:rsid w:val="006C1410"/>
    <w:rsid w:val="006C15D3"/>
    <w:rsid w:val="006C2E61"/>
    <w:rsid w:val="006C34CC"/>
    <w:rsid w:val="006C5A6B"/>
    <w:rsid w:val="006C6F43"/>
    <w:rsid w:val="006C6F94"/>
    <w:rsid w:val="006D2D76"/>
    <w:rsid w:val="006D5239"/>
    <w:rsid w:val="006D5C53"/>
    <w:rsid w:val="006D6CB1"/>
    <w:rsid w:val="006D6E50"/>
    <w:rsid w:val="006D7D9F"/>
    <w:rsid w:val="006D7E2C"/>
    <w:rsid w:val="006E0C5E"/>
    <w:rsid w:val="006E0FD9"/>
    <w:rsid w:val="006E2C43"/>
    <w:rsid w:val="006E2D47"/>
    <w:rsid w:val="006E5CFD"/>
    <w:rsid w:val="006F12C5"/>
    <w:rsid w:val="006F15FF"/>
    <w:rsid w:val="006F166C"/>
    <w:rsid w:val="006F16E2"/>
    <w:rsid w:val="006F229A"/>
    <w:rsid w:val="006F3295"/>
    <w:rsid w:val="006F43B2"/>
    <w:rsid w:val="006F5021"/>
    <w:rsid w:val="006F599C"/>
    <w:rsid w:val="006F6BEB"/>
    <w:rsid w:val="006F7550"/>
    <w:rsid w:val="006F7D14"/>
    <w:rsid w:val="007000FA"/>
    <w:rsid w:val="007007F7"/>
    <w:rsid w:val="0070128F"/>
    <w:rsid w:val="0070204F"/>
    <w:rsid w:val="0070297A"/>
    <w:rsid w:val="00703212"/>
    <w:rsid w:val="00703B46"/>
    <w:rsid w:val="00704795"/>
    <w:rsid w:val="007057EA"/>
    <w:rsid w:val="00705F22"/>
    <w:rsid w:val="00705FAC"/>
    <w:rsid w:val="00706371"/>
    <w:rsid w:val="00710159"/>
    <w:rsid w:val="00710314"/>
    <w:rsid w:val="007113FC"/>
    <w:rsid w:val="00713A6E"/>
    <w:rsid w:val="00713B61"/>
    <w:rsid w:val="00714751"/>
    <w:rsid w:val="00717195"/>
    <w:rsid w:val="00717961"/>
    <w:rsid w:val="00720815"/>
    <w:rsid w:val="00720C5E"/>
    <w:rsid w:val="00721347"/>
    <w:rsid w:val="00721B5F"/>
    <w:rsid w:val="007229F3"/>
    <w:rsid w:val="00722D1B"/>
    <w:rsid w:val="00722EF1"/>
    <w:rsid w:val="0072366B"/>
    <w:rsid w:val="00723D7A"/>
    <w:rsid w:val="00724208"/>
    <w:rsid w:val="00724367"/>
    <w:rsid w:val="00724E3F"/>
    <w:rsid w:val="00725F02"/>
    <w:rsid w:val="00726250"/>
    <w:rsid w:val="00727275"/>
    <w:rsid w:val="00730578"/>
    <w:rsid w:val="00730A5F"/>
    <w:rsid w:val="00730D30"/>
    <w:rsid w:val="0073109D"/>
    <w:rsid w:val="00731465"/>
    <w:rsid w:val="00731733"/>
    <w:rsid w:val="0073271D"/>
    <w:rsid w:val="00733637"/>
    <w:rsid w:val="00733CAB"/>
    <w:rsid w:val="007340D0"/>
    <w:rsid w:val="007349A7"/>
    <w:rsid w:val="007349BC"/>
    <w:rsid w:val="00734D25"/>
    <w:rsid w:val="0073502F"/>
    <w:rsid w:val="00737B2C"/>
    <w:rsid w:val="00737DB0"/>
    <w:rsid w:val="00741348"/>
    <w:rsid w:val="00741613"/>
    <w:rsid w:val="00741EFE"/>
    <w:rsid w:val="00742076"/>
    <w:rsid w:val="0074340C"/>
    <w:rsid w:val="007453CD"/>
    <w:rsid w:val="00746112"/>
    <w:rsid w:val="00746A1F"/>
    <w:rsid w:val="0074AE1B"/>
    <w:rsid w:val="00750123"/>
    <w:rsid w:val="0075060A"/>
    <w:rsid w:val="00750B50"/>
    <w:rsid w:val="007516D2"/>
    <w:rsid w:val="00751C59"/>
    <w:rsid w:val="0075247D"/>
    <w:rsid w:val="00752FE1"/>
    <w:rsid w:val="00753671"/>
    <w:rsid w:val="0075368E"/>
    <w:rsid w:val="007537A3"/>
    <w:rsid w:val="00754048"/>
    <w:rsid w:val="00754721"/>
    <w:rsid w:val="00755BBB"/>
    <w:rsid w:val="00755BF8"/>
    <w:rsid w:val="0075660E"/>
    <w:rsid w:val="00756A1E"/>
    <w:rsid w:val="0075764C"/>
    <w:rsid w:val="00757866"/>
    <w:rsid w:val="00757E7B"/>
    <w:rsid w:val="00757FE6"/>
    <w:rsid w:val="007604BB"/>
    <w:rsid w:val="007616FC"/>
    <w:rsid w:val="0076290B"/>
    <w:rsid w:val="00762AFA"/>
    <w:rsid w:val="00763587"/>
    <w:rsid w:val="0076394B"/>
    <w:rsid w:val="007669EF"/>
    <w:rsid w:val="007674FF"/>
    <w:rsid w:val="00767DAD"/>
    <w:rsid w:val="00771695"/>
    <w:rsid w:val="00771FDA"/>
    <w:rsid w:val="00772428"/>
    <w:rsid w:val="00772CAF"/>
    <w:rsid w:val="00773BFA"/>
    <w:rsid w:val="00774574"/>
    <w:rsid w:val="00774583"/>
    <w:rsid w:val="00774838"/>
    <w:rsid w:val="00774D13"/>
    <w:rsid w:val="00776856"/>
    <w:rsid w:val="00776C70"/>
    <w:rsid w:val="007774D4"/>
    <w:rsid w:val="00777CE7"/>
    <w:rsid w:val="00780244"/>
    <w:rsid w:val="00781894"/>
    <w:rsid w:val="00782034"/>
    <w:rsid w:val="00782DB7"/>
    <w:rsid w:val="00783C56"/>
    <w:rsid w:val="00784EBA"/>
    <w:rsid w:val="00784FDE"/>
    <w:rsid w:val="007865B0"/>
    <w:rsid w:val="00786DF0"/>
    <w:rsid w:val="007915C5"/>
    <w:rsid w:val="00791BA1"/>
    <w:rsid w:val="00791D31"/>
    <w:rsid w:val="0079646A"/>
    <w:rsid w:val="0079742F"/>
    <w:rsid w:val="00797445"/>
    <w:rsid w:val="007A0ABE"/>
    <w:rsid w:val="007A0B03"/>
    <w:rsid w:val="007A0FCA"/>
    <w:rsid w:val="007A15BA"/>
    <w:rsid w:val="007A18CC"/>
    <w:rsid w:val="007A2389"/>
    <w:rsid w:val="007A2982"/>
    <w:rsid w:val="007A2E33"/>
    <w:rsid w:val="007A35FA"/>
    <w:rsid w:val="007A3BEA"/>
    <w:rsid w:val="007A4313"/>
    <w:rsid w:val="007A4336"/>
    <w:rsid w:val="007A49D8"/>
    <w:rsid w:val="007A5F6D"/>
    <w:rsid w:val="007A628E"/>
    <w:rsid w:val="007A6924"/>
    <w:rsid w:val="007A6C40"/>
    <w:rsid w:val="007B0311"/>
    <w:rsid w:val="007B0CCB"/>
    <w:rsid w:val="007B12D1"/>
    <w:rsid w:val="007B1B33"/>
    <w:rsid w:val="007B2C7C"/>
    <w:rsid w:val="007B3628"/>
    <w:rsid w:val="007B395C"/>
    <w:rsid w:val="007B4974"/>
    <w:rsid w:val="007B55F4"/>
    <w:rsid w:val="007B58E6"/>
    <w:rsid w:val="007B61BE"/>
    <w:rsid w:val="007B6540"/>
    <w:rsid w:val="007B79DE"/>
    <w:rsid w:val="007B7DB9"/>
    <w:rsid w:val="007B7F6D"/>
    <w:rsid w:val="007C0340"/>
    <w:rsid w:val="007C059F"/>
    <w:rsid w:val="007C06F6"/>
    <w:rsid w:val="007C075F"/>
    <w:rsid w:val="007C13CF"/>
    <w:rsid w:val="007C17AE"/>
    <w:rsid w:val="007C1AC9"/>
    <w:rsid w:val="007C286C"/>
    <w:rsid w:val="007C2B2C"/>
    <w:rsid w:val="007C2BB7"/>
    <w:rsid w:val="007C4C4D"/>
    <w:rsid w:val="007C4D9F"/>
    <w:rsid w:val="007C5003"/>
    <w:rsid w:val="007C5221"/>
    <w:rsid w:val="007C5389"/>
    <w:rsid w:val="007C5A0E"/>
    <w:rsid w:val="007C5DB8"/>
    <w:rsid w:val="007C6112"/>
    <w:rsid w:val="007C65E2"/>
    <w:rsid w:val="007C6AA6"/>
    <w:rsid w:val="007C70D3"/>
    <w:rsid w:val="007C72CC"/>
    <w:rsid w:val="007C7A55"/>
    <w:rsid w:val="007CDC33"/>
    <w:rsid w:val="007D025B"/>
    <w:rsid w:val="007D0842"/>
    <w:rsid w:val="007D2173"/>
    <w:rsid w:val="007D26D0"/>
    <w:rsid w:val="007D2F04"/>
    <w:rsid w:val="007D3561"/>
    <w:rsid w:val="007D38E4"/>
    <w:rsid w:val="007D48C9"/>
    <w:rsid w:val="007D5221"/>
    <w:rsid w:val="007D6619"/>
    <w:rsid w:val="007D73A0"/>
    <w:rsid w:val="007D7EBD"/>
    <w:rsid w:val="007E0155"/>
    <w:rsid w:val="007E03B1"/>
    <w:rsid w:val="007E0D53"/>
    <w:rsid w:val="007E1F73"/>
    <w:rsid w:val="007E2159"/>
    <w:rsid w:val="007E282C"/>
    <w:rsid w:val="007E338E"/>
    <w:rsid w:val="007E3E24"/>
    <w:rsid w:val="007E4D19"/>
    <w:rsid w:val="007E5A95"/>
    <w:rsid w:val="007E60B1"/>
    <w:rsid w:val="007E6160"/>
    <w:rsid w:val="007E6321"/>
    <w:rsid w:val="007E6402"/>
    <w:rsid w:val="007E6BA2"/>
    <w:rsid w:val="007E720F"/>
    <w:rsid w:val="007EE1CA"/>
    <w:rsid w:val="007F209B"/>
    <w:rsid w:val="007F2320"/>
    <w:rsid w:val="007F28CF"/>
    <w:rsid w:val="007F28D4"/>
    <w:rsid w:val="007F3AD7"/>
    <w:rsid w:val="007F43BD"/>
    <w:rsid w:val="007F4B33"/>
    <w:rsid w:val="007F5607"/>
    <w:rsid w:val="007F562B"/>
    <w:rsid w:val="007F681C"/>
    <w:rsid w:val="008002B3"/>
    <w:rsid w:val="00800808"/>
    <w:rsid w:val="00801226"/>
    <w:rsid w:val="008025F4"/>
    <w:rsid w:val="008032A0"/>
    <w:rsid w:val="00804537"/>
    <w:rsid w:val="00805567"/>
    <w:rsid w:val="00805886"/>
    <w:rsid w:val="00806399"/>
    <w:rsid w:val="008102EA"/>
    <w:rsid w:val="00812291"/>
    <w:rsid w:val="008135CB"/>
    <w:rsid w:val="00813CCB"/>
    <w:rsid w:val="00813F7E"/>
    <w:rsid w:val="00813FB4"/>
    <w:rsid w:val="0081416E"/>
    <w:rsid w:val="008150AF"/>
    <w:rsid w:val="008153C2"/>
    <w:rsid w:val="00815C15"/>
    <w:rsid w:val="00817E6D"/>
    <w:rsid w:val="008200FC"/>
    <w:rsid w:val="008209C7"/>
    <w:rsid w:val="00821E7B"/>
    <w:rsid w:val="0082292A"/>
    <w:rsid w:val="00823860"/>
    <w:rsid w:val="00826B53"/>
    <w:rsid w:val="00826E17"/>
    <w:rsid w:val="008270D0"/>
    <w:rsid w:val="008275A5"/>
    <w:rsid w:val="00827E2D"/>
    <w:rsid w:val="00830051"/>
    <w:rsid w:val="008315BF"/>
    <w:rsid w:val="00832B58"/>
    <w:rsid w:val="00832E8C"/>
    <w:rsid w:val="00833AB5"/>
    <w:rsid w:val="00834162"/>
    <w:rsid w:val="00834343"/>
    <w:rsid w:val="00834572"/>
    <w:rsid w:val="008355F8"/>
    <w:rsid w:val="008358B3"/>
    <w:rsid w:val="00835DB6"/>
    <w:rsid w:val="008400EF"/>
    <w:rsid w:val="00840AD7"/>
    <w:rsid w:val="00840B8F"/>
    <w:rsid w:val="00840C9C"/>
    <w:rsid w:val="008414FA"/>
    <w:rsid w:val="008415D3"/>
    <w:rsid w:val="0084181B"/>
    <w:rsid w:val="00842DC3"/>
    <w:rsid w:val="00843242"/>
    <w:rsid w:val="00843D36"/>
    <w:rsid w:val="008440E7"/>
    <w:rsid w:val="008455EE"/>
    <w:rsid w:val="00846035"/>
    <w:rsid w:val="00847081"/>
    <w:rsid w:val="0084735D"/>
    <w:rsid w:val="008476DC"/>
    <w:rsid w:val="00847C8C"/>
    <w:rsid w:val="00847DBC"/>
    <w:rsid w:val="0084B9C1"/>
    <w:rsid w:val="00851C97"/>
    <w:rsid w:val="00851DB6"/>
    <w:rsid w:val="0085295E"/>
    <w:rsid w:val="00852C0F"/>
    <w:rsid w:val="00853EE5"/>
    <w:rsid w:val="008546A0"/>
    <w:rsid w:val="008557A1"/>
    <w:rsid w:val="00855E3B"/>
    <w:rsid w:val="00856183"/>
    <w:rsid w:val="00856DE9"/>
    <w:rsid w:val="00857508"/>
    <w:rsid w:val="008576B2"/>
    <w:rsid w:val="0086001C"/>
    <w:rsid w:val="00860434"/>
    <w:rsid w:val="00860990"/>
    <w:rsid w:val="00863584"/>
    <w:rsid w:val="00863E61"/>
    <w:rsid w:val="0086422C"/>
    <w:rsid w:val="00865D3B"/>
    <w:rsid w:val="00866343"/>
    <w:rsid w:val="0086670D"/>
    <w:rsid w:val="00867574"/>
    <w:rsid w:val="00867AF5"/>
    <w:rsid w:val="00871AAB"/>
    <w:rsid w:val="00871FB6"/>
    <w:rsid w:val="008723AE"/>
    <w:rsid w:val="008734F2"/>
    <w:rsid w:val="00873B47"/>
    <w:rsid w:val="00873FCD"/>
    <w:rsid w:val="008742CD"/>
    <w:rsid w:val="008744DC"/>
    <w:rsid w:val="00875C7E"/>
    <w:rsid w:val="0087677C"/>
    <w:rsid w:val="008768F6"/>
    <w:rsid w:val="00876ABC"/>
    <w:rsid w:val="00877BD9"/>
    <w:rsid w:val="008800DA"/>
    <w:rsid w:val="00881454"/>
    <w:rsid w:val="00881880"/>
    <w:rsid w:val="00881D79"/>
    <w:rsid w:val="00882AE7"/>
    <w:rsid w:val="00882E68"/>
    <w:rsid w:val="00882F6F"/>
    <w:rsid w:val="008831C3"/>
    <w:rsid w:val="008833F4"/>
    <w:rsid w:val="00883C4A"/>
    <w:rsid w:val="00884C19"/>
    <w:rsid w:val="008856A7"/>
    <w:rsid w:val="00885C35"/>
    <w:rsid w:val="00885C89"/>
    <w:rsid w:val="00885EDF"/>
    <w:rsid w:val="00886D4F"/>
    <w:rsid w:val="00886E3A"/>
    <w:rsid w:val="00886F48"/>
    <w:rsid w:val="008871EF"/>
    <w:rsid w:val="00887277"/>
    <w:rsid w:val="0088755C"/>
    <w:rsid w:val="00889E95"/>
    <w:rsid w:val="00891F88"/>
    <w:rsid w:val="008929C4"/>
    <w:rsid w:val="00892B05"/>
    <w:rsid w:val="00893932"/>
    <w:rsid w:val="008956BF"/>
    <w:rsid w:val="008968E9"/>
    <w:rsid w:val="00896AA3"/>
    <w:rsid w:val="00896C6E"/>
    <w:rsid w:val="008A0253"/>
    <w:rsid w:val="008A097E"/>
    <w:rsid w:val="008A0D20"/>
    <w:rsid w:val="008A1D8E"/>
    <w:rsid w:val="008A1FE5"/>
    <w:rsid w:val="008A4697"/>
    <w:rsid w:val="008A72B9"/>
    <w:rsid w:val="008A796A"/>
    <w:rsid w:val="008A7EFB"/>
    <w:rsid w:val="008B193A"/>
    <w:rsid w:val="008B1CCE"/>
    <w:rsid w:val="008B2183"/>
    <w:rsid w:val="008B2252"/>
    <w:rsid w:val="008B24B1"/>
    <w:rsid w:val="008B453C"/>
    <w:rsid w:val="008B533F"/>
    <w:rsid w:val="008B5549"/>
    <w:rsid w:val="008B5592"/>
    <w:rsid w:val="008B55DE"/>
    <w:rsid w:val="008B562B"/>
    <w:rsid w:val="008B6117"/>
    <w:rsid w:val="008B674A"/>
    <w:rsid w:val="008B6FDA"/>
    <w:rsid w:val="008C08E3"/>
    <w:rsid w:val="008C0C11"/>
    <w:rsid w:val="008C1D21"/>
    <w:rsid w:val="008C2681"/>
    <w:rsid w:val="008C324F"/>
    <w:rsid w:val="008C36AC"/>
    <w:rsid w:val="008C3ADC"/>
    <w:rsid w:val="008C57C1"/>
    <w:rsid w:val="008C6BB4"/>
    <w:rsid w:val="008C7027"/>
    <w:rsid w:val="008D0129"/>
    <w:rsid w:val="008D0359"/>
    <w:rsid w:val="008D0801"/>
    <w:rsid w:val="008D14EF"/>
    <w:rsid w:val="008D1FCB"/>
    <w:rsid w:val="008D269F"/>
    <w:rsid w:val="008D4094"/>
    <w:rsid w:val="008D41D7"/>
    <w:rsid w:val="008D50B1"/>
    <w:rsid w:val="008D5347"/>
    <w:rsid w:val="008D6030"/>
    <w:rsid w:val="008D61FE"/>
    <w:rsid w:val="008D66D3"/>
    <w:rsid w:val="008D6709"/>
    <w:rsid w:val="008D6A36"/>
    <w:rsid w:val="008D7233"/>
    <w:rsid w:val="008D763E"/>
    <w:rsid w:val="008D77C5"/>
    <w:rsid w:val="008D77DF"/>
    <w:rsid w:val="008D7D5C"/>
    <w:rsid w:val="008E0B82"/>
    <w:rsid w:val="008E1A5A"/>
    <w:rsid w:val="008E1CE4"/>
    <w:rsid w:val="008E235C"/>
    <w:rsid w:val="008E2ED6"/>
    <w:rsid w:val="008E43A9"/>
    <w:rsid w:val="008E4A1A"/>
    <w:rsid w:val="008E59BB"/>
    <w:rsid w:val="008E634F"/>
    <w:rsid w:val="008E7175"/>
    <w:rsid w:val="008E72E8"/>
    <w:rsid w:val="008E7531"/>
    <w:rsid w:val="008E78A8"/>
    <w:rsid w:val="008F21F4"/>
    <w:rsid w:val="008F2582"/>
    <w:rsid w:val="008F2B22"/>
    <w:rsid w:val="008F2FC4"/>
    <w:rsid w:val="008F3DFF"/>
    <w:rsid w:val="008F3ED3"/>
    <w:rsid w:val="008F4576"/>
    <w:rsid w:val="008F5548"/>
    <w:rsid w:val="008F7207"/>
    <w:rsid w:val="008F7C39"/>
    <w:rsid w:val="00900221"/>
    <w:rsid w:val="009002F3"/>
    <w:rsid w:val="0090039D"/>
    <w:rsid w:val="00900C4D"/>
    <w:rsid w:val="00900F40"/>
    <w:rsid w:val="00902351"/>
    <w:rsid w:val="009026B1"/>
    <w:rsid w:val="0090323A"/>
    <w:rsid w:val="00903821"/>
    <w:rsid w:val="00903DCB"/>
    <w:rsid w:val="009045DB"/>
    <w:rsid w:val="00906001"/>
    <w:rsid w:val="00906287"/>
    <w:rsid w:val="00906551"/>
    <w:rsid w:val="00906A2C"/>
    <w:rsid w:val="00907BB8"/>
    <w:rsid w:val="00907FDB"/>
    <w:rsid w:val="009101EB"/>
    <w:rsid w:val="00910F4A"/>
    <w:rsid w:val="009114B7"/>
    <w:rsid w:val="009123AE"/>
    <w:rsid w:val="00912711"/>
    <w:rsid w:val="009131D9"/>
    <w:rsid w:val="0091367E"/>
    <w:rsid w:val="0091379E"/>
    <w:rsid w:val="00913E50"/>
    <w:rsid w:val="00914525"/>
    <w:rsid w:val="009149E8"/>
    <w:rsid w:val="00914D96"/>
    <w:rsid w:val="00914FB7"/>
    <w:rsid w:val="00915C26"/>
    <w:rsid w:val="00916422"/>
    <w:rsid w:val="0091661B"/>
    <w:rsid w:val="009177F8"/>
    <w:rsid w:val="00917910"/>
    <w:rsid w:val="00920553"/>
    <w:rsid w:val="00922014"/>
    <w:rsid w:val="009225B9"/>
    <w:rsid w:val="00922C9E"/>
    <w:rsid w:val="00923011"/>
    <w:rsid w:val="00923052"/>
    <w:rsid w:val="00923301"/>
    <w:rsid w:val="009242C3"/>
    <w:rsid w:val="009243E6"/>
    <w:rsid w:val="009244D7"/>
    <w:rsid w:val="00925555"/>
    <w:rsid w:val="00925E09"/>
    <w:rsid w:val="009260D2"/>
    <w:rsid w:val="00927166"/>
    <w:rsid w:val="009274CC"/>
    <w:rsid w:val="0092787A"/>
    <w:rsid w:val="009305DA"/>
    <w:rsid w:val="009309DB"/>
    <w:rsid w:val="00930DF1"/>
    <w:rsid w:val="009316E8"/>
    <w:rsid w:val="009318A6"/>
    <w:rsid w:val="009323B4"/>
    <w:rsid w:val="00933541"/>
    <w:rsid w:val="00933E85"/>
    <w:rsid w:val="009348E9"/>
    <w:rsid w:val="00934CE4"/>
    <w:rsid w:val="00935011"/>
    <w:rsid w:val="00935FFD"/>
    <w:rsid w:val="00936B70"/>
    <w:rsid w:val="00936BC9"/>
    <w:rsid w:val="00937EB1"/>
    <w:rsid w:val="00940206"/>
    <w:rsid w:val="00940343"/>
    <w:rsid w:val="00940B3F"/>
    <w:rsid w:val="0094186D"/>
    <w:rsid w:val="00943175"/>
    <w:rsid w:val="00943203"/>
    <w:rsid w:val="00943756"/>
    <w:rsid w:val="00943B5A"/>
    <w:rsid w:val="00943C69"/>
    <w:rsid w:val="00943D4E"/>
    <w:rsid w:val="00943F07"/>
    <w:rsid w:val="00944471"/>
    <w:rsid w:val="00944D1D"/>
    <w:rsid w:val="00945078"/>
    <w:rsid w:val="009457A8"/>
    <w:rsid w:val="009459D8"/>
    <w:rsid w:val="0094744A"/>
    <w:rsid w:val="0094754F"/>
    <w:rsid w:val="009476FB"/>
    <w:rsid w:val="00947E62"/>
    <w:rsid w:val="009503BE"/>
    <w:rsid w:val="009519CC"/>
    <w:rsid w:val="00951D27"/>
    <w:rsid w:val="009524B2"/>
    <w:rsid w:val="009532AA"/>
    <w:rsid w:val="009533B4"/>
    <w:rsid w:val="0095370A"/>
    <w:rsid w:val="00954463"/>
    <w:rsid w:val="00954F3C"/>
    <w:rsid w:val="0095503D"/>
    <w:rsid w:val="00955085"/>
    <w:rsid w:val="00955835"/>
    <w:rsid w:val="00960465"/>
    <w:rsid w:val="0096116A"/>
    <w:rsid w:val="00961179"/>
    <w:rsid w:val="00962849"/>
    <w:rsid w:val="00962D20"/>
    <w:rsid w:val="0096316E"/>
    <w:rsid w:val="00963542"/>
    <w:rsid w:val="00963750"/>
    <w:rsid w:val="009645F6"/>
    <w:rsid w:val="00965A4F"/>
    <w:rsid w:val="00965E23"/>
    <w:rsid w:val="00966061"/>
    <w:rsid w:val="009667C2"/>
    <w:rsid w:val="00966808"/>
    <w:rsid w:val="00967261"/>
    <w:rsid w:val="00970720"/>
    <w:rsid w:val="00970A79"/>
    <w:rsid w:val="00970E21"/>
    <w:rsid w:val="00970F81"/>
    <w:rsid w:val="00972AC5"/>
    <w:rsid w:val="00972B57"/>
    <w:rsid w:val="00972F2D"/>
    <w:rsid w:val="00973930"/>
    <w:rsid w:val="00974801"/>
    <w:rsid w:val="0097507C"/>
    <w:rsid w:val="009750F0"/>
    <w:rsid w:val="0097ADEA"/>
    <w:rsid w:val="00980A4C"/>
    <w:rsid w:val="00981614"/>
    <w:rsid w:val="009816A5"/>
    <w:rsid w:val="00981C9C"/>
    <w:rsid w:val="00983DEF"/>
    <w:rsid w:val="00986461"/>
    <w:rsid w:val="00986B33"/>
    <w:rsid w:val="00986DAF"/>
    <w:rsid w:val="00987AD5"/>
    <w:rsid w:val="009907D2"/>
    <w:rsid w:val="00991417"/>
    <w:rsid w:val="00991B22"/>
    <w:rsid w:val="00992F0F"/>
    <w:rsid w:val="00993470"/>
    <w:rsid w:val="00993841"/>
    <w:rsid w:val="009943AA"/>
    <w:rsid w:val="0099473F"/>
    <w:rsid w:val="0099481C"/>
    <w:rsid w:val="00994F70"/>
    <w:rsid w:val="00995731"/>
    <w:rsid w:val="00995859"/>
    <w:rsid w:val="0099667C"/>
    <w:rsid w:val="00997DEB"/>
    <w:rsid w:val="009A023A"/>
    <w:rsid w:val="009A0DFB"/>
    <w:rsid w:val="009A106D"/>
    <w:rsid w:val="009A1898"/>
    <w:rsid w:val="009A1A30"/>
    <w:rsid w:val="009A2651"/>
    <w:rsid w:val="009A2F04"/>
    <w:rsid w:val="009A4739"/>
    <w:rsid w:val="009A53D9"/>
    <w:rsid w:val="009A58AF"/>
    <w:rsid w:val="009A6231"/>
    <w:rsid w:val="009A7100"/>
    <w:rsid w:val="009A7903"/>
    <w:rsid w:val="009A8F52"/>
    <w:rsid w:val="009B055D"/>
    <w:rsid w:val="009B0F75"/>
    <w:rsid w:val="009B13E2"/>
    <w:rsid w:val="009B1AEB"/>
    <w:rsid w:val="009B1E62"/>
    <w:rsid w:val="009B3183"/>
    <w:rsid w:val="009B3404"/>
    <w:rsid w:val="009B3857"/>
    <w:rsid w:val="009B45EC"/>
    <w:rsid w:val="009B6166"/>
    <w:rsid w:val="009B6480"/>
    <w:rsid w:val="009B682B"/>
    <w:rsid w:val="009B6B66"/>
    <w:rsid w:val="009B6BBF"/>
    <w:rsid w:val="009B703D"/>
    <w:rsid w:val="009B7138"/>
    <w:rsid w:val="009B7F5D"/>
    <w:rsid w:val="009B7FCD"/>
    <w:rsid w:val="009C0641"/>
    <w:rsid w:val="009C0813"/>
    <w:rsid w:val="009C08C2"/>
    <w:rsid w:val="009C0B0F"/>
    <w:rsid w:val="009C1A4F"/>
    <w:rsid w:val="009C2EF2"/>
    <w:rsid w:val="009C3409"/>
    <w:rsid w:val="009C3E53"/>
    <w:rsid w:val="009C4D61"/>
    <w:rsid w:val="009C5FC4"/>
    <w:rsid w:val="009C652B"/>
    <w:rsid w:val="009C68A7"/>
    <w:rsid w:val="009C6E90"/>
    <w:rsid w:val="009C781E"/>
    <w:rsid w:val="009C78F1"/>
    <w:rsid w:val="009C79DC"/>
    <w:rsid w:val="009C7CF5"/>
    <w:rsid w:val="009D09AB"/>
    <w:rsid w:val="009D13DD"/>
    <w:rsid w:val="009D168A"/>
    <w:rsid w:val="009D2273"/>
    <w:rsid w:val="009D33E5"/>
    <w:rsid w:val="009D3E7C"/>
    <w:rsid w:val="009D4D0A"/>
    <w:rsid w:val="009D4E94"/>
    <w:rsid w:val="009D6844"/>
    <w:rsid w:val="009E005A"/>
    <w:rsid w:val="009E158A"/>
    <w:rsid w:val="009E21CA"/>
    <w:rsid w:val="009E2A1A"/>
    <w:rsid w:val="009E4C7E"/>
    <w:rsid w:val="009E5E47"/>
    <w:rsid w:val="009E6558"/>
    <w:rsid w:val="009E7252"/>
    <w:rsid w:val="009E7752"/>
    <w:rsid w:val="009E7A88"/>
    <w:rsid w:val="009E7B63"/>
    <w:rsid w:val="009F01BA"/>
    <w:rsid w:val="009F0687"/>
    <w:rsid w:val="009F11E2"/>
    <w:rsid w:val="009F2CAC"/>
    <w:rsid w:val="009F39E5"/>
    <w:rsid w:val="009F3B0F"/>
    <w:rsid w:val="009F41AA"/>
    <w:rsid w:val="009F495B"/>
    <w:rsid w:val="009F499A"/>
    <w:rsid w:val="009F4C9D"/>
    <w:rsid w:val="009F584F"/>
    <w:rsid w:val="009F5956"/>
    <w:rsid w:val="009F7AAB"/>
    <w:rsid w:val="00A00998"/>
    <w:rsid w:val="00A01800"/>
    <w:rsid w:val="00A02A70"/>
    <w:rsid w:val="00A03145"/>
    <w:rsid w:val="00A052A8"/>
    <w:rsid w:val="00A06577"/>
    <w:rsid w:val="00A07C01"/>
    <w:rsid w:val="00A1023C"/>
    <w:rsid w:val="00A10A0C"/>
    <w:rsid w:val="00A11FEA"/>
    <w:rsid w:val="00A12107"/>
    <w:rsid w:val="00A128DB"/>
    <w:rsid w:val="00A12B11"/>
    <w:rsid w:val="00A12CDD"/>
    <w:rsid w:val="00A12DFA"/>
    <w:rsid w:val="00A136A9"/>
    <w:rsid w:val="00A15336"/>
    <w:rsid w:val="00A1566C"/>
    <w:rsid w:val="00A159C7"/>
    <w:rsid w:val="00A15BA3"/>
    <w:rsid w:val="00A15E7F"/>
    <w:rsid w:val="00A15E9F"/>
    <w:rsid w:val="00A166D6"/>
    <w:rsid w:val="00A16739"/>
    <w:rsid w:val="00A20A27"/>
    <w:rsid w:val="00A21361"/>
    <w:rsid w:val="00A21380"/>
    <w:rsid w:val="00A220B2"/>
    <w:rsid w:val="00A22826"/>
    <w:rsid w:val="00A228C9"/>
    <w:rsid w:val="00A22B31"/>
    <w:rsid w:val="00A22E53"/>
    <w:rsid w:val="00A23515"/>
    <w:rsid w:val="00A23676"/>
    <w:rsid w:val="00A24D4C"/>
    <w:rsid w:val="00A24DC9"/>
    <w:rsid w:val="00A2659C"/>
    <w:rsid w:val="00A26929"/>
    <w:rsid w:val="00A27148"/>
    <w:rsid w:val="00A32958"/>
    <w:rsid w:val="00A33B96"/>
    <w:rsid w:val="00A33D81"/>
    <w:rsid w:val="00A34F7F"/>
    <w:rsid w:val="00A35A23"/>
    <w:rsid w:val="00A35BD7"/>
    <w:rsid w:val="00A3635E"/>
    <w:rsid w:val="00A36F3F"/>
    <w:rsid w:val="00A36FCC"/>
    <w:rsid w:val="00A37196"/>
    <w:rsid w:val="00A378A6"/>
    <w:rsid w:val="00A41191"/>
    <w:rsid w:val="00A429A0"/>
    <w:rsid w:val="00A445DE"/>
    <w:rsid w:val="00A467F9"/>
    <w:rsid w:val="00A46FA8"/>
    <w:rsid w:val="00A47920"/>
    <w:rsid w:val="00A50789"/>
    <w:rsid w:val="00A52219"/>
    <w:rsid w:val="00A524F5"/>
    <w:rsid w:val="00A526E3"/>
    <w:rsid w:val="00A537A6"/>
    <w:rsid w:val="00A550B4"/>
    <w:rsid w:val="00A55F9E"/>
    <w:rsid w:val="00A57735"/>
    <w:rsid w:val="00A579E0"/>
    <w:rsid w:val="00A60664"/>
    <w:rsid w:val="00A60AB3"/>
    <w:rsid w:val="00A630E6"/>
    <w:rsid w:val="00A633CC"/>
    <w:rsid w:val="00A63628"/>
    <w:rsid w:val="00A63BCA"/>
    <w:rsid w:val="00A63D1F"/>
    <w:rsid w:val="00A64594"/>
    <w:rsid w:val="00A6557A"/>
    <w:rsid w:val="00A65BA8"/>
    <w:rsid w:val="00A65EA5"/>
    <w:rsid w:val="00A66090"/>
    <w:rsid w:val="00A67049"/>
    <w:rsid w:val="00A67723"/>
    <w:rsid w:val="00A67EE9"/>
    <w:rsid w:val="00A70750"/>
    <w:rsid w:val="00A71641"/>
    <w:rsid w:val="00A71DEE"/>
    <w:rsid w:val="00A71FF8"/>
    <w:rsid w:val="00A73057"/>
    <w:rsid w:val="00A73408"/>
    <w:rsid w:val="00A7391C"/>
    <w:rsid w:val="00A74351"/>
    <w:rsid w:val="00A75481"/>
    <w:rsid w:val="00A76920"/>
    <w:rsid w:val="00A76A50"/>
    <w:rsid w:val="00A77AD1"/>
    <w:rsid w:val="00A8176C"/>
    <w:rsid w:val="00A821B9"/>
    <w:rsid w:val="00A82E42"/>
    <w:rsid w:val="00A83B12"/>
    <w:rsid w:val="00A83DC0"/>
    <w:rsid w:val="00A8477D"/>
    <w:rsid w:val="00A84A7F"/>
    <w:rsid w:val="00A8633B"/>
    <w:rsid w:val="00A8645C"/>
    <w:rsid w:val="00A86A7A"/>
    <w:rsid w:val="00A87364"/>
    <w:rsid w:val="00A87735"/>
    <w:rsid w:val="00A914A6"/>
    <w:rsid w:val="00A9179A"/>
    <w:rsid w:val="00A92C99"/>
    <w:rsid w:val="00A94A55"/>
    <w:rsid w:val="00A97A80"/>
    <w:rsid w:val="00AA01D2"/>
    <w:rsid w:val="00AA0B8D"/>
    <w:rsid w:val="00AA388A"/>
    <w:rsid w:val="00AA3A16"/>
    <w:rsid w:val="00AA483E"/>
    <w:rsid w:val="00AA51FE"/>
    <w:rsid w:val="00AA55A5"/>
    <w:rsid w:val="00AA73E8"/>
    <w:rsid w:val="00AB053F"/>
    <w:rsid w:val="00AB15BA"/>
    <w:rsid w:val="00AB2432"/>
    <w:rsid w:val="00AB433C"/>
    <w:rsid w:val="00AB48D1"/>
    <w:rsid w:val="00AB522D"/>
    <w:rsid w:val="00ABBEF0"/>
    <w:rsid w:val="00AC10CE"/>
    <w:rsid w:val="00AC1294"/>
    <w:rsid w:val="00AC190E"/>
    <w:rsid w:val="00AC20EE"/>
    <w:rsid w:val="00AC2F14"/>
    <w:rsid w:val="00AC43DA"/>
    <w:rsid w:val="00AC4F03"/>
    <w:rsid w:val="00AC672F"/>
    <w:rsid w:val="00AC748E"/>
    <w:rsid w:val="00AD0244"/>
    <w:rsid w:val="00AD2EF2"/>
    <w:rsid w:val="00AD37FC"/>
    <w:rsid w:val="00AD391E"/>
    <w:rsid w:val="00AD5375"/>
    <w:rsid w:val="00AD592A"/>
    <w:rsid w:val="00AD5A8C"/>
    <w:rsid w:val="00AD5F47"/>
    <w:rsid w:val="00AD6E27"/>
    <w:rsid w:val="00AD7118"/>
    <w:rsid w:val="00AE0130"/>
    <w:rsid w:val="00AE0716"/>
    <w:rsid w:val="00AE18FA"/>
    <w:rsid w:val="00AE1E08"/>
    <w:rsid w:val="00AE25C5"/>
    <w:rsid w:val="00AE37F5"/>
    <w:rsid w:val="00AE39EA"/>
    <w:rsid w:val="00AE3AB9"/>
    <w:rsid w:val="00AE3FB7"/>
    <w:rsid w:val="00AE4B88"/>
    <w:rsid w:val="00AE56F8"/>
    <w:rsid w:val="00AE6546"/>
    <w:rsid w:val="00AE69B7"/>
    <w:rsid w:val="00AF05CD"/>
    <w:rsid w:val="00AF1126"/>
    <w:rsid w:val="00AF14A5"/>
    <w:rsid w:val="00AF1B3B"/>
    <w:rsid w:val="00AF20B0"/>
    <w:rsid w:val="00AF2849"/>
    <w:rsid w:val="00AF2FF6"/>
    <w:rsid w:val="00AF33FE"/>
    <w:rsid w:val="00AF422D"/>
    <w:rsid w:val="00AF4A6F"/>
    <w:rsid w:val="00AF4B9C"/>
    <w:rsid w:val="00AF4EA7"/>
    <w:rsid w:val="00AF4FC0"/>
    <w:rsid w:val="00AF5434"/>
    <w:rsid w:val="00AF639A"/>
    <w:rsid w:val="00AF68D7"/>
    <w:rsid w:val="00AF7682"/>
    <w:rsid w:val="00AF7BDA"/>
    <w:rsid w:val="00B00020"/>
    <w:rsid w:val="00B0044A"/>
    <w:rsid w:val="00B016A4"/>
    <w:rsid w:val="00B0251E"/>
    <w:rsid w:val="00B02E3A"/>
    <w:rsid w:val="00B03157"/>
    <w:rsid w:val="00B03FCF"/>
    <w:rsid w:val="00B0403D"/>
    <w:rsid w:val="00B043A7"/>
    <w:rsid w:val="00B0478D"/>
    <w:rsid w:val="00B04DA2"/>
    <w:rsid w:val="00B04F8C"/>
    <w:rsid w:val="00B0500D"/>
    <w:rsid w:val="00B05132"/>
    <w:rsid w:val="00B055D7"/>
    <w:rsid w:val="00B060EA"/>
    <w:rsid w:val="00B06118"/>
    <w:rsid w:val="00B061D4"/>
    <w:rsid w:val="00B062F5"/>
    <w:rsid w:val="00B07C6A"/>
    <w:rsid w:val="00B07D12"/>
    <w:rsid w:val="00B07FA4"/>
    <w:rsid w:val="00B10243"/>
    <w:rsid w:val="00B1060F"/>
    <w:rsid w:val="00B109F3"/>
    <w:rsid w:val="00B10E3A"/>
    <w:rsid w:val="00B122D8"/>
    <w:rsid w:val="00B126F8"/>
    <w:rsid w:val="00B13078"/>
    <w:rsid w:val="00B13B10"/>
    <w:rsid w:val="00B140F8"/>
    <w:rsid w:val="00B1489D"/>
    <w:rsid w:val="00B151A4"/>
    <w:rsid w:val="00B16337"/>
    <w:rsid w:val="00B1645C"/>
    <w:rsid w:val="00B169ED"/>
    <w:rsid w:val="00B16ACE"/>
    <w:rsid w:val="00B16B21"/>
    <w:rsid w:val="00B17A24"/>
    <w:rsid w:val="00B17A7C"/>
    <w:rsid w:val="00B2038D"/>
    <w:rsid w:val="00B2196B"/>
    <w:rsid w:val="00B22423"/>
    <w:rsid w:val="00B229F9"/>
    <w:rsid w:val="00B22C5E"/>
    <w:rsid w:val="00B22D30"/>
    <w:rsid w:val="00B23BEC"/>
    <w:rsid w:val="00B24327"/>
    <w:rsid w:val="00B2472A"/>
    <w:rsid w:val="00B24B84"/>
    <w:rsid w:val="00B25CB9"/>
    <w:rsid w:val="00B26079"/>
    <w:rsid w:val="00B26276"/>
    <w:rsid w:val="00B276CE"/>
    <w:rsid w:val="00B277E7"/>
    <w:rsid w:val="00B27C82"/>
    <w:rsid w:val="00B305B6"/>
    <w:rsid w:val="00B30F9A"/>
    <w:rsid w:val="00B31369"/>
    <w:rsid w:val="00B3225A"/>
    <w:rsid w:val="00B323CD"/>
    <w:rsid w:val="00B32E01"/>
    <w:rsid w:val="00B33410"/>
    <w:rsid w:val="00B33576"/>
    <w:rsid w:val="00B342A4"/>
    <w:rsid w:val="00B34637"/>
    <w:rsid w:val="00B347AD"/>
    <w:rsid w:val="00B34A87"/>
    <w:rsid w:val="00B34DDF"/>
    <w:rsid w:val="00B367C6"/>
    <w:rsid w:val="00B3693E"/>
    <w:rsid w:val="00B37471"/>
    <w:rsid w:val="00B4085B"/>
    <w:rsid w:val="00B40BBD"/>
    <w:rsid w:val="00B416DA"/>
    <w:rsid w:val="00B42938"/>
    <w:rsid w:val="00B4310D"/>
    <w:rsid w:val="00B44618"/>
    <w:rsid w:val="00B454E2"/>
    <w:rsid w:val="00B46566"/>
    <w:rsid w:val="00B465C9"/>
    <w:rsid w:val="00B47BBF"/>
    <w:rsid w:val="00B50228"/>
    <w:rsid w:val="00B505B5"/>
    <w:rsid w:val="00B5064B"/>
    <w:rsid w:val="00B50E4A"/>
    <w:rsid w:val="00B513E3"/>
    <w:rsid w:val="00B516F9"/>
    <w:rsid w:val="00B51D0E"/>
    <w:rsid w:val="00B523CA"/>
    <w:rsid w:val="00B535DD"/>
    <w:rsid w:val="00B54039"/>
    <w:rsid w:val="00B548AE"/>
    <w:rsid w:val="00B55AE4"/>
    <w:rsid w:val="00B55E29"/>
    <w:rsid w:val="00B60414"/>
    <w:rsid w:val="00B604DC"/>
    <w:rsid w:val="00B61AC9"/>
    <w:rsid w:val="00B61FC0"/>
    <w:rsid w:val="00B62BA7"/>
    <w:rsid w:val="00B63A9C"/>
    <w:rsid w:val="00B640D2"/>
    <w:rsid w:val="00B64582"/>
    <w:rsid w:val="00B6508C"/>
    <w:rsid w:val="00B657B7"/>
    <w:rsid w:val="00B66673"/>
    <w:rsid w:val="00B6780E"/>
    <w:rsid w:val="00B6CD1F"/>
    <w:rsid w:val="00B70097"/>
    <w:rsid w:val="00B701E8"/>
    <w:rsid w:val="00B706A4"/>
    <w:rsid w:val="00B7078E"/>
    <w:rsid w:val="00B7093D"/>
    <w:rsid w:val="00B70A2D"/>
    <w:rsid w:val="00B70BBC"/>
    <w:rsid w:val="00B714D3"/>
    <w:rsid w:val="00B71546"/>
    <w:rsid w:val="00B7184A"/>
    <w:rsid w:val="00B7287D"/>
    <w:rsid w:val="00B73095"/>
    <w:rsid w:val="00B733CE"/>
    <w:rsid w:val="00B73F83"/>
    <w:rsid w:val="00B75620"/>
    <w:rsid w:val="00B756EC"/>
    <w:rsid w:val="00B75E7C"/>
    <w:rsid w:val="00B76C20"/>
    <w:rsid w:val="00B76F49"/>
    <w:rsid w:val="00B80145"/>
    <w:rsid w:val="00B80697"/>
    <w:rsid w:val="00B809D9"/>
    <w:rsid w:val="00B80FD1"/>
    <w:rsid w:val="00B81679"/>
    <w:rsid w:val="00B82114"/>
    <w:rsid w:val="00B826B4"/>
    <w:rsid w:val="00B82BF1"/>
    <w:rsid w:val="00B83E0B"/>
    <w:rsid w:val="00B83E77"/>
    <w:rsid w:val="00B87152"/>
    <w:rsid w:val="00B87E16"/>
    <w:rsid w:val="00B912A3"/>
    <w:rsid w:val="00B91421"/>
    <w:rsid w:val="00B920E0"/>
    <w:rsid w:val="00B95119"/>
    <w:rsid w:val="00B95519"/>
    <w:rsid w:val="00B960B7"/>
    <w:rsid w:val="00B9631E"/>
    <w:rsid w:val="00B96B95"/>
    <w:rsid w:val="00B96D0E"/>
    <w:rsid w:val="00BA0584"/>
    <w:rsid w:val="00BA0EC7"/>
    <w:rsid w:val="00BA16EE"/>
    <w:rsid w:val="00BA241F"/>
    <w:rsid w:val="00BA2552"/>
    <w:rsid w:val="00BA366E"/>
    <w:rsid w:val="00BA380A"/>
    <w:rsid w:val="00BA43C4"/>
    <w:rsid w:val="00BA47B2"/>
    <w:rsid w:val="00BA4BC7"/>
    <w:rsid w:val="00BA5786"/>
    <w:rsid w:val="00BA5C51"/>
    <w:rsid w:val="00BA6537"/>
    <w:rsid w:val="00BA6B4B"/>
    <w:rsid w:val="00BA75A8"/>
    <w:rsid w:val="00BA7671"/>
    <w:rsid w:val="00BA7B6F"/>
    <w:rsid w:val="00BA7E9A"/>
    <w:rsid w:val="00BA7FC7"/>
    <w:rsid w:val="00BB014F"/>
    <w:rsid w:val="00BB017E"/>
    <w:rsid w:val="00BB2D8C"/>
    <w:rsid w:val="00BB3FC9"/>
    <w:rsid w:val="00BB5A29"/>
    <w:rsid w:val="00BB5DFE"/>
    <w:rsid w:val="00BB5FDE"/>
    <w:rsid w:val="00BB61DC"/>
    <w:rsid w:val="00BB6970"/>
    <w:rsid w:val="00BB6CB2"/>
    <w:rsid w:val="00BB791A"/>
    <w:rsid w:val="00BB7F95"/>
    <w:rsid w:val="00BC16C0"/>
    <w:rsid w:val="00BC26FD"/>
    <w:rsid w:val="00BC2737"/>
    <w:rsid w:val="00BC31EC"/>
    <w:rsid w:val="00BC440F"/>
    <w:rsid w:val="00BC57B4"/>
    <w:rsid w:val="00BC5B4B"/>
    <w:rsid w:val="00BC5DE5"/>
    <w:rsid w:val="00BC6293"/>
    <w:rsid w:val="00BC6F5F"/>
    <w:rsid w:val="00BC79A9"/>
    <w:rsid w:val="00BC7F78"/>
    <w:rsid w:val="00BD0B56"/>
    <w:rsid w:val="00BD0FA4"/>
    <w:rsid w:val="00BD1395"/>
    <w:rsid w:val="00BD15A6"/>
    <w:rsid w:val="00BD1AB3"/>
    <w:rsid w:val="00BD299B"/>
    <w:rsid w:val="00BD317E"/>
    <w:rsid w:val="00BD3A1E"/>
    <w:rsid w:val="00BD4062"/>
    <w:rsid w:val="00BD41B8"/>
    <w:rsid w:val="00BD4ABA"/>
    <w:rsid w:val="00BD4BBF"/>
    <w:rsid w:val="00BD4CE4"/>
    <w:rsid w:val="00BD56B5"/>
    <w:rsid w:val="00BD7529"/>
    <w:rsid w:val="00BD7AE5"/>
    <w:rsid w:val="00BE0A2F"/>
    <w:rsid w:val="00BE0B3D"/>
    <w:rsid w:val="00BE23A9"/>
    <w:rsid w:val="00BE23F3"/>
    <w:rsid w:val="00BE246D"/>
    <w:rsid w:val="00BE428A"/>
    <w:rsid w:val="00BE54AE"/>
    <w:rsid w:val="00BE6E4F"/>
    <w:rsid w:val="00BE7DAD"/>
    <w:rsid w:val="00BF04CF"/>
    <w:rsid w:val="00BF0E00"/>
    <w:rsid w:val="00BF11F7"/>
    <w:rsid w:val="00BF17AA"/>
    <w:rsid w:val="00BF1847"/>
    <w:rsid w:val="00BF21D1"/>
    <w:rsid w:val="00BF26D0"/>
    <w:rsid w:val="00BF2D78"/>
    <w:rsid w:val="00BF2EE1"/>
    <w:rsid w:val="00BF2FEF"/>
    <w:rsid w:val="00BF3117"/>
    <w:rsid w:val="00BF4855"/>
    <w:rsid w:val="00BF5BE7"/>
    <w:rsid w:val="00BF6639"/>
    <w:rsid w:val="00BF75BD"/>
    <w:rsid w:val="00BF79F9"/>
    <w:rsid w:val="00C007E5"/>
    <w:rsid w:val="00C00DA8"/>
    <w:rsid w:val="00C01070"/>
    <w:rsid w:val="00C02CA8"/>
    <w:rsid w:val="00C03576"/>
    <w:rsid w:val="00C0373B"/>
    <w:rsid w:val="00C03ADE"/>
    <w:rsid w:val="00C04EF4"/>
    <w:rsid w:val="00C053BE"/>
    <w:rsid w:val="00C0581B"/>
    <w:rsid w:val="00C0593D"/>
    <w:rsid w:val="00C065D6"/>
    <w:rsid w:val="00C0780F"/>
    <w:rsid w:val="00C11D81"/>
    <w:rsid w:val="00C12AED"/>
    <w:rsid w:val="00C13240"/>
    <w:rsid w:val="00C14C8B"/>
    <w:rsid w:val="00C20BA0"/>
    <w:rsid w:val="00C21131"/>
    <w:rsid w:val="00C21192"/>
    <w:rsid w:val="00C23A74"/>
    <w:rsid w:val="00C24143"/>
    <w:rsid w:val="00C24556"/>
    <w:rsid w:val="00C24CDA"/>
    <w:rsid w:val="00C24ECF"/>
    <w:rsid w:val="00C254F7"/>
    <w:rsid w:val="00C26442"/>
    <w:rsid w:val="00C27242"/>
    <w:rsid w:val="00C30955"/>
    <w:rsid w:val="00C31204"/>
    <w:rsid w:val="00C31417"/>
    <w:rsid w:val="00C32B6D"/>
    <w:rsid w:val="00C3315D"/>
    <w:rsid w:val="00C3324C"/>
    <w:rsid w:val="00C3518E"/>
    <w:rsid w:val="00C35796"/>
    <w:rsid w:val="00C3592D"/>
    <w:rsid w:val="00C36C05"/>
    <w:rsid w:val="00C36D6E"/>
    <w:rsid w:val="00C37389"/>
    <w:rsid w:val="00C3740B"/>
    <w:rsid w:val="00C37412"/>
    <w:rsid w:val="00C37662"/>
    <w:rsid w:val="00C376A6"/>
    <w:rsid w:val="00C3804E"/>
    <w:rsid w:val="00C40CBD"/>
    <w:rsid w:val="00C4205A"/>
    <w:rsid w:val="00C426FD"/>
    <w:rsid w:val="00C4449B"/>
    <w:rsid w:val="00C4499B"/>
    <w:rsid w:val="00C4648E"/>
    <w:rsid w:val="00C50092"/>
    <w:rsid w:val="00C511B8"/>
    <w:rsid w:val="00C514BE"/>
    <w:rsid w:val="00C522AA"/>
    <w:rsid w:val="00C52ABC"/>
    <w:rsid w:val="00C52EEA"/>
    <w:rsid w:val="00C53968"/>
    <w:rsid w:val="00C541C6"/>
    <w:rsid w:val="00C54E89"/>
    <w:rsid w:val="00C551B7"/>
    <w:rsid w:val="00C554BF"/>
    <w:rsid w:val="00C55F6A"/>
    <w:rsid w:val="00C573B1"/>
    <w:rsid w:val="00C57542"/>
    <w:rsid w:val="00C5777F"/>
    <w:rsid w:val="00C57A49"/>
    <w:rsid w:val="00C57B8C"/>
    <w:rsid w:val="00C57D78"/>
    <w:rsid w:val="00C60459"/>
    <w:rsid w:val="00C61E2F"/>
    <w:rsid w:val="00C61EDB"/>
    <w:rsid w:val="00C62043"/>
    <w:rsid w:val="00C646A1"/>
    <w:rsid w:val="00C64A66"/>
    <w:rsid w:val="00C64C3C"/>
    <w:rsid w:val="00C6591F"/>
    <w:rsid w:val="00C65DD7"/>
    <w:rsid w:val="00C6728C"/>
    <w:rsid w:val="00C67718"/>
    <w:rsid w:val="00C67DF0"/>
    <w:rsid w:val="00C70439"/>
    <w:rsid w:val="00C70B07"/>
    <w:rsid w:val="00C711D2"/>
    <w:rsid w:val="00C713DD"/>
    <w:rsid w:val="00C71796"/>
    <w:rsid w:val="00C719E8"/>
    <w:rsid w:val="00C7222D"/>
    <w:rsid w:val="00C72488"/>
    <w:rsid w:val="00C74310"/>
    <w:rsid w:val="00C745E5"/>
    <w:rsid w:val="00C74886"/>
    <w:rsid w:val="00C74F6A"/>
    <w:rsid w:val="00C7500B"/>
    <w:rsid w:val="00C75416"/>
    <w:rsid w:val="00C759A9"/>
    <w:rsid w:val="00C75ABB"/>
    <w:rsid w:val="00C75C67"/>
    <w:rsid w:val="00C75CFC"/>
    <w:rsid w:val="00C762B7"/>
    <w:rsid w:val="00C76B54"/>
    <w:rsid w:val="00C76D45"/>
    <w:rsid w:val="00C8015E"/>
    <w:rsid w:val="00C80F12"/>
    <w:rsid w:val="00C8265F"/>
    <w:rsid w:val="00C85451"/>
    <w:rsid w:val="00C85BC9"/>
    <w:rsid w:val="00C87CB7"/>
    <w:rsid w:val="00C87CD6"/>
    <w:rsid w:val="00C90E87"/>
    <w:rsid w:val="00C90F60"/>
    <w:rsid w:val="00C91D45"/>
    <w:rsid w:val="00C925CB"/>
    <w:rsid w:val="00C9288F"/>
    <w:rsid w:val="00C92898"/>
    <w:rsid w:val="00C94836"/>
    <w:rsid w:val="00C9630F"/>
    <w:rsid w:val="00C9653F"/>
    <w:rsid w:val="00C96EB3"/>
    <w:rsid w:val="00C96F3A"/>
    <w:rsid w:val="00C97F80"/>
    <w:rsid w:val="00CA0CA7"/>
    <w:rsid w:val="00CA15F4"/>
    <w:rsid w:val="00CA1730"/>
    <w:rsid w:val="00CA1A39"/>
    <w:rsid w:val="00CA2922"/>
    <w:rsid w:val="00CA2B04"/>
    <w:rsid w:val="00CA2FA5"/>
    <w:rsid w:val="00CA3544"/>
    <w:rsid w:val="00CA43DE"/>
    <w:rsid w:val="00CA4605"/>
    <w:rsid w:val="00CA4A9B"/>
    <w:rsid w:val="00CA524F"/>
    <w:rsid w:val="00CA6CE7"/>
    <w:rsid w:val="00CA7399"/>
    <w:rsid w:val="00CAAF5F"/>
    <w:rsid w:val="00CB129D"/>
    <w:rsid w:val="00CB21AA"/>
    <w:rsid w:val="00CB24D1"/>
    <w:rsid w:val="00CB2719"/>
    <w:rsid w:val="00CB316D"/>
    <w:rsid w:val="00CB379D"/>
    <w:rsid w:val="00CB3845"/>
    <w:rsid w:val="00CB424F"/>
    <w:rsid w:val="00CB4327"/>
    <w:rsid w:val="00CB4CB8"/>
    <w:rsid w:val="00CB4E02"/>
    <w:rsid w:val="00CB4FD8"/>
    <w:rsid w:val="00CB545C"/>
    <w:rsid w:val="00CB579D"/>
    <w:rsid w:val="00CB5897"/>
    <w:rsid w:val="00CB7214"/>
    <w:rsid w:val="00CB7221"/>
    <w:rsid w:val="00CB7EE1"/>
    <w:rsid w:val="00CC12D5"/>
    <w:rsid w:val="00CC1539"/>
    <w:rsid w:val="00CC1CDA"/>
    <w:rsid w:val="00CC1E19"/>
    <w:rsid w:val="00CC1E60"/>
    <w:rsid w:val="00CC21CB"/>
    <w:rsid w:val="00CC23A9"/>
    <w:rsid w:val="00CC267C"/>
    <w:rsid w:val="00CC2A6E"/>
    <w:rsid w:val="00CC2EC8"/>
    <w:rsid w:val="00CC3209"/>
    <w:rsid w:val="00CC378B"/>
    <w:rsid w:val="00CC4A29"/>
    <w:rsid w:val="00CC50C4"/>
    <w:rsid w:val="00CC56CB"/>
    <w:rsid w:val="00CC5F4B"/>
    <w:rsid w:val="00CC616F"/>
    <w:rsid w:val="00CC6384"/>
    <w:rsid w:val="00CC66C2"/>
    <w:rsid w:val="00CC729B"/>
    <w:rsid w:val="00CC7FAD"/>
    <w:rsid w:val="00CD1348"/>
    <w:rsid w:val="00CD3B29"/>
    <w:rsid w:val="00CD5107"/>
    <w:rsid w:val="00CD57D0"/>
    <w:rsid w:val="00CD58D0"/>
    <w:rsid w:val="00CD623F"/>
    <w:rsid w:val="00CD66D6"/>
    <w:rsid w:val="00CD6EE0"/>
    <w:rsid w:val="00CD6F58"/>
    <w:rsid w:val="00CD774F"/>
    <w:rsid w:val="00CD787B"/>
    <w:rsid w:val="00CD7A78"/>
    <w:rsid w:val="00CD7BBA"/>
    <w:rsid w:val="00CDE837"/>
    <w:rsid w:val="00CE0D21"/>
    <w:rsid w:val="00CE0F85"/>
    <w:rsid w:val="00CE511E"/>
    <w:rsid w:val="00CE5282"/>
    <w:rsid w:val="00CE5D4A"/>
    <w:rsid w:val="00CE6A4F"/>
    <w:rsid w:val="00CE704A"/>
    <w:rsid w:val="00CE7CC2"/>
    <w:rsid w:val="00CE7EEE"/>
    <w:rsid w:val="00CF00B9"/>
    <w:rsid w:val="00CF01CD"/>
    <w:rsid w:val="00CF060E"/>
    <w:rsid w:val="00CF0882"/>
    <w:rsid w:val="00CF0F21"/>
    <w:rsid w:val="00CF1C48"/>
    <w:rsid w:val="00CF23CB"/>
    <w:rsid w:val="00CF23E2"/>
    <w:rsid w:val="00CF3727"/>
    <w:rsid w:val="00CF3D63"/>
    <w:rsid w:val="00CF50B8"/>
    <w:rsid w:val="00CF5BF7"/>
    <w:rsid w:val="00CF660C"/>
    <w:rsid w:val="00CF6DD4"/>
    <w:rsid w:val="00CF7670"/>
    <w:rsid w:val="00CF7EB7"/>
    <w:rsid w:val="00D00212"/>
    <w:rsid w:val="00D01C78"/>
    <w:rsid w:val="00D04435"/>
    <w:rsid w:val="00D04532"/>
    <w:rsid w:val="00D05542"/>
    <w:rsid w:val="00D057A8"/>
    <w:rsid w:val="00D06994"/>
    <w:rsid w:val="00D07CC7"/>
    <w:rsid w:val="00D07E82"/>
    <w:rsid w:val="00D09A76"/>
    <w:rsid w:val="00D10203"/>
    <w:rsid w:val="00D1033D"/>
    <w:rsid w:val="00D10D79"/>
    <w:rsid w:val="00D11809"/>
    <w:rsid w:val="00D11D17"/>
    <w:rsid w:val="00D12347"/>
    <w:rsid w:val="00D14556"/>
    <w:rsid w:val="00D1464A"/>
    <w:rsid w:val="00D14943"/>
    <w:rsid w:val="00D15067"/>
    <w:rsid w:val="00D1537A"/>
    <w:rsid w:val="00D158E9"/>
    <w:rsid w:val="00D15994"/>
    <w:rsid w:val="00D1741E"/>
    <w:rsid w:val="00D17534"/>
    <w:rsid w:val="00D17FC6"/>
    <w:rsid w:val="00D2063B"/>
    <w:rsid w:val="00D216EA"/>
    <w:rsid w:val="00D22E96"/>
    <w:rsid w:val="00D234AB"/>
    <w:rsid w:val="00D2395A"/>
    <w:rsid w:val="00D23B0E"/>
    <w:rsid w:val="00D24927"/>
    <w:rsid w:val="00D24984"/>
    <w:rsid w:val="00D25695"/>
    <w:rsid w:val="00D26717"/>
    <w:rsid w:val="00D27011"/>
    <w:rsid w:val="00D3056F"/>
    <w:rsid w:val="00D30EFE"/>
    <w:rsid w:val="00D31421"/>
    <w:rsid w:val="00D31B22"/>
    <w:rsid w:val="00D32F64"/>
    <w:rsid w:val="00D330CC"/>
    <w:rsid w:val="00D33B5F"/>
    <w:rsid w:val="00D33C69"/>
    <w:rsid w:val="00D345C5"/>
    <w:rsid w:val="00D34963"/>
    <w:rsid w:val="00D352D5"/>
    <w:rsid w:val="00D36AB3"/>
    <w:rsid w:val="00D40385"/>
    <w:rsid w:val="00D408D9"/>
    <w:rsid w:val="00D40A29"/>
    <w:rsid w:val="00D4142B"/>
    <w:rsid w:val="00D41975"/>
    <w:rsid w:val="00D41E0F"/>
    <w:rsid w:val="00D42A2A"/>
    <w:rsid w:val="00D42A76"/>
    <w:rsid w:val="00D42F4C"/>
    <w:rsid w:val="00D430BB"/>
    <w:rsid w:val="00D44934"/>
    <w:rsid w:val="00D4531B"/>
    <w:rsid w:val="00D4612C"/>
    <w:rsid w:val="00D46552"/>
    <w:rsid w:val="00D4726A"/>
    <w:rsid w:val="00D47689"/>
    <w:rsid w:val="00D4784E"/>
    <w:rsid w:val="00D500A3"/>
    <w:rsid w:val="00D50102"/>
    <w:rsid w:val="00D50F51"/>
    <w:rsid w:val="00D52264"/>
    <w:rsid w:val="00D5240F"/>
    <w:rsid w:val="00D52769"/>
    <w:rsid w:val="00D52C29"/>
    <w:rsid w:val="00D52DE7"/>
    <w:rsid w:val="00D53945"/>
    <w:rsid w:val="00D540C3"/>
    <w:rsid w:val="00D541E3"/>
    <w:rsid w:val="00D55DBF"/>
    <w:rsid w:val="00D57D7E"/>
    <w:rsid w:val="00D6010F"/>
    <w:rsid w:val="00D611E6"/>
    <w:rsid w:val="00D6144B"/>
    <w:rsid w:val="00D61C96"/>
    <w:rsid w:val="00D62184"/>
    <w:rsid w:val="00D627F6"/>
    <w:rsid w:val="00D62B43"/>
    <w:rsid w:val="00D62F0B"/>
    <w:rsid w:val="00D636D2"/>
    <w:rsid w:val="00D638F7"/>
    <w:rsid w:val="00D64377"/>
    <w:rsid w:val="00D646D8"/>
    <w:rsid w:val="00D6589D"/>
    <w:rsid w:val="00D65AE5"/>
    <w:rsid w:val="00D66C91"/>
    <w:rsid w:val="00D670D0"/>
    <w:rsid w:val="00D71155"/>
    <w:rsid w:val="00D71F2C"/>
    <w:rsid w:val="00D71F95"/>
    <w:rsid w:val="00D7283A"/>
    <w:rsid w:val="00D72B4C"/>
    <w:rsid w:val="00D72C9A"/>
    <w:rsid w:val="00D74310"/>
    <w:rsid w:val="00D744B7"/>
    <w:rsid w:val="00D77511"/>
    <w:rsid w:val="00D77A41"/>
    <w:rsid w:val="00D77C3E"/>
    <w:rsid w:val="00D8015F"/>
    <w:rsid w:val="00D80DB1"/>
    <w:rsid w:val="00D811F4"/>
    <w:rsid w:val="00D81237"/>
    <w:rsid w:val="00D817EC"/>
    <w:rsid w:val="00D81856"/>
    <w:rsid w:val="00D826D9"/>
    <w:rsid w:val="00D829AD"/>
    <w:rsid w:val="00D8335A"/>
    <w:rsid w:val="00D838A7"/>
    <w:rsid w:val="00D84029"/>
    <w:rsid w:val="00D84893"/>
    <w:rsid w:val="00D85DC6"/>
    <w:rsid w:val="00D86182"/>
    <w:rsid w:val="00D86A43"/>
    <w:rsid w:val="00D87746"/>
    <w:rsid w:val="00D87A5C"/>
    <w:rsid w:val="00D87FC7"/>
    <w:rsid w:val="00D912AF"/>
    <w:rsid w:val="00D915F9"/>
    <w:rsid w:val="00D918C6"/>
    <w:rsid w:val="00D919B8"/>
    <w:rsid w:val="00D9253E"/>
    <w:rsid w:val="00D92834"/>
    <w:rsid w:val="00D92AB9"/>
    <w:rsid w:val="00D9404E"/>
    <w:rsid w:val="00D9424E"/>
    <w:rsid w:val="00D95A00"/>
    <w:rsid w:val="00D95F87"/>
    <w:rsid w:val="00D96659"/>
    <w:rsid w:val="00D9675F"/>
    <w:rsid w:val="00D96D56"/>
    <w:rsid w:val="00DA107F"/>
    <w:rsid w:val="00DA14B3"/>
    <w:rsid w:val="00DA1653"/>
    <w:rsid w:val="00DA1AD9"/>
    <w:rsid w:val="00DA38C7"/>
    <w:rsid w:val="00DA5687"/>
    <w:rsid w:val="00DA5B0C"/>
    <w:rsid w:val="00DA5C67"/>
    <w:rsid w:val="00DA6D1A"/>
    <w:rsid w:val="00DA73B7"/>
    <w:rsid w:val="00DB0679"/>
    <w:rsid w:val="00DB078C"/>
    <w:rsid w:val="00DB16C4"/>
    <w:rsid w:val="00DB39AC"/>
    <w:rsid w:val="00DB49E6"/>
    <w:rsid w:val="00DB4A12"/>
    <w:rsid w:val="00DB504E"/>
    <w:rsid w:val="00DB5F8F"/>
    <w:rsid w:val="00DB61D2"/>
    <w:rsid w:val="00DB6B8D"/>
    <w:rsid w:val="00DB7024"/>
    <w:rsid w:val="00DB739D"/>
    <w:rsid w:val="00DB7B70"/>
    <w:rsid w:val="00DB7D1D"/>
    <w:rsid w:val="00DC030A"/>
    <w:rsid w:val="00DC0D08"/>
    <w:rsid w:val="00DC1C61"/>
    <w:rsid w:val="00DC268C"/>
    <w:rsid w:val="00DC2A5E"/>
    <w:rsid w:val="00DC2AF5"/>
    <w:rsid w:val="00DC345F"/>
    <w:rsid w:val="00DC3BF6"/>
    <w:rsid w:val="00DC490E"/>
    <w:rsid w:val="00DC4A22"/>
    <w:rsid w:val="00DC5A1F"/>
    <w:rsid w:val="00DC6D99"/>
    <w:rsid w:val="00DC7313"/>
    <w:rsid w:val="00DC73DA"/>
    <w:rsid w:val="00DC763C"/>
    <w:rsid w:val="00DC7890"/>
    <w:rsid w:val="00DD091B"/>
    <w:rsid w:val="00DD13D2"/>
    <w:rsid w:val="00DD2354"/>
    <w:rsid w:val="00DD2CB4"/>
    <w:rsid w:val="00DD4F84"/>
    <w:rsid w:val="00DD536E"/>
    <w:rsid w:val="00DD6519"/>
    <w:rsid w:val="00DD6855"/>
    <w:rsid w:val="00DD69EC"/>
    <w:rsid w:val="00DD6BD8"/>
    <w:rsid w:val="00DD773C"/>
    <w:rsid w:val="00DD7D62"/>
    <w:rsid w:val="00DE0213"/>
    <w:rsid w:val="00DE04F8"/>
    <w:rsid w:val="00DE155B"/>
    <w:rsid w:val="00DE1BB5"/>
    <w:rsid w:val="00DE272A"/>
    <w:rsid w:val="00DE298F"/>
    <w:rsid w:val="00DE2FF6"/>
    <w:rsid w:val="00DE30DF"/>
    <w:rsid w:val="00DE3330"/>
    <w:rsid w:val="00DE38D1"/>
    <w:rsid w:val="00DE3ABE"/>
    <w:rsid w:val="00DE3DF7"/>
    <w:rsid w:val="00DE4DD0"/>
    <w:rsid w:val="00DE5066"/>
    <w:rsid w:val="00DE595E"/>
    <w:rsid w:val="00DE5AB7"/>
    <w:rsid w:val="00DE622E"/>
    <w:rsid w:val="00DE70B4"/>
    <w:rsid w:val="00DE7909"/>
    <w:rsid w:val="00DF022C"/>
    <w:rsid w:val="00DF05AC"/>
    <w:rsid w:val="00DF0C2A"/>
    <w:rsid w:val="00DF149C"/>
    <w:rsid w:val="00DF184C"/>
    <w:rsid w:val="00DF1BC5"/>
    <w:rsid w:val="00DF1CC5"/>
    <w:rsid w:val="00DF2D68"/>
    <w:rsid w:val="00DF4418"/>
    <w:rsid w:val="00DF4873"/>
    <w:rsid w:val="00DF5952"/>
    <w:rsid w:val="00DF62FF"/>
    <w:rsid w:val="00E00253"/>
    <w:rsid w:val="00E01153"/>
    <w:rsid w:val="00E01461"/>
    <w:rsid w:val="00E01AEC"/>
    <w:rsid w:val="00E01CC6"/>
    <w:rsid w:val="00E030F4"/>
    <w:rsid w:val="00E03108"/>
    <w:rsid w:val="00E0317F"/>
    <w:rsid w:val="00E03F1E"/>
    <w:rsid w:val="00E04937"/>
    <w:rsid w:val="00E053F4"/>
    <w:rsid w:val="00E0F209"/>
    <w:rsid w:val="00E11CDB"/>
    <w:rsid w:val="00E125EE"/>
    <w:rsid w:val="00E12BCF"/>
    <w:rsid w:val="00E13B6A"/>
    <w:rsid w:val="00E13F68"/>
    <w:rsid w:val="00E14EBA"/>
    <w:rsid w:val="00E15422"/>
    <w:rsid w:val="00E15899"/>
    <w:rsid w:val="00E15DA9"/>
    <w:rsid w:val="00E164EC"/>
    <w:rsid w:val="00E16AA3"/>
    <w:rsid w:val="00E16C29"/>
    <w:rsid w:val="00E177EE"/>
    <w:rsid w:val="00E20397"/>
    <w:rsid w:val="00E217F5"/>
    <w:rsid w:val="00E223AA"/>
    <w:rsid w:val="00E2268A"/>
    <w:rsid w:val="00E22748"/>
    <w:rsid w:val="00E228D3"/>
    <w:rsid w:val="00E235E7"/>
    <w:rsid w:val="00E2760A"/>
    <w:rsid w:val="00E27BAF"/>
    <w:rsid w:val="00E316DC"/>
    <w:rsid w:val="00E326D8"/>
    <w:rsid w:val="00E32900"/>
    <w:rsid w:val="00E32C3F"/>
    <w:rsid w:val="00E32E4B"/>
    <w:rsid w:val="00E33C4A"/>
    <w:rsid w:val="00E34008"/>
    <w:rsid w:val="00E342B5"/>
    <w:rsid w:val="00E34A22"/>
    <w:rsid w:val="00E34FEA"/>
    <w:rsid w:val="00E3617F"/>
    <w:rsid w:val="00E361AA"/>
    <w:rsid w:val="00E366A3"/>
    <w:rsid w:val="00E36E0C"/>
    <w:rsid w:val="00E40E6A"/>
    <w:rsid w:val="00E412AA"/>
    <w:rsid w:val="00E418B7"/>
    <w:rsid w:val="00E419CE"/>
    <w:rsid w:val="00E4262B"/>
    <w:rsid w:val="00E44E34"/>
    <w:rsid w:val="00E451E2"/>
    <w:rsid w:val="00E454D5"/>
    <w:rsid w:val="00E45A9E"/>
    <w:rsid w:val="00E462C2"/>
    <w:rsid w:val="00E46318"/>
    <w:rsid w:val="00E50088"/>
    <w:rsid w:val="00E50A49"/>
    <w:rsid w:val="00E50DEB"/>
    <w:rsid w:val="00E51EFA"/>
    <w:rsid w:val="00E522C1"/>
    <w:rsid w:val="00E541E9"/>
    <w:rsid w:val="00E54788"/>
    <w:rsid w:val="00E555DD"/>
    <w:rsid w:val="00E55CCE"/>
    <w:rsid w:val="00E55D13"/>
    <w:rsid w:val="00E56A85"/>
    <w:rsid w:val="00E6018A"/>
    <w:rsid w:val="00E6057D"/>
    <w:rsid w:val="00E605D7"/>
    <w:rsid w:val="00E60F67"/>
    <w:rsid w:val="00E62C40"/>
    <w:rsid w:val="00E62F84"/>
    <w:rsid w:val="00E638F5"/>
    <w:rsid w:val="00E640BE"/>
    <w:rsid w:val="00E64723"/>
    <w:rsid w:val="00E64FAB"/>
    <w:rsid w:val="00E6632B"/>
    <w:rsid w:val="00E66798"/>
    <w:rsid w:val="00E66ADD"/>
    <w:rsid w:val="00E67068"/>
    <w:rsid w:val="00E6CF64"/>
    <w:rsid w:val="00E71945"/>
    <w:rsid w:val="00E720DB"/>
    <w:rsid w:val="00E721CB"/>
    <w:rsid w:val="00E725D1"/>
    <w:rsid w:val="00E72CB0"/>
    <w:rsid w:val="00E74455"/>
    <w:rsid w:val="00E747AC"/>
    <w:rsid w:val="00E75DAB"/>
    <w:rsid w:val="00E75E56"/>
    <w:rsid w:val="00E76E7A"/>
    <w:rsid w:val="00E76E99"/>
    <w:rsid w:val="00E7719E"/>
    <w:rsid w:val="00E802E5"/>
    <w:rsid w:val="00E80833"/>
    <w:rsid w:val="00E80A18"/>
    <w:rsid w:val="00E81444"/>
    <w:rsid w:val="00E8158B"/>
    <w:rsid w:val="00E815E4"/>
    <w:rsid w:val="00E81D73"/>
    <w:rsid w:val="00E81DB9"/>
    <w:rsid w:val="00E81F67"/>
    <w:rsid w:val="00E82DC4"/>
    <w:rsid w:val="00E83047"/>
    <w:rsid w:val="00E8517B"/>
    <w:rsid w:val="00E85789"/>
    <w:rsid w:val="00E85DC5"/>
    <w:rsid w:val="00E86410"/>
    <w:rsid w:val="00E86BB6"/>
    <w:rsid w:val="00E86DD2"/>
    <w:rsid w:val="00E87845"/>
    <w:rsid w:val="00E87995"/>
    <w:rsid w:val="00E8A07B"/>
    <w:rsid w:val="00E901D8"/>
    <w:rsid w:val="00E9062B"/>
    <w:rsid w:val="00E9266B"/>
    <w:rsid w:val="00E947EA"/>
    <w:rsid w:val="00E954B6"/>
    <w:rsid w:val="00E96169"/>
    <w:rsid w:val="00E96DC2"/>
    <w:rsid w:val="00EA072E"/>
    <w:rsid w:val="00EA079A"/>
    <w:rsid w:val="00EA0D57"/>
    <w:rsid w:val="00EA183C"/>
    <w:rsid w:val="00EA1BE6"/>
    <w:rsid w:val="00EA2289"/>
    <w:rsid w:val="00EA2C10"/>
    <w:rsid w:val="00EA2FB2"/>
    <w:rsid w:val="00EA3233"/>
    <w:rsid w:val="00EA44B5"/>
    <w:rsid w:val="00EA4A0D"/>
    <w:rsid w:val="00EA4F8F"/>
    <w:rsid w:val="00EA5F76"/>
    <w:rsid w:val="00EA6F83"/>
    <w:rsid w:val="00EA7CAC"/>
    <w:rsid w:val="00EB003B"/>
    <w:rsid w:val="00EB0A5A"/>
    <w:rsid w:val="00EB0C16"/>
    <w:rsid w:val="00EB0D68"/>
    <w:rsid w:val="00EB130F"/>
    <w:rsid w:val="00EB13B4"/>
    <w:rsid w:val="00EB14A2"/>
    <w:rsid w:val="00EB1E48"/>
    <w:rsid w:val="00EB307D"/>
    <w:rsid w:val="00EB4834"/>
    <w:rsid w:val="00EB48E5"/>
    <w:rsid w:val="00EB4B5C"/>
    <w:rsid w:val="00EB50F7"/>
    <w:rsid w:val="00EB76BD"/>
    <w:rsid w:val="00EB798B"/>
    <w:rsid w:val="00EC044F"/>
    <w:rsid w:val="00EC20C8"/>
    <w:rsid w:val="00EC38D9"/>
    <w:rsid w:val="00EC39FC"/>
    <w:rsid w:val="00EC3B59"/>
    <w:rsid w:val="00EC46CF"/>
    <w:rsid w:val="00EC4B41"/>
    <w:rsid w:val="00EC4D1A"/>
    <w:rsid w:val="00EC552E"/>
    <w:rsid w:val="00EC5AFA"/>
    <w:rsid w:val="00EC6FCD"/>
    <w:rsid w:val="00EC70EF"/>
    <w:rsid w:val="00EC79AB"/>
    <w:rsid w:val="00ED178D"/>
    <w:rsid w:val="00ED1B03"/>
    <w:rsid w:val="00ED2560"/>
    <w:rsid w:val="00ED3F94"/>
    <w:rsid w:val="00ED4C0F"/>
    <w:rsid w:val="00ED645E"/>
    <w:rsid w:val="00ED724D"/>
    <w:rsid w:val="00EE186C"/>
    <w:rsid w:val="00EE21E2"/>
    <w:rsid w:val="00EE2C82"/>
    <w:rsid w:val="00EE2DB0"/>
    <w:rsid w:val="00EE3008"/>
    <w:rsid w:val="00EE42C5"/>
    <w:rsid w:val="00EE4AC4"/>
    <w:rsid w:val="00EE618A"/>
    <w:rsid w:val="00EE77E6"/>
    <w:rsid w:val="00EEC293"/>
    <w:rsid w:val="00EF0A28"/>
    <w:rsid w:val="00EF1042"/>
    <w:rsid w:val="00EF12B7"/>
    <w:rsid w:val="00EF19F0"/>
    <w:rsid w:val="00EF1C14"/>
    <w:rsid w:val="00EF244A"/>
    <w:rsid w:val="00EF4D89"/>
    <w:rsid w:val="00EF4EC2"/>
    <w:rsid w:val="00EF54A3"/>
    <w:rsid w:val="00F01584"/>
    <w:rsid w:val="00F01EBF"/>
    <w:rsid w:val="00F0266F"/>
    <w:rsid w:val="00F0310D"/>
    <w:rsid w:val="00F0440C"/>
    <w:rsid w:val="00F04676"/>
    <w:rsid w:val="00F04954"/>
    <w:rsid w:val="00F04A0F"/>
    <w:rsid w:val="00F04AFD"/>
    <w:rsid w:val="00F04CA7"/>
    <w:rsid w:val="00F06771"/>
    <w:rsid w:val="00F06BF0"/>
    <w:rsid w:val="00F06C4C"/>
    <w:rsid w:val="00F078DF"/>
    <w:rsid w:val="00F10575"/>
    <w:rsid w:val="00F105F3"/>
    <w:rsid w:val="00F10D14"/>
    <w:rsid w:val="00F10DF0"/>
    <w:rsid w:val="00F11A3C"/>
    <w:rsid w:val="00F11A71"/>
    <w:rsid w:val="00F11D17"/>
    <w:rsid w:val="00F11E64"/>
    <w:rsid w:val="00F12E37"/>
    <w:rsid w:val="00F12F9E"/>
    <w:rsid w:val="00F133E1"/>
    <w:rsid w:val="00F1388F"/>
    <w:rsid w:val="00F138EB"/>
    <w:rsid w:val="00F14141"/>
    <w:rsid w:val="00F14264"/>
    <w:rsid w:val="00F152EA"/>
    <w:rsid w:val="00F17A30"/>
    <w:rsid w:val="00F1E1BB"/>
    <w:rsid w:val="00F20062"/>
    <w:rsid w:val="00F20948"/>
    <w:rsid w:val="00F20CE8"/>
    <w:rsid w:val="00F211CB"/>
    <w:rsid w:val="00F224DE"/>
    <w:rsid w:val="00F23CF5"/>
    <w:rsid w:val="00F240C1"/>
    <w:rsid w:val="00F2482C"/>
    <w:rsid w:val="00F2490D"/>
    <w:rsid w:val="00F24E3D"/>
    <w:rsid w:val="00F25003"/>
    <w:rsid w:val="00F25660"/>
    <w:rsid w:val="00F279AF"/>
    <w:rsid w:val="00F27E24"/>
    <w:rsid w:val="00F30BFC"/>
    <w:rsid w:val="00F3111A"/>
    <w:rsid w:val="00F31353"/>
    <w:rsid w:val="00F327B5"/>
    <w:rsid w:val="00F32F9F"/>
    <w:rsid w:val="00F33695"/>
    <w:rsid w:val="00F3431D"/>
    <w:rsid w:val="00F34BF9"/>
    <w:rsid w:val="00F360A7"/>
    <w:rsid w:val="00F36EC5"/>
    <w:rsid w:val="00F37EF0"/>
    <w:rsid w:val="00F408AD"/>
    <w:rsid w:val="00F41004"/>
    <w:rsid w:val="00F438B1"/>
    <w:rsid w:val="00F446C7"/>
    <w:rsid w:val="00F45F39"/>
    <w:rsid w:val="00F47ED1"/>
    <w:rsid w:val="00F505EC"/>
    <w:rsid w:val="00F507FB"/>
    <w:rsid w:val="00F51B3B"/>
    <w:rsid w:val="00F52B0B"/>
    <w:rsid w:val="00F52EFB"/>
    <w:rsid w:val="00F54DD1"/>
    <w:rsid w:val="00F557BC"/>
    <w:rsid w:val="00F55847"/>
    <w:rsid w:val="00F55A13"/>
    <w:rsid w:val="00F57096"/>
    <w:rsid w:val="00F570E2"/>
    <w:rsid w:val="00F570FA"/>
    <w:rsid w:val="00F5774C"/>
    <w:rsid w:val="00F60B2D"/>
    <w:rsid w:val="00F61A2F"/>
    <w:rsid w:val="00F61F35"/>
    <w:rsid w:val="00F62F59"/>
    <w:rsid w:val="00F63034"/>
    <w:rsid w:val="00F6316C"/>
    <w:rsid w:val="00F63841"/>
    <w:rsid w:val="00F63A9F"/>
    <w:rsid w:val="00F63B28"/>
    <w:rsid w:val="00F63F06"/>
    <w:rsid w:val="00F652F3"/>
    <w:rsid w:val="00F6534E"/>
    <w:rsid w:val="00F66DEA"/>
    <w:rsid w:val="00F67544"/>
    <w:rsid w:val="00F67B0A"/>
    <w:rsid w:val="00F67D2A"/>
    <w:rsid w:val="00F703BD"/>
    <w:rsid w:val="00F71122"/>
    <w:rsid w:val="00F71CD9"/>
    <w:rsid w:val="00F7404E"/>
    <w:rsid w:val="00F749C8"/>
    <w:rsid w:val="00F75AFC"/>
    <w:rsid w:val="00F76423"/>
    <w:rsid w:val="00F76916"/>
    <w:rsid w:val="00F81AF0"/>
    <w:rsid w:val="00F821E0"/>
    <w:rsid w:val="00F8223C"/>
    <w:rsid w:val="00F8242F"/>
    <w:rsid w:val="00F83172"/>
    <w:rsid w:val="00F86300"/>
    <w:rsid w:val="00F86378"/>
    <w:rsid w:val="00F87294"/>
    <w:rsid w:val="00F87E58"/>
    <w:rsid w:val="00F91863"/>
    <w:rsid w:val="00F92B57"/>
    <w:rsid w:val="00F936CB"/>
    <w:rsid w:val="00F962B1"/>
    <w:rsid w:val="00F97955"/>
    <w:rsid w:val="00FA017F"/>
    <w:rsid w:val="00FA06FA"/>
    <w:rsid w:val="00FA07EE"/>
    <w:rsid w:val="00FA0ADF"/>
    <w:rsid w:val="00FA0FD8"/>
    <w:rsid w:val="00FA112E"/>
    <w:rsid w:val="00FA1A7A"/>
    <w:rsid w:val="00FA1B45"/>
    <w:rsid w:val="00FA1DF7"/>
    <w:rsid w:val="00FA254C"/>
    <w:rsid w:val="00FA25B2"/>
    <w:rsid w:val="00FA2B2E"/>
    <w:rsid w:val="00FA2D33"/>
    <w:rsid w:val="00FA30D7"/>
    <w:rsid w:val="00FA33A1"/>
    <w:rsid w:val="00FA47A9"/>
    <w:rsid w:val="00FA4931"/>
    <w:rsid w:val="00FA53BB"/>
    <w:rsid w:val="00FA5692"/>
    <w:rsid w:val="00FA5B72"/>
    <w:rsid w:val="00FA6502"/>
    <w:rsid w:val="00FA6BEC"/>
    <w:rsid w:val="00FB19C7"/>
    <w:rsid w:val="00FB2AE2"/>
    <w:rsid w:val="00FB31CD"/>
    <w:rsid w:val="00FB3EF7"/>
    <w:rsid w:val="00FB5054"/>
    <w:rsid w:val="00FB5058"/>
    <w:rsid w:val="00FB688C"/>
    <w:rsid w:val="00FB6DF3"/>
    <w:rsid w:val="00FB6FA4"/>
    <w:rsid w:val="00FB736A"/>
    <w:rsid w:val="00FB74C6"/>
    <w:rsid w:val="00FB7B70"/>
    <w:rsid w:val="00FC0144"/>
    <w:rsid w:val="00FC04AF"/>
    <w:rsid w:val="00FC073E"/>
    <w:rsid w:val="00FC082B"/>
    <w:rsid w:val="00FC0D33"/>
    <w:rsid w:val="00FC171F"/>
    <w:rsid w:val="00FC2A28"/>
    <w:rsid w:val="00FC2F95"/>
    <w:rsid w:val="00FC40BB"/>
    <w:rsid w:val="00FC4249"/>
    <w:rsid w:val="00FC4319"/>
    <w:rsid w:val="00FC4763"/>
    <w:rsid w:val="00FC4E47"/>
    <w:rsid w:val="00FC520F"/>
    <w:rsid w:val="00FC5A44"/>
    <w:rsid w:val="00FC5A83"/>
    <w:rsid w:val="00FC62AD"/>
    <w:rsid w:val="00FC7A2E"/>
    <w:rsid w:val="00FD0A12"/>
    <w:rsid w:val="00FD1E73"/>
    <w:rsid w:val="00FD221C"/>
    <w:rsid w:val="00FD2871"/>
    <w:rsid w:val="00FD56A2"/>
    <w:rsid w:val="00FD5B72"/>
    <w:rsid w:val="00FD675F"/>
    <w:rsid w:val="00FD6F56"/>
    <w:rsid w:val="00FD714D"/>
    <w:rsid w:val="00FE02C3"/>
    <w:rsid w:val="00FE041D"/>
    <w:rsid w:val="00FE07D5"/>
    <w:rsid w:val="00FE214C"/>
    <w:rsid w:val="00FE2AA2"/>
    <w:rsid w:val="00FE4882"/>
    <w:rsid w:val="00FE4F93"/>
    <w:rsid w:val="00FE5042"/>
    <w:rsid w:val="00FE5B40"/>
    <w:rsid w:val="00FE61C1"/>
    <w:rsid w:val="00FE6F52"/>
    <w:rsid w:val="00FF09F5"/>
    <w:rsid w:val="00FF0DB0"/>
    <w:rsid w:val="00FF2138"/>
    <w:rsid w:val="00FF2FF8"/>
    <w:rsid w:val="00FF4E1D"/>
    <w:rsid w:val="00FF5108"/>
    <w:rsid w:val="00FF70F9"/>
    <w:rsid w:val="00FF7288"/>
    <w:rsid w:val="00FF7321"/>
    <w:rsid w:val="00FF7530"/>
    <w:rsid w:val="0100180F"/>
    <w:rsid w:val="01036A3B"/>
    <w:rsid w:val="010C7BA2"/>
    <w:rsid w:val="010CB2C0"/>
    <w:rsid w:val="010D7ECA"/>
    <w:rsid w:val="010E309F"/>
    <w:rsid w:val="010EF8E7"/>
    <w:rsid w:val="010F7983"/>
    <w:rsid w:val="0111D645"/>
    <w:rsid w:val="01191CEE"/>
    <w:rsid w:val="011E0C55"/>
    <w:rsid w:val="011F5CA7"/>
    <w:rsid w:val="0121E83D"/>
    <w:rsid w:val="0125D334"/>
    <w:rsid w:val="013BAC93"/>
    <w:rsid w:val="013BE0E3"/>
    <w:rsid w:val="013C40AA"/>
    <w:rsid w:val="013D6C74"/>
    <w:rsid w:val="013E6B3F"/>
    <w:rsid w:val="01411149"/>
    <w:rsid w:val="0142C92B"/>
    <w:rsid w:val="0143F94A"/>
    <w:rsid w:val="01479AB1"/>
    <w:rsid w:val="015A5248"/>
    <w:rsid w:val="015C942E"/>
    <w:rsid w:val="015D8332"/>
    <w:rsid w:val="0160D0EE"/>
    <w:rsid w:val="0178CAA4"/>
    <w:rsid w:val="017B7010"/>
    <w:rsid w:val="0184EEE6"/>
    <w:rsid w:val="0185B1A1"/>
    <w:rsid w:val="018687D0"/>
    <w:rsid w:val="01877F58"/>
    <w:rsid w:val="0189FE99"/>
    <w:rsid w:val="018A4034"/>
    <w:rsid w:val="018AD65C"/>
    <w:rsid w:val="018B5CEA"/>
    <w:rsid w:val="018BC501"/>
    <w:rsid w:val="0190FBDA"/>
    <w:rsid w:val="019198CA"/>
    <w:rsid w:val="01962B07"/>
    <w:rsid w:val="019CA2C3"/>
    <w:rsid w:val="019E266D"/>
    <w:rsid w:val="01A0C3C6"/>
    <w:rsid w:val="01AD1D0F"/>
    <w:rsid w:val="01B65EB3"/>
    <w:rsid w:val="01BEAFB8"/>
    <w:rsid w:val="01C5C905"/>
    <w:rsid w:val="01C65858"/>
    <w:rsid w:val="01CF8983"/>
    <w:rsid w:val="01D0D4B7"/>
    <w:rsid w:val="01D7C321"/>
    <w:rsid w:val="01D8E4EF"/>
    <w:rsid w:val="01D92ABE"/>
    <w:rsid w:val="01E0DFE6"/>
    <w:rsid w:val="01E0EFDC"/>
    <w:rsid w:val="01E624EC"/>
    <w:rsid w:val="01E794A0"/>
    <w:rsid w:val="01E7C9A9"/>
    <w:rsid w:val="01E7E159"/>
    <w:rsid w:val="01E822CD"/>
    <w:rsid w:val="01E92314"/>
    <w:rsid w:val="01EA0328"/>
    <w:rsid w:val="01EAAEB4"/>
    <w:rsid w:val="01ED20CE"/>
    <w:rsid w:val="01F19693"/>
    <w:rsid w:val="01F2FECE"/>
    <w:rsid w:val="01F3CB34"/>
    <w:rsid w:val="02000598"/>
    <w:rsid w:val="02024D1F"/>
    <w:rsid w:val="0203730A"/>
    <w:rsid w:val="020CEE8A"/>
    <w:rsid w:val="020D63C1"/>
    <w:rsid w:val="02160E28"/>
    <w:rsid w:val="02195DCA"/>
    <w:rsid w:val="02266EFA"/>
    <w:rsid w:val="02270E71"/>
    <w:rsid w:val="0227E63A"/>
    <w:rsid w:val="0229002A"/>
    <w:rsid w:val="022EE81D"/>
    <w:rsid w:val="02304E02"/>
    <w:rsid w:val="0232A96F"/>
    <w:rsid w:val="02366B7C"/>
    <w:rsid w:val="0238D1D5"/>
    <w:rsid w:val="024D2BCB"/>
    <w:rsid w:val="024EA2BE"/>
    <w:rsid w:val="02543F20"/>
    <w:rsid w:val="0256BA62"/>
    <w:rsid w:val="025C139C"/>
    <w:rsid w:val="02604EF9"/>
    <w:rsid w:val="0263157D"/>
    <w:rsid w:val="0265764A"/>
    <w:rsid w:val="02672C38"/>
    <w:rsid w:val="026749BE"/>
    <w:rsid w:val="026821D1"/>
    <w:rsid w:val="026988AC"/>
    <w:rsid w:val="0269F53B"/>
    <w:rsid w:val="026BD1C7"/>
    <w:rsid w:val="02734E59"/>
    <w:rsid w:val="0276D022"/>
    <w:rsid w:val="027B8295"/>
    <w:rsid w:val="027BDFCD"/>
    <w:rsid w:val="027E1481"/>
    <w:rsid w:val="027E3E6C"/>
    <w:rsid w:val="0289DFED"/>
    <w:rsid w:val="028CA3A1"/>
    <w:rsid w:val="02925564"/>
    <w:rsid w:val="029A5639"/>
    <w:rsid w:val="02A2BD7A"/>
    <w:rsid w:val="02A81A20"/>
    <w:rsid w:val="02AB7A3B"/>
    <w:rsid w:val="02B09728"/>
    <w:rsid w:val="02B44B03"/>
    <w:rsid w:val="02BEF2C3"/>
    <w:rsid w:val="02C102FF"/>
    <w:rsid w:val="02CAC513"/>
    <w:rsid w:val="02CBE3DC"/>
    <w:rsid w:val="02CC51B1"/>
    <w:rsid w:val="02CDD9B2"/>
    <w:rsid w:val="02CE9152"/>
    <w:rsid w:val="02D18E4E"/>
    <w:rsid w:val="02D867FA"/>
    <w:rsid w:val="02D8B4C2"/>
    <w:rsid w:val="02EAE850"/>
    <w:rsid w:val="02EB9F66"/>
    <w:rsid w:val="02ED0492"/>
    <w:rsid w:val="02F56881"/>
    <w:rsid w:val="02F63804"/>
    <w:rsid w:val="02F741EE"/>
    <w:rsid w:val="02FA196E"/>
    <w:rsid w:val="02FCE0C0"/>
    <w:rsid w:val="02FDBAD2"/>
    <w:rsid w:val="0300A382"/>
    <w:rsid w:val="03018A30"/>
    <w:rsid w:val="03042A88"/>
    <w:rsid w:val="0308321F"/>
    <w:rsid w:val="030BE0B7"/>
    <w:rsid w:val="030BED82"/>
    <w:rsid w:val="030FE2FA"/>
    <w:rsid w:val="0314DD44"/>
    <w:rsid w:val="0315D4DF"/>
    <w:rsid w:val="03179C01"/>
    <w:rsid w:val="031BC9DD"/>
    <w:rsid w:val="031BED0A"/>
    <w:rsid w:val="032D4FC4"/>
    <w:rsid w:val="032DBE37"/>
    <w:rsid w:val="0335E0EC"/>
    <w:rsid w:val="0336DC16"/>
    <w:rsid w:val="03386CCC"/>
    <w:rsid w:val="033B6E20"/>
    <w:rsid w:val="033CB426"/>
    <w:rsid w:val="0340148D"/>
    <w:rsid w:val="0344703E"/>
    <w:rsid w:val="034A61C9"/>
    <w:rsid w:val="034D90C9"/>
    <w:rsid w:val="034DCA0D"/>
    <w:rsid w:val="034F5E40"/>
    <w:rsid w:val="0350660A"/>
    <w:rsid w:val="03521631"/>
    <w:rsid w:val="0358F9C1"/>
    <w:rsid w:val="035B73D4"/>
    <w:rsid w:val="035EA0D5"/>
    <w:rsid w:val="035F196A"/>
    <w:rsid w:val="03616A76"/>
    <w:rsid w:val="036378AA"/>
    <w:rsid w:val="0367C10A"/>
    <w:rsid w:val="0369CFA8"/>
    <w:rsid w:val="037BA0E1"/>
    <w:rsid w:val="037BDD02"/>
    <w:rsid w:val="037E8205"/>
    <w:rsid w:val="0380C08E"/>
    <w:rsid w:val="0382385B"/>
    <w:rsid w:val="038256B0"/>
    <w:rsid w:val="03830CC6"/>
    <w:rsid w:val="03874AA5"/>
    <w:rsid w:val="038F095E"/>
    <w:rsid w:val="038FBB11"/>
    <w:rsid w:val="0399B0B3"/>
    <w:rsid w:val="039C34C4"/>
    <w:rsid w:val="03A486CC"/>
    <w:rsid w:val="03A5C2CC"/>
    <w:rsid w:val="03A9D867"/>
    <w:rsid w:val="03B25164"/>
    <w:rsid w:val="03B2F8AD"/>
    <w:rsid w:val="03B49C3F"/>
    <w:rsid w:val="03B7108F"/>
    <w:rsid w:val="03B77F37"/>
    <w:rsid w:val="03BDF346"/>
    <w:rsid w:val="03BFA5D1"/>
    <w:rsid w:val="03C0F0C2"/>
    <w:rsid w:val="03C16166"/>
    <w:rsid w:val="03C2372D"/>
    <w:rsid w:val="03C4FD75"/>
    <w:rsid w:val="03D37AC1"/>
    <w:rsid w:val="03D3EEA2"/>
    <w:rsid w:val="03D9352F"/>
    <w:rsid w:val="03DC92C1"/>
    <w:rsid w:val="03E0A439"/>
    <w:rsid w:val="03E21649"/>
    <w:rsid w:val="03E8E72E"/>
    <w:rsid w:val="03E98F6A"/>
    <w:rsid w:val="03E9FF1F"/>
    <w:rsid w:val="03F02EAD"/>
    <w:rsid w:val="03F1B5CE"/>
    <w:rsid w:val="03F45BE7"/>
    <w:rsid w:val="03F64760"/>
    <w:rsid w:val="03F89A4D"/>
    <w:rsid w:val="03FCC625"/>
    <w:rsid w:val="040B0DF0"/>
    <w:rsid w:val="041310AE"/>
    <w:rsid w:val="04134B2C"/>
    <w:rsid w:val="0415E48F"/>
    <w:rsid w:val="0416F390"/>
    <w:rsid w:val="04194C9E"/>
    <w:rsid w:val="041F3A8C"/>
    <w:rsid w:val="04208064"/>
    <w:rsid w:val="0421C282"/>
    <w:rsid w:val="0426BA59"/>
    <w:rsid w:val="042C32C8"/>
    <w:rsid w:val="043D9E80"/>
    <w:rsid w:val="04471A45"/>
    <w:rsid w:val="04472B65"/>
    <w:rsid w:val="04498361"/>
    <w:rsid w:val="044B4DB2"/>
    <w:rsid w:val="04505FA7"/>
    <w:rsid w:val="045B526B"/>
    <w:rsid w:val="0460BEFA"/>
    <w:rsid w:val="04618D0A"/>
    <w:rsid w:val="0462F3A1"/>
    <w:rsid w:val="046788A7"/>
    <w:rsid w:val="04689164"/>
    <w:rsid w:val="0468FE81"/>
    <w:rsid w:val="046CCF8B"/>
    <w:rsid w:val="046F1406"/>
    <w:rsid w:val="047248A8"/>
    <w:rsid w:val="0477265C"/>
    <w:rsid w:val="047D4E31"/>
    <w:rsid w:val="0480BBF3"/>
    <w:rsid w:val="04901A22"/>
    <w:rsid w:val="0496FD53"/>
    <w:rsid w:val="049729FB"/>
    <w:rsid w:val="049CE886"/>
    <w:rsid w:val="04A0A8EB"/>
    <w:rsid w:val="04A104FD"/>
    <w:rsid w:val="04A4E222"/>
    <w:rsid w:val="04A4F2F3"/>
    <w:rsid w:val="04A5C1B2"/>
    <w:rsid w:val="04A7C1C0"/>
    <w:rsid w:val="04AC8E77"/>
    <w:rsid w:val="04B55142"/>
    <w:rsid w:val="04B6AF33"/>
    <w:rsid w:val="04BA2346"/>
    <w:rsid w:val="04BCC083"/>
    <w:rsid w:val="04C10767"/>
    <w:rsid w:val="04C347D2"/>
    <w:rsid w:val="04D5E471"/>
    <w:rsid w:val="04D633B4"/>
    <w:rsid w:val="04D8A051"/>
    <w:rsid w:val="04E7D99C"/>
    <w:rsid w:val="04EB2DEC"/>
    <w:rsid w:val="04EDD74A"/>
    <w:rsid w:val="04F053D5"/>
    <w:rsid w:val="04F6AC99"/>
    <w:rsid w:val="04F989AC"/>
    <w:rsid w:val="04FD3472"/>
    <w:rsid w:val="04FE8677"/>
    <w:rsid w:val="050AA964"/>
    <w:rsid w:val="050FF69C"/>
    <w:rsid w:val="051F5A3B"/>
    <w:rsid w:val="05231189"/>
    <w:rsid w:val="05272FF1"/>
    <w:rsid w:val="0528AD1C"/>
    <w:rsid w:val="052AD1AA"/>
    <w:rsid w:val="052CB9DF"/>
    <w:rsid w:val="052E1C43"/>
    <w:rsid w:val="053312F4"/>
    <w:rsid w:val="053368D2"/>
    <w:rsid w:val="053E7CA7"/>
    <w:rsid w:val="053F3B62"/>
    <w:rsid w:val="053F54A1"/>
    <w:rsid w:val="0540C86D"/>
    <w:rsid w:val="05414EA9"/>
    <w:rsid w:val="054BDFFD"/>
    <w:rsid w:val="054C0688"/>
    <w:rsid w:val="0550060F"/>
    <w:rsid w:val="0557725C"/>
    <w:rsid w:val="0562CBFF"/>
    <w:rsid w:val="05632D5D"/>
    <w:rsid w:val="0568137F"/>
    <w:rsid w:val="056FB0C0"/>
    <w:rsid w:val="05707DE2"/>
    <w:rsid w:val="057C8DF4"/>
    <w:rsid w:val="057E6B2A"/>
    <w:rsid w:val="057EAA8D"/>
    <w:rsid w:val="05820B0F"/>
    <w:rsid w:val="058439C7"/>
    <w:rsid w:val="05861B93"/>
    <w:rsid w:val="059A3FE8"/>
    <w:rsid w:val="05A34C2E"/>
    <w:rsid w:val="05B23979"/>
    <w:rsid w:val="05B28697"/>
    <w:rsid w:val="05B595EF"/>
    <w:rsid w:val="05B5DD74"/>
    <w:rsid w:val="05B725A8"/>
    <w:rsid w:val="05BBE4C8"/>
    <w:rsid w:val="05BF6239"/>
    <w:rsid w:val="05C391CE"/>
    <w:rsid w:val="05C61CA3"/>
    <w:rsid w:val="05C714DE"/>
    <w:rsid w:val="05C91E6D"/>
    <w:rsid w:val="05CA76FC"/>
    <w:rsid w:val="05DAFF27"/>
    <w:rsid w:val="05E231BE"/>
    <w:rsid w:val="05E2462D"/>
    <w:rsid w:val="05E59BA5"/>
    <w:rsid w:val="05EAA5D3"/>
    <w:rsid w:val="05EE2F8D"/>
    <w:rsid w:val="05EF915B"/>
    <w:rsid w:val="05F32384"/>
    <w:rsid w:val="05F386F2"/>
    <w:rsid w:val="05F78D4C"/>
    <w:rsid w:val="05F7A403"/>
    <w:rsid w:val="05F94055"/>
    <w:rsid w:val="05F992A2"/>
    <w:rsid w:val="05FFC872"/>
    <w:rsid w:val="06024FCF"/>
    <w:rsid w:val="0608EA8E"/>
    <w:rsid w:val="06126239"/>
    <w:rsid w:val="0614A9C1"/>
    <w:rsid w:val="0619DDD3"/>
    <w:rsid w:val="061F93AE"/>
    <w:rsid w:val="06223848"/>
    <w:rsid w:val="06231BD1"/>
    <w:rsid w:val="06258241"/>
    <w:rsid w:val="0625CF95"/>
    <w:rsid w:val="0628031A"/>
    <w:rsid w:val="062C1E4F"/>
    <w:rsid w:val="0634FBC8"/>
    <w:rsid w:val="06371E27"/>
    <w:rsid w:val="0638DAFE"/>
    <w:rsid w:val="063C5925"/>
    <w:rsid w:val="0640C354"/>
    <w:rsid w:val="0642E37F"/>
    <w:rsid w:val="06456AA0"/>
    <w:rsid w:val="06475D1C"/>
    <w:rsid w:val="064A45C8"/>
    <w:rsid w:val="064C55D6"/>
    <w:rsid w:val="066622CB"/>
    <w:rsid w:val="06691710"/>
    <w:rsid w:val="0669C993"/>
    <w:rsid w:val="066D81AE"/>
    <w:rsid w:val="0672C2C8"/>
    <w:rsid w:val="067732BC"/>
    <w:rsid w:val="067B4078"/>
    <w:rsid w:val="06802AD8"/>
    <w:rsid w:val="0680411B"/>
    <w:rsid w:val="06806F26"/>
    <w:rsid w:val="06846FC0"/>
    <w:rsid w:val="068C12FD"/>
    <w:rsid w:val="068DD398"/>
    <w:rsid w:val="06951242"/>
    <w:rsid w:val="0698C548"/>
    <w:rsid w:val="069C872C"/>
    <w:rsid w:val="069D86AB"/>
    <w:rsid w:val="069F3A8B"/>
    <w:rsid w:val="06A06207"/>
    <w:rsid w:val="06A21821"/>
    <w:rsid w:val="06AA2264"/>
    <w:rsid w:val="06ABC619"/>
    <w:rsid w:val="06ACE294"/>
    <w:rsid w:val="06B09994"/>
    <w:rsid w:val="06B68563"/>
    <w:rsid w:val="06B9868D"/>
    <w:rsid w:val="06BB1602"/>
    <w:rsid w:val="06C5DB0E"/>
    <w:rsid w:val="06CB747E"/>
    <w:rsid w:val="06CEB1B7"/>
    <w:rsid w:val="06CFF30F"/>
    <w:rsid w:val="06DAB4B3"/>
    <w:rsid w:val="06DE1011"/>
    <w:rsid w:val="06DE240E"/>
    <w:rsid w:val="06EE227F"/>
    <w:rsid w:val="06F32F9F"/>
    <w:rsid w:val="06F42722"/>
    <w:rsid w:val="06F7FDB7"/>
    <w:rsid w:val="06FFFDCB"/>
    <w:rsid w:val="07031DCE"/>
    <w:rsid w:val="07067C1B"/>
    <w:rsid w:val="0709C746"/>
    <w:rsid w:val="070A0797"/>
    <w:rsid w:val="070A6CF1"/>
    <w:rsid w:val="070DB7E1"/>
    <w:rsid w:val="070DCF73"/>
    <w:rsid w:val="0711B14D"/>
    <w:rsid w:val="0716AD2A"/>
    <w:rsid w:val="0717F9F2"/>
    <w:rsid w:val="071A8EA9"/>
    <w:rsid w:val="071E9324"/>
    <w:rsid w:val="07216E08"/>
    <w:rsid w:val="07246063"/>
    <w:rsid w:val="072723C8"/>
    <w:rsid w:val="072AD6FD"/>
    <w:rsid w:val="072C03EE"/>
    <w:rsid w:val="072C820C"/>
    <w:rsid w:val="0730FE8F"/>
    <w:rsid w:val="0731B556"/>
    <w:rsid w:val="0735C02E"/>
    <w:rsid w:val="0738C1C1"/>
    <w:rsid w:val="073DFE9C"/>
    <w:rsid w:val="07413B2C"/>
    <w:rsid w:val="0743BF97"/>
    <w:rsid w:val="0744B709"/>
    <w:rsid w:val="07458E4E"/>
    <w:rsid w:val="074719C2"/>
    <w:rsid w:val="0750ED60"/>
    <w:rsid w:val="07533030"/>
    <w:rsid w:val="07560C4F"/>
    <w:rsid w:val="0757351E"/>
    <w:rsid w:val="0757B475"/>
    <w:rsid w:val="075CAB96"/>
    <w:rsid w:val="075E2067"/>
    <w:rsid w:val="07620891"/>
    <w:rsid w:val="0764EEFA"/>
    <w:rsid w:val="07679B1E"/>
    <w:rsid w:val="076B1F49"/>
    <w:rsid w:val="0771705A"/>
    <w:rsid w:val="0771A19E"/>
    <w:rsid w:val="077E5485"/>
    <w:rsid w:val="078B04B1"/>
    <w:rsid w:val="078CAD4C"/>
    <w:rsid w:val="0796ACD2"/>
    <w:rsid w:val="079F2039"/>
    <w:rsid w:val="079FD475"/>
    <w:rsid w:val="07A15726"/>
    <w:rsid w:val="07A77C19"/>
    <w:rsid w:val="07A78825"/>
    <w:rsid w:val="07AAEC69"/>
    <w:rsid w:val="07ADA54C"/>
    <w:rsid w:val="07AF24E4"/>
    <w:rsid w:val="07B401CE"/>
    <w:rsid w:val="07B46D04"/>
    <w:rsid w:val="07BB2633"/>
    <w:rsid w:val="07BB9638"/>
    <w:rsid w:val="07BCD871"/>
    <w:rsid w:val="07C1359D"/>
    <w:rsid w:val="07C14895"/>
    <w:rsid w:val="07C5A0C9"/>
    <w:rsid w:val="07CB900F"/>
    <w:rsid w:val="07CE2F17"/>
    <w:rsid w:val="07D43D5A"/>
    <w:rsid w:val="07D68722"/>
    <w:rsid w:val="07D83A25"/>
    <w:rsid w:val="07D8872E"/>
    <w:rsid w:val="07DB4873"/>
    <w:rsid w:val="07DB6C9B"/>
    <w:rsid w:val="07DCAC94"/>
    <w:rsid w:val="07E07BFD"/>
    <w:rsid w:val="07E55805"/>
    <w:rsid w:val="07EBA88C"/>
    <w:rsid w:val="07EC16D4"/>
    <w:rsid w:val="07F2EC39"/>
    <w:rsid w:val="07FF3510"/>
    <w:rsid w:val="08070AAD"/>
    <w:rsid w:val="080B651B"/>
    <w:rsid w:val="080C4154"/>
    <w:rsid w:val="081493A3"/>
    <w:rsid w:val="0818D615"/>
    <w:rsid w:val="081DF769"/>
    <w:rsid w:val="0822A812"/>
    <w:rsid w:val="082A868A"/>
    <w:rsid w:val="083177DC"/>
    <w:rsid w:val="08357765"/>
    <w:rsid w:val="08398D0C"/>
    <w:rsid w:val="083A0BC3"/>
    <w:rsid w:val="083B9F3B"/>
    <w:rsid w:val="0840815F"/>
    <w:rsid w:val="0844D1FB"/>
    <w:rsid w:val="084532F4"/>
    <w:rsid w:val="0848D71D"/>
    <w:rsid w:val="084A2A42"/>
    <w:rsid w:val="084AF959"/>
    <w:rsid w:val="084B8CF2"/>
    <w:rsid w:val="084DEE50"/>
    <w:rsid w:val="084DF857"/>
    <w:rsid w:val="084E77BD"/>
    <w:rsid w:val="0850F2D9"/>
    <w:rsid w:val="0852D78C"/>
    <w:rsid w:val="0854FF68"/>
    <w:rsid w:val="08551E04"/>
    <w:rsid w:val="085DE0AA"/>
    <w:rsid w:val="08624CB0"/>
    <w:rsid w:val="0867C3F2"/>
    <w:rsid w:val="08686863"/>
    <w:rsid w:val="086FA5E7"/>
    <w:rsid w:val="0876DE54"/>
    <w:rsid w:val="0878229B"/>
    <w:rsid w:val="087A3A23"/>
    <w:rsid w:val="087AC696"/>
    <w:rsid w:val="08830D5D"/>
    <w:rsid w:val="0883C8AA"/>
    <w:rsid w:val="0884FD27"/>
    <w:rsid w:val="0889B5B5"/>
    <w:rsid w:val="088F7C45"/>
    <w:rsid w:val="08943662"/>
    <w:rsid w:val="08985FF2"/>
    <w:rsid w:val="08994A3F"/>
    <w:rsid w:val="089A0515"/>
    <w:rsid w:val="089D14B3"/>
    <w:rsid w:val="089EEFC0"/>
    <w:rsid w:val="08A6565C"/>
    <w:rsid w:val="08AF6C76"/>
    <w:rsid w:val="08B2C267"/>
    <w:rsid w:val="08B2CBBB"/>
    <w:rsid w:val="08B4F278"/>
    <w:rsid w:val="08B6A56A"/>
    <w:rsid w:val="08BD83CA"/>
    <w:rsid w:val="08C8B1A4"/>
    <w:rsid w:val="08C92B9E"/>
    <w:rsid w:val="08CEA922"/>
    <w:rsid w:val="08CF412B"/>
    <w:rsid w:val="08CF97DB"/>
    <w:rsid w:val="08D0EB38"/>
    <w:rsid w:val="08D262F1"/>
    <w:rsid w:val="08D2CC9C"/>
    <w:rsid w:val="08D5A828"/>
    <w:rsid w:val="08DBB6FC"/>
    <w:rsid w:val="08DC5878"/>
    <w:rsid w:val="08DD40D0"/>
    <w:rsid w:val="08E00814"/>
    <w:rsid w:val="08E13343"/>
    <w:rsid w:val="08EC7D48"/>
    <w:rsid w:val="08F72A92"/>
    <w:rsid w:val="08F83CF2"/>
    <w:rsid w:val="08F8B3D2"/>
    <w:rsid w:val="090171BE"/>
    <w:rsid w:val="090DFEED"/>
    <w:rsid w:val="091075BD"/>
    <w:rsid w:val="09121FEB"/>
    <w:rsid w:val="09129D88"/>
    <w:rsid w:val="09146FEB"/>
    <w:rsid w:val="091496E2"/>
    <w:rsid w:val="0917F0D5"/>
    <w:rsid w:val="091977D1"/>
    <w:rsid w:val="09206C87"/>
    <w:rsid w:val="09275689"/>
    <w:rsid w:val="092867C9"/>
    <w:rsid w:val="09288F16"/>
    <w:rsid w:val="092C5FB9"/>
    <w:rsid w:val="09325204"/>
    <w:rsid w:val="093FD0BE"/>
    <w:rsid w:val="094073F1"/>
    <w:rsid w:val="094C8C0D"/>
    <w:rsid w:val="094C99A1"/>
    <w:rsid w:val="094EF8E5"/>
    <w:rsid w:val="0957CA3A"/>
    <w:rsid w:val="09583776"/>
    <w:rsid w:val="095E2F67"/>
    <w:rsid w:val="09603673"/>
    <w:rsid w:val="0969ED8A"/>
    <w:rsid w:val="096DD47E"/>
    <w:rsid w:val="09798EAF"/>
    <w:rsid w:val="097D6009"/>
    <w:rsid w:val="097D9C86"/>
    <w:rsid w:val="097E6BFD"/>
    <w:rsid w:val="097F1BFF"/>
    <w:rsid w:val="09802AEC"/>
    <w:rsid w:val="09803592"/>
    <w:rsid w:val="098245F8"/>
    <w:rsid w:val="098518FB"/>
    <w:rsid w:val="0985D875"/>
    <w:rsid w:val="09875DD3"/>
    <w:rsid w:val="098888DD"/>
    <w:rsid w:val="09903B6B"/>
    <w:rsid w:val="0993994B"/>
    <w:rsid w:val="0995C936"/>
    <w:rsid w:val="0996F7F6"/>
    <w:rsid w:val="09A0958B"/>
    <w:rsid w:val="09A689B1"/>
    <w:rsid w:val="09A73378"/>
    <w:rsid w:val="09A98A5C"/>
    <w:rsid w:val="09B6F4C8"/>
    <w:rsid w:val="09BAD55E"/>
    <w:rsid w:val="09BC50BE"/>
    <w:rsid w:val="09C44680"/>
    <w:rsid w:val="09C4B0C4"/>
    <w:rsid w:val="09CD911D"/>
    <w:rsid w:val="09CDAF91"/>
    <w:rsid w:val="09D06921"/>
    <w:rsid w:val="09D0C97A"/>
    <w:rsid w:val="09D3DDA9"/>
    <w:rsid w:val="09D6BB81"/>
    <w:rsid w:val="09D7A2CF"/>
    <w:rsid w:val="09DB5202"/>
    <w:rsid w:val="09DC53C8"/>
    <w:rsid w:val="09DD0951"/>
    <w:rsid w:val="09E2FFA6"/>
    <w:rsid w:val="09EDAE1D"/>
    <w:rsid w:val="09F02182"/>
    <w:rsid w:val="09F03E50"/>
    <w:rsid w:val="09F1DA92"/>
    <w:rsid w:val="09F206A0"/>
    <w:rsid w:val="09F3BCF9"/>
    <w:rsid w:val="09F42E2B"/>
    <w:rsid w:val="09F8233B"/>
    <w:rsid w:val="09F8E6DD"/>
    <w:rsid w:val="09F963A5"/>
    <w:rsid w:val="0A02A78A"/>
    <w:rsid w:val="0A04F9CF"/>
    <w:rsid w:val="0A0656D4"/>
    <w:rsid w:val="0A0AD399"/>
    <w:rsid w:val="0A191276"/>
    <w:rsid w:val="0A1B752C"/>
    <w:rsid w:val="0A1CA260"/>
    <w:rsid w:val="0A1D0092"/>
    <w:rsid w:val="0A1F0391"/>
    <w:rsid w:val="0A289849"/>
    <w:rsid w:val="0A2E85C1"/>
    <w:rsid w:val="0A3396DF"/>
    <w:rsid w:val="0A34C21F"/>
    <w:rsid w:val="0A36C096"/>
    <w:rsid w:val="0A394375"/>
    <w:rsid w:val="0A3FAABA"/>
    <w:rsid w:val="0A4226BD"/>
    <w:rsid w:val="0A471587"/>
    <w:rsid w:val="0A539745"/>
    <w:rsid w:val="0A556A33"/>
    <w:rsid w:val="0A594C61"/>
    <w:rsid w:val="0A673CB0"/>
    <w:rsid w:val="0A6A72AA"/>
    <w:rsid w:val="0A716BA3"/>
    <w:rsid w:val="0A71B56C"/>
    <w:rsid w:val="0A7206CD"/>
    <w:rsid w:val="0A75E794"/>
    <w:rsid w:val="0A77EB2D"/>
    <w:rsid w:val="0A7B7FCA"/>
    <w:rsid w:val="0A7C3057"/>
    <w:rsid w:val="0A827850"/>
    <w:rsid w:val="0A85F516"/>
    <w:rsid w:val="0A90E643"/>
    <w:rsid w:val="0A942F7A"/>
    <w:rsid w:val="0A968BD8"/>
    <w:rsid w:val="0A975AF6"/>
    <w:rsid w:val="0A9FA36C"/>
    <w:rsid w:val="0AA9057A"/>
    <w:rsid w:val="0AAC19BB"/>
    <w:rsid w:val="0AAC40DA"/>
    <w:rsid w:val="0AAE1314"/>
    <w:rsid w:val="0AAE3B54"/>
    <w:rsid w:val="0AAEACE6"/>
    <w:rsid w:val="0AAF603C"/>
    <w:rsid w:val="0AB1BEC1"/>
    <w:rsid w:val="0AB2F6BC"/>
    <w:rsid w:val="0AB30EAB"/>
    <w:rsid w:val="0AB436F5"/>
    <w:rsid w:val="0AB49A40"/>
    <w:rsid w:val="0AB5F195"/>
    <w:rsid w:val="0ABCB213"/>
    <w:rsid w:val="0ABEC671"/>
    <w:rsid w:val="0ABF7A49"/>
    <w:rsid w:val="0AC24011"/>
    <w:rsid w:val="0AC30691"/>
    <w:rsid w:val="0AC6E454"/>
    <w:rsid w:val="0ACA5625"/>
    <w:rsid w:val="0AD6D977"/>
    <w:rsid w:val="0ADB76AE"/>
    <w:rsid w:val="0ADD1842"/>
    <w:rsid w:val="0ADE4184"/>
    <w:rsid w:val="0ADEA10D"/>
    <w:rsid w:val="0AED7E7C"/>
    <w:rsid w:val="0AF2323B"/>
    <w:rsid w:val="0AF5A1BF"/>
    <w:rsid w:val="0AF6F404"/>
    <w:rsid w:val="0B0D0056"/>
    <w:rsid w:val="0B212EEE"/>
    <w:rsid w:val="0B2168AF"/>
    <w:rsid w:val="0B2910F2"/>
    <w:rsid w:val="0B291350"/>
    <w:rsid w:val="0B2D3E8C"/>
    <w:rsid w:val="0B3108DF"/>
    <w:rsid w:val="0B32B8A9"/>
    <w:rsid w:val="0B342DA3"/>
    <w:rsid w:val="0B358E7A"/>
    <w:rsid w:val="0B35AAC7"/>
    <w:rsid w:val="0B3C18C1"/>
    <w:rsid w:val="0B422321"/>
    <w:rsid w:val="0B4B1F69"/>
    <w:rsid w:val="0B4EB1C0"/>
    <w:rsid w:val="0B507550"/>
    <w:rsid w:val="0B56EA45"/>
    <w:rsid w:val="0B5EC767"/>
    <w:rsid w:val="0B69F9A3"/>
    <w:rsid w:val="0B6E0D29"/>
    <w:rsid w:val="0B7051B3"/>
    <w:rsid w:val="0B74C8D5"/>
    <w:rsid w:val="0B7B4074"/>
    <w:rsid w:val="0B7B5B31"/>
    <w:rsid w:val="0B7D6323"/>
    <w:rsid w:val="0B7DEDE6"/>
    <w:rsid w:val="0B83D8A8"/>
    <w:rsid w:val="0B8525F2"/>
    <w:rsid w:val="0B8C20E4"/>
    <w:rsid w:val="0B92F10E"/>
    <w:rsid w:val="0B9F2F73"/>
    <w:rsid w:val="0BA3DE26"/>
    <w:rsid w:val="0BA4C2D2"/>
    <w:rsid w:val="0BA58C46"/>
    <w:rsid w:val="0BA68890"/>
    <w:rsid w:val="0BA9FA4A"/>
    <w:rsid w:val="0BAA8E7E"/>
    <w:rsid w:val="0BAB3F51"/>
    <w:rsid w:val="0BAB7832"/>
    <w:rsid w:val="0BAFF022"/>
    <w:rsid w:val="0BB0557F"/>
    <w:rsid w:val="0BB639BB"/>
    <w:rsid w:val="0BB7D50F"/>
    <w:rsid w:val="0BB85FC5"/>
    <w:rsid w:val="0BB8D81B"/>
    <w:rsid w:val="0BBFFDFF"/>
    <w:rsid w:val="0BC0EE2B"/>
    <w:rsid w:val="0BC61D0E"/>
    <w:rsid w:val="0BC64E53"/>
    <w:rsid w:val="0BC6C01E"/>
    <w:rsid w:val="0BCB804B"/>
    <w:rsid w:val="0BCE7938"/>
    <w:rsid w:val="0BD18CF7"/>
    <w:rsid w:val="0BD26EFA"/>
    <w:rsid w:val="0BDABF4A"/>
    <w:rsid w:val="0BDC0169"/>
    <w:rsid w:val="0BDFBF1B"/>
    <w:rsid w:val="0BE52CB9"/>
    <w:rsid w:val="0BE65D8B"/>
    <w:rsid w:val="0BE74753"/>
    <w:rsid w:val="0BE9B26F"/>
    <w:rsid w:val="0BE9B3BE"/>
    <w:rsid w:val="0BECB985"/>
    <w:rsid w:val="0BED4189"/>
    <w:rsid w:val="0BED7523"/>
    <w:rsid w:val="0BF17D4E"/>
    <w:rsid w:val="0BFDCE55"/>
    <w:rsid w:val="0C011C8B"/>
    <w:rsid w:val="0C1439DB"/>
    <w:rsid w:val="0C162DD5"/>
    <w:rsid w:val="0C167971"/>
    <w:rsid w:val="0C1BEB82"/>
    <w:rsid w:val="0C228EBD"/>
    <w:rsid w:val="0C258F8C"/>
    <w:rsid w:val="0C2E5C05"/>
    <w:rsid w:val="0C2EA341"/>
    <w:rsid w:val="0C31441E"/>
    <w:rsid w:val="0C34E69B"/>
    <w:rsid w:val="0C371F6C"/>
    <w:rsid w:val="0C374095"/>
    <w:rsid w:val="0C3B6147"/>
    <w:rsid w:val="0C3CB54C"/>
    <w:rsid w:val="0C41AAD1"/>
    <w:rsid w:val="0C429A0D"/>
    <w:rsid w:val="0C42EE8F"/>
    <w:rsid w:val="0C44A97D"/>
    <w:rsid w:val="0C461E61"/>
    <w:rsid w:val="0C496818"/>
    <w:rsid w:val="0C4B8279"/>
    <w:rsid w:val="0C50D454"/>
    <w:rsid w:val="0C522C2A"/>
    <w:rsid w:val="0C53EEA9"/>
    <w:rsid w:val="0C552F94"/>
    <w:rsid w:val="0C57E510"/>
    <w:rsid w:val="0C59DAB6"/>
    <w:rsid w:val="0C62B737"/>
    <w:rsid w:val="0C64B938"/>
    <w:rsid w:val="0C6B1207"/>
    <w:rsid w:val="0C6B54B3"/>
    <w:rsid w:val="0C6DEF7C"/>
    <w:rsid w:val="0C7243CA"/>
    <w:rsid w:val="0C76BBE5"/>
    <w:rsid w:val="0C87A2BB"/>
    <w:rsid w:val="0C8C4279"/>
    <w:rsid w:val="0C8D9E2E"/>
    <w:rsid w:val="0C8DBCFA"/>
    <w:rsid w:val="0C91FB17"/>
    <w:rsid w:val="0C9410CC"/>
    <w:rsid w:val="0C9572AE"/>
    <w:rsid w:val="0C983C06"/>
    <w:rsid w:val="0C991BBB"/>
    <w:rsid w:val="0C993285"/>
    <w:rsid w:val="0C99A818"/>
    <w:rsid w:val="0CA4606D"/>
    <w:rsid w:val="0CAA0C12"/>
    <w:rsid w:val="0CAD0856"/>
    <w:rsid w:val="0CAF1C26"/>
    <w:rsid w:val="0CB43554"/>
    <w:rsid w:val="0CBBE062"/>
    <w:rsid w:val="0CC07509"/>
    <w:rsid w:val="0CC44BD4"/>
    <w:rsid w:val="0CC823BC"/>
    <w:rsid w:val="0CC9F01F"/>
    <w:rsid w:val="0CCB422E"/>
    <w:rsid w:val="0CCCE75A"/>
    <w:rsid w:val="0CCEF6C1"/>
    <w:rsid w:val="0CD470E4"/>
    <w:rsid w:val="0CD9D6C3"/>
    <w:rsid w:val="0CDDF260"/>
    <w:rsid w:val="0CDEB2D7"/>
    <w:rsid w:val="0CE0D914"/>
    <w:rsid w:val="0CE114F9"/>
    <w:rsid w:val="0CE3FED1"/>
    <w:rsid w:val="0CE41532"/>
    <w:rsid w:val="0CE82C77"/>
    <w:rsid w:val="0CEC944A"/>
    <w:rsid w:val="0CEDA183"/>
    <w:rsid w:val="0CEE252A"/>
    <w:rsid w:val="0CF74C0C"/>
    <w:rsid w:val="0CFE71CA"/>
    <w:rsid w:val="0D040724"/>
    <w:rsid w:val="0D04A1FE"/>
    <w:rsid w:val="0D060325"/>
    <w:rsid w:val="0D077E05"/>
    <w:rsid w:val="0D092DB4"/>
    <w:rsid w:val="0D099C78"/>
    <w:rsid w:val="0D0BC391"/>
    <w:rsid w:val="0D0C5D29"/>
    <w:rsid w:val="0D0DBC5D"/>
    <w:rsid w:val="0D0DDEB7"/>
    <w:rsid w:val="0D0EAD3C"/>
    <w:rsid w:val="0D0EFAC4"/>
    <w:rsid w:val="0D168171"/>
    <w:rsid w:val="0D177F60"/>
    <w:rsid w:val="0D20F653"/>
    <w:rsid w:val="0D2B078D"/>
    <w:rsid w:val="0D2C092F"/>
    <w:rsid w:val="0D2E229E"/>
    <w:rsid w:val="0D328E31"/>
    <w:rsid w:val="0D34D7F1"/>
    <w:rsid w:val="0D3AA266"/>
    <w:rsid w:val="0D3B6804"/>
    <w:rsid w:val="0D43987F"/>
    <w:rsid w:val="0D43C872"/>
    <w:rsid w:val="0D47C9DD"/>
    <w:rsid w:val="0D48007C"/>
    <w:rsid w:val="0D488208"/>
    <w:rsid w:val="0D48D291"/>
    <w:rsid w:val="0D5B0E9C"/>
    <w:rsid w:val="0D5B31C0"/>
    <w:rsid w:val="0D5C681D"/>
    <w:rsid w:val="0D6D2A5F"/>
    <w:rsid w:val="0D6E0952"/>
    <w:rsid w:val="0D6F59DE"/>
    <w:rsid w:val="0D6F9854"/>
    <w:rsid w:val="0D7114D4"/>
    <w:rsid w:val="0D715DED"/>
    <w:rsid w:val="0D7525CE"/>
    <w:rsid w:val="0D79FAD2"/>
    <w:rsid w:val="0D7A6A57"/>
    <w:rsid w:val="0D7CCD8E"/>
    <w:rsid w:val="0D7D1500"/>
    <w:rsid w:val="0D83D624"/>
    <w:rsid w:val="0D83EEF6"/>
    <w:rsid w:val="0D84FDFB"/>
    <w:rsid w:val="0D857D6E"/>
    <w:rsid w:val="0D89CF47"/>
    <w:rsid w:val="0D8B4BDE"/>
    <w:rsid w:val="0D8E6C4A"/>
    <w:rsid w:val="0D8FDDFF"/>
    <w:rsid w:val="0D98C93B"/>
    <w:rsid w:val="0D9C6905"/>
    <w:rsid w:val="0D9D8418"/>
    <w:rsid w:val="0DA3F220"/>
    <w:rsid w:val="0DA74BF3"/>
    <w:rsid w:val="0DA87A8D"/>
    <w:rsid w:val="0DB61C30"/>
    <w:rsid w:val="0DBF5F06"/>
    <w:rsid w:val="0DBFCA90"/>
    <w:rsid w:val="0DC1E7FA"/>
    <w:rsid w:val="0DC41EFC"/>
    <w:rsid w:val="0DC8896A"/>
    <w:rsid w:val="0DCAFBD1"/>
    <w:rsid w:val="0DCE4869"/>
    <w:rsid w:val="0DD15840"/>
    <w:rsid w:val="0DD53326"/>
    <w:rsid w:val="0DD69C4A"/>
    <w:rsid w:val="0DD937B1"/>
    <w:rsid w:val="0DD946F2"/>
    <w:rsid w:val="0DE0A06E"/>
    <w:rsid w:val="0DE61646"/>
    <w:rsid w:val="0DEBAB4A"/>
    <w:rsid w:val="0DF31E7A"/>
    <w:rsid w:val="0DFE89A6"/>
    <w:rsid w:val="0DFEA15E"/>
    <w:rsid w:val="0E012698"/>
    <w:rsid w:val="0E04BC0D"/>
    <w:rsid w:val="0E0FFB33"/>
    <w:rsid w:val="0E103EC1"/>
    <w:rsid w:val="0E1489DA"/>
    <w:rsid w:val="0E1CA4A7"/>
    <w:rsid w:val="0E254827"/>
    <w:rsid w:val="0E259E5D"/>
    <w:rsid w:val="0E25C0A8"/>
    <w:rsid w:val="0E271CF2"/>
    <w:rsid w:val="0E2CCE8E"/>
    <w:rsid w:val="0E2DF24A"/>
    <w:rsid w:val="0E301F02"/>
    <w:rsid w:val="0E3057CB"/>
    <w:rsid w:val="0E32B829"/>
    <w:rsid w:val="0E32F78F"/>
    <w:rsid w:val="0E3864B6"/>
    <w:rsid w:val="0E3A5531"/>
    <w:rsid w:val="0E3BEBEC"/>
    <w:rsid w:val="0E3C93C3"/>
    <w:rsid w:val="0E3D0889"/>
    <w:rsid w:val="0E4045CA"/>
    <w:rsid w:val="0E41C11F"/>
    <w:rsid w:val="0E41F255"/>
    <w:rsid w:val="0E45C0CA"/>
    <w:rsid w:val="0E483168"/>
    <w:rsid w:val="0E4A5D4E"/>
    <w:rsid w:val="0E4A725B"/>
    <w:rsid w:val="0E5368CF"/>
    <w:rsid w:val="0E542290"/>
    <w:rsid w:val="0E549989"/>
    <w:rsid w:val="0E55F8AA"/>
    <w:rsid w:val="0E589AE3"/>
    <w:rsid w:val="0E58D9F7"/>
    <w:rsid w:val="0E59780E"/>
    <w:rsid w:val="0E5B8006"/>
    <w:rsid w:val="0E5CF25A"/>
    <w:rsid w:val="0E5D3784"/>
    <w:rsid w:val="0E696219"/>
    <w:rsid w:val="0E6B779A"/>
    <w:rsid w:val="0E6E1657"/>
    <w:rsid w:val="0E748121"/>
    <w:rsid w:val="0E7CB628"/>
    <w:rsid w:val="0E82E651"/>
    <w:rsid w:val="0E8496FB"/>
    <w:rsid w:val="0E87B2AD"/>
    <w:rsid w:val="0E88096D"/>
    <w:rsid w:val="0E897230"/>
    <w:rsid w:val="0E8DD3B2"/>
    <w:rsid w:val="0E955B54"/>
    <w:rsid w:val="0E9756BA"/>
    <w:rsid w:val="0E97907B"/>
    <w:rsid w:val="0E97A2F6"/>
    <w:rsid w:val="0E9B5C6C"/>
    <w:rsid w:val="0EA0BD42"/>
    <w:rsid w:val="0EAD6A8B"/>
    <w:rsid w:val="0EB30235"/>
    <w:rsid w:val="0EB6C161"/>
    <w:rsid w:val="0EB70396"/>
    <w:rsid w:val="0EBE4B22"/>
    <w:rsid w:val="0EC2BBDC"/>
    <w:rsid w:val="0EC32943"/>
    <w:rsid w:val="0ED0CB00"/>
    <w:rsid w:val="0ED26D41"/>
    <w:rsid w:val="0EDEE435"/>
    <w:rsid w:val="0EE004A9"/>
    <w:rsid w:val="0EE05E1C"/>
    <w:rsid w:val="0EF7D6ED"/>
    <w:rsid w:val="0F027C1D"/>
    <w:rsid w:val="0F0AC8D7"/>
    <w:rsid w:val="0F0F408F"/>
    <w:rsid w:val="0F12CC20"/>
    <w:rsid w:val="0F1460EB"/>
    <w:rsid w:val="0F1720EC"/>
    <w:rsid w:val="0F19D2EF"/>
    <w:rsid w:val="0F1B3E1E"/>
    <w:rsid w:val="0F1D1B6B"/>
    <w:rsid w:val="0F1DA146"/>
    <w:rsid w:val="0F257694"/>
    <w:rsid w:val="0F28BA04"/>
    <w:rsid w:val="0F2C6511"/>
    <w:rsid w:val="0F31AB3E"/>
    <w:rsid w:val="0F31B379"/>
    <w:rsid w:val="0F328CB2"/>
    <w:rsid w:val="0F389A1F"/>
    <w:rsid w:val="0F4198F0"/>
    <w:rsid w:val="0F43809C"/>
    <w:rsid w:val="0F442DB2"/>
    <w:rsid w:val="0F4A73A2"/>
    <w:rsid w:val="0F51D63D"/>
    <w:rsid w:val="0F52754F"/>
    <w:rsid w:val="0F6231AF"/>
    <w:rsid w:val="0F637E5F"/>
    <w:rsid w:val="0F638385"/>
    <w:rsid w:val="0F63994C"/>
    <w:rsid w:val="0F63BD4E"/>
    <w:rsid w:val="0F6DA7EF"/>
    <w:rsid w:val="0F6E67CC"/>
    <w:rsid w:val="0F92E2D8"/>
    <w:rsid w:val="0F962CCD"/>
    <w:rsid w:val="0F9E339F"/>
    <w:rsid w:val="0F9E5F17"/>
    <w:rsid w:val="0FA417CE"/>
    <w:rsid w:val="0FAA8619"/>
    <w:rsid w:val="0FAEBDF0"/>
    <w:rsid w:val="0FB095AA"/>
    <w:rsid w:val="0FB15F44"/>
    <w:rsid w:val="0FBC18AB"/>
    <w:rsid w:val="0FC352B2"/>
    <w:rsid w:val="0FC9AF31"/>
    <w:rsid w:val="0FCAF111"/>
    <w:rsid w:val="0FCE4F40"/>
    <w:rsid w:val="0FD4A2F9"/>
    <w:rsid w:val="0FD76212"/>
    <w:rsid w:val="0FE34B75"/>
    <w:rsid w:val="0FE3B8BA"/>
    <w:rsid w:val="0FF71C6E"/>
    <w:rsid w:val="0FF774B4"/>
    <w:rsid w:val="0FFB1A78"/>
    <w:rsid w:val="0FFF6A5E"/>
    <w:rsid w:val="1000BC7F"/>
    <w:rsid w:val="100ACBEE"/>
    <w:rsid w:val="100B87C3"/>
    <w:rsid w:val="100F2DBF"/>
    <w:rsid w:val="1017CB28"/>
    <w:rsid w:val="101B3A6A"/>
    <w:rsid w:val="101CCA8C"/>
    <w:rsid w:val="10246C88"/>
    <w:rsid w:val="10257EDB"/>
    <w:rsid w:val="102B7BFF"/>
    <w:rsid w:val="102C994A"/>
    <w:rsid w:val="102D03B9"/>
    <w:rsid w:val="10307B96"/>
    <w:rsid w:val="10307D06"/>
    <w:rsid w:val="10368579"/>
    <w:rsid w:val="1037900F"/>
    <w:rsid w:val="10394909"/>
    <w:rsid w:val="103E7398"/>
    <w:rsid w:val="1043B5EB"/>
    <w:rsid w:val="1043D135"/>
    <w:rsid w:val="1045959D"/>
    <w:rsid w:val="104D29F9"/>
    <w:rsid w:val="1059F3E3"/>
    <w:rsid w:val="105CC118"/>
    <w:rsid w:val="105F9C57"/>
    <w:rsid w:val="10611476"/>
    <w:rsid w:val="10624AEB"/>
    <w:rsid w:val="1070A2A1"/>
    <w:rsid w:val="10730004"/>
    <w:rsid w:val="1077874F"/>
    <w:rsid w:val="107ED213"/>
    <w:rsid w:val="107F18B6"/>
    <w:rsid w:val="1080B451"/>
    <w:rsid w:val="108568F5"/>
    <w:rsid w:val="1089193E"/>
    <w:rsid w:val="1091CF4F"/>
    <w:rsid w:val="10A6F113"/>
    <w:rsid w:val="10AAB88A"/>
    <w:rsid w:val="10ADDDCF"/>
    <w:rsid w:val="10ADDDE2"/>
    <w:rsid w:val="10AFDC10"/>
    <w:rsid w:val="10B29853"/>
    <w:rsid w:val="10B3D0B9"/>
    <w:rsid w:val="10BE4FCC"/>
    <w:rsid w:val="10C46EA0"/>
    <w:rsid w:val="10C4A80D"/>
    <w:rsid w:val="10C7FCAF"/>
    <w:rsid w:val="10CD5218"/>
    <w:rsid w:val="10D20C08"/>
    <w:rsid w:val="10D51924"/>
    <w:rsid w:val="10D53D39"/>
    <w:rsid w:val="10D6813F"/>
    <w:rsid w:val="10DC81C7"/>
    <w:rsid w:val="10DED1B9"/>
    <w:rsid w:val="10E14310"/>
    <w:rsid w:val="10E5596C"/>
    <w:rsid w:val="10E56112"/>
    <w:rsid w:val="10E61187"/>
    <w:rsid w:val="10E8BAEA"/>
    <w:rsid w:val="10EE6197"/>
    <w:rsid w:val="10F0EE5F"/>
    <w:rsid w:val="10F60B56"/>
    <w:rsid w:val="1100CC7E"/>
    <w:rsid w:val="11010133"/>
    <w:rsid w:val="11050D52"/>
    <w:rsid w:val="110BD8CC"/>
    <w:rsid w:val="110F56A6"/>
    <w:rsid w:val="1113257C"/>
    <w:rsid w:val="11158B80"/>
    <w:rsid w:val="1119FD58"/>
    <w:rsid w:val="111ED891"/>
    <w:rsid w:val="111EF6F2"/>
    <w:rsid w:val="111F9CA9"/>
    <w:rsid w:val="1127593D"/>
    <w:rsid w:val="11288E45"/>
    <w:rsid w:val="112959D3"/>
    <w:rsid w:val="11369B39"/>
    <w:rsid w:val="1139BC0E"/>
    <w:rsid w:val="113B5BAD"/>
    <w:rsid w:val="113E3FB3"/>
    <w:rsid w:val="1141D13E"/>
    <w:rsid w:val="1141F0E7"/>
    <w:rsid w:val="11450CAD"/>
    <w:rsid w:val="11456B42"/>
    <w:rsid w:val="114A4B9F"/>
    <w:rsid w:val="114CFA40"/>
    <w:rsid w:val="114EF403"/>
    <w:rsid w:val="114FCCE3"/>
    <w:rsid w:val="11515CE3"/>
    <w:rsid w:val="11566469"/>
    <w:rsid w:val="1156674D"/>
    <w:rsid w:val="1159F597"/>
    <w:rsid w:val="115CF921"/>
    <w:rsid w:val="1169F09C"/>
    <w:rsid w:val="116D1FD5"/>
    <w:rsid w:val="116F1028"/>
    <w:rsid w:val="11700225"/>
    <w:rsid w:val="117C1B9C"/>
    <w:rsid w:val="117E25F0"/>
    <w:rsid w:val="117F252E"/>
    <w:rsid w:val="11855A75"/>
    <w:rsid w:val="118B1181"/>
    <w:rsid w:val="118BA776"/>
    <w:rsid w:val="11900932"/>
    <w:rsid w:val="11937EE9"/>
    <w:rsid w:val="1196EAD9"/>
    <w:rsid w:val="1196F19F"/>
    <w:rsid w:val="119C43DD"/>
    <w:rsid w:val="119E9845"/>
    <w:rsid w:val="11A12AB3"/>
    <w:rsid w:val="11A80CAB"/>
    <w:rsid w:val="11A8633B"/>
    <w:rsid w:val="11A94525"/>
    <w:rsid w:val="11AAF189"/>
    <w:rsid w:val="11ADA782"/>
    <w:rsid w:val="11AEA39B"/>
    <w:rsid w:val="11AFBA7F"/>
    <w:rsid w:val="11B0675D"/>
    <w:rsid w:val="11B45F98"/>
    <w:rsid w:val="11B46781"/>
    <w:rsid w:val="11BAABA4"/>
    <w:rsid w:val="11C350A8"/>
    <w:rsid w:val="11C8A6EE"/>
    <w:rsid w:val="11CCBB9C"/>
    <w:rsid w:val="11CF237F"/>
    <w:rsid w:val="11D02C82"/>
    <w:rsid w:val="11D1B560"/>
    <w:rsid w:val="11D9A4F1"/>
    <w:rsid w:val="11DD617F"/>
    <w:rsid w:val="11DF3E52"/>
    <w:rsid w:val="11E3CEC7"/>
    <w:rsid w:val="11E7BE31"/>
    <w:rsid w:val="11E9DB7F"/>
    <w:rsid w:val="11FF12A4"/>
    <w:rsid w:val="1202C972"/>
    <w:rsid w:val="12069731"/>
    <w:rsid w:val="12090CC8"/>
    <w:rsid w:val="1209550E"/>
    <w:rsid w:val="1209D478"/>
    <w:rsid w:val="120BC713"/>
    <w:rsid w:val="120DDD46"/>
    <w:rsid w:val="120FBFC7"/>
    <w:rsid w:val="12123FB2"/>
    <w:rsid w:val="1217C56F"/>
    <w:rsid w:val="12189F65"/>
    <w:rsid w:val="121A0BFF"/>
    <w:rsid w:val="121B53EA"/>
    <w:rsid w:val="12251870"/>
    <w:rsid w:val="1226BBF1"/>
    <w:rsid w:val="122FB359"/>
    <w:rsid w:val="12305811"/>
    <w:rsid w:val="1230F16C"/>
    <w:rsid w:val="1233A106"/>
    <w:rsid w:val="12370C07"/>
    <w:rsid w:val="123FFE7D"/>
    <w:rsid w:val="124101DF"/>
    <w:rsid w:val="12495C0E"/>
    <w:rsid w:val="124A00CE"/>
    <w:rsid w:val="124A5859"/>
    <w:rsid w:val="1251DF4E"/>
    <w:rsid w:val="12527E27"/>
    <w:rsid w:val="125841F9"/>
    <w:rsid w:val="125AFAAA"/>
    <w:rsid w:val="125B8C73"/>
    <w:rsid w:val="125D27E3"/>
    <w:rsid w:val="125E7411"/>
    <w:rsid w:val="1261BF13"/>
    <w:rsid w:val="1267BF6E"/>
    <w:rsid w:val="1267FC4C"/>
    <w:rsid w:val="1268681A"/>
    <w:rsid w:val="127A40D6"/>
    <w:rsid w:val="127DF95E"/>
    <w:rsid w:val="127F97C8"/>
    <w:rsid w:val="12802A71"/>
    <w:rsid w:val="12835FC3"/>
    <w:rsid w:val="1287FA17"/>
    <w:rsid w:val="1288EDD5"/>
    <w:rsid w:val="128C62A5"/>
    <w:rsid w:val="12944ECF"/>
    <w:rsid w:val="129EB3C0"/>
    <w:rsid w:val="12A434BA"/>
    <w:rsid w:val="12AA42EA"/>
    <w:rsid w:val="12AABCD2"/>
    <w:rsid w:val="12B4F377"/>
    <w:rsid w:val="12B50375"/>
    <w:rsid w:val="12B65452"/>
    <w:rsid w:val="12B6E860"/>
    <w:rsid w:val="12BA5D16"/>
    <w:rsid w:val="12BBF032"/>
    <w:rsid w:val="12C2E546"/>
    <w:rsid w:val="12C48524"/>
    <w:rsid w:val="12D058CD"/>
    <w:rsid w:val="12D2B4E3"/>
    <w:rsid w:val="12D424E4"/>
    <w:rsid w:val="12D87FA1"/>
    <w:rsid w:val="12D8EF9C"/>
    <w:rsid w:val="12DB5A2E"/>
    <w:rsid w:val="12DCC52D"/>
    <w:rsid w:val="12E31CDA"/>
    <w:rsid w:val="12E6E943"/>
    <w:rsid w:val="12EF70DD"/>
    <w:rsid w:val="12EFD199"/>
    <w:rsid w:val="12F38C5E"/>
    <w:rsid w:val="12F5278D"/>
    <w:rsid w:val="13001B31"/>
    <w:rsid w:val="130202D0"/>
    <w:rsid w:val="13038ECF"/>
    <w:rsid w:val="130ECEF3"/>
    <w:rsid w:val="13105956"/>
    <w:rsid w:val="1311C9D1"/>
    <w:rsid w:val="1311FB4D"/>
    <w:rsid w:val="13120DC7"/>
    <w:rsid w:val="13138080"/>
    <w:rsid w:val="13297D67"/>
    <w:rsid w:val="132DB91A"/>
    <w:rsid w:val="132E9571"/>
    <w:rsid w:val="133658A7"/>
    <w:rsid w:val="134D50A0"/>
    <w:rsid w:val="134F225D"/>
    <w:rsid w:val="13508E07"/>
    <w:rsid w:val="135D24B3"/>
    <w:rsid w:val="135EA3D5"/>
    <w:rsid w:val="136071D7"/>
    <w:rsid w:val="1363541E"/>
    <w:rsid w:val="1363D51B"/>
    <w:rsid w:val="13648458"/>
    <w:rsid w:val="1365AD55"/>
    <w:rsid w:val="1367F09D"/>
    <w:rsid w:val="136A5C17"/>
    <w:rsid w:val="13718900"/>
    <w:rsid w:val="137732C1"/>
    <w:rsid w:val="137C12EB"/>
    <w:rsid w:val="137E707C"/>
    <w:rsid w:val="137F5E37"/>
    <w:rsid w:val="13810182"/>
    <w:rsid w:val="138A22DB"/>
    <w:rsid w:val="138A93E5"/>
    <w:rsid w:val="138DE4EB"/>
    <w:rsid w:val="13917F01"/>
    <w:rsid w:val="1399D0BE"/>
    <w:rsid w:val="139EA33B"/>
    <w:rsid w:val="13A6A4E3"/>
    <w:rsid w:val="13B4F2FC"/>
    <w:rsid w:val="13BB1496"/>
    <w:rsid w:val="13BDFD22"/>
    <w:rsid w:val="13D2D417"/>
    <w:rsid w:val="13DE368C"/>
    <w:rsid w:val="13E156D5"/>
    <w:rsid w:val="13E38132"/>
    <w:rsid w:val="13E56A90"/>
    <w:rsid w:val="13E69861"/>
    <w:rsid w:val="13E80C57"/>
    <w:rsid w:val="13EEE010"/>
    <w:rsid w:val="13F11D00"/>
    <w:rsid w:val="13F1C4E2"/>
    <w:rsid w:val="13F2DF5A"/>
    <w:rsid w:val="13F7E0FA"/>
    <w:rsid w:val="13F7EF63"/>
    <w:rsid w:val="13FB9A7D"/>
    <w:rsid w:val="13FD92E8"/>
    <w:rsid w:val="14006110"/>
    <w:rsid w:val="140C261E"/>
    <w:rsid w:val="14163354"/>
    <w:rsid w:val="14184809"/>
    <w:rsid w:val="141A507B"/>
    <w:rsid w:val="141F4CD6"/>
    <w:rsid w:val="141FB78C"/>
    <w:rsid w:val="14209B4A"/>
    <w:rsid w:val="1423E72D"/>
    <w:rsid w:val="1428A6F5"/>
    <w:rsid w:val="142C8F8C"/>
    <w:rsid w:val="142E6E3E"/>
    <w:rsid w:val="142EC537"/>
    <w:rsid w:val="1438FDFD"/>
    <w:rsid w:val="143BE7B0"/>
    <w:rsid w:val="14445488"/>
    <w:rsid w:val="14452F40"/>
    <w:rsid w:val="1447984F"/>
    <w:rsid w:val="144EC225"/>
    <w:rsid w:val="1453343A"/>
    <w:rsid w:val="14536889"/>
    <w:rsid w:val="1455ABD8"/>
    <w:rsid w:val="14669FE1"/>
    <w:rsid w:val="1467581F"/>
    <w:rsid w:val="146AA180"/>
    <w:rsid w:val="146B4C99"/>
    <w:rsid w:val="146C3EC6"/>
    <w:rsid w:val="14701EF0"/>
    <w:rsid w:val="1470C0BF"/>
    <w:rsid w:val="147522A0"/>
    <w:rsid w:val="147B2110"/>
    <w:rsid w:val="147F027D"/>
    <w:rsid w:val="1480CDC2"/>
    <w:rsid w:val="1482A25D"/>
    <w:rsid w:val="1487C651"/>
    <w:rsid w:val="148EFFF7"/>
    <w:rsid w:val="1490650D"/>
    <w:rsid w:val="1490AAC7"/>
    <w:rsid w:val="1490EABA"/>
    <w:rsid w:val="14980561"/>
    <w:rsid w:val="149C8231"/>
    <w:rsid w:val="14A309F9"/>
    <w:rsid w:val="14A3E906"/>
    <w:rsid w:val="14A85E92"/>
    <w:rsid w:val="14A8F15A"/>
    <w:rsid w:val="14ABB52F"/>
    <w:rsid w:val="14ADB018"/>
    <w:rsid w:val="14C00459"/>
    <w:rsid w:val="14C07CE7"/>
    <w:rsid w:val="14C4F2A3"/>
    <w:rsid w:val="14CC0C95"/>
    <w:rsid w:val="14CF0966"/>
    <w:rsid w:val="14D28B2F"/>
    <w:rsid w:val="14D7E31C"/>
    <w:rsid w:val="14D86D90"/>
    <w:rsid w:val="14D90247"/>
    <w:rsid w:val="14D9D653"/>
    <w:rsid w:val="14E34018"/>
    <w:rsid w:val="14E3FB4A"/>
    <w:rsid w:val="14E4C17A"/>
    <w:rsid w:val="14EB47A8"/>
    <w:rsid w:val="14EFC190"/>
    <w:rsid w:val="14F46D25"/>
    <w:rsid w:val="14F5D7FA"/>
    <w:rsid w:val="14F79A4D"/>
    <w:rsid w:val="14FDFAEB"/>
    <w:rsid w:val="150117A3"/>
    <w:rsid w:val="150343D2"/>
    <w:rsid w:val="1506DCA7"/>
    <w:rsid w:val="1508A51B"/>
    <w:rsid w:val="150DFE26"/>
    <w:rsid w:val="15101DD9"/>
    <w:rsid w:val="1510BCD9"/>
    <w:rsid w:val="1512D5D1"/>
    <w:rsid w:val="151DFA47"/>
    <w:rsid w:val="1524B2A2"/>
    <w:rsid w:val="152A45C5"/>
    <w:rsid w:val="152F8080"/>
    <w:rsid w:val="153204DF"/>
    <w:rsid w:val="153A956A"/>
    <w:rsid w:val="153C092E"/>
    <w:rsid w:val="153F1A7E"/>
    <w:rsid w:val="1540F240"/>
    <w:rsid w:val="1544C14C"/>
    <w:rsid w:val="154B9272"/>
    <w:rsid w:val="154BA8CA"/>
    <w:rsid w:val="154DB052"/>
    <w:rsid w:val="154E1DF1"/>
    <w:rsid w:val="154E28EF"/>
    <w:rsid w:val="1553E53C"/>
    <w:rsid w:val="155451C2"/>
    <w:rsid w:val="1555ACFE"/>
    <w:rsid w:val="1559AE58"/>
    <w:rsid w:val="155C7A01"/>
    <w:rsid w:val="155DDD1D"/>
    <w:rsid w:val="15614113"/>
    <w:rsid w:val="15672828"/>
    <w:rsid w:val="1567844E"/>
    <w:rsid w:val="1574F244"/>
    <w:rsid w:val="1575A26C"/>
    <w:rsid w:val="1577AE51"/>
    <w:rsid w:val="1586BFA2"/>
    <w:rsid w:val="158AFE5D"/>
    <w:rsid w:val="158F055A"/>
    <w:rsid w:val="159C26C2"/>
    <w:rsid w:val="15ADA8F6"/>
    <w:rsid w:val="15B37C2F"/>
    <w:rsid w:val="15B4631C"/>
    <w:rsid w:val="15B4996D"/>
    <w:rsid w:val="15BBF79C"/>
    <w:rsid w:val="15C0BF79"/>
    <w:rsid w:val="15C8FBFF"/>
    <w:rsid w:val="15C9A459"/>
    <w:rsid w:val="15CEE081"/>
    <w:rsid w:val="15D1E82A"/>
    <w:rsid w:val="15D6F9FD"/>
    <w:rsid w:val="15DCACCA"/>
    <w:rsid w:val="15DE93F4"/>
    <w:rsid w:val="15E15B1E"/>
    <w:rsid w:val="15E41564"/>
    <w:rsid w:val="15E72F09"/>
    <w:rsid w:val="15E7D991"/>
    <w:rsid w:val="15E7E6A2"/>
    <w:rsid w:val="15E96C10"/>
    <w:rsid w:val="15EB58D0"/>
    <w:rsid w:val="15EB6252"/>
    <w:rsid w:val="15F03DDB"/>
    <w:rsid w:val="15F25F93"/>
    <w:rsid w:val="15F3D460"/>
    <w:rsid w:val="15F463DC"/>
    <w:rsid w:val="15F98E0E"/>
    <w:rsid w:val="1602D697"/>
    <w:rsid w:val="1603A0B1"/>
    <w:rsid w:val="16045D86"/>
    <w:rsid w:val="16085066"/>
    <w:rsid w:val="160BB4AB"/>
    <w:rsid w:val="160C3585"/>
    <w:rsid w:val="160E3127"/>
    <w:rsid w:val="160E3842"/>
    <w:rsid w:val="160F23A0"/>
    <w:rsid w:val="1618DA6B"/>
    <w:rsid w:val="1620F341"/>
    <w:rsid w:val="16239303"/>
    <w:rsid w:val="16276257"/>
    <w:rsid w:val="1627657E"/>
    <w:rsid w:val="162E2628"/>
    <w:rsid w:val="163264AB"/>
    <w:rsid w:val="16393F24"/>
    <w:rsid w:val="163A05D4"/>
    <w:rsid w:val="1640BAD5"/>
    <w:rsid w:val="1644C399"/>
    <w:rsid w:val="16491933"/>
    <w:rsid w:val="164BEFAD"/>
    <w:rsid w:val="1650DF04"/>
    <w:rsid w:val="1651FA56"/>
    <w:rsid w:val="1653FE70"/>
    <w:rsid w:val="16544BFB"/>
    <w:rsid w:val="165946FB"/>
    <w:rsid w:val="165CE48C"/>
    <w:rsid w:val="165D71EE"/>
    <w:rsid w:val="16640135"/>
    <w:rsid w:val="16645407"/>
    <w:rsid w:val="166594D6"/>
    <w:rsid w:val="166743F2"/>
    <w:rsid w:val="16685721"/>
    <w:rsid w:val="166F523D"/>
    <w:rsid w:val="16726C0F"/>
    <w:rsid w:val="167D3670"/>
    <w:rsid w:val="1681FFD3"/>
    <w:rsid w:val="16834D5B"/>
    <w:rsid w:val="168690BA"/>
    <w:rsid w:val="1689C0C7"/>
    <w:rsid w:val="168D966A"/>
    <w:rsid w:val="1690091D"/>
    <w:rsid w:val="169364F2"/>
    <w:rsid w:val="1695AED4"/>
    <w:rsid w:val="169DEC1A"/>
    <w:rsid w:val="169F4416"/>
    <w:rsid w:val="16A847E8"/>
    <w:rsid w:val="16B0C7CC"/>
    <w:rsid w:val="16B0FAF4"/>
    <w:rsid w:val="16B3246A"/>
    <w:rsid w:val="16BAFA3A"/>
    <w:rsid w:val="16BB1467"/>
    <w:rsid w:val="16BD9C70"/>
    <w:rsid w:val="16BEA4FF"/>
    <w:rsid w:val="16C0F2A7"/>
    <w:rsid w:val="16C9D88A"/>
    <w:rsid w:val="16CAAB04"/>
    <w:rsid w:val="16D059AB"/>
    <w:rsid w:val="16D12B5E"/>
    <w:rsid w:val="16D2796E"/>
    <w:rsid w:val="16D4F958"/>
    <w:rsid w:val="16E2BC34"/>
    <w:rsid w:val="16E6B323"/>
    <w:rsid w:val="16E98A37"/>
    <w:rsid w:val="16EF8262"/>
    <w:rsid w:val="16F66658"/>
    <w:rsid w:val="1702F305"/>
    <w:rsid w:val="170795B6"/>
    <w:rsid w:val="17130A96"/>
    <w:rsid w:val="17149972"/>
    <w:rsid w:val="171993A5"/>
    <w:rsid w:val="171E3DCF"/>
    <w:rsid w:val="17222452"/>
    <w:rsid w:val="172307C2"/>
    <w:rsid w:val="1726F993"/>
    <w:rsid w:val="1727EF00"/>
    <w:rsid w:val="172835FB"/>
    <w:rsid w:val="172B3307"/>
    <w:rsid w:val="172CAD7A"/>
    <w:rsid w:val="172DDB4A"/>
    <w:rsid w:val="172F7AB3"/>
    <w:rsid w:val="1736E58A"/>
    <w:rsid w:val="1749D120"/>
    <w:rsid w:val="1751D56A"/>
    <w:rsid w:val="17528E98"/>
    <w:rsid w:val="17537301"/>
    <w:rsid w:val="175F0E09"/>
    <w:rsid w:val="176542BD"/>
    <w:rsid w:val="1777064B"/>
    <w:rsid w:val="177ACBB0"/>
    <w:rsid w:val="177F7087"/>
    <w:rsid w:val="17835D1D"/>
    <w:rsid w:val="17845329"/>
    <w:rsid w:val="1786ABD1"/>
    <w:rsid w:val="1787C774"/>
    <w:rsid w:val="178FF555"/>
    <w:rsid w:val="1791B8A7"/>
    <w:rsid w:val="1793DD88"/>
    <w:rsid w:val="179811C4"/>
    <w:rsid w:val="17A2ACFA"/>
    <w:rsid w:val="17AA6415"/>
    <w:rsid w:val="17AC6005"/>
    <w:rsid w:val="17B0CAD5"/>
    <w:rsid w:val="17BB4C95"/>
    <w:rsid w:val="17BC72A4"/>
    <w:rsid w:val="17BFC10C"/>
    <w:rsid w:val="17C0EF89"/>
    <w:rsid w:val="17C34AAE"/>
    <w:rsid w:val="17C96623"/>
    <w:rsid w:val="17CB2691"/>
    <w:rsid w:val="17CDA8E1"/>
    <w:rsid w:val="17CEE177"/>
    <w:rsid w:val="17CFAD0E"/>
    <w:rsid w:val="17D25DE6"/>
    <w:rsid w:val="17D906C8"/>
    <w:rsid w:val="17D958EA"/>
    <w:rsid w:val="17E44E0D"/>
    <w:rsid w:val="17E4AB13"/>
    <w:rsid w:val="17E9A0DD"/>
    <w:rsid w:val="17E9D424"/>
    <w:rsid w:val="17EA935C"/>
    <w:rsid w:val="17EAD1CB"/>
    <w:rsid w:val="17EC3CE1"/>
    <w:rsid w:val="17EDF191"/>
    <w:rsid w:val="17F0A55D"/>
    <w:rsid w:val="17F61D7E"/>
    <w:rsid w:val="17F75303"/>
    <w:rsid w:val="180586A3"/>
    <w:rsid w:val="18071B85"/>
    <w:rsid w:val="180A38AD"/>
    <w:rsid w:val="1814EB9E"/>
    <w:rsid w:val="18158052"/>
    <w:rsid w:val="181C4F7A"/>
    <w:rsid w:val="18225F41"/>
    <w:rsid w:val="18230449"/>
    <w:rsid w:val="1829EB6B"/>
    <w:rsid w:val="182B4309"/>
    <w:rsid w:val="182B7941"/>
    <w:rsid w:val="1830D832"/>
    <w:rsid w:val="18325977"/>
    <w:rsid w:val="18327D38"/>
    <w:rsid w:val="18330B8B"/>
    <w:rsid w:val="18367FA5"/>
    <w:rsid w:val="1838B865"/>
    <w:rsid w:val="183E2D2E"/>
    <w:rsid w:val="18441A50"/>
    <w:rsid w:val="1845D366"/>
    <w:rsid w:val="1855B355"/>
    <w:rsid w:val="185759DF"/>
    <w:rsid w:val="18577A73"/>
    <w:rsid w:val="185EDE24"/>
    <w:rsid w:val="1862AC89"/>
    <w:rsid w:val="18643689"/>
    <w:rsid w:val="18684034"/>
    <w:rsid w:val="186D2CEE"/>
    <w:rsid w:val="1870988C"/>
    <w:rsid w:val="187C798E"/>
    <w:rsid w:val="187DEC89"/>
    <w:rsid w:val="187E9004"/>
    <w:rsid w:val="1887A2CD"/>
    <w:rsid w:val="1888A1C4"/>
    <w:rsid w:val="188B52C3"/>
    <w:rsid w:val="188F0B5F"/>
    <w:rsid w:val="189442E0"/>
    <w:rsid w:val="189DF42A"/>
    <w:rsid w:val="189F9790"/>
    <w:rsid w:val="18A0ECBF"/>
    <w:rsid w:val="18A2A78A"/>
    <w:rsid w:val="18A3235B"/>
    <w:rsid w:val="18A511BE"/>
    <w:rsid w:val="18A593BB"/>
    <w:rsid w:val="18A79A95"/>
    <w:rsid w:val="18B35D04"/>
    <w:rsid w:val="18B4A753"/>
    <w:rsid w:val="18B5EF32"/>
    <w:rsid w:val="18BCB277"/>
    <w:rsid w:val="18BEE29E"/>
    <w:rsid w:val="18C0481C"/>
    <w:rsid w:val="18CD108A"/>
    <w:rsid w:val="18D8658D"/>
    <w:rsid w:val="18DB9DB3"/>
    <w:rsid w:val="18E16AE6"/>
    <w:rsid w:val="18E6EA89"/>
    <w:rsid w:val="18E7107F"/>
    <w:rsid w:val="18E8F066"/>
    <w:rsid w:val="18ECF8E5"/>
    <w:rsid w:val="18EE6EBE"/>
    <w:rsid w:val="18EF3F9A"/>
    <w:rsid w:val="18F5359C"/>
    <w:rsid w:val="18F6BEA6"/>
    <w:rsid w:val="18F71029"/>
    <w:rsid w:val="18F960D1"/>
    <w:rsid w:val="19045C7E"/>
    <w:rsid w:val="190560C7"/>
    <w:rsid w:val="1907758E"/>
    <w:rsid w:val="190DC391"/>
    <w:rsid w:val="1911173A"/>
    <w:rsid w:val="191320B4"/>
    <w:rsid w:val="1916DDDE"/>
    <w:rsid w:val="191A03AF"/>
    <w:rsid w:val="191B0233"/>
    <w:rsid w:val="191C5F7C"/>
    <w:rsid w:val="191E72BB"/>
    <w:rsid w:val="1921C460"/>
    <w:rsid w:val="1923CF75"/>
    <w:rsid w:val="192A4EAD"/>
    <w:rsid w:val="192DE160"/>
    <w:rsid w:val="19323665"/>
    <w:rsid w:val="19396BF6"/>
    <w:rsid w:val="19400968"/>
    <w:rsid w:val="19400F03"/>
    <w:rsid w:val="19414E09"/>
    <w:rsid w:val="1942074E"/>
    <w:rsid w:val="19458044"/>
    <w:rsid w:val="194709B2"/>
    <w:rsid w:val="194D0C0E"/>
    <w:rsid w:val="19504B32"/>
    <w:rsid w:val="1956A9EF"/>
    <w:rsid w:val="195D6CF0"/>
    <w:rsid w:val="1964C497"/>
    <w:rsid w:val="1968144B"/>
    <w:rsid w:val="196A84CE"/>
    <w:rsid w:val="196B58D1"/>
    <w:rsid w:val="1973B059"/>
    <w:rsid w:val="19774610"/>
    <w:rsid w:val="19788B0F"/>
    <w:rsid w:val="1978C372"/>
    <w:rsid w:val="19843303"/>
    <w:rsid w:val="198457A3"/>
    <w:rsid w:val="198D4187"/>
    <w:rsid w:val="198FE01A"/>
    <w:rsid w:val="1992F95E"/>
    <w:rsid w:val="19957B0B"/>
    <w:rsid w:val="1997EE67"/>
    <w:rsid w:val="199B9D0C"/>
    <w:rsid w:val="199C3271"/>
    <w:rsid w:val="199DCDE6"/>
    <w:rsid w:val="19A4FE44"/>
    <w:rsid w:val="19A84675"/>
    <w:rsid w:val="19A8CA43"/>
    <w:rsid w:val="19A94423"/>
    <w:rsid w:val="19AE601F"/>
    <w:rsid w:val="19AE85F4"/>
    <w:rsid w:val="19AFD7EA"/>
    <w:rsid w:val="19B0DCED"/>
    <w:rsid w:val="19B496F1"/>
    <w:rsid w:val="19B7EA02"/>
    <w:rsid w:val="19B9724C"/>
    <w:rsid w:val="19BF5C1C"/>
    <w:rsid w:val="19C2400C"/>
    <w:rsid w:val="19C55A58"/>
    <w:rsid w:val="19CE70B1"/>
    <w:rsid w:val="19DBDFB1"/>
    <w:rsid w:val="19DD14B5"/>
    <w:rsid w:val="19DDA41F"/>
    <w:rsid w:val="19DE1D89"/>
    <w:rsid w:val="19DF1D7A"/>
    <w:rsid w:val="19E0FE6A"/>
    <w:rsid w:val="19E1AE31"/>
    <w:rsid w:val="19E334C4"/>
    <w:rsid w:val="19E59CF1"/>
    <w:rsid w:val="19E74705"/>
    <w:rsid w:val="19E7A0B6"/>
    <w:rsid w:val="19EFF863"/>
    <w:rsid w:val="19F09264"/>
    <w:rsid w:val="19F3D0E5"/>
    <w:rsid w:val="19F52F06"/>
    <w:rsid w:val="19F9839D"/>
    <w:rsid w:val="1A01CA88"/>
    <w:rsid w:val="1A02EFBE"/>
    <w:rsid w:val="1A05A83F"/>
    <w:rsid w:val="1A099CB6"/>
    <w:rsid w:val="1A0DD8A3"/>
    <w:rsid w:val="1A151405"/>
    <w:rsid w:val="1A1A335E"/>
    <w:rsid w:val="1A1B9C43"/>
    <w:rsid w:val="1A246859"/>
    <w:rsid w:val="1A2684D1"/>
    <w:rsid w:val="1A26A060"/>
    <w:rsid w:val="1A27BC5E"/>
    <w:rsid w:val="1A2A7EE2"/>
    <w:rsid w:val="1A2BB625"/>
    <w:rsid w:val="1A2E262A"/>
    <w:rsid w:val="1A2EE75D"/>
    <w:rsid w:val="1A3036C8"/>
    <w:rsid w:val="1A30D443"/>
    <w:rsid w:val="1A32E2F8"/>
    <w:rsid w:val="1A3D905A"/>
    <w:rsid w:val="1A420EC5"/>
    <w:rsid w:val="1A42C7BD"/>
    <w:rsid w:val="1A44502C"/>
    <w:rsid w:val="1A454B07"/>
    <w:rsid w:val="1A46CE59"/>
    <w:rsid w:val="1A483191"/>
    <w:rsid w:val="1A49D66D"/>
    <w:rsid w:val="1A4C0579"/>
    <w:rsid w:val="1A4D2C3A"/>
    <w:rsid w:val="1A4F7641"/>
    <w:rsid w:val="1A51F30E"/>
    <w:rsid w:val="1A5420CA"/>
    <w:rsid w:val="1A54F5DE"/>
    <w:rsid w:val="1A570525"/>
    <w:rsid w:val="1A570CB5"/>
    <w:rsid w:val="1A577AD4"/>
    <w:rsid w:val="1A5B062A"/>
    <w:rsid w:val="1A61C9C1"/>
    <w:rsid w:val="1A651FF0"/>
    <w:rsid w:val="1A74415B"/>
    <w:rsid w:val="1A7BAEC3"/>
    <w:rsid w:val="1A7D452D"/>
    <w:rsid w:val="1A8F1A2F"/>
    <w:rsid w:val="1A905E20"/>
    <w:rsid w:val="1A912712"/>
    <w:rsid w:val="1A936C12"/>
    <w:rsid w:val="1A956C66"/>
    <w:rsid w:val="1A9AA4E1"/>
    <w:rsid w:val="1A9B8E19"/>
    <w:rsid w:val="1AA3570C"/>
    <w:rsid w:val="1AA46619"/>
    <w:rsid w:val="1AA47DED"/>
    <w:rsid w:val="1AA72C03"/>
    <w:rsid w:val="1AA735D6"/>
    <w:rsid w:val="1AB33C65"/>
    <w:rsid w:val="1AB5D802"/>
    <w:rsid w:val="1ABED675"/>
    <w:rsid w:val="1AC91C39"/>
    <w:rsid w:val="1ACA52E1"/>
    <w:rsid w:val="1ACC476C"/>
    <w:rsid w:val="1ACDDA7F"/>
    <w:rsid w:val="1AD2769D"/>
    <w:rsid w:val="1AD826A7"/>
    <w:rsid w:val="1ADAA998"/>
    <w:rsid w:val="1ADAF670"/>
    <w:rsid w:val="1ADC9CBA"/>
    <w:rsid w:val="1ADCF0AE"/>
    <w:rsid w:val="1ADF8D05"/>
    <w:rsid w:val="1AE3C227"/>
    <w:rsid w:val="1AE441B1"/>
    <w:rsid w:val="1AE5ADCB"/>
    <w:rsid w:val="1AEC91E8"/>
    <w:rsid w:val="1AF14E54"/>
    <w:rsid w:val="1AF27D3C"/>
    <w:rsid w:val="1B006633"/>
    <w:rsid w:val="1B061517"/>
    <w:rsid w:val="1B061F0F"/>
    <w:rsid w:val="1B0EAE59"/>
    <w:rsid w:val="1B14F673"/>
    <w:rsid w:val="1B1C38A4"/>
    <w:rsid w:val="1B1C5A67"/>
    <w:rsid w:val="1B1D2596"/>
    <w:rsid w:val="1B21839B"/>
    <w:rsid w:val="1B260B32"/>
    <w:rsid w:val="1B2A7C6C"/>
    <w:rsid w:val="1B2CE080"/>
    <w:rsid w:val="1B306958"/>
    <w:rsid w:val="1B3A719F"/>
    <w:rsid w:val="1B3B5A6D"/>
    <w:rsid w:val="1B3D18BB"/>
    <w:rsid w:val="1B3FD70F"/>
    <w:rsid w:val="1B41BE5D"/>
    <w:rsid w:val="1B42729B"/>
    <w:rsid w:val="1B46BB9F"/>
    <w:rsid w:val="1B473F92"/>
    <w:rsid w:val="1B485784"/>
    <w:rsid w:val="1B4A4596"/>
    <w:rsid w:val="1B4CD3C3"/>
    <w:rsid w:val="1B565732"/>
    <w:rsid w:val="1B585FD0"/>
    <w:rsid w:val="1B5B1028"/>
    <w:rsid w:val="1B5BF2EE"/>
    <w:rsid w:val="1B5C158A"/>
    <w:rsid w:val="1B5CC7F4"/>
    <w:rsid w:val="1B5EDBBA"/>
    <w:rsid w:val="1B631440"/>
    <w:rsid w:val="1B65069B"/>
    <w:rsid w:val="1B6C8705"/>
    <w:rsid w:val="1B6CEDB7"/>
    <w:rsid w:val="1B705A04"/>
    <w:rsid w:val="1B730BF8"/>
    <w:rsid w:val="1B7378E8"/>
    <w:rsid w:val="1B76CF97"/>
    <w:rsid w:val="1B781C75"/>
    <w:rsid w:val="1B79972C"/>
    <w:rsid w:val="1B7EA8A0"/>
    <w:rsid w:val="1B8B6BFF"/>
    <w:rsid w:val="1B8CBA1F"/>
    <w:rsid w:val="1B8D343B"/>
    <w:rsid w:val="1B8E0503"/>
    <w:rsid w:val="1B950F14"/>
    <w:rsid w:val="1B98597C"/>
    <w:rsid w:val="1B9B6869"/>
    <w:rsid w:val="1B9E77DA"/>
    <w:rsid w:val="1BA0AFD7"/>
    <w:rsid w:val="1BA35AF4"/>
    <w:rsid w:val="1BA4FAB6"/>
    <w:rsid w:val="1BA71A29"/>
    <w:rsid w:val="1BA8F72F"/>
    <w:rsid w:val="1BAA3207"/>
    <w:rsid w:val="1BAC7047"/>
    <w:rsid w:val="1BB02489"/>
    <w:rsid w:val="1BB7F8DA"/>
    <w:rsid w:val="1BBF40FB"/>
    <w:rsid w:val="1BCEE26E"/>
    <w:rsid w:val="1BD04070"/>
    <w:rsid w:val="1BD498A7"/>
    <w:rsid w:val="1BDBF1A7"/>
    <w:rsid w:val="1BE6F398"/>
    <w:rsid w:val="1BEA849B"/>
    <w:rsid w:val="1BEDA3D0"/>
    <w:rsid w:val="1BF3AF29"/>
    <w:rsid w:val="1BF4C9DC"/>
    <w:rsid w:val="1BF622BB"/>
    <w:rsid w:val="1BF9F28F"/>
    <w:rsid w:val="1BFAB558"/>
    <w:rsid w:val="1C011A04"/>
    <w:rsid w:val="1C048DA6"/>
    <w:rsid w:val="1C072C68"/>
    <w:rsid w:val="1C092B19"/>
    <w:rsid w:val="1C097D9E"/>
    <w:rsid w:val="1C0DD2FC"/>
    <w:rsid w:val="1C15554F"/>
    <w:rsid w:val="1C158622"/>
    <w:rsid w:val="1C1659A8"/>
    <w:rsid w:val="1C1818D4"/>
    <w:rsid w:val="1C21DD43"/>
    <w:rsid w:val="1C242905"/>
    <w:rsid w:val="1C2E646A"/>
    <w:rsid w:val="1C2ED0CC"/>
    <w:rsid w:val="1C358534"/>
    <w:rsid w:val="1C361C64"/>
    <w:rsid w:val="1C396851"/>
    <w:rsid w:val="1C39F236"/>
    <w:rsid w:val="1C3C97FC"/>
    <w:rsid w:val="1C3F276D"/>
    <w:rsid w:val="1C4632F3"/>
    <w:rsid w:val="1C4E7F28"/>
    <w:rsid w:val="1C4EECA8"/>
    <w:rsid w:val="1C50AD60"/>
    <w:rsid w:val="1C51C1B3"/>
    <w:rsid w:val="1C57E3D0"/>
    <w:rsid w:val="1C64AFC1"/>
    <w:rsid w:val="1C65AF93"/>
    <w:rsid w:val="1C65DF22"/>
    <w:rsid w:val="1C6AC17B"/>
    <w:rsid w:val="1C6D9CA1"/>
    <w:rsid w:val="1C736A93"/>
    <w:rsid w:val="1C797E86"/>
    <w:rsid w:val="1C7A2428"/>
    <w:rsid w:val="1C805563"/>
    <w:rsid w:val="1C901E18"/>
    <w:rsid w:val="1C98AB80"/>
    <w:rsid w:val="1C9C372F"/>
    <w:rsid w:val="1CA1FA64"/>
    <w:rsid w:val="1CA36E99"/>
    <w:rsid w:val="1CA8BDA0"/>
    <w:rsid w:val="1CA9F77D"/>
    <w:rsid w:val="1CAD3BEF"/>
    <w:rsid w:val="1CAF5B42"/>
    <w:rsid w:val="1CAFCD86"/>
    <w:rsid w:val="1CB32F45"/>
    <w:rsid w:val="1CB65151"/>
    <w:rsid w:val="1CB6DCAD"/>
    <w:rsid w:val="1CB9612F"/>
    <w:rsid w:val="1CB9BDA9"/>
    <w:rsid w:val="1CBB9123"/>
    <w:rsid w:val="1CC2A317"/>
    <w:rsid w:val="1CC64BE4"/>
    <w:rsid w:val="1CD07748"/>
    <w:rsid w:val="1CD0AD01"/>
    <w:rsid w:val="1CD376A8"/>
    <w:rsid w:val="1CD5311D"/>
    <w:rsid w:val="1CE4B8A8"/>
    <w:rsid w:val="1CE77A4A"/>
    <w:rsid w:val="1CE8F376"/>
    <w:rsid w:val="1CE99E79"/>
    <w:rsid w:val="1CE9BBEC"/>
    <w:rsid w:val="1CED1AEE"/>
    <w:rsid w:val="1CEF9B90"/>
    <w:rsid w:val="1CF2D00F"/>
    <w:rsid w:val="1CF453CE"/>
    <w:rsid w:val="1CF50CCC"/>
    <w:rsid w:val="1CF98568"/>
    <w:rsid w:val="1CFE1811"/>
    <w:rsid w:val="1CFE1AD2"/>
    <w:rsid w:val="1D0A8946"/>
    <w:rsid w:val="1D0A8A22"/>
    <w:rsid w:val="1D0BC918"/>
    <w:rsid w:val="1D0DE108"/>
    <w:rsid w:val="1D184A60"/>
    <w:rsid w:val="1D1CD74B"/>
    <w:rsid w:val="1D25E0FC"/>
    <w:rsid w:val="1D26401C"/>
    <w:rsid w:val="1D27FB1F"/>
    <w:rsid w:val="1D296B4B"/>
    <w:rsid w:val="1D30317D"/>
    <w:rsid w:val="1D313EB3"/>
    <w:rsid w:val="1D321D9E"/>
    <w:rsid w:val="1D401F0C"/>
    <w:rsid w:val="1D46F0BD"/>
    <w:rsid w:val="1D473812"/>
    <w:rsid w:val="1D4A99FD"/>
    <w:rsid w:val="1D4F19BD"/>
    <w:rsid w:val="1D55EBA5"/>
    <w:rsid w:val="1D590322"/>
    <w:rsid w:val="1D5C25DD"/>
    <w:rsid w:val="1D633F34"/>
    <w:rsid w:val="1D634B01"/>
    <w:rsid w:val="1D644579"/>
    <w:rsid w:val="1D67D733"/>
    <w:rsid w:val="1D69FF8B"/>
    <w:rsid w:val="1D6E92BD"/>
    <w:rsid w:val="1D7EB87C"/>
    <w:rsid w:val="1D7EC86F"/>
    <w:rsid w:val="1D809E18"/>
    <w:rsid w:val="1D8211D9"/>
    <w:rsid w:val="1D87F1AF"/>
    <w:rsid w:val="1D8B0611"/>
    <w:rsid w:val="1D8D4B48"/>
    <w:rsid w:val="1D8E6618"/>
    <w:rsid w:val="1D9BC307"/>
    <w:rsid w:val="1DA5B567"/>
    <w:rsid w:val="1DB1ED13"/>
    <w:rsid w:val="1DB22962"/>
    <w:rsid w:val="1DB7FF40"/>
    <w:rsid w:val="1DBCB2A3"/>
    <w:rsid w:val="1DC195D9"/>
    <w:rsid w:val="1DC1E8A4"/>
    <w:rsid w:val="1DC8946D"/>
    <w:rsid w:val="1DC94B9F"/>
    <w:rsid w:val="1DCEF1A0"/>
    <w:rsid w:val="1DDA0A7C"/>
    <w:rsid w:val="1DDC1C1E"/>
    <w:rsid w:val="1DDF38F0"/>
    <w:rsid w:val="1DE309D6"/>
    <w:rsid w:val="1DE3CB8E"/>
    <w:rsid w:val="1DE79CC7"/>
    <w:rsid w:val="1DECB83A"/>
    <w:rsid w:val="1DF7CB02"/>
    <w:rsid w:val="1DFD434D"/>
    <w:rsid w:val="1E026A35"/>
    <w:rsid w:val="1E131E2A"/>
    <w:rsid w:val="1E1E1EF6"/>
    <w:rsid w:val="1E1EDF9D"/>
    <w:rsid w:val="1E255839"/>
    <w:rsid w:val="1E25B44F"/>
    <w:rsid w:val="1E2C1329"/>
    <w:rsid w:val="1E31992E"/>
    <w:rsid w:val="1E31BF6F"/>
    <w:rsid w:val="1E33D56A"/>
    <w:rsid w:val="1E39CDB6"/>
    <w:rsid w:val="1E3E3E2C"/>
    <w:rsid w:val="1E40DD4F"/>
    <w:rsid w:val="1E41846C"/>
    <w:rsid w:val="1E492B47"/>
    <w:rsid w:val="1E4B4AD1"/>
    <w:rsid w:val="1E4E7AC8"/>
    <w:rsid w:val="1E5591A8"/>
    <w:rsid w:val="1E5619AA"/>
    <w:rsid w:val="1E5675A2"/>
    <w:rsid w:val="1E5D865C"/>
    <w:rsid w:val="1E5F8D68"/>
    <w:rsid w:val="1E61E46D"/>
    <w:rsid w:val="1E621B57"/>
    <w:rsid w:val="1E6DD873"/>
    <w:rsid w:val="1E6FB74A"/>
    <w:rsid w:val="1E70C0BB"/>
    <w:rsid w:val="1E7309AB"/>
    <w:rsid w:val="1E74DE5F"/>
    <w:rsid w:val="1E7BFE60"/>
    <w:rsid w:val="1E7F9E8E"/>
    <w:rsid w:val="1E81A2CD"/>
    <w:rsid w:val="1E84F6E9"/>
    <w:rsid w:val="1E8B37D3"/>
    <w:rsid w:val="1E9EBF10"/>
    <w:rsid w:val="1EA6A3E1"/>
    <w:rsid w:val="1EAB1945"/>
    <w:rsid w:val="1EAD6054"/>
    <w:rsid w:val="1EAEA6CF"/>
    <w:rsid w:val="1EB866BC"/>
    <w:rsid w:val="1EBE3F4C"/>
    <w:rsid w:val="1EC26EA0"/>
    <w:rsid w:val="1EC2FA88"/>
    <w:rsid w:val="1EC73240"/>
    <w:rsid w:val="1EC8CD5F"/>
    <w:rsid w:val="1ED50904"/>
    <w:rsid w:val="1EDE6C6A"/>
    <w:rsid w:val="1EE0A31A"/>
    <w:rsid w:val="1EE24700"/>
    <w:rsid w:val="1EE2A6EF"/>
    <w:rsid w:val="1EE3C96E"/>
    <w:rsid w:val="1EE6BAFB"/>
    <w:rsid w:val="1EE7A5E3"/>
    <w:rsid w:val="1EE7DFD0"/>
    <w:rsid w:val="1EEA399E"/>
    <w:rsid w:val="1EF14D39"/>
    <w:rsid w:val="1EF28633"/>
    <w:rsid w:val="1EF4CC86"/>
    <w:rsid w:val="1EF86827"/>
    <w:rsid w:val="1EF917DF"/>
    <w:rsid w:val="1F02ABBD"/>
    <w:rsid w:val="1F043128"/>
    <w:rsid w:val="1F08EFAE"/>
    <w:rsid w:val="1F093B4B"/>
    <w:rsid w:val="1F0E2D52"/>
    <w:rsid w:val="1F0E3D5A"/>
    <w:rsid w:val="1F0EFF0C"/>
    <w:rsid w:val="1F1080CE"/>
    <w:rsid w:val="1F12E116"/>
    <w:rsid w:val="1F14BA08"/>
    <w:rsid w:val="1F17FD01"/>
    <w:rsid w:val="1F1A2FA6"/>
    <w:rsid w:val="1F1AAA6F"/>
    <w:rsid w:val="1F1DB9B3"/>
    <w:rsid w:val="1F1FC64D"/>
    <w:rsid w:val="1F2FA6EF"/>
    <w:rsid w:val="1F3094E2"/>
    <w:rsid w:val="1F378381"/>
    <w:rsid w:val="1F3A0D64"/>
    <w:rsid w:val="1F3A733D"/>
    <w:rsid w:val="1F3C5906"/>
    <w:rsid w:val="1F3DBE60"/>
    <w:rsid w:val="1F402BAC"/>
    <w:rsid w:val="1F44FA65"/>
    <w:rsid w:val="1F48195D"/>
    <w:rsid w:val="1F4A1B01"/>
    <w:rsid w:val="1F52096E"/>
    <w:rsid w:val="1F5AFA85"/>
    <w:rsid w:val="1F5B31EE"/>
    <w:rsid w:val="1F5C49D1"/>
    <w:rsid w:val="1F663BA7"/>
    <w:rsid w:val="1F68E08D"/>
    <w:rsid w:val="1F6A02AD"/>
    <w:rsid w:val="1F6B9AF0"/>
    <w:rsid w:val="1F764ED8"/>
    <w:rsid w:val="1F77B908"/>
    <w:rsid w:val="1F784E65"/>
    <w:rsid w:val="1F798CE3"/>
    <w:rsid w:val="1F7FFD58"/>
    <w:rsid w:val="1F802888"/>
    <w:rsid w:val="1F859ED5"/>
    <w:rsid w:val="1F8B94F8"/>
    <w:rsid w:val="1F8B955B"/>
    <w:rsid w:val="1F8DC353"/>
    <w:rsid w:val="1F929DC5"/>
    <w:rsid w:val="1F98C28B"/>
    <w:rsid w:val="1F9953AD"/>
    <w:rsid w:val="1F9A056D"/>
    <w:rsid w:val="1F9A95F7"/>
    <w:rsid w:val="1FA66E99"/>
    <w:rsid w:val="1FA8C55B"/>
    <w:rsid w:val="1FABC955"/>
    <w:rsid w:val="1FB17C17"/>
    <w:rsid w:val="1FB1EDA4"/>
    <w:rsid w:val="1FC3AE05"/>
    <w:rsid w:val="1FC7F861"/>
    <w:rsid w:val="1FC8BF54"/>
    <w:rsid w:val="1FC9006F"/>
    <w:rsid w:val="1FCA25A3"/>
    <w:rsid w:val="1FCA3946"/>
    <w:rsid w:val="1FCF9D3E"/>
    <w:rsid w:val="1FD5D020"/>
    <w:rsid w:val="1FD7827F"/>
    <w:rsid w:val="1FDAE241"/>
    <w:rsid w:val="1FDC7300"/>
    <w:rsid w:val="1FE07EA9"/>
    <w:rsid w:val="1FE5789E"/>
    <w:rsid w:val="1FE64B4E"/>
    <w:rsid w:val="1FE70016"/>
    <w:rsid w:val="1FE7C081"/>
    <w:rsid w:val="1FEEADA0"/>
    <w:rsid w:val="1FEF7EBD"/>
    <w:rsid w:val="1FEF9FC9"/>
    <w:rsid w:val="1FEFCB8A"/>
    <w:rsid w:val="1FEFD4C9"/>
    <w:rsid w:val="1FF396C2"/>
    <w:rsid w:val="200423D0"/>
    <w:rsid w:val="2004CFCC"/>
    <w:rsid w:val="2007FBD2"/>
    <w:rsid w:val="200A894D"/>
    <w:rsid w:val="20172BFE"/>
    <w:rsid w:val="2019623E"/>
    <w:rsid w:val="201A1EB3"/>
    <w:rsid w:val="201B31C9"/>
    <w:rsid w:val="201E1FF8"/>
    <w:rsid w:val="202028C9"/>
    <w:rsid w:val="202160F8"/>
    <w:rsid w:val="2024B84E"/>
    <w:rsid w:val="2025781F"/>
    <w:rsid w:val="202E52E8"/>
    <w:rsid w:val="203151C0"/>
    <w:rsid w:val="2037E311"/>
    <w:rsid w:val="204193DB"/>
    <w:rsid w:val="20435395"/>
    <w:rsid w:val="20461E13"/>
    <w:rsid w:val="20490BEF"/>
    <w:rsid w:val="204BFE93"/>
    <w:rsid w:val="204CB0C7"/>
    <w:rsid w:val="2052292F"/>
    <w:rsid w:val="205F8853"/>
    <w:rsid w:val="206DEAB0"/>
    <w:rsid w:val="207286C6"/>
    <w:rsid w:val="20745579"/>
    <w:rsid w:val="207D540B"/>
    <w:rsid w:val="20816E2A"/>
    <w:rsid w:val="2081B46F"/>
    <w:rsid w:val="2099AD8D"/>
    <w:rsid w:val="209ADDE5"/>
    <w:rsid w:val="209C949C"/>
    <w:rsid w:val="20A38311"/>
    <w:rsid w:val="20AB6318"/>
    <w:rsid w:val="20B16465"/>
    <w:rsid w:val="20B80ABE"/>
    <w:rsid w:val="20C5B913"/>
    <w:rsid w:val="20C5D201"/>
    <w:rsid w:val="20C73DFC"/>
    <w:rsid w:val="20C82109"/>
    <w:rsid w:val="20DAD9EE"/>
    <w:rsid w:val="20DC07FC"/>
    <w:rsid w:val="20DC3250"/>
    <w:rsid w:val="20E0B5A2"/>
    <w:rsid w:val="20EC270C"/>
    <w:rsid w:val="20EEDA54"/>
    <w:rsid w:val="20F06A49"/>
    <w:rsid w:val="20F33C18"/>
    <w:rsid w:val="20F421C0"/>
    <w:rsid w:val="20F8DE91"/>
    <w:rsid w:val="20FE713F"/>
    <w:rsid w:val="210034DC"/>
    <w:rsid w:val="21069F0F"/>
    <w:rsid w:val="210FF08A"/>
    <w:rsid w:val="2112C91A"/>
    <w:rsid w:val="211C54E7"/>
    <w:rsid w:val="211D4C3E"/>
    <w:rsid w:val="211E4994"/>
    <w:rsid w:val="21242DDF"/>
    <w:rsid w:val="2129179A"/>
    <w:rsid w:val="2129E768"/>
    <w:rsid w:val="2137A601"/>
    <w:rsid w:val="213809D2"/>
    <w:rsid w:val="213B78BA"/>
    <w:rsid w:val="2143BCFB"/>
    <w:rsid w:val="21467F08"/>
    <w:rsid w:val="214C736C"/>
    <w:rsid w:val="214F5157"/>
    <w:rsid w:val="215208A0"/>
    <w:rsid w:val="21521476"/>
    <w:rsid w:val="215A264A"/>
    <w:rsid w:val="215BF751"/>
    <w:rsid w:val="215E2D56"/>
    <w:rsid w:val="215EA0A6"/>
    <w:rsid w:val="21661DE8"/>
    <w:rsid w:val="21665F44"/>
    <w:rsid w:val="216D7C45"/>
    <w:rsid w:val="2176FE52"/>
    <w:rsid w:val="2179A704"/>
    <w:rsid w:val="21804353"/>
    <w:rsid w:val="2182FBA5"/>
    <w:rsid w:val="21838448"/>
    <w:rsid w:val="2184D47C"/>
    <w:rsid w:val="21887873"/>
    <w:rsid w:val="218C2AF4"/>
    <w:rsid w:val="218E25DC"/>
    <w:rsid w:val="219CE504"/>
    <w:rsid w:val="21A900F8"/>
    <w:rsid w:val="21ABE0E1"/>
    <w:rsid w:val="21AE8C24"/>
    <w:rsid w:val="21B10619"/>
    <w:rsid w:val="21B58A61"/>
    <w:rsid w:val="21B71F12"/>
    <w:rsid w:val="21BAA367"/>
    <w:rsid w:val="21BF50E9"/>
    <w:rsid w:val="21C4F596"/>
    <w:rsid w:val="21C6F498"/>
    <w:rsid w:val="21CAEBFD"/>
    <w:rsid w:val="21CB7B24"/>
    <w:rsid w:val="21D84D24"/>
    <w:rsid w:val="21D9D87F"/>
    <w:rsid w:val="21DD21F4"/>
    <w:rsid w:val="21DF1B9C"/>
    <w:rsid w:val="21DF9B88"/>
    <w:rsid w:val="21E33658"/>
    <w:rsid w:val="21E6E46C"/>
    <w:rsid w:val="21E9BEB8"/>
    <w:rsid w:val="21EAC49F"/>
    <w:rsid w:val="21EADB78"/>
    <w:rsid w:val="21F1514D"/>
    <w:rsid w:val="21F7E8A8"/>
    <w:rsid w:val="21FC0C9D"/>
    <w:rsid w:val="21FCFB29"/>
    <w:rsid w:val="21FDFA7B"/>
    <w:rsid w:val="220229CD"/>
    <w:rsid w:val="220477EF"/>
    <w:rsid w:val="2204B708"/>
    <w:rsid w:val="22057069"/>
    <w:rsid w:val="22068BA6"/>
    <w:rsid w:val="2207DFAF"/>
    <w:rsid w:val="2213415F"/>
    <w:rsid w:val="22194A51"/>
    <w:rsid w:val="221C07FD"/>
    <w:rsid w:val="221CA739"/>
    <w:rsid w:val="221E869C"/>
    <w:rsid w:val="2228737B"/>
    <w:rsid w:val="22293A22"/>
    <w:rsid w:val="222CC3F3"/>
    <w:rsid w:val="222D36DD"/>
    <w:rsid w:val="222D855A"/>
    <w:rsid w:val="22322E1D"/>
    <w:rsid w:val="2232B05B"/>
    <w:rsid w:val="223329F3"/>
    <w:rsid w:val="2235EB01"/>
    <w:rsid w:val="22376D1D"/>
    <w:rsid w:val="223919C0"/>
    <w:rsid w:val="2239400A"/>
    <w:rsid w:val="223CA24A"/>
    <w:rsid w:val="223F2425"/>
    <w:rsid w:val="2253019B"/>
    <w:rsid w:val="22540A66"/>
    <w:rsid w:val="2255CFCC"/>
    <w:rsid w:val="225640EE"/>
    <w:rsid w:val="22650466"/>
    <w:rsid w:val="2265610D"/>
    <w:rsid w:val="22690C06"/>
    <w:rsid w:val="2269ABAB"/>
    <w:rsid w:val="226A1CDB"/>
    <w:rsid w:val="226EAC7F"/>
    <w:rsid w:val="2273ED19"/>
    <w:rsid w:val="2279F418"/>
    <w:rsid w:val="227CF8AB"/>
    <w:rsid w:val="227E97D5"/>
    <w:rsid w:val="227F5F9A"/>
    <w:rsid w:val="2283C686"/>
    <w:rsid w:val="22843556"/>
    <w:rsid w:val="22861B4E"/>
    <w:rsid w:val="2289B7B2"/>
    <w:rsid w:val="229AE076"/>
    <w:rsid w:val="229D936D"/>
    <w:rsid w:val="229E419D"/>
    <w:rsid w:val="22A2D719"/>
    <w:rsid w:val="22A4AB1F"/>
    <w:rsid w:val="22AA0A56"/>
    <w:rsid w:val="22ADE1C6"/>
    <w:rsid w:val="22B06793"/>
    <w:rsid w:val="22B2C99F"/>
    <w:rsid w:val="22B9ED28"/>
    <w:rsid w:val="22BDB01D"/>
    <w:rsid w:val="22C0F633"/>
    <w:rsid w:val="22C1EEE5"/>
    <w:rsid w:val="22C70C5E"/>
    <w:rsid w:val="22C9578D"/>
    <w:rsid w:val="22CB4047"/>
    <w:rsid w:val="22CC2818"/>
    <w:rsid w:val="22D105BE"/>
    <w:rsid w:val="22D712BD"/>
    <w:rsid w:val="22DF0CEC"/>
    <w:rsid w:val="22E537E4"/>
    <w:rsid w:val="22E58EF6"/>
    <w:rsid w:val="22E5B853"/>
    <w:rsid w:val="22E6D5AC"/>
    <w:rsid w:val="22E7F7F8"/>
    <w:rsid w:val="22E883B9"/>
    <w:rsid w:val="22EB949F"/>
    <w:rsid w:val="22EBAE0D"/>
    <w:rsid w:val="22EC291C"/>
    <w:rsid w:val="22F305D7"/>
    <w:rsid w:val="22F313C4"/>
    <w:rsid w:val="22FA595B"/>
    <w:rsid w:val="23014132"/>
    <w:rsid w:val="23031A96"/>
    <w:rsid w:val="2319501A"/>
    <w:rsid w:val="2319D26F"/>
    <w:rsid w:val="231F1DA2"/>
    <w:rsid w:val="231F6143"/>
    <w:rsid w:val="2325F7FC"/>
    <w:rsid w:val="232892ED"/>
    <w:rsid w:val="232C332A"/>
    <w:rsid w:val="232DC79E"/>
    <w:rsid w:val="23346D15"/>
    <w:rsid w:val="23355818"/>
    <w:rsid w:val="2338C0F6"/>
    <w:rsid w:val="233C2DB2"/>
    <w:rsid w:val="233C35D6"/>
    <w:rsid w:val="23444D0E"/>
    <w:rsid w:val="23449EC5"/>
    <w:rsid w:val="2344FBDF"/>
    <w:rsid w:val="2346492F"/>
    <w:rsid w:val="23466134"/>
    <w:rsid w:val="2346D140"/>
    <w:rsid w:val="23471838"/>
    <w:rsid w:val="23493B27"/>
    <w:rsid w:val="234ED151"/>
    <w:rsid w:val="234FA315"/>
    <w:rsid w:val="23515470"/>
    <w:rsid w:val="23519903"/>
    <w:rsid w:val="235AC1FC"/>
    <w:rsid w:val="235BBC57"/>
    <w:rsid w:val="235CF3FA"/>
    <w:rsid w:val="235DFBB2"/>
    <w:rsid w:val="235F09FA"/>
    <w:rsid w:val="235F67FB"/>
    <w:rsid w:val="23634883"/>
    <w:rsid w:val="23688807"/>
    <w:rsid w:val="236A3613"/>
    <w:rsid w:val="236AF080"/>
    <w:rsid w:val="23726F1B"/>
    <w:rsid w:val="2383F68E"/>
    <w:rsid w:val="23863840"/>
    <w:rsid w:val="238CA991"/>
    <w:rsid w:val="238D3ED7"/>
    <w:rsid w:val="23948670"/>
    <w:rsid w:val="2395ABC2"/>
    <w:rsid w:val="23A2E4BB"/>
    <w:rsid w:val="23A4B495"/>
    <w:rsid w:val="23A6858C"/>
    <w:rsid w:val="23A9D715"/>
    <w:rsid w:val="23AE4FA2"/>
    <w:rsid w:val="23B09CC4"/>
    <w:rsid w:val="23B6E2B6"/>
    <w:rsid w:val="23BABC3A"/>
    <w:rsid w:val="23BF2817"/>
    <w:rsid w:val="23CB913E"/>
    <w:rsid w:val="23CCF42F"/>
    <w:rsid w:val="23D38167"/>
    <w:rsid w:val="23D6E340"/>
    <w:rsid w:val="23D73DFB"/>
    <w:rsid w:val="23D98B52"/>
    <w:rsid w:val="23D9B423"/>
    <w:rsid w:val="23DA2A4E"/>
    <w:rsid w:val="23DB1E68"/>
    <w:rsid w:val="23DD168C"/>
    <w:rsid w:val="23E9ED4D"/>
    <w:rsid w:val="23ED88B2"/>
    <w:rsid w:val="23EE088E"/>
    <w:rsid w:val="23F408FE"/>
    <w:rsid w:val="23F41C4F"/>
    <w:rsid w:val="23F4E82D"/>
    <w:rsid w:val="23FC5C97"/>
    <w:rsid w:val="2401EA91"/>
    <w:rsid w:val="24042269"/>
    <w:rsid w:val="2405F40E"/>
    <w:rsid w:val="240C1071"/>
    <w:rsid w:val="241858B9"/>
    <w:rsid w:val="241F68B7"/>
    <w:rsid w:val="241FA914"/>
    <w:rsid w:val="2420718B"/>
    <w:rsid w:val="242959BE"/>
    <w:rsid w:val="2429B41A"/>
    <w:rsid w:val="242AB24A"/>
    <w:rsid w:val="242DF2CB"/>
    <w:rsid w:val="24301957"/>
    <w:rsid w:val="2431E572"/>
    <w:rsid w:val="24366E18"/>
    <w:rsid w:val="2439AB23"/>
    <w:rsid w:val="2447A168"/>
    <w:rsid w:val="244EE373"/>
    <w:rsid w:val="24523BF5"/>
    <w:rsid w:val="245492B4"/>
    <w:rsid w:val="24589C58"/>
    <w:rsid w:val="2458DAB8"/>
    <w:rsid w:val="2459D85F"/>
    <w:rsid w:val="245DF054"/>
    <w:rsid w:val="2467F79E"/>
    <w:rsid w:val="246BC873"/>
    <w:rsid w:val="2473E0E6"/>
    <w:rsid w:val="2477A9C6"/>
    <w:rsid w:val="247C675F"/>
    <w:rsid w:val="248315FD"/>
    <w:rsid w:val="24884A5A"/>
    <w:rsid w:val="248A151D"/>
    <w:rsid w:val="24904A4A"/>
    <w:rsid w:val="2490F4D8"/>
    <w:rsid w:val="2492946B"/>
    <w:rsid w:val="2499B5D9"/>
    <w:rsid w:val="2499E16B"/>
    <w:rsid w:val="249A87F9"/>
    <w:rsid w:val="24A0DEC3"/>
    <w:rsid w:val="24A44A69"/>
    <w:rsid w:val="24A894DC"/>
    <w:rsid w:val="24AA497F"/>
    <w:rsid w:val="24AC79EB"/>
    <w:rsid w:val="24ACCEFA"/>
    <w:rsid w:val="24B2326A"/>
    <w:rsid w:val="24B5D5AC"/>
    <w:rsid w:val="24BD0285"/>
    <w:rsid w:val="24C3FB8D"/>
    <w:rsid w:val="24C4BC52"/>
    <w:rsid w:val="24C5AD85"/>
    <w:rsid w:val="24C6C950"/>
    <w:rsid w:val="24C71892"/>
    <w:rsid w:val="24C870F2"/>
    <w:rsid w:val="24CBBB3B"/>
    <w:rsid w:val="24CC3684"/>
    <w:rsid w:val="24D5E49A"/>
    <w:rsid w:val="24D72007"/>
    <w:rsid w:val="24D9C763"/>
    <w:rsid w:val="24DB441C"/>
    <w:rsid w:val="24DB6835"/>
    <w:rsid w:val="24DDC576"/>
    <w:rsid w:val="24E09928"/>
    <w:rsid w:val="24E4C746"/>
    <w:rsid w:val="24EBD732"/>
    <w:rsid w:val="24EDEE11"/>
    <w:rsid w:val="24EE7421"/>
    <w:rsid w:val="24F93CE2"/>
    <w:rsid w:val="24FA5E7F"/>
    <w:rsid w:val="25063B5E"/>
    <w:rsid w:val="2511C98B"/>
    <w:rsid w:val="251296D5"/>
    <w:rsid w:val="2515E06A"/>
    <w:rsid w:val="2518A9D1"/>
    <w:rsid w:val="251CED5B"/>
    <w:rsid w:val="2521FBE1"/>
    <w:rsid w:val="2523D9D6"/>
    <w:rsid w:val="2525A184"/>
    <w:rsid w:val="252C2AFD"/>
    <w:rsid w:val="252C78C9"/>
    <w:rsid w:val="2534D856"/>
    <w:rsid w:val="253B532D"/>
    <w:rsid w:val="253E81AF"/>
    <w:rsid w:val="253EBC0F"/>
    <w:rsid w:val="254EA37B"/>
    <w:rsid w:val="2556E65C"/>
    <w:rsid w:val="255B5E15"/>
    <w:rsid w:val="25604D20"/>
    <w:rsid w:val="256F03B2"/>
    <w:rsid w:val="25703E0E"/>
    <w:rsid w:val="2578C3E9"/>
    <w:rsid w:val="258CC1E8"/>
    <w:rsid w:val="258CDC37"/>
    <w:rsid w:val="2596A9FC"/>
    <w:rsid w:val="25971AF4"/>
    <w:rsid w:val="259956D7"/>
    <w:rsid w:val="2599C543"/>
    <w:rsid w:val="259EFDE9"/>
    <w:rsid w:val="25A432AD"/>
    <w:rsid w:val="25A45D2C"/>
    <w:rsid w:val="25ADBE8D"/>
    <w:rsid w:val="25AEABA3"/>
    <w:rsid w:val="25B08874"/>
    <w:rsid w:val="25B20180"/>
    <w:rsid w:val="25B2B9A3"/>
    <w:rsid w:val="25B2D9F5"/>
    <w:rsid w:val="25B70FC0"/>
    <w:rsid w:val="25B83250"/>
    <w:rsid w:val="25BD114C"/>
    <w:rsid w:val="25C00BAE"/>
    <w:rsid w:val="25C035F9"/>
    <w:rsid w:val="25C369EB"/>
    <w:rsid w:val="25C6A5EE"/>
    <w:rsid w:val="25CA5FAC"/>
    <w:rsid w:val="25CE989F"/>
    <w:rsid w:val="25CF6AAA"/>
    <w:rsid w:val="25D081BB"/>
    <w:rsid w:val="25D1592F"/>
    <w:rsid w:val="25D1EC9F"/>
    <w:rsid w:val="25D37E13"/>
    <w:rsid w:val="25D80184"/>
    <w:rsid w:val="25DB1436"/>
    <w:rsid w:val="25E11830"/>
    <w:rsid w:val="25EA5A11"/>
    <w:rsid w:val="25EA8F68"/>
    <w:rsid w:val="25F025C6"/>
    <w:rsid w:val="25F55CD9"/>
    <w:rsid w:val="2600C163"/>
    <w:rsid w:val="26052355"/>
    <w:rsid w:val="260CABCE"/>
    <w:rsid w:val="26109BE8"/>
    <w:rsid w:val="26173CDD"/>
    <w:rsid w:val="26189805"/>
    <w:rsid w:val="2621006A"/>
    <w:rsid w:val="2627A3B7"/>
    <w:rsid w:val="263B60B0"/>
    <w:rsid w:val="263E9CA8"/>
    <w:rsid w:val="2651C3BC"/>
    <w:rsid w:val="2654BC89"/>
    <w:rsid w:val="2656F3A1"/>
    <w:rsid w:val="265BEDAB"/>
    <w:rsid w:val="265CB938"/>
    <w:rsid w:val="265D3843"/>
    <w:rsid w:val="265DDCB2"/>
    <w:rsid w:val="2662A50B"/>
    <w:rsid w:val="2662D580"/>
    <w:rsid w:val="2667904D"/>
    <w:rsid w:val="266CDD77"/>
    <w:rsid w:val="2670087C"/>
    <w:rsid w:val="267ED901"/>
    <w:rsid w:val="2680A68D"/>
    <w:rsid w:val="268583B8"/>
    <w:rsid w:val="2687D842"/>
    <w:rsid w:val="2692C20C"/>
    <w:rsid w:val="26936018"/>
    <w:rsid w:val="269B3516"/>
    <w:rsid w:val="269BA1D3"/>
    <w:rsid w:val="26A23E8B"/>
    <w:rsid w:val="26A26D8A"/>
    <w:rsid w:val="26A2DE6C"/>
    <w:rsid w:val="26A4EB57"/>
    <w:rsid w:val="26A8806B"/>
    <w:rsid w:val="26A8D796"/>
    <w:rsid w:val="26ADB6E8"/>
    <w:rsid w:val="26B14F02"/>
    <w:rsid w:val="26B9EBB2"/>
    <w:rsid w:val="26BB746C"/>
    <w:rsid w:val="26BCDD93"/>
    <w:rsid w:val="26BF629C"/>
    <w:rsid w:val="26C14CA6"/>
    <w:rsid w:val="26C3129E"/>
    <w:rsid w:val="26C6DD5A"/>
    <w:rsid w:val="26C6E88A"/>
    <w:rsid w:val="26CA0AB2"/>
    <w:rsid w:val="26CB7E11"/>
    <w:rsid w:val="26D02A51"/>
    <w:rsid w:val="26D6701D"/>
    <w:rsid w:val="26D6C888"/>
    <w:rsid w:val="26D9257A"/>
    <w:rsid w:val="26DB3D2E"/>
    <w:rsid w:val="26E012BE"/>
    <w:rsid w:val="26E1C714"/>
    <w:rsid w:val="26E3AAC3"/>
    <w:rsid w:val="26E70A0C"/>
    <w:rsid w:val="26E76D60"/>
    <w:rsid w:val="26EAFCCC"/>
    <w:rsid w:val="26EC0383"/>
    <w:rsid w:val="26EE2D32"/>
    <w:rsid w:val="26F6D17B"/>
    <w:rsid w:val="26FA96A4"/>
    <w:rsid w:val="26FBDD7F"/>
    <w:rsid w:val="26FF2B63"/>
    <w:rsid w:val="27027D3C"/>
    <w:rsid w:val="270BEEB5"/>
    <w:rsid w:val="271297DE"/>
    <w:rsid w:val="27131740"/>
    <w:rsid w:val="271577BF"/>
    <w:rsid w:val="2722BE02"/>
    <w:rsid w:val="2728DCE6"/>
    <w:rsid w:val="272A0001"/>
    <w:rsid w:val="273F962A"/>
    <w:rsid w:val="2740A8DB"/>
    <w:rsid w:val="27436A47"/>
    <w:rsid w:val="2743A237"/>
    <w:rsid w:val="27482C72"/>
    <w:rsid w:val="27487B3C"/>
    <w:rsid w:val="2748AF75"/>
    <w:rsid w:val="274EB454"/>
    <w:rsid w:val="274ECA35"/>
    <w:rsid w:val="27503EE4"/>
    <w:rsid w:val="2753D1C3"/>
    <w:rsid w:val="2754EC72"/>
    <w:rsid w:val="275938C5"/>
    <w:rsid w:val="27623B14"/>
    <w:rsid w:val="2769CE93"/>
    <w:rsid w:val="276B273E"/>
    <w:rsid w:val="2773F8E2"/>
    <w:rsid w:val="277AE761"/>
    <w:rsid w:val="277AF7F2"/>
    <w:rsid w:val="277B41CE"/>
    <w:rsid w:val="277D4DF0"/>
    <w:rsid w:val="27826CFA"/>
    <w:rsid w:val="27878FFF"/>
    <w:rsid w:val="278D3C0F"/>
    <w:rsid w:val="278D8863"/>
    <w:rsid w:val="2790AFF5"/>
    <w:rsid w:val="27959A17"/>
    <w:rsid w:val="2799498B"/>
    <w:rsid w:val="2799BBF4"/>
    <w:rsid w:val="279C8159"/>
    <w:rsid w:val="27A3355D"/>
    <w:rsid w:val="27A92160"/>
    <w:rsid w:val="27AD850A"/>
    <w:rsid w:val="27B83AAA"/>
    <w:rsid w:val="27BA95BA"/>
    <w:rsid w:val="27BFC1EB"/>
    <w:rsid w:val="27CA82F8"/>
    <w:rsid w:val="27CABC82"/>
    <w:rsid w:val="27D2BE16"/>
    <w:rsid w:val="27D2EC93"/>
    <w:rsid w:val="27D34C3A"/>
    <w:rsid w:val="27D91DAA"/>
    <w:rsid w:val="27DCBF42"/>
    <w:rsid w:val="27DCDCC8"/>
    <w:rsid w:val="27E1EA41"/>
    <w:rsid w:val="27E22E0C"/>
    <w:rsid w:val="27E308DA"/>
    <w:rsid w:val="27E64116"/>
    <w:rsid w:val="27EC777D"/>
    <w:rsid w:val="27ECFDBC"/>
    <w:rsid w:val="27EF1846"/>
    <w:rsid w:val="27F16CCF"/>
    <w:rsid w:val="27F185B7"/>
    <w:rsid w:val="27F27037"/>
    <w:rsid w:val="27F49303"/>
    <w:rsid w:val="28034DEF"/>
    <w:rsid w:val="28140066"/>
    <w:rsid w:val="2818D7F4"/>
    <w:rsid w:val="281F2F05"/>
    <w:rsid w:val="2823900B"/>
    <w:rsid w:val="28275A04"/>
    <w:rsid w:val="2827E36A"/>
    <w:rsid w:val="2828133E"/>
    <w:rsid w:val="2828DD50"/>
    <w:rsid w:val="282B5479"/>
    <w:rsid w:val="282BBB03"/>
    <w:rsid w:val="282E07DF"/>
    <w:rsid w:val="282E7F19"/>
    <w:rsid w:val="2832722B"/>
    <w:rsid w:val="2833017C"/>
    <w:rsid w:val="2833E91E"/>
    <w:rsid w:val="28382566"/>
    <w:rsid w:val="283CA607"/>
    <w:rsid w:val="28412BE4"/>
    <w:rsid w:val="28418A42"/>
    <w:rsid w:val="2844E0C6"/>
    <w:rsid w:val="28468272"/>
    <w:rsid w:val="2847A118"/>
    <w:rsid w:val="284AFA3C"/>
    <w:rsid w:val="284D1F9C"/>
    <w:rsid w:val="2851835A"/>
    <w:rsid w:val="28599ECB"/>
    <w:rsid w:val="285ADBA9"/>
    <w:rsid w:val="285CF6AC"/>
    <w:rsid w:val="285FB9CD"/>
    <w:rsid w:val="28687BC2"/>
    <w:rsid w:val="2869AA47"/>
    <w:rsid w:val="28881FFE"/>
    <w:rsid w:val="28897185"/>
    <w:rsid w:val="288A2F32"/>
    <w:rsid w:val="28916BFF"/>
    <w:rsid w:val="2899378F"/>
    <w:rsid w:val="289C12AF"/>
    <w:rsid w:val="28A19C6F"/>
    <w:rsid w:val="28B1FC47"/>
    <w:rsid w:val="28B575D3"/>
    <w:rsid w:val="28BBD872"/>
    <w:rsid w:val="28BE9B2F"/>
    <w:rsid w:val="28BF9DF4"/>
    <w:rsid w:val="28C02904"/>
    <w:rsid w:val="28C117F0"/>
    <w:rsid w:val="28C28D24"/>
    <w:rsid w:val="28C30EAE"/>
    <w:rsid w:val="28CA14AC"/>
    <w:rsid w:val="28D5D9EC"/>
    <w:rsid w:val="28DE3ECE"/>
    <w:rsid w:val="28E2533E"/>
    <w:rsid w:val="28E8CF91"/>
    <w:rsid w:val="28EC3A2F"/>
    <w:rsid w:val="28EF9593"/>
    <w:rsid w:val="28F37E12"/>
    <w:rsid w:val="28F69622"/>
    <w:rsid w:val="28F6BB92"/>
    <w:rsid w:val="28F95026"/>
    <w:rsid w:val="28FCBDAD"/>
    <w:rsid w:val="2901EEE3"/>
    <w:rsid w:val="29055DDB"/>
    <w:rsid w:val="29069AFC"/>
    <w:rsid w:val="29070B6C"/>
    <w:rsid w:val="290A4CF8"/>
    <w:rsid w:val="290D9ECC"/>
    <w:rsid w:val="290E58AA"/>
    <w:rsid w:val="290F0E69"/>
    <w:rsid w:val="291D2033"/>
    <w:rsid w:val="29226963"/>
    <w:rsid w:val="2925C330"/>
    <w:rsid w:val="292603C9"/>
    <w:rsid w:val="2926FD87"/>
    <w:rsid w:val="2927C688"/>
    <w:rsid w:val="292CAF93"/>
    <w:rsid w:val="292FF77B"/>
    <w:rsid w:val="2931BA7A"/>
    <w:rsid w:val="293E02A6"/>
    <w:rsid w:val="29446596"/>
    <w:rsid w:val="2945DE7A"/>
    <w:rsid w:val="2947981A"/>
    <w:rsid w:val="29482EA4"/>
    <w:rsid w:val="294D9635"/>
    <w:rsid w:val="2951324A"/>
    <w:rsid w:val="295B598B"/>
    <w:rsid w:val="295DC56F"/>
    <w:rsid w:val="295F5490"/>
    <w:rsid w:val="2960F0A1"/>
    <w:rsid w:val="2966FEC6"/>
    <w:rsid w:val="2970A8BC"/>
    <w:rsid w:val="297353FD"/>
    <w:rsid w:val="29769625"/>
    <w:rsid w:val="297D2368"/>
    <w:rsid w:val="29827A5E"/>
    <w:rsid w:val="298632A5"/>
    <w:rsid w:val="2987F328"/>
    <w:rsid w:val="298D1B35"/>
    <w:rsid w:val="298E0CF0"/>
    <w:rsid w:val="29909487"/>
    <w:rsid w:val="29909666"/>
    <w:rsid w:val="29913614"/>
    <w:rsid w:val="29930D26"/>
    <w:rsid w:val="2995EB71"/>
    <w:rsid w:val="299E8757"/>
    <w:rsid w:val="29A78956"/>
    <w:rsid w:val="29AC0B52"/>
    <w:rsid w:val="29ADE79B"/>
    <w:rsid w:val="29B52650"/>
    <w:rsid w:val="29B84D71"/>
    <w:rsid w:val="29C1E730"/>
    <w:rsid w:val="29C521E8"/>
    <w:rsid w:val="29CA2B3B"/>
    <w:rsid w:val="29CB1B64"/>
    <w:rsid w:val="29CB32CC"/>
    <w:rsid w:val="29CE4BF2"/>
    <w:rsid w:val="29D06F07"/>
    <w:rsid w:val="29D09176"/>
    <w:rsid w:val="29D1F002"/>
    <w:rsid w:val="29D68991"/>
    <w:rsid w:val="29DB5E66"/>
    <w:rsid w:val="29DCB3DF"/>
    <w:rsid w:val="29DF1716"/>
    <w:rsid w:val="29E0F5D5"/>
    <w:rsid w:val="29E23246"/>
    <w:rsid w:val="29E3EACC"/>
    <w:rsid w:val="29EBE584"/>
    <w:rsid w:val="29F40E77"/>
    <w:rsid w:val="29F8300F"/>
    <w:rsid w:val="29FC4853"/>
    <w:rsid w:val="29FE9F0C"/>
    <w:rsid w:val="2A033E6B"/>
    <w:rsid w:val="2A042D9C"/>
    <w:rsid w:val="2A044A1B"/>
    <w:rsid w:val="2A074CC2"/>
    <w:rsid w:val="2A074D46"/>
    <w:rsid w:val="2A0C8D83"/>
    <w:rsid w:val="2A0DD1F0"/>
    <w:rsid w:val="2A18BA66"/>
    <w:rsid w:val="2A199103"/>
    <w:rsid w:val="2A1B6A8C"/>
    <w:rsid w:val="2A1F92DC"/>
    <w:rsid w:val="2A22FAF3"/>
    <w:rsid w:val="2A235FDB"/>
    <w:rsid w:val="2A282CDB"/>
    <w:rsid w:val="2A2DAB66"/>
    <w:rsid w:val="2A325666"/>
    <w:rsid w:val="2A35BE5D"/>
    <w:rsid w:val="2A3E32D2"/>
    <w:rsid w:val="2A47FC89"/>
    <w:rsid w:val="2A4848F4"/>
    <w:rsid w:val="2A4A549B"/>
    <w:rsid w:val="2A4D2265"/>
    <w:rsid w:val="2A5016F5"/>
    <w:rsid w:val="2A560190"/>
    <w:rsid w:val="2A56315D"/>
    <w:rsid w:val="2A69C581"/>
    <w:rsid w:val="2A6A11EC"/>
    <w:rsid w:val="2A6DDDA6"/>
    <w:rsid w:val="2A700640"/>
    <w:rsid w:val="2A725C58"/>
    <w:rsid w:val="2A74356B"/>
    <w:rsid w:val="2A74C8B0"/>
    <w:rsid w:val="2A781508"/>
    <w:rsid w:val="2A7C303B"/>
    <w:rsid w:val="2A85CC79"/>
    <w:rsid w:val="2A98A9AE"/>
    <w:rsid w:val="2AA1B592"/>
    <w:rsid w:val="2AA610CD"/>
    <w:rsid w:val="2AA67EFB"/>
    <w:rsid w:val="2AADE7A5"/>
    <w:rsid w:val="2AAE436B"/>
    <w:rsid w:val="2AAFBFDD"/>
    <w:rsid w:val="2AB08F5D"/>
    <w:rsid w:val="2AB13920"/>
    <w:rsid w:val="2AB64970"/>
    <w:rsid w:val="2AB7481D"/>
    <w:rsid w:val="2AB74ADB"/>
    <w:rsid w:val="2AB7AF43"/>
    <w:rsid w:val="2AB95947"/>
    <w:rsid w:val="2AC0AF05"/>
    <w:rsid w:val="2AC14CD9"/>
    <w:rsid w:val="2AC81C3C"/>
    <w:rsid w:val="2AC8CDFC"/>
    <w:rsid w:val="2ACB6157"/>
    <w:rsid w:val="2AD1434A"/>
    <w:rsid w:val="2AD4741A"/>
    <w:rsid w:val="2AD497D2"/>
    <w:rsid w:val="2AD6C181"/>
    <w:rsid w:val="2AD9542F"/>
    <w:rsid w:val="2AE92F22"/>
    <w:rsid w:val="2AEB48F2"/>
    <w:rsid w:val="2AEC9DB9"/>
    <w:rsid w:val="2AF46AB8"/>
    <w:rsid w:val="2AF93015"/>
    <w:rsid w:val="2AFA2259"/>
    <w:rsid w:val="2AFE7800"/>
    <w:rsid w:val="2B007673"/>
    <w:rsid w:val="2B053D5E"/>
    <w:rsid w:val="2B05B5F1"/>
    <w:rsid w:val="2B0D3EFB"/>
    <w:rsid w:val="2B0E7D36"/>
    <w:rsid w:val="2B0F13BF"/>
    <w:rsid w:val="2B0F792A"/>
    <w:rsid w:val="2B117BA5"/>
    <w:rsid w:val="2B155003"/>
    <w:rsid w:val="2B188BC1"/>
    <w:rsid w:val="2B19E48C"/>
    <w:rsid w:val="2B1B9B2B"/>
    <w:rsid w:val="2B1F70D3"/>
    <w:rsid w:val="2B265638"/>
    <w:rsid w:val="2B273727"/>
    <w:rsid w:val="2B2F97A1"/>
    <w:rsid w:val="2B3318D0"/>
    <w:rsid w:val="2B3AAB77"/>
    <w:rsid w:val="2B3BE563"/>
    <w:rsid w:val="2B41BCE1"/>
    <w:rsid w:val="2B57E66A"/>
    <w:rsid w:val="2B583EB0"/>
    <w:rsid w:val="2B5B5A99"/>
    <w:rsid w:val="2B5B79DA"/>
    <w:rsid w:val="2B5C82EE"/>
    <w:rsid w:val="2B628589"/>
    <w:rsid w:val="2B62D6D6"/>
    <w:rsid w:val="2B63D3C5"/>
    <w:rsid w:val="2B67E177"/>
    <w:rsid w:val="2B686EFA"/>
    <w:rsid w:val="2B7724B3"/>
    <w:rsid w:val="2B7A3D80"/>
    <w:rsid w:val="2B7A403D"/>
    <w:rsid w:val="2B7FBE18"/>
    <w:rsid w:val="2B80909B"/>
    <w:rsid w:val="2B841479"/>
    <w:rsid w:val="2B8BF6DB"/>
    <w:rsid w:val="2B911C1C"/>
    <w:rsid w:val="2B95AADB"/>
    <w:rsid w:val="2B95B385"/>
    <w:rsid w:val="2B9BA7CB"/>
    <w:rsid w:val="2BA42CBD"/>
    <w:rsid w:val="2BA54A24"/>
    <w:rsid w:val="2BA9F6B5"/>
    <w:rsid w:val="2BB62038"/>
    <w:rsid w:val="2BB8D6A2"/>
    <w:rsid w:val="2BBD549B"/>
    <w:rsid w:val="2BBF09D0"/>
    <w:rsid w:val="2BC57984"/>
    <w:rsid w:val="2BC9B56F"/>
    <w:rsid w:val="2BCF73FB"/>
    <w:rsid w:val="2BD1694F"/>
    <w:rsid w:val="2BD2C60B"/>
    <w:rsid w:val="2BD4150F"/>
    <w:rsid w:val="2BD94926"/>
    <w:rsid w:val="2BDC6432"/>
    <w:rsid w:val="2BE05D48"/>
    <w:rsid w:val="2BE62055"/>
    <w:rsid w:val="2BEBA165"/>
    <w:rsid w:val="2BEFA37A"/>
    <w:rsid w:val="2BF42927"/>
    <w:rsid w:val="2BF9C02F"/>
    <w:rsid w:val="2C013ACE"/>
    <w:rsid w:val="2C086AF8"/>
    <w:rsid w:val="2C0D328F"/>
    <w:rsid w:val="2C153B9E"/>
    <w:rsid w:val="2C16166E"/>
    <w:rsid w:val="2C212710"/>
    <w:rsid w:val="2C24E592"/>
    <w:rsid w:val="2C2509FC"/>
    <w:rsid w:val="2C2A04AB"/>
    <w:rsid w:val="2C2EE671"/>
    <w:rsid w:val="2C316742"/>
    <w:rsid w:val="2C347203"/>
    <w:rsid w:val="2C3A8842"/>
    <w:rsid w:val="2C43E347"/>
    <w:rsid w:val="2C442130"/>
    <w:rsid w:val="2C44C938"/>
    <w:rsid w:val="2C4B1FB7"/>
    <w:rsid w:val="2C5303F1"/>
    <w:rsid w:val="2C551725"/>
    <w:rsid w:val="2C5752C0"/>
    <w:rsid w:val="2C58C491"/>
    <w:rsid w:val="2C5C3550"/>
    <w:rsid w:val="2C5CB68C"/>
    <w:rsid w:val="2C5D297B"/>
    <w:rsid w:val="2C641331"/>
    <w:rsid w:val="2C681B9A"/>
    <w:rsid w:val="2C6B4BD0"/>
    <w:rsid w:val="2C741772"/>
    <w:rsid w:val="2C778596"/>
    <w:rsid w:val="2C78196B"/>
    <w:rsid w:val="2C7B29CA"/>
    <w:rsid w:val="2C7BF180"/>
    <w:rsid w:val="2C7DE8BF"/>
    <w:rsid w:val="2C83333F"/>
    <w:rsid w:val="2C857202"/>
    <w:rsid w:val="2C876464"/>
    <w:rsid w:val="2C87C545"/>
    <w:rsid w:val="2C8E99FA"/>
    <w:rsid w:val="2C948E86"/>
    <w:rsid w:val="2C95756C"/>
    <w:rsid w:val="2CA6E8F0"/>
    <w:rsid w:val="2CA81803"/>
    <w:rsid w:val="2CAACB13"/>
    <w:rsid w:val="2CAE9F81"/>
    <w:rsid w:val="2CAF20D5"/>
    <w:rsid w:val="2CB4CFFD"/>
    <w:rsid w:val="2CB78E01"/>
    <w:rsid w:val="2CBBD0B9"/>
    <w:rsid w:val="2CBCEB04"/>
    <w:rsid w:val="2CC3BAC4"/>
    <w:rsid w:val="2CC5A971"/>
    <w:rsid w:val="2CC8ED9E"/>
    <w:rsid w:val="2CCD34D7"/>
    <w:rsid w:val="2CD4A02A"/>
    <w:rsid w:val="2CDAF89D"/>
    <w:rsid w:val="2CDC242F"/>
    <w:rsid w:val="2CDE7130"/>
    <w:rsid w:val="2CDF4BBC"/>
    <w:rsid w:val="2CE4E5B1"/>
    <w:rsid w:val="2CE6A35D"/>
    <w:rsid w:val="2CE7F5D8"/>
    <w:rsid w:val="2CE8634C"/>
    <w:rsid w:val="2CEA3C46"/>
    <w:rsid w:val="2CEE69A0"/>
    <w:rsid w:val="2CF106EE"/>
    <w:rsid w:val="2CF12B45"/>
    <w:rsid w:val="2CF2FD4E"/>
    <w:rsid w:val="2CF54F8E"/>
    <w:rsid w:val="2CF6B907"/>
    <w:rsid w:val="2D057EB8"/>
    <w:rsid w:val="2D05AEF6"/>
    <w:rsid w:val="2D08902A"/>
    <w:rsid w:val="2D0AF935"/>
    <w:rsid w:val="2D0CA3E1"/>
    <w:rsid w:val="2D0D3FFC"/>
    <w:rsid w:val="2D10E208"/>
    <w:rsid w:val="2D1582A0"/>
    <w:rsid w:val="2D166081"/>
    <w:rsid w:val="2D1B9C80"/>
    <w:rsid w:val="2D288447"/>
    <w:rsid w:val="2D2B3EEE"/>
    <w:rsid w:val="2D2FA3F3"/>
    <w:rsid w:val="2D31FD65"/>
    <w:rsid w:val="2D347E61"/>
    <w:rsid w:val="2D35A1E6"/>
    <w:rsid w:val="2D35E2E1"/>
    <w:rsid w:val="2D3B3EAD"/>
    <w:rsid w:val="2D3D7140"/>
    <w:rsid w:val="2D44337F"/>
    <w:rsid w:val="2D484C7A"/>
    <w:rsid w:val="2D4A739C"/>
    <w:rsid w:val="2D525825"/>
    <w:rsid w:val="2D58C0D4"/>
    <w:rsid w:val="2D5A03A2"/>
    <w:rsid w:val="2D5A42B0"/>
    <w:rsid w:val="2D62E53B"/>
    <w:rsid w:val="2D6585D0"/>
    <w:rsid w:val="2D6C0E00"/>
    <w:rsid w:val="2D6F08AC"/>
    <w:rsid w:val="2D70CF5D"/>
    <w:rsid w:val="2D71B427"/>
    <w:rsid w:val="2D73D695"/>
    <w:rsid w:val="2D84842E"/>
    <w:rsid w:val="2D89FC52"/>
    <w:rsid w:val="2D9646B4"/>
    <w:rsid w:val="2D976F1D"/>
    <w:rsid w:val="2D980E92"/>
    <w:rsid w:val="2D9CF815"/>
    <w:rsid w:val="2DA9532E"/>
    <w:rsid w:val="2DAE8CC9"/>
    <w:rsid w:val="2DB40AD6"/>
    <w:rsid w:val="2DC00736"/>
    <w:rsid w:val="2DC42822"/>
    <w:rsid w:val="2DC47376"/>
    <w:rsid w:val="2DC5423E"/>
    <w:rsid w:val="2DC798C6"/>
    <w:rsid w:val="2DCA4991"/>
    <w:rsid w:val="2DCCC896"/>
    <w:rsid w:val="2DD79F91"/>
    <w:rsid w:val="2DDCDF3C"/>
    <w:rsid w:val="2DEF299C"/>
    <w:rsid w:val="2DEFEB92"/>
    <w:rsid w:val="2DF257E3"/>
    <w:rsid w:val="2DF494F2"/>
    <w:rsid w:val="2DF8213D"/>
    <w:rsid w:val="2DF96EA2"/>
    <w:rsid w:val="2DFB37AB"/>
    <w:rsid w:val="2DFF51C0"/>
    <w:rsid w:val="2E16A55B"/>
    <w:rsid w:val="2E256084"/>
    <w:rsid w:val="2E288586"/>
    <w:rsid w:val="2E2B4649"/>
    <w:rsid w:val="2E308FBF"/>
    <w:rsid w:val="2E32BC9B"/>
    <w:rsid w:val="2E35294B"/>
    <w:rsid w:val="2E3979ED"/>
    <w:rsid w:val="2E3F06B9"/>
    <w:rsid w:val="2E41255B"/>
    <w:rsid w:val="2E414CA3"/>
    <w:rsid w:val="2E42B6F1"/>
    <w:rsid w:val="2E4721DD"/>
    <w:rsid w:val="2E4C0E89"/>
    <w:rsid w:val="2E4DD650"/>
    <w:rsid w:val="2E4F180F"/>
    <w:rsid w:val="2E509D82"/>
    <w:rsid w:val="2E50AAA1"/>
    <w:rsid w:val="2E51D7B9"/>
    <w:rsid w:val="2E51E413"/>
    <w:rsid w:val="2E5D269C"/>
    <w:rsid w:val="2E640908"/>
    <w:rsid w:val="2E64AB55"/>
    <w:rsid w:val="2E6909C1"/>
    <w:rsid w:val="2E691870"/>
    <w:rsid w:val="2E6D270E"/>
    <w:rsid w:val="2E6DB965"/>
    <w:rsid w:val="2E6E6D5E"/>
    <w:rsid w:val="2E702C2C"/>
    <w:rsid w:val="2E738A38"/>
    <w:rsid w:val="2E766AAB"/>
    <w:rsid w:val="2E81F9A4"/>
    <w:rsid w:val="2E8A568E"/>
    <w:rsid w:val="2E8F09D3"/>
    <w:rsid w:val="2E8FACC6"/>
    <w:rsid w:val="2E925686"/>
    <w:rsid w:val="2E9261B0"/>
    <w:rsid w:val="2E936B08"/>
    <w:rsid w:val="2E93F78C"/>
    <w:rsid w:val="2E96444C"/>
    <w:rsid w:val="2E984C75"/>
    <w:rsid w:val="2E9BA438"/>
    <w:rsid w:val="2EA92DFD"/>
    <w:rsid w:val="2EAC3917"/>
    <w:rsid w:val="2EAF0470"/>
    <w:rsid w:val="2EB30064"/>
    <w:rsid w:val="2EB5934B"/>
    <w:rsid w:val="2EB883A7"/>
    <w:rsid w:val="2EB8BD42"/>
    <w:rsid w:val="2EBF3C37"/>
    <w:rsid w:val="2EC6AD6A"/>
    <w:rsid w:val="2EC73545"/>
    <w:rsid w:val="2ECEAF49"/>
    <w:rsid w:val="2ECFB4FA"/>
    <w:rsid w:val="2ED040AB"/>
    <w:rsid w:val="2ED0C703"/>
    <w:rsid w:val="2ED4DCAE"/>
    <w:rsid w:val="2ED5D1E1"/>
    <w:rsid w:val="2ED6E1C0"/>
    <w:rsid w:val="2EDF768F"/>
    <w:rsid w:val="2EE2B062"/>
    <w:rsid w:val="2EE4933A"/>
    <w:rsid w:val="2EEABBD5"/>
    <w:rsid w:val="2EEF0E29"/>
    <w:rsid w:val="2EF1880D"/>
    <w:rsid w:val="2EF327CB"/>
    <w:rsid w:val="2EF9F428"/>
    <w:rsid w:val="2EFACDF6"/>
    <w:rsid w:val="2F03DF6C"/>
    <w:rsid w:val="2F07948D"/>
    <w:rsid w:val="2F14C957"/>
    <w:rsid w:val="2F190AD4"/>
    <w:rsid w:val="2F1D328B"/>
    <w:rsid w:val="2F23BAE4"/>
    <w:rsid w:val="2F250DB2"/>
    <w:rsid w:val="2F25714C"/>
    <w:rsid w:val="2F276D36"/>
    <w:rsid w:val="2F28F93E"/>
    <w:rsid w:val="2F2A8EE1"/>
    <w:rsid w:val="2F2D578D"/>
    <w:rsid w:val="2F2FBEAB"/>
    <w:rsid w:val="2F342363"/>
    <w:rsid w:val="2F414ACC"/>
    <w:rsid w:val="2F41AB2F"/>
    <w:rsid w:val="2F436583"/>
    <w:rsid w:val="2F44735A"/>
    <w:rsid w:val="2F469713"/>
    <w:rsid w:val="2F4854E8"/>
    <w:rsid w:val="2F4C2FAE"/>
    <w:rsid w:val="2F527B88"/>
    <w:rsid w:val="2F547995"/>
    <w:rsid w:val="2F555D7C"/>
    <w:rsid w:val="2F5FB0B7"/>
    <w:rsid w:val="2F601805"/>
    <w:rsid w:val="2F60A42D"/>
    <w:rsid w:val="2F66F746"/>
    <w:rsid w:val="2F6DF36E"/>
    <w:rsid w:val="2F6F3771"/>
    <w:rsid w:val="2F71EE18"/>
    <w:rsid w:val="2F7304EB"/>
    <w:rsid w:val="2F766454"/>
    <w:rsid w:val="2F7C81DD"/>
    <w:rsid w:val="2F7CBE23"/>
    <w:rsid w:val="2F7EEE16"/>
    <w:rsid w:val="2F890BAA"/>
    <w:rsid w:val="2F894D06"/>
    <w:rsid w:val="2F8CD2C2"/>
    <w:rsid w:val="2F97D082"/>
    <w:rsid w:val="2F97D51B"/>
    <w:rsid w:val="2F9868D2"/>
    <w:rsid w:val="2F9A9AE2"/>
    <w:rsid w:val="2F9EE22F"/>
    <w:rsid w:val="2FA7E53D"/>
    <w:rsid w:val="2FA807F5"/>
    <w:rsid w:val="2FA826DC"/>
    <w:rsid w:val="2FAA1764"/>
    <w:rsid w:val="2FAF0BD3"/>
    <w:rsid w:val="2FAF131A"/>
    <w:rsid w:val="2FB0280F"/>
    <w:rsid w:val="2FB50071"/>
    <w:rsid w:val="2FB60A0C"/>
    <w:rsid w:val="2FB661BA"/>
    <w:rsid w:val="2FB8C3A2"/>
    <w:rsid w:val="2FBAD8AC"/>
    <w:rsid w:val="2FC12ED2"/>
    <w:rsid w:val="2FC3FDFE"/>
    <w:rsid w:val="2FC46FC1"/>
    <w:rsid w:val="2FC83022"/>
    <w:rsid w:val="2FCBBE9E"/>
    <w:rsid w:val="2FD2FDC4"/>
    <w:rsid w:val="2FD8F604"/>
    <w:rsid w:val="2FD9A0E6"/>
    <w:rsid w:val="2FDCFA47"/>
    <w:rsid w:val="2FE3A7D9"/>
    <w:rsid w:val="2FE6C197"/>
    <w:rsid w:val="2FE9986C"/>
    <w:rsid w:val="2FF0A5A6"/>
    <w:rsid w:val="2FF5403C"/>
    <w:rsid w:val="2FF6B58A"/>
    <w:rsid w:val="2FFE4955"/>
    <w:rsid w:val="30055143"/>
    <w:rsid w:val="300C5F56"/>
    <w:rsid w:val="30183C6B"/>
    <w:rsid w:val="301AAB68"/>
    <w:rsid w:val="301EBF82"/>
    <w:rsid w:val="3026757C"/>
    <w:rsid w:val="302CCAEB"/>
    <w:rsid w:val="302E3211"/>
    <w:rsid w:val="302FEFED"/>
    <w:rsid w:val="30316D79"/>
    <w:rsid w:val="30335DE8"/>
    <w:rsid w:val="303B375D"/>
    <w:rsid w:val="303C2FEB"/>
    <w:rsid w:val="3041CFDC"/>
    <w:rsid w:val="3043A999"/>
    <w:rsid w:val="3045A4D3"/>
    <w:rsid w:val="3049B912"/>
    <w:rsid w:val="304DC5BF"/>
    <w:rsid w:val="304FAFDE"/>
    <w:rsid w:val="3050AF2D"/>
    <w:rsid w:val="30541AB2"/>
    <w:rsid w:val="30560797"/>
    <w:rsid w:val="305A694B"/>
    <w:rsid w:val="30676CBD"/>
    <w:rsid w:val="30719265"/>
    <w:rsid w:val="3071AB8C"/>
    <w:rsid w:val="3076F23E"/>
    <w:rsid w:val="3078A01D"/>
    <w:rsid w:val="307B6D21"/>
    <w:rsid w:val="307FAB1F"/>
    <w:rsid w:val="3083FFDC"/>
    <w:rsid w:val="30882E24"/>
    <w:rsid w:val="3093BAAA"/>
    <w:rsid w:val="30973E60"/>
    <w:rsid w:val="30989DA8"/>
    <w:rsid w:val="309982C1"/>
    <w:rsid w:val="309FD394"/>
    <w:rsid w:val="30A11B0D"/>
    <w:rsid w:val="30A40EA0"/>
    <w:rsid w:val="30A96980"/>
    <w:rsid w:val="30ACC4F5"/>
    <w:rsid w:val="30AD8F29"/>
    <w:rsid w:val="30AEB1EF"/>
    <w:rsid w:val="30B21D9A"/>
    <w:rsid w:val="30B6B02C"/>
    <w:rsid w:val="30BE4190"/>
    <w:rsid w:val="30C33B15"/>
    <w:rsid w:val="30C743CB"/>
    <w:rsid w:val="30CB9E55"/>
    <w:rsid w:val="30D116C3"/>
    <w:rsid w:val="30D1856B"/>
    <w:rsid w:val="30D192EE"/>
    <w:rsid w:val="30E73B8A"/>
    <w:rsid w:val="30E98412"/>
    <w:rsid w:val="30EC58DC"/>
    <w:rsid w:val="30F32023"/>
    <w:rsid w:val="30F36DD2"/>
    <w:rsid w:val="30F3969E"/>
    <w:rsid w:val="30F8B13D"/>
    <w:rsid w:val="30F9FA51"/>
    <w:rsid w:val="30FAA162"/>
    <w:rsid w:val="3100406A"/>
    <w:rsid w:val="31033214"/>
    <w:rsid w:val="3104A0AF"/>
    <w:rsid w:val="31067EAE"/>
    <w:rsid w:val="310DBCF4"/>
    <w:rsid w:val="310ED276"/>
    <w:rsid w:val="3110D688"/>
    <w:rsid w:val="3111A5E7"/>
    <w:rsid w:val="3112CC0D"/>
    <w:rsid w:val="3116BC81"/>
    <w:rsid w:val="31171676"/>
    <w:rsid w:val="31184B2B"/>
    <w:rsid w:val="31184DFE"/>
    <w:rsid w:val="311A8B38"/>
    <w:rsid w:val="311AF0FD"/>
    <w:rsid w:val="311E96B8"/>
    <w:rsid w:val="312021A6"/>
    <w:rsid w:val="3120BE5C"/>
    <w:rsid w:val="312214E2"/>
    <w:rsid w:val="3123696F"/>
    <w:rsid w:val="3125755B"/>
    <w:rsid w:val="312ABD6C"/>
    <w:rsid w:val="312B939A"/>
    <w:rsid w:val="312C57F2"/>
    <w:rsid w:val="312C6DB2"/>
    <w:rsid w:val="3137DA1B"/>
    <w:rsid w:val="313A6271"/>
    <w:rsid w:val="3141EF77"/>
    <w:rsid w:val="31464824"/>
    <w:rsid w:val="3146932D"/>
    <w:rsid w:val="314824F3"/>
    <w:rsid w:val="314B4C65"/>
    <w:rsid w:val="314BDA82"/>
    <w:rsid w:val="314C3273"/>
    <w:rsid w:val="314C7421"/>
    <w:rsid w:val="314D54D5"/>
    <w:rsid w:val="314EBF20"/>
    <w:rsid w:val="31524982"/>
    <w:rsid w:val="31527B08"/>
    <w:rsid w:val="31549279"/>
    <w:rsid w:val="31551D94"/>
    <w:rsid w:val="315DE8D7"/>
    <w:rsid w:val="3168CC04"/>
    <w:rsid w:val="3170B890"/>
    <w:rsid w:val="317607CD"/>
    <w:rsid w:val="3178B12D"/>
    <w:rsid w:val="317B7451"/>
    <w:rsid w:val="31855408"/>
    <w:rsid w:val="31887DF0"/>
    <w:rsid w:val="318A5328"/>
    <w:rsid w:val="318A7071"/>
    <w:rsid w:val="319A629A"/>
    <w:rsid w:val="319DB92F"/>
    <w:rsid w:val="319E9BD8"/>
    <w:rsid w:val="31B4A437"/>
    <w:rsid w:val="31B60FA0"/>
    <w:rsid w:val="31B7BE44"/>
    <w:rsid w:val="31B8683B"/>
    <w:rsid w:val="31B95ABB"/>
    <w:rsid w:val="31C731E6"/>
    <w:rsid w:val="31C7C736"/>
    <w:rsid w:val="31C87C2B"/>
    <w:rsid w:val="31CBEEC3"/>
    <w:rsid w:val="31CF2902"/>
    <w:rsid w:val="31D51B37"/>
    <w:rsid w:val="31DCEE32"/>
    <w:rsid w:val="31E045C6"/>
    <w:rsid w:val="31E25E28"/>
    <w:rsid w:val="31E8CC3D"/>
    <w:rsid w:val="31E9D54C"/>
    <w:rsid w:val="31ED256A"/>
    <w:rsid w:val="31F244F8"/>
    <w:rsid w:val="31F68A5E"/>
    <w:rsid w:val="31F8FC27"/>
    <w:rsid w:val="31F9CB9B"/>
    <w:rsid w:val="31FD68DD"/>
    <w:rsid w:val="32087453"/>
    <w:rsid w:val="320CDA52"/>
    <w:rsid w:val="320D7AB8"/>
    <w:rsid w:val="321149BE"/>
    <w:rsid w:val="3213D2AD"/>
    <w:rsid w:val="321C2270"/>
    <w:rsid w:val="32230D08"/>
    <w:rsid w:val="32286FF9"/>
    <w:rsid w:val="32303307"/>
    <w:rsid w:val="323400CC"/>
    <w:rsid w:val="32357AC4"/>
    <w:rsid w:val="32365BE0"/>
    <w:rsid w:val="324373EE"/>
    <w:rsid w:val="3247EAA3"/>
    <w:rsid w:val="324C3F7A"/>
    <w:rsid w:val="324E86E1"/>
    <w:rsid w:val="324EB87C"/>
    <w:rsid w:val="324ED9F5"/>
    <w:rsid w:val="32501736"/>
    <w:rsid w:val="3250B3A5"/>
    <w:rsid w:val="32551585"/>
    <w:rsid w:val="325B4414"/>
    <w:rsid w:val="32616F98"/>
    <w:rsid w:val="3261C0E0"/>
    <w:rsid w:val="32647823"/>
    <w:rsid w:val="3266CE70"/>
    <w:rsid w:val="326C2970"/>
    <w:rsid w:val="326F25E9"/>
    <w:rsid w:val="326F67A2"/>
    <w:rsid w:val="3271B85A"/>
    <w:rsid w:val="32721B14"/>
    <w:rsid w:val="32769DD0"/>
    <w:rsid w:val="327985B9"/>
    <w:rsid w:val="3279CF5E"/>
    <w:rsid w:val="327F284A"/>
    <w:rsid w:val="32835A93"/>
    <w:rsid w:val="32859A4B"/>
    <w:rsid w:val="32992D36"/>
    <w:rsid w:val="329D8014"/>
    <w:rsid w:val="329F12DA"/>
    <w:rsid w:val="32A7C494"/>
    <w:rsid w:val="32AD0D9E"/>
    <w:rsid w:val="32ADA9A3"/>
    <w:rsid w:val="32B00F49"/>
    <w:rsid w:val="32B0E224"/>
    <w:rsid w:val="32B0F469"/>
    <w:rsid w:val="32B9C69E"/>
    <w:rsid w:val="32BBF06C"/>
    <w:rsid w:val="32BD4F82"/>
    <w:rsid w:val="32BFA778"/>
    <w:rsid w:val="32C6308F"/>
    <w:rsid w:val="32C77465"/>
    <w:rsid w:val="32C88342"/>
    <w:rsid w:val="32C9CDB0"/>
    <w:rsid w:val="32D0CB71"/>
    <w:rsid w:val="32D28DAC"/>
    <w:rsid w:val="32D3153F"/>
    <w:rsid w:val="32D3BA35"/>
    <w:rsid w:val="32D429A3"/>
    <w:rsid w:val="32D64609"/>
    <w:rsid w:val="32D6F88C"/>
    <w:rsid w:val="32D7F71A"/>
    <w:rsid w:val="32D8CBE8"/>
    <w:rsid w:val="32DB5D8C"/>
    <w:rsid w:val="32DFD535"/>
    <w:rsid w:val="32E0B886"/>
    <w:rsid w:val="32F04B6C"/>
    <w:rsid w:val="32F713F7"/>
    <w:rsid w:val="32F9EF90"/>
    <w:rsid w:val="33022480"/>
    <w:rsid w:val="3303B162"/>
    <w:rsid w:val="33058576"/>
    <w:rsid w:val="3305E455"/>
    <w:rsid w:val="3309A6C9"/>
    <w:rsid w:val="330C9510"/>
    <w:rsid w:val="331625E2"/>
    <w:rsid w:val="331B328C"/>
    <w:rsid w:val="33220795"/>
    <w:rsid w:val="3322F369"/>
    <w:rsid w:val="3323EA49"/>
    <w:rsid w:val="332D2C25"/>
    <w:rsid w:val="3331B25A"/>
    <w:rsid w:val="3335C222"/>
    <w:rsid w:val="3336E8AD"/>
    <w:rsid w:val="3337F0F3"/>
    <w:rsid w:val="33399C86"/>
    <w:rsid w:val="333A92C5"/>
    <w:rsid w:val="333DF1BC"/>
    <w:rsid w:val="33419A27"/>
    <w:rsid w:val="33520AAF"/>
    <w:rsid w:val="33546B50"/>
    <w:rsid w:val="33598397"/>
    <w:rsid w:val="335AB827"/>
    <w:rsid w:val="335FA96B"/>
    <w:rsid w:val="33610F7D"/>
    <w:rsid w:val="33651899"/>
    <w:rsid w:val="33683A94"/>
    <w:rsid w:val="336B3A18"/>
    <w:rsid w:val="336B70CC"/>
    <w:rsid w:val="336E9D60"/>
    <w:rsid w:val="33702D3E"/>
    <w:rsid w:val="337D07CF"/>
    <w:rsid w:val="337E2E89"/>
    <w:rsid w:val="33847FAD"/>
    <w:rsid w:val="338522C9"/>
    <w:rsid w:val="3387EC53"/>
    <w:rsid w:val="339AEB04"/>
    <w:rsid w:val="339BC39C"/>
    <w:rsid w:val="33A05D95"/>
    <w:rsid w:val="33A07F57"/>
    <w:rsid w:val="33A7AFC4"/>
    <w:rsid w:val="33B1908E"/>
    <w:rsid w:val="33BA6984"/>
    <w:rsid w:val="33C07132"/>
    <w:rsid w:val="33C0C735"/>
    <w:rsid w:val="33C25925"/>
    <w:rsid w:val="33C49013"/>
    <w:rsid w:val="33C57DFF"/>
    <w:rsid w:val="33C9AEB2"/>
    <w:rsid w:val="33CB849B"/>
    <w:rsid w:val="33CF6CDD"/>
    <w:rsid w:val="33CFAC92"/>
    <w:rsid w:val="33D0F512"/>
    <w:rsid w:val="33D27988"/>
    <w:rsid w:val="33D8E657"/>
    <w:rsid w:val="33DB5494"/>
    <w:rsid w:val="33DE7C20"/>
    <w:rsid w:val="33DF2810"/>
    <w:rsid w:val="33EFA508"/>
    <w:rsid w:val="33EFB3E5"/>
    <w:rsid w:val="33F66C84"/>
    <w:rsid w:val="33F899F2"/>
    <w:rsid w:val="33FA2E61"/>
    <w:rsid w:val="33FB74ED"/>
    <w:rsid w:val="340521DE"/>
    <w:rsid w:val="3405DAF6"/>
    <w:rsid w:val="3409FFC5"/>
    <w:rsid w:val="340D8053"/>
    <w:rsid w:val="340E0A20"/>
    <w:rsid w:val="340EB93E"/>
    <w:rsid w:val="341259F1"/>
    <w:rsid w:val="34160628"/>
    <w:rsid w:val="34170BB3"/>
    <w:rsid w:val="3426BD16"/>
    <w:rsid w:val="342CE092"/>
    <w:rsid w:val="343811C7"/>
    <w:rsid w:val="34396B89"/>
    <w:rsid w:val="343B33F8"/>
    <w:rsid w:val="343E922A"/>
    <w:rsid w:val="344401BF"/>
    <w:rsid w:val="3446E258"/>
    <w:rsid w:val="345319D3"/>
    <w:rsid w:val="345329F5"/>
    <w:rsid w:val="34536AE4"/>
    <w:rsid w:val="345594B4"/>
    <w:rsid w:val="34563799"/>
    <w:rsid w:val="3459AE4D"/>
    <w:rsid w:val="345B295D"/>
    <w:rsid w:val="345E12BB"/>
    <w:rsid w:val="34602C23"/>
    <w:rsid w:val="34614C84"/>
    <w:rsid w:val="34632855"/>
    <w:rsid w:val="34688933"/>
    <w:rsid w:val="34722FE7"/>
    <w:rsid w:val="3475D4B9"/>
    <w:rsid w:val="347818DA"/>
    <w:rsid w:val="347AD527"/>
    <w:rsid w:val="3488B255"/>
    <w:rsid w:val="348B51DD"/>
    <w:rsid w:val="348C5FAD"/>
    <w:rsid w:val="3497B177"/>
    <w:rsid w:val="349888FB"/>
    <w:rsid w:val="3499CAB7"/>
    <w:rsid w:val="349A1230"/>
    <w:rsid w:val="34A138E8"/>
    <w:rsid w:val="34A2AFF4"/>
    <w:rsid w:val="34B2D25D"/>
    <w:rsid w:val="34B5083B"/>
    <w:rsid w:val="34B52455"/>
    <w:rsid w:val="34B5DCF8"/>
    <w:rsid w:val="34B6F421"/>
    <w:rsid w:val="34C03C2F"/>
    <w:rsid w:val="34C0C973"/>
    <w:rsid w:val="34C326EF"/>
    <w:rsid w:val="34C36D2F"/>
    <w:rsid w:val="34C7CEAB"/>
    <w:rsid w:val="34CF38E4"/>
    <w:rsid w:val="34D62057"/>
    <w:rsid w:val="34DC1D5F"/>
    <w:rsid w:val="34DC9D25"/>
    <w:rsid w:val="34DF800B"/>
    <w:rsid w:val="34E43BDF"/>
    <w:rsid w:val="34EFDAC7"/>
    <w:rsid w:val="34EFEF7E"/>
    <w:rsid w:val="34F146F3"/>
    <w:rsid w:val="34F2F45A"/>
    <w:rsid w:val="34F3F42E"/>
    <w:rsid w:val="34F4020D"/>
    <w:rsid w:val="34F714E3"/>
    <w:rsid w:val="34F78DFB"/>
    <w:rsid w:val="34F909CD"/>
    <w:rsid w:val="34FE494B"/>
    <w:rsid w:val="34FFE4A8"/>
    <w:rsid w:val="3501368D"/>
    <w:rsid w:val="35053569"/>
    <w:rsid w:val="3505B3C7"/>
    <w:rsid w:val="350B16C9"/>
    <w:rsid w:val="35136DD6"/>
    <w:rsid w:val="35139B53"/>
    <w:rsid w:val="35157F2E"/>
    <w:rsid w:val="3515A121"/>
    <w:rsid w:val="3519F230"/>
    <w:rsid w:val="351C4810"/>
    <w:rsid w:val="351D2A35"/>
    <w:rsid w:val="352120A6"/>
    <w:rsid w:val="35354D9A"/>
    <w:rsid w:val="3537DEB8"/>
    <w:rsid w:val="353B238B"/>
    <w:rsid w:val="35407EDB"/>
    <w:rsid w:val="354C76A4"/>
    <w:rsid w:val="354F1858"/>
    <w:rsid w:val="35529B54"/>
    <w:rsid w:val="3553AE68"/>
    <w:rsid w:val="355B3D12"/>
    <w:rsid w:val="355BC955"/>
    <w:rsid w:val="355D640B"/>
    <w:rsid w:val="355DA047"/>
    <w:rsid w:val="355DD4A0"/>
    <w:rsid w:val="3563E5EA"/>
    <w:rsid w:val="356599BE"/>
    <w:rsid w:val="356DFE6B"/>
    <w:rsid w:val="3574E5F4"/>
    <w:rsid w:val="357545D5"/>
    <w:rsid w:val="3576085B"/>
    <w:rsid w:val="357A631C"/>
    <w:rsid w:val="3584AFB1"/>
    <w:rsid w:val="35872548"/>
    <w:rsid w:val="35899F13"/>
    <w:rsid w:val="358A96A6"/>
    <w:rsid w:val="35977F9D"/>
    <w:rsid w:val="359C77F3"/>
    <w:rsid w:val="359DD955"/>
    <w:rsid w:val="35A18450"/>
    <w:rsid w:val="35A497B9"/>
    <w:rsid w:val="35A9BC78"/>
    <w:rsid w:val="35AF9B57"/>
    <w:rsid w:val="35B226E7"/>
    <w:rsid w:val="35B2BE0B"/>
    <w:rsid w:val="35B325D9"/>
    <w:rsid w:val="35B5323D"/>
    <w:rsid w:val="35BAC227"/>
    <w:rsid w:val="35BE4CE3"/>
    <w:rsid w:val="35C0D679"/>
    <w:rsid w:val="35C243E9"/>
    <w:rsid w:val="35CBCFDD"/>
    <w:rsid w:val="35D13124"/>
    <w:rsid w:val="35D1EFB5"/>
    <w:rsid w:val="35D478AB"/>
    <w:rsid w:val="35D7C6F0"/>
    <w:rsid w:val="35E43E1D"/>
    <w:rsid w:val="35E5F8EF"/>
    <w:rsid w:val="35ED7FC3"/>
    <w:rsid w:val="35EE73BC"/>
    <w:rsid w:val="35F683A8"/>
    <w:rsid w:val="35F9F35F"/>
    <w:rsid w:val="35FABAA9"/>
    <w:rsid w:val="35FBD991"/>
    <w:rsid w:val="35FD456C"/>
    <w:rsid w:val="35FD490E"/>
    <w:rsid w:val="35FDF393"/>
    <w:rsid w:val="3602FF8C"/>
    <w:rsid w:val="3608E56A"/>
    <w:rsid w:val="360B89BF"/>
    <w:rsid w:val="360C6AA0"/>
    <w:rsid w:val="36101137"/>
    <w:rsid w:val="36102460"/>
    <w:rsid w:val="3610AF33"/>
    <w:rsid w:val="36128CBF"/>
    <w:rsid w:val="361299B0"/>
    <w:rsid w:val="3613ACF6"/>
    <w:rsid w:val="3614E956"/>
    <w:rsid w:val="3619854B"/>
    <w:rsid w:val="361AB9F3"/>
    <w:rsid w:val="361C967F"/>
    <w:rsid w:val="36213B7B"/>
    <w:rsid w:val="36287915"/>
    <w:rsid w:val="36299FCF"/>
    <w:rsid w:val="362FAA5C"/>
    <w:rsid w:val="363164A6"/>
    <w:rsid w:val="3639832C"/>
    <w:rsid w:val="3640B487"/>
    <w:rsid w:val="3641FBE3"/>
    <w:rsid w:val="3646CC12"/>
    <w:rsid w:val="364C551C"/>
    <w:rsid w:val="36520C17"/>
    <w:rsid w:val="3653C8E9"/>
    <w:rsid w:val="36567058"/>
    <w:rsid w:val="3657D51A"/>
    <w:rsid w:val="365DC303"/>
    <w:rsid w:val="366120B4"/>
    <w:rsid w:val="366746B2"/>
    <w:rsid w:val="36676BB1"/>
    <w:rsid w:val="3669B50E"/>
    <w:rsid w:val="366DDDA9"/>
    <w:rsid w:val="3673BDC1"/>
    <w:rsid w:val="36745C42"/>
    <w:rsid w:val="3678A50C"/>
    <w:rsid w:val="367B3593"/>
    <w:rsid w:val="367FE9C9"/>
    <w:rsid w:val="368BB4A5"/>
    <w:rsid w:val="3693E1D7"/>
    <w:rsid w:val="36A2533A"/>
    <w:rsid w:val="36A59CB9"/>
    <w:rsid w:val="36A65E9D"/>
    <w:rsid w:val="36AC049A"/>
    <w:rsid w:val="36B6146A"/>
    <w:rsid w:val="36B80CBF"/>
    <w:rsid w:val="36BB4D42"/>
    <w:rsid w:val="36BE54B4"/>
    <w:rsid w:val="36C852F3"/>
    <w:rsid w:val="36C8AD0F"/>
    <w:rsid w:val="36D4F6F6"/>
    <w:rsid w:val="36D564FC"/>
    <w:rsid w:val="36ED20DA"/>
    <w:rsid w:val="36F15E66"/>
    <w:rsid w:val="36F39667"/>
    <w:rsid w:val="36F9D936"/>
    <w:rsid w:val="3706A609"/>
    <w:rsid w:val="3707DE20"/>
    <w:rsid w:val="370B4B00"/>
    <w:rsid w:val="370B530F"/>
    <w:rsid w:val="370CAE6B"/>
    <w:rsid w:val="3714F3E9"/>
    <w:rsid w:val="371A1F55"/>
    <w:rsid w:val="371C97D0"/>
    <w:rsid w:val="371E5F48"/>
    <w:rsid w:val="371E967C"/>
    <w:rsid w:val="3721F39A"/>
    <w:rsid w:val="3725680E"/>
    <w:rsid w:val="37273AD0"/>
    <w:rsid w:val="3728058B"/>
    <w:rsid w:val="3728CF12"/>
    <w:rsid w:val="372DE024"/>
    <w:rsid w:val="373610C2"/>
    <w:rsid w:val="373D6CD1"/>
    <w:rsid w:val="373E923C"/>
    <w:rsid w:val="37421B76"/>
    <w:rsid w:val="37421FAC"/>
    <w:rsid w:val="374626C1"/>
    <w:rsid w:val="3747D375"/>
    <w:rsid w:val="3752E613"/>
    <w:rsid w:val="3753DA63"/>
    <w:rsid w:val="3755B419"/>
    <w:rsid w:val="375A5D2E"/>
    <w:rsid w:val="375EAC16"/>
    <w:rsid w:val="375F93C9"/>
    <w:rsid w:val="376685FF"/>
    <w:rsid w:val="37690D8E"/>
    <w:rsid w:val="376AB019"/>
    <w:rsid w:val="376EA1D6"/>
    <w:rsid w:val="3770CCBF"/>
    <w:rsid w:val="3770EB3D"/>
    <w:rsid w:val="3774F155"/>
    <w:rsid w:val="37814CE8"/>
    <w:rsid w:val="37882CE9"/>
    <w:rsid w:val="3790828D"/>
    <w:rsid w:val="37945850"/>
    <w:rsid w:val="3795178E"/>
    <w:rsid w:val="37973B64"/>
    <w:rsid w:val="379FCD8A"/>
    <w:rsid w:val="37A0F869"/>
    <w:rsid w:val="37A5C20C"/>
    <w:rsid w:val="37AC00B3"/>
    <w:rsid w:val="37AFBA18"/>
    <w:rsid w:val="37B38698"/>
    <w:rsid w:val="37BF5947"/>
    <w:rsid w:val="37C16035"/>
    <w:rsid w:val="37C98E64"/>
    <w:rsid w:val="37CD6D8D"/>
    <w:rsid w:val="37D0F289"/>
    <w:rsid w:val="37D365F0"/>
    <w:rsid w:val="37D420CD"/>
    <w:rsid w:val="37D93D15"/>
    <w:rsid w:val="37DA149C"/>
    <w:rsid w:val="37DA8B30"/>
    <w:rsid w:val="37E16298"/>
    <w:rsid w:val="37E29F45"/>
    <w:rsid w:val="37E68105"/>
    <w:rsid w:val="37ED3AD6"/>
    <w:rsid w:val="37F4486B"/>
    <w:rsid w:val="380547EB"/>
    <w:rsid w:val="3805F76F"/>
    <w:rsid w:val="38061583"/>
    <w:rsid w:val="380AC9C4"/>
    <w:rsid w:val="381488C0"/>
    <w:rsid w:val="3814CDD1"/>
    <w:rsid w:val="38173493"/>
    <w:rsid w:val="381BBC91"/>
    <w:rsid w:val="381BE708"/>
    <w:rsid w:val="381DB7AA"/>
    <w:rsid w:val="3830CC5C"/>
    <w:rsid w:val="3831456C"/>
    <w:rsid w:val="3831C12C"/>
    <w:rsid w:val="3832EF8B"/>
    <w:rsid w:val="383FEC8D"/>
    <w:rsid w:val="3840CACB"/>
    <w:rsid w:val="38501753"/>
    <w:rsid w:val="38573611"/>
    <w:rsid w:val="3858BF30"/>
    <w:rsid w:val="385B6CB8"/>
    <w:rsid w:val="385BFA3F"/>
    <w:rsid w:val="385DF38E"/>
    <w:rsid w:val="38654691"/>
    <w:rsid w:val="386D20FE"/>
    <w:rsid w:val="386ED54D"/>
    <w:rsid w:val="38705281"/>
    <w:rsid w:val="38714FC0"/>
    <w:rsid w:val="3873419E"/>
    <w:rsid w:val="3874E147"/>
    <w:rsid w:val="38751B5B"/>
    <w:rsid w:val="38774496"/>
    <w:rsid w:val="387A01CD"/>
    <w:rsid w:val="387B81EB"/>
    <w:rsid w:val="387C7E07"/>
    <w:rsid w:val="387FCE2F"/>
    <w:rsid w:val="38843F67"/>
    <w:rsid w:val="388B09CF"/>
    <w:rsid w:val="3891872C"/>
    <w:rsid w:val="389BD2E7"/>
    <w:rsid w:val="38A3A1AE"/>
    <w:rsid w:val="38A42A76"/>
    <w:rsid w:val="38B77075"/>
    <w:rsid w:val="38BE2D8A"/>
    <w:rsid w:val="38BE8CDF"/>
    <w:rsid w:val="38CF16D5"/>
    <w:rsid w:val="38CFB2C2"/>
    <w:rsid w:val="38D56077"/>
    <w:rsid w:val="38D777DD"/>
    <w:rsid w:val="38D97D49"/>
    <w:rsid w:val="38DA300E"/>
    <w:rsid w:val="38DC73A1"/>
    <w:rsid w:val="38DCA4D3"/>
    <w:rsid w:val="38DDFAD3"/>
    <w:rsid w:val="38E246D9"/>
    <w:rsid w:val="38F53842"/>
    <w:rsid w:val="39003301"/>
    <w:rsid w:val="39065825"/>
    <w:rsid w:val="39067943"/>
    <w:rsid w:val="390A3A32"/>
    <w:rsid w:val="390A6B09"/>
    <w:rsid w:val="390E3C14"/>
    <w:rsid w:val="390EA51B"/>
    <w:rsid w:val="39154328"/>
    <w:rsid w:val="3915D545"/>
    <w:rsid w:val="391771AB"/>
    <w:rsid w:val="391B7081"/>
    <w:rsid w:val="391EB304"/>
    <w:rsid w:val="391FA0EC"/>
    <w:rsid w:val="392DEA1A"/>
    <w:rsid w:val="392E4741"/>
    <w:rsid w:val="392ED3B4"/>
    <w:rsid w:val="3930CD8D"/>
    <w:rsid w:val="393824D7"/>
    <w:rsid w:val="393CE9F7"/>
    <w:rsid w:val="393DA4ED"/>
    <w:rsid w:val="3944E0CD"/>
    <w:rsid w:val="394647C5"/>
    <w:rsid w:val="395284D0"/>
    <w:rsid w:val="39568935"/>
    <w:rsid w:val="395A40DE"/>
    <w:rsid w:val="395D4117"/>
    <w:rsid w:val="3960E5B7"/>
    <w:rsid w:val="396AE7D4"/>
    <w:rsid w:val="396BE5E7"/>
    <w:rsid w:val="396F7E48"/>
    <w:rsid w:val="39700E1D"/>
    <w:rsid w:val="3972E1CA"/>
    <w:rsid w:val="39747B80"/>
    <w:rsid w:val="39792E54"/>
    <w:rsid w:val="397F4959"/>
    <w:rsid w:val="39839944"/>
    <w:rsid w:val="39878FB9"/>
    <w:rsid w:val="39893E94"/>
    <w:rsid w:val="398CDD75"/>
    <w:rsid w:val="39903C53"/>
    <w:rsid w:val="39A78995"/>
    <w:rsid w:val="39A94596"/>
    <w:rsid w:val="39C07CBF"/>
    <w:rsid w:val="39C0F833"/>
    <w:rsid w:val="39C7EACB"/>
    <w:rsid w:val="39CC4568"/>
    <w:rsid w:val="39D6E215"/>
    <w:rsid w:val="39D70070"/>
    <w:rsid w:val="39D70B71"/>
    <w:rsid w:val="39DC3891"/>
    <w:rsid w:val="39DDBCDA"/>
    <w:rsid w:val="39E0D9BC"/>
    <w:rsid w:val="39E4CCC6"/>
    <w:rsid w:val="39ED717C"/>
    <w:rsid w:val="39FCEFB4"/>
    <w:rsid w:val="39FE7EF7"/>
    <w:rsid w:val="3A02EDFF"/>
    <w:rsid w:val="3A12FD30"/>
    <w:rsid w:val="3A1E30D8"/>
    <w:rsid w:val="3A2CA304"/>
    <w:rsid w:val="3A2DAF4C"/>
    <w:rsid w:val="3A34B54E"/>
    <w:rsid w:val="3A39E468"/>
    <w:rsid w:val="3A3B103A"/>
    <w:rsid w:val="3A3D40E3"/>
    <w:rsid w:val="3A460374"/>
    <w:rsid w:val="3A4EE304"/>
    <w:rsid w:val="3A507998"/>
    <w:rsid w:val="3A527E72"/>
    <w:rsid w:val="3A55B6E3"/>
    <w:rsid w:val="3A582750"/>
    <w:rsid w:val="3A5AD9FA"/>
    <w:rsid w:val="3A5F9293"/>
    <w:rsid w:val="3A699A5F"/>
    <w:rsid w:val="3A6D4668"/>
    <w:rsid w:val="3A6F1AE2"/>
    <w:rsid w:val="3A78BDDC"/>
    <w:rsid w:val="3A7BF12F"/>
    <w:rsid w:val="3A7E8279"/>
    <w:rsid w:val="3A7F5F10"/>
    <w:rsid w:val="3A8A0DEE"/>
    <w:rsid w:val="3A8BD7EF"/>
    <w:rsid w:val="3A8C77CC"/>
    <w:rsid w:val="3A96A5A1"/>
    <w:rsid w:val="3A97E685"/>
    <w:rsid w:val="3A98AE45"/>
    <w:rsid w:val="3A99E40C"/>
    <w:rsid w:val="3A99EA25"/>
    <w:rsid w:val="3A9B5E10"/>
    <w:rsid w:val="3AA22ACF"/>
    <w:rsid w:val="3AA34F18"/>
    <w:rsid w:val="3AA64913"/>
    <w:rsid w:val="3AACFC0F"/>
    <w:rsid w:val="3AAEF9EC"/>
    <w:rsid w:val="3AAFB4E7"/>
    <w:rsid w:val="3AB01B41"/>
    <w:rsid w:val="3AB067C1"/>
    <w:rsid w:val="3AB0CC6E"/>
    <w:rsid w:val="3AB0D177"/>
    <w:rsid w:val="3AB1A10C"/>
    <w:rsid w:val="3ABF182D"/>
    <w:rsid w:val="3AC01D00"/>
    <w:rsid w:val="3ACC12B2"/>
    <w:rsid w:val="3ACC704D"/>
    <w:rsid w:val="3ACE8677"/>
    <w:rsid w:val="3AD3A1DB"/>
    <w:rsid w:val="3AE3055B"/>
    <w:rsid w:val="3AE3612A"/>
    <w:rsid w:val="3AE5520D"/>
    <w:rsid w:val="3AE62D8C"/>
    <w:rsid w:val="3AE9AC58"/>
    <w:rsid w:val="3AEEAEA3"/>
    <w:rsid w:val="3AF68B21"/>
    <w:rsid w:val="3AFBCAB8"/>
    <w:rsid w:val="3B01C8F9"/>
    <w:rsid w:val="3B0B0687"/>
    <w:rsid w:val="3B0BF61F"/>
    <w:rsid w:val="3B10AA62"/>
    <w:rsid w:val="3B10BF6B"/>
    <w:rsid w:val="3B1133ED"/>
    <w:rsid w:val="3B123DF7"/>
    <w:rsid w:val="3B16C0C1"/>
    <w:rsid w:val="3B187674"/>
    <w:rsid w:val="3B2238C9"/>
    <w:rsid w:val="3B229F13"/>
    <w:rsid w:val="3B23DA00"/>
    <w:rsid w:val="3B256548"/>
    <w:rsid w:val="3B271918"/>
    <w:rsid w:val="3B2B6B6D"/>
    <w:rsid w:val="3B2C20D0"/>
    <w:rsid w:val="3B2ED53A"/>
    <w:rsid w:val="3B313E61"/>
    <w:rsid w:val="3B3191DA"/>
    <w:rsid w:val="3B3C4BC8"/>
    <w:rsid w:val="3B3C6E07"/>
    <w:rsid w:val="3B3E0ABA"/>
    <w:rsid w:val="3B474668"/>
    <w:rsid w:val="3B483791"/>
    <w:rsid w:val="3B493134"/>
    <w:rsid w:val="3B4DB75E"/>
    <w:rsid w:val="3B4E810E"/>
    <w:rsid w:val="3B525F9D"/>
    <w:rsid w:val="3B5758F7"/>
    <w:rsid w:val="3B58F82E"/>
    <w:rsid w:val="3B5E18EB"/>
    <w:rsid w:val="3B5E6399"/>
    <w:rsid w:val="3B6585B0"/>
    <w:rsid w:val="3B6C871D"/>
    <w:rsid w:val="3B702A2F"/>
    <w:rsid w:val="3B71EE10"/>
    <w:rsid w:val="3B72BF54"/>
    <w:rsid w:val="3B79AA81"/>
    <w:rsid w:val="3B7D81B3"/>
    <w:rsid w:val="3B7F3328"/>
    <w:rsid w:val="3B8B6963"/>
    <w:rsid w:val="3B8C69FA"/>
    <w:rsid w:val="3B8CA73A"/>
    <w:rsid w:val="3B9021B2"/>
    <w:rsid w:val="3B90C5FF"/>
    <w:rsid w:val="3B9161A2"/>
    <w:rsid w:val="3B91A5A5"/>
    <w:rsid w:val="3B939A2D"/>
    <w:rsid w:val="3BA14534"/>
    <w:rsid w:val="3BA7834B"/>
    <w:rsid w:val="3BA9FD8C"/>
    <w:rsid w:val="3BAC9019"/>
    <w:rsid w:val="3BAC92B8"/>
    <w:rsid w:val="3BAEFC86"/>
    <w:rsid w:val="3BB09BDD"/>
    <w:rsid w:val="3BB263B2"/>
    <w:rsid w:val="3BB566CB"/>
    <w:rsid w:val="3BB8FBD8"/>
    <w:rsid w:val="3BBD3726"/>
    <w:rsid w:val="3BC5B418"/>
    <w:rsid w:val="3BCB9A65"/>
    <w:rsid w:val="3BD2BBFE"/>
    <w:rsid w:val="3BD31960"/>
    <w:rsid w:val="3BDA3A18"/>
    <w:rsid w:val="3BDC8015"/>
    <w:rsid w:val="3BDD418C"/>
    <w:rsid w:val="3BDE0042"/>
    <w:rsid w:val="3BE10366"/>
    <w:rsid w:val="3BE41960"/>
    <w:rsid w:val="3BE8599C"/>
    <w:rsid w:val="3BECC26F"/>
    <w:rsid w:val="3BF3C882"/>
    <w:rsid w:val="3BF9E290"/>
    <w:rsid w:val="3BFC2C73"/>
    <w:rsid w:val="3BFDA955"/>
    <w:rsid w:val="3BFF9D3E"/>
    <w:rsid w:val="3C0316D2"/>
    <w:rsid w:val="3C0358BD"/>
    <w:rsid w:val="3C0D4403"/>
    <w:rsid w:val="3C12843B"/>
    <w:rsid w:val="3C173925"/>
    <w:rsid w:val="3C1C89A3"/>
    <w:rsid w:val="3C239B6B"/>
    <w:rsid w:val="3C280312"/>
    <w:rsid w:val="3C3672E6"/>
    <w:rsid w:val="3C379B04"/>
    <w:rsid w:val="3C3BF33F"/>
    <w:rsid w:val="3C3CD02B"/>
    <w:rsid w:val="3C3E1430"/>
    <w:rsid w:val="3C403FAA"/>
    <w:rsid w:val="3C410DB9"/>
    <w:rsid w:val="3C47EEF9"/>
    <w:rsid w:val="3C4882E2"/>
    <w:rsid w:val="3C4949F5"/>
    <w:rsid w:val="3C4C9CCF"/>
    <w:rsid w:val="3C4F198E"/>
    <w:rsid w:val="3C4FC007"/>
    <w:rsid w:val="3C529B1B"/>
    <w:rsid w:val="3C57ACB1"/>
    <w:rsid w:val="3C5D4421"/>
    <w:rsid w:val="3C5DFCDF"/>
    <w:rsid w:val="3C70E60A"/>
    <w:rsid w:val="3C73DE5B"/>
    <w:rsid w:val="3C740135"/>
    <w:rsid w:val="3C753F21"/>
    <w:rsid w:val="3C758448"/>
    <w:rsid w:val="3C797BF2"/>
    <w:rsid w:val="3C7C9168"/>
    <w:rsid w:val="3C7F2A75"/>
    <w:rsid w:val="3C887EDE"/>
    <w:rsid w:val="3C8F21C0"/>
    <w:rsid w:val="3C91E1A0"/>
    <w:rsid w:val="3C924213"/>
    <w:rsid w:val="3C934344"/>
    <w:rsid w:val="3C951FEF"/>
    <w:rsid w:val="3C984799"/>
    <w:rsid w:val="3C987023"/>
    <w:rsid w:val="3C9B3803"/>
    <w:rsid w:val="3CA0D449"/>
    <w:rsid w:val="3CA4B724"/>
    <w:rsid w:val="3CA6152B"/>
    <w:rsid w:val="3CAE9C6C"/>
    <w:rsid w:val="3CAFAF71"/>
    <w:rsid w:val="3CB3FBFB"/>
    <w:rsid w:val="3CBB7770"/>
    <w:rsid w:val="3CBCEB80"/>
    <w:rsid w:val="3CBEBBB8"/>
    <w:rsid w:val="3CBEE396"/>
    <w:rsid w:val="3CC31A7A"/>
    <w:rsid w:val="3CC62E62"/>
    <w:rsid w:val="3CC74BB2"/>
    <w:rsid w:val="3CDC31D3"/>
    <w:rsid w:val="3CE55643"/>
    <w:rsid w:val="3CE6B44B"/>
    <w:rsid w:val="3CF2412C"/>
    <w:rsid w:val="3CF2A1A6"/>
    <w:rsid w:val="3CF3BEA2"/>
    <w:rsid w:val="3CFC431D"/>
    <w:rsid w:val="3D00C38A"/>
    <w:rsid w:val="3D01C38D"/>
    <w:rsid w:val="3D0357F7"/>
    <w:rsid w:val="3D055367"/>
    <w:rsid w:val="3D088AAE"/>
    <w:rsid w:val="3D0911BE"/>
    <w:rsid w:val="3D0AC795"/>
    <w:rsid w:val="3D0F2D35"/>
    <w:rsid w:val="3D118EA1"/>
    <w:rsid w:val="3D149951"/>
    <w:rsid w:val="3D20BB88"/>
    <w:rsid w:val="3D20C443"/>
    <w:rsid w:val="3D214AFF"/>
    <w:rsid w:val="3D22A33D"/>
    <w:rsid w:val="3D243E0F"/>
    <w:rsid w:val="3D24985B"/>
    <w:rsid w:val="3D2D563A"/>
    <w:rsid w:val="3D3096EF"/>
    <w:rsid w:val="3D3343F2"/>
    <w:rsid w:val="3D334DB7"/>
    <w:rsid w:val="3D33A766"/>
    <w:rsid w:val="3D35C755"/>
    <w:rsid w:val="3D37092C"/>
    <w:rsid w:val="3D389B75"/>
    <w:rsid w:val="3D4351E1"/>
    <w:rsid w:val="3D4D8FF4"/>
    <w:rsid w:val="3D52838A"/>
    <w:rsid w:val="3D5FF4E0"/>
    <w:rsid w:val="3D6305CA"/>
    <w:rsid w:val="3D679392"/>
    <w:rsid w:val="3D6E7BC5"/>
    <w:rsid w:val="3D6FB6A4"/>
    <w:rsid w:val="3D72A642"/>
    <w:rsid w:val="3D72CE23"/>
    <w:rsid w:val="3D845F59"/>
    <w:rsid w:val="3D8DA869"/>
    <w:rsid w:val="3D95021A"/>
    <w:rsid w:val="3D96ED99"/>
    <w:rsid w:val="3D997AAE"/>
    <w:rsid w:val="3D99AFA8"/>
    <w:rsid w:val="3D9B778E"/>
    <w:rsid w:val="3D9BB110"/>
    <w:rsid w:val="3D9F821E"/>
    <w:rsid w:val="3DA2DE8C"/>
    <w:rsid w:val="3DA4158C"/>
    <w:rsid w:val="3DA8F06B"/>
    <w:rsid w:val="3DAE2B09"/>
    <w:rsid w:val="3DB0AB44"/>
    <w:rsid w:val="3DB27B85"/>
    <w:rsid w:val="3DB4EEC3"/>
    <w:rsid w:val="3DB752CC"/>
    <w:rsid w:val="3DB77838"/>
    <w:rsid w:val="3DBC0220"/>
    <w:rsid w:val="3DC1723C"/>
    <w:rsid w:val="3DC90D50"/>
    <w:rsid w:val="3DC95C54"/>
    <w:rsid w:val="3DC9782B"/>
    <w:rsid w:val="3DC9D14E"/>
    <w:rsid w:val="3DCCDB86"/>
    <w:rsid w:val="3DD1D2FA"/>
    <w:rsid w:val="3DDC71D1"/>
    <w:rsid w:val="3DE1AD37"/>
    <w:rsid w:val="3DE2163E"/>
    <w:rsid w:val="3DE27A09"/>
    <w:rsid w:val="3DE3B8C8"/>
    <w:rsid w:val="3DE40C9E"/>
    <w:rsid w:val="3DE91AB0"/>
    <w:rsid w:val="3DF0DFF9"/>
    <w:rsid w:val="3DF42F18"/>
    <w:rsid w:val="3DF79AEA"/>
    <w:rsid w:val="3DFCDD2E"/>
    <w:rsid w:val="3DFE55A5"/>
    <w:rsid w:val="3E013AC4"/>
    <w:rsid w:val="3E0941F9"/>
    <w:rsid w:val="3E0DA0AF"/>
    <w:rsid w:val="3E0DF578"/>
    <w:rsid w:val="3E1006E0"/>
    <w:rsid w:val="3E142DA4"/>
    <w:rsid w:val="3E15B5C4"/>
    <w:rsid w:val="3E1EBB24"/>
    <w:rsid w:val="3E2E7772"/>
    <w:rsid w:val="3E30E24E"/>
    <w:rsid w:val="3E320EE7"/>
    <w:rsid w:val="3E330ED5"/>
    <w:rsid w:val="3E341DB8"/>
    <w:rsid w:val="3E39090D"/>
    <w:rsid w:val="3E3AD6C9"/>
    <w:rsid w:val="3E3E9413"/>
    <w:rsid w:val="3E4460F9"/>
    <w:rsid w:val="3E4B272A"/>
    <w:rsid w:val="3E50F994"/>
    <w:rsid w:val="3E510CB9"/>
    <w:rsid w:val="3E564F3B"/>
    <w:rsid w:val="3E649FEC"/>
    <w:rsid w:val="3E6ED966"/>
    <w:rsid w:val="3E711146"/>
    <w:rsid w:val="3E72DA3E"/>
    <w:rsid w:val="3E7501E7"/>
    <w:rsid w:val="3E7B784E"/>
    <w:rsid w:val="3E7FEC1E"/>
    <w:rsid w:val="3E82C306"/>
    <w:rsid w:val="3E87B7A6"/>
    <w:rsid w:val="3E88D1B3"/>
    <w:rsid w:val="3E935E2C"/>
    <w:rsid w:val="3E97F087"/>
    <w:rsid w:val="3E9F079E"/>
    <w:rsid w:val="3EA0A932"/>
    <w:rsid w:val="3EA9A83E"/>
    <w:rsid w:val="3EAC215B"/>
    <w:rsid w:val="3EAF9E80"/>
    <w:rsid w:val="3EB069B2"/>
    <w:rsid w:val="3EB18102"/>
    <w:rsid w:val="3EC401C2"/>
    <w:rsid w:val="3EC44D10"/>
    <w:rsid w:val="3EC4C3D9"/>
    <w:rsid w:val="3EC64EE3"/>
    <w:rsid w:val="3EC788E3"/>
    <w:rsid w:val="3ED1BA3D"/>
    <w:rsid w:val="3ED4110A"/>
    <w:rsid w:val="3ED5594F"/>
    <w:rsid w:val="3ED63792"/>
    <w:rsid w:val="3EE4E828"/>
    <w:rsid w:val="3EED78FE"/>
    <w:rsid w:val="3EEED1F6"/>
    <w:rsid w:val="3F05566E"/>
    <w:rsid w:val="3F0B569D"/>
    <w:rsid w:val="3F0B9BF9"/>
    <w:rsid w:val="3F0FF77D"/>
    <w:rsid w:val="3F14F5B6"/>
    <w:rsid w:val="3F1793D0"/>
    <w:rsid w:val="3F180950"/>
    <w:rsid w:val="3F1811D3"/>
    <w:rsid w:val="3F1A2ADC"/>
    <w:rsid w:val="3F1E8EFB"/>
    <w:rsid w:val="3F24DC7D"/>
    <w:rsid w:val="3F27F083"/>
    <w:rsid w:val="3F2C0D6E"/>
    <w:rsid w:val="3F3533AC"/>
    <w:rsid w:val="3F36C7E4"/>
    <w:rsid w:val="3F397A65"/>
    <w:rsid w:val="3F3F3E9E"/>
    <w:rsid w:val="3F40A871"/>
    <w:rsid w:val="3F4A4BE2"/>
    <w:rsid w:val="3F52083E"/>
    <w:rsid w:val="3F5418ED"/>
    <w:rsid w:val="3F58B10A"/>
    <w:rsid w:val="3F59192F"/>
    <w:rsid w:val="3F60BACD"/>
    <w:rsid w:val="3F61D748"/>
    <w:rsid w:val="3F63DC05"/>
    <w:rsid w:val="3F6642A9"/>
    <w:rsid w:val="3F713ACA"/>
    <w:rsid w:val="3F73E7B5"/>
    <w:rsid w:val="3F77D334"/>
    <w:rsid w:val="3F7F9EFB"/>
    <w:rsid w:val="3F834FB1"/>
    <w:rsid w:val="3F83F1DE"/>
    <w:rsid w:val="3F863D85"/>
    <w:rsid w:val="3F8B7251"/>
    <w:rsid w:val="3F8EECF0"/>
    <w:rsid w:val="3F8FCE58"/>
    <w:rsid w:val="3F90E066"/>
    <w:rsid w:val="3F93979A"/>
    <w:rsid w:val="3F969611"/>
    <w:rsid w:val="3F96A86C"/>
    <w:rsid w:val="3F97AFD0"/>
    <w:rsid w:val="3F9A2A75"/>
    <w:rsid w:val="3F9DDC04"/>
    <w:rsid w:val="3F9FA979"/>
    <w:rsid w:val="3F9FFB95"/>
    <w:rsid w:val="3FA19CEF"/>
    <w:rsid w:val="3FA2D854"/>
    <w:rsid w:val="3FA6AFB3"/>
    <w:rsid w:val="3FA9DBC8"/>
    <w:rsid w:val="3FA9FED2"/>
    <w:rsid w:val="3FAC5F59"/>
    <w:rsid w:val="3FAE8155"/>
    <w:rsid w:val="3FB0CA47"/>
    <w:rsid w:val="3FBD66B9"/>
    <w:rsid w:val="3FBD6F4E"/>
    <w:rsid w:val="3FBF3942"/>
    <w:rsid w:val="3FC1E81C"/>
    <w:rsid w:val="3FC3A7B1"/>
    <w:rsid w:val="3FC3F285"/>
    <w:rsid w:val="3FC40A9B"/>
    <w:rsid w:val="3FC9E6B0"/>
    <w:rsid w:val="3FD02881"/>
    <w:rsid w:val="3FE4D70B"/>
    <w:rsid w:val="3FEB661E"/>
    <w:rsid w:val="3FED12E9"/>
    <w:rsid w:val="3FEF175D"/>
    <w:rsid w:val="3FEFC77A"/>
    <w:rsid w:val="3FF504BD"/>
    <w:rsid w:val="3FF9001D"/>
    <w:rsid w:val="3FFDC922"/>
    <w:rsid w:val="3FFECF8F"/>
    <w:rsid w:val="3FFF86B0"/>
    <w:rsid w:val="4000736F"/>
    <w:rsid w:val="4000D425"/>
    <w:rsid w:val="4001AFCB"/>
    <w:rsid w:val="400203D1"/>
    <w:rsid w:val="40074FAC"/>
    <w:rsid w:val="400C05CE"/>
    <w:rsid w:val="40110D1F"/>
    <w:rsid w:val="401982E8"/>
    <w:rsid w:val="4020CCD7"/>
    <w:rsid w:val="402BDA2B"/>
    <w:rsid w:val="402D42CB"/>
    <w:rsid w:val="402D7BA6"/>
    <w:rsid w:val="402E62AC"/>
    <w:rsid w:val="402F1799"/>
    <w:rsid w:val="403132BB"/>
    <w:rsid w:val="403E134E"/>
    <w:rsid w:val="4041B9AA"/>
    <w:rsid w:val="4046A375"/>
    <w:rsid w:val="404D9FBC"/>
    <w:rsid w:val="405801E9"/>
    <w:rsid w:val="40592054"/>
    <w:rsid w:val="405B5F10"/>
    <w:rsid w:val="406E9132"/>
    <w:rsid w:val="4072693C"/>
    <w:rsid w:val="4079C597"/>
    <w:rsid w:val="407B1F3E"/>
    <w:rsid w:val="407BEF22"/>
    <w:rsid w:val="40871336"/>
    <w:rsid w:val="40885F60"/>
    <w:rsid w:val="408ED231"/>
    <w:rsid w:val="409335C0"/>
    <w:rsid w:val="4097340A"/>
    <w:rsid w:val="40998E9C"/>
    <w:rsid w:val="409AD16F"/>
    <w:rsid w:val="40A19520"/>
    <w:rsid w:val="40AFFAFA"/>
    <w:rsid w:val="40B04AF4"/>
    <w:rsid w:val="40B174ED"/>
    <w:rsid w:val="40B63CA0"/>
    <w:rsid w:val="40B65B9A"/>
    <w:rsid w:val="40B72660"/>
    <w:rsid w:val="40BB7370"/>
    <w:rsid w:val="40C1669A"/>
    <w:rsid w:val="40C1D824"/>
    <w:rsid w:val="40C35A85"/>
    <w:rsid w:val="40C3C0E4"/>
    <w:rsid w:val="40C9A4D8"/>
    <w:rsid w:val="40CA5F42"/>
    <w:rsid w:val="40CB6522"/>
    <w:rsid w:val="40D21980"/>
    <w:rsid w:val="40D3ECAD"/>
    <w:rsid w:val="40D8C832"/>
    <w:rsid w:val="40DA4E21"/>
    <w:rsid w:val="40E3039E"/>
    <w:rsid w:val="40E35551"/>
    <w:rsid w:val="40E9AC55"/>
    <w:rsid w:val="40EAF549"/>
    <w:rsid w:val="40F64C4F"/>
    <w:rsid w:val="40F793F7"/>
    <w:rsid w:val="40F97DF7"/>
    <w:rsid w:val="40FBB4FB"/>
    <w:rsid w:val="40FC1255"/>
    <w:rsid w:val="40FC42DB"/>
    <w:rsid w:val="40FC96F2"/>
    <w:rsid w:val="40FD2D83"/>
    <w:rsid w:val="41015CC7"/>
    <w:rsid w:val="41050C4B"/>
    <w:rsid w:val="4107F554"/>
    <w:rsid w:val="41087C2D"/>
    <w:rsid w:val="41092302"/>
    <w:rsid w:val="410AD577"/>
    <w:rsid w:val="410BDD95"/>
    <w:rsid w:val="410EC330"/>
    <w:rsid w:val="4114B14A"/>
    <w:rsid w:val="41157B54"/>
    <w:rsid w:val="41158A97"/>
    <w:rsid w:val="41191188"/>
    <w:rsid w:val="41194DF9"/>
    <w:rsid w:val="411D5D88"/>
    <w:rsid w:val="41277AC2"/>
    <w:rsid w:val="41283D11"/>
    <w:rsid w:val="412A8563"/>
    <w:rsid w:val="4130E4EC"/>
    <w:rsid w:val="4134F794"/>
    <w:rsid w:val="41365F5C"/>
    <w:rsid w:val="4136E2AE"/>
    <w:rsid w:val="4139675A"/>
    <w:rsid w:val="413D36A3"/>
    <w:rsid w:val="413F0D9E"/>
    <w:rsid w:val="413F861D"/>
    <w:rsid w:val="41451111"/>
    <w:rsid w:val="414CFD2A"/>
    <w:rsid w:val="414E4BD7"/>
    <w:rsid w:val="41531EAA"/>
    <w:rsid w:val="41537F0F"/>
    <w:rsid w:val="415B8B31"/>
    <w:rsid w:val="415C30D4"/>
    <w:rsid w:val="4169C20A"/>
    <w:rsid w:val="416BBFB9"/>
    <w:rsid w:val="416CCB44"/>
    <w:rsid w:val="416EB358"/>
    <w:rsid w:val="416F8BF6"/>
    <w:rsid w:val="4170ACD3"/>
    <w:rsid w:val="4171E0D4"/>
    <w:rsid w:val="4174AE8E"/>
    <w:rsid w:val="4175B90E"/>
    <w:rsid w:val="417636F8"/>
    <w:rsid w:val="417E205D"/>
    <w:rsid w:val="417E672D"/>
    <w:rsid w:val="4182B73C"/>
    <w:rsid w:val="418DDD87"/>
    <w:rsid w:val="418F0799"/>
    <w:rsid w:val="4193CFB5"/>
    <w:rsid w:val="41961907"/>
    <w:rsid w:val="41979ECC"/>
    <w:rsid w:val="4199E8CF"/>
    <w:rsid w:val="41A0E22D"/>
    <w:rsid w:val="41A5E4D7"/>
    <w:rsid w:val="41A8B63D"/>
    <w:rsid w:val="41AAA0CD"/>
    <w:rsid w:val="41ABAF8B"/>
    <w:rsid w:val="41B0AF77"/>
    <w:rsid w:val="41B0F777"/>
    <w:rsid w:val="41BB46A1"/>
    <w:rsid w:val="41BBD444"/>
    <w:rsid w:val="41C5274A"/>
    <w:rsid w:val="41CF493E"/>
    <w:rsid w:val="41D05F81"/>
    <w:rsid w:val="41D845EE"/>
    <w:rsid w:val="41D86A5E"/>
    <w:rsid w:val="41D8E490"/>
    <w:rsid w:val="41DA2CF2"/>
    <w:rsid w:val="41E0F2CA"/>
    <w:rsid w:val="41E0FC7B"/>
    <w:rsid w:val="41E2D096"/>
    <w:rsid w:val="41EC8DBA"/>
    <w:rsid w:val="41EE7B1F"/>
    <w:rsid w:val="41F2ED59"/>
    <w:rsid w:val="41F3E88F"/>
    <w:rsid w:val="41F8087A"/>
    <w:rsid w:val="41F977AA"/>
    <w:rsid w:val="41FF1C31"/>
    <w:rsid w:val="4204E2B0"/>
    <w:rsid w:val="42071FFA"/>
    <w:rsid w:val="420F7F98"/>
    <w:rsid w:val="4213C467"/>
    <w:rsid w:val="421470D0"/>
    <w:rsid w:val="4219B380"/>
    <w:rsid w:val="4227A4E9"/>
    <w:rsid w:val="4227CDD2"/>
    <w:rsid w:val="4228F00E"/>
    <w:rsid w:val="42299585"/>
    <w:rsid w:val="422AFDEE"/>
    <w:rsid w:val="42351184"/>
    <w:rsid w:val="4243130E"/>
    <w:rsid w:val="42435D86"/>
    <w:rsid w:val="4243B68E"/>
    <w:rsid w:val="425358E1"/>
    <w:rsid w:val="426E24E4"/>
    <w:rsid w:val="42739244"/>
    <w:rsid w:val="4273B6B6"/>
    <w:rsid w:val="428C0864"/>
    <w:rsid w:val="428EFE51"/>
    <w:rsid w:val="4291DC2C"/>
    <w:rsid w:val="4295A85D"/>
    <w:rsid w:val="42978F09"/>
    <w:rsid w:val="429A069B"/>
    <w:rsid w:val="429EDE6A"/>
    <w:rsid w:val="42A3759D"/>
    <w:rsid w:val="42A5999C"/>
    <w:rsid w:val="42A5D0F7"/>
    <w:rsid w:val="42AD9A80"/>
    <w:rsid w:val="42ADE433"/>
    <w:rsid w:val="42B6B398"/>
    <w:rsid w:val="42B9A216"/>
    <w:rsid w:val="42C35AFA"/>
    <w:rsid w:val="42CFAC0E"/>
    <w:rsid w:val="42D72497"/>
    <w:rsid w:val="42D78C90"/>
    <w:rsid w:val="42DF6473"/>
    <w:rsid w:val="42E5B630"/>
    <w:rsid w:val="42E7FAC7"/>
    <w:rsid w:val="42F04CF4"/>
    <w:rsid w:val="42F156AD"/>
    <w:rsid w:val="42F3CBCD"/>
    <w:rsid w:val="42FA8A4D"/>
    <w:rsid w:val="42FAB936"/>
    <w:rsid w:val="42FB2939"/>
    <w:rsid w:val="42FCD4EC"/>
    <w:rsid w:val="43096F10"/>
    <w:rsid w:val="430C13BA"/>
    <w:rsid w:val="430F951A"/>
    <w:rsid w:val="430FB627"/>
    <w:rsid w:val="4312C3A0"/>
    <w:rsid w:val="4315B7D1"/>
    <w:rsid w:val="432209B8"/>
    <w:rsid w:val="43270F32"/>
    <w:rsid w:val="43384D0B"/>
    <w:rsid w:val="43407C14"/>
    <w:rsid w:val="4341FCF5"/>
    <w:rsid w:val="4343706D"/>
    <w:rsid w:val="43469CE5"/>
    <w:rsid w:val="434B98B5"/>
    <w:rsid w:val="434F4597"/>
    <w:rsid w:val="435A3975"/>
    <w:rsid w:val="435D3146"/>
    <w:rsid w:val="4368B652"/>
    <w:rsid w:val="436B9861"/>
    <w:rsid w:val="43753C24"/>
    <w:rsid w:val="437556C7"/>
    <w:rsid w:val="438154B9"/>
    <w:rsid w:val="43841AD3"/>
    <w:rsid w:val="43862119"/>
    <w:rsid w:val="43868A6F"/>
    <w:rsid w:val="4387339D"/>
    <w:rsid w:val="43885D59"/>
    <w:rsid w:val="43926E9D"/>
    <w:rsid w:val="43959E88"/>
    <w:rsid w:val="43991054"/>
    <w:rsid w:val="439BBCCB"/>
    <w:rsid w:val="439EAC12"/>
    <w:rsid w:val="439F6B24"/>
    <w:rsid w:val="439F6DE1"/>
    <w:rsid w:val="439FDDE4"/>
    <w:rsid w:val="43A7D7CB"/>
    <w:rsid w:val="43A84225"/>
    <w:rsid w:val="43ACE7A9"/>
    <w:rsid w:val="43ADE8AE"/>
    <w:rsid w:val="43B25F76"/>
    <w:rsid w:val="43B31075"/>
    <w:rsid w:val="43B6F002"/>
    <w:rsid w:val="43BA38BD"/>
    <w:rsid w:val="43BAFDB9"/>
    <w:rsid w:val="43CE6927"/>
    <w:rsid w:val="43D8ADBF"/>
    <w:rsid w:val="43E780E8"/>
    <w:rsid w:val="43EDBBE5"/>
    <w:rsid w:val="43F20161"/>
    <w:rsid w:val="43F2D8A4"/>
    <w:rsid w:val="43F4EC76"/>
    <w:rsid w:val="43F51DE1"/>
    <w:rsid w:val="43F5A0D4"/>
    <w:rsid w:val="43FC4ECA"/>
    <w:rsid w:val="43FE68FE"/>
    <w:rsid w:val="440074C8"/>
    <w:rsid w:val="440A9C57"/>
    <w:rsid w:val="440E28B7"/>
    <w:rsid w:val="440E7D37"/>
    <w:rsid w:val="440E9AED"/>
    <w:rsid w:val="440EAA25"/>
    <w:rsid w:val="4413DF52"/>
    <w:rsid w:val="44196C55"/>
    <w:rsid w:val="44289B37"/>
    <w:rsid w:val="442FBA7B"/>
    <w:rsid w:val="44307BA0"/>
    <w:rsid w:val="4434122D"/>
    <w:rsid w:val="44363BFC"/>
    <w:rsid w:val="4438DF13"/>
    <w:rsid w:val="443FA863"/>
    <w:rsid w:val="444207A8"/>
    <w:rsid w:val="44447D27"/>
    <w:rsid w:val="444685E0"/>
    <w:rsid w:val="444C1DB2"/>
    <w:rsid w:val="4450268D"/>
    <w:rsid w:val="44519DF5"/>
    <w:rsid w:val="44565876"/>
    <w:rsid w:val="44659B2D"/>
    <w:rsid w:val="4467FD96"/>
    <w:rsid w:val="446D5B7E"/>
    <w:rsid w:val="446DBADB"/>
    <w:rsid w:val="446E01C6"/>
    <w:rsid w:val="44794188"/>
    <w:rsid w:val="447BC868"/>
    <w:rsid w:val="4483ADE7"/>
    <w:rsid w:val="448984A9"/>
    <w:rsid w:val="4489A421"/>
    <w:rsid w:val="4489CD47"/>
    <w:rsid w:val="448F1350"/>
    <w:rsid w:val="4491B584"/>
    <w:rsid w:val="449256F4"/>
    <w:rsid w:val="44971DBB"/>
    <w:rsid w:val="4497BE10"/>
    <w:rsid w:val="4499F330"/>
    <w:rsid w:val="449F65F8"/>
    <w:rsid w:val="449F7188"/>
    <w:rsid w:val="44A10FB6"/>
    <w:rsid w:val="44A505DE"/>
    <w:rsid w:val="44A54E42"/>
    <w:rsid w:val="44A9FB37"/>
    <w:rsid w:val="44B7EF3F"/>
    <w:rsid w:val="44B8E97A"/>
    <w:rsid w:val="44BABF05"/>
    <w:rsid w:val="44BC306D"/>
    <w:rsid w:val="44BE23AB"/>
    <w:rsid w:val="44BE4622"/>
    <w:rsid w:val="44BF565C"/>
    <w:rsid w:val="44C0E791"/>
    <w:rsid w:val="44C45FD7"/>
    <w:rsid w:val="44C7A5D8"/>
    <w:rsid w:val="44C88226"/>
    <w:rsid w:val="44CA7C2B"/>
    <w:rsid w:val="44CB2A65"/>
    <w:rsid w:val="44CEA262"/>
    <w:rsid w:val="44D080C6"/>
    <w:rsid w:val="44D940EA"/>
    <w:rsid w:val="44DC5ACE"/>
    <w:rsid w:val="44DC83C0"/>
    <w:rsid w:val="44E0239A"/>
    <w:rsid w:val="44E11265"/>
    <w:rsid w:val="44E92476"/>
    <w:rsid w:val="44EDEB7F"/>
    <w:rsid w:val="44EFF774"/>
    <w:rsid w:val="44F78160"/>
    <w:rsid w:val="44F92113"/>
    <w:rsid w:val="44FC60C0"/>
    <w:rsid w:val="450DFC41"/>
    <w:rsid w:val="4510DECC"/>
    <w:rsid w:val="451123B5"/>
    <w:rsid w:val="45161D67"/>
    <w:rsid w:val="45183B0A"/>
    <w:rsid w:val="451FDE63"/>
    <w:rsid w:val="4522725B"/>
    <w:rsid w:val="45296CF1"/>
    <w:rsid w:val="452ED92F"/>
    <w:rsid w:val="452FD6D7"/>
    <w:rsid w:val="45327B95"/>
    <w:rsid w:val="4535F53C"/>
    <w:rsid w:val="453CF49B"/>
    <w:rsid w:val="45409318"/>
    <w:rsid w:val="4540CB6A"/>
    <w:rsid w:val="4541751E"/>
    <w:rsid w:val="4547930F"/>
    <w:rsid w:val="4548B21E"/>
    <w:rsid w:val="454E5917"/>
    <w:rsid w:val="454EE0D6"/>
    <w:rsid w:val="455F3C1E"/>
    <w:rsid w:val="45604934"/>
    <w:rsid w:val="4560550B"/>
    <w:rsid w:val="456153FA"/>
    <w:rsid w:val="4562E5C8"/>
    <w:rsid w:val="45695686"/>
    <w:rsid w:val="456B06C5"/>
    <w:rsid w:val="456C2FF6"/>
    <w:rsid w:val="456CB246"/>
    <w:rsid w:val="456DD2E5"/>
    <w:rsid w:val="45735AE9"/>
    <w:rsid w:val="457679AB"/>
    <w:rsid w:val="4576E0BD"/>
    <w:rsid w:val="457C24E2"/>
    <w:rsid w:val="457E03B1"/>
    <w:rsid w:val="4580CFC8"/>
    <w:rsid w:val="458507C8"/>
    <w:rsid w:val="45864114"/>
    <w:rsid w:val="4588B3E4"/>
    <w:rsid w:val="45893A45"/>
    <w:rsid w:val="45906E59"/>
    <w:rsid w:val="45910CE7"/>
    <w:rsid w:val="4595F3A7"/>
    <w:rsid w:val="4596F677"/>
    <w:rsid w:val="45AFDED7"/>
    <w:rsid w:val="45B11EB3"/>
    <w:rsid w:val="45B2AC9A"/>
    <w:rsid w:val="45B43631"/>
    <w:rsid w:val="45B8A7E2"/>
    <w:rsid w:val="45B9DEA7"/>
    <w:rsid w:val="45C0F9E7"/>
    <w:rsid w:val="45C58DD6"/>
    <w:rsid w:val="45CA7AC2"/>
    <w:rsid w:val="45CEC691"/>
    <w:rsid w:val="45D0DBF7"/>
    <w:rsid w:val="45D55D0E"/>
    <w:rsid w:val="45DCF2F4"/>
    <w:rsid w:val="45DEA5EB"/>
    <w:rsid w:val="45E167A1"/>
    <w:rsid w:val="45E58A33"/>
    <w:rsid w:val="45F5E5AF"/>
    <w:rsid w:val="45FA5FA4"/>
    <w:rsid w:val="46050CAE"/>
    <w:rsid w:val="460C359A"/>
    <w:rsid w:val="460DF10A"/>
    <w:rsid w:val="460E364D"/>
    <w:rsid w:val="461C2D76"/>
    <w:rsid w:val="461C53A8"/>
    <w:rsid w:val="461DB827"/>
    <w:rsid w:val="46247A31"/>
    <w:rsid w:val="4629ABA1"/>
    <w:rsid w:val="46325D4B"/>
    <w:rsid w:val="46336957"/>
    <w:rsid w:val="463CC70A"/>
    <w:rsid w:val="4641A215"/>
    <w:rsid w:val="46484480"/>
    <w:rsid w:val="464BDE20"/>
    <w:rsid w:val="464CB966"/>
    <w:rsid w:val="464E37B7"/>
    <w:rsid w:val="4657D8AC"/>
    <w:rsid w:val="4659A66C"/>
    <w:rsid w:val="4661C5EE"/>
    <w:rsid w:val="4662A655"/>
    <w:rsid w:val="466F532D"/>
    <w:rsid w:val="4681BCB0"/>
    <w:rsid w:val="46824061"/>
    <w:rsid w:val="46838EB8"/>
    <w:rsid w:val="468520EA"/>
    <w:rsid w:val="4686E8ED"/>
    <w:rsid w:val="468B0726"/>
    <w:rsid w:val="468E4A35"/>
    <w:rsid w:val="4691A2CF"/>
    <w:rsid w:val="46925261"/>
    <w:rsid w:val="4693C639"/>
    <w:rsid w:val="4699A255"/>
    <w:rsid w:val="469FD787"/>
    <w:rsid w:val="46A4614E"/>
    <w:rsid w:val="46A5A428"/>
    <w:rsid w:val="46A9ABC1"/>
    <w:rsid w:val="46AAD189"/>
    <w:rsid w:val="46AAF427"/>
    <w:rsid w:val="46ADFCFE"/>
    <w:rsid w:val="46AE658E"/>
    <w:rsid w:val="46AEC233"/>
    <w:rsid w:val="46B29FC0"/>
    <w:rsid w:val="46B4A0B7"/>
    <w:rsid w:val="46B9E4EF"/>
    <w:rsid w:val="46BA30D5"/>
    <w:rsid w:val="46BC8E3D"/>
    <w:rsid w:val="46BFA0F8"/>
    <w:rsid w:val="46BFAC24"/>
    <w:rsid w:val="46BFD8A5"/>
    <w:rsid w:val="46C0899D"/>
    <w:rsid w:val="46C51597"/>
    <w:rsid w:val="46C74C32"/>
    <w:rsid w:val="46C87DED"/>
    <w:rsid w:val="46D53667"/>
    <w:rsid w:val="46D72B36"/>
    <w:rsid w:val="46DA8FAD"/>
    <w:rsid w:val="46DCBEAD"/>
    <w:rsid w:val="46DD0BB3"/>
    <w:rsid w:val="46E4106C"/>
    <w:rsid w:val="46E4B5B9"/>
    <w:rsid w:val="46E543F1"/>
    <w:rsid w:val="46EAB137"/>
    <w:rsid w:val="46EC890E"/>
    <w:rsid w:val="46F2023B"/>
    <w:rsid w:val="46F253AE"/>
    <w:rsid w:val="46F75D1E"/>
    <w:rsid w:val="46FE25E0"/>
    <w:rsid w:val="46FE3EFB"/>
    <w:rsid w:val="4702861B"/>
    <w:rsid w:val="4702E3AC"/>
    <w:rsid w:val="4702EF82"/>
    <w:rsid w:val="47045D9E"/>
    <w:rsid w:val="4707A76C"/>
    <w:rsid w:val="47091119"/>
    <w:rsid w:val="47094EC8"/>
    <w:rsid w:val="470A15BB"/>
    <w:rsid w:val="470AD495"/>
    <w:rsid w:val="470EE851"/>
    <w:rsid w:val="470F2406"/>
    <w:rsid w:val="4714B4EF"/>
    <w:rsid w:val="4714E765"/>
    <w:rsid w:val="4725FFEC"/>
    <w:rsid w:val="4728750C"/>
    <w:rsid w:val="472932FF"/>
    <w:rsid w:val="472CFB87"/>
    <w:rsid w:val="4736F4AC"/>
    <w:rsid w:val="4737C2DB"/>
    <w:rsid w:val="47398C2D"/>
    <w:rsid w:val="473D37C9"/>
    <w:rsid w:val="4743011D"/>
    <w:rsid w:val="474327EE"/>
    <w:rsid w:val="47437385"/>
    <w:rsid w:val="47478A77"/>
    <w:rsid w:val="47500692"/>
    <w:rsid w:val="4756ECFF"/>
    <w:rsid w:val="475A9683"/>
    <w:rsid w:val="475A9BDB"/>
    <w:rsid w:val="47653365"/>
    <w:rsid w:val="4768C341"/>
    <w:rsid w:val="476C84FD"/>
    <w:rsid w:val="476DDB2F"/>
    <w:rsid w:val="47744FB8"/>
    <w:rsid w:val="4775E81C"/>
    <w:rsid w:val="47779372"/>
    <w:rsid w:val="4779FFA0"/>
    <w:rsid w:val="477E7F6C"/>
    <w:rsid w:val="477F7E9A"/>
    <w:rsid w:val="478497CE"/>
    <w:rsid w:val="4786DB37"/>
    <w:rsid w:val="4788A946"/>
    <w:rsid w:val="47898285"/>
    <w:rsid w:val="478DFE5F"/>
    <w:rsid w:val="478F789E"/>
    <w:rsid w:val="4794523F"/>
    <w:rsid w:val="47988A33"/>
    <w:rsid w:val="4798FDA1"/>
    <w:rsid w:val="479F640D"/>
    <w:rsid w:val="47A006A7"/>
    <w:rsid w:val="47A22C33"/>
    <w:rsid w:val="47A702E4"/>
    <w:rsid w:val="47A85D5A"/>
    <w:rsid w:val="47AA95BA"/>
    <w:rsid w:val="47AE7517"/>
    <w:rsid w:val="47AFE4B4"/>
    <w:rsid w:val="47B0120B"/>
    <w:rsid w:val="47BB77A2"/>
    <w:rsid w:val="47BE983A"/>
    <w:rsid w:val="47C1416D"/>
    <w:rsid w:val="47C18C07"/>
    <w:rsid w:val="47D12EA4"/>
    <w:rsid w:val="47D45DDB"/>
    <w:rsid w:val="47D464C3"/>
    <w:rsid w:val="47D9547D"/>
    <w:rsid w:val="47DD848C"/>
    <w:rsid w:val="47E20BD3"/>
    <w:rsid w:val="47E3D186"/>
    <w:rsid w:val="47EAE059"/>
    <w:rsid w:val="47FECE8F"/>
    <w:rsid w:val="4802FD68"/>
    <w:rsid w:val="4803DCEE"/>
    <w:rsid w:val="48107228"/>
    <w:rsid w:val="48169774"/>
    <w:rsid w:val="481C4FCC"/>
    <w:rsid w:val="481D758D"/>
    <w:rsid w:val="48202BA5"/>
    <w:rsid w:val="4820F52C"/>
    <w:rsid w:val="48288883"/>
    <w:rsid w:val="482AEA50"/>
    <w:rsid w:val="482EF214"/>
    <w:rsid w:val="4838EF8D"/>
    <w:rsid w:val="483AA5E4"/>
    <w:rsid w:val="483DB0F0"/>
    <w:rsid w:val="484377CB"/>
    <w:rsid w:val="48438DE2"/>
    <w:rsid w:val="484814D7"/>
    <w:rsid w:val="4849D2B7"/>
    <w:rsid w:val="484CB6B5"/>
    <w:rsid w:val="484FC259"/>
    <w:rsid w:val="485232A7"/>
    <w:rsid w:val="48532427"/>
    <w:rsid w:val="4854B742"/>
    <w:rsid w:val="48555947"/>
    <w:rsid w:val="4857F544"/>
    <w:rsid w:val="485B4A91"/>
    <w:rsid w:val="485DB75D"/>
    <w:rsid w:val="485DD9C0"/>
    <w:rsid w:val="48600B2B"/>
    <w:rsid w:val="4860EF97"/>
    <w:rsid w:val="486249B9"/>
    <w:rsid w:val="486AAAAB"/>
    <w:rsid w:val="486CD633"/>
    <w:rsid w:val="48763E6D"/>
    <w:rsid w:val="4879A5F3"/>
    <w:rsid w:val="487DFF6C"/>
    <w:rsid w:val="488BF455"/>
    <w:rsid w:val="488E51AF"/>
    <w:rsid w:val="48922CBB"/>
    <w:rsid w:val="489C257B"/>
    <w:rsid w:val="48A284E7"/>
    <w:rsid w:val="48A84B71"/>
    <w:rsid w:val="48B00EE8"/>
    <w:rsid w:val="48B322C8"/>
    <w:rsid w:val="48B3BD17"/>
    <w:rsid w:val="48BCDDDF"/>
    <w:rsid w:val="48C4029A"/>
    <w:rsid w:val="48D3C4E7"/>
    <w:rsid w:val="48D48AF1"/>
    <w:rsid w:val="48D675E7"/>
    <w:rsid w:val="48E58B74"/>
    <w:rsid w:val="48EB1A79"/>
    <w:rsid w:val="48EBD6F3"/>
    <w:rsid w:val="48EF49B3"/>
    <w:rsid w:val="48F2AA15"/>
    <w:rsid w:val="48F56DE0"/>
    <w:rsid w:val="48FA4765"/>
    <w:rsid w:val="49026D97"/>
    <w:rsid w:val="49056413"/>
    <w:rsid w:val="490E226A"/>
    <w:rsid w:val="490EA32A"/>
    <w:rsid w:val="490FDC09"/>
    <w:rsid w:val="491255CA"/>
    <w:rsid w:val="49137241"/>
    <w:rsid w:val="49145E0B"/>
    <w:rsid w:val="4916A320"/>
    <w:rsid w:val="491770B2"/>
    <w:rsid w:val="491D21C3"/>
    <w:rsid w:val="491D310E"/>
    <w:rsid w:val="4920B2A2"/>
    <w:rsid w:val="492109BD"/>
    <w:rsid w:val="4922D007"/>
    <w:rsid w:val="49269C8C"/>
    <w:rsid w:val="492775AD"/>
    <w:rsid w:val="492B0766"/>
    <w:rsid w:val="4937A1B6"/>
    <w:rsid w:val="493914AB"/>
    <w:rsid w:val="493C3E08"/>
    <w:rsid w:val="493E8561"/>
    <w:rsid w:val="4947CEF1"/>
    <w:rsid w:val="4952F60F"/>
    <w:rsid w:val="4953DBB9"/>
    <w:rsid w:val="49541B29"/>
    <w:rsid w:val="4956FC29"/>
    <w:rsid w:val="4958954D"/>
    <w:rsid w:val="4958AEAD"/>
    <w:rsid w:val="495C356F"/>
    <w:rsid w:val="495C38BC"/>
    <w:rsid w:val="495CDE7B"/>
    <w:rsid w:val="495D6EA9"/>
    <w:rsid w:val="495F23CF"/>
    <w:rsid w:val="4963F951"/>
    <w:rsid w:val="4964A332"/>
    <w:rsid w:val="4971B5E1"/>
    <w:rsid w:val="49750C94"/>
    <w:rsid w:val="49751516"/>
    <w:rsid w:val="4975CC15"/>
    <w:rsid w:val="49763DA1"/>
    <w:rsid w:val="4977053D"/>
    <w:rsid w:val="497E4EDF"/>
    <w:rsid w:val="497F3DEC"/>
    <w:rsid w:val="49800065"/>
    <w:rsid w:val="49853651"/>
    <w:rsid w:val="49871D1D"/>
    <w:rsid w:val="498FD30B"/>
    <w:rsid w:val="499244EA"/>
    <w:rsid w:val="499792F7"/>
    <w:rsid w:val="4997BE8E"/>
    <w:rsid w:val="499FDF52"/>
    <w:rsid w:val="49A8180A"/>
    <w:rsid w:val="49AC120E"/>
    <w:rsid w:val="49B0A1C6"/>
    <w:rsid w:val="49B20B3A"/>
    <w:rsid w:val="49C31816"/>
    <w:rsid w:val="49C5D175"/>
    <w:rsid w:val="49C6BE9A"/>
    <w:rsid w:val="49C86697"/>
    <w:rsid w:val="49CCE574"/>
    <w:rsid w:val="49E67765"/>
    <w:rsid w:val="49F1E1BA"/>
    <w:rsid w:val="49FF60B8"/>
    <w:rsid w:val="4A03B36C"/>
    <w:rsid w:val="4A11A1BD"/>
    <w:rsid w:val="4A21D99B"/>
    <w:rsid w:val="4A22A073"/>
    <w:rsid w:val="4A235277"/>
    <w:rsid w:val="4A26C671"/>
    <w:rsid w:val="4A26EA84"/>
    <w:rsid w:val="4A33931E"/>
    <w:rsid w:val="4A37203A"/>
    <w:rsid w:val="4A3A290E"/>
    <w:rsid w:val="4A3B354B"/>
    <w:rsid w:val="4A3ECB08"/>
    <w:rsid w:val="4A3F2E35"/>
    <w:rsid w:val="4A4698DC"/>
    <w:rsid w:val="4A471443"/>
    <w:rsid w:val="4A493F52"/>
    <w:rsid w:val="4A4D887C"/>
    <w:rsid w:val="4A5136D7"/>
    <w:rsid w:val="4A58CE3A"/>
    <w:rsid w:val="4A6450F5"/>
    <w:rsid w:val="4A6DD9EC"/>
    <w:rsid w:val="4A762A58"/>
    <w:rsid w:val="4A76B0BD"/>
    <w:rsid w:val="4A777021"/>
    <w:rsid w:val="4A7A1C6F"/>
    <w:rsid w:val="4A7D6A3B"/>
    <w:rsid w:val="4A7DA834"/>
    <w:rsid w:val="4A7E1EDD"/>
    <w:rsid w:val="4A7FED23"/>
    <w:rsid w:val="4A839594"/>
    <w:rsid w:val="4A90FBF1"/>
    <w:rsid w:val="4A94FB56"/>
    <w:rsid w:val="4A9AA258"/>
    <w:rsid w:val="4A9C153E"/>
    <w:rsid w:val="4AA0C0DA"/>
    <w:rsid w:val="4AA365D2"/>
    <w:rsid w:val="4AA3D5CE"/>
    <w:rsid w:val="4AAD4F72"/>
    <w:rsid w:val="4AB097D1"/>
    <w:rsid w:val="4AC30A54"/>
    <w:rsid w:val="4AC6F37C"/>
    <w:rsid w:val="4AC95684"/>
    <w:rsid w:val="4AC98216"/>
    <w:rsid w:val="4ACA141C"/>
    <w:rsid w:val="4ACAFC93"/>
    <w:rsid w:val="4AD4C975"/>
    <w:rsid w:val="4AD626B6"/>
    <w:rsid w:val="4AD6BF9D"/>
    <w:rsid w:val="4AE07009"/>
    <w:rsid w:val="4AE17082"/>
    <w:rsid w:val="4AE28012"/>
    <w:rsid w:val="4AEF7B62"/>
    <w:rsid w:val="4AF002BA"/>
    <w:rsid w:val="4AF2AA5E"/>
    <w:rsid w:val="4AF8FAFB"/>
    <w:rsid w:val="4AFA9F4C"/>
    <w:rsid w:val="4AFD38A8"/>
    <w:rsid w:val="4B001385"/>
    <w:rsid w:val="4B02C557"/>
    <w:rsid w:val="4B02E14C"/>
    <w:rsid w:val="4B0AFA6E"/>
    <w:rsid w:val="4B0B4AF3"/>
    <w:rsid w:val="4B159F2B"/>
    <w:rsid w:val="4B15F956"/>
    <w:rsid w:val="4B18832B"/>
    <w:rsid w:val="4B279C42"/>
    <w:rsid w:val="4B2B4350"/>
    <w:rsid w:val="4B2E226A"/>
    <w:rsid w:val="4B2E5D31"/>
    <w:rsid w:val="4B35CD3B"/>
    <w:rsid w:val="4B421193"/>
    <w:rsid w:val="4B49D55D"/>
    <w:rsid w:val="4B4FE9AF"/>
    <w:rsid w:val="4B542E84"/>
    <w:rsid w:val="4B58748E"/>
    <w:rsid w:val="4B5B8361"/>
    <w:rsid w:val="4B5B9E98"/>
    <w:rsid w:val="4B5BDD5A"/>
    <w:rsid w:val="4B5DA326"/>
    <w:rsid w:val="4B619102"/>
    <w:rsid w:val="4B63D150"/>
    <w:rsid w:val="4B6607A5"/>
    <w:rsid w:val="4B685E70"/>
    <w:rsid w:val="4B6B5F8B"/>
    <w:rsid w:val="4B6CBE53"/>
    <w:rsid w:val="4B6DD4B3"/>
    <w:rsid w:val="4B714BB9"/>
    <w:rsid w:val="4B7D32A4"/>
    <w:rsid w:val="4B814AC7"/>
    <w:rsid w:val="4B84E23E"/>
    <w:rsid w:val="4B84F6CE"/>
    <w:rsid w:val="4B8C0D8A"/>
    <w:rsid w:val="4B912BAF"/>
    <w:rsid w:val="4B9F9BE6"/>
    <w:rsid w:val="4BA70993"/>
    <w:rsid w:val="4BAD5E87"/>
    <w:rsid w:val="4BB0991A"/>
    <w:rsid w:val="4BB3AA90"/>
    <w:rsid w:val="4BB6537E"/>
    <w:rsid w:val="4BBEEA2C"/>
    <w:rsid w:val="4BC216EB"/>
    <w:rsid w:val="4BC5BD6F"/>
    <w:rsid w:val="4BCA4A14"/>
    <w:rsid w:val="4BCBE7DC"/>
    <w:rsid w:val="4BDB1592"/>
    <w:rsid w:val="4BDDBC63"/>
    <w:rsid w:val="4BE1463E"/>
    <w:rsid w:val="4BE38F9A"/>
    <w:rsid w:val="4BE769ED"/>
    <w:rsid w:val="4BEC88A2"/>
    <w:rsid w:val="4BF69DE7"/>
    <w:rsid w:val="4BF90B6A"/>
    <w:rsid w:val="4BFBB72E"/>
    <w:rsid w:val="4BFFD37C"/>
    <w:rsid w:val="4C008A8B"/>
    <w:rsid w:val="4C038592"/>
    <w:rsid w:val="4C0914B0"/>
    <w:rsid w:val="4C0A3939"/>
    <w:rsid w:val="4C105569"/>
    <w:rsid w:val="4C163320"/>
    <w:rsid w:val="4C17A9E5"/>
    <w:rsid w:val="4C1A7BC9"/>
    <w:rsid w:val="4C1CD7DE"/>
    <w:rsid w:val="4C1CFB01"/>
    <w:rsid w:val="4C20EC98"/>
    <w:rsid w:val="4C223FC4"/>
    <w:rsid w:val="4C29E9E3"/>
    <w:rsid w:val="4C2E8AA0"/>
    <w:rsid w:val="4C2EDBC7"/>
    <w:rsid w:val="4C376DF6"/>
    <w:rsid w:val="4C382364"/>
    <w:rsid w:val="4C3B3887"/>
    <w:rsid w:val="4C3D0D7D"/>
    <w:rsid w:val="4C414DE1"/>
    <w:rsid w:val="4C47F177"/>
    <w:rsid w:val="4C4947F2"/>
    <w:rsid w:val="4C4ABDC8"/>
    <w:rsid w:val="4C4CF93D"/>
    <w:rsid w:val="4C4F0A2D"/>
    <w:rsid w:val="4C570FE4"/>
    <w:rsid w:val="4C5A5017"/>
    <w:rsid w:val="4C60A139"/>
    <w:rsid w:val="4C68A04D"/>
    <w:rsid w:val="4C6B4DB5"/>
    <w:rsid w:val="4C7454BF"/>
    <w:rsid w:val="4C75FFA8"/>
    <w:rsid w:val="4C7E5073"/>
    <w:rsid w:val="4C81088E"/>
    <w:rsid w:val="4C8360DF"/>
    <w:rsid w:val="4C8726DC"/>
    <w:rsid w:val="4C899503"/>
    <w:rsid w:val="4C8E17C7"/>
    <w:rsid w:val="4C8EB4EB"/>
    <w:rsid w:val="4C909BFC"/>
    <w:rsid w:val="4C945995"/>
    <w:rsid w:val="4C974F4F"/>
    <w:rsid w:val="4C978288"/>
    <w:rsid w:val="4C9AEEC2"/>
    <w:rsid w:val="4C9B3D43"/>
    <w:rsid w:val="4C9B4ABE"/>
    <w:rsid w:val="4C9BF9F2"/>
    <w:rsid w:val="4C9ECB2F"/>
    <w:rsid w:val="4CA04666"/>
    <w:rsid w:val="4CA1B583"/>
    <w:rsid w:val="4CA5CE0D"/>
    <w:rsid w:val="4CA96753"/>
    <w:rsid w:val="4CAF300E"/>
    <w:rsid w:val="4CBF1C8F"/>
    <w:rsid w:val="4CC09415"/>
    <w:rsid w:val="4CC1CEDC"/>
    <w:rsid w:val="4CC51513"/>
    <w:rsid w:val="4CC5DE4C"/>
    <w:rsid w:val="4CD1B3BF"/>
    <w:rsid w:val="4CDB5D9E"/>
    <w:rsid w:val="4CDC3494"/>
    <w:rsid w:val="4CDC53F9"/>
    <w:rsid w:val="4CE3CADC"/>
    <w:rsid w:val="4CF1164E"/>
    <w:rsid w:val="4CF719E1"/>
    <w:rsid w:val="4CF79F1C"/>
    <w:rsid w:val="4D04BCE2"/>
    <w:rsid w:val="4D087FF0"/>
    <w:rsid w:val="4D0AD9FB"/>
    <w:rsid w:val="4D0C469A"/>
    <w:rsid w:val="4D0C74B1"/>
    <w:rsid w:val="4D1C7175"/>
    <w:rsid w:val="4D22C861"/>
    <w:rsid w:val="4D2340D3"/>
    <w:rsid w:val="4D23ABD3"/>
    <w:rsid w:val="4D2476F3"/>
    <w:rsid w:val="4D26E332"/>
    <w:rsid w:val="4D2C5887"/>
    <w:rsid w:val="4D306305"/>
    <w:rsid w:val="4D33A07B"/>
    <w:rsid w:val="4D34D72C"/>
    <w:rsid w:val="4D369B36"/>
    <w:rsid w:val="4D39238F"/>
    <w:rsid w:val="4D3C20E9"/>
    <w:rsid w:val="4D3E9B5A"/>
    <w:rsid w:val="4D428EAB"/>
    <w:rsid w:val="4D45436D"/>
    <w:rsid w:val="4D46E39B"/>
    <w:rsid w:val="4D4C29B0"/>
    <w:rsid w:val="4D505BA0"/>
    <w:rsid w:val="4D520DA6"/>
    <w:rsid w:val="4D584635"/>
    <w:rsid w:val="4D5D3705"/>
    <w:rsid w:val="4D5FB193"/>
    <w:rsid w:val="4D6DE6EA"/>
    <w:rsid w:val="4D708794"/>
    <w:rsid w:val="4D71C9D0"/>
    <w:rsid w:val="4D7B43A2"/>
    <w:rsid w:val="4D801318"/>
    <w:rsid w:val="4D8308BC"/>
    <w:rsid w:val="4D87FCF4"/>
    <w:rsid w:val="4D8CDC3F"/>
    <w:rsid w:val="4D8DD541"/>
    <w:rsid w:val="4D9260C7"/>
    <w:rsid w:val="4D999DA8"/>
    <w:rsid w:val="4D99BA84"/>
    <w:rsid w:val="4D9AF9DF"/>
    <w:rsid w:val="4D9B40EC"/>
    <w:rsid w:val="4D9C40BB"/>
    <w:rsid w:val="4D9DC891"/>
    <w:rsid w:val="4D9EDEBC"/>
    <w:rsid w:val="4DA73E3C"/>
    <w:rsid w:val="4DABC9A2"/>
    <w:rsid w:val="4DB281D2"/>
    <w:rsid w:val="4DBBDB1C"/>
    <w:rsid w:val="4DBC6D2D"/>
    <w:rsid w:val="4DBE6787"/>
    <w:rsid w:val="4DC2B7DF"/>
    <w:rsid w:val="4DCB698C"/>
    <w:rsid w:val="4DD247DB"/>
    <w:rsid w:val="4DD47193"/>
    <w:rsid w:val="4DD750EB"/>
    <w:rsid w:val="4DE26439"/>
    <w:rsid w:val="4DE46E19"/>
    <w:rsid w:val="4DE88C8C"/>
    <w:rsid w:val="4DEA8882"/>
    <w:rsid w:val="4DEB1AB6"/>
    <w:rsid w:val="4DEF9C81"/>
    <w:rsid w:val="4DFBB5FB"/>
    <w:rsid w:val="4DFD7637"/>
    <w:rsid w:val="4DFF9672"/>
    <w:rsid w:val="4E0019B8"/>
    <w:rsid w:val="4E01F84C"/>
    <w:rsid w:val="4E064B36"/>
    <w:rsid w:val="4E0CCFB4"/>
    <w:rsid w:val="4E1424AD"/>
    <w:rsid w:val="4E17298C"/>
    <w:rsid w:val="4E182520"/>
    <w:rsid w:val="4E201F38"/>
    <w:rsid w:val="4E2B4C06"/>
    <w:rsid w:val="4E2E9D93"/>
    <w:rsid w:val="4E31CDE5"/>
    <w:rsid w:val="4E33052D"/>
    <w:rsid w:val="4E336442"/>
    <w:rsid w:val="4E33F8E4"/>
    <w:rsid w:val="4E3BE2CF"/>
    <w:rsid w:val="4E40716B"/>
    <w:rsid w:val="4E40BFF4"/>
    <w:rsid w:val="4E41A1F0"/>
    <w:rsid w:val="4E4A8DE0"/>
    <w:rsid w:val="4E4E5EF4"/>
    <w:rsid w:val="4E504C6F"/>
    <w:rsid w:val="4E5323C3"/>
    <w:rsid w:val="4E53597A"/>
    <w:rsid w:val="4E59465B"/>
    <w:rsid w:val="4E5A07CC"/>
    <w:rsid w:val="4E5B9841"/>
    <w:rsid w:val="4E5D24F7"/>
    <w:rsid w:val="4E5FA0D6"/>
    <w:rsid w:val="4E610E16"/>
    <w:rsid w:val="4E632541"/>
    <w:rsid w:val="4E632B9F"/>
    <w:rsid w:val="4E6A25CD"/>
    <w:rsid w:val="4E6A5E37"/>
    <w:rsid w:val="4E6B9792"/>
    <w:rsid w:val="4E6C2B8C"/>
    <w:rsid w:val="4E7413C6"/>
    <w:rsid w:val="4E74941F"/>
    <w:rsid w:val="4E7692B4"/>
    <w:rsid w:val="4E8198BD"/>
    <w:rsid w:val="4E8A8317"/>
    <w:rsid w:val="4E8B40BD"/>
    <w:rsid w:val="4E91AFC7"/>
    <w:rsid w:val="4E9212C7"/>
    <w:rsid w:val="4E950F84"/>
    <w:rsid w:val="4E9AC97A"/>
    <w:rsid w:val="4E9C5C19"/>
    <w:rsid w:val="4E9E9135"/>
    <w:rsid w:val="4EA07F7E"/>
    <w:rsid w:val="4EA57FE5"/>
    <w:rsid w:val="4EB646A2"/>
    <w:rsid w:val="4EB85138"/>
    <w:rsid w:val="4EB9433A"/>
    <w:rsid w:val="4EC24235"/>
    <w:rsid w:val="4EC908C6"/>
    <w:rsid w:val="4EC99A10"/>
    <w:rsid w:val="4ECB3208"/>
    <w:rsid w:val="4ECC2282"/>
    <w:rsid w:val="4ED0309C"/>
    <w:rsid w:val="4ED0CD36"/>
    <w:rsid w:val="4ED627C3"/>
    <w:rsid w:val="4EDAF9CB"/>
    <w:rsid w:val="4EDD0319"/>
    <w:rsid w:val="4EDDF580"/>
    <w:rsid w:val="4EE0009F"/>
    <w:rsid w:val="4EE2E0D4"/>
    <w:rsid w:val="4EE7CEC9"/>
    <w:rsid w:val="4F079D14"/>
    <w:rsid w:val="4F0D042D"/>
    <w:rsid w:val="4F1638C1"/>
    <w:rsid w:val="4F17E195"/>
    <w:rsid w:val="4F19F85C"/>
    <w:rsid w:val="4F1CE77B"/>
    <w:rsid w:val="4F25F900"/>
    <w:rsid w:val="4F2620F9"/>
    <w:rsid w:val="4F2A1B4C"/>
    <w:rsid w:val="4F2CEFDA"/>
    <w:rsid w:val="4F31F84C"/>
    <w:rsid w:val="4F4263B5"/>
    <w:rsid w:val="4F42AD2C"/>
    <w:rsid w:val="4F44E539"/>
    <w:rsid w:val="4F49EC81"/>
    <w:rsid w:val="4F4EDB5E"/>
    <w:rsid w:val="4F5140BC"/>
    <w:rsid w:val="4F520597"/>
    <w:rsid w:val="4F54AE77"/>
    <w:rsid w:val="4F60FE09"/>
    <w:rsid w:val="4F610803"/>
    <w:rsid w:val="4F619EBB"/>
    <w:rsid w:val="4F631745"/>
    <w:rsid w:val="4F648FA0"/>
    <w:rsid w:val="4F6D2A13"/>
    <w:rsid w:val="4F6F2665"/>
    <w:rsid w:val="4F76726D"/>
    <w:rsid w:val="4F8972A5"/>
    <w:rsid w:val="4F8B9855"/>
    <w:rsid w:val="4F922C30"/>
    <w:rsid w:val="4F98BA96"/>
    <w:rsid w:val="4F991C59"/>
    <w:rsid w:val="4FA12457"/>
    <w:rsid w:val="4FA5279E"/>
    <w:rsid w:val="4FAF3E08"/>
    <w:rsid w:val="4FB14FA0"/>
    <w:rsid w:val="4FB285AB"/>
    <w:rsid w:val="4FBA95E7"/>
    <w:rsid w:val="4FBAB465"/>
    <w:rsid w:val="4FBB4D17"/>
    <w:rsid w:val="4FBE8776"/>
    <w:rsid w:val="4FC3C703"/>
    <w:rsid w:val="4FC576A2"/>
    <w:rsid w:val="4FC57F6D"/>
    <w:rsid w:val="4FC7EEBF"/>
    <w:rsid w:val="4FC8081A"/>
    <w:rsid w:val="4FC88FFA"/>
    <w:rsid w:val="4FCC5A7D"/>
    <w:rsid w:val="4FDB9EE8"/>
    <w:rsid w:val="4FDD8765"/>
    <w:rsid w:val="4FDF7CD1"/>
    <w:rsid w:val="4FE25C69"/>
    <w:rsid w:val="4FE4386E"/>
    <w:rsid w:val="4FE58CD6"/>
    <w:rsid w:val="4FE5EAE0"/>
    <w:rsid w:val="4FE5F98B"/>
    <w:rsid w:val="4FEAD503"/>
    <w:rsid w:val="4FEB386F"/>
    <w:rsid w:val="4FEC5123"/>
    <w:rsid w:val="4FEE047C"/>
    <w:rsid w:val="4FF6503D"/>
    <w:rsid w:val="4FF99C62"/>
    <w:rsid w:val="4FFB2423"/>
    <w:rsid w:val="4FFBE914"/>
    <w:rsid w:val="4FFC0E96"/>
    <w:rsid w:val="4FFE7CFC"/>
    <w:rsid w:val="5000DEC4"/>
    <w:rsid w:val="50013A23"/>
    <w:rsid w:val="5001E085"/>
    <w:rsid w:val="5003A999"/>
    <w:rsid w:val="5006A80C"/>
    <w:rsid w:val="50080A06"/>
    <w:rsid w:val="500B7F0C"/>
    <w:rsid w:val="500CBD82"/>
    <w:rsid w:val="500D409A"/>
    <w:rsid w:val="50202BEC"/>
    <w:rsid w:val="5021D6C7"/>
    <w:rsid w:val="50280F39"/>
    <w:rsid w:val="502B56EC"/>
    <w:rsid w:val="502BC13F"/>
    <w:rsid w:val="502F02B4"/>
    <w:rsid w:val="5032F40C"/>
    <w:rsid w:val="5034893D"/>
    <w:rsid w:val="503CA4B7"/>
    <w:rsid w:val="503FAC70"/>
    <w:rsid w:val="504020B2"/>
    <w:rsid w:val="5044094F"/>
    <w:rsid w:val="50458E15"/>
    <w:rsid w:val="5045B26D"/>
    <w:rsid w:val="5048A5C1"/>
    <w:rsid w:val="50547FAA"/>
    <w:rsid w:val="50563451"/>
    <w:rsid w:val="5059F8EE"/>
    <w:rsid w:val="505A7AA8"/>
    <w:rsid w:val="50622303"/>
    <w:rsid w:val="5063FD07"/>
    <w:rsid w:val="50660BAE"/>
    <w:rsid w:val="506705CE"/>
    <w:rsid w:val="50672621"/>
    <w:rsid w:val="506886CB"/>
    <w:rsid w:val="507665EC"/>
    <w:rsid w:val="507C51BC"/>
    <w:rsid w:val="508344B2"/>
    <w:rsid w:val="508519C5"/>
    <w:rsid w:val="50864033"/>
    <w:rsid w:val="508D7900"/>
    <w:rsid w:val="508E928F"/>
    <w:rsid w:val="508F3592"/>
    <w:rsid w:val="5095A3E1"/>
    <w:rsid w:val="5098DF9B"/>
    <w:rsid w:val="509FD7C6"/>
    <w:rsid w:val="50A18324"/>
    <w:rsid w:val="50A4EFB9"/>
    <w:rsid w:val="50A8C0E6"/>
    <w:rsid w:val="50B1C63E"/>
    <w:rsid w:val="50BDE395"/>
    <w:rsid w:val="50C11718"/>
    <w:rsid w:val="50C13726"/>
    <w:rsid w:val="50C28634"/>
    <w:rsid w:val="50C3856C"/>
    <w:rsid w:val="50C94ABD"/>
    <w:rsid w:val="50CBFC02"/>
    <w:rsid w:val="50CFC3B5"/>
    <w:rsid w:val="50D1E116"/>
    <w:rsid w:val="50D2C1B6"/>
    <w:rsid w:val="50D6AF0F"/>
    <w:rsid w:val="50DED17B"/>
    <w:rsid w:val="50DF44AF"/>
    <w:rsid w:val="50E10438"/>
    <w:rsid w:val="50E327CC"/>
    <w:rsid w:val="50E7A028"/>
    <w:rsid w:val="50EC99E1"/>
    <w:rsid w:val="50EF5D43"/>
    <w:rsid w:val="50F0C2F8"/>
    <w:rsid w:val="50FECE88"/>
    <w:rsid w:val="50FFF724"/>
    <w:rsid w:val="510B911C"/>
    <w:rsid w:val="51113C5E"/>
    <w:rsid w:val="5113D2B9"/>
    <w:rsid w:val="5114735D"/>
    <w:rsid w:val="5114C8EC"/>
    <w:rsid w:val="5117D98E"/>
    <w:rsid w:val="5119449C"/>
    <w:rsid w:val="512163B8"/>
    <w:rsid w:val="5129C6A3"/>
    <w:rsid w:val="512A627D"/>
    <w:rsid w:val="512F309E"/>
    <w:rsid w:val="512FDA51"/>
    <w:rsid w:val="5132C81B"/>
    <w:rsid w:val="513C5D3F"/>
    <w:rsid w:val="513CD79E"/>
    <w:rsid w:val="5149D455"/>
    <w:rsid w:val="5151E952"/>
    <w:rsid w:val="5156EC52"/>
    <w:rsid w:val="515C86FF"/>
    <w:rsid w:val="515D62B1"/>
    <w:rsid w:val="51682729"/>
    <w:rsid w:val="516B0E7A"/>
    <w:rsid w:val="516EF771"/>
    <w:rsid w:val="5170F65B"/>
    <w:rsid w:val="517499D4"/>
    <w:rsid w:val="5174A10D"/>
    <w:rsid w:val="5174DA4F"/>
    <w:rsid w:val="51762219"/>
    <w:rsid w:val="5179104B"/>
    <w:rsid w:val="517ED37A"/>
    <w:rsid w:val="518065B8"/>
    <w:rsid w:val="51898E92"/>
    <w:rsid w:val="518BB12D"/>
    <w:rsid w:val="51912254"/>
    <w:rsid w:val="5191AD29"/>
    <w:rsid w:val="5194C4D2"/>
    <w:rsid w:val="51953FFF"/>
    <w:rsid w:val="5195A830"/>
    <w:rsid w:val="5196A200"/>
    <w:rsid w:val="519B9BED"/>
    <w:rsid w:val="519ED6B0"/>
    <w:rsid w:val="51AA0E3B"/>
    <w:rsid w:val="51AE3BA2"/>
    <w:rsid w:val="51B195AB"/>
    <w:rsid w:val="51B309DC"/>
    <w:rsid w:val="51B86E55"/>
    <w:rsid w:val="51BAB45D"/>
    <w:rsid w:val="51C1DD3C"/>
    <w:rsid w:val="51C33E32"/>
    <w:rsid w:val="51C379DF"/>
    <w:rsid w:val="51C4C28F"/>
    <w:rsid w:val="51C86E59"/>
    <w:rsid w:val="51C95D71"/>
    <w:rsid w:val="51C96CAB"/>
    <w:rsid w:val="51CB5D8E"/>
    <w:rsid w:val="51CD8EF1"/>
    <w:rsid w:val="51CEDDE2"/>
    <w:rsid w:val="51CF1193"/>
    <w:rsid w:val="51D7C276"/>
    <w:rsid w:val="51D97760"/>
    <w:rsid w:val="51DAF323"/>
    <w:rsid w:val="51DCD995"/>
    <w:rsid w:val="51DE6A7D"/>
    <w:rsid w:val="51E0309E"/>
    <w:rsid w:val="51E25C95"/>
    <w:rsid w:val="51E85E3E"/>
    <w:rsid w:val="51E8BB28"/>
    <w:rsid w:val="51F2566F"/>
    <w:rsid w:val="51F50088"/>
    <w:rsid w:val="51F57611"/>
    <w:rsid w:val="51F78A6D"/>
    <w:rsid w:val="51F81C91"/>
    <w:rsid w:val="51F8C7A3"/>
    <w:rsid w:val="51FA30B2"/>
    <w:rsid w:val="51FEB1D2"/>
    <w:rsid w:val="51FF40E4"/>
    <w:rsid w:val="5200DA93"/>
    <w:rsid w:val="5202063A"/>
    <w:rsid w:val="52044B11"/>
    <w:rsid w:val="5205CCCA"/>
    <w:rsid w:val="5207A137"/>
    <w:rsid w:val="520824AC"/>
    <w:rsid w:val="520E0926"/>
    <w:rsid w:val="520FEBE4"/>
    <w:rsid w:val="5214874E"/>
    <w:rsid w:val="5217C182"/>
    <w:rsid w:val="5220ED01"/>
    <w:rsid w:val="5221E601"/>
    <w:rsid w:val="522455A2"/>
    <w:rsid w:val="522580EF"/>
    <w:rsid w:val="522979F7"/>
    <w:rsid w:val="522A2565"/>
    <w:rsid w:val="523268F7"/>
    <w:rsid w:val="5235F98A"/>
    <w:rsid w:val="523BE12D"/>
    <w:rsid w:val="5242605A"/>
    <w:rsid w:val="52446E10"/>
    <w:rsid w:val="524540E8"/>
    <w:rsid w:val="524A97C8"/>
    <w:rsid w:val="524E9564"/>
    <w:rsid w:val="52578EE4"/>
    <w:rsid w:val="525B99AB"/>
    <w:rsid w:val="525B9D3B"/>
    <w:rsid w:val="525D3E13"/>
    <w:rsid w:val="5261C8DD"/>
    <w:rsid w:val="5267A129"/>
    <w:rsid w:val="526F4A9D"/>
    <w:rsid w:val="52710360"/>
    <w:rsid w:val="52781A73"/>
    <w:rsid w:val="5284F04B"/>
    <w:rsid w:val="528B4602"/>
    <w:rsid w:val="5290C032"/>
    <w:rsid w:val="52930A33"/>
    <w:rsid w:val="5296252D"/>
    <w:rsid w:val="5299228D"/>
    <w:rsid w:val="52A063E4"/>
    <w:rsid w:val="52A165D0"/>
    <w:rsid w:val="52A176A8"/>
    <w:rsid w:val="52A27819"/>
    <w:rsid w:val="52A96C52"/>
    <w:rsid w:val="52AA726B"/>
    <w:rsid w:val="52AF9FDC"/>
    <w:rsid w:val="52B063AA"/>
    <w:rsid w:val="52B13877"/>
    <w:rsid w:val="52B2F0D0"/>
    <w:rsid w:val="52B3C6C0"/>
    <w:rsid w:val="52B6EAB7"/>
    <w:rsid w:val="52C3DB09"/>
    <w:rsid w:val="52C3E719"/>
    <w:rsid w:val="52CF3901"/>
    <w:rsid w:val="52CFF3CA"/>
    <w:rsid w:val="52D63731"/>
    <w:rsid w:val="52D7869D"/>
    <w:rsid w:val="52E2DAC7"/>
    <w:rsid w:val="52E3E22E"/>
    <w:rsid w:val="52E71475"/>
    <w:rsid w:val="52EA19D2"/>
    <w:rsid w:val="52EB65C8"/>
    <w:rsid w:val="52F77BAC"/>
    <w:rsid w:val="52F83635"/>
    <w:rsid w:val="52FA3BE9"/>
    <w:rsid w:val="52FA3FC9"/>
    <w:rsid w:val="52FCE6F6"/>
    <w:rsid w:val="52FCF287"/>
    <w:rsid w:val="52FD1E9A"/>
    <w:rsid w:val="53005B87"/>
    <w:rsid w:val="53060A03"/>
    <w:rsid w:val="5309B1A4"/>
    <w:rsid w:val="530AA050"/>
    <w:rsid w:val="530BE510"/>
    <w:rsid w:val="5310AE0E"/>
    <w:rsid w:val="531A7387"/>
    <w:rsid w:val="5327D2A0"/>
    <w:rsid w:val="532F08FA"/>
    <w:rsid w:val="532FED05"/>
    <w:rsid w:val="53344F29"/>
    <w:rsid w:val="5334EA3A"/>
    <w:rsid w:val="533B0624"/>
    <w:rsid w:val="53429F3E"/>
    <w:rsid w:val="5344253E"/>
    <w:rsid w:val="5344558C"/>
    <w:rsid w:val="5344EDE0"/>
    <w:rsid w:val="5347D3E0"/>
    <w:rsid w:val="534F5CED"/>
    <w:rsid w:val="53512CC9"/>
    <w:rsid w:val="535FEE0C"/>
    <w:rsid w:val="53609BC0"/>
    <w:rsid w:val="5362B194"/>
    <w:rsid w:val="53643CAB"/>
    <w:rsid w:val="536726BF"/>
    <w:rsid w:val="536A4947"/>
    <w:rsid w:val="537265AB"/>
    <w:rsid w:val="5376B740"/>
    <w:rsid w:val="537AD460"/>
    <w:rsid w:val="537B10F0"/>
    <w:rsid w:val="537B316C"/>
    <w:rsid w:val="5380B92F"/>
    <w:rsid w:val="538399E6"/>
    <w:rsid w:val="5383E5A5"/>
    <w:rsid w:val="538D7060"/>
    <w:rsid w:val="5391F09E"/>
    <w:rsid w:val="539CD680"/>
    <w:rsid w:val="53A592E0"/>
    <w:rsid w:val="53A6EB2B"/>
    <w:rsid w:val="53A8BECE"/>
    <w:rsid w:val="53AA40BF"/>
    <w:rsid w:val="53AD5FE2"/>
    <w:rsid w:val="53AF1F25"/>
    <w:rsid w:val="53B95B99"/>
    <w:rsid w:val="53BBF03A"/>
    <w:rsid w:val="53BDD4A0"/>
    <w:rsid w:val="53C6E475"/>
    <w:rsid w:val="53C7CF76"/>
    <w:rsid w:val="53CB78E1"/>
    <w:rsid w:val="53CE19F6"/>
    <w:rsid w:val="53CF48B3"/>
    <w:rsid w:val="53D144A0"/>
    <w:rsid w:val="53D99816"/>
    <w:rsid w:val="53DAA383"/>
    <w:rsid w:val="53DCC424"/>
    <w:rsid w:val="53DD34A1"/>
    <w:rsid w:val="53DE1172"/>
    <w:rsid w:val="53DE9220"/>
    <w:rsid w:val="53E04F7C"/>
    <w:rsid w:val="53EA6790"/>
    <w:rsid w:val="53F00B69"/>
    <w:rsid w:val="53F171F4"/>
    <w:rsid w:val="53F18811"/>
    <w:rsid w:val="53F3508C"/>
    <w:rsid w:val="53F595EA"/>
    <w:rsid w:val="53F6DE30"/>
    <w:rsid w:val="540D2C84"/>
    <w:rsid w:val="54141678"/>
    <w:rsid w:val="541A10D9"/>
    <w:rsid w:val="541C816D"/>
    <w:rsid w:val="541D6D1C"/>
    <w:rsid w:val="5420C0AC"/>
    <w:rsid w:val="5420D62B"/>
    <w:rsid w:val="54217C92"/>
    <w:rsid w:val="54236B49"/>
    <w:rsid w:val="5423D7DC"/>
    <w:rsid w:val="5427CF58"/>
    <w:rsid w:val="542B5BEC"/>
    <w:rsid w:val="542C1A75"/>
    <w:rsid w:val="542CDABE"/>
    <w:rsid w:val="542CF134"/>
    <w:rsid w:val="542EFFD4"/>
    <w:rsid w:val="54323D97"/>
    <w:rsid w:val="5433807C"/>
    <w:rsid w:val="543672D1"/>
    <w:rsid w:val="5437F568"/>
    <w:rsid w:val="543AC99C"/>
    <w:rsid w:val="543B827C"/>
    <w:rsid w:val="5446550D"/>
    <w:rsid w:val="5449B658"/>
    <w:rsid w:val="545418DB"/>
    <w:rsid w:val="5457F4E3"/>
    <w:rsid w:val="545B5D80"/>
    <w:rsid w:val="545DD3A8"/>
    <w:rsid w:val="5462405B"/>
    <w:rsid w:val="546473DF"/>
    <w:rsid w:val="5465C7D8"/>
    <w:rsid w:val="546C4F56"/>
    <w:rsid w:val="546CB2FB"/>
    <w:rsid w:val="546EA71C"/>
    <w:rsid w:val="547992D1"/>
    <w:rsid w:val="54850DE3"/>
    <w:rsid w:val="5486FFE2"/>
    <w:rsid w:val="548BFA24"/>
    <w:rsid w:val="548D2277"/>
    <w:rsid w:val="5490148A"/>
    <w:rsid w:val="5491E408"/>
    <w:rsid w:val="549791E4"/>
    <w:rsid w:val="54981C71"/>
    <w:rsid w:val="549982B7"/>
    <w:rsid w:val="54A0DD9F"/>
    <w:rsid w:val="54A6D83D"/>
    <w:rsid w:val="54A97091"/>
    <w:rsid w:val="54AA8CCF"/>
    <w:rsid w:val="54AE457C"/>
    <w:rsid w:val="54B005BE"/>
    <w:rsid w:val="54BBC885"/>
    <w:rsid w:val="54BD7662"/>
    <w:rsid w:val="54C0D60F"/>
    <w:rsid w:val="54C1C140"/>
    <w:rsid w:val="54C6E11F"/>
    <w:rsid w:val="54C730E1"/>
    <w:rsid w:val="54C733AD"/>
    <w:rsid w:val="54CBCCE3"/>
    <w:rsid w:val="54CDD532"/>
    <w:rsid w:val="54DF495D"/>
    <w:rsid w:val="54E13C46"/>
    <w:rsid w:val="54E2DFF3"/>
    <w:rsid w:val="54E87486"/>
    <w:rsid w:val="54EA6787"/>
    <w:rsid w:val="5501AE41"/>
    <w:rsid w:val="5501F647"/>
    <w:rsid w:val="5503EF1A"/>
    <w:rsid w:val="5504542C"/>
    <w:rsid w:val="550797EC"/>
    <w:rsid w:val="55084BD5"/>
    <w:rsid w:val="550923F2"/>
    <w:rsid w:val="55097B5A"/>
    <w:rsid w:val="550C4437"/>
    <w:rsid w:val="550C4FCD"/>
    <w:rsid w:val="550E0E8A"/>
    <w:rsid w:val="5518934C"/>
    <w:rsid w:val="551A828D"/>
    <w:rsid w:val="551DB949"/>
    <w:rsid w:val="5521D4F6"/>
    <w:rsid w:val="552431B1"/>
    <w:rsid w:val="55260F29"/>
    <w:rsid w:val="552884BE"/>
    <w:rsid w:val="55295741"/>
    <w:rsid w:val="552BE288"/>
    <w:rsid w:val="5538F932"/>
    <w:rsid w:val="553E9DA0"/>
    <w:rsid w:val="554385CC"/>
    <w:rsid w:val="55460D23"/>
    <w:rsid w:val="55468663"/>
    <w:rsid w:val="5549183D"/>
    <w:rsid w:val="555E554F"/>
    <w:rsid w:val="555F41E8"/>
    <w:rsid w:val="555FB93A"/>
    <w:rsid w:val="55628323"/>
    <w:rsid w:val="55664430"/>
    <w:rsid w:val="556659B1"/>
    <w:rsid w:val="556683D7"/>
    <w:rsid w:val="556DCF58"/>
    <w:rsid w:val="556DDA60"/>
    <w:rsid w:val="55777958"/>
    <w:rsid w:val="557815FF"/>
    <w:rsid w:val="557B5C42"/>
    <w:rsid w:val="557D2B56"/>
    <w:rsid w:val="5581FF24"/>
    <w:rsid w:val="55858253"/>
    <w:rsid w:val="5587D316"/>
    <w:rsid w:val="558D8A2F"/>
    <w:rsid w:val="5594A347"/>
    <w:rsid w:val="55966251"/>
    <w:rsid w:val="5596F982"/>
    <w:rsid w:val="559D8DA2"/>
    <w:rsid w:val="559F7480"/>
    <w:rsid w:val="559F87E1"/>
    <w:rsid w:val="55A4F33E"/>
    <w:rsid w:val="55B07A2B"/>
    <w:rsid w:val="55B11F5F"/>
    <w:rsid w:val="55B38129"/>
    <w:rsid w:val="55B7E328"/>
    <w:rsid w:val="55C10A2F"/>
    <w:rsid w:val="55CB9F59"/>
    <w:rsid w:val="55CC9486"/>
    <w:rsid w:val="55CEF878"/>
    <w:rsid w:val="55CF07CA"/>
    <w:rsid w:val="55D24468"/>
    <w:rsid w:val="55D44E42"/>
    <w:rsid w:val="55DB2DF5"/>
    <w:rsid w:val="55E10616"/>
    <w:rsid w:val="55E15613"/>
    <w:rsid w:val="55E2E855"/>
    <w:rsid w:val="55E595D7"/>
    <w:rsid w:val="55E716AA"/>
    <w:rsid w:val="55E81A74"/>
    <w:rsid w:val="55E881F0"/>
    <w:rsid w:val="55EA2DAE"/>
    <w:rsid w:val="55F20783"/>
    <w:rsid w:val="55F2CFE1"/>
    <w:rsid w:val="55F2E30C"/>
    <w:rsid w:val="55F5DB0D"/>
    <w:rsid w:val="55FBFBDF"/>
    <w:rsid w:val="55FC35E7"/>
    <w:rsid w:val="560665E2"/>
    <w:rsid w:val="5606A91D"/>
    <w:rsid w:val="561036C4"/>
    <w:rsid w:val="56108FC6"/>
    <w:rsid w:val="561208C0"/>
    <w:rsid w:val="561B1CA6"/>
    <w:rsid w:val="561EF288"/>
    <w:rsid w:val="561F5F9C"/>
    <w:rsid w:val="5622B713"/>
    <w:rsid w:val="5622CB08"/>
    <w:rsid w:val="56268340"/>
    <w:rsid w:val="562D4B62"/>
    <w:rsid w:val="563763A1"/>
    <w:rsid w:val="563D7B41"/>
    <w:rsid w:val="5640201C"/>
    <w:rsid w:val="564260BD"/>
    <w:rsid w:val="5649A58F"/>
    <w:rsid w:val="5649DF1B"/>
    <w:rsid w:val="564C023D"/>
    <w:rsid w:val="564C5D28"/>
    <w:rsid w:val="564DA8E5"/>
    <w:rsid w:val="564E43BE"/>
    <w:rsid w:val="5651E198"/>
    <w:rsid w:val="565B747D"/>
    <w:rsid w:val="565E5F68"/>
    <w:rsid w:val="565E7246"/>
    <w:rsid w:val="565F290D"/>
    <w:rsid w:val="5661993E"/>
    <w:rsid w:val="56645C80"/>
    <w:rsid w:val="56677215"/>
    <w:rsid w:val="566D11E3"/>
    <w:rsid w:val="566DB290"/>
    <w:rsid w:val="566E25B3"/>
    <w:rsid w:val="5670AF1C"/>
    <w:rsid w:val="56713993"/>
    <w:rsid w:val="56787549"/>
    <w:rsid w:val="5679D7AE"/>
    <w:rsid w:val="567A5401"/>
    <w:rsid w:val="567F21C5"/>
    <w:rsid w:val="5681514E"/>
    <w:rsid w:val="568155F8"/>
    <w:rsid w:val="568B18F0"/>
    <w:rsid w:val="568FB3AB"/>
    <w:rsid w:val="569D6E2B"/>
    <w:rsid w:val="56A1942F"/>
    <w:rsid w:val="56A3A878"/>
    <w:rsid w:val="56A79088"/>
    <w:rsid w:val="56AD9EC8"/>
    <w:rsid w:val="56AF953B"/>
    <w:rsid w:val="56B78DB1"/>
    <w:rsid w:val="56BDBDC9"/>
    <w:rsid w:val="56C11800"/>
    <w:rsid w:val="56C20340"/>
    <w:rsid w:val="56C4B134"/>
    <w:rsid w:val="56C5AA88"/>
    <w:rsid w:val="56C75104"/>
    <w:rsid w:val="56C9AD91"/>
    <w:rsid w:val="56D2482B"/>
    <w:rsid w:val="56D41B94"/>
    <w:rsid w:val="56D53799"/>
    <w:rsid w:val="56D827DD"/>
    <w:rsid w:val="56DC17FA"/>
    <w:rsid w:val="56DD4443"/>
    <w:rsid w:val="56DDAA57"/>
    <w:rsid w:val="56F07FE0"/>
    <w:rsid w:val="56F49C9E"/>
    <w:rsid w:val="56F64863"/>
    <w:rsid w:val="56F8352F"/>
    <w:rsid w:val="56FD7CD8"/>
    <w:rsid w:val="57017AB7"/>
    <w:rsid w:val="570D69E1"/>
    <w:rsid w:val="570D9E4B"/>
    <w:rsid w:val="57130DE6"/>
    <w:rsid w:val="571970FC"/>
    <w:rsid w:val="571BD0E7"/>
    <w:rsid w:val="571F420E"/>
    <w:rsid w:val="57232FA5"/>
    <w:rsid w:val="57244B33"/>
    <w:rsid w:val="5726177C"/>
    <w:rsid w:val="5726C901"/>
    <w:rsid w:val="572CCD9B"/>
    <w:rsid w:val="57322E02"/>
    <w:rsid w:val="5732B60F"/>
    <w:rsid w:val="5732F5FA"/>
    <w:rsid w:val="5741E3AE"/>
    <w:rsid w:val="5745321A"/>
    <w:rsid w:val="574AEAB7"/>
    <w:rsid w:val="574B511E"/>
    <w:rsid w:val="575A1B00"/>
    <w:rsid w:val="576222DE"/>
    <w:rsid w:val="5763FE4F"/>
    <w:rsid w:val="576AA3EA"/>
    <w:rsid w:val="57737B66"/>
    <w:rsid w:val="5775643C"/>
    <w:rsid w:val="577BC3CB"/>
    <w:rsid w:val="577D91DE"/>
    <w:rsid w:val="5780DC73"/>
    <w:rsid w:val="5781586A"/>
    <w:rsid w:val="5787BA6F"/>
    <w:rsid w:val="578A5BDA"/>
    <w:rsid w:val="578BDAC9"/>
    <w:rsid w:val="57986C21"/>
    <w:rsid w:val="579E1CAE"/>
    <w:rsid w:val="57A09C06"/>
    <w:rsid w:val="57A100BE"/>
    <w:rsid w:val="57A929EF"/>
    <w:rsid w:val="57B0E0E2"/>
    <w:rsid w:val="57B1F182"/>
    <w:rsid w:val="57B30F97"/>
    <w:rsid w:val="57B3446E"/>
    <w:rsid w:val="57B4395D"/>
    <w:rsid w:val="57B695EA"/>
    <w:rsid w:val="57BCB736"/>
    <w:rsid w:val="57BDBCF3"/>
    <w:rsid w:val="57C12AB4"/>
    <w:rsid w:val="57C5BE3B"/>
    <w:rsid w:val="57C61FF7"/>
    <w:rsid w:val="57C62DD6"/>
    <w:rsid w:val="57C92B7D"/>
    <w:rsid w:val="57CD3571"/>
    <w:rsid w:val="57DD8A53"/>
    <w:rsid w:val="57E66F0E"/>
    <w:rsid w:val="57E99B6F"/>
    <w:rsid w:val="57F1805D"/>
    <w:rsid w:val="57F65045"/>
    <w:rsid w:val="57FE4DF6"/>
    <w:rsid w:val="5800CC67"/>
    <w:rsid w:val="58044085"/>
    <w:rsid w:val="580A19D4"/>
    <w:rsid w:val="580C16F4"/>
    <w:rsid w:val="580F0C4C"/>
    <w:rsid w:val="58107AAC"/>
    <w:rsid w:val="581164F0"/>
    <w:rsid w:val="58117149"/>
    <w:rsid w:val="58167C5A"/>
    <w:rsid w:val="581C4631"/>
    <w:rsid w:val="581D7D54"/>
    <w:rsid w:val="581DDAB4"/>
    <w:rsid w:val="581F8D87"/>
    <w:rsid w:val="582166C9"/>
    <w:rsid w:val="58355D0D"/>
    <w:rsid w:val="58394F03"/>
    <w:rsid w:val="583A9F12"/>
    <w:rsid w:val="583B0C8E"/>
    <w:rsid w:val="583E7A82"/>
    <w:rsid w:val="5840D410"/>
    <w:rsid w:val="58412EEC"/>
    <w:rsid w:val="584272E3"/>
    <w:rsid w:val="5844EC13"/>
    <w:rsid w:val="58471821"/>
    <w:rsid w:val="584E3151"/>
    <w:rsid w:val="584EFB5C"/>
    <w:rsid w:val="584FC690"/>
    <w:rsid w:val="5853E9AE"/>
    <w:rsid w:val="5854852A"/>
    <w:rsid w:val="58550A89"/>
    <w:rsid w:val="585DE97A"/>
    <w:rsid w:val="58629310"/>
    <w:rsid w:val="58648718"/>
    <w:rsid w:val="586CDFDB"/>
    <w:rsid w:val="58701E4A"/>
    <w:rsid w:val="587765C8"/>
    <w:rsid w:val="58794DDD"/>
    <w:rsid w:val="587CA1D8"/>
    <w:rsid w:val="58839219"/>
    <w:rsid w:val="58847346"/>
    <w:rsid w:val="588EC69F"/>
    <w:rsid w:val="58933E6E"/>
    <w:rsid w:val="5894FC1C"/>
    <w:rsid w:val="58959DD5"/>
    <w:rsid w:val="589F3157"/>
    <w:rsid w:val="58A4215E"/>
    <w:rsid w:val="58A97349"/>
    <w:rsid w:val="58A9BDC4"/>
    <w:rsid w:val="58AD73D2"/>
    <w:rsid w:val="58B4F3B8"/>
    <w:rsid w:val="58B52037"/>
    <w:rsid w:val="58B91C8E"/>
    <w:rsid w:val="58BCFABD"/>
    <w:rsid w:val="58BD5DD4"/>
    <w:rsid w:val="58BDBC82"/>
    <w:rsid w:val="58BE555A"/>
    <w:rsid w:val="58BF2D32"/>
    <w:rsid w:val="58C47556"/>
    <w:rsid w:val="58D00C6A"/>
    <w:rsid w:val="58D1EE3F"/>
    <w:rsid w:val="58E0D8DF"/>
    <w:rsid w:val="58E221EB"/>
    <w:rsid w:val="58E72C04"/>
    <w:rsid w:val="58ED3818"/>
    <w:rsid w:val="58EE341D"/>
    <w:rsid w:val="58F4C268"/>
    <w:rsid w:val="58F86B47"/>
    <w:rsid w:val="58F98647"/>
    <w:rsid w:val="58FA0C37"/>
    <w:rsid w:val="58FF04CB"/>
    <w:rsid w:val="5905CF6B"/>
    <w:rsid w:val="5906F943"/>
    <w:rsid w:val="5914517B"/>
    <w:rsid w:val="59149A38"/>
    <w:rsid w:val="5918C5F8"/>
    <w:rsid w:val="591F476D"/>
    <w:rsid w:val="5924E58A"/>
    <w:rsid w:val="5925FFD8"/>
    <w:rsid w:val="592E37C2"/>
    <w:rsid w:val="5932F737"/>
    <w:rsid w:val="5935C2BB"/>
    <w:rsid w:val="5939741B"/>
    <w:rsid w:val="593A5D8A"/>
    <w:rsid w:val="593B7BF3"/>
    <w:rsid w:val="593BD702"/>
    <w:rsid w:val="59407F6D"/>
    <w:rsid w:val="5940E22C"/>
    <w:rsid w:val="5942AD9C"/>
    <w:rsid w:val="594599DD"/>
    <w:rsid w:val="59480749"/>
    <w:rsid w:val="5948C1BA"/>
    <w:rsid w:val="59496F36"/>
    <w:rsid w:val="594A4E69"/>
    <w:rsid w:val="594E43B5"/>
    <w:rsid w:val="5951C197"/>
    <w:rsid w:val="5951F15D"/>
    <w:rsid w:val="5954D83C"/>
    <w:rsid w:val="595560B9"/>
    <w:rsid w:val="5959B4D1"/>
    <w:rsid w:val="59618E9C"/>
    <w:rsid w:val="5961FE37"/>
    <w:rsid w:val="5964076E"/>
    <w:rsid w:val="59664316"/>
    <w:rsid w:val="59679591"/>
    <w:rsid w:val="596E43DF"/>
    <w:rsid w:val="5975F0F3"/>
    <w:rsid w:val="5976EB6B"/>
    <w:rsid w:val="597CEA94"/>
    <w:rsid w:val="59884526"/>
    <w:rsid w:val="598D6F3C"/>
    <w:rsid w:val="5992A903"/>
    <w:rsid w:val="59953023"/>
    <w:rsid w:val="5996BDC6"/>
    <w:rsid w:val="59990D49"/>
    <w:rsid w:val="59991969"/>
    <w:rsid w:val="599DA6FB"/>
    <w:rsid w:val="59A1902D"/>
    <w:rsid w:val="59A9ECE7"/>
    <w:rsid w:val="59AD41AA"/>
    <w:rsid w:val="59ADF028"/>
    <w:rsid w:val="59B08EEB"/>
    <w:rsid w:val="59B09A45"/>
    <w:rsid w:val="59B37F7E"/>
    <w:rsid w:val="59B8F83A"/>
    <w:rsid w:val="59C2C41F"/>
    <w:rsid w:val="59CB64B3"/>
    <w:rsid w:val="59CDB16B"/>
    <w:rsid w:val="59CDDA9B"/>
    <w:rsid w:val="59D06716"/>
    <w:rsid w:val="59D10797"/>
    <w:rsid w:val="59D5ADFF"/>
    <w:rsid w:val="59D66F73"/>
    <w:rsid w:val="59D8AC47"/>
    <w:rsid w:val="59DB5C23"/>
    <w:rsid w:val="59E468F3"/>
    <w:rsid w:val="59E6A529"/>
    <w:rsid w:val="59ECEDC5"/>
    <w:rsid w:val="59ED981E"/>
    <w:rsid w:val="59F002A7"/>
    <w:rsid w:val="59F08F5D"/>
    <w:rsid w:val="59F34828"/>
    <w:rsid w:val="59F4A41F"/>
    <w:rsid w:val="59F74D11"/>
    <w:rsid w:val="5A005779"/>
    <w:rsid w:val="5A021BA5"/>
    <w:rsid w:val="5A024D75"/>
    <w:rsid w:val="5A03D12F"/>
    <w:rsid w:val="5A07BB2A"/>
    <w:rsid w:val="5A0E0E39"/>
    <w:rsid w:val="5A11F348"/>
    <w:rsid w:val="5A12A5DD"/>
    <w:rsid w:val="5A189ABF"/>
    <w:rsid w:val="5A1B5AA5"/>
    <w:rsid w:val="5A1C6994"/>
    <w:rsid w:val="5A1F5B59"/>
    <w:rsid w:val="5A22DF57"/>
    <w:rsid w:val="5A241B56"/>
    <w:rsid w:val="5A29BC28"/>
    <w:rsid w:val="5A2C83CA"/>
    <w:rsid w:val="5A2F7BA3"/>
    <w:rsid w:val="5A3470FB"/>
    <w:rsid w:val="5A36995E"/>
    <w:rsid w:val="5A36F084"/>
    <w:rsid w:val="5A3A4A07"/>
    <w:rsid w:val="5A449863"/>
    <w:rsid w:val="5A4F7014"/>
    <w:rsid w:val="5A50B795"/>
    <w:rsid w:val="5A51D38D"/>
    <w:rsid w:val="5A54F5CA"/>
    <w:rsid w:val="5A55903C"/>
    <w:rsid w:val="5A5F5566"/>
    <w:rsid w:val="5A5F5B3B"/>
    <w:rsid w:val="5A6018EE"/>
    <w:rsid w:val="5A63308F"/>
    <w:rsid w:val="5A64B427"/>
    <w:rsid w:val="5A6DA6CE"/>
    <w:rsid w:val="5A6EE37D"/>
    <w:rsid w:val="5A777A4A"/>
    <w:rsid w:val="5A7891E1"/>
    <w:rsid w:val="5A7CA940"/>
    <w:rsid w:val="5A8199C3"/>
    <w:rsid w:val="5A8201E3"/>
    <w:rsid w:val="5A84F707"/>
    <w:rsid w:val="5A854BA0"/>
    <w:rsid w:val="5A88DD98"/>
    <w:rsid w:val="5A942156"/>
    <w:rsid w:val="5A97C926"/>
    <w:rsid w:val="5A986338"/>
    <w:rsid w:val="5A9A840F"/>
    <w:rsid w:val="5A9C288E"/>
    <w:rsid w:val="5A9DFAF1"/>
    <w:rsid w:val="5AA03ADB"/>
    <w:rsid w:val="5AA15204"/>
    <w:rsid w:val="5AA3175F"/>
    <w:rsid w:val="5AA4F5AE"/>
    <w:rsid w:val="5AACE175"/>
    <w:rsid w:val="5AB64F4D"/>
    <w:rsid w:val="5AB6960A"/>
    <w:rsid w:val="5AC862E8"/>
    <w:rsid w:val="5ACD4584"/>
    <w:rsid w:val="5ACF9113"/>
    <w:rsid w:val="5AD4777C"/>
    <w:rsid w:val="5AD83475"/>
    <w:rsid w:val="5ADCBF2E"/>
    <w:rsid w:val="5AE78227"/>
    <w:rsid w:val="5AE9E75C"/>
    <w:rsid w:val="5AE9F590"/>
    <w:rsid w:val="5AEB6699"/>
    <w:rsid w:val="5AF0DB0F"/>
    <w:rsid w:val="5AF5538B"/>
    <w:rsid w:val="5AF5BF76"/>
    <w:rsid w:val="5AFF543B"/>
    <w:rsid w:val="5AFF6B08"/>
    <w:rsid w:val="5AFFD04E"/>
    <w:rsid w:val="5B01A6F7"/>
    <w:rsid w:val="5B0B62E2"/>
    <w:rsid w:val="5B1A7557"/>
    <w:rsid w:val="5B1EEEBE"/>
    <w:rsid w:val="5B1FA139"/>
    <w:rsid w:val="5B1FFD89"/>
    <w:rsid w:val="5B219C9D"/>
    <w:rsid w:val="5B283BCF"/>
    <w:rsid w:val="5B289386"/>
    <w:rsid w:val="5B2AA415"/>
    <w:rsid w:val="5B2B3E45"/>
    <w:rsid w:val="5B2C32BD"/>
    <w:rsid w:val="5B3635BD"/>
    <w:rsid w:val="5B4138EF"/>
    <w:rsid w:val="5B44F2F5"/>
    <w:rsid w:val="5B4A57A4"/>
    <w:rsid w:val="5B4B5EBB"/>
    <w:rsid w:val="5B4BCD5B"/>
    <w:rsid w:val="5B4EAEFE"/>
    <w:rsid w:val="5B547E61"/>
    <w:rsid w:val="5B576C40"/>
    <w:rsid w:val="5B59A3E6"/>
    <w:rsid w:val="5B5B3362"/>
    <w:rsid w:val="5B5EB42C"/>
    <w:rsid w:val="5B5EFDCB"/>
    <w:rsid w:val="5B667696"/>
    <w:rsid w:val="5B6693EA"/>
    <w:rsid w:val="5B69D5FE"/>
    <w:rsid w:val="5B6BFF1A"/>
    <w:rsid w:val="5B720988"/>
    <w:rsid w:val="5B7377CC"/>
    <w:rsid w:val="5B775953"/>
    <w:rsid w:val="5B78E4AC"/>
    <w:rsid w:val="5B816618"/>
    <w:rsid w:val="5B865C58"/>
    <w:rsid w:val="5B93D6F2"/>
    <w:rsid w:val="5B9F2340"/>
    <w:rsid w:val="5BA1C549"/>
    <w:rsid w:val="5BA3A73E"/>
    <w:rsid w:val="5BA79B23"/>
    <w:rsid w:val="5BAE2E34"/>
    <w:rsid w:val="5BB10B00"/>
    <w:rsid w:val="5BB62ABC"/>
    <w:rsid w:val="5BB91C61"/>
    <w:rsid w:val="5BB92FB4"/>
    <w:rsid w:val="5BB9A6CE"/>
    <w:rsid w:val="5BBA763E"/>
    <w:rsid w:val="5BBB16BB"/>
    <w:rsid w:val="5BBB67E2"/>
    <w:rsid w:val="5BBE5DD2"/>
    <w:rsid w:val="5BBE6CD5"/>
    <w:rsid w:val="5BBF65C2"/>
    <w:rsid w:val="5BBF8ADC"/>
    <w:rsid w:val="5BC00901"/>
    <w:rsid w:val="5BC1C8D9"/>
    <w:rsid w:val="5BC1D262"/>
    <w:rsid w:val="5BC30C6B"/>
    <w:rsid w:val="5BCB3EDF"/>
    <w:rsid w:val="5BCB9E6D"/>
    <w:rsid w:val="5BCBCB55"/>
    <w:rsid w:val="5BD024D1"/>
    <w:rsid w:val="5BD85927"/>
    <w:rsid w:val="5BDCFB7C"/>
    <w:rsid w:val="5BE22AA1"/>
    <w:rsid w:val="5BE24226"/>
    <w:rsid w:val="5BE4AF2D"/>
    <w:rsid w:val="5BE515E0"/>
    <w:rsid w:val="5BF0B871"/>
    <w:rsid w:val="5BF38D29"/>
    <w:rsid w:val="5BF57F1C"/>
    <w:rsid w:val="5BF65FD4"/>
    <w:rsid w:val="5BF66B04"/>
    <w:rsid w:val="5BFAC9C5"/>
    <w:rsid w:val="5C021861"/>
    <w:rsid w:val="5C06D41F"/>
    <w:rsid w:val="5C0F6004"/>
    <w:rsid w:val="5C11A3ED"/>
    <w:rsid w:val="5C171196"/>
    <w:rsid w:val="5C174648"/>
    <w:rsid w:val="5C198DC5"/>
    <w:rsid w:val="5C1B46CE"/>
    <w:rsid w:val="5C1B47A7"/>
    <w:rsid w:val="5C1CC16F"/>
    <w:rsid w:val="5C236868"/>
    <w:rsid w:val="5C247DA1"/>
    <w:rsid w:val="5C29D9DA"/>
    <w:rsid w:val="5C2D4C5F"/>
    <w:rsid w:val="5C32C346"/>
    <w:rsid w:val="5C34484E"/>
    <w:rsid w:val="5C495136"/>
    <w:rsid w:val="5C590E80"/>
    <w:rsid w:val="5C5A3A74"/>
    <w:rsid w:val="5C5A511D"/>
    <w:rsid w:val="5C5F8A91"/>
    <w:rsid w:val="5C60A256"/>
    <w:rsid w:val="5C6704CC"/>
    <w:rsid w:val="5C7015CE"/>
    <w:rsid w:val="5C73C03A"/>
    <w:rsid w:val="5C760391"/>
    <w:rsid w:val="5C7A6DFC"/>
    <w:rsid w:val="5C7C0EC0"/>
    <w:rsid w:val="5C7E333E"/>
    <w:rsid w:val="5C8439BC"/>
    <w:rsid w:val="5C88A857"/>
    <w:rsid w:val="5C88C190"/>
    <w:rsid w:val="5C8A3460"/>
    <w:rsid w:val="5C8FC22E"/>
    <w:rsid w:val="5C9967CF"/>
    <w:rsid w:val="5CA1CB89"/>
    <w:rsid w:val="5CA916EC"/>
    <w:rsid w:val="5CB2C1F4"/>
    <w:rsid w:val="5CB3613D"/>
    <w:rsid w:val="5CBEBE8E"/>
    <w:rsid w:val="5CC05D8A"/>
    <w:rsid w:val="5CC0A017"/>
    <w:rsid w:val="5CC35BF0"/>
    <w:rsid w:val="5CC3F2C6"/>
    <w:rsid w:val="5CC7D1D8"/>
    <w:rsid w:val="5CCCB22A"/>
    <w:rsid w:val="5CD3C617"/>
    <w:rsid w:val="5CD6C782"/>
    <w:rsid w:val="5CDDE721"/>
    <w:rsid w:val="5CE009C5"/>
    <w:rsid w:val="5CE04E1A"/>
    <w:rsid w:val="5CECA38A"/>
    <w:rsid w:val="5CEE3CE1"/>
    <w:rsid w:val="5CEE4239"/>
    <w:rsid w:val="5CF8F0F2"/>
    <w:rsid w:val="5CF9D78C"/>
    <w:rsid w:val="5CFE1F94"/>
    <w:rsid w:val="5D057B5D"/>
    <w:rsid w:val="5D0740B8"/>
    <w:rsid w:val="5D0856B0"/>
    <w:rsid w:val="5D0ABE45"/>
    <w:rsid w:val="5D0E4041"/>
    <w:rsid w:val="5D0E6798"/>
    <w:rsid w:val="5D0EBEBF"/>
    <w:rsid w:val="5D175425"/>
    <w:rsid w:val="5D188F54"/>
    <w:rsid w:val="5D1A9013"/>
    <w:rsid w:val="5D1EC67E"/>
    <w:rsid w:val="5D26EB77"/>
    <w:rsid w:val="5D28301F"/>
    <w:rsid w:val="5D29A595"/>
    <w:rsid w:val="5D29B402"/>
    <w:rsid w:val="5D2E10D7"/>
    <w:rsid w:val="5D314F2D"/>
    <w:rsid w:val="5D3231F1"/>
    <w:rsid w:val="5D388C3C"/>
    <w:rsid w:val="5D3B3B08"/>
    <w:rsid w:val="5D3CAF73"/>
    <w:rsid w:val="5D3F92B0"/>
    <w:rsid w:val="5D44C5CC"/>
    <w:rsid w:val="5D44DC0C"/>
    <w:rsid w:val="5D49CB10"/>
    <w:rsid w:val="5D4DE26A"/>
    <w:rsid w:val="5D5144C3"/>
    <w:rsid w:val="5D5441AA"/>
    <w:rsid w:val="5D609481"/>
    <w:rsid w:val="5D615664"/>
    <w:rsid w:val="5D6958A2"/>
    <w:rsid w:val="5D71D953"/>
    <w:rsid w:val="5D7CDC2D"/>
    <w:rsid w:val="5D7D2B01"/>
    <w:rsid w:val="5D8048CC"/>
    <w:rsid w:val="5D82B132"/>
    <w:rsid w:val="5D830B7F"/>
    <w:rsid w:val="5D8463FE"/>
    <w:rsid w:val="5D8640F3"/>
    <w:rsid w:val="5D896F3C"/>
    <w:rsid w:val="5D90CC10"/>
    <w:rsid w:val="5D92C33A"/>
    <w:rsid w:val="5D9BA8A9"/>
    <w:rsid w:val="5D9CAC37"/>
    <w:rsid w:val="5D9CCD3E"/>
    <w:rsid w:val="5DA1260F"/>
    <w:rsid w:val="5DA177C9"/>
    <w:rsid w:val="5DA30F73"/>
    <w:rsid w:val="5DA32774"/>
    <w:rsid w:val="5DA9B1CF"/>
    <w:rsid w:val="5DAA1AB3"/>
    <w:rsid w:val="5DAA28B6"/>
    <w:rsid w:val="5DAC324B"/>
    <w:rsid w:val="5DB5641B"/>
    <w:rsid w:val="5DB6CD92"/>
    <w:rsid w:val="5DBB77B5"/>
    <w:rsid w:val="5DBFF749"/>
    <w:rsid w:val="5DC13A4E"/>
    <w:rsid w:val="5DC31C89"/>
    <w:rsid w:val="5DC762DF"/>
    <w:rsid w:val="5DC7A2F2"/>
    <w:rsid w:val="5DCBDC6A"/>
    <w:rsid w:val="5DCDF569"/>
    <w:rsid w:val="5DD44EFE"/>
    <w:rsid w:val="5DD6B9E5"/>
    <w:rsid w:val="5DDB8CF6"/>
    <w:rsid w:val="5DDCB63D"/>
    <w:rsid w:val="5DDF0E96"/>
    <w:rsid w:val="5DE1099D"/>
    <w:rsid w:val="5DE6A96D"/>
    <w:rsid w:val="5DEC6721"/>
    <w:rsid w:val="5DF3814A"/>
    <w:rsid w:val="5DF43F54"/>
    <w:rsid w:val="5DF617CE"/>
    <w:rsid w:val="5DF9E5A2"/>
    <w:rsid w:val="5E05EC1C"/>
    <w:rsid w:val="5E08699E"/>
    <w:rsid w:val="5E0944D4"/>
    <w:rsid w:val="5E0ACC84"/>
    <w:rsid w:val="5E0E3525"/>
    <w:rsid w:val="5E0F2628"/>
    <w:rsid w:val="5E103E3F"/>
    <w:rsid w:val="5E107E17"/>
    <w:rsid w:val="5E13C6E9"/>
    <w:rsid w:val="5E165F35"/>
    <w:rsid w:val="5E17EC8F"/>
    <w:rsid w:val="5E1D1AA5"/>
    <w:rsid w:val="5E206A4B"/>
    <w:rsid w:val="5E22AE41"/>
    <w:rsid w:val="5E31E197"/>
    <w:rsid w:val="5E357656"/>
    <w:rsid w:val="5E40A1D7"/>
    <w:rsid w:val="5E41B55C"/>
    <w:rsid w:val="5E44E9D6"/>
    <w:rsid w:val="5E485443"/>
    <w:rsid w:val="5E49E83A"/>
    <w:rsid w:val="5E4D1990"/>
    <w:rsid w:val="5E4EE664"/>
    <w:rsid w:val="5E5027D0"/>
    <w:rsid w:val="5E53CC2D"/>
    <w:rsid w:val="5E5765C3"/>
    <w:rsid w:val="5E58BAA0"/>
    <w:rsid w:val="5E615F41"/>
    <w:rsid w:val="5E618011"/>
    <w:rsid w:val="5E635E40"/>
    <w:rsid w:val="5E692A8B"/>
    <w:rsid w:val="5E74D9EF"/>
    <w:rsid w:val="5E795FFD"/>
    <w:rsid w:val="5E7EC75B"/>
    <w:rsid w:val="5E8017B6"/>
    <w:rsid w:val="5E823C2E"/>
    <w:rsid w:val="5E87A700"/>
    <w:rsid w:val="5E885C3E"/>
    <w:rsid w:val="5E896BB8"/>
    <w:rsid w:val="5E8AAA96"/>
    <w:rsid w:val="5E8D2634"/>
    <w:rsid w:val="5E91CC30"/>
    <w:rsid w:val="5E9318DE"/>
    <w:rsid w:val="5E9D2A4A"/>
    <w:rsid w:val="5EA36A87"/>
    <w:rsid w:val="5EA5B0A5"/>
    <w:rsid w:val="5EA9830E"/>
    <w:rsid w:val="5EADB45E"/>
    <w:rsid w:val="5EB88868"/>
    <w:rsid w:val="5EBC5148"/>
    <w:rsid w:val="5EBD56D8"/>
    <w:rsid w:val="5EBED09B"/>
    <w:rsid w:val="5EC95DD5"/>
    <w:rsid w:val="5ECAE918"/>
    <w:rsid w:val="5ECED9AC"/>
    <w:rsid w:val="5ECFA284"/>
    <w:rsid w:val="5ECFBAC2"/>
    <w:rsid w:val="5ECFEDB5"/>
    <w:rsid w:val="5EE22571"/>
    <w:rsid w:val="5EE936C7"/>
    <w:rsid w:val="5EEA2DEC"/>
    <w:rsid w:val="5EEE017D"/>
    <w:rsid w:val="5EEE426B"/>
    <w:rsid w:val="5EF1D28C"/>
    <w:rsid w:val="5EF68C90"/>
    <w:rsid w:val="5EF80FA0"/>
    <w:rsid w:val="5EF9B154"/>
    <w:rsid w:val="5F049419"/>
    <w:rsid w:val="5F11652E"/>
    <w:rsid w:val="5F1B5F3B"/>
    <w:rsid w:val="5F1BD5DF"/>
    <w:rsid w:val="5F2620ED"/>
    <w:rsid w:val="5F2621F1"/>
    <w:rsid w:val="5F26A009"/>
    <w:rsid w:val="5F2C6084"/>
    <w:rsid w:val="5F2F5E66"/>
    <w:rsid w:val="5F39918B"/>
    <w:rsid w:val="5F3A743E"/>
    <w:rsid w:val="5F3BBC78"/>
    <w:rsid w:val="5F3E5E8D"/>
    <w:rsid w:val="5F413A54"/>
    <w:rsid w:val="5F48A161"/>
    <w:rsid w:val="5F495E22"/>
    <w:rsid w:val="5F4E5546"/>
    <w:rsid w:val="5F4EC5CE"/>
    <w:rsid w:val="5F4FA93B"/>
    <w:rsid w:val="5F4FB277"/>
    <w:rsid w:val="5F5B12DC"/>
    <w:rsid w:val="5F618878"/>
    <w:rsid w:val="5F630DB5"/>
    <w:rsid w:val="5F69F7F8"/>
    <w:rsid w:val="5F7133FF"/>
    <w:rsid w:val="5F781BBC"/>
    <w:rsid w:val="5F782EDD"/>
    <w:rsid w:val="5F814706"/>
    <w:rsid w:val="5F86238B"/>
    <w:rsid w:val="5F8CC941"/>
    <w:rsid w:val="5F9D3394"/>
    <w:rsid w:val="5FA094D3"/>
    <w:rsid w:val="5FA85343"/>
    <w:rsid w:val="5FAABDC5"/>
    <w:rsid w:val="5FB5B226"/>
    <w:rsid w:val="5FB83889"/>
    <w:rsid w:val="5FB8EB06"/>
    <w:rsid w:val="5FBF5F80"/>
    <w:rsid w:val="5FBFED67"/>
    <w:rsid w:val="5FC10814"/>
    <w:rsid w:val="5FC1E5A7"/>
    <w:rsid w:val="5FC69F60"/>
    <w:rsid w:val="5FD14C69"/>
    <w:rsid w:val="5FD21D19"/>
    <w:rsid w:val="5FDA5D90"/>
    <w:rsid w:val="5FDAA199"/>
    <w:rsid w:val="5FE613D9"/>
    <w:rsid w:val="5FE67B1A"/>
    <w:rsid w:val="5FE88B9C"/>
    <w:rsid w:val="5FE96BF5"/>
    <w:rsid w:val="5FEA6818"/>
    <w:rsid w:val="5FEEAEA9"/>
    <w:rsid w:val="5FEEDBF1"/>
    <w:rsid w:val="5FF4E129"/>
    <w:rsid w:val="5FF640E7"/>
    <w:rsid w:val="5FF98805"/>
    <w:rsid w:val="6002A76B"/>
    <w:rsid w:val="600452EC"/>
    <w:rsid w:val="600A9FCC"/>
    <w:rsid w:val="600AC5AD"/>
    <w:rsid w:val="600CAC84"/>
    <w:rsid w:val="6014870C"/>
    <w:rsid w:val="6015CEE8"/>
    <w:rsid w:val="60175DFC"/>
    <w:rsid w:val="601BF34F"/>
    <w:rsid w:val="601FB2D3"/>
    <w:rsid w:val="60282586"/>
    <w:rsid w:val="6029AAEE"/>
    <w:rsid w:val="6029DF12"/>
    <w:rsid w:val="60319A29"/>
    <w:rsid w:val="603E44A8"/>
    <w:rsid w:val="603F5368"/>
    <w:rsid w:val="604643F3"/>
    <w:rsid w:val="60492626"/>
    <w:rsid w:val="6050AA38"/>
    <w:rsid w:val="605FF162"/>
    <w:rsid w:val="6062CD39"/>
    <w:rsid w:val="6063E146"/>
    <w:rsid w:val="606D20FB"/>
    <w:rsid w:val="6077BE28"/>
    <w:rsid w:val="607F7CA6"/>
    <w:rsid w:val="6082DC2E"/>
    <w:rsid w:val="608765F4"/>
    <w:rsid w:val="608AAEE7"/>
    <w:rsid w:val="608CE97C"/>
    <w:rsid w:val="6095B734"/>
    <w:rsid w:val="6098B52C"/>
    <w:rsid w:val="60A8EE05"/>
    <w:rsid w:val="60AC98F8"/>
    <w:rsid w:val="60ACCD4D"/>
    <w:rsid w:val="60B3DC09"/>
    <w:rsid w:val="60B5F79C"/>
    <w:rsid w:val="60B88137"/>
    <w:rsid w:val="60BAA716"/>
    <w:rsid w:val="60BBD5C4"/>
    <w:rsid w:val="60C27138"/>
    <w:rsid w:val="60C450F1"/>
    <w:rsid w:val="60C589F4"/>
    <w:rsid w:val="60CB2482"/>
    <w:rsid w:val="60CBFC57"/>
    <w:rsid w:val="60D048B6"/>
    <w:rsid w:val="60D15DA5"/>
    <w:rsid w:val="60D9617A"/>
    <w:rsid w:val="60DA1B96"/>
    <w:rsid w:val="60E093A1"/>
    <w:rsid w:val="60E31A73"/>
    <w:rsid w:val="60E7F0F5"/>
    <w:rsid w:val="60E9133A"/>
    <w:rsid w:val="60ED3D4D"/>
    <w:rsid w:val="60ED464D"/>
    <w:rsid w:val="60EDE411"/>
    <w:rsid w:val="60F75039"/>
    <w:rsid w:val="61016325"/>
    <w:rsid w:val="61054C19"/>
    <w:rsid w:val="610D30E8"/>
    <w:rsid w:val="6111D470"/>
    <w:rsid w:val="61250D53"/>
    <w:rsid w:val="612A47AE"/>
    <w:rsid w:val="612C3698"/>
    <w:rsid w:val="612CB83F"/>
    <w:rsid w:val="61318664"/>
    <w:rsid w:val="613401C7"/>
    <w:rsid w:val="613A1683"/>
    <w:rsid w:val="613EDF31"/>
    <w:rsid w:val="6154042D"/>
    <w:rsid w:val="61542EE3"/>
    <w:rsid w:val="6154662B"/>
    <w:rsid w:val="61547D51"/>
    <w:rsid w:val="6157C1B4"/>
    <w:rsid w:val="6160C56C"/>
    <w:rsid w:val="616697F0"/>
    <w:rsid w:val="6167244C"/>
    <w:rsid w:val="616A284A"/>
    <w:rsid w:val="616A54AF"/>
    <w:rsid w:val="617009D4"/>
    <w:rsid w:val="617250D4"/>
    <w:rsid w:val="617F42D0"/>
    <w:rsid w:val="617FDAE6"/>
    <w:rsid w:val="618645B8"/>
    <w:rsid w:val="61865200"/>
    <w:rsid w:val="6189887C"/>
    <w:rsid w:val="618AA9AF"/>
    <w:rsid w:val="618C9BB4"/>
    <w:rsid w:val="618EC323"/>
    <w:rsid w:val="61900031"/>
    <w:rsid w:val="6191D8EC"/>
    <w:rsid w:val="6194F9B7"/>
    <w:rsid w:val="619AA983"/>
    <w:rsid w:val="61A130DB"/>
    <w:rsid w:val="61A2B223"/>
    <w:rsid w:val="61A4BDB7"/>
    <w:rsid w:val="61A6702D"/>
    <w:rsid w:val="61A8F1AF"/>
    <w:rsid w:val="61AD8467"/>
    <w:rsid w:val="61B30901"/>
    <w:rsid w:val="61B460A7"/>
    <w:rsid w:val="61B960DA"/>
    <w:rsid w:val="61B9C4FE"/>
    <w:rsid w:val="61BF2C06"/>
    <w:rsid w:val="61BF49BE"/>
    <w:rsid w:val="61BFDEB4"/>
    <w:rsid w:val="61CF0841"/>
    <w:rsid w:val="61D3BD2B"/>
    <w:rsid w:val="61D73804"/>
    <w:rsid w:val="61E59403"/>
    <w:rsid w:val="61E6A15C"/>
    <w:rsid w:val="61ED7FA3"/>
    <w:rsid w:val="61F50B7D"/>
    <w:rsid w:val="61F6E1EA"/>
    <w:rsid w:val="61F9D463"/>
    <w:rsid w:val="61FB8421"/>
    <w:rsid w:val="6205918D"/>
    <w:rsid w:val="620EE07D"/>
    <w:rsid w:val="620F49E2"/>
    <w:rsid w:val="6215B641"/>
    <w:rsid w:val="6217F6B0"/>
    <w:rsid w:val="621B5DE1"/>
    <w:rsid w:val="621DEA34"/>
    <w:rsid w:val="621E5D84"/>
    <w:rsid w:val="62242359"/>
    <w:rsid w:val="622D692E"/>
    <w:rsid w:val="62365CBF"/>
    <w:rsid w:val="62371288"/>
    <w:rsid w:val="6237B673"/>
    <w:rsid w:val="623B2BE6"/>
    <w:rsid w:val="6247DA1F"/>
    <w:rsid w:val="624DDD04"/>
    <w:rsid w:val="62512BA3"/>
    <w:rsid w:val="625F0D37"/>
    <w:rsid w:val="6268E796"/>
    <w:rsid w:val="626A8688"/>
    <w:rsid w:val="626F6F22"/>
    <w:rsid w:val="626F96FF"/>
    <w:rsid w:val="6271751C"/>
    <w:rsid w:val="6272CDE8"/>
    <w:rsid w:val="627D2918"/>
    <w:rsid w:val="6282D368"/>
    <w:rsid w:val="62839993"/>
    <w:rsid w:val="6286BFAD"/>
    <w:rsid w:val="628B2577"/>
    <w:rsid w:val="628C7DE4"/>
    <w:rsid w:val="628EC2A5"/>
    <w:rsid w:val="6297AB61"/>
    <w:rsid w:val="629E82E2"/>
    <w:rsid w:val="629EE970"/>
    <w:rsid w:val="62A92291"/>
    <w:rsid w:val="62ABA0B7"/>
    <w:rsid w:val="62AD172C"/>
    <w:rsid w:val="62B394CA"/>
    <w:rsid w:val="62B58194"/>
    <w:rsid w:val="62B92F38"/>
    <w:rsid w:val="62BB1CE1"/>
    <w:rsid w:val="62C036C6"/>
    <w:rsid w:val="62C13F14"/>
    <w:rsid w:val="62C2D45D"/>
    <w:rsid w:val="62C2D710"/>
    <w:rsid w:val="62C4DF19"/>
    <w:rsid w:val="62D1A208"/>
    <w:rsid w:val="62D37DC9"/>
    <w:rsid w:val="62D4C4EF"/>
    <w:rsid w:val="62D787DD"/>
    <w:rsid w:val="62DA13A9"/>
    <w:rsid w:val="62DD54A3"/>
    <w:rsid w:val="62DEEBE1"/>
    <w:rsid w:val="62E29967"/>
    <w:rsid w:val="62E701E6"/>
    <w:rsid w:val="62E76B8D"/>
    <w:rsid w:val="62EDDA5F"/>
    <w:rsid w:val="62F08BC8"/>
    <w:rsid w:val="62F15ABF"/>
    <w:rsid w:val="62F9771B"/>
    <w:rsid w:val="62FFF297"/>
    <w:rsid w:val="630319B1"/>
    <w:rsid w:val="63067AA7"/>
    <w:rsid w:val="6306DC69"/>
    <w:rsid w:val="630CBCAA"/>
    <w:rsid w:val="6310D3BB"/>
    <w:rsid w:val="6311A3AC"/>
    <w:rsid w:val="631A4D19"/>
    <w:rsid w:val="63211FD0"/>
    <w:rsid w:val="6323B234"/>
    <w:rsid w:val="6325D26A"/>
    <w:rsid w:val="63288E5D"/>
    <w:rsid w:val="6328B336"/>
    <w:rsid w:val="632DB473"/>
    <w:rsid w:val="6332E57A"/>
    <w:rsid w:val="63356C40"/>
    <w:rsid w:val="633D7D31"/>
    <w:rsid w:val="633FF9CC"/>
    <w:rsid w:val="63447E07"/>
    <w:rsid w:val="634957BE"/>
    <w:rsid w:val="63508071"/>
    <w:rsid w:val="6355313B"/>
    <w:rsid w:val="63578E7E"/>
    <w:rsid w:val="635830C8"/>
    <w:rsid w:val="635A0126"/>
    <w:rsid w:val="635B3DF2"/>
    <w:rsid w:val="635EC466"/>
    <w:rsid w:val="6364914D"/>
    <w:rsid w:val="636B0DA3"/>
    <w:rsid w:val="6375C83D"/>
    <w:rsid w:val="63773459"/>
    <w:rsid w:val="63789C72"/>
    <w:rsid w:val="63791A7E"/>
    <w:rsid w:val="638255CF"/>
    <w:rsid w:val="63869E32"/>
    <w:rsid w:val="6389AC77"/>
    <w:rsid w:val="638A7839"/>
    <w:rsid w:val="6398B3DD"/>
    <w:rsid w:val="639C0199"/>
    <w:rsid w:val="63A41F45"/>
    <w:rsid w:val="63A6C0BA"/>
    <w:rsid w:val="63A81EAB"/>
    <w:rsid w:val="63A8A418"/>
    <w:rsid w:val="63AA37F5"/>
    <w:rsid w:val="63B7889F"/>
    <w:rsid w:val="63B7C484"/>
    <w:rsid w:val="63BB78C8"/>
    <w:rsid w:val="63BF49EE"/>
    <w:rsid w:val="63C3F2A5"/>
    <w:rsid w:val="63C7D181"/>
    <w:rsid w:val="63CCA31B"/>
    <w:rsid w:val="63CEE504"/>
    <w:rsid w:val="63CF689E"/>
    <w:rsid w:val="63D6C877"/>
    <w:rsid w:val="63D88D3E"/>
    <w:rsid w:val="63DA6693"/>
    <w:rsid w:val="63DD8B14"/>
    <w:rsid w:val="63E17FCD"/>
    <w:rsid w:val="63E39EC6"/>
    <w:rsid w:val="63EB7255"/>
    <w:rsid w:val="63F2E110"/>
    <w:rsid w:val="63F61A52"/>
    <w:rsid w:val="63F95BB7"/>
    <w:rsid w:val="63FE3A14"/>
    <w:rsid w:val="63FF16F1"/>
    <w:rsid w:val="6403CF93"/>
    <w:rsid w:val="640460B3"/>
    <w:rsid w:val="64082469"/>
    <w:rsid w:val="640900EE"/>
    <w:rsid w:val="640927F3"/>
    <w:rsid w:val="640C19D4"/>
    <w:rsid w:val="64187050"/>
    <w:rsid w:val="641A0272"/>
    <w:rsid w:val="641D3186"/>
    <w:rsid w:val="6422E279"/>
    <w:rsid w:val="64343308"/>
    <w:rsid w:val="64343F26"/>
    <w:rsid w:val="64377EF1"/>
    <w:rsid w:val="6439B7C6"/>
    <w:rsid w:val="643FDB05"/>
    <w:rsid w:val="6448EFBC"/>
    <w:rsid w:val="64497C9E"/>
    <w:rsid w:val="644E7833"/>
    <w:rsid w:val="6451BF64"/>
    <w:rsid w:val="6456AAAC"/>
    <w:rsid w:val="6458EE5E"/>
    <w:rsid w:val="645A9209"/>
    <w:rsid w:val="645D4432"/>
    <w:rsid w:val="64606BE6"/>
    <w:rsid w:val="6462FCF5"/>
    <w:rsid w:val="64643AA5"/>
    <w:rsid w:val="64658D3D"/>
    <w:rsid w:val="6465B719"/>
    <w:rsid w:val="6468537C"/>
    <w:rsid w:val="646CCCB0"/>
    <w:rsid w:val="646FBA88"/>
    <w:rsid w:val="6471C584"/>
    <w:rsid w:val="6478B3D5"/>
    <w:rsid w:val="647BF68E"/>
    <w:rsid w:val="6481FC36"/>
    <w:rsid w:val="6483B7C1"/>
    <w:rsid w:val="648A4F33"/>
    <w:rsid w:val="648BCBDA"/>
    <w:rsid w:val="648D5E63"/>
    <w:rsid w:val="6496B6C3"/>
    <w:rsid w:val="64A74010"/>
    <w:rsid w:val="64ADB33B"/>
    <w:rsid w:val="64ADCC9A"/>
    <w:rsid w:val="64B04B6D"/>
    <w:rsid w:val="64B603EA"/>
    <w:rsid w:val="64B6D4E0"/>
    <w:rsid w:val="64B8AE21"/>
    <w:rsid w:val="64B9A0DE"/>
    <w:rsid w:val="64BDD93B"/>
    <w:rsid w:val="64C42396"/>
    <w:rsid w:val="64C641B0"/>
    <w:rsid w:val="64CD157A"/>
    <w:rsid w:val="64CF24B3"/>
    <w:rsid w:val="64CFE82A"/>
    <w:rsid w:val="64D25CB0"/>
    <w:rsid w:val="64D34EFA"/>
    <w:rsid w:val="64D4326E"/>
    <w:rsid w:val="64D72689"/>
    <w:rsid w:val="64D7751E"/>
    <w:rsid w:val="64D8F208"/>
    <w:rsid w:val="64DCE6C5"/>
    <w:rsid w:val="64DE10EF"/>
    <w:rsid w:val="64DFF061"/>
    <w:rsid w:val="64E116FE"/>
    <w:rsid w:val="64E92748"/>
    <w:rsid w:val="64EBDB80"/>
    <w:rsid w:val="64EF21ED"/>
    <w:rsid w:val="64EF9A90"/>
    <w:rsid w:val="64F123A2"/>
    <w:rsid w:val="64F2C945"/>
    <w:rsid w:val="64F5AB56"/>
    <w:rsid w:val="64F9952A"/>
    <w:rsid w:val="6500E569"/>
    <w:rsid w:val="65073277"/>
    <w:rsid w:val="650DB057"/>
    <w:rsid w:val="650E3444"/>
    <w:rsid w:val="650EF8A5"/>
    <w:rsid w:val="650FE64F"/>
    <w:rsid w:val="651685B6"/>
    <w:rsid w:val="651C57B2"/>
    <w:rsid w:val="651FAFE8"/>
    <w:rsid w:val="65243EC5"/>
    <w:rsid w:val="65269AC7"/>
    <w:rsid w:val="65345556"/>
    <w:rsid w:val="6536E5CA"/>
    <w:rsid w:val="6540917F"/>
    <w:rsid w:val="6544CDDE"/>
    <w:rsid w:val="65468D08"/>
    <w:rsid w:val="65484317"/>
    <w:rsid w:val="65489AEF"/>
    <w:rsid w:val="65516A6D"/>
    <w:rsid w:val="65578326"/>
    <w:rsid w:val="655BAF6C"/>
    <w:rsid w:val="65602772"/>
    <w:rsid w:val="656067D1"/>
    <w:rsid w:val="6565BE31"/>
    <w:rsid w:val="65666190"/>
    <w:rsid w:val="65673824"/>
    <w:rsid w:val="65673B74"/>
    <w:rsid w:val="6567E236"/>
    <w:rsid w:val="6576444C"/>
    <w:rsid w:val="657C4A78"/>
    <w:rsid w:val="657EF1D0"/>
    <w:rsid w:val="657F9298"/>
    <w:rsid w:val="658231D0"/>
    <w:rsid w:val="65835E66"/>
    <w:rsid w:val="6584C3E7"/>
    <w:rsid w:val="65878188"/>
    <w:rsid w:val="658DBD9A"/>
    <w:rsid w:val="658DEAEF"/>
    <w:rsid w:val="6590E1ED"/>
    <w:rsid w:val="659C4925"/>
    <w:rsid w:val="65A1B065"/>
    <w:rsid w:val="65A72604"/>
    <w:rsid w:val="65AB513D"/>
    <w:rsid w:val="65ADB0FB"/>
    <w:rsid w:val="65B29469"/>
    <w:rsid w:val="65B5AF50"/>
    <w:rsid w:val="65B98667"/>
    <w:rsid w:val="65B9E550"/>
    <w:rsid w:val="65BAECD7"/>
    <w:rsid w:val="65C505D5"/>
    <w:rsid w:val="65CA1639"/>
    <w:rsid w:val="65CB25C7"/>
    <w:rsid w:val="65CEC713"/>
    <w:rsid w:val="65D2C494"/>
    <w:rsid w:val="65D32E06"/>
    <w:rsid w:val="65DA55A8"/>
    <w:rsid w:val="65DB25DF"/>
    <w:rsid w:val="65DC496F"/>
    <w:rsid w:val="65DED758"/>
    <w:rsid w:val="65EA9CDC"/>
    <w:rsid w:val="65EB86E6"/>
    <w:rsid w:val="65EDB2E4"/>
    <w:rsid w:val="65EFB8B4"/>
    <w:rsid w:val="65F05738"/>
    <w:rsid w:val="65F27C26"/>
    <w:rsid w:val="65F6592F"/>
    <w:rsid w:val="65FB2BD9"/>
    <w:rsid w:val="65FE1C65"/>
    <w:rsid w:val="6602CD63"/>
    <w:rsid w:val="66059537"/>
    <w:rsid w:val="6610F448"/>
    <w:rsid w:val="66124F53"/>
    <w:rsid w:val="6612504D"/>
    <w:rsid w:val="66133C06"/>
    <w:rsid w:val="66144D85"/>
    <w:rsid w:val="661624B3"/>
    <w:rsid w:val="661A9BEE"/>
    <w:rsid w:val="66249630"/>
    <w:rsid w:val="662840C9"/>
    <w:rsid w:val="662ABC9F"/>
    <w:rsid w:val="662D2B89"/>
    <w:rsid w:val="66317E24"/>
    <w:rsid w:val="6631DD82"/>
    <w:rsid w:val="663A8469"/>
    <w:rsid w:val="663C22BF"/>
    <w:rsid w:val="6641ECF6"/>
    <w:rsid w:val="6647240A"/>
    <w:rsid w:val="664AA012"/>
    <w:rsid w:val="664C40CC"/>
    <w:rsid w:val="664C7FCA"/>
    <w:rsid w:val="664C85F3"/>
    <w:rsid w:val="664E0F47"/>
    <w:rsid w:val="665487FC"/>
    <w:rsid w:val="6656CEED"/>
    <w:rsid w:val="665CE1A6"/>
    <w:rsid w:val="665DB626"/>
    <w:rsid w:val="66673485"/>
    <w:rsid w:val="66762426"/>
    <w:rsid w:val="667C9A5F"/>
    <w:rsid w:val="667DA149"/>
    <w:rsid w:val="6688F6E7"/>
    <w:rsid w:val="669400C7"/>
    <w:rsid w:val="66955EE6"/>
    <w:rsid w:val="669FF730"/>
    <w:rsid w:val="66A61856"/>
    <w:rsid w:val="66A6B1F2"/>
    <w:rsid w:val="66A773FB"/>
    <w:rsid w:val="66AD6AAF"/>
    <w:rsid w:val="66B4751D"/>
    <w:rsid w:val="66B6BEF3"/>
    <w:rsid w:val="66B99216"/>
    <w:rsid w:val="66C67C6D"/>
    <w:rsid w:val="66C94F08"/>
    <w:rsid w:val="66CC8CED"/>
    <w:rsid w:val="66CD04B8"/>
    <w:rsid w:val="66CF7EC1"/>
    <w:rsid w:val="66D885FF"/>
    <w:rsid w:val="66DA4B0E"/>
    <w:rsid w:val="66E7464D"/>
    <w:rsid w:val="66E81626"/>
    <w:rsid w:val="66E9F50C"/>
    <w:rsid w:val="66EA551A"/>
    <w:rsid w:val="66F79122"/>
    <w:rsid w:val="66FB1866"/>
    <w:rsid w:val="6705DC73"/>
    <w:rsid w:val="670733D3"/>
    <w:rsid w:val="67091C5D"/>
    <w:rsid w:val="670ADFB0"/>
    <w:rsid w:val="6712DBBF"/>
    <w:rsid w:val="6715CB38"/>
    <w:rsid w:val="67163F29"/>
    <w:rsid w:val="67200FB9"/>
    <w:rsid w:val="6727392F"/>
    <w:rsid w:val="6728F3C9"/>
    <w:rsid w:val="672ACCA5"/>
    <w:rsid w:val="672CC142"/>
    <w:rsid w:val="672F496A"/>
    <w:rsid w:val="673A11C7"/>
    <w:rsid w:val="673A531D"/>
    <w:rsid w:val="674AA429"/>
    <w:rsid w:val="674D7A96"/>
    <w:rsid w:val="67585272"/>
    <w:rsid w:val="67589279"/>
    <w:rsid w:val="675C9342"/>
    <w:rsid w:val="6760089D"/>
    <w:rsid w:val="67619680"/>
    <w:rsid w:val="67749A9E"/>
    <w:rsid w:val="6775829A"/>
    <w:rsid w:val="6775A9C6"/>
    <w:rsid w:val="677661F1"/>
    <w:rsid w:val="67776271"/>
    <w:rsid w:val="6782A0D7"/>
    <w:rsid w:val="678393CD"/>
    <w:rsid w:val="6799FD5A"/>
    <w:rsid w:val="679BB3FF"/>
    <w:rsid w:val="67A7260B"/>
    <w:rsid w:val="67A8C860"/>
    <w:rsid w:val="67A96891"/>
    <w:rsid w:val="67B240EA"/>
    <w:rsid w:val="67B292DD"/>
    <w:rsid w:val="67BAB88C"/>
    <w:rsid w:val="67BB5BA3"/>
    <w:rsid w:val="67BE3FE8"/>
    <w:rsid w:val="67C0E274"/>
    <w:rsid w:val="67C38F6B"/>
    <w:rsid w:val="67C6BB01"/>
    <w:rsid w:val="67C7C40A"/>
    <w:rsid w:val="67CE0CC5"/>
    <w:rsid w:val="67CF2802"/>
    <w:rsid w:val="67DACE49"/>
    <w:rsid w:val="67DB1A9E"/>
    <w:rsid w:val="67DC88B2"/>
    <w:rsid w:val="67E1CD0F"/>
    <w:rsid w:val="67E2850E"/>
    <w:rsid w:val="67E29330"/>
    <w:rsid w:val="67E56DEE"/>
    <w:rsid w:val="67E59A3D"/>
    <w:rsid w:val="67E90477"/>
    <w:rsid w:val="67EBD5EF"/>
    <w:rsid w:val="67EE83D6"/>
    <w:rsid w:val="67F06C00"/>
    <w:rsid w:val="67F4BAA3"/>
    <w:rsid w:val="67F579FD"/>
    <w:rsid w:val="67FA4D00"/>
    <w:rsid w:val="67FAABD6"/>
    <w:rsid w:val="67FE3297"/>
    <w:rsid w:val="67FECAE1"/>
    <w:rsid w:val="67FF7D9F"/>
    <w:rsid w:val="6801BA92"/>
    <w:rsid w:val="6803925E"/>
    <w:rsid w:val="68048C0A"/>
    <w:rsid w:val="680D9914"/>
    <w:rsid w:val="681274B1"/>
    <w:rsid w:val="68143F77"/>
    <w:rsid w:val="68184615"/>
    <w:rsid w:val="681B6896"/>
    <w:rsid w:val="681E05A7"/>
    <w:rsid w:val="6823190F"/>
    <w:rsid w:val="6827A653"/>
    <w:rsid w:val="6827B868"/>
    <w:rsid w:val="68333DF6"/>
    <w:rsid w:val="68378464"/>
    <w:rsid w:val="6842CDFF"/>
    <w:rsid w:val="684B5E36"/>
    <w:rsid w:val="684D6405"/>
    <w:rsid w:val="684E6559"/>
    <w:rsid w:val="68508421"/>
    <w:rsid w:val="6851F9C3"/>
    <w:rsid w:val="6853E59D"/>
    <w:rsid w:val="68548014"/>
    <w:rsid w:val="685BDF87"/>
    <w:rsid w:val="6869D52F"/>
    <w:rsid w:val="6879AFF7"/>
    <w:rsid w:val="68813191"/>
    <w:rsid w:val="6892F62B"/>
    <w:rsid w:val="6897063E"/>
    <w:rsid w:val="689CFA80"/>
    <w:rsid w:val="68A26709"/>
    <w:rsid w:val="68A3EC72"/>
    <w:rsid w:val="68B648BE"/>
    <w:rsid w:val="68B6626A"/>
    <w:rsid w:val="68C051F0"/>
    <w:rsid w:val="68C7C49B"/>
    <w:rsid w:val="68CE3A47"/>
    <w:rsid w:val="68D3DC10"/>
    <w:rsid w:val="68D50A31"/>
    <w:rsid w:val="68D62CE6"/>
    <w:rsid w:val="68D75FDB"/>
    <w:rsid w:val="68D9FB08"/>
    <w:rsid w:val="68DCB017"/>
    <w:rsid w:val="68E2571B"/>
    <w:rsid w:val="68E6F02B"/>
    <w:rsid w:val="68E7B84D"/>
    <w:rsid w:val="68E96C55"/>
    <w:rsid w:val="68ECC40D"/>
    <w:rsid w:val="68F0FADF"/>
    <w:rsid w:val="68F1520C"/>
    <w:rsid w:val="68FAF655"/>
    <w:rsid w:val="68FBEFC7"/>
    <w:rsid w:val="68FD703E"/>
    <w:rsid w:val="69034AE5"/>
    <w:rsid w:val="69038F8C"/>
    <w:rsid w:val="6907535A"/>
    <w:rsid w:val="690C7AB3"/>
    <w:rsid w:val="6928B82D"/>
    <w:rsid w:val="6929DA38"/>
    <w:rsid w:val="69326C16"/>
    <w:rsid w:val="69334810"/>
    <w:rsid w:val="69357AEE"/>
    <w:rsid w:val="6948D5D0"/>
    <w:rsid w:val="694BD63D"/>
    <w:rsid w:val="69531814"/>
    <w:rsid w:val="69574B25"/>
    <w:rsid w:val="695AB63F"/>
    <w:rsid w:val="69646141"/>
    <w:rsid w:val="696BC8C8"/>
    <w:rsid w:val="69742E67"/>
    <w:rsid w:val="69828E68"/>
    <w:rsid w:val="698AA0AC"/>
    <w:rsid w:val="698DDAEE"/>
    <w:rsid w:val="6996E504"/>
    <w:rsid w:val="699A5692"/>
    <w:rsid w:val="699AE279"/>
    <w:rsid w:val="69A1A801"/>
    <w:rsid w:val="69A3F54F"/>
    <w:rsid w:val="69A5E217"/>
    <w:rsid w:val="69AB2349"/>
    <w:rsid w:val="69AD0BD5"/>
    <w:rsid w:val="69B1B374"/>
    <w:rsid w:val="69B68CCF"/>
    <w:rsid w:val="69BA7A06"/>
    <w:rsid w:val="69C2D530"/>
    <w:rsid w:val="69C3AC59"/>
    <w:rsid w:val="69C5CC23"/>
    <w:rsid w:val="69CCF2FE"/>
    <w:rsid w:val="69D4E098"/>
    <w:rsid w:val="69D6C242"/>
    <w:rsid w:val="69DBBDA5"/>
    <w:rsid w:val="69E40B32"/>
    <w:rsid w:val="69EAFD05"/>
    <w:rsid w:val="69ECE12C"/>
    <w:rsid w:val="69F4251E"/>
    <w:rsid w:val="69F600D4"/>
    <w:rsid w:val="69F7965E"/>
    <w:rsid w:val="69F79C1B"/>
    <w:rsid w:val="69F79C33"/>
    <w:rsid w:val="69F88F4D"/>
    <w:rsid w:val="69F9C945"/>
    <w:rsid w:val="69FF36AC"/>
    <w:rsid w:val="6A00BECB"/>
    <w:rsid w:val="6A041DF7"/>
    <w:rsid w:val="6A069C3A"/>
    <w:rsid w:val="6A16B254"/>
    <w:rsid w:val="6A16F0F6"/>
    <w:rsid w:val="6A188197"/>
    <w:rsid w:val="6A1C8650"/>
    <w:rsid w:val="6A1F82D5"/>
    <w:rsid w:val="6A21CAA2"/>
    <w:rsid w:val="6A2BCDCC"/>
    <w:rsid w:val="6A339895"/>
    <w:rsid w:val="6A346FB1"/>
    <w:rsid w:val="6A360B0B"/>
    <w:rsid w:val="6A383456"/>
    <w:rsid w:val="6A392C6B"/>
    <w:rsid w:val="6A39B9BF"/>
    <w:rsid w:val="6A3EDDCC"/>
    <w:rsid w:val="6A422155"/>
    <w:rsid w:val="6A6280B5"/>
    <w:rsid w:val="6A633B84"/>
    <w:rsid w:val="6A648EE6"/>
    <w:rsid w:val="6A66CC11"/>
    <w:rsid w:val="6A66D549"/>
    <w:rsid w:val="6A684710"/>
    <w:rsid w:val="6A68C79A"/>
    <w:rsid w:val="6A69D99E"/>
    <w:rsid w:val="6A6D52B9"/>
    <w:rsid w:val="6A6E2997"/>
    <w:rsid w:val="6A78F8E8"/>
    <w:rsid w:val="6A804B63"/>
    <w:rsid w:val="6A816EEF"/>
    <w:rsid w:val="6A8539F3"/>
    <w:rsid w:val="6A878B65"/>
    <w:rsid w:val="6A8AA0D7"/>
    <w:rsid w:val="6A8B7252"/>
    <w:rsid w:val="6A9075D8"/>
    <w:rsid w:val="6A9272FB"/>
    <w:rsid w:val="6A9D8BFA"/>
    <w:rsid w:val="6AA2A4B9"/>
    <w:rsid w:val="6AA2F56C"/>
    <w:rsid w:val="6AA87C31"/>
    <w:rsid w:val="6AACE02C"/>
    <w:rsid w:val="6AB43B1D"/>
    <w:rsid w:val="6AB6042E"/>
    <w:rsid w:val="6AB636CB"/>
    <w:rsid w:val="6AB67459"/>
    <w:rsid w:val="6ABF49A7"/>
    <w:rsid w:val="6ABF938E"/>
    <w:rsid w:val="6AC1FE25"/>
    <w:rsid w:val="6AC42A63"/>
    <w:rsid w:val="6AC933E2"/>
    <w:rsid w:val="6AC977E6"/>
    <w:rsid w:val="6AD131EB"/>
    <w:rsid w:val="6AD40DD8"/>
    <w:rsid w:val="6AD52866"/>
    <w:rsid w:val="6AD64BC2"/>
    <w:rsid w:val="6AE05630"/>
    <w:rsid w:val="6AE78DD5"/>
    <w:rsid w:val="6AE82945"/>
    <w:rsid w:val="6AF32EF3"/>
    <w:rsid w:val="6AF46815"/>
    <w:rsid w:val="6AFBA6E3"/>
    <w:rsid w:val="6AFCD6D3"/>
    <w:rsid w:val="6B042634"/>
    <w:rsid w:val="6B09F7AB"/>
    <w:rsid w:val="6B0DC5A4"/>
    <w:rsid w:val="6B0F4E38"/>
    <w:rsid w:val="6B16D03D"/>
    <w:rsid w:val="6B19D5B6"/>
    <w:rsid w:val="6B1D5E43"/>
    <w:rsid w:val="6B1DA35D"/>
    <w:rsid w:val="6B1ED63C"/>
    <w:rsid w:val="6B22EE81"/>
    <w:rsid w:val="6B24389E"/>
    <w:rsid w:val="6B27F91F"/>
    <w:rsid w:val="6B2958A2"/>
    <w:rsid w:val="6B2AF214"/>
    <w:rsid w:val="6B2E7703"/>
    <w:rsid w:val="6B2FD1DE"/>
    <w:rsid w:val="6B30B209"/>
    <w:rsid w:val="6B33DD0A"/>
    <w:rsid w:val="6B35DBB1"/>
    <w:rsid w:val="6B365446"/>
    <w:rsid w:val="6B3C6334"/>
    <w:rsid w:val="6B3E4056"/>
    <w:rsid w:val="6B4A548C"/>
    <w:rsid w:val="6B5212E1"/>
    <w:rsid w:val="6B5B5C81"/>
    <w:rsid w:val="6B5FE910"/>
    <w:rsid w:val="6B61FA91"/>
    <w:rsid w:val="6B62591C"/>
    <w:rsid w:val="6B660798"/>
    <w:rsid w:val="6B727701"/>
    <w:rsid w:val="6B7910F7"/>
    <w:rsid w:val="6B8DA6A6"/>
    <w:rsid w:val="6B93B0F5"/>
    <w:rsid w:val="6B974003"/>
    <w:rsid w:val="6B9AD688"/>
    <w:rsid w:val="6B9BB2C7"/>
    <w:rsid w:val="6B9CE1BB"/>
    <w:rsid w:val="6BA0D269"/>
    <w:rsid w:val="6BA3089E"/>
    <w:rsid w:val="6BAF281E"/>
    <w:rsid w:val="6BB0A8DF"/>
    <w:rsid w:val="6BBAFC6F"/>
    <w:rsid w:val="6BBCEA42"/>
    <w:rsid w:val="6BBF8955"/>
    <w:rsid w:val="6BCA03A4"/>
    <w:rsid w:val="6BCD66FE"/>
    <w:rsid w:val="6BD08334"/>
    <w:rsid w:val="6BD0C20E"/>
    <w:rsid w:val="6BD36463"/>
    <w:rsid w:val="6BD482B3"/>
    <w:rsid w:val="6BD5AFD9"/>
    <w:rsid w:val="6BD607F0"/>
    <w:rsid w:val="6BDB38C4"/>
    <w:rsid w:val="6BE014A8"/>
    <w:rsid w:val="6BE17A38"/>
    <w:rsid w:val="6BE3B628"/>
    <w:rsid w:val="6BEE408B"/>
    <w:rsid w:val="6BF0474D"/>
    <w:rsid w:val="6BF31F46"/>
    <w:rsid w:val="6BF56C47"/>
    <w:rsid w:val="6BFDE1A1"/>
    <w:rsid w:val="6BFE20F8"/>
    <w:rsid w:val="6BFE4020"/>
    <w:rsid w:val="6C02FE6F"/>
    <w:rsid w:val="6C0C1CA4"/>
    <w:rsid w:val="6C0EE5BA"/>
    <w:rsid w:val="6C14CA2E"/>
    <w:rsid w:val="6C1A7780"/>
    <w:rsid w:val="6C1B4887"/>
    <w:rsid w:val="6C1BF0E4"/>
    <w:rsid w:val="6C1C3BDE"/>
    <w:rsid w:val="6C1D1517"/>
    <w:rsid w:val="6C1EE4BC"/>
    <w:rsid w:val="6C2272C8"/>
    <w:rsid w:val="6C22DCDA"/>
    <w:rsid w:val="6C24B1A4"/>
    <w:rsid w:val="6C289854"/>
    <w:rsid w:val="6C293D41"/>
    <w:rsid w:val="6C2C287C"/>
    <w:rsid w:val="6C30723A"/>
    <w:rsid w:val="6C317042"/>
    <w:rsid w:val="6C341488"/>
    <w:rsid w:val="6C347330"/>
    <w:rsid w:val="6C349D5C"/>
    <w:rsid w:val="6C364DBC"/>
    <w:rsid w:val="6C377F80"/>
    <w:rsid w:val="6C39CF87"/>
    <w:rsid w:val="6C3E1038"/>
    <w:rsid w:val="6C40B7D1"/>
    <w:rsid w:val="6C420086"/>
    <w:rsid w:val="6C42C7AE"/>
    <w:rsid w:val="6C4510B5"/>
    <w:rsid w:val="6C4661A5"/>
    <w:rsid w:val="6C471F44"/>
    <w:rsid w:val="6C4C3351"/>
    <w:rsid w:val="6C527205"/>
    <w:rsid w:val="6C530DD1"/>
    <w:rsid w:val="6C53AEAB"/>
    <w:rsid w:val="6C5A3941"/>
    <w:rsid w:val="6C62E1AC"/>
    <w:rsid w:val="6C6351F1"/>
    <w:rsid w:val="6C640A14"/>
    <w:rsid w:val="6C6515A8"/>
    <w:rsid w:val="6C6A18CD"/>
    <w:rsid w:val="6C701833"/>
    <w:rsid w:val="6C73130D"/>
    <w:rsid w:val="6C774822"/>
    <w:rsid w:val="6C79EF94"/>
    <w:rsid w:val="6C7B1ADD"/>
    <w:rsid w:val="6C7C2691"/>
    <w:rsid w:val="6C7DFE4A"/>
    <w:rsid w:val="6C8EEB87"/>
    <w:rsid w:val="6C8FD113"/>
    <w:rsid w:val="6C9475F7"/>
    <w:rsid w:val="6C95BEE3"/>
    <w:rsid w:val="6C9A6690"/>
    <w:rsid w:val="6C9DAA75"/>
    <w:rsid w:val="6CA0229D"/>
    <w:rsid w:val="6CA3CC8A"/>
    <w:rsid w:val="6CAF1252"/>
    <w:rsid w:val="6CAF7D8A"/>
    <w:rsid w:val="6CAFC2C3"/>
    <w:rsid w:val="6CB10A76"/>
    <w:rsid w:val="6CB1341F"/>
    <w:rsid w:val="6CB26236"/>
    <w:rsid w:val="6CB4828A"/>
    <w:rsid w:val="6CBAB166"/>
    <w:rsid w:val="6CC3D8BA"/>
    <w:rsid w:val="6CC9177A"/>
    <w:rsid w:val="6CC990BA"/>
    <w:rsid w:val="6CCB298C"/>
    <w:rsid w:val="6CCBC144"/>
    <w:rsid w:val="6CD1796F"/>
    <w:rsid w:val="6CD27472"/>
    <w:rsid w:val="6CD5348E"/>
    <w:rsid w:val="6CD57D65"/>
    <w:rsid w:val="6CD9128F"/>
    <w:rsid w:val="6CDB360D"/>
    <w:rsid w:val="6CDC5D7D"/>
    <w:rsid w:val="6CDE0546"/>
    <w:rsid w:val="6CDFBD04"/>
    <w:rsid w:val="6CE2AF34"/>
    <w:rsid w:val="6CE31299"/>
    <w:rsid w:val="6CE6125D"/>
    <w:rsid w:val="6CEDB1C9"/>
    <w:rsid w:val="6CF3B168"/>
    <w:rsid w:val="6CF40730"/>
    <w:rsid w:val="6CF9995A"/>
    <w:rsid w:val="6CFADB76"/>
    <w:rsid w:val="6CFB2227"/>
    <w:rsid w:val="6D00E12B"/>
    <w:rsid w:val="6D03A88D"/>
    <w:rsid w:val="6D0652B5"/>
    <w:rsid w:val="6D0FC429"/>
    <w:rsid w:val="6D176003"/>
    <w:rsid w:val="6D18D74A"/>
    <w:rsid w:val="6D1915FE"/>
    <w:rsid w:val="6D2D9085"/>
    <w:rsid w:val="6D2E0B78"/>
    <w:rsid w:val="6D32459C"/>
    <w:rsid w:val="6D3359D0"/>
    <w:rsid w:val="6D349C4F"/>
    <w:rsid w:val="6D34E0A7"/>
    <w:rsid w:val="6D400735"/>
    <w:rsid w:val="6D40CC32"/>
    <w:rsid w:val="6D43AD3B"/>
    <w:rsid w:val="6D4497B6"/>
    <w:rsid w:val="6D4651C4"/>
    <w:rsid w:val="6D48805F"/>
    <w:rsid w:val="6D48D2AE"/>
    <w:rsid w:val="6D4E8B5D"/>
    <w:rsid w:val="6D523BB5"/>
    <w:rsid w:val="6D53C797"/>
    <w:rsid w:val="6D55C651"/>
    <w:rsid w:val="6D5AD336"/>
    <w:rsid w:val="6D5CF3BF"/>
    <w:rsid w:val="6D601676"/>
    <w:rsid w:val="6D603C8A"/>
    <w:rsid w:val="6D614D0D"/>
    <w:rsid w:val="6D6B9EBB"/>
    <w:rsid w:val="6D6F4180"/>
    <w:rsid w:val="6D703E02"/>
    <w:rsid w:val="6D75629B"/>
    <w:rsid w:val="6D793BDF"/>
    <w:rsid w:val="6D7BB2A1"/>
    <w:rsid w:val="6D8528AC"/>
    <w:rsid w:val="6D858004"/>
    <w:rsid w:val="6D876811"/>
    <w:rsid w:val="6D8E2FE0"/>
    <w:rsid w:val="6D9FF235"/>
    <w:rsid w:val="6DA57B68"/>
    <w:rsid w:val="6DAC734B"/>
    <w:rsid w:val="6DB33E4D"/>
    <w:rsid w:val="6DB3D02D"/>
    <w:rsid w:val="6DB4E61C"/>
    <w:rsid w:val="6DBC1970"/>
    <w:rsid w:val="6DBE14F8"/>
    <w:rsid w:val="6DBFEC4B"/>
    <w:rsid w:val="6DC0411F"/>
    <w:rsid w:val="6DC136EA"/>
    <w:rsid w:val="6DD21F60"/>
    <w:rsid w:val="6DD28458"/>
    <w:rsid w:val="6DDB4454"/>
    <w:rsid w:val="6DE18E35"/>
    <w:rsid w:val="6DE51ADE"/>
    <w:rsid w:val="6DE57340"/>
    <w:rsid w:val="6DE78547"/>
    <w:rsid w:val="6DE8DCA3"/>
    <w:rsid w:val="6DEB9AB8"/>
    <w:rsid w:val="6DECBAE2"/>
    <w:rsid w:val="6DED6BBA"/>
    <w:rsid w:val="6DED8575"/>
    <w:rsid w:val="6DF0B329"/>
    <w:rsid w:val="6DF2B07C"/>
    <w:rsid w:val="6DFC066A"/>
    <w:rsid w:val="6DFECE95"/>
    <w:rsid w:val="6E055ED6"/>
    <w:rsid w:val="6E056255"/>
    <w:rsid w:val="6E0B97A6"/>
    <w:rsid w:val="6E0F621A"/>
    <w:rsid w:val="6E143CEF"/>
    <w:rsid w:val="6E14AE8F"/>
    <w:rsid w:val="6E1E5E54"/>
    <w:rsid w:val="6E213D45"/>
    <w:rsid w:val="6E22DAD9"/>
    <w:rsid w:val="6E29D806"/>
    <w:rsid w:val="6E2D46A9"/>
    <w:rsid w:val="6E2F27F2"/>
    <w:rsid w:val="6E32B1EB"/>
    <w:rsid w:val="6E339C6D"/>
    <w:rsid w:val="6E39116E"/>
    <w:rsid w:val="6E39E9E3"/>
    <w:rsid w:val="6E3B76B9"/>
    <w:rsid w:val="6E47C7B2"/>
    <w:rsid w:val="6E4B9324"/>
    <w:rsid w:val="6E4EFAEF"/>
    <w:rsid w:val="6E543A59"/>
    <w:rsid w:val="6E56399E"/>
    <w:rsid w:val="6E5C81F3"/>
    <w:rsid w:val="6E5CA990"/>
    <w:rsid w:val="6E5F0B47"/>
    <w:rsid w:val="6E629425"/>
    <w:rsid w:val="6E7017CF"/>
    <w:rsid w:val="6E781673"/>
    <w:rsid w:val="6E78C5DA"/>
    <w:rsid w:val="6E799E77"/>
    <w:rsid w:val="6E7A9425"/>
    <w:rsid w:val="6E7EA49C"/>
    <w:rsid w:val="6E80E837"/>
    <w:rsid w:val="6E81B1B1"/>
    <w:rsid w:val="6E82EAC1"/>
    <w:rsid w:val="6E835768"/>
    <w:rsid w:val="6E8992D0"/>
    <w:rsid w:val="6E8B167D"/>
    <w:rsid w:val="6E8BCA5D"/>
    <w:rsid w:val="6E92489B"/>
    <w:rsid w:val="6E95AFD0"/>
    <w:rsid w:val="6E9903BC"/>
    <w:rsid w:val="6EA05BD5"/>
    <w:rsid w:val="6EA1E392"/>
    <w:rsid w:val="6EA36F71"/>
    <w:rsid w:val="6EA47D25"/>
    <w:rsid w:val="6EA9CAF2"/>
    <w:rsid w:val="6EAEF85B"/>
    <w:rsid w:val="6EB5C46C"/>
    <w:rsid w:val="6EBB9595"/>
    <w:rsid w:val="6ECA76F6"/>
    <w:rsid w:val="6ECEF13E"/>
    <w:rsid w:val="6ED0C860"/>
    <w:rsid w:val="6EDB472C"/>
    <w:rsid w:val="6EE1C5E3"/>
    <w:rsid w:val="6EE41291"/>
    <w:rsid w:val="6EEA95B3"/>
    <w:rsid w:val="6EF1CB41"/>
    <w:rsid w:val="6EF2DED9"/>
    <w:rsid w:val="6EFA5202"/>
    <w:rsid w:val="6EFA9C54"/>
    <w:rsid w:val="6EFE8D0D"/>
    <w:rsid w:val="6EFFD3AA"/>
    <w:rsid w:val="6F0266EE"/>
    <w:rsid w:val="6F031AE7"/>
    <w:rsid w:val="6F0691C4"/>
    <w:rsid w:val="6F069734"/>
    <w:rsid w:val="6F113B99"/>
    <w:rsid w:val="6F262DBA"/>
    <w:rsid w:val="6F267026"/>
    <w:rsid w:val="6F28A6EE"/>
    <w:rsid w:val="6F3BAED9"/>
    <w:rsid w:val="6F3BF954"/>
    <w:rsid w:val="6F3DF63F"/>
    <w:rsid w:val="6F41304A"/>
    <w:rsid w:val="6F463B38"/>
    <w:rsid w:val="6F48CA4F"/>
    <w:rsid w:val="6F57817B"/>
    <w:rsid w:val="6F5C026C"/>
    <w:rsid w:val="6F69B14E"/>
    <w:rsid w:val="6F69FD97"/>
    <w:rsid w:val="6F6AE171"/>
    <w:rsid w:val="6F6C603F"/>
    <w:rsid w:val="6F70823E"/>
    <w:rsid w:val="6F711D6F"/>
    <w:rsid w:val="6F735A07"/>
    <w:rsid w:val="6F741533"/>
    <w:rsid w:val="6F74F8FA"/>
    <w:rsid w:val="6F77DD2A"/>
    <w:rsid w:val="6F78398A"/>
    <w:rsid w:val="6F7C4686"/>
    <w:rsid w:val="6F87E0B6"/>
    <w:rsid w:val="6F8A75D9"/>
    <w:rsid w:val="6F9150F2"/>
    <w:rsid w:val="6F9180A4"/>
    <w:rsid w:val="6F918755"/>
    <w:rsid w:val="6F9311E6"/>
    <w:rsid w:val="6F949544"/>
    <w:rsid w:val="6F9789CE"/>
    <w:rsid w:val="6F97B32F"/>
    <w:rsid w:val="6F9FB6F1"/>
    <w:rsid w:val="6FA37EAF"/>
    <w:rsid w:val="6FA6CCE1"/>
    <w:rsid w:val="6FAB801C"/>
    <w:rsid w:val="6FB24300"/>
    <w:rsid w:val="6FB50684"/>
    <w:rsid w:val="6FB79B99"/>
    <w:rsid w:val="6FB8ED21"/>
    <w:rsid w:val="6FC85D58"/>
    <w:rsid w:val="6FD1715F"/>
    <w:rsid w:val="6FE02ED9"/>
    <w:rsid w:val="6FE5448E"/>
    <w:rsid w:val="6FEA4160"/>
    <w:rsid w:val="6FED5BB5"/>
    <w:rsid w:val="6FEDA515"/>
    <w:rsid w:val="6FF612A3"/>
    <w:rsid w:val="6FF8FF85"/>
    <w:rsid w:val="6FFB257E"/>
    <w:rsid w:val="70057006"/>
    <w:rsid w:val="7006F12D"/>
    <w:rsid w:val="7017E531"/>
    <w:rsid w:val="7019D9E4"/>
    <w:rsid w:val="701DA731"/>
    <w:rsid w:val="701F812C"/>
    <w:rsid w:val="702303FE"/>
    <w:rsid w:val="70237D18"/>
    <w:rsid w:val="7023CD76"/>
    <w:rsid w:val="702ECE54"/>
    <w:rsid w:val="7037C9E0"/>
    <w:rsid w:val="703867BC"/>
    <w:rsid w:val="703C3495"/>
    <w:rsid w:val="703F0949"/>
    <w:rsid w:val="703FE5FD"/>
    <w:rsid w:val="7041162C"/>
    <w:rsid w:val="7044D81B"/>
    <w:rsid w:val="704524B6"/>
    <w:rsid w:val="70455BC4"/>
    <w:rsid w:val="70499DE1"/>
    <w:rsid w:val="704A463B"/>
    <w:rsid w:val="704CB6E7"/>
    <w:rsid w:val="704D3E6D"/>
    <w:rsid w:val="704E7409"/>
    <w:rsid w:val="70506D18"/>
    <w:rsid w:val="70513566"/>
    <w:rsid w:val="70546C3A"/>
    <w:rsid w:val="705616E1"/>
    <w:rsid w:val="7056D93F"/>
    <w:rsid w:val="705B30D3"/>
    <w:rsid w:val="7069D47E"/>
    <w:rsid w:val="706A0D6D"/>
    <w:rsid w:val="706BB103"/>
    <w:rsid w:val="706DCBE7"/>
    <w:rsid w:val="706F38BA"/>
    <w:rsid w:val="706F8523"/>
    <w:rsid w:val="70773111"/>
    <w:rsid w:val="7077BCFE"/>
    <w:rsid w:val="7079E924"/>
    <w:rsid w:val="707A2175"/>
    <w:rsid w:val="707D881E"/>
    <w:rsid w:val="707D8E57"/>
    <w:rsid w:val="7081D363"/>
    <w:rsid w:val="708765CD"/>
    <w:rsid w:val="7089E9A5"/>
    <w:rsid w:val="708DECA4"/>
    <w:rsid w:val="709A5D6E"/>
    <w:rsid w:val="709BA328"/>
    <w:rsid w:val="709DA009"/>
    <w:rsid w:val="70A080F8"/>
    <w:rsid w:val="70A9496C"/>
    <w:rsid w:val="70A9A966"/>
    <w:rsid w:val="70AA4DD8"/>
    <w:rsid w:val="70ACE3D7"/>
    <w:rsid w:val="70B0322D"/>
    <w:rsid w:val="70B10354"/>
    <w:rsid w:val="70B33C78"/>
    <w:rsid w:val="70B3BA4F"/>
    <w:rsid w:val="70C2CFC0"/>
    <w:rsid w:val="70C2D2F9"/>
    <w:rsid w:val="70C69069"/>
    <w:rsid w:val="70C7232E"/>
    <w:rsid w:val="70CDE881"/>
    <w:rsid w:val="70CE7F2D"/>
    <w:rsid w:val="70DA335C"/>
    <w:rsid w:val="70DC954D"/>
    <w:rsid w:val="70DE0058"/>
    <w:rsid w:val="70E2A678"/>
    <w:rsid w:val="70E3A747"/>
    <w:rsid w:val="70E6E1C7"/>
    <w:rsid w:val="70E89319"/>
    <w:rsid w:val="70EF22CA"/>
    <w:rsid w:val="70EFCA47"/>
    <w:rsid w:val="70F74951"/>
    <w:rsid w:val="710459E8"/>
    <w:rsid w:val="71063D3B"/>
    <w:rsid w:val="7109CACD"/>
    <w:rsid w:val="710B291B"/>
    <w:rsid w:val="71122EBC"/>
    <w:rsid w:val="71179092"/>
    <w:rsid w:val="7118943B"/>
    <w:rsid w:val="711A2500"/>
    <w:rsid w:val="711EBE2F"/>
    <w:rsid w:val="711F38DA"/>
    <w:rsid w:val="71256892"/>
    <w:rsid w:val="71280CF0"/>
    <w:rsid w:val="712DCF4D"/>
    <w:rsid w:val="71383497"/>
    <w:rsid w:val="713AB3EA"/>
    <w:rsid w:val="71426382"/>
    <w:rsid w:val="71483956"/>
    <w:rsid w:val="7149403C"/>
    <w:rsid w:val="71500B09"/>
    <w:rsid w:val="7155A7C8"/>
    <w:rsid w:val="71595122"/>
    <w:rsid w:val="715B71DA"/>
    <w:rsid w:val="715C60F1"/>
    <w:rsid w:val="715EADDE"/>
    <w:rsid w:val="716067CD"/>
    <w:rsid w:val="71610D32"/>
    <w:rsid w:val="71618DB6"/>
    <w:rsid w:val="716357E3"/>
    <w:rsid w:val="71642C43"/>
    <w:rsid w:val="716A52AD"/>
    <w:rsid w:val="716CF810"/>
    <w:rsid w:val="716E4A9D"/>
    <w:rsid w:val="716E502F"/>
    <w:rsid w:val="716E6B55"/>
    <w:rsid w:val="717107E6"/>
    <w:rsid w:val="7176035E"/>
    <w:rsid w:val="71778A5C"/>
    <w:rsid w:val="717863FD"/>
    <w:rsid w:val="7178F5D5"/>
    <w:rsid w:val="717AE710"/>
    <w:rsid w:val="717E933B"/>
    <w:rsid w:val="71803220"/>
    <w:rsid w:val="71869755"/>
    <w:rsid w:val="71870BB7"/>
    <w:rsid w:val="718EA561"/>
    <w:rsid w:val="719C38F0"/>
    <w:rsid w:val="719C5927"/>
    <w:rsid w:val="719F455B"/>
    <w:rsid w:val="71A2BB6B"/>
    <w:rsid w:val="71A8A7C5"/>
    <w:rsid w:val="71AE5961"/>
    <w:rsid w:val="71AF60D2"/>
    <w:rsid w:val="71BCC236"/>
    <w:rsid w:val="71BCF3CC"/>
    <w:rsid w:val="71BDB598"/>
    <w:rsid w:val="71C255C7"/>
    <w:rsid w:val="71C2EB03"/>
    <w:rsid w:val="71C586CB"/>
    <w:rsid w:val="71C68FEE"/>
    <w:rsid w:val="71C76829"/>
    <w:rsid w:val="71D593D8"/>
    <w:rsid w:val="71D9331E"/>
    <w:rsid w:val="71DD838D"/>
    <w:rsid w:val="71DDA743"/>
    <w:rsid w:val="71EF33B5"/>
    <w:rsid w:val="71F00214"/>
    <w:rsid w:val="71F45A6C"/>
    <w:rsid w:val="71F86F94"/>
    <w:rsid w:val="71FDFA03"/>
    <w:rsid w:val="7201679D"/>
    <w:rsid w:val="72021B71"/>
    <w:rsid w:val="7205101B"/>
    <w:rsid w:val="7207CD87"/>
    <w:rsid w:val="7211D532"/>
    <w:rsid w:val="72198980"/>
    <w:rsid w:val="721AEB38"/>
    <w:rsid w:val="721B732E"/>
    <w:rsid w:val="721CC058"/>
    <w:rsid w:val="721FC671"/>
    <w:rsid w:val="72218E58"/>
    <w:rsid w:val="7221FC80"/>
    <w:rsid w:val="7222C142"/>
    <w:rsid w:val="722657E2"/>
    <w:rsid w:val="7227213C"/>
    <w:rsid w:val="722832C0"/>
    <w:rsid w:val="72288845"/>
    <w:rsid w:val="722D4568"/>
    <w:rsid w:val="722DE080"/>
    <w:rsid w:val="722F90F7"/>
    <w:rsid w:val="7234945C"/>
    <w:rsid w:val="723F4018"/>
    <w:rsid w:val="72402612"/>
    <w:rsid w:val="72476A12"/>
    <w:rsid w:val="7247F4D9"/>
    <w:rsid w:val="724D6AAD"/>
    <w:rsid w:val="725797C0"/>
    <w:rsid w:val="725847D2"/>
    <w:rsid w:val="725BEA80"/>
    <w:rsid w:val="725DE991"/>
    <w:rsid w:val="726260CA"/>
    <w:rsid w:val="72631278"/>
    <w:rsid w:val="7268D103"/>
    <w:rsid w:val="726F745A"/>
    <w:rsid w:val="727256DD"/>
    <w:rsid w:val="72747ED2"/>
    <w:rsid w:val="72759305"/>
    <w:rsid w:val="727C65AC"/>
    <w:rsid w:val="7280AFEB"/>
    <w:rsid w:val="728EEB6D"/>
    <w:rsid w:val="7295AFFA"/>
    <w:rsid w:val="729D2381"/>
    <w:rsid w:val="729FB4F3"/>
    <w:rsid w:val="729FF598"/>
    <w:rsid w:val="72A01ABD"/>
    <w:rsid w:val="72A0A4AC"/>
    <w:rsid w:val="72B12EE9"/>
    <w:rsid w:val="72B3E5EF"/>
    <w:rsid w:val="72B74584"/>
    <w:rsid w:val="72BAF992"/>
    <w:rsid w:val="72C8EB52"/>
    <w:rsid w:val="72CA9F42"/>
    <w:rsid w:val="72CBD35E"/>
    <w:rsid w:val="72D6E7DB"/>
    <w:rsid w:val="72DA5D56"/>
    <w:rsid w:val="72DC1288"/>
    <w:rsid w:val="72E6AECF"/>
    <w:rsid w:val="72EBB639"/>
    <w:rsid w:val="72EC4B25"/>
    <w:rsid w:val="72F16845"/>
    <w:rsid w:val="72F75ABD"/>
    <w:rsid w:val="72FA2DE2"/>
    <w:rsid w:val="730315E2"/>
    <w:rsid w:val="7306A317"/>
    <w:rsid w:val="7307769B"/>
    <w:rsid w:val="730A9CA6"/>
    <w:rsid w:val="730FDAF2"/>
    <w:rsid w:val="73155800"/>
    <w:rsid w:val="73182EDA"/>
    <w:rsid w:val="73247797"/>
    <w:rsid w:val="7327CF2B"/>
    <w:rsid w:val="7327E7E8"/>
    <w:rsid w:val="732E72DA"/>
    <w:rsid w:val="7336BD84"/>
    <w:rsid w:val="733B8D6B"/>
    <w:rsid w:val="733CFB60"/>
    <w:rsid w:val="733DC1F7"/>
    <w:rsid w:val="733E6E9D"/>
    <w:rsid w:val="73490979"/>
    <w:rsid w:val="734CEA03"/>
    <w:rsid w:val="73517556"/>
    <w:rsid w:val="7351867D"/>
    <w:rsid w:val="73529355"/>
    <w:rsid w:val="7355412F"/>
    <w:rsid w:val="7355C18D"/>
    <w:rsid w:val="7356BD80"/>
    <w:rsid w:val="73599AEE"/>
    <w:rsid w:val="735D26F0"/>
    <w:rsid w:val="735DA0E5"/>
    <w:rsid w:val="7363924B"/>
    <w:rsid w:val="736A0EE1"/>
    <w:rsid w:val="7378DDA1"/>
    <w:rsid w:val="73794FAD"/>
    <w:rsid w:val="7379F9A6"/>
    <w:rsid w:val="737A3BCE"/>
    <w:rsid w:val="737BA6B7"/>
    <w:rsid w:val="737E2CE8"/>
    <w:rsid w:val="73880DDA"/>
    <w:rsid w:val="7389AB22"/>
    <w:rsid w:val="7389EDC6"/>
    <w:rsid w:val="738B557A"/>
    <w:rsid w:val="738CCD51"/>
    <w:rsid w:val="738FA39D"/>
    <w:rsid w:val="739078A1"/>
    <w:rsid w:val="73933105"/>
    <w:rsid w:val="7397787B"/>
    <w:rsid w:val="739854A3"/>
    <w:rsid w:val="7399DED3"/>
    <w:rsid w:val="739AB26A"/>
    <w:rsid w:val="739BF17D"/>
    <w:rsid w:val="739FF829"/>
    <w:rsid w:val="73A040FA"/>
    <w:rsid w:val="73A0B5AA"/>
    <w:rsid w:val="73A9E953"/>
    <w:rsid w:val="73AC62AA"/>
    <w:rsid w:val="73AC6C93"/>
    <w:rsid w:val="73ADA936"/>
    <w:rsid w:val="73AE407A"/>
    <w:rsid w:val="73B50E23"/>
    <w:rsid w:val="73B57E69"/>
    <w:rsid w:val="73BB14F0"/>
    <w:rsid w:val="73BBD083"/>
    <w:rsid w:val="73C1527E"/>
    <w:rsid w:val="73C34219"/>
    <w:rsid w:val="73C6ED11"/>
    <w:rsid w:val="73CAA32F"/>
    <w:rsid w:val="73CBAF6D"/>
    <w:rsid w:val="73CF86C9"/>
    <w:rsid w:val="73D675B0"/>
    <w:rsid w:val="73DC9D56"/>
    <w:rsid w:val="73DFFACA"/>
    <w:rsid w:val="73E4E2C8"/>
    <w:rsid w:val="73E5069A"/>
    <w:rsid w:val="73EF5BB9"/>
    <w:rsid w:val="73F5B0F7"/>
    <w:rsid w:val="73F9E601"/>
    <w:rsid w:val="73FD1526"/>
    <w:rsid w:val="74000224"/>
    <w:rsid w:val="74002F51"/>
    <w:rsid w:val="74022A78"/>
    <w:rsid w:val="7406F7F9"/>
    <w:rsid w:val="74088D8B"/>
    <w:rsid w:val="740D5322"/>
    <w:rsid w:val="740F21B9"/>
    <w:rsid w:val="741932A8"/>
    <w:rsid w:val="7419687C"/>
    <w:rsid w:val="741AC837"/>
    <w:rsid w:val="7422CF06"/>
    <w:rsid w:val="74255269"/>
    <w:rsid w:val="742770FE"/>
    <w:rsid w:val="742B0A9F"/>
    <w:rsid w:val="7431050E"/>
    <w:rsid w:val="7441326F"/>
    <w:rsid w:val="74425E30"/>
    <w:rsid w:val="744649E6"/>
    <w:rsid w:val="74475F0D"/>
    <w:rsid w:val="744DCE92"/>
    <w:rsid w:val="744F2172"/>
    <w:rsid w:val="7451A04F"/>
    <w:rsid w:val="74591D03"/>
    <w:rsid w:val="74599209"/>
    <w:rsid w:val="7462A80A"/>
    <w:rsid w:val="746B50B2"/>
    <w:rsid w:val="746E1019"/>
    <w:rsid w:val="746EDC0A"/>
    <w:rsid w:val="746F460A"/>
    <w:rsid w:val="747BAFF5"/>
    <w:rsid w:val="74802741"/>
    <w:rsid w:val="7482025C"/>
    <w:rsid w:val="749362DF"/>
    <w:rsid w:val="7493A709"/>
    <w:rsid w:val="74945618"/>
    <w:rsid w:val="7495EC1A"/>
    <w:rsid w:val="74973496"/>
    <w:rsid w:val="7497CEC9"/>
    <w:rsid w:val="749A01E5"/>
    <w:rsid w:val="749A0474"/>
    <w:rsid w:val="749D1290"/>
    <w:rsid w:val="749DE5EF"/>
    <w:rsid w:val="74A1CC31"/>
    <w:rsid w:val="74A23310"/>
    <w:rsid w:val="74A452C8"/>
    <w:rsid w:val="74AC2B6B"/>
    <w:rsid w:val="74B22D28"/>
    <w:rsid w:val="74B245CF"/>
    <w:rsid w:val="74B51ED7"/>
    <w:rsid w:val="74B5B308"/>
    <w:rsid w:val="74C0AECE"/>
    <w:rsid w:val="74C68319"/>
    <w:rsid w:val="74CF4040"/>
    <w:rsid w:val="74D233EB"/>
    <w:rsid w:val="74D34AA6"/>
    <w:rsid w:val="74D50AD6"/>
    <w:rsid w:val="74D85E16"/>
    <w:rsid w:val="74DBB1C7"/>
    <w:rsid w:val="74DEB6F5"/>
    <w:rsid w:val="74DEF5E0"/>
    <w:rsid w:val="74E225FA"/>
    <w:rsid w:val="74E6518F"/>
    <w:rsid w:val="74E72846"/>
    <w:rsid w:val="74E7E60E"/>
    <w:rsid w:val="74ECC6B4"/>
    <w:rsid w:val="74FDADAC"/>
    <w:rsid w:val="74FF1DEE"/>
    <w:rsid w:val="7505F4AD"/>
    <w:rsid w:val="750ACC47"/>
    <w:rsid w:val="75105E08"/>
    <w:rsid w:val="7518190E"/>
    <w:rsid w:val="751DB7DF"/>
    <w:rsid w:val="752271CF"/>
    <w:rsid w:val="752DE285"/>
    <w:rsid w:val="75331538"/>
    <w:rsid w:val="7537A98B"/>
    <w:rsid w:val="753B2E6D"/>
    <w:rsid w:val="753E39D9"/>
    <w:rsid w:val="753E4657"/>
    <w:rsid w:val="7544B765"/>
    <w:rsid w:val="754886E6"/>
    <w:rsid w:val="7549C71B"/>
    <w:rsid w:val="7551D365"/>
    <w:rsid w:val="755439C2"/>
    <w:rsid w:val="7558BF20"/>
    <w:rsid w:val="755BA9DC"/>
    <w:rsid w:val="755D8EFC"/>
    <w:rsid w:val="755E7F0D"/>
    <w:rsid w:val="7564E3CC"/>
    <w:rsid w:val="756AD464"/>
    <w:rsid w:val="756FF660"/>
    <w:rsid w:val="75787B62"/>
    <w:rsid w:val="757DCB8A"/>
    <w:rsid w:val="7581990F"/>
    <w:rsid w:val="7588272A"/>
    <w:rsid w:val="75956F3E"/>
    <w:rsid w:val="759731D5"/>
    <w:rsid w:val="75991A90"/>
    <w:rsid w:val="759F7E8B"/>
    <w:rsid w:val="75A11912"/>
    <w:rsid w:val="75A3F149"/>
    <w:rsid w:val="75A4C2BF"/>
    <w:rsid w:val="75AB95D7"/>
    <w:rsid w:val="75ADCEF3"/>
    <w:rsid w:val="75B1DB39"/>
    <w:rsid w:val="75B28FAE"/>
    <w:rsid w:val="75B336FC"/>
    <w:rsid w:val="75B4D656"/>
    <w:rsid w:val="75BD100A"/>
    <w:rsid w:val="75C5F2B9"/>
    <w:rsid w:val="75D1F1C0"/>
    <w:rsid w:val="75DB9405"/>
    <w:rsid w:val="75DD0F44"/>
    <w:rsid w:val="75E24D6D"/>
    <w:rsid w:val="75E2EAB6"/>
    <w:rsid w:val="75E66F21"/>
    <w:rsid w:val="75EC29F0"/>
    <w:rsid w:val="75EDAFE8"/>
    <w:rsid w:val="75F19DAF"/>
    <w:rsid w:val="75FA898A"/>
    <w:rsid w:val="75FFFD7D"/>
    <w:rsid w:val="7609E9FD"/>
    <w:rsid w:val="761416AF"/>
    <w:rsid w:val="76178335"/>
    <w:rsid w:val="761B3A12"/>
    <w:rsid w:val="761C6D10"/>
    <w:rsid w:val="761C8407"/>
    <w:rsid w:val="76247C79"/>
    <w:rsid w:val="7624E1B8"/>
    <w:rsid w:val="762A60AC"/>
    <w:rsid w:val="76300158"/>
    <w:rsid w:val="7633406D"/>
    <w:rsid w:val="7637546E"/>
    <w:rsid w:val="7649926C"/>
    <w:rsid w:val="764A302C"/>
    <w:rsid w:val="764BA24E"/>
    <w:rsid w:val="7659E045"/>
    <w:rsid w:val="765B0CB5"/>
    <w:rsid w:val="765DF0A5"/>
    <w:rsid w:val="765FE84C"/>
    <w:rsid w:val="7660500E"/>
    <w:rsid w:val="7660FB0B"/>
    <w:rsid w:val="7662F0E6"/>
    <w:rsid w:val="7663578F"/>
    <w:rsid w:val="766E9264"/>
    <w:rsid w:val="7671CFDD"/>
    <w:rsid w:val="767B7B12"/>
    <w:rsid w:val="7682C512"/>
    <w:rsid w:val="768A1DF6"/>
    <w:rsid w:val="768C716F"/>
    <w:rsid w:val="76912482"/>
    <w:rsid w:val="76951952"/>
    <w:rsid w:val="769B86B4"/>
    <w:rsid w:val="76A24B2B"/>
    <w:rsid w:val="76A37531"/>
    <w:rsid w:val="76AC9F25"/>
    <w:rsid w:val="76AF6AAD"/>
    <w:rsid w:val="76B2477A"/>
    <w:rsid w:val="76B4955E"/>
    <w:rsid w:val="76C14162"/>
    <w:rsid w:val="76C3AFCD"/>
    <w:rsid w:val="76CEEC92"/>
    <w:rsid w:val="76CF53C2"/>
    <w:rsid w:val="76DB30E4"/>
    <w:rsid w:val="76DD61DB"/>
    <w:rsid w:val="76E06D61"/>
    <w:rsid w:val="76E2329F"/>
    <w:rsid w:val="76EB1D3E"/>
    <w:rsid w:val="76EC803D"/>
    <w:rsid w:val="76F15149"/>
    <w:rsid w:val="76FA1623"/>
    <w:rsid w:val="76FF862D"/>
    <w:rsid w:val="7704608C"/>
    <w:rsid w:val="7714539C"/>
    <w:rsid w:val="77182727"/>
    <w:rsid w:val="771C7220"/>
    <w:rsid w:val="77227170"/>
    <w:rsid w:val="77265A98"/>
    <w:rsid w:val="7730DE82"/>
    <w:rsid w:val="773375D0"/>
    <w:rsid w:val="773696F0"/>
    <w:rsid w:val="773B122D"/>
    <w:rsid w:val="773E3E7E"/>
    <w:rsid w:val="7747CD52"/>
    <w:rsid w:val="774988A1"/>
    <w:rsid w:val="774DE209"/>
    <w:rsid w:val="7751170E"/>
    <w:rsid w:val="77511F25"/>
    <w:rsid w:val="7752E4A6"/>
    <w:rsid w:val="77587A7F"/>
    <w:rsid w:val="7758DD87"/>
    <w:rsid w:val="776096C0"/>
    <w:rsid w:val="77633FBD"/>
    <w:rsid w:val="776D22E7"/>
    <w:rsid w:val="776F1F7B"/>
    <w:rsid w:val="77774550"/>
    <w:rsid w:val="7777FDE3"/>
    <w:rsid w:val="777CBA99"/>
    <w:rsid w:val="7786565B"/>
    <w:rsid w:val="778D2EE1"/>
    <w:rsid w:val="778D8EBB"/>
    <w:rsid w:val="778FA69A"/>
    <w:rsid w:val="779CEABE"/>
    <w:rsid w:val="77A2A6E4"/>
    <w:rsid w:val="77A87D19"/>
    <w:rsid w:val="77AA0F79"/>
    <w:rsid w:val="77AC931D"/>
    <w:rsid w:val="77ACB1FC"/>
    <w:rsid w:val="77BBD44A"/>
    <w:rsid w:val="77BE3849"/>
    <w:rsid w:val="77C12895"/>
    <w:rsid w:val="77C1FBFB"/>
    <w:rsid w:val="77C63193"/>
    <w:rsid w:val="77C6B767"/>
    <w:rsid w:val="77CEB30C"/>
    <w:rsid w:val="77D16803"/>
    <w:rsid w:val="77D28F8D"/>
    <w:rsid w:val="77DB1195"/>
    <w:rsid w:val="77DC1793"/>
    <w:rsid w:val="77DC3AC7"/>
    <w:rsid w:val="77DDC08E"/>
    <w:rsid w:val="77E5F1BE"/>
    <w:rsid w:val="77E70130"/>
    <w:rsid w:val="77E817C3"/>
    <w:rsid w:val="77EB5D36"/>
    <w:rsid w:val="77EFB103"/>
    <w:rsid w:val="77F4B630"/>
    <w:rsid w:val="77F74426"/>
    <w:rsid w:val="77FB42AF"/>
    <w:rsid w:val="77FFBE05"/>
    <w:rsid w:val="78045972"/>
    <w:rsid w:val="7806CD1E"/>
    <w:rsid w:val="780B0715"/>
    <w:rsid w:val="780B0C19"/>
    <w:rsid w:val="78156AA6"/>
    <w:rsid w:val="7815E781"/>
    <w:rsid w:val="781F4FCB"/>
    <w:rsid w:val="7821B58B"/>
    <w:rsid w:val="7826DC44"/>
    <w:rsid w:val="7826DE5F"/>
    <w:rsid w:val="782A0E8B"/>
    <w:rsid w:val="782DA406"/>
    <w:rsid w:val="782E0226"/>
    <w:rsid w:val="782E5984"/>
    <w:rsid w:val="7830214A"/>
    <w:rsid w:val="783466F1"/>
    <w:rsid w:val="7839383C"/>
    <w:rsid w:val="783A21C4"/>
    <w:rsid w:val="7841A02A"/>
    <w:rsid w:val="784C6A47"/>
    <w:rsid w:val="78505C11"/>
    <w:rsid w:val="78519496"/>
    <w:rsid w:val="7855CDEA"/>
    <w:rsid w:val="7858200F"/>
    <w:rsid w:val="7858C727"/>
    <w:rsid w:val="7859F874"/>
    <w:rsid w:val="785ED107"/>
    <w:rsid w:val="7860C0C4"/>
    <w:rsid w:val="7862AFD7"/>
    <w:rsid w:val="786A04F9"/>
    <w:rsid w:val="786C76A1"/>
    <w:rsid w:val="786E13BD"/>
    <w:rsid w:val="787039B4"/>
    <w:rsid w:val="78710ED8"/>
    <w:rsid w:val="78742F02"/>
    <w:rsid w:val="78797A16"/>
    <w:rsid w:val="787CD6C8"/>
    <w:rsid w:val="7885138C"/>
    <w:rsid w:val="7890D6E9"/>
    <w:rsid w:val="789A13B4"/>
    <w:rsid w:val="78A8B1EE"/>
    <w:rsid w:val="78A9A9AC"/>
    <w:rsid w:val="78AADC65"/>
    <w:rsid w:val="78B455CF"/>
    <w:rsid w:val="78BC086D"/>
    <w:rsid w:val="78C2A812"/>
    <w:rsid w:val="78C4AF0D"/>
    <w:rsid w:val="78C5AE21"/>
    <w:rsid w:val="78C6BE10"/>
    <w:rsid w:val="78CE5B8A"/>
    <w:rsid w:val="78D40ECF"/>
    <w:rsid w:val="78D82D6C"/>
    <w:rsid w:val="78EA6B66"/>
    <w:rsid w:val="78EAD59C"/>
    <w:rsid w:val="78EC9381"/>
    <w:rsid w:val="78EEBEE2"/>
    <w:rsid w:val="78EFDF7E"/>
    <w:rsid w:val="78F507D7"/>
    <w:rsid w:val="78F5D9EB"/>
    <w:rsid w:val="78F98B3B"/>
    <w:rsid w:val="78FA0678"/>
    <w:rsid w:val="78FBFC7F"/>
    <w:rsid w:val="78FDB84F"/>
    <w:rsid w:val="78FF5842"/>
    <w:rsid w:val="7904540F"/>
    <w:rsid w:val="790CCA77"/>
    <w:rsid w:val="790F1824"/>
    <w:rsid w:val="790FBE5D"/>
    <w:rsid w:val="7912FAC1"/>
    <w:rsid w:val="7913371F"/>
    <w:rsid w:val="7914FBFD"/>
    <w:rsid w:val="79159A76"/>
    <w:rsid w:val="79189DF4"/>
    <w:rsid w:val="792835C7"/>
    <w:rsid w:val="792946FE"/>
    <w:rsid w:val="7937BF81"/>
    <w:rsid w:val="7938BBDF"/>
    <w:rsid w:val="793BF8D0"/>
    <w:rsid w:val="793C2446"/>
    <w:rsid w:val="793F0C10"/>
    <w:rsid w:val="7940C88C"/>
    <w:rsid w:val="79431E38"/>
    <w:rsid w:val="7945C6F2"/>
    <w:rsid w:val="794811CF"/>
    <w:rsid w:val="7949DF13"/>
    <w:rsid w:val="794C6F00"/>
    <w:rsid w:val="79512D7B"/>
    <w:rsid w:val="795330F5"/>
    <w:rsid w:val="79568257"/>
    <w:rsid w:val="79612F38"/>
    <w:rsid w:val="7963434B"/>
    <w:rsid w:val="796429BB"/>
    <w:rsid w:val="796A2AB6"/>
    <w:rsid w:val="796EBE8B"/>
    <w:rsid w:val="7973031B"/>
    <w:rsid w:val="7976F776"/>
    <w:rsid w:val="797E6781"/>
    <w:rsid w:val="797F67D9"/>
    <w:rsid w:val="798A373E"/>
    <w:rsid w:val="798C4D7C"/>
    <w:rsid w:val="7990D9B2"/>
    <w:rsid w:val="799503BF"/>
    <w:rsid w:val="79961948"/>
    <w:rsid w:val="79991CB0"/>
    <w:rsid w:val="79997D30"/>
    <w:rsid w:val="79AC3090"/>
    <w:rsid w:val="79ACB16E"/>
    <w:rsid w:val="79AEC64D"/>
    <w:rsid w:val="79B243BB"/>
    <w:rsid w:val="79B90553"/>
    <w:rsid w:val="79BD2FA7"/>
    <w:rsid w:val="79C83BCC"/>
    <w:rsid w:val="79CEA061"/>
    <w:rsid w:val="79D6571C"/>
    <w:rsid w:val="79D98F2D"/>
    <w:rsid w:val="79DC28AF"/>
    <w:rsid w:val="79E81AB0"/>
    <w:rsid w:val="79F08C99"/>
    <w:rsid w:val="79F8AB32"/>
    <w:rsid w:val="79FDD359"/>
    <w:rsid w:val="7A00320A"/>
    <w:rsid w:val="7A0718A0"/>
    <w:rsid w:val="7A0C9D7A"/>
    <w:rsid w:val="7A0D70BB"/>
    <w:rsid w:val="7A0D8040"/>
    <w:rsid w:val="7A0F0EFF"/>
    <w:rsid w:val="7A1B811A"/>
    <w:rsid w:val="7A1E8B5C"/>
    <w:rsid w:val="7A1F2CC9"/>
    <w:rsid w:val="7A1FE58E"/>
    <w:rsid w:val="7A216E34"/>
    <w:rsid w:val="7A22A382"/>
    <w:rsid w:val="7A3634BF"/>
    <w:rsid w:val="7A384959"/>
    <w:rsid w:val="7A389989"/>
    <w:rsid w:val="7A3C682B"/>
    <w:rsid w:val="7A415C3C"/>
    <w:rsid w:val="7A42A8C9"/>
    <w:rsid w:val="7A444593"/>
    <w:rsid w:val="7A447692"/>
    <w:rsid w:val="7A451334"/>
    <w:rsid w:val="7A47F96E"/>
    <w:rsid w:val="7A4D233A"/>
    <w:rsid w:val="7A5547B6"/>
    <w:rsid w:val="7A5990E6"/>
    <w:rsid w:val="7A5AD063"/>
    <w:rsid w:val="7A5D9EB0"/>
    <w:rsid w:val="7A5E7873"/>
    <w:rsid w:val="7A6C35E7"/>
    <w:rsid w:val="7A6FEC77"/>
    <w:rsid w:val="7A71B4B5"/>
    <w:rsid w:val="7A72C141"/>
    <w:rsid w:val="7A73AB0D"/>
    <w:rsid w:val="7A76D1F5"/>
    <w:rsid w:val="7A793891"/>
    <w:rsid w:val="7A7E1B5A"/>
    <w:rsid w:val="7A7FFEE0"/>
    <w:rsid w:val="7A9397A1"/>
    <w:rsid w:val="7A9595B8"/>
    <w:rsid w:val="7A97F73B"/>
    <w:rsid w:val="7A9ABD9B"/>
    <w:rsid w:val="7A9B199E"/>
    <w:rsid w:val="7AA15D2F"/>
    <w:rsid w:val="7AA346D5"/>
    <w:rsid w:val="7AA5D102"/>
    <w:rsid w:val="7AA95C3F"/>
    <w:rsid w:val="7AB98FE3"/>
    <w:rsid w:val="7ABCC7E5"/>
    <w:rsid w:val="7ABFAF0C"/>
    <w:rsid w:val="7AC2BB4D"/>
    <w:rsid w:val="7AC33D05"/>
    <w:rsid w:val="7AC5D75E"/>
    <w:rsid w:val="7ACC632F"/>
    <w:rsid w:val="7ACE76C9"/>
    <w:rsid w:val="7AD09EBA"/>
    <w:rsid w:val="7AD57479"/>
    <w:rsid w:val="7AD8592C"/>
    <w:rsid w:val="7ADD00F7"/>
    <w:rsid w:val="7AE9A0A1"/>
    <w:rsid w:val="7AEA436A"/>
    <w:rsid w:val="7AF12495"/>
    <w:rsid w:val="7AF19B24"/>
    <w:rsid w:val="7AF4DF5C"/>
    <w:rsid w:val="7AF60043"/>
    <w:rsid w:val="7AF6BF5E"/>
    <w:rsid w:val="7AF74DED"/>
    <w:rsid w:val="7AFC171E"/>
    <w:rsid w:val="7B00D966"/>
    <w:rsid w:val="7B00FC78"/>
    <w:rsid w:val="7B071D6C"/>
    <w:rsid w:val="7B0C2241"/>
    <w:rsid w:val="7B1D9B3B"/>
    <w:rsid w:val="7B1E95B6"/>
    <w:rsid w:val="7B2188D9"/>
    <w:rsid w:val="7B234FD2"/>
    <w:rsid w:val="7B2641BC"/>
    <w:rsid w:val="7B33F9A1"/>
    <w:rsid w:val="7B358803"/>
    <w:rsid w:val="7B3D7D72"/>
    <w:rsid w:val="7B3D9170"/>
    <w:rsid w:val="7B43A10C"/>
    <w:rsid w:val="7B4B1095"/>
    <w:rsid w:val="7B525AF9"/>
    <w:rsid w:val="7B59E7ED"/>
    <w:rsid w:val="7B5B32FF"/>
    <w:rsid w:val="7B5C1544"/>
    <w:rsid w:val="7B5F87BB"/>
    <w:rsid w:val="7B5F8D5C"/>
    <w:rsid w:val="7B627010"/>
    <w:rsid w:val="7B641EC8"/>
    <w:rsid w:val="7B67D141"/>
    <w:rsid w:val="7B6DD4EC"/>
    <w:rsid w:val="7B6E75A3"/>
    <w:rsid w:val="7B706B9B"/>
    <w:rsid w:val="7B7C5997"/>
    <w:rsid w:val="7B7F545A"/>
    <w:rsid w:val="7B813344"/>
    <w:rsid w:val="7B833BCC"/>
    <w:rsid w:val="7B893558"/>
    <w:rsid w:val="7B8B6D39"/>
    <w:rsid w:val="7B8F795A"/>
    <w:rsid w:val="7B907E17"/>
    <w:rsid w:val="7B93BF40"/>
    <w:rsid w:val="7BA34828"/>
    <w:rsid w:val="7BA3E98C"/>
    <w:rsid w:val="7BAD7259"/>
    <w:rsid w:val="7BB02DB5"/>
    <w:rsid w:val="7BB4A5D6"/>
    <w:rsid w:val="7BB7443E"/>
    <w:rsid w:val="7BB7993E"/>
    <w:rsid w:val="7BBDB1A3"/>
    <w:rsid w:val="7BC54A33"/>
    <w:rsid w:val="7BCE6F22"/>
    <w:rsid w:val="7BD19351"/>
    <w:rsid w:val="7BD27EFE"/>
    <w:rsid w:val="7BD8221E"/>
    <w:rsid w:val="7BDE4848"/>
    <w:rsid w:val="7BE423DE"/>
    <w:rsid w:val="7BEC800F"/>
    <w:rsid w:val="7BECB422"/>
    <w:rsid w:val="7BEF2E93"/>
    <w:rsid w:val="7BF62576"/>
    <w:rsid w:val="7BF9042D"/>
    <w:rsid w:val="7BFA90D5"/>
    <w:rsid w:val="7BFD2AEB"/>
    <w:rsid w:val="7C03F72A"/>
    <w:rsid w:val="7C04B0C2"/>
    <w:rsid w:val="7C0B853C"/>
    <w:rsid w:val="7C1121C3"/>
    <w:rsid w:val="7C1FA4F0"/>
    <w:rsid w:val="7C255DF6"/>
    <w:rsid w:val="7C31900C"/>
    <w:rsid w:val="7C31D89B"/>
    <w:rsid w:val="7C324BC8"/>
    <w:rsid w:val="7C3843D3"/>
    <w:rsid w:val="7C38C592"/>
    <w:rsid w:val="7C3DAD2F"/>
    <w:rsid w:val="7C45CBDC"/>
    <w:rsid w:val="7C4E25EB"/>
    <w:rsid w:val="7C65965E"/>
    <w:rsid w:val="7C6A3CB4"/>
    <w:rsid w:val="7C71AD05"/>
    <w:rsid w:val="7C796BC7"/>
    <w:rsid w:val="7C799095"/>
    <w:rsid w:val="7C7C39B8"/>
    <w:rsid w:val="7C7CA2EB"/>
    <w:rsid w:val="7C802502"/>
    <w:rsid w:val="7C82A492"/>
    <w:rsid w:val="7C8306D1"/>
    <w:rsid w:val="7C884EAF"/>
    <w:rsid w:val="7C8CB21A"/>
    <w:rsid w:val="7C8D33EC"/>
    <w:rsid w:val="7C8EF4FA"/>
    <w:rsid w:val="7C90B0EB"/>
    <w:rsid w:val="7C92E3B9"/>
    <w:rsid w:val="7C97B3E4"/>
    <w:rsid w:val="7C98C33F"/>
    <w:rsid w:val="7C9D086F"/>
    <w:rsid w:val="7CA57C7B"/>
    <w:rsid w:val="7CA8356A"/>
    <w:rsid w:val="7CB35086"/>
    <w:rsid w:val="7CB40469"/>
    <w:rsid w:val="7CB47057"/>
    <w:rsid w:val="7CB8D5B5"/>
    <w:rsid w:val="7CBF7A52"/>
    <w:rsid w:val="7CC70B23"/>
    <w:rsid w:val="7CCC9963"/>
    <w:rsid w:val="7CCD3945"/>
    <w:rsid w:val="7CCE1C45"/>
    <w:rsid w:val="7CD14AE3"/>
    <w:rsid w:val="7CD43303"/>
    <w:rsid w:val="7CD4C94B"/>
    <w:rsid w:val="7CD6ED7E"/>
    <w:rsid w:val="7CD75641"/>
    <w:rsid w:val="7CD9F361"/>
    <w:rsid w:val="7CE14F39"/>
    <w:rsid w:val="7CE261A5"/>
    <w:rsid w:val="7CE5A90D"/>
    <w:rsid w:val="7CEBCD74"/>
    <w:rsid w:val="7CEFBD24"/>
    <w:rsid w:val="7CF03F55"/>
    <w:rsid w:val="7CF0DE60"/>
    <w:rsid w:val="7CFA245E"/>
    <w:rsid w:val="7D09190C"/>
    <w:rsid w:val="7D0F4746"/>
    <w:rsid w:val="7D1766DF"/>
    <w:rsid w:val="7D1C2054"/>
    <w:rsid w:val="7D1C3F8C"/>
    <w:rsid w:val="7D2120EC"/>
    <w:rsid w:val="7D23E1EC"/>
    <w:rsid w:val="7D2581B0"/>
    <w:rsid w:val="7D2B20D8"/>
    <w:rsid w:val="7D2E875D"/>
    <w:rsid w:val="7D301AB3"/>
    <w:rsid w:val="7D350A65"/>
    <w:rsid w:val="7D35FB2C"/>
    <w:rsid w:val="7D40C908"/>
    <w:rsid w:val="7D42F872"/>
    <w:rsid w:val="7D45D652"/>
    <w:rsid w:val="7D5208D5"/>
    <w:rsid w:val="7D56942C"/>
    <w:rsid w:val="7D58C4E8"/>
    <w:rsid w:val="7D5A7249"/>
    <w:rsid w:val="7D60870A"/>
    <w:rsid w:val="7D6113E2"/>
    <w:rsid w:val="7D61D465"/>
    <w:rsid w:val="7D65ADA4"/>
    <w:rsid w:val="7D6AE5DA"/>
    <w:rsid w:val="7D6DF54E"/>
    <w:rsid w:val="7D756206"/>
    <w:rsid w:val="7D76967C"/>
    <w:rsid w:val="7D76BBAA"/>
    <w:rsid w:val="7D76F175"/>
    <w:rsid w:val="7D79532F"/>
    <w:rsid w:val="7D79B873"/>
    <w:rsid w:val="7D7D0F6A"/>
    <w:rsid w:val="7D7E32FF"/>
    <w:rsid w:val="7D879FEA"/>
    <w:rsid w:val="7D882C6E"/>
    <w:rsid w:val="7D8972C2"/>
    <w:rsid w:val="7D8B6F02"/>
    <w:rsid w:val="7D91AFF9"/>
    <w:rsid w:val="7D9209E9"/>
    <w:rsid w:val="7D942DE6"/>
    <w:rsid w:val="7D977B1E"/>
    <w:rsid w:val="7D99DBF6"/>
    <w:rsid w:val="7D9BEFB6"/>
    <w:rsid w:val="7D9C4204"/>
    <w:rsid w:val="7D9C63CE"/>
    <w:rsid w:val="7D9E9870"/>
    <w:rsid w:val="7DA30282"/>
    <w:rsid w:val="7DA33CBC"/>
    <w:rsid w:val="7DA61E18"/>
    <w:rsid w:val="7DAFE306"/>
    <w:rsid w:val="7DB38819"/>
    <w:rsid w:val="7DB5AA0F"/>
    <w:rsid w:val="7DB7928D"/>
    <w:rsid w:val="7DB89839"/>
    <w:rsid w:val="7DC93FAD"/>
    <w:rsid w:val="7DCEA277"/>
    <w:rsid w:val="7DCFE31D"/>
    <w:rsid w:val="7DD11B86"/>
    <w:rsid w:val="7DD190DD"/>
    <w:rsid w:val="7DD88203"/>
    <w:rsid w:val="7DDBD00B"/>
    <w:rsid w:val="7DDF0EA7"/>
    <w:rsid w:val="7DE040AA"/>
    <w:rsid w:val="7DE068C6"/>
    <w:rsid w:val="7DE3C0C9"/>
    <w:rsid w:val="7DE5E550"/>
    <w:rsid w:val="7DE84AD5"/>
    <w:rsid w:val="7DE88702"/>
    <w:rsid w:val="7DED6D02"/>
    <w:rsid w:val="7DF30C8F"/>
    <w:rsid w:val="7DFE7CAF"/>
    <w:rsid w:val="7E02AB90"/>
    <w:rsid w:val="7E0B52B4"/>
    <w:rsid w:val="7E14FB71"/>
    <w:rsid w:val="7E169513"/>
    <w:rsid w:val="7E1763CF"/>
    <w:rsid w:val="7E18F3C4"/>
    <w:rsid w:val="7E1934AC"/>
    <w:rsid w:val="7E1C4486"/>
    <w:rsid w:val="7E214930"/>
    <w:rsid w:val="7E34B5B9"/>
    <w:rsid w:val="7E3AD28D"/>
    <w:rsid w:val="7E3BA83F"/>
    <w:rsid w:val="7E44233D"/>
    <w:rsid w:val="7E45C5FD"/>
    <w:rsid w:val="7E48AE77"/>
    <w:rsid w:val="7E4CC40B"/>
    <w:rsid w:val="7E528470"/>
    <w:rsid w:val="7E5755CC"/>
    <w:rsid w:val="7E57CB4E"/>
    <w:rsid w:val="7E598F9C"/>
    <w:rsid w:val="7E60EE64"/>
    <w:rsid w:val="7E6138DD"/>
    <w:rsid w:val="7E6CA3B5"/>
    <w:rsid w:val="7E732C5E"/>
    <w:rsid w:val="7E76136A"/>
    <w:rsid w:val="7E789EFE"/>
    <w:rsid w:val="7E7C6859"/>
    <w:rsid w:val="7E7CE1A6"/>
    <w:rsid w:val="7E7ECBD4"/>
    <w:rsid w:val="7E7FAE07"/>
    <w:rsid w:val="7E7FC0F2"/>
    <w:rsid w:val="7E8591F3"/>
    <w:rsid w:val="7E86CC44"/>
    <w:rsid w:val="7E86F157"/>
    <w:rsid w:val="7E87A96B"/>
    <w:rsid w:val="7E90FB0D"/>
    <w:rsid w:val="7E923EC9"/>
    <w:rsid w:val="7EA231C4"/>
    <w:rsid w:val="7EA6E30F"/>
    <w:rsid w:val="7EB1165B"/>
    <w:rsid w:val="7EB52880"/>
    <w:rsid w:val="7EB8B491"/>
    <w:rsid w:val="7EC0BC97"/>
    <w:rsid w:val="7EC48C5E"/>
    <w:rsid w:val="7EC6AAA4"/>
    <w:rsid w:val="7EC80F5C"/>
    <w:rsid w:val="7ECE3B50"/>
    <w:rsid w:val="7ECFC1F3"/>
    <w:rsid w:val="7ED12ED2"/>
    <w:rsid w:val="7ED3D6BC"/>
    <w:rsid w:val="7EE87F91"/>
    <w:rsid w:val="7EF080E7"/>
    <w:rsid w:val="7EF307BA"/>
    <w:rsid w:val="7EF3A17B"/>
    <w:rsid w:val="7EF5C38B"/>
    <w:rsid w:val="7EF94CF7"/>
    <w:rsid w:val="7EFA5FB9"/>
    <w:rsid w:val="7EFB8635"/>
    <w:rsid w:val="7EFE46D7"/>
    <w:rsid w:val="7F001459"/>
    <w:rsid w:val="7F014440"/>
    <w:rsid w:val="7F03AC80"/>
    <w:rsid w:val="7F03D63B"/>
    <w:rsid w:val="7F054F60"/>
    <w:rsid w:val="7F10A849"/>
    <w:rsid w:val="7F120191"/>
    <w:rsid w:val="7F1588A6"/>
    <w:rsid w:val="7F18B05C"/>
    <w:rsid w:val="7F1F49C5"/>
    <w:rsid w:val="7F209EC7"/>
    <w:rsid w:val="7F22904F"/>
    <w:rsid w:val="7F22DED9"/>
    <w:rsid w:val="7F25815C"/>
    <w:rsid w:val="7F3C5184"/>
    <w:rsid w:val="7F4068D9"/>
    <w:rsid w:val="7F430250"/>
    <w:rsid w:val="7F4E9385"/>
    <w:rsid w:val="7F6AE66D"/>
    <w:rsid w:val="7F70E3F7"/>
    <w:rsid w:val="7F72B744"/>
    <w:rsid w:val="7F73A921"/>
    <w:rsid w:val="7F762BBA"/>
    <w:rsid w:val="7F7695E6"/>
    <w:rsid w:val="7F7820B1"/>
    <w:rsid w:val="7F7E5EBA"/>
    <w:rsid w:val="7F8760B1"/>
    <w:rsid w:val="7F886EB3"/>
    <w:rsid w:val="7F895AE2"/>
    <w:rsid w:val="7F8F581C"/>
    <w:rsid w:val="7F96AC3B"/>
    <w:rsid w:val="7F9700E3"/>
    <w:rsid w:val="7F972A86"/>
    <w:rsid w:val="7F984C9E"/>
    <w:rsid w:val="7F99D958"/>
    <w:rsid w:val="7F9AD191"/>
    <w:rsid w:val="7F9D93B6"/>
    <w:rsid w:val="7FA1A5E2"/>
    <w:rsid w:val="7FA449AF"/>
    <w:rsid w:val="7FAF4B73"/>
    <w:rsid w:val="7FB1F8B1"/>
    <w:rsid w:val="7FB740CC"/>
    <w:rsid w:val="7FBA0494"/>
    <w:rsid w:val="7FBEF57D"/>
    <w:rsid w:val="7FC1A0A4"/>
    <w:rsid w:val="7FC225E5"/>
    <w:rsid w:val="7FC37D31"/>
    <w:rsid w:val="7FC434F6"/>
    <w:rsid w:val="7FD4C08B"/>
    <w:rsid w:val="7FD9C33D"/>
    <w:rsid w:val="7FDA704F"/>
    <w:rsid w:val="7FE95CC1"/>
    <w:rsid w:val="7FEDB2D2"/>
    <w:rsid w:val="7FF5C685"/>
    <w:rsid w:val="7FF8C91C"/>
    <w:rsid w:val="7FFC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2CABF1"/>
  <w15:docId w15:val="{39BEDE9E-00A0-4BC2-B6A5-BB8978E2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rsid w:val="00517205"/>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EC044F"/>
    <w:rPr>
      <w:rFonts w:ascii="Times New Roman" w:hAnsi="Times New Roman" w:cs="Times New Roman"/>
      <w:b/>
      <w:sz w:val="28"/>
      <w:lang w:val="sl-SI"/>
    </w:rPr>
  </w:style>
  <w:style w:type="paragraph" w:styleId="ListBullet4">
    <w:name w:val="List Bullet 4"/>
    <w:basedOn w:val="Normal"/>
    <w:rsid w:val="00EC044F"/>
    <w:pPr>
      <w:numPr>
        <w:numId w:val="2"/>
      </w:numPr>
    </w:pPr>
    <w:rPr>
      <w:rFonts w:eastAsia="Times New Roman"/>
      <w:lang w:eastAsia="de-DE"/>
    </w:rPr>
  </w:style>
  <w:style w:type="paragraph" w:styleId="ListNumber">
    <w:name w:val="List Number"/>
    <w:basedOn w:val="Normal"/>
    <w:rsid w:val="00EC044F"/>
    <w:pPr>
      <w:numPr>
        <w:numId w:val="6"/>
      </w:numPr>
    </w:pPr>
    <w:rPr>
      <w:rFonts w:eastAsia="Times New Roman"/>
      <w:lang w:eastAsia="de-DE"/>
    </w:rPr>
  </w:style>
  <w:style w:type="paragraph" w:customStyle="1" w:styleId="ListBullet1">
    <w:name w:val="List Bullet 1"/>
    <w:basedOn w:val="Normal"/>
    <w:rsid w:val="00EC044F"/>
    <w:pPr>
      <w:numPr>
        <w:numId w:val="1"/>
      </w:numPr>
    </w:pPr>
    <w:rPr>
      <w:rFonts w:eastAsia="Times New Roman"/>
      <w:lang w:eastAsia="de-DE"/>
    </w:rPr>
  </w:style>
  <w:style w:type="paragraph" w:customStyle="1" w:styleId="ListDash">
    <w:name w:val="List Dash"/>
    <w:basedOn w:val="Normal"/>
    <w:rsid w:val="00EC044F"/>
    <w:pPr>
      <w:numPr>
        <w:numId w:val="3"/>
      </w:numPr>
    </w:pPr>
    <w:rPr>
      <w:rFonts w:eastAsia="Times New Roman"/>
      <w:lang w:eastAsia="de-DE"/>
    </w:rPr>
  </w:style>
  <w:style w:type="paragraph" w:customStyle="1" w:styleId="ListDash1">
    <w:name w:val="List Dash 1"/>
    <w:basedOn w:val="Normal"/>
    <w:rsid w:val="00EC044F"/>
    <w:pPr>
      <w:numPr>
        <w:numId w:val="4"/>
      </w:numPr>
    </w:pPr>
    <w:rPr>
      <w:rFonts w:eastAsia="Times New Roman"/>
      <w:lang w:eastAsia="de-DE"/>
    </w:rPr>
  </w:style>
  <w:style w:type="paragraph" w:customStyle="1" w:styleId="ListDash2">
    <w:name w:val="List Dash 2"/>
    <w:basedOn w:val="Normal"/>
    <w:rsid w:val="00EC044F"/>
    <w:pPr>
      <w:numPr>
        <w:numId w:val="5"/>
      </w:numPr>
    </w:pPr>
    <w:rPr>
      <w:rFonts w:eastAsia="Times New Roman"/>
      <w:lang w:eastAsia="de-DE"/>
    </w:rPr>
  </w:style>
  <w:style w:type="paragraph" w:customStyle="1" w:styleId="ListNumberLevel2">
    <w:name w:val="List Number (Level 2)"/>
    <w:basedOn w:val="Normal"/>
    <w:rsid w:val="00EC044F"/>
    <w:pPr>
      <w:tabs>
        <w:tab w:val="num" w:pos="1417"/>
      </w:tabs>
      <w:ind w:left="1417" w:hanging="708"/>
    </w:pPr>
    <w:rPr>
      <w:rFonts w:eastAsia="Times New Roman"/>
      <w:lang w:eastAsia="de-DE"/>
    </w:rPr>
  </w:style>
  <w:style w:type="paragraph" w:customStyle="1" w:styleId="ListNumberLevel3">
    <w:name w:val="List Number (Level 3)"/>
    <w:basedOn w:val="Normal"/>
    <w:rsid w:val="00EC044F"/>
    <w:pPr>
      <w:tabs>
        <w:tab w:val="num" w:pos="2126"/>
      </w:tabs>
      <w:ind w:left="2126" w:hanging="709"/>
    </w:pPr>
    <w:rPr>
      <w:rFonts w:eastAsia="Times New Roman"/>
      <w:lang w:eastAsia="de-DE"/>
    </w:rPr>
  </w:style>
  <w:style w:type="paragraph" w:customStyle="1" w:styleId="ListNumberLevel4">
    <w:name w:val="List Number (Level 4)"/>
    <w:basedOn w:val="Normal"/>
    <w:rsid w:val="00EC044F"/>
    <w:pPr>
      <w:tabs>
        <w:tab w:val="num" w:pos="2835"/>
      </w:tabs>
      <w:ind w:left="2835" w:hanging="709"/>
    </w:pPr>
    <w:rPr>
      <w:rFonts w:eastAsia="Times New Roman"/>
      <w:lang w:eastAsia="de-DE"/>
    </w:rPr>
  </w:style>
  <w:style w:type="character" w:styleId="Hyperlink">
    <w:name w:val="Hyperlink"/>
    <w:uiPriority w:val="99"/>
    <w:rsid w:val="00EC044F"/>
    <w:rPr>
      <w:color w:val="0000FF"/>
      <w:u w:val="single"/>
    </w:rPr>
  </w:style>
  <w:style w:type="paragraph" w:styleId="ListBullet">
    <w:name w:val="List Bullet"/>
    <w:basedOn w:val="Normal"/>
    <w:rsid w:val="00EC044F"/>
    <w:pPr>
      <w:numPr>
        <w:numId w:val="7"/>
      </w:numPr>
    </w:pPr>
    <w:rPr>
      <w:rFonts w:eastAsia="Times New Roman"/>
      <w:lang w:eastAsia="en-GB"/>
    </w:rPr>
  </w:style>
  <w:style w:type="paragraph" w:styleId="ListBullet2">
    <w:name w:val="List Bullet 2"/>
    <w:basedOn w:val="Normal"/>
    <w:rsid w:val="00EC044F"/>
    <w:pPr>
      <w:numPr>
        <w:numId w:val="8"/>
      </w:numPr>
    </w:pPr>
    <w:rPr>
      <w:rFonts w:eastAsia="Times New Roman"/>
      <w:lang w:eastAsia="en-GB"/>
    </w:rPr>
  </w:style>
  <w:style w:type="paragraph" w:styleId="ListBullet3">
    <w:name w:val="List Bullet 3"/>
    <w:basedOn w:val="Normal"/>
    <w:rsid w:val="00EC044F"/>
    <w:pPr>
      <w:numPr>
        <w:numId w:val="9"/>
      </w:numPr>
    </w:pPr>
    <w:rPr>
      <w:rFonts w:eastAsia="Times New Roman"/>
      <w:lang w:eastAsia="en-GB"/>
    </w:rPr>
  </w:style>
  <w:style w:type="paragraph" w:styleId="ListNumber2">
    <w:name w:val="List Number 2"/>
    <w:basedOn w:val="Normal"/>
    <w:rsid w:val="00EC044F"/>
    <w:pPr>
      <w:numPr>
        <w:numId w:val="13"/>
      </w:numPr>
    </w:pPr>
    <w:rPr>
      <w:rFonts w:eastAsia="Times New Roman"/>
      <w:lang w:eastAsia="en-GB"/>
    </w:rPr>
  </w:style>
  <w:style w:type="paragraph" w:styleId="ListNumber3">
    <w:name w:val="List Number 3"/>
    <w:basedOn w:val="Normal"/>
    <w:rsid w:val="00EC044F"/>
    <w:pPr>
      <w:numPr>
        <w:numId w:val="14"/>
      </w:numPr>
    </w:pPr>
    <w:rPr>
      <w:rFonts w:eastAsia="Times New Roman"/>
      <w:lang w:eastAsia="en-GB"/>
    </w:rPr>
  </w:style>
  <w:style w:type="paragraph" w:styleId="ListNumber4">
    <w:name w:val="List Number 4"/>
    <w:basedOn w:val="Normal"/>
    <w:rsid w:val="00EC044F"/>
    <w:pPr>
      <w:numPr>
        <w:numId w:val="15"/>
      </w:numPr>
    </w:pPr>
    <w:rPr>
      <w:rFonts w:eastAsia="Times New Roman"/>
      <w:lang w:eastAsia="en-GB"/>
    </w:rPr>
  </w:style>
  <w:style w:type="paragraph" w:customStyle="1" w:styleId="ListDash3">
    <w:name w:val="List Dash 3"/>
    <w:basedOn w:val="Normal"/>
    <w:rsid w:val="00EC044F"/>
    <w:pPr>
      <w:numPr>
        <w:numId w:val="10"/>
      </w:numPr>
    </w:pPr>
    <w:rPr>
      <w:rFonts w:eastAsia="Times New Roman"/>
      <w:lang w:eastAsia="en-GB"/>
    </w:rPr>
  </w:style>
  <w:style w:type="paragraph" w:customStyle="1" w:styleId="ListDash4">
    <w:name w:val="List Dash 4"/>
    <w:basedOn w:val="Normal"/>
    <w:rsid w:val="00EC044F"/>
    <w:pPr>
      <w:numPr>
        <w:numId w:val="11"/>
      </w:numPr>
    </w:pPr>
    <w:rPr>
      <w:rFonts w:eastAsia="Times New Roman"/>
      <w:lang w:eastAsia="en-GB"/>
    </w:rPr>
  </w:style>
  <w:style w:type="paragraph" w:customStyle="1" w:styleId="ListNumber1">
    <w:name w:val="List Number 1"/>
    <w:basedOn w:val="Text1"/>
    <w:rsid w:val="00EC044F"/>
    <w:pPr>
      <w:numPr>
        <w:numId w:val="12"/>
      </w:numPr>
    </w:pPr>
    <w:rPr>
      <w:rFonts w:eastAsia="Times New Roman"/>
      <w:lang w:eastAsia="en-GB"/>
    </w:rPr>
  </w:style>
  <w:style w:type="paragraph" w:customStyle="1" w:styleId="ListNumber1Level2">
    <w:name w:val="List Number 1 (Level 2)"/>
    <w:basedOn w:val="Text1"/>
    <w:rsid w:val="00EC044F"/>
    <w:pPr>
      <w:numPr>
        <w:ilvl w:val="1"/>
        <w:numId w:val="12"/>
      </w:numPr>
    </w:pPr>
    <w:rPr>
      <w:rFonts w:eastAsia="Times New Roman"/>
      <w:lang w:eastAsia="en-GB"/>
    </w:rPr>
  </w:style>
  <w:style w:type="paragraph" w:customStyle="1" w:styleId="ListNumber2Level2">
    <w:name w:val="List Number 2 (Level 2)"/>
    <w:basedOn w:val="Text2"/>
    <w:rsid w:val="00EC044F"/>
    <w:pPr>
      <w:numPr>
        <w:ilvl w:val="1"/>
        <w:numId w:val="13"/>
      </w:numPr>
    </w:pPr>
    <w:rPr>
      <w:rFonts w:eastAsia="Times New Roman"/>
      <w:lang w:eastAsia="en-GB"/>
    </w:rPr>
  </w:style>
  <w:style w:type="paragraph" w:customStyle="1" w:styleId="ListNumber3Level2">
    <w:name w:val="List Number 3 (Level 2)"/>
    <w:basedOn w:val="Text3"/>
    <w:rsid w:val="00EC044F"/>
    <w:pPr>
      <w:numPr>
        <w:ilvl w:val="1"/>
        <w:numId w:val="14"/>
      </w:numPr>
    </w:pPr>
    <w:rPr>
      <w:rFonts w:eastAsia="Times New Roman"/>
      <w:lang w:eastAsia="en-GB"/>
    </w:rPr>
  </w:style>
  <w:style w:type="paragraph" w:customStyle="1" w:styleId="ListNumber4Level2">
    <w:name w:val="List Number 4 (Level 2)"/>
    <w:basedOn w:val="Text4"/>
    <w:rsid w:val="00EC044F"/>
    <w:pPr>
      <w:numPr>
        <w:ilvl w:val="1"/>
        <w:numId w:val="15"/>
      </w:numPr>
    </w:pPr>
    <w:rPr>
      <w:rFonts w:eastAsia="Times New Roman"/>
      <w:lang w:eastAsia="en-GB"/>
    </w:rPr>
  </w:style>
  <w:style w:type="paragraph" w:customStyle="1" w:styleId="ListNumber1Level3">
    <w:name w:val="List Number 1 (Level 3)"/>
    <w:basedOn w:val="Text1"/>
    <w:rsid w:val="00EC044F"/>
    <w:pPr>
      <w:tabs>
        <w:tab w:val="num" w:pos="2977"/>
      </w:tabs>
      <w:ind w:left="2977" w:hanging="709"/>
    </w:pPr>
    <w:rPr>
      <w:rFonts w:eastAsia="Times New Roman"/>
      <w:lang w:eastAsia="en-GB"/>
    </w:rPr>
  </w:style>
  <w:style w:type="paragraph" w:customStyle="1" w:styleId="ListNumber2Level3">
    <w:name w:val="List Number 2 (Level 3)"/>
    <w:basedOn w:val="Text2"/>
    <w:rsid w:val="00EC044F"/>
    <w:pPr>
      <w:numPr>
        <w:ilvl w:val="2"/>
        <w:numId w:val="13"/>
      </w:numPr>
    </w:pPr>
    <w:rPr>
      <w:rFonts w:eastAsia="Times New Roman"/>
      <w:lang w:eastAsia="en-GB"/>
    </w:rPr>
  </w:style>
  <w:style w:type="paragraph" w:customStyle="1" w:styleId="ListNumber3Level3">
    <w:name w:val="List Number 3 (Level 3)"/>
    <w:basedOn w:val="Text3"/>
    <w:rsid w:val="00EC044F"/>
    <w:pPr>
      <w:numPr>
        <w:ilvl w:val="2"/>
        <w:numId w:val="14"/>
      </w:numPr>
    </w:pPr>
    <w:rPr>
      <w:rFonts w:eastAsia="Times New Roman"/>
      <w:lang w:eastAsia="en-GB"/>
    </w:rPr>
  </w:style>
  <w:style w:type="paragraph" w:customStyle="1" w:styleId="ListNumber4Level3">
    <w:name w:val="List Number 4 (Level 3)"/>
    <w:basedOn w:val="Text4"/>
    <w:rsid w:val="00EC044F"/>
    <w:pPr>
      <w:numPr>
        <w:ilvl w:val="2"/>
        <w:numId w:val="15"/>
      </w:numPr>
    </w:pPr>
    <w:rPr>
      <w:rFonts w:eastAsia="Times New Roman"/>
      <w:lang w:eastAsia="en-GB"/>
    </w:rPr>
  </w:style>
  <w:style w:type="paragraph" w:customStyle="1" w:styleId="ListNumber1Level4">
    <w:name w:val="List Number 1 (Level 4)"/>
    <w:basedOn w:val="Text1"/>
    <w:rsid w:val="00EC044F"/>
    <w:pPr>
      <w:numPr>
        <w:ilvl w:val="3"/>
        <w:numId w:val="12"/>
      </w:numPr>
    </w:pPr>
    <w:rPr>
      <w:rFonts w:eastAsia="Times New Roman"/>
      <w:lang w:eastAsia="en-GB"/>
    </w:rPr>
  </w:style>
  <w:style w:type="paragraph" w:customStyle="1" w:styleId="ListNumber2Level4">
    <w:name w:val="List Number 2 (Level 4)"/>
    <w:basedOn w:val="Text2"/>
    <w:rsid w:val="00EC044F"/>
    <w:pPr>
      <w:numPr>
        <w:ilvl w:val="3"/>
        <w:numId w:val="13"/>
      </w:numPr>
    </w:pPr>
    <w:rPr>
      <w:rFonts w:eastAsia="Times New Roman"/>
      <w:lang w:eastAsia="en-GB"/>
    </w:rPr>
  </w:style>
  <w:style w:type="paragraph" w:customStyle="1" w:styleId="ListNumber3Level4">
    <w:name w:val="List Number 3 (Level 4)"/>
    <w:basedOn w:val="Text3"/>
    <w:rsid w:val="00EC044F"/>
    <w:pPr>
      <w:numPr>
        <w:ilvl w:val="3"/>
        <w:numId w:val="14"/>
      </w:numPr>
    </w:pPr>
    <w:rPr>
      <w:rFonts w:eastAsia="Times New Roman"/>
      <w:lang w:eastAsia="en-GB"/>
    </w:rPr>
  </w:style>
  <w:style w:type="paragraph" w:customStyle="1" w:styleId="ListNumber4Level4">
    <w:name w:val="List Number 4 (Level 4)"/>
    <w:basedOn w:val="Text4"/>
    <w:rsid w:val="00EC044F"/>
    <w:pPr>
      <w:numPr>
        <w:ilvl w:val="3"/>
        <w:numId w:val="15"/>
      </w:numPr>
    </w:pPr>
    <w:rPr>
      <w:rFonts w:eastAsia="Times New Roman"/>
      <w:lang w:eastAsia="en-GB"/>
    </w:rPr>
  </w:style>
  <w:style w:type="paragraph" w:customStyle="1" w:styleId="Annexetitreacte">
    <w:name w:val="Annexe titre (acte)"/>
    <w:basedOn w:val="Normal"/>
    <w:next w:val="Normal"/>
    <w:rsid w:val="00EC044F"/>
    <w:pPr>
      <w:jc w:val="center"/>
    </w:pPr>
    <w:rPr>
      <w:rFonts w:eastAsia="Times New Roman"/>
      <w:b/>
      <w:u w:val="single"/>
      <w:lang w:eastAsia="en-GB"/>
    </w:rPr>
  </w:style>
  <w:style w:type="paragraph" w:customStyle="1" w:styleId="Annexetitreexposglobal">
    <w:name w:val="Annexe titre (exposé global)"/>
    <w:basedOn w:val="Normal"/>
    <w:next w:val="Normal"/>
    <w:rsid w:val="00EC044F"/>
    <w:pPr>
      <w:jc w:val="center"/>
    </w:pPr>
    <w:rPr>
      <w:rFonts w:eastAsia="Times New Roman"/>
      <w:b/>
      <w:u w:val="single"/>
      <w:lang w:eastAsia="en-GB"/>
    </w:rPr>
  </w:style>
  <w:style w:type="paragraph" w:customStyle="1" w:styleId="Annexetitrefichefinacte">
    <w:name w:val="Annexe titre (fiche fin. acte)"/>
    <w:basedOn w:val="Normal"/>
    <w:next w:val="Normal"/>
    <w:rsid w:val="00EC044F"/>
    <w:pPr>
      <w:jc w:val="center"/>
    </w:pPr>
    <w:rPr>
      <w:rFonts w:eastAsia="Times New Roman"/>
      <w:b/>
      <w:u w:val="single"/>
      <w:lang w:eastAsia="en-GB"/>
    </w:rPr>
  </w:style>
  <w:style w:type="paragraph" w:customStyle="1" w:styleId="Annexetitrefichefinglobale">
    <w:name w:val="Annexe titre (fiche fin. globale)"/>
    <w:basedOn w:val="Normal"/>
    <w:next w:val="Normal"/>
    <w:rsid w:val="00EC044F"/>
    <w:pPr>
      <w:jc w:val="center"/>
    </w:pPr>
    <w:rPr>
      <w:rFonts w:eastAsia="Times New Roman"/>
      <w:b/>
      <w:u w:val="single"/>
      <w:lang w:eastAsia="en-GB"/>
    </w:rPr>
  </w:style>
  <w:style w:type="paragraph" w:customStyle="1" w:styleId="Annexetitreglobale">
    <w:name w:val="Annexe titre (globale)"/>
    <w:basedOn w:val="Normal"/>
    <w:next w:val="Normal"/>
    <w:rsid w:val="00EC044F"/>
    <w:pPr>
      <w:jc w:val="center"/>
    </w:pPr>
    <w:rPr>
      <w:rFonts w:eastAsia="Times New Roman"/>
      <w:b/>
      <w:u w:val="single"/>
      <w:lang w:eastAsia="en-GB"/>
    </w:rPr>
  </w:style>
  <w:style w:type="paragraph" w:customStyle="1" w:styleId="Exposdesmotifstitreglobal">
    <w:name w:val="Exposé des motifs titre (global)"/>
    <w:basedOn w:val="Normal"/>
    <w:next w:val="Normal"/>
    <w:rsid w:val="00EC044F"/>
    <w:pPr>
      <w:jc w:val="center"/>
    </w:pPr>
    <w:rPr>
      <w:rFonts w:eastAsia="Times New Roman"/>
      <w:b/>
      <w:u w:val="single"/>
      <w:lang w:eastAsia="en-GB"/>
    </w:rPr>
  </w:style>
  <w:style w:type="paragraph" w:customStyle="1" w:styleId="Langueoriginale">
    <w:name w:val="Langue originale"/>
    <w:basedOn w:val="Normal"/>
    <w:rsid w:val="00EC044F"/>
    <w:pPr>
      <w:spacing w:before="360"/>
      <w:jc w:val="center"/>
    </w:pPr>
    <w:rPr>
      <w:rFonts w:eastAsia="Times New Roman"/>
      <w:caps/>
      <w:lang w:eastAsia="en-GB"/>
    </w:rPr>
  </w:style>
  <w:style w:type="paragraph" w:customStyle="1" w:styleId="Phrasefinale">
    <w:name w:val="Phrase finale"/>
    <w:basedOn w:val="Normal"/>
    <w:next w:val="Normal"/>
    <w:rsid w:val="00EC044F"/>
    <w:pPr>
      <w:spacing w:before="360" w:after="0"/>
      <w:jc w:val="center"/>
    </w:pPr>
    <w:rPr>
      <w:rFonts w:eastAsia="Times New Roman"/>
      <w:lang w:eastAsia="en-GB"/>
    </w:rPr>
  </w:style>
  <w:style w:type="paragraph" w:customStyle="1" w:styleId="Prliminairetitre">
    <w:name w:val="Préliminaire titre"/>
    <w:basedOn w:val="Normal"/>
    <w:next w:val="Normal"/>
    <w:rsid w:val="00EC044F"/>
    <w:pPr>
      <w:spacing w:before="360" w:after="360"/>
      <w:jc w:val="center"/>
    </w:pPr>
    <w:rPr>
      <w:rFonts w:eastAsia="Times New Roman"/>
      <w:b/>
      <w:lang w:eastAsia="en-GB"/>
    </w:rPr>
  </w:style>
  <w:style w:type="paragraph" w:customStyle="1" w:styleId="Prliminairetype">
    <w:name w:val="Préliminaire type"/>
    <w:basedOn w:val="Normal"/>
    <w:next w:val="Normal"/>
    <w:rsid w:val="00EC044F"/>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C044F"/>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C044F"/>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C044F"/>
    <w:pPr>
      <w:spacing w:before="0" w:after="0"/>
      <w:ind w:left="5103"/>
      <w:jc w:val="left"/>
    </w:pPr>
    <w:rPr>
      <w:rFonts w:eastAsia="Times New Roman"/>
      <w:lang w:eastAsia="en-GB"/>
    </w:rPr>
  </w:style>
  <w:style w:type="paragraph" w:customStyle="1" w:styleId="Sous-titreobjetprliminaire">
    <w:name w:val="Sous-titre objet (préliminaire)"/>
    <w:basedOn w:val="Normal"/>
    <w:rsid w:val="00EC044F"/>
    <w:pPr>
      <w:spacing w:before="0" w:after="0"/>
      <w:jc w:val="center"/>
    </w:pPr>
    <w:rPr>
      <w:rFonts w:eastAsia="Times New Roman"/>
      <w:b/>
      <w:lang w:eastAsia="en-GB"/>
    </w:rPr>
  </w:style>
  <w:style w:type="paragraph" w:customStyle="1" w:styleId="Statutprliminaire">
    <w:name w:val="Statut (préliminaire)"/>
    <w:basedOn w:val="Normal"/>
    <w:next w:val="Normal"/>
    <w:rsid w:val="00EC044F"/>
    <w:pPr>
      <w:spacing w:before="360" w:after="0"/>
      <w:jc w:val="center"/>
    </w:pPr>
    <w:rPr>
      <w:rFonts w:eastAsia="Times New Roman"/>
      <w:lang w:eastAsia="en-GB"/>
    </w:rPr>
  </w:style>
  <w:style w:type="paragraph" w:customStyle="1" w:styleId="Titreobjetprliminaire">
    <w:name w:val="Titre objet (préliminaire)"/>
    <w:basedOn w:val="Normal"/>
    <w:next w:val="Normal"/>
    <w:rsid w:val="00EC044F"/>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C044F"/>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C044F"/>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C044F"/>
    <w:pPr>
      <w:jc w:val="center"/>
    </w:pPr>
    <w:rPr>
      <w:rFonts w:eastAsia="Times New Roman"/>
      <w:b/>
      <w:u w:val="single"/>
      <w:lang w:eastAsia="en-GB"/>
    </w:rPr>
  </w:style>
  <w:style w:type="paragraph" w:customStyle="1" w:styleId="Fichefinanciretravailtitre">
    <w:name w:val="Fiche financière (travail) titre"/>
    <w:basedOn w:val="Normal"/>
    <w:next w:val="Normal"/>
    <w:rsid w:val="00EC044F"/>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C044F"/>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C044F"/>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C044F"/>
    <w:pPr>
      <w:jc w:val="center"/>
    </w:pPr>
    <w:rPr>
      <w:rFonts w:eastAsia="Times New Roman"/>
      <w:b/>
      <w:u w:val="single"/>
      <w:lang w:eastAsia="en-GB"/>
    </w:rPr>
  </w:style>
  <w:style w:type="character" w:styleId="CommentReference">
    <w:name w:val="annotation reference"/>
    <w:rsid w:val="00EC044F"/>
    <w:rPr>
      <w:rFonts w:cs="Times New Roman"/>
      <w:sz w:val="16"/>
      <w:szCs w:val="16"/>
    </w:rPr>
  </w:style>
  <w:style w:type="paragraph" w:styleId="CommentText">
    <w:name w:val="annotation text"/>
    <w:basedOn w:val="Normal"/>
    <w:link w:val="CommentTextChar"/>
    <w:uiPriority w:val="99"/>
    <w:qFormat/>
    <w:rsid w:val="00D30EFE"/>
    <w:rPr>
      <w:rFonts w:eastAsia="Times New Roman"/>
      <w:sz w:val="20"/>
      <w:szCs w:val="20"/>
      <w:lang w:eastAsia="en-GB"/>
    </w:rPr>
  </w:style>
  <w:style w:type="character" w:customStyle="1" w:styleId="CommentTextChar">
    <w:name w:val="Comment Text Char"/>
    <w:basedOn w:val="DefaultParagraphFont"/>
    <w:link w:val="CommentText"/>
    <w:uiPriority w:val="99"/>
    <w:rsid w:val="00D30EFE"/>
    <w:rPr>
      <w:rFonts w:ascii="Times New Roman" w:eastAsia="Times New Roman" w:hAnsi="Times New Roman" w:cs="Times New Roman"/>
      <w:sz w:val="20"/>
      <w:szCs w:val="20"/>
      <w:lang w:val="sl-SI" w:eastAsia="en-GB"/>
    </w:rPr>
  </w:style>
  <w:style w:type="paragraph" w:styleId="CommentSubject">
    <w:name w:val="annotation subject"/>
    <w:basedOn w:val="CommentText"/>
    <w:next w:val="CommentText"/>
    <w:link w:val="CommentSubjectChar"/>
    <w:rsid w:val="00EC044F"/>
    <w:rPr>
      <w:b/>
      <w:bCs/>
    </w:rPr>
  </w:style>
  <w:style w:type="character" w:customStyle="1" w:styleId="CommentSubjectChar">
    <w:name w:val="Comment Subject Char"/>
    <w:basedOn w:val="CommentTextChar"/>
    <w:link w:val="CommentSubject"/>
    <w:rsid w:val="00EC044F"/>
    <w:rPr>
      <w:rFonts w:ascii="Times New Roman" w:eastAsia="Times New Roman" w:hAnsi="Times New Roman" w:cs="Times New Roman"/>
      <w:b/>
      <w:bCs/>
      <w:sz w:val="20"/>
      <w:szCs w:val="20"/>
      <w:lang w:val="sl-SI" w:eastAsia="en-GB"/>
    </w:rPr>
  </w:style>
  <w:style w:type="paragraph" w:styleId="BalloonText">
    <w:name w:val="Balloon Text"/>
    <w:basedOn w:val="Normal"/>
    <w:link w:val="BalloonTextChar"/>
    <w:rsid w:val="00EC044F"/>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EC044F"/>
    <w:rPr>
      <w:rFonts w:ascii="Tahoma" w:eastAsia="Times New Roman" w:hAnsi="Tahoma" w:cs="Tahoma"/>
      <w:sz w:val="16"/>
      <w:szCs w:val="16"/>
      <w:lang w:val="sl-SI" w:eastAsia="en-GB"/>
    </w:rPr>
  </w:style>
  <w:style w:type="paragraph" w:styleId="Caption">
    <w:name w:val="caption"/>
    <w:basedOn w:val="Normal"/>
    <w:next w:val="Normal"/>
    <w:qFormat/>
    <w:rsid w:val="00EC044F"/>
    <w:rPr>
      <w:rFonts w:eastAsia="Times New Roman"/>
      <w:b/>
      <w:bCs/>
      <w:sz w:val="20"/>
      <w:szCs w:val="20"/>
      <w:lang w:eastAsia="en-GB"/>
    </w:rPr>
  </w:style>
  <w:style w:type="paragraph" w:styleId="TableofFigures">
    <w:name w:val="table of figures"/>
    <w:basedOn w:val="Normal"/>
    <w:next w:val="Normal"/>
    <w:rsid w:val="00EC044F"/>
    <w:rPr>
      <w:rFonts w:eastAsia="Times New Roman"/>
      <w:lang w:eastAsia="en-GB"/>
    </w:rPr>
  </w:style>
  <w:style w:type="character" w:styleId="PageNumber">
    <w:name w:val="page number"/>
    <w:rsid w:val="00EC044F"/>
  </w:style>
  <w:style w:type="character" w:customStyle="1" w:styleId="tw4winMark">
    <w:name w:val="tw4winMark"/>
    <w:rsid w:val="00EC044F"/>
    <w:rPr>
      <w:vanish/>
      <w:color w:val="800080"/>
      <w:vertAlign w:val="subscript"/>
    </w:rPr>
  </w:style>
  <w:style w:type="character" w:styleId="FollowedHyperlink">
    <w:name w:val="FollowedHyperlink"/>
    <w:rsid w:val="00EC044F"/>
    <w:rPr>
      <w:color w:val="800080"/>
      <w:u w:val="single"/>
    </w:rPr>
  </w:style>
  <w:style w:type="paragraph" w:customStyle="1" w:styleId="Sous-titreobjet">
    <w:name w:val="Sous-titre objet"/>
    <w:basedOn w:val="Normal"/>
    <w:rsid w:val="00EC044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C044F"/>
  </w:style>
  <w:style w:type="paragraph" w:customStyle="1" w:styleId="FooterCoverPage">
    <w:name w:val="Footer Cover Page"/>
    <w:basedOn w:val="Normal"/>
    <w:link w:val="FooterCoverPageChar"/>
    <w:rsid w:val="00EC044F"/>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EC044F"/>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EC044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C044F"/>
    <w:rPr>
      <w:rFonts w:ascii="Times New Roman" w:eastAsia="Calibri" w:hAnsi="Times New Roman" w:cs="Times New Roman"/>
      <w:sz w:val="24"/>
      <w:lang w:val="sl-SI" w:eastAsia="en-GB"/>
    </w:rPr>
  </w:style>
  <w:style w:type="paragraph" w:customStyle="1" w:styleId="typedudocumentcp">
    <w:name w:val="typedudocument_cp"/>
    <w:basedOn w:val="Normal"/>
    <w:rsid w:val="003F3E32"/>
    <w:pPr>
      <w:spacing w:before="100" w:beforeAutospacing="1" w:after="100" w:afterAutospacing="1"/>
      <w:jc w:val="left"/>
    </w:pPr>
    <w:rPr>
      <w:rFonts w:eastAsia="Times New Roman"/>
      <w:szCs w:val="24"/>
      <w:lang w:eastAsia="en-GB"/>
    </w:rPr>
  </w:style>
  <w:style w:type="paragraph" w:customStyle="1" w:styleId="titreobjetcp">
    <w:name w:val="titreobjet_cp"/>
    <w:basedOn w:val="Normal"/>
    <w:rsid w:val="003F3E32"/>
    <w:pPr>
      <w:spacing w:before="100" w:beforeAutospacing="1" w:after="100" w:afterAutospacing="1"/>
      <w:jc w:val="left"/>
    </w:pPr>
    <w:rPr>
      <w:rFonts w:eastAsia="Times New Roman"/>
      <w:szCs w:val="24"/>
      <w:lang w:eastAsia="en-GB"/>
    </w:rPr>
  </w:style>
  <w:style w:type="paragraph" w:customStyle="1" w:styleId="rfrenceinstitutionnelle">
    <w:name w:val="rfrenceinstitutionnelle"/>
    <w:basedOn w:val="Normal"/>
    <w:rsid w:val="003F3E32"/>
    <w:pPr>
      <w:spacing w:before="100" w:beforeAutospacing="1" w:after="100" w:afterAutospacing="1"/>
      <w:jc w:val="left"/>
    </w:pPr>
    <w:rPr>
      <w:rFonts w:eastAsia="Times New Roman"/>
      <w:szCs w:val="24"/>
      <w:lang w:eastAsia="en-GB"/>
    </w:rPr>
  </w:style>
  <w:style w:type="paragraph" w:customStyle="1" w:styleId="Rfrenceinstitutionnelle0">
    <w:name w:val="Référence institutionnelle"/>
    <w:basedOn w:val="Normal"/>
    <w:next w:val="Confidentialit"/>
    <w:rsid w:val="009B7138"/>
    <w:pPr>
      <w:spacing w:before="0" w:after="240"/>
      <w:ind w:left="5103"/>
      <w:jc w:val="left"/>
    </w:p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rsid w:val="006A40E2"/>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6A40E2"/>
  </w:style>
  <w:style w:type="character" w:customStyle="1" w:styleId="normaltextrun">
    <w:name w:val="normaltextrun"/>
    <w:basedOn w:val="DefaultParagraphFont"/>
    <w:rsid w:val="006A40E2"/>
  </w:style>
  <w:style w:type="character" w:customStyle="1" w:styleId="eop">
    <w:name w:val="eop"/>
    <w:basedOn w:val="DefaultParagraphFont"/>
    <w:rsid w:val="006A40E2"/>
  </w:style>
  <w:style w:type="paragraph" w:customStyle="1" w:styleId="Article">
    <w:name w:val="Article"/>
    <w:basedOn w:val="Normal"/>
    <w:rsid w:val="00C01070"/>
    <w:pPr>
      <w:jc w:val="center"/>
    </w:pPr>
  </w:style>
  <w:style w:type="paragraph" w:customStyle="1" w:styleId="ti-art">
    <w:name w:val="ti-art"/>
    <w:basedOn w:val="Normal"/>
    <w:rsid w:val="00FB2AE2"/>
    <w:pPr>
      <w:spacing w:before="100" w:beforeAutospacing="1" w:after="100" w:afterAutospacing="1"/>
      <w:jc w:val="left"/>
    </w:pPr>
    <w:rPr>
      <w:rFonts w:eastAsia="Times New Roman"/>
      <w:szCs w:val="24"/>
      <w:lang w:eastAsia="en-GB"/>
    </w:rPr>
  </w:style>
  <w:style w:type="paragraph" w:customStyle="1" w:styleId="sti-art">
    <w:name w:val="sti-art"/>
    <w:basedOn w:val="Normal"/>
    <w:rsid w:val="00FB2AE2"/>
    <w:pPr>
      <w:spacing w:before="100" w:beforeAutospacing="1" w:after="100" w:afterAutospacing="1"/>
      <w:jc w:val="left"/>
    </w:pPr>
    <w:rPr>
      <w:rFonts w:eastAsia="Times New Roman"/>
      <w:szCs w:val="24"/>
      <w:lang w:eastAsia="en-GB"/>
    </w:rPr>
  </w:style>
  <w:style w:type="paragraph" w:customStyle="1" w:styleId="Normal1">
    <w:name w:val="Normal1"/>
    <w:basedOn w:val="Normal"/>
    <w:rsid w:val="00FB2AE2"/>
    <w:pPr>
      <w:spacing w:before="100" w:beforeAutospacing="1" w:after="100" w:afterAutospacing="1"/>
      <w:jc w:val="left"/>
    </w:pPr>
    <w:rPr>
      <w:rFonts w:eastAsia="Times New Roman"/>
      <w:szCs w:val="24"/>
      <w:lang w:eastAsia="en-GB"/>
    </w:rPr>
  </w:style>
  <w:style w:type="paragraph" w:customStyle="1" w:styleId="ti-section-1">
    <w:name w:val="ti-section-1"/>
    <w:basedOn w:val="Normal"/>
    <w:rsid w:val="00FB2AE2"/>
    <w:pPr>
      <w:spacing w:before="100" w:beforeAutospacing="1" w:after="100" w:afterAutospacing="1"/>
      <w:jc w:val="left"/>
    </w:pPr>
    <w:rPr>
      <w:rFonts w:eastAsia="Times New Roman"/>
      <w:szCs w:val="24"/>
      <w:lang w:eastAsia="en-GB"/>
    </w:rPr>
  </w:style>
  <w:style w:type="paragraph" w:customStyle="1" w:styleId="ti-section-2">
    <w:name w:val="ti-section-2"/>
    <w:basedOn w:val="Normal"/>
    <w:rsid w:val="00FB2AE2"/>
    <w:pPr>
      <w:spacing w:before="100" w:beforeAutospacing="1" w:after="100" w:afterAutospacing="1"/>
      <w:jc w:val="left"/>
    </w:pPr>
    <w:rPr>
      <w:rFonts w:eastAsia="Times New Roman"/>
      <w:szCs w:val="24"/>
      <w:lang w:eastAsia="en-GB"/>
    </w:rPr>
  </w:style>
  <w:style w:type="character" w:customStyle="1" w:styleId="bold">
    <w:name w:val="bold"/>
    <w:basedOn w:val="DefaultParagraphFont"/>
    <w:rsid w:val="00FB2AE2"/>
  </w:style>
  <w:style w:type="paragraph" w:customStyle="1" w:styleId="oj-ti-section-1">
    <w:name w:val="oj-ti-section-1"/>
    <w:basedOn w:val="Normal"/>
    <w:rsid w:val="00FB2AE2"/>
    <w:pPr>
      <w:spacing w:before="100" w:beforeAutospacing="1" w:after="100" w:afterAutospacing="1"/>
      <w:jc w:val="left"/>
    </w:pPr>
    <w:rPr>
      <w:rFonts w:eastAsia="Times New Roman"/>
      <w:szCs w:val="24"/>
      <w:lang w:eastAsia="en-GB"/>
    </w:rPr>
  </w:style>
  <w:style w:type="character" w:customStyle="1" w:styleId="oj-italic">
    <w:name w:val="oj-italic"/>
    <w:basedOn w:val="DefaultParagraphFont"/>
    <w:rsid w:val="00FB2AE2"/>
  </w:style>
  <w:style w:type="paragraph" w:customStyle="1" w:styleId="oj-ti-section-2">
    <w:name w:val="oj-ti-section-2"/>
    <w:basedOn w:val="Normal"/>
    <w:rsid w:val="00FB2AE2"/>
    <w:pPr>
      <w:spacing w:before="100" w:beforeAutospacing="1" w:after="100" w:afterAutospacing="1"/>
      <w:jc w:val="left"/>
    </w:pPr>
    <w:rPr>
      <w:rFonts w:eastAsia="Times New Roman"/>
      <w:szCs w:val="24"/>
      <w:lang w:eastAsia="en-GB"/>
    </w:rPr>
  </w:style>
  <w:style w:type="character" w:customStyle="1" w:styleId="Bodytext2">
    <w:name w:val="Body text|2"/>
    <w:basedOn w:val="DefaultParagraphFont"/>
    <w:rsid w:val="00FB2AE2"/>
    <w:rPr>
      <w:rFonts w:ascii="Times New Roman" w:hAnsi="Times New Roman" w:cs="Times New Roman" w:hint="default"/>
      <w:b w:val="0"/>
      <w:bCs w:val="0"/>
      <w:i w:val="0"/>
      <w:iCs w:val="0"/>
      <w:smallCaps w:val="0"/>
      <w:strike w:val="0"/>
      <w:dstrike w:val="0"/>
      <w:color w:val="231F20"/>
      <w:spacing w:val="0"/>
      <w:position w:val="0"/>
      <w:u w:val="none"/>
      <w:effect w:val="none"/>
      <w:lang w:eastAsia="en-US"/>
    </w:rPr>
  </w:style>
  <w:style w:type="paragraph" w:styleId="Revision">
    <w:name w:val="Revision"/>
    <w:hidden/>
    <w:uiPriority w:val="99"/>
    <w:semiHidden/>
    <w:rsid w:val="001B4032"/>
    <w:pPr>
      <w:spacing w:after="0" w:line="240" w:lineRule="auto"/>
    </w:pPr>
    <w:rPr>
      <w:rFonts w:ascii="Times New Roman" w:hAnsi="Times New Roman" w:cs="Times New Roman"/>
      <w:sz w:val="24"/>
    </w:rPr>
  </w:style>
  <w:style w:type="paragraph" w:styleId="List">
    <w:name w:val="List"/>
    <w:basedOn w:val="Normal"/>
    <w:uiPriority w:val="99"/>
    <w:unhideWhenUsed/>
    <w:rsid w:val="00B25CB9"/>
    <w:pPr>
      <w:ind w:left="283" w:hanging="283"/>
      <w:contextualSpacing/>
    </w:pPr>
  </w:style>
  <w:style w:type="paragraph" w:customStyle="1" w:styleId="Revis">
    <w:name w:val="Revis"/>
    <w:basedOn w:val="Normal"/>
    <w:rsid w:val="00817E6D"/>
    <w:pPr>
      <w:numPr>
        <w:numId w:val="16"/>
      </w:numPr>
      <w:spacing w:before="0" w:after="160" w:line="259" w:lineRule="auto"/>
      <w:contextualSpacing/>
    </w:pPr>
    <w:rPr>
      <w:szCs w:val="24"/>
    </w:rPr>
  </w:style>
  <w:style w:type="paragraph" w:customStyle="1" w:styleId="Revise">
    <w:name w:val="Revise"/>
    <w:basedOn w:val="Revis"/>
    <w:rsid w:val="00EC552E"/>
  </w:style>
  <w:style w:type="paragraph" w:styleId="NormalWeb">
    <w:name w:val="Normal (Web)"/>
    <w:basedOn w:val="Normal"/>
    <w:uiPriority w:val="99"/>
    <w:unhideWhenUsed/>
    <w:rsid w:val="008B193A"/>
    <w:rPr>
      <w:szCs w:val="24"/>
    </w:rPr>
  </w:style>
  <w:style w:type="character" w:styleId="Emphasis">
    <w:name w:val="Emphasis"/>
    <w:basedOn w:val="DefaultParagraphFont"/>
    <w:uiPriority w:val="20"/>
    <w:qFormat/>
    <w:rsid w:val="00B54039"/>
    <w:rPr>
      <w:i/>
      <w:iCs/>
    </w:rPr>
  </w:style>
  <w:style w:type="character" w:styleId="Strong">
    <w:name w:val="Strong"/>
    <w:basedOn w:val="DefaultParagraphFont"/>
    <w:uiPriority w:val="22"/>
    <w:qFormat/>
    <w:rsid w:val="00130EE7"/>
    <w:rPr>
      <w:b/>
      <w:bCs/>
    </w:rPr>
  </w:style>
  <w:style w:type="paragraph" w:customStyle="1" w:styleId="oj-normal">
    <w:name w:val="oj-normal"/>
    <w:basedOn w:val="Normal"/>
    <w:rsid w:val="002260E2"/>
    <w:pPr>
      <w:spacing w:before="100" w:beforeAutospacing="1" w:after="100" w:afterAutospacing="1"/>
      <w:jc w:val="left"/>
    </w:pPr>
    <w:rPr>
      <w:rFonts w:eastAsia="Times New Roman"/>
      <w:szCs w:val="24"/>
      <w:lang w:eastAsia="en-GB"/>
    </w:rPr>
  </w:style>
  <w:style w:type="character" w:customStyle="1" w:styleId="highlight">
    <w:name w:val="highlight"/>
    <w:basedOn w:val="DefaultParagraphFont"/>
    <w:rsid w:val="002260E2"/>
  </w:style>
  <w:style w:type="character" w:customStyle="1" w:styleId="oj-super">
    <w:name w:val="oj-super"/>
    <w:basedOn w:val="DefaultParagraphFont"/>
    <w:rsid w:val="002260E2"/>
  </w:style>
  <w:style w:type="table" w:styleId="TableGrid">
    <w:name w:val="Table Grid"/>
    <w:basedOn w:val="TableNormal"/>
    <w:uiPriority w:val="39"/>
    <w:rsid w:val="0097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7735"/>
    <w:pPr>
      <w:spacing w:before="100" w:beforeAutospacing="1" w:after="100" w:afterAutospacing="1"/>
      <w:jc w:val="left"/>
    </w:pPr>
    <w:rPr>
      <w:rFonts w:eastAsia="Times New Roman"/>
      <w:szCs w:val="24"/>
      <w:lang w:eastAsia="en-GB"/>
    </w:rPr>
  </w:style>
  <w:style w:type="character" w:customStyle="1" w:styleId="findhit">
    <w:name w:val="findhit"/>
    <w:basedOn w:val="DefaultParagraphFont"/>
    <w:rsid w:val="000D05DC"/>
  </w:style>
  <w:style w:type="paragraph" w:customStyle="1" w:styleId="ListPoint">
    <w:name w:val="List Point"/>
    <w:basedOn w:val="Tiret0"/>
    <w:rsid w:val="006532E9"/>
    <w:pPr>
      <w:numPr>
        <w:numId w:val="0"/>
      </w:numPr>
      <w:ind w:left="1417" w:hanging="567"/>
    </w:pPr>
  </w:style>
  <w:style w:type="paragraph" w:customStyle="1" w:styleId="Pointlist">
    <w:name w:val="Point list"/>
    <w:basedOn w:val="Point0letter"/>
    <w:rsid w:val="00813FB4"/>
  </w:style>
  <w:style w:type="paragraph" w:customStyle="1" w:styleId="Rfrenceinstitutionnelle00">
    <w:name w:val="Référence institutionnelle0"/>
    <w:basedOn w:val="Normal"/>
    <w:next w:val="Confidentialit"/>
    <w:rsid w:val="009B7138"/>
    <w:pPr>
      <w:spacing w:before="0" w:after="240"/>
      <w:ind w:left="5103"/>
      <w:jc w:val="left"/>
    </w:pPr>
  </w:style>
  <w:style w:type="paragraph" w:customStyle="1" w:styleId="Norm">
    <w:name w:val="Norm"/>
    <w:basedOn w:val="Normal"/>
    <w:rsid w:val="00817E6D"/>
    <w:pPr>
      <w:spacing w:before="0" w:after="160" w:line="259" w:lineRule="auto"/>
      <w:ind w:left="600" w:hanging="360"/>
      <w:contextualSpacing/>
    </w:pPr>
    <w:rPr>
      <w:szCs w:val="24"/>
    </w:rPr>
  </w:style>
  <w:style w:type="paragraph" w:customStyle="1" w:styleId="Rfrenceinstitutionnelle1">
    <w:name w:val="Référence institutionnelle1"/>
    <w:basedOn w:val="Normal"/>
    <w:next w:val="Confidentialit"/>
    <w:rsid w:val="009B7138"/>
    <w:pPr>
      <w:spacing w:before="0" w:after="240"/>
      <w:ind w:left="5103"/>
      <w:jc w:val="left"/>
    </w:pPr>
  </w:style>
  <w:style w:type="paragraph" w:customStyle="1" w:styleId="Rfrenceinstitutionnelle2">
    <w:name w:val="Référence institutionnelle2"/>
    <w:basedOn w:val="Normal"/>
    <w:next w:val="Confidentialit"/>
    <w:rsid w:val="009B7138"/>
    <w:pPr>
      <w:spacing w:before="0" w:after="240"/>
      <w:ind w:left="5103"/>
      <w:jc w:val="left"/>
    </w:pPr>
  </w:style>
  <w:style w:type="paragraph" w:customStyle="1" w:styleId="Rfrenceinstitutionnelle3">
    <w:name w:val="Référence institutionnelle3"/>
    <w:basedOn w:val="Normal"/>
    <w:next w:val="Confidentialit"/>
    <w:rsid w:val="009B7138"/>
    <w:pPr>
      <w:spacing w:before="0" w:after="240"/>
      <w:ind w:left="5103"/>
      <w:jc w:val="left"/>
    </w:pPr>
  </w:style>
  <w:style w:type="paragraph" w:customStyle="1" w:styleId="Rfrenceinstitutionnelle4">
    <w:name w:val="Référence institutionnelle4"/>
    <w:basedOn w:val="Normal"/>
    <w:next w:val="Confidentialit"/>
    <w:rsid w:val="009B7138"/>
    <w:pPr>
      <w:spacing w:before="0" w:after="240"/>
      <w:ind w:left="5103"/>
      <w:jc w:val="left"/>
    </w:pPr>
  </w:style>
  <w:style w:type="paragraph" w:customStyle="1" w:styleId="Rfrenceinstitutionnelle5">
    <w:name w:val="Référence institutionnelle5"/>
    <w:basedOn w:val="Normal"/>
    <w:next w:val="Confidentialit"/>
    <w:rsid w:val="009B7138"/>
    <w:pPr>
      <w:spacing w:before="0" w:after="240"/>
      <w:ind w:left="5103"/>
      <w:jc w:val="left"/>
    </w:pPr>
  </w:style>
  <w:style w:type="paragraph" w:customStyle="1" w:styleId="Rfrenceinstitutionnelle6">
    <w:name w:val="Référence institutionnelle6"/>
    <w:basedOn w:val="Normal"/>
    <w:next w:val="Confidentialit"/>
    <w:rsid w:val="009B7138"/>
    <w:pPr>
      <w:spacing w:before="0" w:after="240"/>
      <w:ind w:left="5103"/>
      <w:jc w:val="left"/>
    </w:pPr>
  </w:style>
  <w:style w:type="paragraph" w:customStyle="1" w:styleId="Rfrenceinstitutionnelle7">
    <w:name w:val="Référence institutionnelle"/>
    <w:basedOn w:val="Normal"/>
    <w:next w:val="Confidentialit"/>
    <w:rsid w:val="009B7138"/>
    <w:pPr>
      <w:spacing w:before="0" w:after="240"/>
      <w:ind w:left="5103"/>
      <w:jc w:val="left"/>
    </w:pPr>
  </w:style>
  <w:style w:type="paragraph" w:customStyle="1" w:styleId="Rfrenceinstitutionnelle8">
    <w:name w:val="Référence institutionnelle"/>
    <w:basedOn w:val="Normal"/>
    <w:next w:val="Confidentialit"/>
    <w:rsid w:val="009B7138"/>
    <w:pPr>
      <w:spacing w:before="0" w:after="240"/>
      <w:ind w:left="5103"/>
      <w:jc w:val="left"/>
    </w:pPr>
  </w:style>
  <w:style w:type="paragraph" w:customStyle="1" w:styleId="Rfrenceinstitutionnelle9">
    <w:name w:val="Référence institutionnelle"/>
    <w:basedOn w:val="Normal"/>
    <w:next w:val="Confidentialit"/>
    <w:rsid w:val="009B7138"/>
    <w:pPr>
      <w:spacing w:before="0" w:after="240"/>
      <w:ind w:left="5103"/>
      <w:jc w:val="left"/>
    </w:pPr>
  </w:style>
  <w:style w:type="paragraph" w:customStyle="1" w:styleId="ncroise">
    <w:name w:val="n croisée"/>
    <w:basedOn w:val="Rfrencecroise"/>
    <w:rsid w:val="00D50102"/>
    <w:pPr>
      <w:jc w:val="both"/>
    </w:pPr>
  </w:style>
  <w:style w:type="paragraph" w:customStyle="1" w:styleId="NumPar10">
    <w:name w:val="NumPar 10"/>
    <w:basedOn w:val="Normal"/>
    <w:rsid w:val="00A12DFA"/>
    <w:pPr>
      <w:tabs>
        <w:tab w:val="num" w:pos="850"/>
      </w:tabs>
      <w:ind w:left="850" w:hanging="850"/>
    </w:pPr>
    <w:rPr>
      <w:szCs w:val="24"/>
    </w:rPr>
  </w:style>
  <w:style w:type="paragraph" w:customStyle="1" w:styleId="Rfrenceinstitutionnellea">
    <w:name w:val="Référence institutionnelle"/>
    <w:basedOn w:val="Normal"/>
    <w:next w:val="Confidentialit"/>
    <w:rsid w:val="009B7138"/>
    <w:pPr>
      <w:spacing w:before="0" w:after="240"/>
      <w:ind w:left="5103"/>
      <w:jc w:val="left"/>
    </w:pPr>
  </w:style>
  <w:style w:type="paragraph" w:customStyle="1" w:styleId="Normal2">
    <w:name w:val="Normal2"/>
    <w:basedOn w:val="Normal"/>
    <w:rsid w:val="001A7B88"/>
    <w:pPr>
      <w:spacing w:before="100" w:beforeAutospacing="1" w:after="100" w:afterAutospacing="1"/>
      <w:jc w:val="left"/>
    </w:pPr>
    <w:rPr>
      <w:rFonts w:eastAsia="Times New Roman"/>
      <w:szCs w:val="24"/>
      <w:lang w:eastAsia="en-GB"/>
    </w:rPr>
  </w:style>
  <w:style w:type="paragraph" w:customStyle="1" w:styleId="Default">
    <w:name w:val="Default"/>
    <w:rsid w:val="001A7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renceinstitutionnelleb">
    <w:name w:val="Référence institutionnelle"/>
    <w:basedOn w:val="Normal"/>
    <w:next w:val="Confidentialit"/>
    <w:rsid w:val="009B7138"/>
    <w:pPr>
      <w:spacing w:before="0" w:after="240"/>
      <w:ind w:left="5103"/>
      <w:jc w:val="left"/>
    </w:pPr>
  </w:style>
  <w:style w:type="paragraph" w:customStyle="1" w:styleId="Rfrenceinstitutionnellec">
    <w:name w:val="Référence institutionnelle"/>
    <w:basedOn w:val="Normal"/>
    <w:next w:val="Confidentialit"/>
    <w:rsid w:val="009B7138"/>
    <w:pPr>
      <w:spacing w:before="0" w:after="240"/>
      <w:ind w:left="5103"/>
      <w:jc w:val="left"/>
    </w:pPr>
  </w:style>
  <w:style w:type="paragraph" w:customStyle="1" w:styleId="Rfrenceinstitutionnelled">
    <w:name w:val="Référence institutionnelle"/>
    <w:basedOn w:val="Normal"/>
    <w:next w:val="Confidentialit"/>
    <w:rsid w:val="009B7138"/>
    <w:pPr>
      <w:spacing w:before="0" w:after="240"/>
      <w:ind w:left="5103"/>
      <w:jc w:val="left"/>
    </w:pPr>
  </w:style>
  <w:style w:type="paragraph" w:customStyle="1" w:styleId="Rfrenceinstitutionnellee">
    <w:name w:val="Référence institutionnelle"/>
    <w:basedOn w:val="Normal"/>
    <w:next w:val="Confidentialit"/>
    <w:rsid w:val="009B7138"/>
    <w:pPr>
      <w:spacing w:before="0" w:after="240"/>
      <w:ind w:left="5103"/>
      <w:jc w:val="left"/>
    </w:pPr>
  </w:style>
  <w:style w:type="paragraph" w:customStyle="1" w:styleId="Rfrenceinstitutionnellef">
    <w:name w:val="Référence institutionnelle"/>
    <w:basedOn w:val="Normal"/>
    <w:next w:val="Confidentialit"/>
    <w:rsid w:val="009B7138"/>
    <w:pPr>
      <w:spacing w:before="0" w:after="240"/>
      <w:ind w:left="5103"/>
      <w:jc w:val="left"/>
    </w:pPr>
  </w:style>
  <w:style w:type="paragraph" w:customStyle="1" w:styleId="Rfrenceinstitutionnellef0">
    <w:name w:val="Référence institutionnelle"/>
    <w:basedOn w:val="Normal"/>
    <w:next w:val="Confidentialit"/>
    <w:rsid w:val="009B7138"/>
    <w:pPr>
      <w:spacing w:before="0" w:after="240"/>
      <w:ind w:left="5103"/>
      <w:jc w:val="left"/>
    </w:pPr>
  </w:style>
  <w:style w:type="paragraph" w:customStyle="1" w:styleId="Normal3">
    <w:name w:val="Normal3"/>
    <w:basedOn w:val="Normal"/>
    <w:rsid w:val="00B0403D"/>
    <w:pPr>
      <w:spacing w:before="100" w:beforeAutospacing="1" w:after="100" w:afterAutospacing="1"/>
      <w:jc w:val="left"/>
    </w:pPr>
    <w:rPr>
      <w:rFonts w:eastAsia="Times New Roman"/>
      <w:szCs w:val="24"/>
      <w:lang w:eastAsia="en-GB"/>
    </w:rPr>
  </w:style>
  <w:style w:type="paragraph" w:customStyle="1" w:styleId="Point1letter0">
    <w:name w:val="Point 1(letter)"/>
    <w:basedOn w:val="Point1"/>
    <w:rsid w:val="00782DB7"/>
  </w:style>
  <w:style w:type="paragraph" w:customStyle="1" w:styleId="Poin1">
    <w:name w:val="Poin 1"/>
    <w:basedOn w:val="Point1letter"/>
    <w:rsid w:val="009F5956"/>
  </w:style>
  <w:style w:type="paragraph" w:customStyle="1" w:styleId="Rfrenceinstitutionnelle18">
    <w:name w:val="Référence institutionnelle18"/>
    <w:basedOn w:val="Normal"/>
    <w:next w:val="Confidentialit"/>
    <w:rsid w:val="00CD623F"/>
    <w:pPr>
      <w:spacing w:before="0" w:after="240"/>
      <w:ind w:left="5103"/>
      <w:jc w:val="left"/>
    </w:pPr>
  </w:style>
  <w:style w:type="paragraph" w:customStyle="1" w:styleId="Rfrenceinstitutionnelle17">
    <w:name w:val="Référence institutionnelle17"/>
    <w:basedOn w:val="Normal"/>
    <w:next w:val="Confidentialit"/>
    <w:rsid w:val="00CD623F"/>
    <w:pPr>
      <w:spacing w:before="0" w:after="240"/>
      <w:ind w:left="5103"/>
      <w:jc w:val="left"/>
    </w:pPr>
  </w:style>
  <w:style w:type="paragraph" w:customStyle="1" w:styleId="Rfrenceinstitutionnelle16">
    <w:name w:val="Référence institutionnelle16"/>
    <w:basedOn w:val="Normal"/>
    <w:next w:val="Confidentialit"/>
    <w:rsid w:val="00CD623F"/>
    <w:pPr>
      <w:spacing w:before="0" w:after="240"/>
      <w:ind w:left="5103"/>
      <w:jc w:val="left"/>
    </w:pPr>
  </w:style>
  <w:style w:type="paragraph" w:customStyle="1" w:styleId="Rfrenceinstitutionnelle15">
    <w:name w:val="Référence institutionnelle15"/>
    <w:basedOn w:val="Normal"/>
    <w:next w:val="Confidentialit"/>
    <w:rsid w:val="00CD623F"/>
    <w:pPr>
      <w:spacing w:before="0" w:after="240"/>
      <w:ind w:left="5103"/>
      <w:jc w:val="left"/>
    </w:pPr>
  </w:style>
  <w:style w:type="paragraph" w:customStyle="1" w:styleId="Rfrenceinstitutionnelle14">
    <w:name w:val="Référence institutionnelle14"/>
    <w:basedOn w:val="Normal"/>
    <w:next w:val="Confidentialit"/>
    <w:rsid w:val="00CD623F"/>
    <w:pPr>
      <w:spacing w:before="0" w:after="240"/>
      <w:ind w:left="5103"/>
      <w:jc w:val="left"/>
    </w:pPr>
  </w:style>
  <w:style w:type="paragraph" w:customStyle="1" w:styleId="Rfrenceinstitutionnelle13">
    <w:name w:val="Référence institutionnelle13"/>
    <w:basedOn w:val="Normal"/>
    <w:next w:val="Confidentialit"/>
    <w:rsid w:val="00CD623F"/>
    <w:pPr>
      <w:spacing w:before="0" w:after="240"/>
      <w:ind w:left="5103"/>
      <w:jc w:val="left"/>
    </w:pPr>
  </w:style>
  <w:style w:type="paragraph" w:customStyle="1" w:styleId="Rfrenceinstitutionnelle12">
    <w:name w:val="Référence institutionnelle12"/>
    <w:basedOn w:val="Normal"/>
    <w:next w:val="Confidentialit"/>
    <w:rsid w:val="00CD623F"/>
    <w:pPr>
      <w:spacing w:before="0" w:after="240"/>
      <w:ind w:left="5103"/>
      <w:jc w:val="left"/>
    </w:pPr>
  </w:style>
  <w:style w:type="paragraph" w:customStyle="1" w:styleId="Rfrenceinstitutionnelle11">
    <w:name w:val="Référence institutionnelle11"/>
    <w:basedOn w:val="Normal"/>
    <w:next w:val="Confidentialit"/>
    <w:rsid w:val="00CD623F"/>
    <w:pPr>
      <w:spacing w:before="0" w:after="240"/>
      <w:ind w:left="5103"/>
      <w:jc w:val="left"/>
    </w:pPr>
  </w:style>
  <w:style w:type="paragraph" w:customStyle="1" w:styleId="Rfrenceinstitutionnelle10">
    <w:name w:val="Référence institutionnelle10"/>
    <w:basedOn w:val="Normal"/>
    <w:next w:val="Confidentialit"/>
    <w:rsid w:val="00CD623F"/>
    <w:pPr>
      <w:spacing w:before="0" w:after="240"/>
      <w:ind w:left="5103"/>
      <w:jc w:val="left"/>
    </w:pPr>
  </w:style>
  <w:style w:type="paragraph" w:customStyle="1" w:styleId="Rfrenceinstitutionnelle90">
    <w:name w:val="Référence institutionnelle9"/>
    <w:basedOn w:val="Normal"/>
    <w:next w:val="Confidentialit"/>
    <w:rsid w:val="00CD623F"/>
    <w:pPr>
      <w:spacing w:before="0" w:after="240"/>
      <w:ind w:left="5103"/>
      <w:jc w:val="left"/>
    </w:pPr>
  </w:style>
  <w:style w:type="paragraph" w:customStyle="1" w:styleId="Rfrenceinstitutionnelle80">
    <w:name w:val="Référence institutionnelle8"/>
    <w:basedOn w:val="Normal"/>
    <w:next w:val="Confidentialit"/>
    <w:rsid w:val="00CD623F"/>
    <w:pPr>
      <w:spacing w:before="0" w:after="240"/>
      <w:ind w:left="5103"/>
      <w:jc w:val="left"/>
    </w:pPr>
  </w:style>
  <w:style w:type="paragraph" w:customStyle="1" w:styleId="Rfrenceinstitutionnelle70">
    <w:name w:val="Référence institutionnelle7"/>
    <w:basedOn w:val="Normal"/>
    <w:next w:val="Confidentialit"/>
    <w:rsid w:val="00CD623F"/>
    <w:pPr>
      <w:spacing w:before="0" w:after="240"/>
      <w:ind w:left="5103"/>
      <w:jc w:val="left"/>
    </w:pPr>
  </w:style>
  <w:style w:type="numbering" w:customStyle="1" w:styleId="NoList1">
    <w:name w:val="No List1"/>
    <w:next w:val="NoList"/>
    <w:uiPriority w:val="99"/>
    <w:semiHidden/>
    <w:unhideWhenUsed/>
    <w:rsid w:val="00BE0A2F"/>
  </w:style>
  <w:style w:type="table" w:customStyle="1" w:styleId="TableGrid1">
    <w:name w:val="Table Grid1"/>
    <w:basedOn w:val="TableNormal"/>
    <w:next w:val="TableGrid"/>
    <w:uiPriority w:val="39"/>
    <w:rsid w:val="00BE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f1">
    <w:name w:val="Référence institutionnelle"/>
    <w:basedOn w:val="Normal"/>
    <w:next w:val="Confidentialit"/>
    <w:rsid w:val="009B7138"/>
    <w:pPr>
      <w:spacing w:before="0" w:after="240"/>
      <w:ind w:left="5103"/>
      <w:jc w:val="left"/>
    </w:pPr>
  </w:style>
  <w:style w:type="paragraph" w:customStyle="1" w:styleId="bullHeading2">
    <w:name w:val="bullHeading 2"/>
    <w:basedOn w:val="ManualHeading2"/>
    <w:rsid w:val="001F3EC3"/>
    <w:rPr>
      <w:rFonts w:eastAsia="Arial Unicode MS"/>
      <w:u w:color="000000"/>
      <w:bdr w:val="nil"/>
      <w:lang w:eastAsia="en-GB"/>
    </w:rPr>
  </w:style>
  <w:style w:type="paragraph" w:customStyle="1" w:styleId="Rfrenceinstitutionnellef2">
    <w:name w:val="Référence institutionnelle"/>
    <w:basedOn w:val="Normal"/>
    <w:next w:val="Confidentialit"/>
    <w:rsid w:val="00517205"/>
    <w:pPr>
      <w:spacing w:before="0" w:after="240"/>
      <w:ind w:left="5103"/>
      <w:jc w:val="left"/>
    </w:pPr>
  </w:style>
  <w:style w:type="paragraph" w:customStyle="1" w:styleId="Rfrenceinstitutionnellef3">
    <w:name w:val="Référence institutionnelle"/>
    <w:basedOn w:val="Normal"/>
    <w:next w:val="Confidentialit"/>
    <w:rsid w:val="00517205"/>
    <w:pPr>
      <w:spacing w:before="0" w:after="240"/>
      <w:ind w:left="5103"/>
      <w:jc w:val="left"/>
    </w:pPr>
  </w:style>
  <w:style w:type="paragraph" w:customStyle="1" w:styleId="Rfrenceinstitutionnellef4">
    <w:name w:val="Référence institutionnelle"/>
    <w:basedOn w:val="Normal"/>
    <w:next w:val="Confidentialit"/>
    <w:rsid w:val="00517205"/>
    <w:pPr>
      <w:spacing w:before="0" w:after="240"/>
      <w:ind w:left="5103"/>
      <w:jc w:val="left"/>
    </w:pPr>
  </w:style>
  <w:style w:type="paragraph" w:customStyle="1" w:styleId="Heading30">
    <w:name w:val="Heading3"/>
    <w:basedOn w:val="Point0number"/>
    <w:rsid w:val="00023BC7"/>
    <w:rPr>
      <w:noProof/>
    </w:rPr>
  </w:style>
  <w:style w:type="paragraph" w:customStyle="1" w:styleId="Rfrenceinstitutionnellef5">
    <w:name w:val="Référence institutionnelle"/>
    <w:basedOn w:val="Normal"/>
    <w:next w:val="Confidentialit"/>
    <w:rsid w:val="00517205"/>
    <w:pPr>
      <w:spacing w:before="0" w:after="240"/>
      <w:ind w:left="5103"/>
      <w:jc w:val="left"/>
    </w:pPr>
  </w:style>
  <w:style w:type="paragraph" w:customStyle="1" w:styleId="Rfrenceinstitutionnellef6">
    <w:name w:val="Référence institutionnelle"/>
    <w:basedOn w:val="Normal"/>
    <w:next w:val="Confidentialit"/>
    <w:rsid w:val="00517205"/>
    <w:pPr>
      <w:spacing w:before="0" w:after="240"/>
      <w:ind w:left="5103"/>
      <w:jc w:val="left"/>
    </w:pPr>
  </w:style>
  <w:style w:type="paragraph" w:customStyle="1" w:styleId="Rfrenceinstitutionnellef7">
    <w:name w:val="Référence institutionnelle"/>
    <w:basedOn w:val="Normal"/>
    <w:next w:val="Confidentialit"/>
    <w:rsid w:val="00517205"/>
    <w:pPr>
      <w:spacing w:before="0" w:after="240"/>
      <w:ind w:left="5103"/>
      <w:jc w:val="left"/>
    </w:pPr>
  </w:style>
  <w:style w:type="paragraph" w:customStyle="1" w:styleId="Rfrenceinstitutionnellef8">
    <w:name w:val="Référence institutionnelle"/>
    <w:basedOn w:val="Normal"/>
    <w:next w:val="Confidentialit"/>
    <w:rsid w:val="00517205"/>
    <w:pPr>
      <w:spacing w:before="0" w:after="240"/>
      <w:ind w:left="5103"/>
      <w:jc w:val="left"/>
    </w:pPr>
  </w:style>
  <w:style w:type="paragraph" w:customStyle="1" w:styleId="Rfrenceinstitutionnellef9">
    <w:name w:val="Référence institutionnelle"/>
    <w:basedOn w:val="Normal"/>
    <w:next w:val="Confidentialit"/>
    <w:rsid w:val="00517205"/>
    <w:pPr>
      <w:spacing w:before="0" w:after="240"/>
      <w:ind w:left="5103"/>
      <w:jc w:val="left"/>
    </w:pPr>
  </w:style>
  <w:style w:type="paragraph" w:customStyle="1" w:styleId="Rfrenceinstitutionnellefa">
    <w:name w:val="Référence institutionnelle"/>
    <w:basedOn w:val="Normal"/>
    <w:next w:val="Confidentialit"/>
    <w:rsid w:val="00517205"/>
    <w:pPr>
      <w:spacing w:before="0" w:after="240"/>
      <w:ind w:left="5103"/>
      <w:jc w:val="left"/>
    </w:pPr>
  </w:style>
  <w:style w:type="paragraph" w:customStyle="1" w:styleId="title-bold">
    <w:name w:val="title-bold"/>
    <w:basedOn w:val="Normal"/>
    <w:rsid w:val="00BF79F9"/>
    <w:pPr>
      <w:spacing w:before="100" w:beforeAutospacing="1" w:after="100" w:afterAutospacing="1"/>
      <w:jc w:val="left"/>
    </w:pPr>
    <w:rPr>
      <w:rFonts w:eastAsia="Times New Roman"/>
      <w:szCs w:val="24"/>
      <w:lang w:eastAsia="en-GB"/>
    </w:rPr>
  </w:style>
  <w:style w:type="paragraph" w:customStyle="1" w:styleId="Rfrenceinstitutionnellefb">
    <w:name w:val="Référence institutionnelle"/>
    <w:basedOn w:val="Normal"/>
    <w:next w:val="Confidentialit"/>
    <w:rsid w:val="00517205"/>
    <w:pPr>
      <w:spacing w:before="0" w:after="240"/>
      <w:ind w:left="5103"/>
      <w:jc w:val="left"/>
    </w:pPr>
  </w:style>
  <w:style w:type="paragraph" w:customStyle="1" w:styleId="Rfrenceinstitutionnellefc">
    <w:name w:val="Référence institutionnelle"/>
    <w:basedOn w:val="Normal"/>
    <w:next w:val="Confidentialit"/>
    <w:rsid w:val="00517205"/>
    <w:pPr>
      <w:spacing w:before="0" w:after="240"/>
      <w:ind w:left="5103"/>
      <w:jc w:val="left"/>
    </w:pPr>
  </w:style>
  <w:style w:type="paragraph" w:customStyle="1" w:styleId="Rfrenceinstitutionnellefd">
    <w:name w:val="Référence institutionnelle"/>
    <w:basedOn w:val="Normal"/>
    <w:next w:val="Confidentialit"/>
    <w:rsid w:val="00517205"/>
    <w:pPr>
      <w:spacing w:before="0" w:after="240"/>
      <w:ind w:left="5103"/>
      <w:jc w:val="left"/>
    </w:pPr>
  </w:style>
  <w:style w:type="paragraph" w:customStyle="1" w:styleId="Rfrenceinstitutionnellefe">
    <w:name w:val="Référence institutionnelle"/>
    <w:basedOn w:val="Normal"/>
    <w:next w:val="Confidentialit"/>
    <w:rsid w:val="00517205"/>
    <w:pPr>
      <w:spacing w:before="0" w:after="240"/>
      <w:ind w:left="5103"/>
      <w:jc w:val="left"/>
    </w:pPr>
  </w:style>
  <w:style w:type="paragraph" w:customStyle="1" w:styleId="Rfrenceinstitutionnelleff">
    <w:name w:val="Référence institutionnelle"/>
    <w:basedOn w:val="Normal"/>
    <w:next w:val="Confidentialit"/>
    <w:rsid w:val="00517205"/>
    <w:pPr>
      <w:spacing w:before="0" w:after="240"/>
      <w:ind w:left="5103"/>
      <w:jc w:val="left"/>
    </w:pPr>
  </w:style>
  <w:style w:type="paragraph" w:customStyle="1" w:styleId="Rfrenceinstitutionnelleff0">
    <w:name w:val="Référence institutionnelle"/>
    <w:basedOn w:val="Normal"/>
    <w:next w:val="Confidentialit"/>
    <w:rsid w:val="00517205"/>
    <w:pPr>
      <w:spacing w:before="0" w:after="240"/>
      <w:ind w:left="5103"/>
      <w:jc w:val="left"/>
    </w:pPr>
  </w:style>
  <w:style w:type="paragraph" w:customStyle="1" w:styleId="Rfrenceinstitutionnelleff1">
    <w:name w:val="Référence institutionnelle"/>
    <w:basedOn w:val="Normal"/>
    <w:next w:val="Confidentialit"/>
    <w:rsid w:val="00517205"/>
    <w:pPr>
      <w:spacing w:before="0" w:after="240"/>
      <w:ind w:left="5103"/>
      <w:jc w:val="left"/>
    </w:pPr>
  </w:style>
  <w:style w:type="paragraph" w:customStyle="1" w:styleId="Rfrenceinstitutionnelleff2">
    <w:name w:val="Référence institutionnelle"/>
    <w:basedOn w:val="Normal"/>
    <w:next w:val="Confidentialit"/>
    <w:rsid w:val="00517205"/>
    <w:pPr>
      <w:spacing w:before="0" w:after="240"/>
      <w:ind w:left="5103"/>
      <w:jc w:val="left"/>
    </w:pPr>
  </w:style>
  <w:style w:type="paragraph" w:customStyle="1" w:styleId="Rfrenceinstitutionnelleff3">
    <w:name w:val="Référence institutionnelle"/>
    <w:basedOn w:val="Normal"/>
    <w:next w:val="Confidentialit"/>
    <w:rsid w:val="00517205"/>
    <w:pPr>
      <w:spacing w:before="0" w:after="240"/>
      <w:ind w:left="5103"/>
      <w:jc w:val="left"/>
    </w:pPr>
  </w:style>
  <w:style w:type="paragraph" w:customStyle="1" w:styleId="Rfrenceinstitutionnelleff4">
    <w:name w:val="Référence institutionnelle"/>
    <w:basedOn w:val="Normal"/>
    <w:next w:val="Confidentialit"/>
    <w:rsid w:val="00517205"/>
    <w:pPr>
      <w:spacing w:before="0" w:after="240"/>
      <w:ind w:left="5103"/>
      <w:jc w:val="left"/>
    </w:pPr>
  </w:style>
  <w:style w:type="paragraph" w:customStyle="1" w:styleId="Rfrenceinstitutionnelleff5">
    <w:name w:val="Référence institutionnelle"/>
    <w:basedOn w:val="Normal"/>
    <w:next w:val="Confidentialit"/>
    <w:rsid w:val="00517205"/>
    <w:pPr>
      <w:spacing w:before="0" w:after="240"/>
      <w:ind w:left="5103"/>
      <w:jc w:val="left"/>
    </w:pPr>
  </w:style>
  <w:style w:type="paragraph" w:customStyle="1" w:styleId="Rfrenceinstitutionnelleff6">
    <w:name w:val="Référence institutionnelle"/>
    <w:basedOn w:val="Normal"/>
    <w:next w:val="Confidentialit"/>
    <w:rsid w:val="00517205"/>
    <w:pPr>
      <w:spacing w:before="0" w:after="240"/>
      <w:ind w:left="5103"/>
      <w:jc w:val="left"/>
    </w:pPr>
  </w:style>
  <w:style w:type="paragraph" w:styleId="Header">
    <w:name w:val="header"/>
    <w:basedOn w:val="Normal"/>
    <w:link w:val="HeaderChar"/>
    <w:uiPriority w:val="99"/>
    <w:unhideWhenUsed/>
    <w:rsid w:val="00D77511"/>
    <w:pPr>
      <w:tabs>
        <w:tab w:val="center" w:pos="4535"/>
        <w:tab w:val="right" w:pos="9071"/>
      </w:tabs>
      <w:spacing w:before="0"/>
    </w:pPr>
  </w:style>
  <w:style w:type="character" w:customStyle="1" w:styleId="HeaderChar">
    <w:name w:val="Header Char"/>
    <w:basedOn w:val="DefaultParagraphFont"/>
    <w:link w:val="Header"/>
    <w:uiPriority w:val="99"/>
    <w:rsid w:val="00D77511"/>
    <w:rPr>
      <w:rFonts w:ascii="Times New Roman" w:hAnsi="Times New Roman" w:cs="Times New Roman"/>
      <w:sz w:val="24"/>
      <w:lang w:val="sl-SI"/>
    </w:rPr>
  </w:style>
  <w:style w:type="paragraph" w:styleId="Footer">
    <w:name w:val="footer"/>
    <w:basedOn w:val="Normal"/>
    <w:link w:val="FooterChar"/>
    <w:uiPriority w:val="99"/>
    <w:unhideWhenUsed/>
    <w:rsid w:val="00D7751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77511"/>
    <w:rPr>
      <w:rFonts w:ascii="Times New Roman" w:hAnsi="Times New Roman" w:cs="Times New Roman"/>
      <w:sz w:val="24"/>
      <w:lang w:val="sl-SI"/>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D77511"/>
    <w:pPr>
      <w:tabs>
        <w:tab w:val="center" w:pos="7285"/>
        <w:tab w:val="right" w:pos="14003"/>
      </w:tabs>
      <w:spacing w:before="0"/>
    </w:pPr>
  </w:style>
  <w:style w:type="paragraph" w:customStyle="1" w:styleId="FooterLandscape">
    <w:name w:val="FooterLandscape"/>
    <w:basedOn w:val="Normal"/>
    <w:rsid w:val="00D7751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D7751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77511"/>
    <w:pPr>
      <w:spacing w:before="0"/>
      <w:jc w:val="right"/>
    </w:pPr>
    <w:rPr>
      <w:sz w:val="28"/>
    </w:rPr>
  </w:style>
  <w:style w:type="paragraph" w:customStyle="1" w:styleId="FooterSensitivity">
    <w:name w:val="Footer Sensitivity"/>
    <w:basedOn w:val="Normal"/>
    <w:rsid w:val="00D7751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2"/>
      </w:numPr>
    </w:pPr>
  </w:style>
  <w:style w:type="paragraph" w:customStyle="1" w:styleId="Tiret1">
    <w:name w:val="Tiret 1"/>
    <w:basedOn w:val="Point1"/>
    <w:rsid w:val="00517205"/>
    <w:pPr>
      <w:numPr>
        <w:numId w:val="23"/>
      </w:numPr>
    </w:pPr>
  </w:style>
  <w:style w:type="paragraph" w:customStyle="1" w:styleId="Tiret2">
    <w:name w:val="Tiret 2"/>
    <w:basedOn w:val="Point2"/>
    <w:rsid w:val="00517205"/>
    <w:pPr>
      <w:numPr>
        <w:numId w:val="24"/>
      </w:numPr>
    </w:pPr>
  </w:style>
  <w:style w:type="paragraph" w:customStyle="1" w:styleId="Tiret3">
    <w:name w:val="Tiret 3"/>
    <w:basedOn w:val="Point3"/>
    <w:rsid w:val="00517205"/>
    <w:pPr>
      <w:numPr>
        <w:numId w:val="25"/>
      </w:numPr>
    </w:pPr>
  </w:style>
  <w:style w:type="paragraph" w:customStyle="1" w:styleId="Tiret4">
    <w:name w:val="Tiret 4"/>
    <w:basedOn w:val="Point4"/>
    <w:rsid w:val="00517205"/>
    <w:pPr>
      <w:numPr>
        <w:numId w:val="26"/>
      </w:numPr>
    </w:pPr>
  </w:style>
  <w:style w:type="paragraph" w:customStyle="1" w:styleId="Tiret5">
    <w:name w:val="Tiret 5"/>
    <w:basedOn w:val="Point5"/>
    <w:rsid w:val="00517205"/>
    <w:pPr>
      <w:numPr>
        <w:numId w:val="2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8"/>
      </w:numPr>
    </w:pPr>
  </w:style>
  <w:style w:type="paragraph" w:customStyle="1" w:styleId="NumPar2">
    <w:name w:val="NumPar 2"/>
    <w:basedOn w:val="Normal"/>
    <w:next w:val="Text1"/>
    <w:rsid w:val="00517205"/>
    <w:pPr>
      <w:numPr>
        <w:ilvl w:val="1"/>
        <w:numId w:val="28"/>
      </w:numPr>
    </w:pPr>
  </w:style>
  <w:style w:type="paragraph" w:customStyle="1" w:styleId="NumPar3">
    <w:name w:val="NumPar 3"/>
    <w:basedOn w:val="Normal"/>
    <w:next w:val="Text1"/>
    <w:rsid w:val="00517205"/>
    <w:pPr>
      <w:numPr>
        <w:ilvl w:val="2"/>
        <w:numId w:val="28"/>
      </w:numPr>
    </w:pPr>
  </w:style>
  <w:style w:type="paragraph" w:customStyle="1" w:styleId="NumPar4">
    <w:name w:val="NumPar 4"/>
    <w:basedOn w:val="Normal"/>
    <w:next w:val="Text1"/>
    <w:rsid w:val="00517205"/>
    <w:pPr>
      <w:numPr>
        <w:ilvl w:val="3"/>
        <w:numId w:val="28"/>
      </w:numPr>
    </w:pPr>
  </w:style>
  <w:style w:type="paragraph" w:customStyle="1" w:styleId="NumPar5">
    <w:name w:val="NumPar 5"/>
    <w:basedOn w:val="Normal"/>
    <w:next w:val="Text2"/>
    <w:rsid w:val="00517205"/>
    <w:pPr>
      <w:numPr>
        <w:ilvl w:val="4"/>
        <w:numId w:val="28"/>
      </w:numPr>
    </w:pPr>
  </w:style>
  <w:style w:type="paragraph" w:customStyle="1" w:styleId="NumPar6">
    <w:name w:val="NumPar 6"/>
    <w:basedOn w:val="Normal"/>
    <w:next w:val="Text2"/>
    <w:rsid w:val="00517205"/>
    <w:pPr>
      <w:numPr>
        <w:ilvl w:val="5"/>
        <w:numId w:val="28"/>
      </w:numPr>
    </w:pPr>
  </w:style>
  <w:style w:type="paragraph" w:customStyle="1" w:styleId="NumPar7">
    <w:name w:val="NumPar 7"/>
    <w:basedOn w:val="Normal"/>
    <w:next w:val="Text2"/>
    <w:rsid w:val="00517205"/>
    <w:pPr>
      <w:numPr>
        <w:ilvl w:val="6"/>
        <w:numId w:val="2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0"/>
      </w:numPr>
    </w:pPr>
  </w:style>
  <w:style w:type="paragraph" w:customStyle="1" w:styleId="Point1number">
    <w:name w:val="Point 1 (number)"/>
    <w:basedOn w:val="Normal"/>
    <w:rsid w:val="00517205"/>
    <w:pPr>
      <w:numPr>
        <w:ilvl w:val="2"/>
        <w:numId w:val="30"/>
      </w:numPr>
    </w:pPr>
  </w:style>
  <w:style w:type="paragraph" w:customStyle="1" w:styleId="Point2number">
    <w:name w:val="Point 2 (number)"/>
    <w:basedOn w:val="Normal"/>
    <w:rsid w:val="00517205"/>
    <w:pPr>
      <w:numPr>
        <w:ilvl w:val="4"/>
        <w:numId w:val="30"/>
      </w:numPr>
    </w:pPr>
  </w:style>
  <w:style w:type="paragraph" w:customStyle="1" w:styleId="Point3number">
    <w:name w:val="Point 3 (number)"/>
    <w:basedOn w:val="Normal"/>
    <w:rsid w:val="00517205"/>
    <w:pPr>
      <w:numPr>
        <w:ilvl w:val="6"/>
        <w:numId w:val="30"/>
      </w:numPr>
    </w:pPr>
  </w:style>
  <w:style w:type="paragraph" w:customStyle="1" w:styleId="Point0letter">
    <w:name w:val="Point 0 (letter)"/>
    <w:basedOn w:val="Normal"/>
    <w:rsid w:val="00517205"/>
    <w:pPr>
      <w:numPr>
        <w:ilvl w:val="1"/>
        <w:numId w:val="30"/>
      </w:numPr>
    </w:pPr>
  </w:style>
  <w:style w:type="paragraph" w:customStyle="1" w:styleId="Point1letter">
    <w:name w:val="Point 1 (letter)"/>
    <w:basedOn w:val="Normal"/>
    <w:rsid w:val="00517205"/>
    <w:pPr>
      <w:numPr>
        <w:ilvl w:val="3"/>
        <w:numId w:val="30"/>
      </w:numPr>
    </w:pPr>
  </w:style>
  <w:style w:type="paragraph" w:customStyle="1" w:styleId="Point2letter">
    <w:name w:val="Point 2 (letter)"/>
    <w:basedOn w:val="Normal"/>
    <w:rsid w:val="00517205"/>
    <w:pPr>
      <w:numPr>
        <w:ilvl w:val="5"/>
        <w:numId w:val="30"/>
      </w:numPr>
    </w:pPr>
  </w:style>
  <w:style w:type="paragraph" w:customStyle="1" w:styleId="Point3letter">
    <w:name w:val="Point 3 (letter)"/>
    <w:basedOn w:val="Normal"/>
    <w:rsid w:val="00517205"/>
    <w:pPr>
      <w:numPr>
        <w:ilvl w:val="7"/>
        <w:numId w:val="30"/>
      </w:numPr>
    </w:pPr>
  </w:style>
  <w:style w:type="paragraph" w:customStyle="1" w:styleId="Point4letter">
    <w:name w:val="Point 4 (letter)"/>
    <w:basedOn w:val="Normal"/>
    <w:rsid w:val="00517205"/>
    <w:pPr>
      <w:numPr>
        <w:ilvl w:val="8"/>
        <w:numId w:val="30"/>
      </w:numPr>
    </w:pPr>
  </w:style>
  <w:style w:type="paragraph" w:customStyle="1" w:styleId="Bullet0">
    <w:name w:val="Bullet 0"/>
    <w:basedOn w:val="Normal"/>
    <w:rsid w:val="00517205"/>
    <w:pPr>
      <w:numPr>
        <w:numId w:val="31"/>
      </w:numPr>
    </w:pPr>
  </w:style>
  <w:style w:type="paragraph" w:customStyle="1" w:styleId="Bullet1">
    <w:name w:val="Bullet 1"/>
    <w:basedOn w:val="Normal"/>
    <w:rsid w:val="00517205"/>
    <w:pPr>
      <w:numPr>
        <w:numId w:val="32"/>
      </w:numPr>
    </w:pPr>
  </w:style>
  <w:style w:type="paragraph" w:customStyle="1" w:styleId="Bullet2">
    <w:name w:val="Bullet 2"/>
    <w:basedOn w:val="Normal"/>
    <w:rsid w:val="00517205"/>
    <w:pPr>
      <w:numPr>
        <w:numId w:val="33"/>
      </w:numPr>
    </w:pPr>
  </w:style>
  <w:style w:type="paragraph" w:customStyle="1" w:styleId="Bullet3">
    <w:name w:val="Bullet 3"/>
    <w:basedOn w:val="Normal"/>
    <w:rsid w:val="00517205"/>
    <w:pPr>
      <w:numPr>
        <w:numId w:val="34"/>
      </w:numPr>
    </w:pPr>
  </w:style>
  <w:style w:type="paragraph" w:customStyle="1" w:styleId="Bullet4">
    <w:name w:val="Bullet 4"/>
    <w:basedOn w:val="Normal"/>
    <w:rsid w:val="00517205"/>
    <w:pPr>
      <w:numPr>
        <w:numId w:val="3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ff7"/>
    <w:rsid w:val="00517205"/>
    <w:pPr>
      <w:spacing w:before="0" w:after="0"/>
      <w:ind w:left="5103"/>
      <w:jc w:val="left"/>
    </w:pPr>
  </w:style>
  <w:style w:type="paragraph" w:customStyle="1" w:styleId="Rfrenceinstitutionnelleff7">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4464">
      <w:bodyDiv w:val="1"/>
      <w:marLeft w:val="0"/>
      <w:marRight w:val="0"/>
      <w:marTop w:val="0"/>
      <w:marBottom w:val="0"/>
      <w:divBdr>
        <w:top w:val="none" w:sz="0" w:space="0" w:color="auto"/>
        <w:left w:val="none" w:sz="0" w:space="0" w:color="auto"/>
        <w:bottom w:val="none" w:sz="0" w:space="0" w:color="auto"/>
        <w:right w:val="none" w:sz="0" w:space="0" w:color="auto"/>
      </w:divBdr>
    </w:div>
    <w:div w:id="28654191">
      <w:bodyDiv w:val="1"/>
      <w:marLeft w:val="0"/>
      <w:marRight w:val="0"/>
      <w:marTop w:val="0"/>
      <w:marBottom w:val="0"/>
      <w:divBdr>
        <w:top w:val="none" w:sz="0" w:space="0" w:color="auto"/>
        <w:left w:val="none" w:sz="0" w:space="0" w:color="auto"/>
        <w:bottom w:val="none" w:sz="0" w:space="0" w:color="auto"/>
        <w:right w:val="none" w:sz="0" w:space="0" w:color="auto"/>
      </w:divBdr>
    </w:div>
    <w:div w:id="61022705">
      <w:bodyDiv w:val="1"/>
      <w:marLeft w:val="0"/>
      <w:marRight w:val="0"/>
      <w:marTop w:val="0"/>
      <w:marBottom w:val="0"/>
      <w:divBdr>
        <w:top w:val="none" w:sz="0" w:space="0" w:color="auto"/>
        <w:left w:val="none" w:sz="0" w:space="0" w:color="auto"/>
        <w:bottom w:val="none" w:sz="0" w:space="0" w:color="auto"/>
        <w:right w:val="none" w:sz="0" w:space="0" w:color="auto"/>
      </w:divBdr>
    </w:div>
    <w:div w:id="115368747">
      <w:bodyDiv w:val="1"/>
      <w:marLeft w:val="0"/>
      <w:marRight w:val="0"/>
      <w:marTop w:val="0"/>
      <w:marBottom w:val="0"/>
      <w:divBdr>
        <w:top w:val="none" w:sz="0" w:space="0" w:color="auto"/>
        <w:left w:val="none" w:sz="0" w:space="0" w:color="auto"/>
        <w:bottom w:val="none" w:sz="0" w:space="0" w:color="auto"/>
        <w:right w:val="none" w:sz="0" w:space="0" w:color="auto"/>
      </w:divBdr>
    </w:div>
    <w:div w:id="132020874">
      <w:bodyDiv w:val="1"/>
      <w:marLeft w:val="0"/>
      <w:marRight w:val="0"/>
      <w:marTop w:val="0"/>
      <w:marBottom w:val="0"/>
      <w:divBdr>
        <w:top w:val="none" w:sz="0" w:space="0" w:color="auto"/>
        <w:left w:val="none" w:sz="0" w:space="0" w:color="auto"/>
        <w:bottom w:val="none" w:sz="0" w:space="0" w:color="auto"/>
        <w:right w:val="none" w:sz="0" w:space="0" w:color="auto"/>
      </w:divBdr>
    </w:div>
    <w:div w:id="135224651">
      <w:bodyDiv w:val="1"/>
      <w:marLeft w:val="0"/>
      <w:marRight w:val="0"/>
      <w:marTop w:val="0"/>
      <w:marBottom w:val="0"/>
      <w:divBdr>
        <w:top w:val="none" w:sz="0" w:space="0" w:color="auto"/>
        <w:left w:val="none" w:sz="0" w:space="0" w:color="auto"/>
        <w:bottom w:val="none" w:sz="0" w:space="0" w:color="auto"/>
        <w:right w:val="none" w:sz="0" w:space="0" w:color="auto"/>
      </w:divBdr>
    </w:div>
    <w:div w:id="165482164">
      <w:bodyDiv w:val="1"/>
      <w:marLeft w:val="0"/>
      <w:marRight w:val="0"/>
      <w:marTop w:val="0"/>
      <w:marBottom w:val="0"/>
      <w:divBdr>
        <w:top w:val="none" w:sz="0" w:space="0" w:color="auto"/>
        <w:left w:val="none" w:sz="0" w:space="0" w:color="auto"/>
        <w:bottom w:val="none" w:sz="0" w:space="0" w:color="auto"/>
        <w:right w:val="none" w:sz="0" w:space="0" w:color="auto"/>
      </w:divBdr>
    </w:div>
    <w:div w:id="177431634">
      <w:bodyDiv w:val="1"/>
      <w:marLeft w:val="0"/>
      <w:marRight w:val="0"/>
      <w:marTop w:val="0"/>
      <w:marBottom w:val="0"/>
      <w:divBdr>
        <w:top w:val="none" w:sz="0" w:space="0" w:color="auto"/>
        <w:left w:val="none" w:sz="0" w:space="0" w:color="auto"/>
        <w:bottom w:val="none" w:sz="0" w:space="0" w:color="auto"/>
        <w:right w:val="none" w:sz="0" w:space="0" w:color="auto"/>
      </w:divBdr>
    </w:div>
    <w:div w:id="195822347">
      <w:bodyDiv w:val="1"/>
      <w:marLeft w:val="0"/>
      <w:marRight w:val="0"/>
      <w:marTop w:val="0"/>
      <w:marBottom w:val="0"/>
      <w:divBdr>
        <w:top w:val="none" w:sz="0" w:space="0" w:color="auto"/>
        <w:left w:val="none" w:sz="0" w:space="0" w:color="auto"/>
        <w:bottom w:val="none" w:sz="0" w:space="0" w:color="auto"/>
        <w:right w:val="none" w:sz="0" w:space="0" w:color="auto"/>
      </w:divBdr>
    </w:div>
    <w:div w:id="218398552">
      <w:bodyDiv w:val="1"/>
      <w:marLeft w:val="0"/>
      <w:marRight w:val="0"/>
      <w:marTop w:val="0"/>
      <w:marBottom w:val="0"/>
      <w:divBdr>
        <w:top w:val="none" w:sz="0" w:space="0" w:color="auto"/>
        <w:left w:val="none" w:sz="0" w:space="0" w:color="auto"/>
        <w:bottom w:val="none" w:sz="0" w:space="0" w:color="auto"/>
        <w:right w:val="none" w:sz="0" w:space="0" w:color="auto"/>
      </w:divBdr>
    </w:div>
    <w:div w:id="223873227">
      <w:bodyDiv w:val="1"/>
      <w:marLeft w:val="0"/>
      <w:marRight w:val="0"/>
      <w:marTop w:val="0"/>
      <w:marBottom w:val="0"/>
      <w:divBdr>
        <w:top w:val="none" w:sz="0" w:space="0" w:color="auto"/>
        <w:left w:val="none" w:sz="0" w:space="0" w:color="auto"/>
        <w:bottom w:val="none" w:sz="0" w:space="0" w:color="auto"/>
        <w:right w:val="none" w:sz="0" w:space="0" w:color="auto"/>
      </w:divBdr>
    </w:div>
    <w:div w:id="259219289">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8588436">
      <w:bodyDiv w:val="1"/>
      <w:marLeft w:val="0"/>
      <w:marRight w:val="0"/>
      <w:marTop w:val="0"/>
      <w:marBottom w:val="0"/>
      <w:divBdr>
        <w:top w:val="none" w:sz="0" w:space="0" w:color="auto"/>
        <w:left w:val="none" w:sz="0" w:space="0" w:color="auto"/>
        <w:bottom w:val="none" w:sz="0" w:space="0" w:color="auto"/>
        <w:right w:val="none" w:sz="0" w:space="0" w:color="auto"/>
      </w:divBdr>
    </w:div>
    <w:div w:id="270942964">
      <w:bodyDiv w:val="1"/>
      <w:marLeft w:val="0"/>
      <w:marRight w:val="0"/>
      <w:marTop w:val="0"/>
      <w:marBottom w:val="0"/>
      <w:divBdr>
        <w:top w:val="none" w:sz="0" w:space="0" w:color="auto"/>
        <w:left w:val="none" w:sz="0" w:space="0" w:color="auto"/>
        <w:bottom w:val="none" w:sz="0" w:space="0" w:color="auto"/>
        <w:right w:val="none" w:sz="0" w:space="0" w:color="auto"/>
      </w:divBdr>
    </w:div>
    <w:div w:id="303315402">
      <w:bodyDiv w:val="1"/>
      <w:marLeft w:val="0"/>
      <w:marRight w:val="0"/>
      <w:marTop w:val="0"/>
      <w:marBottom w:val="0"/>
      <w:divBdr>
        <w:top w:val="none" w:sz="0" w:space="0" w:color="auto"/>
        <w:left w:val="none" w:sz="0" w:space="0" w:color="auto"/>
        <w:bottom w:val="none" w:sz="0" w:space="0" w:color="auto"/>
        <w:right w:val="none" w:sz="0" w:space="0" w:color="auto"/>
      </w:divBdr>
      <w:divsChild>
        <w:div w:id="1917133028">
          <w:marLeft w:val="0"/>
          <w:marRight w:val="0"/>
          <w:marTop w:val="0"/>
          <w:marBottom w:val="0"/>
          <w:divBdr>
            <w:top w:val="none" w:sz="0" w:space="0" w:color="auto"/>
            <w:left w:val="none" w:sz="0" w:space="0" w:color="auto"/>
            <w:bottom w:val="none" w:sz="0" w:space="0" w:color="auto"/>
            <w:right w:val="none" w:sz="0" w:space="0" w:color="auto"/>
          </w:divBdr>
          <w:divsChild>
            <w:div w:id="144006947">
              <w:marLeft w:val="0"/>
              <w:marRight w:val="0"/>
              <w:marTop w:val="0"/>
              <w:marBottom w:val="0"/>
              <w:divBdr>
                <w:top w:val="none" w:sz="0" w:space="0" w:color="auto"/>
                <w:left w:val="none" w:sz="0" w:space="0" w:color="auto"/>
                <w:bottom w:val="none" w:sz="0" w:space="0" w:color="auto"/>
                <w:right w:val="none" w:sz="0" w:space="0" w:color="auto"/>
              </w:divBdr>
            </w:div>
          </w:divsChild>
        </w:div>
        <w:div w:id="838497909">
          <w:marLeft w:val="0"/>
          <w:marRight w:val="0"/>
          <w:marTop w:val="0"/>
          <w:marBottom w:val="0"/>
          <w:divBdr>
            <w:top w:val="none" w:sz="0" w:space="0" w:color="auto"/>
            <w:left w:val="none" w:sz="0" w:space="0" w:color="auto"/>
            <w:bottom w:val="none" w:sz="0" w:space="0" w:color="auto"/>
            <w:right w:val="none" w:sz="0" w:space="0" w:color="auto"/>
          </w:divBdr>
          <w:divsChild>
            <w:div w:id="1847163367">
              <w:marLeft w:val="0"/>
              <w:marRight w:val="0"/>
              <w:marTop w:val="0"/>
              <w:marBottom w:val="0"/>
              <w:divBdr>
                <w:top w:val="none" w:sz="0" w:space="0" w:color="auto"/>
                <w:left w:val="none" w:sz="0" w:space="0" w:color="auto"/>
                <w:bottom w:val="none" w:sz="0" w:space="0" w:color="auto"/>
                <w:right w:val="none" w:sz="0" w:space="0" w:color="auto"/>
              </w:divBdr>
              <w:divsChild>
                <w:div w:id="161513133">
                  <w:marLeft w:val="0"/>
                  <w:marRight w:val="0"/>
                  <w:marTop w:val="0"/>
                  <w:marBottom w:val="0"/>
                  <w:divBdr>
                    <w:top w:val="none" w:sz="0" w:space="0" w:color="auto"/>
                    <w:left w:val="none" w:sz="0" w:space="0" w:color="auto"/>
                    <w:bottom w:val="none" w:sz="0" w:space="0" w:color="auto"/>
                    <w:right w:val="none" w:sz="0" w:space="0" w:color="auto"/>
                  </w:divBdr>
                  <w:divsChild>
                    <w:div w:id="14128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52">
      <w:bodyDiv w:val="1"/>
      <w:marLeft w:val="0"/>
      <w:marRight w:val="0"/>
      <w:marTop w:val="0"/>
      <w:marBottom w:val="0"/>
      <w:divBdr>
        <w:top w:val="none" w:sz="0" w:space="0" w:color="auto"/>
        <w:left w:val="none" w:sz="0" w:space="0" w:color="auto"/>
        <w:bottom w:val="none" w:sz="0" w:space="0" w:color="auto"/>
        <w:right w:val="none" w:sz="0" w:space="0" w:color="auto"/>
      </w:divBdr>
    </w:div>
    <w:div w:id="316881099">
      <w:bodyDiv w:val="1"/>
      <w:marLeft w:val="0"/>
      <w:marRight w:val="0"/>
      <w:marTop w:val="0"/>
      <w:marBottom w:val="0"/>
      <w:divBdr>
        <w:top w:val="none" w:sz="0" w:space="0" w:color="auto"/>
        <w:left w:val="none" w:sz="0" w:space="0" w:color="auto"/>
        <w:bottom w:val="none" w:sz="0" w:space="0" w:color="auto"/>
        <w:right w:val="none" w:sz="0" w:space="0" w:color="auto"/>
      </w:divBdr>
    </w:div>
    <w:div w:id="331489172">
      <w:bodyDiv w:val="1"/>
      <w:marLeft w:val="0"/>
      <w:marRight w:val="0"/>
      <w:marTop w:val="0"/>
      <w:marBottom w:val="0"/>
      <w:divBdr>
        <w:top w:val="none" w:sz="0" w:space="0" w:color="auto"/>
        <w:left w:val="none" w:sz="0" w:space="0" w:color="auto"/>
        <w:bottom w:val="none" w:sz="0" w:space="0" w:color="auto"/>
        <w:right w:val="none" w:sz="0" w:space="0" w:color="auto"/>
      </w:divBdr>
    </w:div>
    <w:div w:id="335689030">
      <w:bodyDiv w:val="1"/>
      <w:marLeft w:val="0"/>
      <w:marRight w:val="0"/>
      <w:marTop w:val="0"/>
      <w:marBottom w:val="0"/>
      <w:divBdr>
        <w:top w:val="none" w:sz="0" w:space="0" w:color="auto"/>
        <w:left w:val="none" w:sz="0" w:space="0" w:color="auto"/>
        <w:bottom w:val="none" w:sz="0" w:space="0" w:color="auto"/>
        <w:right w:val="none" w:sz="0" w:space="0" w:color="auto"/>
      </w:divBdr>
    </w:div>
    <w:div w:id="340275017">
      <w:bodyDiv w:val="1"/>
      <w:marLeft w:val="0"/>
      <w:marRight w:val="0"/>
      <w:marTop w:val="0"/>
      <w:marBottom w:val="0"/>
      <w:divBdr>
        <w:top w:val="none" w:sz="0" w:space="0" w:color="auto"/>
        <w:left w:val="none" w:sz="0" w:space="0" w:color="auto"/>
        <w:bottom w:val="none" w:sz="0" w:space="0" w:color="auto"/>
        <w:right w:val="none" w:sz="0" w:space="0" w:color="auto"/>
      </w:divBdr>
    </w:div>
    <w:div w:id="384374782">
      <w:bodyDiv w:val="1"/>
      <w:marLeft w:val="0"/>
      <w:marRight w:val="0"/>
      <w:marTop w:val="0"/>
      <w:marBottom w:val="0"/>
      <w:divBdr>
        <w:top w:val="none" w:sz="0" w:space="0" w:color="auto"/>
        <w:left w:val="none" w:sz="0" w:space="0" w:color="auto"/>
        <w:bottom w:val="none" w:sz="0" w:space="0" w:color="auto"/>
        <w:right w:val="none" w:sz="0" w:space="0" w:color="auto"/>
      </w:divBdr>
    </w:div>
    <w:div w:id="407191225">
      <w:bodyDiv w:val="1"/>
      <w:marLeft w:val="0"/>
      <w:marRight w:val="0"/>
      <w:marTop w:val="0"/>
      <w:marBottom w:val="0"/>
      <w:divBdr>
        <w:top w:val="none" w:sz="0" w:space="0" w:color="auto"/>
        <w:left w:val="none" w:sz="0" w:space="0" w:color="auto"/>
        <w:bottom w:val="none" w:sz="0" w:space="0" w:color="auto"/>
        <w:right w:val="none" w:sz="0" w:space="0" w:color="auto"/>
      </w:divBdr>
    </w:div>
    <w:div w:id="417748387">
      <w:bodyDiv w:val="1"/>
      <w:marLeft w:val="0"/>
      <w:marRight w:val="0"/>
      <w:marTop w:val="0"/>
      <w:marBottom w:val="0"/>
      <w:divBdr>
        <w:top w:val="none" w:sz="0" w:space="0" w:color="auto"/>
        <w:left w:val="none" w:sz="0" w:space="0" w:color="auto"/>
        <w:bottom w:val="none" w:sz="0" w:space="0" w:color="auto"/>
        <w:right w:val="none" w:sz="0" w:space="0" w:color="auto"/>
      </w:divBdr>
      <w:divsChild>
        <w:div w:id="1686396328">
          <w:marLeft w:val="0"/>
          <w:marRight w:val="0"/>
          <w:marTop w:val="0"/>
          <w:marBottom w:val="0"/>
          <w:divBdr>
            <w:top w:val="none" w:sz="0" w:space="0" w:color="auto"/>
            <w:left w:val="none" w:sz="0" w:space="0" w:color="auto"/>
            <w:bottom w:val="none" w:sz="0" w:space="0" w:color="auto"/>
            <w:right w:val="none" w:sz="0" w:space="0" w:color="auto"/>
          </w:divBdr>
        </w:div>
      </w:divsChild>
    </w:div>
    <w:div w:id="434832902">
      <w:bodyDiv w:val="1"/>
      <w:marLeft w:val="0"/>
      <w:marRight w:val="0"/>
      <w:marTop w:val="0"/>
      <w:marBottom w:val="0"/>
      <w:divBdr>
        <w:top w:val="none" w:sz="0" w:space="0" w:color="auto"/>
        <w:left w:val="none" w:sz="0" w:space="0" w:color="auto"/>
        <w:bottom w:val="none" w:sz="0" w:space="0" w:color="auto"/>
        <w:right w:val="none" w:sz="0" w:space="0" w:color="auto"/>
      </w:divBdr>
    </w:div>
    <w:div w:id="468134056">
      <w:bodyDiv w:val="1"/>
      <w:marLeft w:val="0"/>
      <w:marRight w:val="0"/>
      <w:marTop w:val="0"/>
      <w:marBottom w:val="0"/>
      <w:divBdr>
        <w:top w:val="none" w:sz="0" w:space="0" w:color="auto"/>
        <w:left w:val="none" w:sz="0" w:space="0" w:color="auto"/>
        <w:bottom w:val="none" w:sz="0" w:space="0" w:color="auto"/>
        <w:right w:val="none" w:sz="0" w:space="0" w:color="auto"/>
      </w:divBdr>
    </w:div>
    <w:div w:id="472450586">
      <w:bodyDiv w:val="1"/>
      <w:marLeft w:val="0"/>
      <w:marRight w:val="0"/>
      <w:marTop w:val="0"/>
      <w:marBottom w:val="0"/>
      <w:divBdr>
        <w:top w:val="none" w:sz="0" w:space="0" w:color="auto"/>
        <w:left w:val="none" w:sz="0" w:space="0" w:color="auto"/>
        <w:bottom w:val="none" w:sz="0" w:space="0" w:color="auto"/>
        <w:right w:val="none" w:sz="0" w:space="0" w:color="auto"/>
      </w:divBdr>
    </w:div>
    <w:div w:id="519510086">
      <w:bodyDiv w:val="1"/>
      <w:marLeft w:val="0"/>
      <w:marRight w:val="0"/>
      <w:marTop w:val="0"/>
      <w:marBottom w:val="0"/>
      <w:divBdr>
        <w:top w:val="none" w:sz="0" w:space="0" w:color="auto"/>
        <w:left w:val="none" w:sz="0" w:space="0" w:color="auto"/>
        <w:bottom w:val="none" w:sz="0" w:space="0" w:color="auto"/>
        <w:right w:val="none" w:sz="0" w:space="0" w:color="auto"/>
      </w:divBdr>
    </w:div>
    <w:div w:id="541094601">
      <w:bodyDiv w:val="1"/>
      <w:marLeft w:val="0"/>
      <w:marRight w:val="0"/>
      <w:marTop w:val="0"/>
      <w:marBottom w:val="0"/>
      <w:divBdr>
        <w:top w:val="none" w:sz="0" w:space="0" w:color="auto"/>
        <w:left w:val="none" w:sz="0" w:space="0" w:color="auto"/>
        <w:bottom w:val="none" w:sz="0" w:space="0" w:color="auto"/>
        <w:right w:val="none" w:sz="0" w:space="0" w:color="auto"/>
      </w:divBdr>
    </w:div>
    <w:div w:id="563444769">
      <w:bodyDiv w:val="1"/>
      <w:marLeft w:val="0"/>
      <w:marRight w:val="0"/>
      <w:marTop w:val="0"/>
      <w:marBottom w:val="0"/>
      <w:divBdr>
        <w:top w:val="none" w:sz="0" w:space="0" w:color="auto"/>
        <w:left w:val="none" w:sz="0" w:space="0" w:color="auto"/>
        <w:bottom w:val="none" w:sz="0" w:space="0" w:color="auto"/>
        <w:right w:val="none" w:sz="0" w:space="0" w:color="auto"/>
      </w:divBdr>
    </w:div>
    <w:div w:id="573321563">
      <w:bodyDiv w:val="1"/>
      <w:marLeft w:val="0"/>
      <w:marRight w:val="0"/>
      <w:marTop w:val="0"/>
      <w:marBottom w:val="0"/>
      <w:divBdr>
        <w:top w:val="none" w:sz="0" w:space="0" w:color="auto"/>
        <w:left w:val="none" w:sz="0" w:space="0" w:color="auto"/>
        <w:bottom w:val="none" w:sz="0" w:space="0" w:color="auto"/>
        <w:right w:val="none" w:sz="0" w:space="0" w:color="auto"/>
      </w:divBdr>
    </w:div>
    <w:div w:id="596446658">
      <w:bodyDiv w:val="1"/>
      <w:marLeft w:val="0"/>
      <w:marRight w:val="0"/>
      <w:marTop w:val="0"/>
      <w:marBottom w:val="0"/>
      <w:divBdr>
        <w:top w:val="none" w:sz="0" w:space="0" w:color="auto"/>
        <w:left w:val="none" w:sz="0" w:space="0" w:color="auto"/>
        <w:bottom w:val="none" w:sz="0" w:space="0" w:color="auto"/>
        <w:right w:val="none" w:sz="0" w:space="0" w:color="auto"/>
      </w:divBdr>
    </w:div>
    <w:div w:id="616059378">
      <w:bodyDiv w:val="1"/>
      <w:marLeft w:val="0"/>
      <w:marRight w:val="0"/>
      <w:marTop w:val="0"/>
      <w:marBottom w:val="0"/>
      <w:divBdr>
        <w:top w:val="none" w:sz="0" w:space="0" w:color="auto"/>
        <w:left w:val="none" w:sz="0" w:space="0" w:color="auto"/>
        <w:bottom w:val="none" w:sz="0" w:space="0" w:color="auto"/>
        <w:right w:val="none" w:sz="0" w:space="0" w:color="auto"/>
      </w:divBdr>
    </w:div>
    <w:div w:id="621964642">
      <w:bodyDiv w:val="1"/>
      <w:marLeft w:val="0"/>
      <w:marRight w:val="0"/>
      <w:marTop w:val="0"/>
      <w:marBottom w:val="0"/>
      <w:divBdr>
        <w:top w:val="none" w:sz="0" w:space="0" w:color="auto"/>
        <w:left w:val="none" w:sz="0" w:space="0" w:color="auto"/>
        <w:bottom w:val="none" w:sz="0" w:space="0" w:color="auto"/>
        <w:right w:val="none" w:sz="0" w:space="0" w:color="auto"/>
      </w:divBdr>
    </w:div>
    <w:div w:id="641620072">
      <w:bodyDiv w:val="1"/>
      <w:marLeft w:val="0"/>
      <w:marRight w:val="0"/>
      <w:marTop w:val="0"/>
      <w:marBottom w:val="0"/>
      <w:divBdr>
        <w:top w:val="none" w:sz="0" w:space="0" w:color="auto"/>
        <w:left w:val="none" w:sz="0" w:space="0" w:color="auto"/>
        <w:bottom w:val="none" w:sz="0" w:space="0" w:color="auto"/>
        <w:right w:val="none" w:sz="0" w:space="0" w:color="auto"/>
      </w:divBdr>
    </w:div>
    <w:div w:id="644313739">
      <w:bodyDiv w:val="1"/>
      <w:marLeft w:val="0"/>
      <w:marRight w:val="0"/>
      <w:marTop w:val="0"/>
      <w:marBottom w:val="0"/>
      <w:divBdr>
        <w:top w:val="none" w:sz="0" w:space="0" w:color="auto"/>
        <w:left w:val="none" w:sz="0" w:space="0" w:color="auto"/>
        <w:bottom w:val="none" w:sz="0" w:space="0" w:color="auto"/>
        <w:right w:val="none" w:sz="0" w:space="0" w:color="auto"/>
      </w:divBdr>
    </w:div>
    <w:div w:id="658193902">
      <w:bodyDiv w:val="1"/>
      <w:marLeft w:val="0"/>
      <w:marRight w:val="0"/>
      <w:marTop w:val="0"/>
      <w:marBottom w:val="0"/>
      <w:divBdr>
        <w:top w:val="none" w:sz="0" w:space="0" w:color="auto"/>
        <w:left w:val="none" w:sz="0" w:space="0" w:color="auto"/>
        <w:bottom w:val="none" w:sz="0" w:space="0" w:color="auto"/>
        <w:right w:val="none" w:sz="0" w:space="0" w:color="auto"/>
      </w:divBdr>
    </w:div>
    <w:div w:id="679700502">
      <w:bodyDiv w:val="1"/>
      <w:marLeft w:val="0"/>
      <w:marRight w:val="0"/>
      <w:marTop w:val="0"/>
      <w:marBottom w:val="0"/>
      <w:divBdr>
        <w:top w:val="none" w:sz="0" w:space="0" w:color="auto"/>
        <w:left w:val="none" w:sz="0" w:space="0" w:color="auto"/>
        <w:bottom w:val="none" w:sz="0" w:space="0" w:color="auto"/>
        <w:right w:val="none" w:sz="0" w:space="0" w:color="auto"/>
      </w:divBdr>
    </w:div>
    <w:div w:id="709107208">
      <w:bodyDiv w:val="1"/>
      <w:marLeft w:val="0"/>
      <w:marRight w:val="0"/>
      <w:marTop w:val="0"/>
      <w:marBottom w:val="0"/>
      <w:divBdr>
        <w:top w:val="none" w:sz="0" w:space="0" w:color="auto"/>
        <w:left w:val="none" w:sz="0" w:space="0" w:color="auto"/>
        <w:bottom w:val="none" w:sz="0" w:space="0" w:color="auto"/>
        <w:right w:val="none" w:sz="0" w:space="0" w:color="auto"/>
      </w:divBdr>
    </w:div>
    <w:div w:id="729695370">
      <w:bodyDiv w:val="1"/>
      <w:marLeft w:val="0"/>
      <w:marRight w:val="0"/>
      <w:marTop w:val="0"/>
      <w:marBottom w:val="0"/>
      <w:divBdr>
        <w:top w:val="none" w:sz="0" w:space="0" w:color="auto"/>
        <w:left w:val="none" w:sz="0" w:space="0" w:color="auto"/>
        <w:bottom w:val="none" w:sz="0" w:space="0" w:color="auto"/>
        <w:right w:val="none" w:sz="0" w:space="0" w:color="auto"/>
      </w:divBdr>
    </w:div>
    <w:div w:id="734359911">
      <w:bodyDiv w:val="1"/>
      <w:marLeft w:val="0"/>
      <w:marRight w:val="0"/>
      <w:marTop w:val="0"/>
      <w:marBottom w:val="0"/>
      <w:divBdr>
        <w:top w:val="none" w:sz="0" w:space="0" w:color="auto"/>
        <w:left w:val="none" w:sz="0" w:space="0" w:color="auto"/>
        <w:bottom w:val="none" w:sz="0" w:space="0" w:color="auto"/>
        <w:right w:val="none" w:sz="0" w:space="0" w:color="auto"/>
      </w:divBdr>
    </w:div>
    <w:div w:id="735978512">
      <w:bodyDiv w:val="1"/>
      <w:marLeft w:val="0"/>
      <w:marRight w:val="0"/>
      <w:marTop w:val="0"/>
      <w:marBottom w:val="0"/>
      <w:divBdr>
        <w:top w:val="none" w:sz="0" w:space="0" w:color="auto"/>
        <w:left w:val="none" w:sz="0" w:space="0" w:color="auto"/>
        <w:bottom w:val="none" w:sz="0" w:space="0" w:color="auto"/>
        <w:right w:val="none" w:sz="0" w:space="0" w:color="auto"/>
      </w:divBdr>
    </w:div>
    <w:div w:id="742723796">
      <w:bodyDiv w:val="1"/>
      <w:marLeft w:val="0"/>
      <w:marRight w:val="0"/>
      <w:marTop w:val="0"/>
      <w:marBottom w:val="0"/>
      <w:divBdr>
        <w:top w:val="none" w:sz="0" w:space="0" w:color="auto"/>
        <w:left w:val="none" w:sz="0" w:space="0" w:color="auto"/>
        <w:bottom w:val="none" w:sz="0" w:space="0" w:color="auto"/>
        <w:right w:val="none" w:sz="0" w:space="0" w:color="auto"/>
      </w:divBdr>
    </w:div>
    <w:div w:id="746346718">
      <w:bodyDiv w:val="1"/>
      <w:marLeft w:val="0"/>
      <w:marRight w:val="0"/>
      <w:marTop w:val="0"/>
      <w:marBottom w:val="0"/>
      <w:divBdr>
        <w:top w:val="none" w:sz="0" w:space="0" w:color="auto"/>
        <w:left w:val="none" w:sz="0" w:space="0" w:color="auto"/>
        <w:bottom w:val="none" w:sz="0" w:space="0" w:color="auto"/>
        <w:right w:val="none" w:sz="0" w:space="0" w:color="auto"/>
      </w:divBdr>
    </w:div>
    <w:div w:id="763114060">
      <w:bodyDiv w:val="1"/>
      <w:marLeft w:val="0"/>
      <w:marRight w:val="0"/>
      <w:marTop w:val="0"/>
      <w:marBottom w:val="0"/>
      <w:divBdr>
        <w:top w:val="none" w:sz="0" w:space="0" w:color="auto"/>
        <w:left w:val="none" w:sz="0" w:space="0" w:color="auto"/>
        <w:bottom w:val="none" w:sz="0" w:space="0" w:color="auto"/>
        <w:right w:val="none" w:sz="0" w:space="0" w:color="auto"/>
      </w:divBdr>
    </w:div>
    <w:div w:id="772480487">
      <w:bodyDiv w:val="1"/>
      <w:marLeft w:val="0"/>
      <w:marRight w:val="0"/>
      <w:marTop w:val="0"/>
      <w:marBottom w:val="0"/>
      <w:divBdr>
        <w:top w:val="none" w:sz="0" w:space="0" w:color="auto"/>
        <w:left w:val="none" w:sz="0" w:space="0" w:color="auto"/>
        <w:bottom w:val="none" w:sz="0" w:space="0" w:color="auto"/>
        <w:right w:val="none" w:sz="0" w:space="0" w:color="auto"/>
      </w:divBdr>
    </w:div>
    <w:div w:id="780105251">
      <w:bodyDiv w:val="1"/>
      <w:marLeft w:val="0"/>
      <w:marRight w:val="0"/>
      <w:marTop w:val="0"/>
      <w:marBottom w:val="0"/>
      <w:divBdr>
        <w:top w:val="none" w:sz="0" w:space="0" w:color="auto"/>
        <w:left w:val="none" w:sz="0" w:space="0" w:color="auto"/>
        <w:bottom w:val="none" w:sz="0" w:space="0" w:color="auto"/>
        <w:right w:val="none" w:sz="0" w:space="0" w:color="auto"/>
      </w:divBdr>
    </w:div>
    <w:div w:id="795678909">
      <w:bodyDiv w:val="1"/>
      <w:marLeft w:val="0"/>
      <w:marRight w:val="0"/>
      <w:marTop w:val="0"/>
      <w:marBottom w:val="0"/>
      <w:divBdr>
        <w:top w:val="none" w:sz="0" w:space="0" w:color="auto"/>
        <w:left w:val="none" w:sz="0" w:space="0" w:color="auto"/>
        <w:bottom w:val="none" w:sz="0" w:space="0" w:color="auto"/>
        <w:right w:val="none" w:sz="0" w:space="0" w:color="auto"/>
      </w:divBdr>
    </w:div>
    <w:div w:id="816066179">
      <w:bodyDiv w:val="1"/>
      <w:marLeft w:val="0"/>
      <w:marRight w:val="0"/>
      <w:marTop w:val="0"/>
      <w:marBottom w:val="0"/>
      <w:divBdr>
        <w:top w:val="none" w:sz="0" w:space="0" w:color="auto"/>
        <w:left w:val="none" w:sz="0" w:space="0" w:color="auto"/>
        <w:bottom w:val="none" w:sz="0" w:space="0" w:color="auto"/>
        <w:right w:val="none" w:sz="0" w:space="0" w:color="auto"/>
      </w:divBdr>
    </w:div>
    <w:div w:id="835926007">
      <w:bodyDiv w:val="1"/>
      <w:marLeft w:val="0"/>
      <w:marRight w:val="0"/>
      <w:marTop w:val="0"/>
      <w:marBottom w:val="0"/>
      <w:divBdr>
        <w:top w:val="none" w:sz="0" w:space="0" w:color="auto"/>
        <w:left w:val="none" w:sz="0" w:space="0" w:color="auto"/>
        <w:bottom w:val="none" w:sz="0" w:space="0" w:color="auto"/>
        <w:right w:val="none" w:sz="0" w:space="0" w:color="auto"/>
      </w:divBdr>
    </w:div>
    <w:div w:id="850531866">
      <w:bodyDiv w:val="1"/>
      <w:marLeft w:val="0"/>
      <w:marRight w:val="0"/>
      <w:marTop w:val="0"/>
      <w:marBottom w:val="0"/>
      <w:divBdr>
        <w:top w:val="none" w:sz="0" w:space="0" w:color="auto"/>
        <w:left w:val="none" w:sz="0" w:space="0" w:color="auto"/>
        <w:bottom w:val="none" w:sz="0" w:space="0" w:color="auto"/>
        <w:right w:val="none" w:sz="0" w:space="0" w:color="auto"/>
      </w:divBdr>
    </w:div>
    <w:div w:id="895819114">
      <w:bodyDiv w:val="1"/>
      <w:marLeft w:val="0"/>
      <w:marRight w:val="0"/>
      <w:marTop w:val="0"/>
      <w:marBottom w:val="0"/>
      <w:divBdr>
        <w:top w:val="none" w:sz="0" w:space="0" w:color="auto"/>
        <w:left w:val="none" w:sz="0" w:space="0" w:color="auto"/>
        <w:bottom w:val="none" w:sz="0" w:space="0" w:color="auto"/>
        <w:right w:val="none" w:sz="0" w:space="0" w:color="auto"/>
      </w:divBdr>
    </w:div>
    <w:div w:id="913979253">
      <w:bodyDiv w:val="1"/>
      <w:marLeft w:val="0"/>
      <w:marRight w:val="0"/>
      <w:marTop w:val="0"/>
      <w:marBottom w:val="0"/>
      <w:divBdr>
        <w:top w:val="none" w:sz="0" w:space="0" w:color="auto"/>
        <w:left w:val="none" w:sz="0" w:space="0" w:color="auto"/>
        <w:bottom w:val="none" w:sz="0" w:space="0" w:color="auto"/>
        <w:right w:val="none" w:sz="0" w:space="0" w:color="auto"/>
      </w:divBdr>
    </w:div>
    <w:div w:id="934939739">
      <w:bodyDiv w:val="1"/>
      <w:marLeft w:val="0"/>
      <w:marRight w:val="0"/>
      <w:marTop w:val="0"/>
      <w:marBottom w:val="0"/>
      <w:divBdr>
        <w:top w:val="none" w:sz="0" w:space="0" w:color="auto"/>
        <w:left w:val="none" w:sz="0" w:space="0" w:color="auto"/>
        <w:bottom w:val="none" w:sz="0" w:space="0" w:color="auto"/>
        <w:right w:val="none" w:sz="0" w:space="0" w:color="auto"/>
      </w:divBdr>
    </w:div>
    <w:div w:id="939145697">
      <w:bodyDiv w:val="1"/>
      <w:marLeft w:val="0"/>
      <w:marRight w:val="0"/>
      <w:marTop w:val="0"/>
      <w:marBottom w:val="0"/>
      <w:divBdr>
        <w:top w:val="none" w:sz="0" w:space="0" w:color="auto"/>
        <w:left w:val="none" w:sz="0" w:space="0" w:color="auto"/>
        <w:bottom w:val="none" w:sz="0" w:space="0" w:color="auto"/>
        <w:right w:val="none" w:sz="0" w:space="0" w:color="auto"/>
      </w:divBdr>
    </w:div>
    <w:div w:id="940189305">
      <w:bodyDiv w:val="1"/>
      <w:marLeft w:val="0"/>
      <w:marRight w:val="0"/>
      <w:marTop w:val="0"/>
      <w:marBottom w:val="0"/>
      <w:divBdr>
        <w:top w:val="none" w:sz="0" w:space="0" w:color="auto"/>
        <w:left w:val="none" w:sz="0" w:space="0" w:color="auto"/>
        <w:bottom w:val="none" w:sz="0" w:space="0" w:color="auto"/>
        <w:right w:val="none" w:sz="0" w:space="0" w:color="auto"/>
      </w:divBdr>
    </w:div>
    <w:div w:id="973755755">
      <w:bodyDiv w:val="1"/>
      <w:marLeft w:val="0"/>
      <w:marRight w:val="0"/>
      <w:marTop w:val="0"/>
      <w:marBottom w:val="0"/>
      <w:divBdr>
        <w:top w:val="none" w:sz="0" w:space="0" w:color="auto"/>
        <w:left w:val="none" w:sz="0" w:space="0" w:color="auto"/>
        <w:bottom w:val="none" w:sz="0" w:space="0" w:color="auto"/>
        <w:right w:val="none" w:sz="0" w:space="0" w:color="auto"/>
      </w:divBdr>
    </w:div>
    <w:div w:id="982999676">
      <w:bodyDiv w:val="1"/>
      <w:marLeft w:val="0"/>
      <w:marRight w:val="0"/>
      <w:marTop w:val="0"/>
      <w:marBottom w:val="0"/>
      <w:divBdr>
        <w:top w:val="none" w:sz="0" w:space="0" w:color="auto"/>
        <w:left w:val="none" w:sz="0" w:space="0" w:color="auto"/>
        <w:bottom w:val="none" w:sz="0" w:space="0" w:color="auto"/>
        <w:right w:val="none" w:sz="0" w:space="0" w:color="auto"/>
      </w:divBdr>
    </w:div>
    <w:div w:id="1023172684">
      <w:bodyDiv w:val="1"/>
      <w:marLeft w:val="0"/>
      <w:marRight w:val="0"/>
      <w:marTop w:val="0"/>
      <w:marBottom w:val="0"/>
      <w:divBdr>
        <w:top w:val="none" w:sz="0" w:space="0" w:color="auto"/>
        <w:left w:val="none" w:sz="0" w:space="0" w:color="auto"/>
        <w:bottom w:val="none" w:sz="0" w:space="0" w:color="auto"/>
        <w:right w:val="none" w:sz="0" w:space="0" w:color="auto"/>
      </w:divBdr>
    </w:div>
    <w:div w:id="1034039528">
      <w:bodyDiv w:val="1"/>
      <w:marLeft w:val="0"/>
      <w:marRight w:val="0"/>
      <w:marTop w:val="0"/>
      <w:marBottom w:val="0"/>
      <w:divBdr>
        <w:top w:val="none" w:sz="0" w:space="0" w:color="auto"/>
        <w:left w:val="none" w:sz="0" w:space="0" w:color="auto"/>
        <w:bottom w:val="none" w:sz="0" w:space="0" w:color="auto"/>
        <w:right w:val="none" w:sz="0" w:space="0" w:color="auto"/>
      </w:divBdr>
    </w:div>
    <w:div w:id="1041515201">
      <w:bodyDiv w:val="1"/>
      <w:marLeft w:val="0"/>
      <w:marRight w:val="0"/>
      <w:marTop w:val="0"/>
      <w:marBottom w:val="0"/>
      <w:divBdr>
        <w:top w:val="none" w:sz="0" w:space="0" w:color="auto"/>
        <w:left w:val="none" w:sz="0" w:space="0" w:color="auto"/>
        <w:bottom w:val="none" w:sz="0" w:space="0" w:color="auto"/>
        <w:right w:val="none" w:sz="0" w:space="0" w:color="auto"/>
      </w:divBdr>
    </w:div>
    <w:div w:id="1043869422">
      <w:bodyDiv w:val="1"/>
      <w:marLeft w:val="0"/>
      <w:marRight w:val="0"/>
      <w:marTop w:val="0"/>
      <w:marBottom w:val="0"/>
      <w:divBdr>
        <w:top w:val="none" w:sz="0" w:space="0" w:color="auto"/>
        <w:left w:val="none" w:sz="0" w:space="0" w:color="auto"/>
        <w:bottom w:val="none" w:sz="0" w:space="0" w:color="auto"/>
        <w:right w:val="none" w:sz="0" w:space="0" w:color="auto"/>
      </w:divBdr>
    </w:div>
    <w:div w:id="1051802317">
      <w:bodyDiv w:val="1"/>
      <w:marLeft w:val="0"/>
      <w:marRight w:val="0"/>
      <w:marTop w:val="0"/>
      <w:marBottom w:val="0"/>
      <w:divBdr>
        <w:top w:val="none" w:sz="0" w:space="0" w:color="auto"/>
        <w:left w:val="none" w:sz="0" w:space="0" w:color="auto"/>
        <w:bottom w:val="none" w:sz="0" w:space="0" w:color="auto"/>
        <w:right w:val="none" w:sz="0" w:space="0" w:color="auto"/>
      </w:divBdr>
    </w:div>
    <w:div w:id="1070812073">
      <w:bodyDiv w:val="1"/>
      <w:marLeft w:val="0"/>
      <w:marRight w:val="0"/>
      <w:marTop w:val="0"/>
      <w:marBottom w:val="0"/>
      <w:divBdr>
        <w:top w:val="none" w:sz="0" w:space="0" w:color="auto"/>
        <w:left w:val="none" w:sz="0" w:space="0" w:color="auto"/>
        <w:bottom w:val="none" w:sz="0" w:space="0" w:color="auto"/>
        <w:right w:val="none" w:sz="0" w:space="0" w:color="auto"/>
      </w:divBdr>
    </w:div>
    <w:div w:id="1115250465">
      <w:bodyDiv w:val="1"/>
      <w:marLeft w:val="0"/>
      <w:marRight w:val="0"/>
      <w:marTop w:val="0"/>
      <w:marBottom w:val="0"/>
      <w:divBdr>
        <w:top w:val="none" w:sz="0" w:space="0" w:color="auto"/>
        <w:left w:val="none" w:sz="0" w:space="0" w:color="auto"/>
        <w:bottom w:val="none" w:sz="0" w:space="0" w:color="auto"/>
        <w:right w:val="none" w:sz="0" w:space="0" w:color="auto"/>
      </w:divBdr>
    </w:div>
    <w:div w:id="1121998176">
      <w:bodyDiv w:val="1"/>
      <w:marLeft w:val="0"/>
      <w:marRight w:val="0"/>
      <w:marTop w:val="0"/>
      <w:marBottom w:val="0"/>
      <w:divBdr>
        <w:top w:val="none" w:sz="0" w:space="0" w:color="auto"/>
        <w:left w:val="none" w:sz="0" w:space="0" w:color="auto"/>
        <w:bottom w:val="none" w:sz="0" w:space="0" w:color="auto"/>
        <w:right w:val="none" w:sz="0" w:space="0" w:color="auto"/>
      </w:divBdr>
    </w:div>
    <w:div w:id="1151945918">
      <w:bodyDiv w:val="1"/>
      <w:marLeft w:val="0"/>
      <w:marRight w:val="0"/>
      <w:marTop w:val="0"/>
      <w:marBottom w:val="0"/>
      <w:divBdr>
        <w:top w:val="none" w:sz="0" w:space="0" w:color="auto"/>
        <w:left w:val="none" w:sz="0" w:space="0" w:color="auto"/>
        <w:bottom w:val="none" w:sz="0" w:space="0" w:color="auto"/>
        <w:right w:val="none" w:sz="0" w:space="0" w:color="auto"/>
      </w:divBdr>
    </w:div>
    <w:div w:id="1170216888">
      <w:bodyDiv w:val="1"/>
      <w:marLeft w:val="0"/>
      <w:marRight w:val="0"/>
      <w:marTop w:val="0"/>
      <w:marBottom w:val="0"/>
      <w:divBdr>
        <w:top w:val="none" w:sz="0" w:space="0" w:color="auto"/>
        <w:left w:val="none" w:sz="0" w:space="0" w:color="auto"/>
        <w:bottom w:val="none" w:sz="0" w:space="0" w:color="auto"/>
        <w:right w:val="none" w:sz="0" w:space="0" w:color="auto"/>
      </w:divBdr>
    </w:div>
    <w:div w:id="1200317201">
      <w:bodyDiv w:val="1"/>
      <w:marLeft w:val="0"/>
      <w:marRight w:val="0"/>
      <w:marTop w:val="0"/>
      <w:marBottom w:val="0"/>
      <w:divBdr>
        <w:top w:val="none" w:sz="0" w:space="0" w:color="auto"/>
        <w:left w:val="none" w:sz="0" w:space="0" w:color="auto"/>
        <w:bottom w:val="none" w:sz="0" w:space="0" w:color="auto"/>
        <w:right w:val="none" w:sz="0" w:space="0" w:color="auto"/>
      </w:divBdr>
    </w:div>
    <w:div w:id="1320772447">
      <w:bodyDiv w:val="1"/>
      <w:marLeft w:val="0"/>
      <w:marRight w:val="0"/>
      <w:marTop w:val="0"/>
      <w:marBottom w:val="0"/>
      <w:divBdr>
        <w:top w:val="none" w:sz="0" w:space="0" w:color="auto"/>
        <w:left w:val="none" w:sz="0" w:space="0" w:color="auto"/>
        <w:bottom w:val="none" w:sz="0" w:space="0" w:color="auto"/>
        <w:right w:val="none" w:sz="0" w:space="0" w:color="auto"/>
      </w:divBdr>
    </w:div>
    <w:div w:id="1327511689">
      <w:bodyDiv w:val="1"/>
      <w:marLeft w:val="0"/>
      <w:marRight w:val="0"/>
      <w:marTop w:val="0"/>
      <w:marBottom w:val="0"/>
      <w:divBdr>
        <w:top w:val="none" w:sz="0" w:space="0" w:color="auto"/>
        <w:left w:val="none" w:sz="0" w:space="0" w:color="auto"/>
        <w:bottom w:val="none" w:sz="0" w:space="0" w:color="auto"/>
        <w:right w:val="none" w:sz="0" w:space="0" w:color="auto"/>
      </w:divBdr>
    </w:div>
    <w:div w:id="1358501461">
      <w:bodyDiv w:val="1"/>
      <w:marLeft w:val="0"/>
      <w:marRight w:val="0"/>
      <w:marTop w:val="0"/>
      <w:marBottom w:val="0"/>
      <w:divBdr>
        <w:top w:val="none" w:sz="0" w:space="0" w:color="auto"/>
        <w:left w:val="none" w:sz="0" w:space="0" w:color="auto"/>
        <w:bottom w:val="none" w:sz="0" w:space="0" w:color="auto"/>
        <w:right w:val="none" w:sz="0" w:space="0" w:color="auto"/>
      </w:divBdr>
    </w:div>
    <w:div w:id="1367563457">
      <w:bodyDiv w:val="1"/>
      <w:marLeft w:val="0"/>
      <w:marRight w:val="0"/>
      <w:marTop w:val="0"/>
      <w:marBottom w:val="0"/>
      <w:divBdr>
        <w:top w:val="none" w:sz="0" w:space="0" w:color="auto"/>
        <w:left w:val="none" w:sz="0" w:space="0" w:color="auto"/>
        <w:bottom w:val="none" w:sz="0" w:space="0" w:color="auto"/>
        <w:right w:val="none" w:sz="0" w:space="0" w:color="auto"/>
      </w:divBdr>
    </w:div>
    <w:div w:id="1374693635">
      <w:bodyDiv w:val="1"/>
      <w:marLeft w:val="0"/>
      <w:marRight w:val="0"/>
      <w:marTop w:val="0"/>
      <w:marBottom w:val="0"/>
      <w:divBdr>
        <w:top w:val="none" w:sz="0" w:space="0" w:color="auto"/>
        <w:left w:val="none" w:sz="0" w:space="0" w:color="auto"/>
        <w:bottom w:val="none" w:sz="0" w:space="0" w:color="auto"/>
        <w:right w:val="none" w:sz="0" w:space="0" w:color="auto"/>
      </w:divBdr>
    </w:div>
    <w:div w:id="1383678925">
      <w:bodyDiv w:val="1"/>
      <w:marLeft w:val="0"/>
      <w:marRight w:val="0"/>
      <w:marTop w:val="0"/>
      <w:marBottom w:val="0"/>
      <w:divBdr>
        <w:top w:val="none" w:sz="0" w:space="0" w:color="auto"/>
        <w:left w:val="none" w:sz="0" w:space="0" w:color="auto"/>
        <w:bottom w:val="none" w:sz="0" w:space="0" w:color="auto"/>
        <w:right w:val="none" w:sz="0" w:space="0" w:color="auto"/>
      </w:divBdr>
    </w:div>
    <w:div w:id="1415936854">
      <w:bodyDiv w:val="1"/>
      <w:marLeft w:val="0"/>
      <w:marRight w:val="0"/>
      <w:marTop w:val="0"/>
      <w:marBottom w:val="0"/>
      <w:divBdr>
        <w:top w:val="none" w:sz="0" w:space="0" w:color="auto"/>
        <w:left w:val="none" w:sz="0" w:space="0" w:color="auto"/>
        <w:bottom w:val="none" w:sz="0" w:space="0" w:color="auto"/>
        <w:right w:val="none" w:sz="0" w:space="0" w:color="auto"/>
      </w:divBdr>
    </w:div>
    <w:div w:id="1443186937">
      <w:bodyDiv w:val="1"/>
      <w:marLeft w:val="0"/>
      <w:marRight w:val="0"/>
      <w:marTop w:val="0"/>
      <w:marBottom w:val="0"/>
      <w:divBdr>
        <w:top w:val="none" w:sz="0" w:space="0" w:color="auto"/>
        <w:left w:val="none" w:sz="0" w:space="0" w:color="auto"/>
        <w:bottom w:val="none" w:sz="0" w:space="0" w:color="auto"/>
        <w:right w:val="none" w:sz="0" w:space="0" w:color="auto"/>
      </w:divBdr>
    </w:div>
    <w:div w:id="1480803981">
      <w:bodyDiv w:val="1"/>
      <w:marLeft w:val="0"/>
      <w:marRight w:val="0"/>
      <w:marTop w:val="0"/>
      <w:marBottom w:val="0"/>
      <w:divBdr>
        <w:top w:val="none" w:sz="0" w:space="0" w:color="auto"/>
        <w:left w:val="none" w:sz="0" w:space="0" w:color="auto"/>
        <w:bottom w:val="none" w:sz="0" w:space="0" w:color="auto"/>
        <w:right w:val="none" w:sz="0" w:space="0" w:color="auto"/>
      </w:divBdr>
    </w:div>
    <w:div w:id="1494570103">
      <w:bodyDiv w:val="1"/>
      <w:marLeft w:val="0"/>
      <w:marRight w:val="0"/>
      <w:marTop w:val="0"/>
      <w:marBottom w:val="0"/>
      <w:divBdr>
        <w:top w:val="none" w:sz="0" w:space="0" w:color="auto"/>
        <w:left w:val="none" w:sz="0" w:space="0" w:color="auto"/>
        <w:bottom w:val="none" w:sz="0" w:space="0" w:color="auto"/>
        <w:right w:val="none" w:sz="0" w:space="0" w:color="auto"/>
      </w:divBdr>
    </w:div>
    <w:div w:id="1506439741">
      <w:bodyDiv w:val="1"/>
      <w:marLeft w:val="0"/>
      <w:marRight w:val="0"/>
      <w:marTop w:val="0"/>
      <w:marBottom w:val="0"/>
      <w:divBdr>
        <w:top w:val="none" w:sz="0" w:space="0" w:color="auto"/>
        <w:left w:val="none" w:sz="0" w:space="0" w:color="auto"/>
        <w:bottom w:val="none" w:sz="0" w:space="0" w:color="auto"/>
        <w:right w:val="none" w:sz="0" w:space="0" w:color="auto"/>
      </w:divBdr>
    </w:div>
    <w:div w:id="1522863324">
      <w:bodyDiv w:val="1"/>
      <w:marLeft w:val="0"/>
      <w:marRight w:val="0"/>
      <w:marTop w:val="0"/>
      <w:marBottom w:val="0"/>
      <w:divBdr>
        <w:top w:val="none" w:sz="0" w:space="0" w:color="auto"/>
        <w:left w:val="none" w:sz="0" w:space="0" w:color="auto"/>
        <w:bottom w:val="none" w:sz="0" w:space="0" w:color="auto"/>
        <w:right w:val="none" w:sz="0" w:space="0" w:color="auto"/>
      </w:divBdr>
    </w:div>
    <w:div w:id="1526943885">
      <w:bodyDiv w:val="1"/>
      <w:marLeft w:val="0"/>
      <w:marRight w:val="0"/>
      <w:marTop w:val="0"/>
      <w:marBottom w:val="0"/>
      <w:divBdr>
        <w:top w:val="none" w:sz="0" w:space="0" w:color="auto"/>
        <w:left w:val="none" w:sz="0" w:space="0" w:color="auto"/>
        <w:bottom w:val="none" w:sz="0" w:space="0" w:color="auto"/>
        <w:right w:val="none" w:sz="0" w:space="0" w:color="auto"/>
      </w:divBdr>
    </w:div>
    <w:div w:id="1534029206">
      <w:bodyDiv w:val="1"/>
      <w:marLeft w:val="0"/>
      <w:marRight w:val="0"/>
      <w:marTop w:val="0"/>
      <w:marBottom w:val="0"/>
      <w:divBdr>
        <w:top w:val="none" w:sz="0" w:space="0" w:color="auto"/>
        <w:left w:val="none" w:sz="0" w:space="0" w:color="auto"/>
        <w:bottom w:val="none" w:sz="0" w:space="0" w:color="auto"/>
        <w:right w:val="none" w:sz="0" w:space="0" w:color="auto"/>
      </w:divBdr>
    </w:div>
    <w:div w:id="1539973271">
      <w:bodyDiv w:val="1"/>
      <w:marLeft w:val="0"/>
      <w:marRight w:val="0"/>
      <w:marTop w:val="0"/>
      <w:marBottom w:val="0"/>
      <w:divBdr>
        <w:top w:val="none" w:sz="0" w:space="0" w:color="auto"/>
        <w:left w:val="none" w:sz="0" w:space="0" w:color="auto"/>
        <w:bottom w:val="none" w:sz="0" w:space="0" w:color="auto"/>
        <w:right w:val="none" w:sz="0" w:space="0" w:color="auto"/>
      </w:divBdr>
    </w:div>
    <w:div w:id="1577124861">
      <w:bodyDiv w:val="1"/>
      <w:marLeft w:val="0"/>
      <w:marRight w:val="0"/>
      <w:marTop w:val="0"/>
      <w:marBottom w:val="0"/>
      <w:divBdr>
        <w:top w:val="none" w:sz="0" w:space="0" w:color="auto"/>
        <w:left w:val="none" w:sz="0" w:space="0" w:color="auto"/>
        <w:bottom w:val="none" w:sz="0" w:space="0" w:color="auto"/>
        <w:right w:val="none" w:sz="0" w:space="0" w:color="auto"/>
      </w:divBdr>
    </w:div>
    <w:div w:id="1581014726">
      <w:bodyDiv w:val="1"/>
      <w:marLeft w:val="0"/>
      <w:marRight w:val="0"/>
      <w:marTop w:val="0"/>
      <w:marBottom w:val="0"/>
      <w:divBdr>
        <w:top w:val="none" w:sz="0" w:space="0" w:color="auto"/>
        <w:left w:val="none" w:sz="0" w:space="0" w:color="auto"/>
        <w:bottom w:val="none" w:sz="0" w:space="0" w:color="auto"/>
        <w:right w:val="none" w:sz="0" w:space="0" w:color="auto"/>
      </w:divBdr>
    </w:div>
    <w:div w:id="1608654888">
      <w:bodyDiv w:val="1"/>
      <w:marLeft w:val="0"/>
      <w:marRight w:val="0"/>
      <w:marTop w:val="0"/>
      <w:marBottom w:val="0"/>
      <w:divBdr>
        <w:top w:val="none" w:sz="0" w:space="0" w:color="auto"/>
        <w:left w:val="none" w:sz="0" w:space="0" w:color="auto"/>
        <w:bottom w:val="none" w:sz="0" w:space="0" w:color="auto"/>
        <w:right w:val="none" w:sz="0" w:space="0" w:color="auto"/>
      </w:divBdr>
      <w:divsChild>
        <w:div w:id="82341772">
          <w:marLeft w:val="0"/>
          <w:marRight w:val="0"/>
          <w:marTop w:val="0"/>
          <w:marBottom w:val="0"/>
          <w:divBdr>
            <w:top w:val="none" w:sz="0" w:space="0" w:color="auto"/>
            <w:left w:val="none" w:sz="0" w:space="0" w:color="auto"/>
            <w:bottom w:val="none" w:sz="0" w:space="0" w:color="auto"/>
            <w:right w:val="none" w:sz="0" w:space="0" w:color="auto"/>
          </w:divBdr>
        </w:div>
        <w:div w:id="135994968">
          <w:marLeft w:val="0"/>
          <w:marRight w:val="0"/>
          <w:marTop w:val="0"/>
          <w:marBottom w:val="0"/>
          <w:divBdr>
            <w:top w:val="none" w:sz="0" w:space="0" w:color="auto"/>
            <w:left w:val="none" w:sz="0" w:space="0" w:color="auto"/>
            <w:bottom w:val="none" w:sz="0" w:space="0" w:color="auto"/>
            <w:right w:val="none" w:sz="0" w:space="0" w:color="auto"/>
          </w:divBdr>
        </w:div>
        <w:div w:id="695035959">
          <w:marLeft w:val="0"/>
          <w:marRight w:val="0"/>
          <w:marTop w:val="0"/>
          <w:marBottom w:val="0"/>
          <w:divBdr>
            <w:top w:val="none" w:sz="0" w:space="0" w:color="auto"/>
            <w:left w:val="none" w:sz="0" w:space="0" w:color="auto"/>
            <w:bottom w:val="none" w:sz="0" w:space="0" w:color="auto"/>
            <w:right w:val="none" w:sz="0" w:space="0" w:color="auto"/>
          </w:divBdr>
        </w:div>
        <w:div w:id="707608360">
          <w:marLeft w:val="0"/>
          <w:marRight w:val="0"/>
          <w:marTop w:val="0"/>
          <w:marBottom w:val="0"/>
          <w:divBdr>
            <w:top w:val="none" w:sz="0" w:space="0" w:color="auto"/>
            <w:left w:val="none" w:sz="0" w:space="0" w:color="auto"/>
            <w:bottom w:val="none" w:sz="0" w:space="0" w:color="auto"/>
            <w:right w:val="none" w:sz="0" w:space="0" w:color="auto"/>
          </w:divBdr>
        </w:div>
        <w:div w:id="948242611">
          <w:marLeft w:val="0"/>
          <w:marRight w:val="0"/>
          <w:marTop w:val="0"/>
          <w:marBottom w:val="0"/>
          <w:divBdr>
            <w:top w:val="none" w:sz="0" w:space="0" w:color="auto"/>
            <w:left w:val="none" w:sz="0" w:space="0" w:color="auto"/>
            <w:bottom w:val="none" w:sz="0" w:space="0" w:color="auto"/>
            <w:right w:val="none" w:sz="0" w:space="0" w:color="auto"/>
          </w:divBdr>
        </w:div>
        <w:div w:id="952663856">
          <w:marLeft w:val="0"/>
          <w:marRight w:val="0"/>
          <w:marTop w:val="0"/>
          <w:marBottom w:val="0"/>
          <w:divBdr>
            <w:top w:val="none" w:sz="0" w:space="0" w:color="auto"/>
            <w:left w:val="none" w:sz="0" w:space="0" w:color="auto"/>
            <w:bottom w:val="none" w:sz="0" w:space="0" w:color="auto"/>
            <w:right w:val="none" w:sz="0" w:space="0" w:color="auto"/>
          </w:divBdr>
        </w:div>
        <w:div w:id="1002123989">
          <w:marLeft w:val="0"/>
          <w:marRight w:val="0"/>
          <w:marTop w:val="0"/>
          <w:marBottom w:val="0"/>
          <w:divBdr>
            <w:top w:val="none" w:sz="0" w:space="0" w:color="auto"/>
            <w:left w:val="none" w:sz="0" w:space="0" w:color="auto"/>
            <w:bottom w:val="none" w:sz="0" w:space="0" w:color="auto"/>
            <w:right w:val="none" w:sz="0" w:space="0" w:color="auto"/>
          </w:divBdr>
        </w:div>
        <w:div w:id="1240405696">
          <w:marLeft w:val="0"/>
          <w:marRight w:val="0"/>
          <w:marTop w:val="0"/>
          <w:marBottom w:val="0"/>
          <w:divBdr>
            <w:top w:val="none" w:sz="0" w:space="0" w:color="auto"/>
            <w:left w:val="none" w:sz="0" w:space="0" w:color="auto"/>
            <w:bottom w:val="none" w:sz="0" w:space="0" w:color="auto"/>
            <w:right w:val="none" w:sz="0" w:space="0" w:color="auto"/>
          </w:divBdr>
        </w:div>
        <w:div w:id="1681201704">
          <w:marLeft w:val="0"/>
          <w:marRight w:val="0"/>
          <w:marTop w:val="0"/>
          <w:marBottom w:val="0"/>
          <w:divBdr>
            <w:top w:val="none" w:sz="0" w:space="0" w:color="auto"/>
            <w:left w:val="none" w:sz="0" w:space="0" w:color="auto"/>
            <w:bottom w:val="none" w:sz="0" w:space="0" w:color="auto"/>
            <w:right w:val="none" w:sz="0" w:space="0" w:color="auto"/>
          </w:divBdr>
        </w:div>
        <w:div w:id="1841775964">
          <w:marLeft w:val="0"/>
          <w:marRight w:val="0"/>
          <w:marTop w:val="0"/>
          <w:marBottom w:val="0"/>
          <w:divBdr>
            <w:top w:val="none" w:sz="0" w:space="0" w:color="auto"/>
            <w:left w:val="none" w:sz="0" w:space="0" w:color="auto"/>
            <w:bottom w:val="none" w:sz="0" w:space="0" w:color="auto"/>
            <w:right w:val="none" w:sz="0" w:space="0" w:color="auto"/>
          </w:divBdr>
        </w:div>
        <w:div w:id="2057000316">
          <w:marLeft w:val="0"/>
          <w:marRight w:val="0"/>
          <w:marTop w:val="0"/>
          <w:marBottom w:val="0"/>
          <w:divBdr>
            <w:top w:val="none" w:sz="0" w:space="0" w:color="auto"/>
            <w:left w:val="none" w:sz="0" w:space="0" w:color="auto"/>
            <w:bottom w:val="none" w:sz="0" w:space="0" w:color="auto"/>
            <w:right w:val="none" w:sz="0" w:space="0" w:color="auto"/>
          </w:divBdr>
        </w:div>
      </w:divsChild>
    </w:div>
    <w:div w:id="1616714329">
      <w:bodyDiv w:val="1"/>
      <w:marLeft w:val="0"/>
      <w:marRight w:val="0"/>
      <w:marTop w:val="0"/>
      <w:marBottom w:val="0"/>
      <w:divBdr>
        <w:top w:val="none" w:sz="0" w:space="0" w:color="auto"/>
        <w:left w:val="none" w:sz="0" w:space="0" w:color="auto"/>
        <w:bottom w:val="none" w:sz="0" w:space="0" w:color="auto"/>
        <w:right w:val="none" w:sz="0" w:space="0" w:color="auto"/>
      </w:divBdr>
    </w:div>
    <w:div w:id="1620916150">
      <w:bodyDiv w:val="1"/>
      <w:marLeft w:val="0"/>
      <w:marRight w:val="0"/>
      <w:marTop w:val="0"/>
      <w:marBottom w:val="0"/>
      <w:divBdr>
        <w:top w:val="none" w:sz="0" w:space="0" w:color="auto"/>
        <w:left w:val="none" w:sz="0" w:space="0" w:color="auto"/>
        <w:bottom w:val="none" w:sz="0" w:space="0" w:color="auto"/>
        <w:right w:val="none" w:sz="0" w:space="0" w:color="auto"/>
      </w:divBdr>
    </w:div>
    <w:div w:id="1624731834">
      <w:bodyDiv w:val="1"/>
      <w:marLeft w:val="0"/>
      <w:marRight w:val="0"/>
      <w:marTop w:val="0"/>
      <w:marBottom w:val="0"/>
      <w:divBdr>
        <w:top w:val="none" w:sz="0" w:space="0" w:color="auto"/>
        <w:left w:val="none" w:sz="0" w:space="0" w:color="auto"/>
        <w:bottom w:val="none" w:sz="0" w:space="0" w:color="auto"/>
        <w:right w:val="none" w:sz="0" w:space="0" w:color="auto"/>
      </w:divBdr>
    </w:div>
    <w:div w:id="1629163036">
      <w:bodyDiv w:val="1"/>
      <w:marLeft w:val="0"/>
      <w:marRight w:val="0"/>
      <w:marTop w:val="0"/>
      <w:marBottom w:val="0"/>
      <w:divBdr>
        <w:top w:val="none" w:sz="0" w:space="0" w:color="auto"/>
        <w:left w:val="none" w:sz="0" w:space="0" w:color="auto"/>
        <w:bottom w:val="none" w:sz="0" w:space="0" w:color="auto"/>
        <w:right w:val="none" w:sz="0" w:space="0" w:color="auto"/>
      </w:divBdr>
    </w:div>
    <w:div w:id="1666517539">
      <w:bodyDiv w:val="1"/>
      <w:marLeft w:val="0"/>
      <w:marRight w:val="0"/>
      <w:marTop w:val="0"/>
      <w:marBottom w:val="0"/>
      <w:divBdr>
        <w:top w:val="none" w:sz="0" w:space="0" w:color="auto"/>
        <w:left w:val="none" w:sz="0" w:space="0" w:color="auto"/>
        <w:bottom w:val="none" w:sz="0" w:space="0" w:color="auto"/>
        <w:right w:val="none" w:sz="0" w:space="0" w:color="auto"/>
      </w:divBdr>
    </w:div>
    <w:div w:id="1683898327">
      <w:bodyDiv w:val="1"/>
      <w:marLeft w:val="0"/>
      <w:marRight w:val="0"/>
      <w:marTop w:val="0"/>
      <w:marBottom w:val="0"/>
      <w:divBdr>
        <w:top w:val="none" w:sz="0" w:space="0" w:color="auto"/>
        <w:left w:val="none" w:sz="0" w:space="0" w:color="auto"/>
        <w:bottom w:val="none" w:sz="0" w:space="0" w:color="auto"/>
        <w:right w:val="none" w:sz="0" w:space="0" w:color="auto"/>
      </w:divBdr>
    </w:div>
    <w:div w:id="1707020989">
      <w:bodyDiv w:val="1"/>
      <w:marLeft w:val="0"/>
      <w:marRight w:val="0"/>
      <w:marTop w:val="0"/>
      <w:marBottom w:val="0"/>
      <w:divBdr>
        <w:top w:val="none" w:sz="0" w:space="0" w:color="auto"/>
        <w:left w:val="none" w:sz="0" w:space="0" w:color="auto"/>
        <w:bottom w:val="none" w:sz="0" w:space="0" w:color="auto"/>
        <w:right w:val="none" w:sz="0" w:space="0" w:color="auto"/>
      </w:divBdr>
    </w:div>
    <w:div w:id="1723871115">
      <w:bodyDiv w:val="1"/>
      <w:marLeft w:val="0"/>
      <w:marRight w:val="0"/>
      <w:marTop w:val="0"/>
      <w:marBottom w:val="0"/>
      <w:divBdr>
        <w:top w:val="none" w:sz="0" w:space="0" w:color="auto"/>
        <w:left w:val="none" w:sz="0" w:space="0" w:color="auto"/>
        <w:bottom w:val="none" w:sz="0" w:space="0" w:color="auto"/>
        <w:right w:val="none" w:sz="0" w:space="0" w:color="auto"/>
      </w:divBdr>
    </w:div>
    <w:div w:id="1745296302">
      <w:bodyDiv w:val="1"/>
      <w:marLeft w:val="0"/>
      <w:marRight w:val="0"/>
      <w:marTop w:val="0"/>
      <w:marBottom w:val="0"/>
      <w:divBdr>
        <w:top w:val="none" w:sz="0" w:space="0" w:color="auto"/>
        <w:left w:val="none" w:sz="0" w:space="0" w:color="auto"/>
        <w:bottom w:val="none" w:sz="0" w:space="0" w:color="auto"/>
        <w:right w:val="none" w:sz="0" w:space="0" w:color="auto"/>
      </w:divBdr>
    </w:div>
    <w:div w:id="1748575541">
      <w:bodyDiv w:val="1"/>
      <w:marLeft w:val="0"/>
      <w:marRight w:val="0"/>
      <w:marTop w:val="0"/>
      <w:marBottom w:val="0"/>
      <w:divBdr>
        <w:top w:val="none" w:sz="0" w:space="0" w:color="auto"/>
        <w:left w:val="none" w:sz="0" w:space="0" w:color="auto"/>
        <w:bottom w:val="none" w:sz="0" w:space="0" w:color="auto"/>
        <w:right w:val="none" w:sz="0" w:space="0" w:color="auto"/>
      </w:divBdr>
    </w:div>
    <w:div w:id="1775592075">
      <w:bodyDiv w:val="1"/>
      <w:marLeft w:val="0"/>
      <w:marRight w:val="0"/>
      <w:marTop w:val="0"/>
      <w:marBottom w:val="0"/>
      <w:divBdr>
        <w:top w:val="none" w:sz="0" w:space="0" w:color="auto"/>
        <w:left w:val="none" w:sz="0" w:space="0" w:color="auto"/>
        <w:bottom w:val="none" w:sz="0" w:space="0" w:color="auto"/>
        <w:right w:val="none" w:sz="0" w:space="0" w:color="auto"/>
      </w:divBdr>
    </w:div>
    <w:div w:id="1778017487">
      <w:bodyDiv w:val="1"/>
      <w:marLeft w:val="0"/>
      <w:marRight w:val="0"/>
      <w:marTop w:val="0"/>
      <w:marBottom w:val="0"/>
      <w:divBdr>
        <w:top w:val="none" w:sz="0" w:space="0" w:color="auto"/>
        <w:left w:val="none" w:sz="0" w:space="0" w:color="auto"/>
        <w:bottom w:val="none" w:sz="0" w:space="0" w:color="auto"/>
        <w:right w:val="none" w:sz="0" w:space="0" w:color="auto"/>
      </w:divBdr>
    </w:div>
    <w:div w:id="1791362962">
      <w:bodyDiv w:val="1"/>
      <w:marLeft w:val="0"/>
      <w:marRight w:val="0"/>
      <w:marTop w:val="0"/>
      <w:marBottom w:val="0"/>
      <w:divBdr>
        <w:top w:val="none" w:sz="0" w:space="0" w:color="auto"/>
        <w:left w:val="none" w:sz="0" w:space="0" w:color="auto"/>
        <w:bottom w:val="none" w:sz="0" w:space="0" w:color="auto"/>
        <w:right w:val="none" w:sz="0" w:space="0" w:color="auto"/>
      </w:divBdr>
    </w:div>
    <w:div w:id="1797988077">
      <w:bodyDiv w:val="1"/>
      <w:marLeft w:val="0"/>
      <w:marRight w:val="0"/>
      <w:marTop w:val="0"/>
      <w:marBottom w:val="0"/>
      <w:divBdr>
        <w:top w:val="none" w:sz="0" w:space="0" w:color="auto"/>
        <w:left w:val="none" w:sz="0" w:space="0" w:color="auto"/>
        <w:bottom w:val="none" w:sz="0" w:space="0" w:color="auto"/>
        <w:right w:val="none" w:sz="0" w:space="0" w:color="auto"/>
      </w:divBdr>
    </w:div>
    <w:div w:id="1800562841">
      <w:bodyDiv w:val="1"/>
      <w:marLeft w:val="0"/>
      <w:marRight w:val="0"/>
      <w:marTop w:val="0"/>
      <w:marBottom w:val="0"/>
      <w:divBdr>
        <w:top w:val="none" w:sz="0" w:space="0" w:color="auto"/>
        <w:left w:val="none" w:sz="0" w:space="0" w:color="auto"/>
        <w:bottom w:val="none" w:sz="0" w:space="0" w:color="auto"/>
        <w:right w:val="none" w:sz="0" w:space="0" w:color="auto"/>
      </w:divBdr>
    </w:div>
    <w:div w:id="1812164951">
      <w:bodyDiv w:val="1"/>
      <w:marLeft w:val="0"/>
      <w:marRight w:val="0"/>
      <w:marTop w:val="0"/>
      <w:marBottom w:val="0"/>
      <w:divBdr>
        <w:top w:val="none" w:sz="0" w:space="0" w:color="auto"/>
        <w:left w:val="none" w:sz="0" w:space="0" w:color="auto"/>
        <w:bottom w:val="none" w:sz="0" w:space="0" w:color="auto"/>
        <w:right w:val="none" w:sz="0" w:space="0" w:color="auto"/>
      </w:divBdr>
      <w:divsChild>
        <w:div w:id="257829590">
          <w:marLeft w:val="0"/>
          <w:marRight w:val="0"/>
          <w:marTop w:val="0"/>
          <w:marBottom w:val="0"/>
          <w:divBdr>
            <w:top w:val="none" w:sz="0" w:space="0" w:color="auto"/>
            <w:left w:val="none" w:sz="0" w:space="0" w:color="auto"/>
            <w:bottom w:val="none" w:sz="0" w:space="0" w:color="auto"/>
            <w:right w:val="none" w:sz="0" w:space="0" w:color="auto"/>
          </w:divBdr>
          <w:divsChild>
            <w:div w:id="560554963">
              <w:marLeft w:val="0"/>
              <w:marRight w:val="0"/>
              <w:marTop w:val="0"/>
              <w:marBottom w:val="0"/>
              <w:divBdr>
                <w:top w:val="none" w:sz="0" w:space="0" w:color="auto"/>
                <w:left w:val="none" w:sz="0" w:space="0" w:color="auto"/>
                <w:bottom w:val="none" w:sz="0" w:space="0" w:color="auto"/>
                <w:right w:val="none" w:sz="0" w:space="0" w:color="auto"/>
              </w:divBdr>
            </w:div>
            <w:div w:id="1200388969">
              <w:marLeft w:val="0"/>
              <w:marRight w:val="0"/>
              <w:marTop w:val="0"/>
              <w:marBottom w:val="0"/>
              <w:divBdr>
                <w:top w:val="none" w:sz="0" w:space="0" w:color="auto"/>
                <w:left w:val="none" w:sz="0" w:space="0" w:color="auto"/>
                <w:bottom w:val="none" w:sz="0" w:space="0" w:color="auto"/>
                <w:right w:val="none" w:sz="0" w:space="0" w:color="auto"/>
              </w:divBdr>
            </w:div>
            <w:div w:id="1227229543">
              <w:marLeft w:val="0"/>
              <w:marRight w:val="0"/>
              <w:marTop w:val="0"/>
              <w:marBottom w:val="0"/>
              <w:divBdr>
                <w:top w:val="none" w:sz="0" w:space="0" w:color="auto"/>
                <w:left w:val="none" w:sz="0" w:space="0" w:color="auto"/>
                <w:bottom w:val="none" w:sz="0" w:space="0" w:color="auto"/>
                <w:right w:val="none" w:sz="0" w:space="0" w:color="auto"/>
              </w:divBdr>
            </w:div>
            <w:div w:id="1266037017">
              <w:marLeft w:val="0"/>
              <w:marRight w:val="0"/>
              <w:marTop w:val="0"/>
              <w:marBottom w:val="0"/>
              <w:divBdr>
                <w:top w:val="none" w:sz="0" w:space="0" w:color="auto"/>
                <w:left w:val="none" w:sz="0" w:space="0" w:color="auto"/>
                <w:bottom w:val="none" w:sz="0" w:space="0" w:color="auto"/>
                <w:right w:val="none" w:sz="0" w:space="0" w:color="auto"/>
              </w:divBdr>
            </w:div>
            <w:div w:id="12950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8649">
      <w:bodyDiv w:val="1"/>
      <w:marLeft w:val="0"/>
      <w:marRight w:val="0"/>
      <w:marTop w:val="0"/>
      <w:marBottom w:val="0"/>
      <w:divBdr>
        <w:top w:val="none" w:sz="0" w:space="0" w:color="auto"/>
        <w:left w:val="none" w:sz="0" w:space="0" w:color="auto"/>
        <w:bottom w:val="none" w:sz="0" w:space="0" w:color="auto"/>
        <w:right w:val="none" w:sz="0" w:space="0" w:color="auto"/>
      </w:divBdr>
    </w:div>
    <w:div w:id="1825782573">
      <w:bodyDiv w:val="1"/>
      <w:marLeft w:val="0"/>
      <w:marRight w:val="0"/>
      <w:marTop w:val="0"/>
      <w:marBottom w:val="0"/>
      <w:divBdr>
        <w:top w:val="none" w:sz="0" w:space="0" w:color="auto"/>
        <w:left w:val="none" w:sz="0" w:space="0" w:color="auto"/>
        <w:bottom w:val="none" w:sz="0" w:space="0" w:color="auto"/>
        <w:right w:val="none" w:sz="0" w:space="0" w:color="auto"/>
      </w:divBdr>
    </w:div>
    <w:div w:id="1827815108">
      <w:bodyDiv w:val="1"/>
      <w:marLeft w:val="0"/>
      <w:marRight w:val="0"/>
      <w:marTop w:val="0"/>
      <w:marBottom w:val="0"/>
      <w:divBdr>
        <w:top w:val="none" w:sz="0" w:space="0" w:color="auto"/>
        <w:left w:val="none" w:sz="0" w:space="0" w:color="auto"/>
        <w:bottom w:val="none" w:sz="0" w:space="0" w:color="auto"/>
        <w:right w:val="none" w:sz="0" w:space="0" w:color="auto"/>
      </w:divBdr>
    </w:div>
    <w:div w:id="1834494610">
      <w:bodyDiv w:val="1"/>
      <w:marLeft w:val="0"/>
      <w:marRight w:val="0"/>
      <w:marTop w:val="0"/>
      <w:marBottom w:val="0"/>
      <w:divBdr>
        <w:top w:val="none" w:sz="0" w:space="0" w:color="auto"/>
        <w:left w:val="none" w:sz="0" w:space="0" w:color="auto"/>
        <w:bottom w:val="none" w:sz="0" w:space="0" w:color="auto"/>
        <w:right w:val="none" w:sz="0" w:space="0" w:color="auto"/>
      </w:divBdr>
    </w:div>
    <w:div w:id="1840383528">
      <w:bodyDiv w:val="1"/>
      <w:marLeft w:val="0"/>
      <w:marRight w:val="0"/>
      <w:marTop w:val="0"/>
      <w:marBottom w:val="0"/>
      <w:divBdr>
        <w:top w:val="none" w:sz="0" w:space="0" w:color="auto"/>
        <w:left w:val="none" w:sz="0" w:space="0" w:color="auto"/>
        <w:bottom w:val="none" w:sz="0" w:space="0" w:color="auto"/>
        <w:right w:val="none" w:sz="0" w:space="0" w:color="auto"/>
      </w:divBdr>
    </w:div>
    <w:div w:id="1851220402">
      <w:bodyDiv w:val="1"/>
      <w:marLeft w:val="0"/>
      <w:marRight w:val="0"/>
      <w:marTop w:val="0"/>
      <w:marBottom w:val="0"/>
      <w:divBdr>
        <w:top w:val="none" w:sz="0" w:space="0" w:color="auto"/>
        <w:left w:val="none" w:sz="0" w:space="0" w:color="auto"/>
        <w:bottom w:val="none" w:sz="0" w:space="0" w:color="auto"/>
        <w:right w:val="none" w:sz="0" w:space="0" w:color="auto"/>
      </w:divBdr>
    </w:div>
    <w:div w:id="1898853047">
      <w:bodyDiv w:val="1"/>
      <w:marLeft w:val="0"/>
      <w:marRight w:val="0"/>
      <w:marTop w:val="0"/>
      <w:marBottom w:val="0"/>
      <w:divBdr>
        <w:top w:val="none" w:sz="0" w:space="0" w:color="auto"/>
        <w:left w:val="none" w:sz="0" w:space="0" w:color="auto"/>
        <w:bottom w:val="none" w:sz="0" w:space="0" w:color="auto"/>
        <w:right w:val="none" w:sz="0" w:space="0" w:color="auto"/>
      </w:divBdr>
    </w:div>
    <w:div w:id="1906333679">
      <w:bodyDiv w:val="1"/>
      <w:marLeft w:val="0"/>
      <w:marRight w:val="0"/>
      <w:marTop w:val="0"/>
      <w:marBottom w:val="0"/>
      <w:divBdr>
        <w:top w:val="none" w:sz="0" w:space="0" w:color="auto"/>
        <w:left w:val="none" w:sz="0" w:space="0" w:color="auto"/>
        <w:bottom w:val="none" w:sz="0" w:space="0" w:color="auto"/>
        <w:right w:val="none" w:sz="0" w:space="0" w:color="auto"/>
      </w:divBdr>
    </w:div>
    <w:div w:id="1913924680">
      <w:bodyDiv w:val="1"/>
      <w:marLeft w:val="0"/>
      <w:marRight w:val="0"/>
      <w:marTop w:val="0"/>
      <w:marBottom w:val="0"/>
      <w:divBdr>
        <w:top w:val="none" w:sz="0" w:space="0" w:color="auto"/>
        <w:left w:val="none" w:sz="0" w:space="0" w:color="auto"/>
        <w:bottom w:val="none" w:sz="0" w:space="0" w:color="auto"/>
        <w:right w:val="none" w:sz="0" w:space="0" w:color="auto"/>
      </w:divBdr>
    </w:div>
    <w:div w:id="1971740637">
      <w:bodyDiv w:val="1"/>
      <w:marLeft w:val="0"/>
      <w:marRight w:val="0"/>
      <w:marTop w:val="0"/>
      <w:marBottom w:val="0"/>
      <w:divBdr>
        <w:top w:val="none" w:sz="0" w:space="0" w:color="auto"/>
        <w:left w:val="none" w:sz="0" w:space="0" w:color="auto"/>
        <w:bottom w:val="none" w:sz="0" w:space="0" w:color="auto"/>
        <w:right w:val="none" w:sz="0" w:space="0" w:color="auto"/>
      </w:divBdr>
    </w:div>
    <w:div w:id="2000451666">
      <w:bodyDiv w:val="1"/>
      <w:marLeft w:val="0"/>
      <w:marRight w:val="0"/>
      <w:marTop w:val="0"/>
      <w:marBottom w:val="0"/>
      <w:divBdr>
        <w:top w:val="none" w:sz="0" w:space="0" w:color="auto"/>
        <w:left w:val="none" w:sz="0" w:space="0" w:color="auto"/>
        <w:bottom w:val="none" w:sz="0" w:space="0" w:color="auto"/>
        <w:right w:val="none" w:sz="0" w:space="0" w:color="auto"/>
      </w:divBdr>
    </w:div>
    <w:div w:id="2003849448">
      <w:bodyDiv w:val="1"/>
      <w:marLeft w:val="0"/>
      <w:marRight w:val="0"/>
      <w:marTop w:val="0"/>
      <w:marBottom w:val="0"/>
      <w:divBdr>
        <w:top w:val="none" w:sz="0" w:space="0" w:color="auto"/>
        <w:left w:val="none" w:sz="0" w:space="0" w:color="auto"/>
        <w:bottom w:val="none" w:sz="0" w:space="0" w:color="auto"/>
        <w:right w:val="none" w:sz="0" w:space="0" w:color="auto"/>
      </w:divBdr>
    </w:div>
    <w:div w:id="2020548164">
      <w:bodyDiv w:val="1"/>
      <w:marLeft w:val="0"/>
      <w:marRight w:val="0"/>
      <w:marTop w:val="0"/>
      <w:marBottom w:val="0"/>
      <w:divBdr>
        <w:top w:val="none" w:sz="0" w:space="0" w:color="auto"/>
        <w:left w:val="none" w:sz="0" w:space="0" w:color="auto"/>
        <w:bottom w:val="none" w:sz="0" w:space="0" w:color="auto"/>
        <w:right w:val="none" w:sz="0" w:space="0" w:color="auto"/>
      </w:divBdr>
    </w:div>
    <w:div w:id="2021469623">
      <w:bodyDiv w:val="1"/>
      <w:marLeft w:val="0"/>
      <w:marRight w:val="0"/>
      <w:marTop w:val="0"/>
      <w:marBottom w:val="0"/>
      <w:divBdr>
        <w:top w:val="none" w:sz="0" w:space="0" w:color="auto"/>
        <w:left w:val="none" w:sz="0" w:space="0" w:color="auto"/>
        <w:bottom w:val="none" w:sz="0" w:space="0" w:color="auto"/>
        <w:right w:val="none" w:sz="0" w:space="0" w:color="auto"/>
      </w:divBdr>
    </w:div>
    <w:div w:id="2047827867">
      <w:bodyDiv w:val="1"/>
      <w:marLeft w:val="0"/>
      <w:marRight w:val="0"/>
      <w:marTop w:val="0"/>
      <w:marBottom w:val="0"/>
      <w:divBdr>
        <w:top w:val="none" w:sz="0" w:space="0" w:color="auto"/>
        <w:left w:val="none" w:sz="0" w:space="0" w:color="auto"/>
        <w:bottom w:val="none" w:sz="0" w:space="0" w:color="auto"/>
        <w:right w:val="none" w:sz="0" w:space="0" w:color="auto"/>
      </w:divBdr>
    </w:div>
    <w:div w:id="2065174100">
      <w:bodyDiv w:val="1"/>
      <w:marLeft w:val="0"/>
      <w:marRight w:val="0"/>
      <w:marTop w:val="0"/>
      <w:marBottom w:val="0"/>
      <w:divBdr>
        <w:top w:val="none" w:sz="0" w:space="0" w:color="auto"/>
        <w:left w:val="none" w:sz="0" w:space="0" w:color="auto"/>
        <w:bottom w:val="none" w:sz="0" w:space="0" w:color="auto"/>
        <w:right w:val="none" w:sz="0" w:space="0" w:color="auto"/>
      </w:divBdr>
    </w:div>
    <w:div w:id="2067290730">
      <w:bodyDiv w:val="1"/>
      <w:marLeft w:val="0"/>
      <w:marRight w:val="0"/>
      <w:marTop w:val="0"/>
      <w:marBottom w:val="0"/>
      <w:divBdr>
        <w:top w:val="none" w:sz="0" w:space="0" w:color="auto"/>
        <w:left w:val="none" w:sz="0" w:space="0" w:color="auto"/>
        <w:bottom w:val="none" w:sz="0" w:space="0" w:color="auto"/>
        <w:right w:val="none" w:sz="0" w:space="0" w:color="auto"/>
      </w:divBdr>
    </w:div>
    <w:div w:id="2102989066">
      <w:bodyDiv w:val="1"/>
      <w:marLeft w:val="0"/>
      <w:marRight w:val="0"/>
      <w:marTop w:val="0"/>
      <w:marBottom w:val="0"/>
      <w:divBdr>
        <w:top w:val="none" w:sz="0" w:space="0" w:color="auto"/>
        <w:left w:val="none" w:sz="0" w:space="0" w:color="auto"/>
        <w:bottom w:val="none" w:sz="0" w:space="0" w:color="auto"/>
        <w:right w:val="none" w:sz="0" w:space="0" w:color="auto"/>
      </w:divBdr>
    </w:div>
    <w:div w:id="2103990691">
      <w:bodyDiv w:val="1"/>
      <w:marLeft w:val="0"/>
      <w:marRight w:val="0"/>
      <w:marTop w:val="0"/>
      <w:marBottom w:val="0"/>
      <w:divBdr>
        <w:top w:val="none" w:sz="0" w:space="0" w:color="auto"/>
        <w:left w:val="none" w:sz="0" w:space="0" w:color="auto"/>
        <w:bottom w:val="none" w:sz="0" w:space="0" w:color="auto"/>
        <w:right w:val="none" w:sz="0" w:space="0" w:color="auto"/>
      </w:divBdr>
    </w:div>
    <w:div w:id="2110932919">
      <w:bodyDiv w:val="1"/>
      <w:marLeft w:val="0"/>
      <w:marRight w:val="0"/>
      <w:marTop w:val="0"/>
      <w:marBottom w:val="0"/>
      <w:divBdr>
        <w:top w:val="none" w:sz="0" w:space="0" w:color="auto"/>
        <w:left w:val="none" w:sz="0" w:space="0" w:color="auto"/>
        <w:bottom w:val="none" w:sz="0" w:space="0" w:color="auto"/>
        <w:right w:val="none" w:sz="0" w:space="0" w:color="auto"/>
      </w:divBdr>
    </w:div>
    <w:div w:id="2111048262">
      <w:bodyDiv w:val="1"/>
      <w:marLeft w:val="0"/>
      <w:marRight w:val="0"/>
      <w:marTop w:val="0"/>
      <w:marBottom w:val="0"/>
      <w:divBdr>
        <w:top w:val="none" w:sz="0" w:space="0" w:color="auto"/>
        <w:left w:val="none" w:sz="0" w:space="0" w:color="auto"/>
        <w:bottom w:val="none" w:sz="0" w:space="0" w:color="auto"/>
        <w:right w:val="none" w:sz="0" w:space="0" w:color="auto"/>
      </w:divBdr>
    </w:div>
    <w:div w:id="2111732994">
      <w:bodyDiv w:val="1"/>
      <w:marLeft w:val="0"/>
      <w:marRight w:val="0"/>
      <w:marTop w:val="0"/>
      <w:marBottom w:val="0"/>
      <w:divBdr>
        <w:top w:val="none" w:sz="0" w:space="0" w:color="auto"/>
        <w:left w:val="none" w:sz="0" w:space="0" w:color="auto"/>
        <w:bottom w:val="none" w:sz="0" w:space="0" w:color="auto"/>
        <w:right w:val="none" w:sz="0" w:space="0" w:color="auto"/>
      </w:divBdr>
    </w:div>
    <w:div w:id="2115009295">
      <w:bodyDiv w:val="1"/>
      <w:marLeft w:val="0"/>
      <w:marRight w:val="0"/>
      <w:marTop w:val="0"/>
      <w:marBottom w:val="0"/>
      <w:divBdr>
        <w:top w:val="none" w:sz="0" w:space="0" w:color="auto"/>
        <w:left w:val="none" w:sz="0" w:space="0" w:color="auto"/>
        <w:bottom w:val="none" w:sz="0" w:space="0" w:color="auto"/>
        <w:right w:val="none" w:sz="0" w:space="0" w:color="auto"/>
      </w:divBdr>
    </w:div>
    <w:div w:id="21284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regional_policy/sl/funding/erdf/" TargetMode="Externa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food-farming-fisheries/key-policies/common-agricultural-policy/financing-cap/cap-funds_en" TargetMode="External"/><Relationship Id="rId25" Type="http://schemas.openxmlformats.org/officeDocument/2006/relationships/header" Target="header3.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info/food-farming-fisheries/key-policies/common-agricultural-policy/rural-development_sl" TargetMode="External"/><Relationship Id="rId20" Type="http://schemas.openxmlformats.org/officeDocument/2006/relationships/hyperlink" Target="https://ec.europa.eu/info/business-economy-euro/recovery-coronavirus/recovery-and-resilience-facility_sl" TargetMode="External"/><Relationship Id="rId29" Type="http://schemas.openxmlformats.org/officeDocument/2006/relationships/hyperlink" Target="https://myintracomm.ec.europa.eu/budgweb/EN/leg/internal/Documents/2016-5-legislative-financial-statement-ann-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s://cinea.ec.europa.eu/european-maritime-fisheries-and-aquaculture-fund_en" TargetMode="External"/><Relationship Id="rId23" Type="http://schemas.openxmlformats.org/officeDocument/2006/relationships/header" Target="header2.xml"/><Relationship Id="rId28" Type="http://schemas.openxmlformats.org/officeDocument/2006/relationships/footer" Target="footer7.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ec.europa.eu/regional_policy/sl/funding/cohesion-fund/"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52019DC0640" TargetMode="External"/><Relationship Id="rId13" Type="http://schemas.openxmlformats.org/officeDocument/2006/relationships/hyperlink" Target="https://www.unccd.int/sites/default/files/relevant-links/2017-01/UNCCD_Convention_ENG_0.pdf" TargetMode="External"/><Relationship Id="rId18" Type="http://schemas.openxmlformats.org/officeDocument/2006/relationships/hyperlink" Target="https://ec.europa.eu/regional_policy/sl/funding/erdf/" TargetMode="External"/><Relationship Id="rId26" Type="http://schemas.openxmlformats.org/officeDocument/2006/relationships/hyperlink" Target="https://www.ipcc.ch/report/ar6/wg2/" TargetMode="External"/><Relationship Id="rId3" Type="http://schemas.openxmlformats.org/officeDocument/2006/relationships/hyperlink" Target="https://www.ipcc.ch/report/ar6/wg2/" TargetMode="External"/><Relationship Id="rId21" Type="http://schemas.openxmlformats.org/officeDocument/2006/relationships/hyperlink" Target="https://www.cbd.int/decision/cop/?id=12268" TargetMode="External"/><Relationship Id="rId34" Type="http://schemas.openxmlformats.org/officeDocument/2006/relationships/hyperlink" Target="https://myintracomm.ec.europa.eu/budgweb/EN/man/budgmanag/Pages/budgmanag.aspx" TargetMode="External"/><Relationship Id="rId7" Type="http://schemas.openxmlformats.org/officeDocument/2006/relationships/hyperlink" Target="https://www.gov.uk/government/publications/final-report-the-economics-of-biodiversity-the-dasgupta-review" TargetMode="External"/><Relationship Id="rId12" Type="http://schemas.openxmlformats.org/officeDocument/2006/relationships/hyperlink" Target="https://www.cbd.int/doc/c/914a/eca3/24ad42235033f031badf61b1/wg2020-03-03-en.pdf" TargetMode="External"/><Relationship Id="rId17" Type="http://schemas.openxmlformats.org/officeDocument/2006/relationships/hyperlink" Target="https://ec.europa.eu/info/food-farming-fisheries/key-policies/common-agricultural-policy/cap-strategic-plans_sl" TargetMode="External"/><Relationship Id="rId25" Type="http://schemas.openxmlformats.org/officeDocument/2006/relationships/hyperlink" Target="https://www.ipcc.ch/sr15/" TargetMode="External"/><Relationship Id="rId33" Type="http://schemas.openxmlformats.org/officeDocument/2006/relationships/hyperlink" Target="https://ec.europa.eu/eurostat/web/products-datasets/-/T2020_RN130" TargetMode="External"/><Relationship Id="rId2" Type="http://schemas.openxmlformats.org/officeDocument/2006/relationships/hyperlink" Target="https://www.ipcc.ch/report/ar6/wg2/" TargetMode="External"/><Relationship Id="rId16" Type="http://schemas.openxmlformats.org/officeDocument/2006/relationships/hyperlink" Target="https://unfccc.int/sites/default/files/english_paris_agreement.pdf" TargetMode="External"/><Relationship Id="rId20" Type="http://schemas.openxmlformats.org/officeDocument/2006/relationships/hyperlink" Target="https://ec.europa.eu/info/research-and-innovation/research-area/environment/biodiversity/biodiversity-research-policy_en" TargetMode="External"/><Relationship Id="rId29" Type="http://schemas.openxmlformats.org/officeDocument/2006/relationships/hyperlink" Target="https://www.ipcc.ch/report/ar6/wg2/" TargetMode="External"/><Relationship Id="rId1" Type="http://schemas.openxmlformats.org/officeDocument/2006/relationships/hyperlink" Target="https://www.ipcc.ch/sr15/" TargetMode="External"/><Relationship Id="rId6" Type="http://schemas.openxmlformats.org/officeDocument/2006/relationships/hyperlink" Target="https://www.cbd.int/convention/text/" TargetMode="External"/><Relationship Id="rId11" Type="http://schemas.openxmlformats.org/officeDocument/2006/relationships/hyperlink" Target="https://www.cbd.int/sp/targets/rationale/target-15/" TargetMode="External"/><Relationship Id="rId24" Type="http://schemas.openxmlformats.org/officeDocument/2006/relationships/hyperlink" Target="https://seea.un.org/sites/seea.un.org/files/documents/EA/seea_ea_white_cover_final.pdf" TargetMode="External"/><Relationship Id="rId32" Type="http://schemas.openxmlformats.org/officeDocument/2006/relationships/hyperlink" Target="https://ec.europa.eu/environment/nature/conservation/species/redlist/index_en.htm" TargetMode="External"/><Relationship Id="rId5" Type="http://schemas.openxmlformats.org/officeDocument/2006/relationships/hyperlink" Target="https://www.ipcc.ch/report/ar6/wg2/" TargetMode="External"/><Relationship Id="rId15" Type="http://schemas.openxmlformats.org/officeDocument/2006/relationships/hyperlink" Target="https://www.decadeonrestoration.org/about-un-decade" TargetMode="External"/><Relationship Id="rId23" Type="http://schemas.openxmlformats.org/officeDocument/2006/relationships/hyperlink" Target="https://circabc.europa.eu/ui/group/fcb355ee-7434-4448-a53d-5dc5d1dac678/library/4d8f2f91-7708-4ed2-ba0e-e7a945a6d56a/details" TargetMode="External"/><Relationship Id="rId28" Type="http://schemas.openxmlformats.org/officeDocument/2006/relationships/hyperlink" Target="https://www.ipcc.ch/report/ar6/wg2/" TargetMode="External"/><Relationship Id="rId10" Type="http://schemas.openxmlformats.org/officeDocument/2006/relationships/hyperlink" Target="https://eur-lex.europa.eu/legal-content/SL/TXT/PDF/?uri=CELEX:52011DC0244&amp;from=EN" TargetMode="External"/><Relationship Id="rId19" Type="http://schemas.openxmlformats.org/officeDocument/2006/relationships/hyperlink" Target="https://eur-lex.europa.eu/legal-content/SL/TXT/?uri=CELEX:32021R1058" TargetMode="External"/><Relationship Id="rId31" Type="http://schemas.openxmlformats.org/officeDocument/2006/relationships/hyperlink" Target="https://www.eca.europa.eu/Lists/ECADocuments/SR20_15/SR_Pollinators_SL.pdf" TargetMode="External"/><Relationship Id="rId4" Type="http://schemas.openxmlformats.org/officeDocument/2006/relationships/hyperlink" Target="https://www.ipcc.ch/report/ar6/wg2/" TargetMode="External"/><Relationship Id="rId9" Type="http://schemas.openxmlformats.org/officeDocument/2006/relationships/hyperlink" Target="https://ec.europa.eu/environment/strategy/biodiversity-strategy-2030_sl" TargetMode="External"/><Relationship Id="rId14" Type="http://schemas.openxmlformats.org/officeDocument/2006/relationships/hyperlink" Target="https://www.un.org/ga/search/view_doc.asp?symbol=A/RES/70/1&amp;Lang=E" TargetMode="External"/><Relationship Id="rId22" Type="http://schemas.openxmlformats.org/officeDocument/2006/relationships/hyperlink" Target="https://www.un.org/sustainabledevelopment/" TargetMode="External"/><Relationship Id="rId27" Type="http://schemas.openxmlformats.org/officeDocument/2006/relationships/hyperlink" Target="https://www.ipcc.ch/report/ar6/wg2/" TargetMode="External"/><Relationship Id="rId30" Type="http://schemas.openxmlformats.org/officeDocument/2006/relationships/hyperlink" Target="https://doi.org/10.5281/zenodo.38316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4" ma:contentTypeDescription="Create a new document." ma:contentTypeScope="" ma:versionID="07223708b8beac1146218ad8fc8cabc7">
  <xsd:schema xmlns:xsd="http://www.w3.org/2001/XMLSchema" xmlns:xs="http://www.w3.org/2001/XMLSchema" xmlns:p="http://schemas.microsoft.com/office/2006/metadata/properties" xmlns:ns2="b2332242-72eb-4c56-ab66-572cc47fcb14" targetNamespace="http://schemas.microsoft.com/office/2006/metadata/properties" ma:root="true" ma:fieldsID="d9cabb75f3dbed2eecd20797af06b512" ns2:_="">
    <xsd:import namespace="b2332242-72eb-4c56-ab66-572cc47fc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4123-F0F2-44EA-9A4A-F3E14DB7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6EA88-EAA4-4A67-A8E9-36652D0D518B}">
  <ds:schemaRefs>
    <ds:schemaRef ds:uri="b2332242-72eb-4c56-ab66-572cc47fcb14"/>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B0CAD3-2D59-4835-8ED6-CE27569DF8C4}">
  <ds:schemaRefs>
    <ds:schemaRef ds:uri="http://schemas.microsoft.com/sharepoint/v3/contenttype/forms"/>
  </ds:schemaRefs>
</ds:datastoreItem>
</file>

<file path=customXml/itemProps4.xml><?xml version="1.0" encoding="utf-8"?>
<ds:datastoreItem xmlns:ds="http://schemas.openxmlformats.org/officeDocument/2006/customXml" ds:itemID="{7F4F4C53-4D0A-42B3-88C8-3F30E270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177</TotalTime>
  <Pages>75</Pages>
  <Words>26579</Words>
  <Characters>155754</Characters>
  <Application>Microsoft Office Word</Application>
  <DocSecurity>0</DocSecurity>
  <Lines>3993</Lines>
  <Paragraphs>1506</Paragraphs>
  <ScaleCrop>false</ScaleCrop>
  <HeadingPairs>
    <vt:vector size="2" baseType="variant">
      <vt:variant>
        <vt:lpstr>Title</vt:lpstr>
      </vt:variant>
      <vt:variant>
        <vt:i4>1</vt:i4>
      </vt:variant>
    </vt:vector>
  </HeadingPairs>
  <TitlesOfParts>
    <vt:vector size="1" baseType="lpstr">
      <vt:lpstr>Nature Restoration Law</vt:lpstr>
    </vt:vector>
  </TitlesOfParts>
  <Manager/>
  <Company/>
  <LinksUpToDate>false</LinksUpToDate>
  <CharactersWithSpaces>180827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Restoration Law</dc:title>
  <dc:subject/>
  <dc:creator/>
  <cp:keywords/>
  <dc:description/>
  <cp:lastModifiedBy>EC CoDe</cp:lastModifiedBy>
  <cp:revision>84</cp:revision>
  <cp:lastPrinted>2022-06-13T06:48:00Z</cp:lastPrinted>
  <dcterms:created xsi:type="dcterms:W3CDTF">2022-06-19T15:56:00Z</dcterms:created>
  <dcterms:modified xsi:type="dcterms:W3CDTF">2022-06-27T17:21:00Z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0x010100FF1B87D5ABF651429579392F313233BD</vt:lpwstr>
  </property>
  <property fmtid="{D5CDD505-2E9C-101B-9397-08002B2CF9AE}" pid="3" name="Last edited using">
    <vt:lpwstr>LW 8.0, Build 20220128</vt:lpwstr>
  </property>
  <property fmtid="{D5CDD505-2E9C-101B-9397-08002B2CF9AE}" pid="4" name="Level of sensitivity">
    <vt:lpwstr>Standard treatment</vt:lpwstr>
  </property>
  <property fmtid="{D5CDD505-2E9C-101B-9397-08002B2CF9AE}" pid="5" name="Category">
    <vt:lpwstr>COM/PL/ORG</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MSIP_Label_6bd9ddd1-4d20-43f6-abfa-fc3c07406f94_Enabled">
    <vt:lpwstr>true</vt:lpwstr>
  </property>
  <property fmtid="{D5CDD505-2E9C-101B-9397-08002B2CF9AE}" pid="10" name="MSIP_Label_6bd9ddd1-4d20-43f6-abfa-fc3c07406f94_SetDate">
    <vt:lpwstr>2022-06-13T09:08:12Z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dcaaad1d-605d-4b08-970c-9bbfc1b35809</vt:lpwstr>
  </property>
  <property fmtid="{D5CDD505-2E9C-101B-9397-08002B2CF9AE}" pid="15" name="MSIP_Label_6bd9ddd1-4d20-43f6-abfa-fc3c07406f94_ContentBits">
    <vt:lpwstr>0</vt:lpwstr>
  </property>
  <property fmtid="{D5CDD505-2E9C-101B-9397-08002B2CF9AE}" pid="16" name="DQCStatus">
    <vt:lpwstr>Green (DQC version 03)</vt:lpwstr>
  </property>
</Properties>
</file>