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A74F4" w14:textId="018C6AF6" w:rsidR="001E5C5E" w:rsidRDefault="003A04A1" w:rsidP="003A04A1">
      <w:pPr>
        <w:pStyle w:val="Pagedecouverture"/>
        <w:rPr>
          <w:noProof/>
          <w:lang w:val="en-GB"/>
        </w:rPr>
      </w:pPr>
      <w:bookmarkStart w:id="0" w:name="_Toc33455598"/>
      <w:bookmarkStart w:id="1" w:name="_Toc33716776"/>
      <w:bookmarkStart w:id="2" w:name="_Toc34659426"/>
      <w:bookmarkStart w:id="3" w:name="_Toc34734745"/>
      <w:bookmarkStart w:id="4" w:name="_Toc35354008"/>
      <w:bookmarkStart w:id="5" w:name="_Toc35939940"/>
      <w:bookmarkStart w:id="6" w:name="_Toc35940035"/>
      <w:bookmarkStart w:id="7" w:name="_Toc36114254"/>
      <w:bookmarkStart w:id="8" w:name="_Toc36114304"/>
      <w:bookmarkStart w:id="9" w:name="_Toc36215597"/>
      <w:bookmarkStart w:id="10" w:name="_Toc36627005"/>
      <w:bookmarkStart w:id="11" w:name="_Toc36630048"/>
      <w:bookmarkStart w:id="12" w:name="_Toc36630939"/>
      <w:bookmarkStart w:id="13" w:name="_Toc36634634"/>
      <w:bookmarkStart w:id="14" w:name="_Toc36636993"/>
      <w:bookmarkStart w:id="15" w:name="_Toc39309842"/>
      <w:bookmarkStart w:id="16" w:name="LW_BM_COVERPAGE"/>
      <w:r>
        <w:rPr>
          <w:noProof/>
          <w:lang w:val="en-GB"/>
        </w:rPr>
        <w:pict w14:anchorId="0B6ED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25DC660C-A193-4303-8365-81D93A568454" style="width:455.25pt;height:462.75pt">
            <v:imagedata r:id="rId11" o:title=""/>
          </v:shape>
        </w:pict>
      </w:r>
    </w:p>
    <w:bookmarkEnd w:id="16"/>
    <w:p w14:paraId="7425687D" w14:textId="77777777" w:rsidR="001E5C5E" w:rsidRDefault="001E5C5E" w:rsidP="001E5C5E">
      <w:pPr>
        <w:rPr>
          <w:noProof/>
          <w:lang w:val="en-GB"/>
        </w:rPr>
        <w:sectPr w:rsidR="001E5C5E" w:rsidSect="003A04A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A2677EC" w14:textId="77777777" w:rsidR="001E5C5E" w:rsidRPr="003D20D6" w:rsidRDefault="001E5C5E" w:rsidP="006201A4">
      <w:pPr>
        <w:rPr>
          <w:rFonts w:ascii="Times New Roman" w:hAnsi="Times New Roman" w:cs="Times New Roman"/>
          <w:noProof/>
          <w:sz w:val="24"/>
          <w:lang w:val="en-GB"/>
        </w:rPr>
      </w:pPr>
      <w:bookmarkStart w:id="17" w:name="_GoBack"/>
      <w:bookmarkEnd w:id="17"/>
    </w:p>
    <w:sdt>
      <w:sdtPr>
        <w:rPr>
          <w:rFonts w:ascii="Times New Roman" w:hAnsi="Times New Roman" w:cs="Times New Roman"/>
          <w:noProof/>
          <w:sz w:val="24"/>
          <w:lang w:val="en-GB"/>
        </w:rPr>
        <w:id w:val="62226058"/>
        <w:docPartObj>
          <w:docPartGallery w:val="Table of Contents"/>
          <w:docPartUnique/>
        </w:docPartObj>
      </w:sdtPr>
      <w:sdtEndPr>
        <w:rPr>
          <w:b/>
        </w:rPr>
      </w:sdtEndPr>
      <w:sdtContent>
        <w:p w14:paraId="10D383F6" w14:textId="77777777" w:rsidR="006201A4" w:rsidRPr="003D20D6" w:rsidRDefault="006201A4" w:rsidP="006201A4">
          <w:pPr>
            <w:rPr>
              <w:rFonts w:ascii="Times New Roman" w:hAnsi="Times New Roman" w:cs="Times New Roman"/>
              <w:b/>
              <w:noProof/>
              <w:sz w:val="24"/>
              <w:lang w:val="en-GB"/>
            </w:rPr>
          </w:pPr>
          <w:r w:rsidRPr="003D20D6">
            <w:rPr>
              <w:rFonts w:ascii="Times New Roman" w:hAnsi="Times New Roman" w:cs="Times New Roman"/>
              <w:b/>
              <w:noProof/>
              <w:sz w:val="24"/>
              <w:lang w:val="en-GB"/>
            </w:rPr>
            <w:t>Table of Contents</w:t>
          </w:r>
        </w:p>
        <w:p w14:paraId="1D7A2513" w14:textId="13DB38E3" w:rsidR="001F6ABF" w:rsidRPr="003D20D6" w:rsidRDefault="002F1C4A">
          <w:pPr>
            <w:pStyle w:val="TOC1"/>
            <w:rPr>
              <w:rFonts w:ascii="Times New Roman" w:eastAsiaTheme="minorEastAsia" w:hAnsi="Times New Roman" w:cs="Times New Roman"/>
              <w:noProof/>
            </w:rPr>
          </w:pPr>
          <w:r w:rsidRPr="003D20D6">
            <w:rPr>
              <w:rFonts w:ascii="Times New Roman" w:hAnsi="Times New Roman" w:cs="Times New Roman"/>
              <w:b/>
              <w:noProof/>
              <w:color w:val="2B579A"/>
              <w:sz w:val="24"/>
              <w:lang w:val="en-GB"/>
            </w:rPr>
            <w:fldChar w:fldCharType="begin"/>
          </w:r>
          <w:r w:rsidRPr="003D20D6">
            <w:rPr>
              <w:rFonts w:ascii="Times New Roman" w:hAnsi="Times New Roman" w:cs="Times New Roman"/>
              <w:b/>
              <w:noProof/>
              <w:color w:val="2B579A"/>
              <w:sz w:val="24"/>
              <w:szCs w:val="24"/>
              <w:lang w:val="en-GB"/>
            </w:rPr>
            <w:instrText xml:space="preserve"> TOC \o "1-4" \h \z \u </w:instrText>
          </w:r>
          <w:r w:rsidRPr="003D20D6">
            <w:rPr>
              <w:rFonts w:ascii="Times New Roman" w:hAnsi="Times New Roman" w:cs="Times New Roman"/>
              <w:b/>
              <w:noProof/>
              <w:color w:val="2B579A"/>
              <w:sz w:val="24"/>
              <w:lang w:val="en-GB"/>
            </w:rPr>
            <w:fldChar w:fldCharType="separate"/>
          </w:r>
          <w:hyperlink w:anchor="_Toc93306863" w:history="1">
            <w:r w:rsidR="001F6ABF" w:rsidRPr="003D20D6">
              <w:rPr>
                <w:rStyle w:val="Hyperlink"/>
                <w:rFonts w:ascii="Times New Roman" w:eastAsia="Times New Roman" w:hAnsi="Times New Roman" w:cs="Times New Roman"/>
                <w:noProof/>
                <w:lang w:val="en-GB"/>
              </w:rPr>
              <w:t>1. INTRODUCTION: POLITICAL AND LEGAL CONTEXT</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_Toc93306863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7</w:t>
            </w:r>
            <w:r w:rsidR="001F6ABF" w:rsidRPr="003D20D6">
              <w:rPr>
                <w:rFonts w:ascii="Times New Roman" w:hAnsi="Times New Roman" w:cs="Times New Roman"/>
                <w:noProof/>
                <w:webHidden/>
              </w:rPr>
              <w:fldChar w:fldCharType="end"/>
            </w:r>
          </w:hyperlink>
        </w:p>
        <w:p w14:paraId="71ECFFEC" w14:textId="4E879B2D" w:rsidR="001F6ABF" w:rsidRPr="003D20D6" w:rsidRDefault="003A04A1">
          <w:pPr>
            <w:pStyle w:val="TOC1"/>
            <w:rPr>
              <w:rFonts w:ascii="Times New Roman" w:eastAsiaTheme="minorEastAsia" w:hAnsi="Times New Roman" w:cs="Times New Roman"/>
              <w:noProof/>
            </w:rPr>
          </w:pPr>
          <w:hyperlink w:anchor="_Toc93306864" w:history="1">
            <w:r w:rsidR="001F6ABF" w:rsidRPr="003D20D6">
              <w:rPr>
                <w:rStyle w:val="Hyperlink"/>
                <w:rFonts w:ascii="Times New Roman" w:eastAsia="Times New Roman" w:hAnsi="Times New Roman" w:cs="Times New Roman"/>
                <w:noProof/>
                <w:lang w:val="en-GB"/>
              </w:rPr>
              <w:t>2.  PROBLEM DEFINITION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_Toc93306864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10</w:t>
            </w:r>
            <w:r w:rsidR="001F6ABF" w:rsidRPr="003D20D6">
              <w:rPr>
                <w:rFonts w:ascii="Times New Roman" w:hAnsi="Times New Roman" w:cs="Times New Roman"/>
                <w:noProof/>
                <w:webHidden/>
              </w:rPr>
              <w:fldChar w:fldCharType="end"/>
            </w:r>
          </w:hyperlink>
        </w:p>
        <w:p w14:paraId="2C22FF84" w14:textId="6D6175E8" w:rsidR="001F6ABF" w:rsidRPr="003D20D6" w:rsidRDefault="003A04A1">
          <w:pPr>
            <w:pStyle w:val="TOC2"/>
            <w:rPr>
              <w:rFonts w:ascii="Times New Roman" w:eastAsiaTheme="minorEastAsia" w:hAnsi="Times New Roman" w:cs="Times New Roman"/>
              <w:noProof/>
            </w:rPr>
          </w:pPr>
          <w:hyperlink w:anchor="_Toc93306865" w:history="1">
            <w:r w:rsidR="001F6ABF" w:rsidRPr="003D20D6">
              <w:rPr>
                <w:rStyle w:val="Hyperlink"/>
                <w:rFonts w:ascii="Times New Roman" w:hAnsi="Times New Roman" w:cs="Times New Roman"/>
                <w:noProof/>
                <w:lang w:val="en-GB"/>
              </w:rPr>
              <w:t xml:space="preserve">2.1 What </w:t>
            </w:r>
            <w:r w:rsidR="001F6ABF" w:rsidRPr="003D20D6">
              <w:rPr>
                <w:rStyle w:val="Hyperlink"/>
                <w:rFonts w:ascii="Times New Roman" w:hAnsi="Times New Roman" w:cs="Times New Roman"/>
                <w:noProof/>
              </w:rPr>
              <w:t>are</w:t>
            </w:r>
            <w:r w:rsidR="001F6ABF" w:rsidRPr="003D20D6">
              <w:rPr>
                <w:rStyle w:val="Hyperlink"/>
                <w:rFonts w:ascii="Times New Roman" w:hAnsi="Times New Roman" w:cs="Times New Roman"/>
                <w:noProof/>
                <w:lang w:val="en-GB"/>
              </w:rPr>
              <w:t xml:space="preserve"> the problems?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_Toc93306865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11</w:t>
            </w:r>
            <w:r w:rsidR="001F6ABF" w:rsidRPr="003D20D6">
              <w:rPr>
                <w:rFonts w:ascii="Times New Roman" w:hAnsi="Times New Roman" w:cs="Times New Roman"/>
                <w:noProof/>
                <w:webHidden/>
              </w:rPr>
              <w:fldChar w:fldCharType="end"/>
            </w:r>
          </w:hyperlink>
        </w:p>
        <w:p w14:paraId="55B12B51" w14:textId="1F0D47A3" w:rsidR="001F6ABF" w:rsidRPr="003D20D6" w:rsidRDefault="003A04A1">
          <w:pPr>
            <w:pStyle w:val="TOC2"/>
            <w:rPr>
              <w:rFonts w:ascii="Times New Roman" w:eastAsiaTheme="minorEastAsia" w:hAnsi="Times New Roman" w:cs="Times New Roman"/>
              <w:noProof/>
            </w:rPr>
          </w:pPr>
          <w:hyperlink w:anchor="_Toc93306866" w:history="1">
            <w:r w:rsidR="001F6ABF" w:rsidRPr="003D20D6">
              <w:rPr>
                <w:rStyle w:val="Hyperlink"/>
                <w:rFonts w:ascii="Times New Roman" w:hAnsi="Times New Roman" w:cs="Times New Roman"/>
                <w:noProof/>
                <w:lang w:val="en-GB"/>
              </w:rPr>
              <w:t>2.2 What are the problem drivers?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_Toc93306866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14</w:t>
            </w:r>
            <w:r w:rsidR="001F6ABF" w:rsidRPr="003D20D6">
              <w:rPr>
                <w:rFonts w:ascii="Times New Roman" w:hAnsi="Times New Roman" w:cs="Times New Roman"/>
                <w:noProof/>
                <w:webHidden/>
              </w:rPr>
              <w:fldChar w:fldCharType="end"/>
            </w:r>
          </w:hyperlink>
        </w:p>
        <w:p w14:paraId="08D79D64" w14:textId="325D2E33" w:rsidR="001F6ABF" w:rsidRPr="003D20D6" w:rsidRDefault="003A04A1">
          <w:pPr>
            <w:pStyle w:val="TOC2"/>
            <w:rPr>
              <w:rFonts w:ascii="Times New Roman" w:eastAsiaTheme="minorEastAsia" w:hAnsi="Times New Roman" w:cs="Times New Roman"/>
              <w:noProof/>
            </w:rPr>
          </w:pPr>
          <w:hyperlink w:anchor="_Toc93306867" w:history="1">
            <w:r w:rsidR="001F6ABF" w:rsidRPr="003D20D6">
              <w:rPr>
                <w:rStyle w:val="Hyperlink"/>
                <w:rFonts w:ascii="Times New Roman" w:hAnsi="Times New Roman" w:cs="Times New Roman"/>
                <w:noProof/>
              </w:rPr>
              <w:t xml:space="preserve">2.3 </w:t>
            </w:r>
            <w:r w:rsidR="001F6ABF" w:rsidRPr="003D20D6">
              <w:rPr>
                <w:rStyle w:val="Hyperlink"/>
                <w:rFonts w:ascii="Times New Roman" w:hAnsi="Times New Roman" w:cs="Times New Roman"/>
                <w:noProof/>
                <w:lang w:val="en-GB"/>
              </w:rPr>
              <w:t>How will t</w:t>
            </w:r>
            <w:r w:rsidR="001F6ABF" w:rsidRPr="003D20D6">
              <w:rPr>
                <w:rStyle w:val="Hyperlink"/>
                <w:rFonts w:ascii="Times New Roman" w:hAnsi="Times New Roman" w:cs="Times New Roman"/>
                <w:noProof/>
                <w:lang w:val="en-GB" w:eastAsia="en-GB"/>
              </w:rPr>
              <w:t>he problem evolve in the absence of an EU policy initiative?</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_Toc93306867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16</w:t>
            </w:r>
            <w:r w:rsidR="001F6ABF" w:rsidRPr="003D20D6">
              <w:rPr>
                <w:rFonts w:ascii="Times New Roman" w:hAnsi="Times New Roman" w:cs="Times New Roman"/>
                <w:noProof/>
                <w:webHidden/>
              </w:rPr>
              <w:fldChar w:fldCharType="end"/>
            </w:r>
          </w:hyperlink>
        </w:p>
        <w:p w14:paraId="52BDCC6F" w14:textId="201EE358" w:rsidR="001F6ABF" w:rsidRPr="003D20D6" w:rsidRDefault="003A04A1">
          <w:pPr>
            <w:pStyle w:val="TOC1"/>
            <w:rPr>
              <w:rFonts w:ascii="Times New Roman" w:eastAsiaTheme="minorEastAsia" w:hAnsi="Times New Roman" w:cs="Times New Roman"/>
              <w:noProof/>
            </w:rPr>
          </w:pPr>
          <w:hyperlink w:anchor="_Toc93306868" w:history="1">
            <w:r w:rsidR="001F6ABF" w:rsidRPr="003D20D6">
              <w:rPr>
                <w:rStyle w:val="Hyperlink"/>
                <w:rFonts w:ascii="Times New Roman" w:eastAsia="Times New Roman" w:hAnsi="Times New Roman" w:cs="Times New Roman"/>
                <w:noProof/>
                <w:lang w:val="en-GB"/>
              </w:rPr>
              <w:t>3. WHY SHOULD THE EU ACT?</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_Toc93306868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17</w:t>
            </w:r>
            <w:r w:rsidR="001F6ABF" w:rsidRPr="003D20D6">
              <w:rPr>
                <w:rFonts w:ascii="Times New Roman" w:hAnsi="Times New Roman" w:cs="Times New Roman"/>
                <w:noProof/>
                <w:webHidden/>
              </w:rPr>
              <w:fldChar w:fldCharType="end"/>
            </w:r>
          </w:hyperlink>
        </w:p>
        <w:p w14:paraId="5658A6A0" w14:textId="510012B6" w:rsidR="001F6ABF" w:rsidRPr="003D20D6" w:rsidRDefault="003A04A1">
          <w:pPr>
            <w:pStyle w:val="TOC2"/>
            <w:rPr>
              <w:rFonts w:ascii="Times New Roman" w:eastAsiaTheme="minorEastAsia" w:hAnsi="Times New Roman" w:cs="Times New Roman"/>
              <w:noProof/>
            </w:rPr>
          </w:pPr>
          <w:hyperlink w:anchor="_Toc93306869" w:history="1">
            <w:r w:rsidR="001F6ABF" w:rsidRPr="003D20D6">
              <w:rPr>
                <w:rStyle w:val="Hyperlink"/>
                <w:rFonts w:ascii="Times New Roman" w:eastAsia="Times New Roman" w:hAnsi="Times New Roman" w:cs="Times New Roman"/>
                <w:noProof/>
                <w:lang w:val="en-GB"/>
              </w:rPr>
              <w:t>3.1 Legal basis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_Toc93306869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17</w:t>
            </w:r>
            <w:r w:rsidR="001F6ABF" w:rsidRPr="003D20D6">
              <w:rPr>
                <w:rFonts w:ascii="Times New Roman" w:hAnsi="Times New Roman" w:cs="Times New Roman"/>
                <w:noProof/>
                <w:webHidden/>
              </w:rPr>
              <w:fldChar w:fldCharType="end"/>
            </w:r>
          </w:hyperlink>
        </w:p>
        <w:p w14:paraId="21FD1BF9" w14:textId="79755BC0" w:rsidR="001F6ABF" w:rsidRPr="003D20D6" w:rsidRDefault="003A04A1">
          <w:pPr>
            <w:pStyle w:val="TOC2"/>
            <w:rPr>
              <w:rFonts w:ascii="Times New Roman" w:eastAsiaTheme="minorEastAsia" w:hAnsi="Times New Roman" w:cs="Times New Roman"/>
              <w:noProof/>
            </w:rPr>
          </w:pPr>
          <w:hyperlink w:anchor="_Toc93306870" w:history="1">
            <w:r w:rsidR="001F6ABF" w:rsidRPr="003D20D6">
              <w:rPr>
                <w:rStyle w:val="Hyperlink"/>
                <w:rFonts w:ascii="Times New Roman" w:eastAsia="Times New Roman" w:hAnsi="Times New Roman" w:cs="Times New Roman"/>
                <w:noProof/>
                <w:lang w:val="en-GB"/>
              </w:rPr>
              <w:t>3.2 Subsidiarity: Necessity of EU action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_Toc93306870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17</w:t>
            </w:r>
            <w:r w:rsidR="001F6ABF" w:rsidRPr="003D20D6">
              <w:rPr>
                <w:rFonts w:ascii="Times New Roman" w:hAnsi="Times New Roman" w:cs="Times New Roman"/>
                <w:noProof/>
                <w:webHidden/>
              </w:rPr>
              <w:fldChar w:fldCharType="end"/>
            </w:r>
          </w:hyperlink>
        </w:p>
        <w:p w14:paraId="0626DCC1" w14:textId="38AEC1EE" w:rsidR="001F6ABF" w:rsidRPr="003D20D6" w:rsidRDefault="003A04A1">
          <w:pPr>
            <w:pStyle w:val="TOC2"/>
            <w:rPr>
              <w:rFonts w:ascii="Times New Roman" w:eastAsiaTheme="minorEastAsia" w:hAnsi="Times New Roman" w:cs="Times New Roman"/>
              <w:noProof/>
            </w:rPr>
          </w:pPr>
          <w:hyperlink w:anchor="_Toc93306871" w:history="1">
            <w:r w:rsidR="001F6ABF" w:rsidRPr="003D20D6">
              <w:rPr>
                <w:rStyle w:val="Hyperlink"/>
                <w:rFonts w:ascii="Times New Roman" w:eastAsia="Times New Roman" w:hAnsi="Times New Roman" w:cs="Times New Roman"/>
                <w:noProof/>
                <w:lang w:val="en-GB"/>
              </w:rPr>
              <w:t>3.3 Proportionality: The added value of EU action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_Toc93306871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17</w:t>
            </w:r>
            <w:r w:rsidR="001F6ABF" w:rsidRPr="003D20D6">
              <w:rPr>
                <w:rFonts w:ascii="Times New Roman" w:hAnsi="Times New Roman" w:cs="Times New Roman"/>
                <w:noProof/>
                <w:webHidden/>
              </w:rPr>
              <w:fldChar w:fldCharType="end"/>
            </w:r>
          </w:hyperlink>
        </w:p>
        <w:p w14:paraId="1BEF7B8F" w14:textId="552D205A" w:rsidR="001F6ABF" w:rsidRPr="003D20D6" w:rsidRDefault="003A04A1">
          <w:pPr>
            <w:pStyle w:val="TOC1"/>
            <w:rPr>
              <w:rFonts w:ascii="Times New Roman" w:eastAsiaTheme="minorEastAsia" w:hAnsi="Times New Roman" w:cs="Times New Roman"/>
              <w:noProof/>
            </w:rPr>
          </w:pPr>
          <w:hyperlink w:anchor="_Toc93306872" w:history="1">
            <w:r w:rsidR="001F6ABF" w:rsidRPr="003D20D6">
              <w:rPr>
                <w:rStyle w:val="Hyperlink"/>
                <w:rFonts w:ascii="Times New Roman" w:hAnsi="Times New Roman" w:cs="Times New Roman"/>
                <w:noProof/>
                <w:lang w:val="en-GB"/>
              </w:rPr>
              <w:t>4. OBJECTIVES: WHAT IS TO BE ACHIEVED?</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_Toc93306872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19</w:t>
            </w:r>
            <w:r w:rsidR="001F6ABF" w:rsidRPr="003D20D6">
              <w:rPr>
                <w:rFonts w:ascii="Times New Roman" w:hAnsi="Times New Roman" w:cs="Times New Roman"/>
                <w:noProof/>
                <w:webHidden/>
              </w:rPr>
              <w:fldChar w:fldCharType="end"/>
            </w:r>
          </w:hyperlink>
        </w:p>
        <w:p w14:paraId="4D63CD34" w14:textId="0602E78C" w:rsidR="001F6ABF" w:rsidRPr="003D20D6" w:rsidRDefault="003A04A1">
          <w:pPr>
            <w:pStyle w:val="TOC2"/>
            <w:rPr>
              <w:rFonts w:ascii="Times New Roman" w:eastAsiaTheme="minorEastAsia" w:hAnsi="Times New Roman" w:cs="Times New Roman"/>
              <w:noProof/>
            </w:rPr>
          </w:pPr>
          <w:hyperlink w:anchor="_Toc93306873" w:history="1">
            <w:r w:rsidR="001F6ABF" w:rsidRPr="003D20D6">
              <w:rPr>
                <w:rStyle w:val="Hyperlink"/>
                <w:rFonts w:ascii="Times New Roman" w:hAnsi="Times New Roman" w:cs="Times New Roman"/>
                <w:noProof/>
                <w:lang w:val="en-GB"/>
              </w:rPr>
              <w:t>4.1 General objectives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_Toc93306873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19</w:t>
            </w:r>
            <w:r w:rsidR="001F6ABF" w:rsidRPr="003D20D6">
              <w:rPr>
                <w:rFonts w:ascii="Times New Roman" w:hAnsi="Times New Roman" w:cs="Times New Roman"/>
                <w:noProof/>
                <w:webHidden/>
              </w:rPr>
              <w:fldChar w:fldCharType="end"/>
            </w:r>
          </w:hyperlink>
        </w:p>
        <w:p w14:paraId="08C41CD6" w14:textId="064916E9" w:rsidR="001F6ABF" w:rsidRPr="003D20D6" w:rsidRDefault="003A04A1">
          <w:pPr>
            <w:pStyle w:val="TOC2"/>
            <w:rPr>
              <w:rFonts w:ascii="Times New Roman" w:eastAsiaTheme="minorEastAsia" w:hAnsi="Times New Roman" w:cs="Times New Roman"/>
              <w:noProof/>
            </w:rPr>
          </w:pPr>
          <w:hyperlink w:anchor="_Toc93306874" w:history="1">
            <w:r w:rsidR="001F6ABF" w:rsidRPr="003D20D6">
              <w:rPr>
                <w:rStyle w:val="Hyperlink"/>
                <w:rFonts w:ascii="Times New Roman" w:hAnsi="Times New Roman" w:cs="Times New Roman"/>
                <w:noProof/>
                <w:lang w:val="en-GB"/>
              </w:rPr>
              <w:t>4.2 Specific objectives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_Toc93306874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19</w:t>
            </w:r>
            <w:r w:rsidR="001F6ABF" w:rsidRPr="003D20D6">
              <w:rPr>
                <w:rFonts w:ascii="Times New Roman" w:hAnsi="Times New Roman" w:cs="Times New Roman"/>
                <w:noProof/>
                <w:webHidden/>
              </w:rPr>
              <w:fldChar w:fldCharType="end"/>
            </w:r>
          </w:hyperlink>
        </w:p>
        <w:p w14:paraId="6692E228" w14:textId="5A789CAA" w:rsidR="001F6ABF" w:rsidRPr="003D20D6" w:rsidRDefault="003A04A1">
          <w:pPr>
            <w:pStyle w:val="TOC1"/>
            <w:rPr>
              <w:rFonts w:ascii="Times New Roman" w:eastAsiaTheme="minorEastAsia" w:hAnsi="Times New Roman" w:cs="Times New Roman"/>
              <w:noProof/>
            </w:rPr>
          </w:pPr>
          <w:hyperlink w:anchor="_Toc93306875" w:history="1">
            <w:r w:rsidR="001F6ABF" w:rsidRPr="003D20D6">
              <w:rPr>
                <w:rStyle w:val="Hyperlink"/>
                <w:rFonts w:ascii="Times New Roman" w:hAnsi="Times New Roman" w:cs="Times New Roman"/>
                <w:noProof/>
                <w:lang w:val="en-GB"/>
              </w:rPr>
              <w:t>5. WHAT ARE THE AVAILABLE POLICY OPTIONS?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_Toc93306875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21</w:t>
            </w:r>
            <w:r w:rsidR="001F6ABF" w:rsidRPr="003D20D6">
              <w:rPr>
                <w:rFonts w:ascii="Times New Roman" w:hAnsi="Times New Roman" w:cs="Times New Roman"/>
                <w:noProof/>
                <w:webHidden/>
              </w:rPr>
              <w:fldChar w:fldCharType="end"/>
            </w:r>
          </w:hyperlink>
        </w:p>
        <w:p w14:paraId="2BFAFD03" w14:textId="1613D63A" w:rsidR="001F6ABF" w:rsidRPr="003D20D6" w:rsidRDefault="003A04A1">
          <w:pPr>
            <w:pStyle w:val="TOC2"/>
            <w:rPr>
              <w:rFonts w:ascii="Times New Roman" w:eastAsiaTheme="minorEastAsia" w:hAnsi="Times New Roman" w:cs="Times New Roman"/>
              <w:noProof/>
            </w:rPr>
          </w:pPr>
          <w:hyperlink w:anchor="_Toc93306876" w:history="1">
            <w:r w:rsidR="001F6ABF" w:rsidRPr="003D20D6">
              <w:rPr>
                <w:rStyle w:val="Hyperlink"/>
                <w:rFonts w:ascii="Times New Roman" w:hAnsi="Times New Roman" w:cs="Times New Roman"/>
                <w:noProof/>
                <w:lang w:val="en-GB"/>
              </w:rPr>
              <w:t>5.1 Baseline scenario (Option 0)</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_Toc93306876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26</w:t>
            </w:r>
            <w:r w:rsidR="001F6ABF" w:rsidRPr="003D20D6">
              <w:rPr>
                <w:rFonts w:ascii="Times New Roman" w:hAnsi="Times New Roman" w:cs="Times New Roman"/>
                <w:noProof/>
                <w:webHidden/>
              </w:rPr>
              <w:fldChar w:fldCharType="end"/>
            </w:r>
          </w:hyperlink>
        </w:p>
        <w:p w14:paraId="56C925D1" w14:textId="398525D9" w:rsidR="001F6ABF" w:rsidRPr="003D20D6" w:rsidRDefault="003A04A1">
          <w:pPr>
            <w:pStyle w:val="TOC2"/>
            <w:rPr>
              <w:rFonts w:ascii="Times New Roman" w:eastAsiaTheme="minorEastAsia" w:hAnsi="Times New Roman" w:cs="Times New Roman"/>
              <w:noProof/>
            </w:rPr>
          </w:pPr>
          <w:hyperlink w:anchor="_Toc93306877" w:history="1">
            <w:r w:rsidR="001F6ABF" w:rsidRPr="003D20D6">
              <w:rPr>
                <w:rStyle w:val="Hyperlink"/>
                <w:rFonts w:ascii="Times New Roman" w:hAnsi="Times New Roman" w:cs="Times New Roman"/>
                <w:noProof/>
                <w:lang w:val="en-GB"/>
              </w:rPr>
              <w:t>5.2 Recommendation for the implementation of a global standard (Option 1)</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_Toc93306877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27</w:t>
            </w:r>
            <w:r w:rsidR="001F6ABF" w:rsidRPr="003D20D6">
              <w:rPr>
                <w:rFonts w:ascii="Times New Roman" w:hAnsi="Times New Roman" w:cs="Times New Roman"/>
                <w:noProof/>
                <w:webHidden/>
              </w:rPr>
              <w:fldChar w:fldCharType="end"/>
            </w:r>
          </w:hyperlink>
        </w:p>
        <w:p w14:paraId="7DBCB8EF" w14:textId="52E3431D" w:rsidR="001F6ABF" w:rsidRPr="003D20D6" w:rsidRDefault="003A04A1">
          <w:pPr>
            <w:pStyle w:val="TOC2"/>
            <w:rPr>
              <w:rFonts w:ascii="Times New Roman" w:eastAsiaTheme="minorEastAsia" w:hAnsi="Times New Roman" w:cs="Times New Roman"/>
              <w:noProof/>
            </w:rPr>
          </w:pPr>
          <w:hyperlink w:anchor="_Toc93306878" w:history="1">
            <w:r w:rsidR="001F6ABF" w:rsidRPr="003D20D6">
              <w:rPr>
                <w:rStyle w:val="Hyperlink"/>
                <w:rFonts w:ascii="Times New Roman" w:hAnsi="Times New Roman" w:cs="Times New Roman"/>
                <w:noProof/>
                <w:lang w:val="en-GB"/>
              </w:rPr>
              <w:t>5.3 EU legislative initiative – Six options regarding the type of reporting and the impact of having a threshold for SME- (Options 2-7)</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_Toc93306878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27</w:t>
            </w:r>
            <w:r w:rsidR="001F6ABF" w:rsidRPr="003D20D6">
              <w:rPr>
                <w:rFonts w:ascii="Times New Roman" w:hAnsi="Times New Roman" w:cs="Times New Roman"/>
                <w:noProof/>
                <w:webHidden/>
              </w:rPr>
              <w:fldChar w:fldCharType="end"/>
            </w:r>
          </w:hyperlink>
        </w:p>
        <w:p w14:paraId="4C0FAC3F" w14:textId="6CFFC135" w:rsidR="001F6ABF" w:rsidRPr="003D20D6" w:rsidRDefault="003A04A1">
          <w:pPr>
            <w:pStyle w:val="TOC2"/>
            <w:rPr>
              <w:rFonts w:ascii="Times New Roman" w:eastAsiaTheme="minorEastAsia" w:hAnsi="Times New Roman" w:cs="Times New Roman"/>
              <w:noProof/>
            </w:rPr>
          </w:pPr>
          <w:hyperlink w:anchor="_Toc93306879" w:history="1">
            <w:r w:rsidR="001F6ABF" w:rsidRPr="003D20D6">
              <w:rPr>
                <w:rStyle w:val="Hyperlink"/>
                <w:rFonts w:ascii="Times New Roman" w:hAnsi="Times New Roman" w:cs="Times New Roman"/>
                <w:noProof/>
                <w:lang w:val="en-GB"/>
              </w:rPr>
              <w:t>5.4 Options discarded at an early stage</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_Toc93306879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29</w:t>
            </w:r>
            <w:r w:rsidR="001F6ABF" w:rsidRPr="003D20D6">
              <w:rPr>
                <w:rFonts w:ascii="Times New Roman" w:hAnsi="Times New Roman" w:cs="Times New Roman"/>
                <w:noProof/>
                <w:webHidden/>
              </w:rPr>
              <w:fldChar w:fldCharType="end"/>
            </w:r>
          </w:hyperlink>
        </w:p>
        <w:p w14:paraId="104FDDCF" w14:textId="50BE81B5" w:rsidR="001F6ABF" w:rsidRPr="003D20D6" w:rsidRDefault="003A04A1">
          <w:pPr>
            <w:pStyle w:val="TOC1"/>
            <w:rPr>
              <w:rFonts w:ascii="Times New Roman" w:eastAsiaTheme="minorEastAsia" w:hAnsi="Times New Roman" w:cs="Times New Roman"/>
              <w:noProof/>
            </w:rPr>
          </w:pPr>
          <w:hyperlink w:anchor="_Toc93306880" w:history="1">
            <w:r w:rsidR="001F6ABF" w:rsidRPr="003D20D6">
              <w:rPr>
                <w:rStyle w:val="Hyperlink"/>
                <w:rFonts w:ascii="Times New Roman" w:hAnsi="Times New Roman" w:cs="Times New Roman"/>
                <w:noProof/>
              </w:rPr>
              <w:t>6. WHAT ARE THE IMPACTS OF THE POLICY OPTIONS?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_Toc93306880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31</w:t>
            </w:r>
            <w:r w:rsidR="001F6ABF" w:rsidRPr="003D20D6">
              <w:rPr>
                <w:rFonts w:ascii="Times New Roman" w:hAnsi="Times New Roman" w:cs="Times New Roman"/>
                <w:noProof/>
                <w:webHidden/>
              </w:rPr>
              <w:fldChar w:fldCharType="end"/>
            </w:r>
          </w:hyperlink>
        </w:p>
        <w:p w14:paraId="62FCF768" w14:textId="72496C25" w:rsidR="001F6ABF" w:rsidRPr="003D20D6" w:rsidRDefault="003A04A1">
          <w:pPr>
            <w:pStyle w:val="TOC2"/>
            <w:rPr>
              <w:rFonts w:ascii="Times New Roman" w:eastAsiaTheme="minorEastAsia" w:hAnsi="Times New Roman" w:cs="Times New Roman"/>
              <w:noProof/>
            </w:rPr>
          </w:pPr>
          <w:hyperlink w:anchor="_Toc93306881" w:history="1">
            <w:r w:rsidR="001F6ABF" w:rsidRPr="003D20D6">
              <w:rPr>
                <w:rStyle w:val="Hyperlink"/>
                <w:rFonts w:ascii="Times New Roman" w:hAnsi="Times New Roman" w:cs="Times New Roman"/>
                <w:noProof/>
              </w:rPr>
              <w:t>6.1 Overview of options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_Toc93306881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31</w:t>
            </w:r>
            <w:r w:rsidR="001F6ABF" w:rsidRPr="003D20D6">
              <w:rPr>
                <w:rFonts w:ascii="Times New Roman" w:hAnsi="Times New Roman" w:cs="Times New Roman"/>
                <w:noProof/>
                <w:webHidden/>
              </w:rPr>
              <w:fldChar w:fldCharType="end"/>
            </w:r>
          </w:hyperlink>
        </w:p>
        <w:p w14:paraId="1DAC4D3D" w14:textId="68E16311" w:rsidR="001F6ABF" w:rsidRPr="003D20D6" w:rsidRDefault="003A04A1">
          <w:pPr>
            <w:pStyle w:val="TOC2"/>
            <w:rPr>
              <w:rFonts w:ascii="Times New Roman" w:eastAsiaTheme="minorEastAsia" w:hAnsi="Times New Roman" w:cs="Times New Roman"/>
              <w:noProof/>
            </w:rPr>
          </w:pPr>
          <w:hyperlink w:anchor="_Toc93306882" w:history="1">
            <w:r w:rsidR="001F6ABF" w:rsidRPr="003D20D6">
              <w:rPr>
                <w:rStyle w:val="Hyperlink"/>
                <w:rFonts w:ascii="Times New Roman" w:hAnsi="Times New Roman" w:cs="Times New Roman"/>
                <w:noProof/>
              </w:rPr>
              <w:t>6.2. Economic impacts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_Toc93306882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31</w:t>
            </w:r>
            <w:r w:rsidR="001F6ABF" w:rsidRPr="003D20D6">
              <w:rPr>
                <w:rFonts w:ascii="Times New Roman" w:hAnsi="Times New Roman" w:cs="Times New Roman"/>
                <w:noProof/>
                <w:webHidden/>
              </w:rPr>
              <w:fldChar w:fldCharType="end"/>
            </w:r>
          </w:hyperlink>
        </w:p>
        <w:p w14:paraId="761BEBAF" w14:textId="23B8C32D" w:rsidR="001F6ABF" w:rsidRPr="003D20D6" w:rsidRDefault="003A04A1">
          <w:pPr>
            <w:pStyle w:val="TOC3"/>
            <w:rPr>
              <w:rFonts w:ascii="Times New Roman" w:eastAsiaTheme="minorEastAsia" w:hAnsi="Times New Roman" w:cs="Times New Roman"/>
              <w:noProof/>
            </w:rPr>
          </w:pPr>
          <w:hyperlink w:anchor="_Toc93306883" w:history="1">
            <w:r w:rsidR="001F6ABF" w:rsidRPr="003D20D6">
              <w:rPr>
                <w:rStyle w:val="Hyperlink"/>
                <w:rFonts w:ascii="Times New Roman" w:eastAsia="Times New Roman" w:hAnsi="Times New Roman" w:cs="Times New Roman"/>
                <w:noProof/>
                <w:lang w:val="en-GB"/>
              </w:rPr>
              <w:t>6.2.1. Benefits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_Toc93306883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31</w:t>
            </w:r>
            <w:r w:rsidR="001F6ABF" w:rsidRPr="003D20D6">
              <w:rPr>
                <w:rFonts w:ascii="Times New Roman" w:hAnsi="Times New Roman" w:cs="Times New Roman"/>
                <w:noProof/>
                <w:webHidden/>
              </w:rPr>
              <w:fldChar w:fldCharType="end"/>
            </w:r>
          </w:hyperlink>
        </w:p>
        <w:p w14:paraId="282D8034" w14:textId="55A6874A" w:rsidR="001F6ABF" w:rsidRPr="003D20D6" w:rsidRDefault="003A04A1">
          <w:pPr>
            <w:pStyle w:val="TOC3"/>
            <w:tabs>
              <w:tab w:val="left" w:pos="880"/>
            </w:tabs>
            <w:rPr>
              <w:rFonts w:ascii="Times New Roman" w:eastAsiaTheme="minorEastAsia" w:hAnsi="Times New Roman" w:cs="Times New Roman"/>
              <w:noProof/>
            </w:rPr>
          </w:pPr>
          <w:hyperlink w:anchor="_Toc93306884" w:history="1">
            <w:r w:rsidR="001F6ABF" w:rsidRPr="003D20D6">
              <w:rPr>
                <w:rStyle w:val="Hyperlink"/>
                <w:rFonts w:ascii="Times New Roman" w:eastAsia="Times New Roman" w:hAnsi="Times New Roman" w:cs="Times New Roman"/>
                <w:noProof/>
                <w:lang w:val="en-GB"/>
              </w:rPr>
              <w:t>6.2.2.</w:t>
            </w:r>
            <w:r w:rsidR="001F6ABF" w:rsidRPr="003D20D6">
              <w:rPr>
                <w:rFonts w:ascii="Times New Roman" w:eastAsiaTheme="minorEastAsia" w:hAnsi="Times New Roman" w:cs="Times New Roman"/>
                <w:noProof/>
              </w:rPr>
              <w:tab/>
            </w:r>
            <w:r w:rsidR="001F6ABF" w:rsidRPr="003D20D6">
              <w:rPr>
                <w:rStyle w:val="Hyperlink"/>
                <w:rFonts w:ascii="Times New Roman" w:eastAsia="Times New Roman" w:hAnsi="Times New Roman" w:cs="Times New Roman"/>
                <w:noProof/>
                <w:lang w:val="en-GB"/>
              </w:rPr>
              <w:t>Costs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_Toc93306884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34</w:t>
            </w:r>
            <w:r w:rsidR="001F6ABF" w:rsidRPr="003D20D6">
              <w:rPr>
                <w:rFonts w:ascii="Times New Roman" w:hAnsi="Times New Roman" w:cs="Times New Roman"/>
                <w:noProof/>
                <w:webHidden/>
              </w:rPr>
              <w:fldChar w:fldCharType="end"/>
            </w:r>
          </w:hyperlink>
        </w:p>
        <w:p w14:paraId="749C0675" w14:textId="3D206A41" w:rsidR="001F6ABF" w:rsidRPr="003D20D6" w:rsidRDefault="003A04A1">
          <w:pPr>
            <w:pStyle w:val="TOC4"/>
            <w:tabs>
              <w:tab w:val="right" w:leader="dot" w:pos="9350"/>
            </w:tabs>
            <w:rPr>
              <w:rFonts w:ascii="Times New Roman" w:eastAsiaTheme="minorEastAsia" w:hAnsi="Times New Roman" w:cs="Times New Roman"/>
              <w:noProof/>
            </w:rPr>
          </w:pPr>
          <w:hyperlink w:anchor="_Toc93306885" w:history="1">
            <w:r w:rsidR="001F6ABF" w:rsidRPr="003D20D6">
              <w:rPr>
                <w:rStyle w:val="Hyperlink"/>
                <w:rFonts w:ascii="Times New Roman" w:hAnsi="Times New Roman" w:cs="Times New Roman"/>
                <w:noProof/>
                <w:lang w:val="en-GB"/>
              </w:rPr>
              <w:t>6.2.2.1 Impact on CASPs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_Toc93306885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36</w:t>
            </w:r>
            <w:r w:rsidR="001F6ABF" w:rsidRPr="003D20D6">
              <w:rPr>
                <w:rFonts w:ascii="Times New Roman" w:hAnsi="Times New Roman" w:cs="Times New Roman"/>
                <w:noProof/>
                <w:webHidden/>
              </w:rPr>
              <w:fldChar w:fldCharType="end"/>
            </w:r>
          </w:hyperlink>
        </w:p>
        <w:p w14:paraId="20B09FDB" w14:textId="19EB5DDB" w:rsidR="001F6ABF" w:rsidRPr="003D20D6" w:rsidRDefault="003A04A1">
          <w:pPr>
            <w:pStyle w:val="TOC4"/>
            <w:tabs>
              <w:tab w:val="right" w:leader="dot" w:pos="9350"/>
            </w:tabs>
            <w:rPr>
              <w:rFonts w:ascii="Times New Roman" w:eastAsiaTheme="minorEastAsia" w:hAnsi="Times New Roman" w:cs="Times New Roman"/>
              <w:noProof/>
            </w:rPr>
          </w:pPr>
          <w:hyperlink w:anchor="_Toc93306886" w:history="1">
            <w:r w:rsidR="001F6ABF" w:rsidRPr="003D20D6">
              <w:rPr>
                <w:rStyle w:val="Hyperlink"/>
                <w:rFonts w:ascii="Times New Roman" w:hAnsi="Times New Roman" w:cs="Times New Roman"/>
                <w:noProof/>
                <w:lang w:val="en-GB"/>
              </w:rPr>
              <w:t>6.2.2.2 Impact on tax administrations and Commission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_Toc93306886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37</w:t>
            </w:r>
            <w:r w:rsidR="001F6ABF" w:rsidRPr="003D20D6">
              <w:rPr>
                <w:rFonts w:ascii="Times New Roman" w:hAnsi="Times New Roman" w:cs="Times New Roman"/>
                <w:noProof/>
                <w:webHidden/>
              </w:rPr>
              <w:fldChar w:fldCharType="end"/>
            </w:r>
          </w:hyperlink>
        </w:p>
        <w:p w14:paraId="32F15705" w14:textId="6E7EDE82" w:rsidR="001F6ABF" w:rsidRPr="003D20D6" w:rsidRDefault="003A04A1">
          <w:pPr>
            <w:pStyle w:val="TOC3"/>
            <w:tabs>
              <w:tab w:val="left" w:pos="880"/>
            </w:tabs>
            <w:rPr>
              <w:rFonts w:ascii="Times New Roman" w:eastAsiaTheme="minorEastAsia" w:hAnsi="Times New Roman" w:cs="Times New Roman"/>
              <w:noProof/>
            </w:rPr>
          </w:pPr>
          <w:hyperlink w:anchor="_Toc93306887" w:history="1">
            <w:r w:rsidR="001F6ABF" w:rsidRPr="003D20D6">
              <w:rPr>
                <w:rStyle w:val="Hyperlink"/>
                <w:rFonts w:ascii="Times New Roman" w:eastAsia="Times New Roman" w:hAnsi="Times New Roman" w:cs="Times New Roman"/>
                <w:noProof/>
                <w:lang w:val="en-GB"/>
              </w:rPr>
              <w:t>6.2.3.</w:t>
            </w:r>
            <w:r w:rsidR="001F6ABF" w:rsidRPr="003D20D6">
              <w:rPr>
                <w:rFonts w:ascii="Times New Roman" w:eastAsiaTheme="minorEastAsia" w:hAnsi="Times New Roman" w:cs="Times New Roman"/>
                <w:noProof/>
              </w:rPr>
              <w:tab/>
            </w:r>
            <w:r w:rsidR="001F6ABF" w:rsidRPr="003D20D6">
              <w:rPr>
                <w:rStyle w:val="Hyperlink"/>
                <w:rFonts w:ascii="Times New Roman" w:hAnsi="Times New Roman" w:cs="Times New Roman"/>
                <w:noProof/>
                <w:lang w:val="en-GB"/>
              </w:rPr>
              <w:t>Impact on sector’s competitiveness and SMEs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_Toc93306887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38</w:t>
            </w:r>
            <w:r w:rsidR="001F6ABF" w:rsidRPr="003D20D6">
              <w:rPr>
                <w:rFonts w:ascii="Times New Roman" w:hAnsi="Times New Roman" w:cs="Times New Roman"/>
                <w:noProof/>
                <w:webHidden/>
              </w:rPr>
              <w:fldChar w:fldCharType="end"/>
            </w:r>
          </w:hyperlink>
        </w:p>
        <w:p w14:paraId="6FA43913" w14:textId="289C0A70" w:rsidR="001F6ABF" w:rsidRPr="003D20D6" w:rsidRDefault="003A04A1">
          <w:pPr>
            <w:pStyle w:val="TOC3"/>
            <w:tabs>
              <w:tab w:val="left" w:pos="880"/>
            </w:tabs>
            <w:rPr>
              <w:rFonts w:ascii="Times New Roman" w:eastAsiaTheme="minorEastAsia" w:hAnsi="Times New Roman" w:cs="Times New Roman"/>
              <w:noProof/>
            </w:rPr>
          </w:pPr>
          <w:hyperlink w:anchor="_Toc93306888" w:history="1">
            <w:r w:rsidR="001F6ABF" w:rsidRPr="003D20D6">
              <w:rPr>
                <w:rStyle w:val="Hyperlink"/>
                <w:rFonts w:ascii="Times New Roman" w:eastAsia="Times New Roman" w:hAnsi="Times New Roman" w:cs="Times New Roman"/>
                <w:noProof/>
                <w:lang w:val="en-GB"/>
              </w:rPr>
              <w:t>6.2.4.</w:t>
            </w:r>
            <w:r w:rsidR="001F6ABF" w:rsidRPr="003D20D6">
              <w:rPr>
                <w:rFonts w:ascii="Times New Roman" w:eastAsiaTheme="minorEastAsia" w:hAnsi="Times New Roman" w:cs="Times New Roman"/>
                <w:noProof/>
              </w:rPr>
              <w:tab/>
            </w:r>
            <w:r w:rsidR="001F6ABF" w:rsidRPr="003D20D6">
              <w:rPr>
                <w:rStyle w:val="Hyperlink"/>
                <w:rFonts w:ascii="Times New Roman" w:eastAsia="Times New Roman" w:hAnsi="Times New Roman" w:cs="Times New Roman"/>
                <w:noProof/>
                <w:lang w:val="en-GB"/>
              </w:rPr>
              <w:t>Social and environmental impacts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_Toc93306888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39</w:t>
            </w:r>
            <w:r w:rsidR="001F6ABF" w:rsidRPr="003D20D6">
              <w:rPr>
                <w:rFonts w:ascii="Times New Roman" w:hAnsi="Times New Roman" w:cs="Times New Roman"/>
                <w:noProof/>
                <w:webHidden/>
              </w:rPr>
              <w:fldChar w:fldCharType="end"/>
            </w:r>
          </w:hyperlink>
        </w:p>
        <w:p w14:paraId="0A2E7B14" w14:textId="7383A1D5" w:rsidR="001F6ABF" w:rsidRPr="003D20D6" w:rsidRDefault="003A04A1">
          <w:pPr>
            <w:pStyle w:val="TOC1"/>
            <w:rPr>
              <w:rFonts w:ascii="Times New Roman" w:eastAsiaTheme="minorEastAsia" w:hAnsi="Times New Roman" w:cs="Times New Roman"/>
              <w:noProof/>
            </w:rPr>
          </w:pPr>
          <w:hyperlink w:anchor="_Toc93306889" w:history="1">
            <w:r w:rsidR="001F6ABF" w:rsidRPr="003D20D6">
              <w:rPr>
                <w:rStyle w:val="Hyperlink"/>
                <w:rFonts w:ascii="Times New Roman" w:hAnsi="Times New Roman" w:cs="Times New Roman"/>
                <w:noProof/>
              </w:rPr>
              <w:t>7. HOW DO THE OPTIONS COMPARE?</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_Toc93306889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42</w:t>
            </w:r>
            <w:r w:rsidR="001F6ABF" w:rsidRPr="003D20D6">
              <w:rPr>
                <w:rFonts w:ascii="Times New Roman" w:hAnsi="Times New Roman" w:cs="Times New Roman"/>
                <w:noProof/>
                <w:webHidden/>
              </w:rPr>
              <w:fldChar w:fldCharType="end"/>
            </w:r>
          </w:hyperlink>
        </w:p>
        <w:p w14:paraId="34345468" w14:textId="20F92163" w:rsidR="001F6ABF" w:rsidRPr="003D20D6" w:rsidRDefault="003A04A1">
          <w:pPr>
            <w:pStyle w:val="TOC1"/>
            <w:rPr>
              <w:rFonts w:ascii="Times New Roman" w:eastAsiaTheme="minorEastAsia" w:hAnsi="Times New Roman" w:cs="Times New Roman"/>
              <w:noProof/>
            </w:rPr>
          </w:pPr>
          <w:hyperlink w:anchor="_Toc93306890" w:history="1">
            <w:r w:rsidR="001F6ABF" w:rsidRPr="003D20D6">
              <w:rPr>
                <w:rStyle w:val="Hyperlink"/>
                <w:rFonts w:ascii="Times New Roman" w:hAnsi="Times New Roman" w:cs="Times New Roman"/>
                <w:noProof/>
                <w:lang w:val="en-GB"/>
              </w:rPr>
              <w:t>8. PREFERRED OPTION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_Toc93306890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44</w:t>
            </w:r>
            <w:r w:rsidR="001F6ABF" w:rsidRPr="003D20D6">
              <w:rPr>
                <w:rFonts w:ascii="Times New Roman" w:hAnsi="Times New Roman" w:cs="Times New Roman"/>
                <w:noProof/>
                <w:webHidden/>
              </w:rPr>
              <w:fldChar w:fldCharType="end"/>
            </w:r>
          </w:hyperlink>
        </w:p>
        <w:p w14:paraId="5696DEB7" w14:textId="67266594" w:rsidR="001F6ABF" w:rsidRPr="003D20D6" w:rsidRDefault="003A04A1">
          <w:pPr>
            <w:pStyle w:val="TOC1"/>
            <w:rPr>
              <w:rFonts w:ascii="Times New Roman" w:eastAsiaTheme="minorEastAsia" w:hAnsi="Times New Roman" w:cs="Times New Roman"/>
              <w:noProof/>
            </w:rPr>
          </w:pPr>
          <w:hyperlink w:anchor="_Toc93306891" w:history="1">
            <w:r w:rsidR="001F6ABF" w:rsidRPr="003D20D6">
              <w:rPr>
                <w:rStyle w:val="Hyperlink"/>
                <w:rFonts w:ascii="Times New Roman" w:hAnsi="Times New Roman" w:cs="Times New Roman"/>
                <w:noProof/>
                <w:lang w:val="en-GB"/>
              </w:rPr>
              <w:t>9. HOW WILL ACTUAL IMPACTS BE MONITORED AND EVALUATED?</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_Toc93306891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46</w:t>
            </w:r>
            <w:r w:rsidR="001F6ABF" w:rsidRPr="003D20D6">
              <w:rPr>
                <w:rFonts w:ascii="Times New Roman" w:hAnsi="Times New Roman" w:cs="Times New Roman"/>
                <w:noProof/>
                <w:webHidden/>
              </w:rPr>
              <w:fldChar w:fldCharType="end"/>
            </w:r>
          </w:hyperlink>
        </w:p>
        <w:p w14:paraId="74EAF083" w14:textId="1CC63348" w:rsidR="001F6ABF" w:rsidRPr="003D20D6" w:rsidRDefault="003A04A1">
          <w:pPr>
            <w:pStyle w:val="TOC2"/>
            <w:rPr>
              <w:rFonts w:ascii="Times New Roman" w:eastAsiaTheme="minorEastAsia" w:hAnsi="Times New Roman" w:cs="Times New Roman"/>
              <w:noProof/>
            </w:rPr>
          </w:pPr>
          <w:hyperlink w:anchor="_Toc93306892" w:history="1">
            <w:r w:rsidR="001F6ABF" w:rsidRPr="003D20D6">
              <w:rPr>
                <w:rStyle w:val="Hyperlink"/>
                <w:rFonts w:ascii="Times New Roman" w:hAnsi="Times New Roman" w:cs="Times New Roman"/>
                <w:noProof/>
                <w:lang w:val="en-GB"/>
              </w:rPr>
              <w:t>9.1 Indicators for monitoring and evaluation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_Toc93306892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46</w:t>
            </w:r>
            <w:r w:rsidR="001F6ABF" w:rsidRPr="003D20D6">
              <w:rPr>
                <w:rFonts w:ascii="Times New Roman" w:hAnsi="Times New Roman" w:cs="Times New Roman"/>
                <w:noProof/>
                <w:webHidden/>
              </w:rPr>
              <w:fldChar w:fldCharType="end"/>
            </w:r>
          </w:hyperlink>
        </w:p>
        <w:p w14:paraId="7419D037" w14:textId="1249E98B" w:rsidR="001F6ABF" w:rsidRPr="003D20D6" w:rsidRDefault="003A04A1">
          <w:pPr>
            <w:pStyle w:val="TOC2"/>
            <w:rPr>
              <w:rFonts w:ascii="Times New Roman" w:eastAsiaTheme="minorEastAsia" w:hAnsi="Times New Roman" w:cs="Times New Roman"/>
              <w:noProof/>
            </w:rPr>
          </w:pPr>
          <w:hyperlink w:anchor="_Toc93306893" w:history="1">
            <w:r w:rsidR="001F6ABF" w:rsidRPr="003D20D6">
              <w:rPr>
                <w:rStyle w:val="Hyperlink"/>
                <w:rFonts w:ascii="Times New Roman" w:hAnsi="Times New Roman" w:cs="Times New Roman"/>
                <w:noProof/>
                <w:lang w:val="en-GB"/>
              </w:rPr>
              <w:t>9.2. Monitoring and reporting</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_Toc93306893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46</w:t>
            </w:r>
            <w:r w:rsidR="001F6ABF" w:rsidRPr="003D20D6">
              <w:rPr>
                <w:rFonts w:ascii="Times New Roman" w:hAnsi="Times New Roman" w:cs="Times New Roman"/>
                <w:noProof/>
                <w:webHidden/>
              </w:rPr>
              <w:fldChar w:fldCharType="end"/>
            </w:r>
          </w:hyperlink>
        </w:p>
        <w:p w14:paraId="1D55CD49" w14:textId="0250E11D" w:rsidR="001F6ABF" w:rsidRPr="003D20D6" w:rsidRDefault="003A04A1">
          <w:pPr>
            <w:pStyle w:val="TOC1"/>
            <w:tabs>
              <w:tab w:val="left" w:pos="1320"/>
            </w:tabs>
            <w:rPr>
              <w:rFonts w:ascii="Times New Roman" w:eastAsiaTheme="minorEastAsia" w:hAnsi="Times New Roman" w:cs="Times New Roman"/>
              <w:noProof/>
            </w:rPr>
          </w:pPr>
          <w:hyperlink w:anchor="_Toc93306894" w:history="1">
            <w:r w:rsidR="001F6ABF" w:rsidRPr="003D20D6">
              <w:rPr>
                <w:rStyle w:val="Hyperlink"/>
                <w:rFonts w:ascii="Times New Roman" w:hAnsi="Times New Roman" w:cs="Times New Roman"/>
                <w:noProof/>
              </w:rPr>
              <w:t>ANNEX 1:</w:t>
            </w:r>
            <w:r w:rsidR="001F6ABF" w:rsidRPr="003D20D6">
              <w:rPr>
                <w:rFonts w:ascii="Times New Roman" w:eastAsiaTheme="minorEastAsia" w:hAnsi="Times New Roman" w:cs="Times New Roman"/>
                <w:noProof/>
              </w:rPr>
              <w:tab/>
            </w:r>
            <w:r w:rsidR="001F6ABF" w:rsidRPr="003D20D6">
              <w:rPr>
                <w:rStyle w:val="Hyperlink"/>
                <w:rFonts w:ascii="Times New Roman" w:hAnsi="Times New Roman" w:cs="Times New Roman"/>
                <w:noProof/>
              </w:rPr>
              <w:t>PROCEDURAL INFORMATION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_Toc93306894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48</w:t>
            </w:r>
            <w:r w:rsidR="001F6ABF" w:rsidRPr="003D20D6">
              <w:rPr>
                <w:rFonts w:ascii="Times New Roman" w:hAnsi="Times New Roman" w:cs="Times New Roman"/>
                <w:noProof/>
                <w:webHidden/>
              </w:rPr>
              <w:fldChar w:fldCharType="end"/>
            </w:r>
          </w:hyperlink>
        </w:p>
        <w:p w14:paraId="7FB1345F" w14:textId="777A47ED" w:rsidR="001F6ABF" w:rsidRPr="003D20D6" w:rsidRDefault="003A04A1">
          <w:pPr>
            <w:pStyle w:val="TOC1"/>
            <w:tabs>
              <w:tab w:val="left" w:pos="1320"/>
            </w:tabs>
            <w:rPr>
              <w:rFonts w:ascii="Times New Roman" w:eastAsiaTheme="minorEastAsia" w:hAnsi="Times New Roman" w:cs="Times New Roman"/>
              <w:noProof/>
            </w:rPr>
          </w:pPr>
          <w:hyperlink w:anchor="_Toc93306895" w:history="1">
            <w:r w:rsidR="001F6ABF" w:rsidRPr="003D20D6">
              <w:rPr>
                <w:rStyle w:val="Hyperlink"/>
                <w:rFonts w:ascii="Times New Roman" w:hAnsi="Times New Roman" w:cs="Times New Roman"/>
                <w:noProof/>
              </w:rPr>
              <w:t>ANNEX 2:</w:t>
            </w:r>
            <w:r w:rsidR="001F6ABF" w:rsidRPr="003D20D6">
              <w:rPr>
                <w:rFonts w:ascii="Times New Roman" w:eastAsiaTheme="minorEastAsia" w:hAnsi="Times New Roman" w:cs="Times New Roman"/>
                <w:noProof/>
              </w:rPr>
              <w:tab/>
            </w:r>
            <w:r w:rsidR="001F6ABF" w:rsidRPr="003D20D6">
              <w:rPr>
                <w:rStyle w:val="Hyperlink"/>
                <w:rFonts w:ascii="Times New Roman" w:hAnsi="Times New Roman" w:cs="Times New Roman"/>
                <w:noProof/>
              </w:rPr>
              <w:t>STAKEHOLDER CONSULTATION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_Toc93306895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51</w:t>
            </w:r>
            <w:r w:rsidR="001F6ABF" w:rsidRPr="003D20D6">
              <w:rPr>
                <w:rFonts w:ascii="Times New Roman" w:hAnsi="Times New Roman" w:cs="Times New Roman"/>
                <w:noProof/>
                <w:webHidden/>
              </w:rPr>
              <w:fldChar w:fldCharType="end"/>
            </w:r>
          </w:hyperlink>
        </w:p>
        <w:p w14:paraId="4C330BF5" w14:textId="485FBF78" w:rsidR="001F6ABF" w:rsidRPr="003D20D6" w:rsidRDefault="003A04A1">
          <w:pPr>
            <w:pStyle w:val="TOC1"/>
            <w:tabs>
              <w:tab w:val="left" w:pos="1320"/>
            </w:tabs>
            <w:rPr>
              <w:rFonts w:ascii="Times New Roman" w:eastAsiaTheme="minorEastAsia" w:hAnsi="Times New Roman" w:cs="Times New Roman"/>
              <w:noProof/>
            </w:rPr>
          </w:pPr>
          <w:hyperlink w:anchor="_Toc93306896" w:history="1">
            <w:r w:rsidR="001F6ABF" w:rsidRPr="003D20D6">
              <w:rPr>
                <w:rStyle w:val="Hyperlink"/>
                <w:rFonts w:ascii="Times New Roman" w:hAnsi="Times New Roman" w:cs="Times New Roman"/>
                <w:noProof/>
              </w:rPr>
              <w:t>ANNEX 3:</w:t>
            </w:r>
            <w:r w:rsidR="001F6ABF" w:rsidRPr="003D20D6">
              <w:rPr>
                <w:rFonts w:ascii="Times New Roman" w:eastAsiaTheme="minorEastAsia" w:hAnsi="Times New Roman" w:cs="Times New Roman"/>
                <w:noProof/>
              </w:rPr>
              <w:tab/>
            </w:r>
            <w:r w:rsidR="001F6ABF" w:rsidRPr="003D20D6">
              <w:rPr>
                <w:rStyle w:val="Hyperlink"/>
                <w:rFonts w:ascii="Times New Roman" w:hAnsi="Times New Roman" w:cs="Times New Roman"/>
                <w:noProof/>
              </w:rPr>
              <w:t>WHO IS AFFECTED AND HOW?</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_Toc93306896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60</w:t>
            </w:r>
            <w:r w:rsidR="001F6ABF" w:rsidRPr="003D20D6">
              <w:rPr>
                <w:rFonts w:ascii="Times New Roman" w:hAnsi="Times New Roman" w:cs="Times New Roman"/>
                <w:noProof/>
                <w:webHidden/>
              </w:rPr>
              <w:fldChar w:fldCharType="end"/>
            </w:r>
          </w:hyperlink>
        </w:p>
        <w:p w14:paraId="5D5EA220" w14:textId="270EE8AD" w:rsidR="001F6ABF" w:rsidRPr="003D20D6" w:rsidRDefault="003A04A1">
          <w:pPr>
            <w:pStyle w:val="TOC1"/>
            <w:tabs>
              <w:tab w:val="left" w:pos="1320"/>
            </w:tabs>
            <w:rPr>
              <w:rFonts w:ascii="Times New Roman" w:eastAsiaTheme="minorEastAsia" w:hAnsi="Times New Roman" w:cs="Times New Roman"/>
              <w:noProof/>
            </w:rPr>
          </w:pPr>
          <w:hyperlink w:anchor="_Toc93306897" w:history="1">
            <w:r w:rsidR="001F6ABF" w:rsidRPr="003D20D6">
              <w:rPr>
                <w:rStyle w:val="Hyperlink"/>
                <w:rFonts w:ascii="Times New Roman" w:hAnsi="Times New Roman" w:cs="Times New Roman"/>
                <w:noProof/>
              </w:rPr>
              <w:t>ANNEX 4:</w:t>
            </w:r>
            <w:r w:rsidR="001F6ABF" w:rsidRPr="003D20D6">
              <w:rPr>
                <w:rFonts w:ascii="Times New Roman" w:eastAsiaTheme="minorEastAsia" w:hAnsi="Times New Roman" w:cs="Times New Roman"/>
                <w:noProof/>
              </w:rPr>
              <w:tab/>
            </w:r>
            <w:r w:rsidR="001F6ABF" w:rsidRPr="003D20D6">
              <w:rPr>
                <w:rStyle w:val="Hyperlink"/>
                <w:rFonts w:ascii="Times New Roman" w:hAnsi="Times New Roman" w:cs="Times New Roman"/>
                <w:noProof/>
              </w:rPr>
              <w:t>ANALYTICAL METHODS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_Toc93306897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65</w:t>
            </w:r>
            <w:r w:rsidR="001F6ABF" w:rsidRPr="003D20D6">
              <w:rPr>
                <w:rFonts w:ascii="Times New Roman" w:hAnsi="Times New Roman" w:cs="Times New Roman"/>
                <w:noProof/>
                <w:webHidden/>
              </w:rPr>
              <w:fldChar w:fldCharType="end"/>
            </w:r>
          </w:hyperlink>
        </w:p>
        <w:p w14:paraId="127E8397" w14:textId="7688F84A" w:rsidR="001F6ABF" w:rsidRPr="003D20D6" w:rsidRDefault="003A04A1">
          <w:pPr>
            <w:pStyle w:val="TOC1"/>
            <w:tabs>
              <w:tab w:val="left" w:pos="1320"/>
            </w:tabs>
            <w:rPr>
              <w:rFonts w:ascii="Times New Roman" w:eastAsiaTheme="minorEastAsia" w:hAnsi="Times New Roman" w:cs="Times New Roman"/>
              <w:noProof/>
            </w:rPr>
          </w:pPr>
          <w:hyperlink w:anchor="_Toc93306898" w:history="1">
            <w:r w:rsidR="001F6ABF" w:rsidRPr="003D20D6">
              <w:rPr>
                <w:rStyle w:val="Hyperlink"/>
                <w:rFonts w:ascii="Times New Roman" w:hAnsi="Times New Roman" w:cs="Times New Roman"/>
                <w:noProof/>
              </w:rPr>
              <w:t>ANNEX 5:</w:t>
            </w:r>
            <w:r w:rsidR="001F6ABF" w:rsidRPr="003D20D6">
              <w:rPr>
                <w:rFonts w:ascii="Times New Roman" w:eastAsiaTheme="minorEastAsia" w:hAnsi="Times New Roman" w:cs="Times New Roman"/>
                <w:noProof/>
              </w:rPr>
              <w:tab/>
            </w:r>
            <w:r w:rsidR="001F6ABF" w:rsidRPr="003D20D6">
              <w:rPr>
                <w:rStyle w:val="Hyperlink"/>
                <w:rFonts w:ascii="Times New Roman" w:hAnsi="Times New Roman" w:cs="Times New Roman"/>
                <w:noProof/>
              </w:rPr>
              <w:t>IT SOLUTION</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_Toc93306898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71</w:t>
            </w:r>
            <w:r w:rsidR="001F6ABF" w:rsidRPr="003D20D6">
              <w:rPr>
                <w:rFonts w:ascii="Times New Roman" w:hAnsi="Times New Roman" w:cs="Times New Roman"/>
                <w:noProof/>
                <w:webHidden/>
              </w:rPr>
              <w:fldChar w:fldCharType="end"/>
            </w:r>
          </w:hyperlink>
        </w:p>
        <w:p w14:paraId="1A8AE2CB" w14:textId="1F247489" w:rsidR="001F6ABF" w:rsidRPr="003D20D6" w:rsidRDefault="003A04A1">
          <w:pPr>
            <w:pStyle w:val="TOC1"/>
            <w:rPr>
              <w:rFonts w:ascii="Times New Roman" w:eastAsiaTheme="minorEastAsia" w:hAnsi="Times New Roman" w:cs="Times New Roman"/>
              <w:noProof/>
            </w:rPr>
          </w:pPr>
          <w:hyperlink w:anchor="_Toc93306899" w:history="1">
            <w:r w:rsidR="001F6ABF" w:rsidRPr="003D20D6">
              <w:rPr>
                <w:rStyle w:val="Hyperlink"/>
                <w:rFonts w:ascii="Times New Roman" w:hAnsi="Times New Roman" w:cs="Times New Roman"/>
                <w:noProof/>
                <w:lang w:val="en-GB"/>
              </w:rPr>
              <w:t>ANNEX 6:  STRENGTHENING OF ADMINISTRATIVE COOPERATION BETWEEN TAX AUTHORITIES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_Toc93306899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76</w:t>
            </w:r>
            <w:r w:rsidR="001F6ABF" w:rsidRPr="003D20D6">
              <w:rPr>
                <w:rFonts w:ascii="Times New Roman" w:hAnsi="Times New Roman" w:cs="Times New Roman"/>
                <w:noProof/>
                <w:webHidden/>
              </w:rPr>
              <w:fldChar w:fldCharType="end"/>
            </w:r>
          </w:hyperlink>
        </w:p>
        <w:p w14:paraId="5D2B3C4B" w14:textId="21568A55" w:rsidR="001F6ABF" w:rsidRPr="003D20D6" w:rsidRDefault="003A04A1">
          <w:pPr>
            <w:pStyle w:val="TOC1"/>
            <w:tabs>
              <w:tab w:val="left" w:pos="1320"/>
            </w:tabs>
            <w:rPr>
              <w:rFonts w:ascii="Times New Roman" w:eastAsiaTheme="minorEastAsia" w:hAnsi="Times New Roman" w:cs="Times New Roman"/>
              <w:noProof/>
            </w:rPr>
          </w:pPr>
          <w:hyperlink w:anchor="_Toc93306900" w:history="1">
            <w:r w:rsidR="001F6ABF" w:rsidRPr="003D20D6">
              <w:rPr>
                <w:rStyle w:val="Hyperlink"/>
                <w:rFonts w:ascii="Times New Roman" w:eastAsia="Times New Roman" w:hAnsi="Times New Roman" w:cs="Times New Roman"/>
                <w:smallCaps/>
                <w:noProof/>
                <w:lang w:val="en-GB"/>
              </w:rPr>
              <w:t xml:space="preserve">ANNEX 7: </w:t>
            </w:r>
            <w:r w:rsidR="001F6ABF" w:rsidRPr="003D20D6">
              <w:rPr>
                <w:rFonts w:ascii="Times New Roman" w:eastAsiaTheme="minorEastAsia" w:hAnsi="Times New Roman" w:cs="Times New Roman"/>
                <w:noProof/>
              </w:rPr>
              <w:tab/>
            </w:r>
            <w:r w:rsidR="001F6ABF" w:rsidRPr="003D20D6">
              <w:rPr>
                <w:rStyle w:val="Hyperlink"/>
                <w:rFonts w:ascii="Times New Roman" w:eastAsia="Times New Roman" w:hAnsi="Times New Roman" w:cs="Times New Roman"/>
                <w:smallCaps/>
                <w:noProof/>
                <w:lang w:val="en-GB"/>
              </w:rPr>
              <w:t>OVERVIEW OF DIFFERING PENALTIES APPLIED BY MEMBER STATES</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_Toc93306900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79</w:t>
            </w:r>
            <w:r w:rsidR="001F6ABF" w:rsidRPr="003D20D6">
              <w:rPr>
                <w:rFonts w:ascii="Times New Roman" w:hAnsi="Times New Roman" w:cs="Times New Roman"/>
                <w:noProof/>
                <w:webHidden/>
              </w:rPr>
              <w:fldChar w:fldCharType="end"/>
            </w:r>
          </w:hyperlink>
        </w:p>
        <w:p w14:paraId="5EB4EC13" w14:textId="545D3A35" w:rsidR="001F6ABF" w:rsidRPr="003D20D6" w:rsidRDefault="003A04A1">
          <w:pPr>
            <w:pStyle w:val="TOC1"/>
            <w:tabs>
              <w:tab w:val="left" w:pos="1320"/>
            </w:tabs>
            <w:rPr>
              <w:rFonts w:ascii="Times New Roman" w:eastAsiaTheme="minorEastAsia" w:hAnsi="Times New Roman" w:cs="Times New Roman"/>
              <w:noProof/>
            </w:rPr>
          </w:pPr>
          <w:hyperlink w:anchor="_Toc93306901" w:history="1">
            <w:r w:rsidR="001F6ABF" w:rsidRPr="003D20D6">
              <w:rPr>
                <w:rStyle w:val="Hyperlink"/>
                <w:rFonts w:ascii="Times New Roman" w:hAnsi="Times New Roman" w:cs="Times New Roman"/>
                <w:noProof/>
              </w:rPr>
              <w:t>ANNEX 8:</w:t>
            </w:r>
            <w:r w:rsidR="001F6ABF" w:rsidRPr="003D20D6">
              <w:rPr>
                <w:rFonts w:ascii="Times New Roman" w:eastAsiaTheme="minorEastAsia" w:hAnsi="Times New Roman" w:cs="Times New Roman"/>
                <w:noProof/>
              </w:rPr>
              <w:tab/>
            </w:r>
            <w:r w:rsidR="001F6ABF" w:rsidRPr="003D20D6">
              <w:rPr>
                <w:rStyle w:val="Hyperlink"/>
                <w:rFonts w:ascii="Times New Roman" w:hAnsi="Times New Roman" w:cs="Times New Roman"/>
                <w:noProof/>
              </w:rPr>
              <w:t>BIBLIOGRAPHY</w:t>
            </w:r>
            <w:r w:rsidR="001F6ABF" w:rsidRPr="003D20D6">
              <w:rPr>
                <w:rFonts w:ascii="Times New Roman" w:hAnsi="Times New Roman" w:cs="Times New Roman"/>
                <w:noProof/>
                <w:webHidden/>
              </w:rPr>
              <w:tab/>
            </w:r>
            <w:r w:rsidR="001F6ABF" w:rsidRPr="003D20D6">
              <w:rPr>
                <w:rFonts w:ascii="Times New Roman" w:hAnsi="Times New Roman" w:cs="Times New Roman"/>
                <w:noProof/>
                <w:webHidden/>
              </w:rPr>
              <w:fldChar w:fldCharType="begin"/>
            </w:r>
            <w:r w:rsidR="001F6ABF" w:rsidRPr="003D20D6">
              <w:rPr>
                <w:rFonts w:ascii="Times New Roman" w:hAnsi="Times New Roman" w:cs="Times New Roman"/>
                <w:noProof/>
                <w:webHidden/>
              </w:rPr>
              <w:instrText xml:space="preserve"> PAGEREF _Toc93306901 \h </w:instrText>
            </w:r>
            <w:r w:rsidR="001F6ABF" w:rsidRPr="003D20D6">
              <w:rPr>
                <w:rFonts w:ascii="Times New Roman" w:hAnsi="Times New Roman" w:cs="Times New Roman"/>
                <w:noProof/>
                <w:webHidden/>
              </w:rPr>
            </w:r>
            <w:r w:rsidR="001F6ABF" w:rsidRPr="003D20D6">
              <w:rPr>
                <w:rFonts w:ascii="Times New Roman" w:hAnsi="Times New Roman" w:cs="Times New Roman"/>
                <w:noProof/>
                <w:webHidden/>
              </w:rPr>
              <w:fldChar w:fldCharType="separate"/>
            </w:r>
            <w:r w:rsidR="00B355AD">
              <w:rPr>
                <w:rFonts w:ascii="Times New Roman" w:hAnsi="Times New Roman" w:cs="Times New Roman"/>
                <w:noProof/>
                <w:webHidden/>
              </w:rPr>
              <w:t>105</w:t>
            </w:r>
            <w:r w:rsidR="001F6ABF" w:rsidRPr="003D20D6">
              <w:rPr>
                <w:rFonts w:ascii="Times New Roman" w:hAnsi="Times New Roman" w:cs="Times New Roman"/>
                <w:noProof/>
                <w:webHidden/>
              </w:rPr>
              <w:fldChar w:fldCharType="end"/>
            </w:r>
          </w:hyperlink>
        </w:p>
        <w:p w14:paraId="5DD18525" w14:textId="77777777" w:rsidR="006201A4" w:rsidRPr="003D20D6" w:rsidRDefault="002F1C4A" w:rsidP="006201A4">
          <w:pPr>
            <w:rPr>
              <w:rFonts w:ascii="Times New Roman" w:hAnsi="Times New Roman" w:cs="Times New Roman"/>
              <w:noProof/>
              <w:sz w:val="24"/>
              <w:lang w:val="en-GB"/>
            </w:rPr>
          </w:pPr>
          <w:r w:rsidRPr="003D20D6">
            <w:rPr>
              <w:rFonts w:ascii="Times New Roman" w:hAnsi="Times New Roman" w:cs="Times New Roman"/>
              <w:b/>
              <w:noProof/>
              <w:color w:val="2B579A"/>
              <w:sz w:val="24"/>
              <w:lang w:val="en-GB"/>
            </w:rPr>
            <w:fldChar w:fldCharType="end"/>
          </w:r>
        </w:p>
      </w:sdtContent>
    </w:sdt>
    <w:p w14:paraId="49EDBA07" w14:textId="77777777" w:rsidR="00FA06EA" w:rsidRPr="006E5F59" w:rsidRDefault="00FA06EA" w:rsidP="0040525D">
      <w:pPr>
        <w:rPr>
          <w:rFonts w:ascii="Times New Roman" w:hAnsi="Times New Roman" w:cs="Times New Roman"/>
          <w:noProof/>
          <w:lang w:val="en-GB"/>
        </w:rPr>
      </w:pPr>
    </w:p>
    <w:p w14:paraId="4006735D" w14:textId="77777777" w:rsidR="003256DE" w:rsidRPr="006E5F59" w:rsidRDefault="003256DE">
      <w:pPr>
        <w:rPr>
          <w:rFonts w:ascii="Times New Roman" w:eastAsia="Times New Roman" w:hAnsi="Times New Roman" w:cs="Times New Roman"/>
          <w:b/>
          <w:smallCaps/>
          <w:noProof/>
          <w:sz w:val="24"/>
          <w:szCs w:val="24"/>
          <w:lang w:val="en-GB"/>
        </w:rPr>
      </w:pPr>
      <w:r w:rsidRPr="006E5F59">
        <w:rPr>
          <w:rFonts w:ascii="Times New Roman" w:eastAsia="Times New Roman" w:hAnsi="Times New Roman" w:cs="Times New Roman"/>
          <w:b/>
          <w:smallCaps/>
          <w:noProof/>
          <w:sz w:val="24"/>
          <w:szCs w:val="24"/>
          <w:lang w:val="en-GB"/>
        </w:rPr>
        <w:br w:type="page"/>
      </w:r>
    </w:p>
    <w:p w14:paraId="528481F0" w14:textId="77777777" w:rsidR="00B277FC" w:rsidRPr="00976D14" w:rsidRDefault="00B277FC" w:rsidP="00B277FC">
      <w:pPr>
        <w:jc w:val="center"/>
        <w:rPr>
          <w:rFonts w:ascii="Times New Roman" w:hAnsi="Times New Roman" w:cs="Times New Roman"/>
          <w:b/>
          <w:bCs/>
          <w:noProof/>
          <w:sz w:val="28"/>
          <w:szCs w:val="28"/>
        </w:rPr>
      </w:pPr>
      <w:r w:rsidRPr="00976D14">
        <w:rPr>
          <w:rFonts w:ascii="Times New Roman" w:hAnsi="Times New Roman" w:cs="Times New Roman"/>
          <w:b/>
          <w:bCs/>
          <w:noProof/>
          <w:sz w:val="28"/>
          <w:szCs w:val="28"/>
        </w:rPr>
        <w:t>Glossary</w:t>
      </w:r>
    </w:p>
    <w:tbl>
      <w:tblPr>
        <w:tblStyle w:val="TableGrid"/>
        <w:tblW w:w="0" w:type="auto"/>
        <w:tblLook w:val="04A0" w:firstRow="1" w:lastRow="0" w:firstColumn="1" w:lastColumn="0" w:noHBand="0" w:noVBand="1"/>
      </w:tblPr>
      <w:tblGrid>
        <w:gridCol w:w="3227"/>
        <w:gridCol w:w="5607"/>
      </w:tblGrid>
      <w:tr w:rsidR="00B277FC" w:rsidRPr="00976D14" w14:paraId="3133A6FC" w14:textId="77777777" w:rsidTr="1314CC47">
        <w:tc>
          <w:tcPr>
            <w:tcW w:w="3227" w:type="dxa"/>
            <w:tcBorders>
              <w:bottom w:val="double" w:sz="4" w:space="0" w:color="auto"/>
            </w:tcBorders>
            <w:shd w:val="clear" w:color="auto" w:fill="F2F2F2" w:themeFill="background1" w:themeFillShade="F2"/>
          </w:tcPr>
          <w:p w14:paraId="4079B525" w14:textId="77777777" w:rsidR="00B277FC" w:rsidRPr="00976D14" w:rsidRDefault="00B277FC" w:rsidP="00B277FC">
            <w:pPr>
              <w:spacing w:before="120" w:after="120"/>
              <w:jc w:val="center"/>
              <w:rPr>
                <w:rFonts w:ascii="Times New Roman" w:hAnsi="Times New Roman" w:cs="Times New Roman"/>
                <w:b/>
                <w:i/>
                <w:noProof/>
                <w:sz w:val="24"/>
              </w:rPr>
            </w:pPr>
            <w:r w:rsidRPr="00976D14">
              <w:rPr>
                <w:rFonts w:ascii="Times New Roman" w:hAnsi="Times New Roman" w:cs="Times New Roman"/>
                <w:b/>
                <w:i/>
                <w:noProof/>
                <w:sz w:val="24"/>
              </w:rPr>
              <w:t>Term or acronym</w:t>
            </w:r>
          </w:p>
        </w:tc>
        <w:tc>
          <w:tcPr>
            <w:tcW w:w="5607" w:type="dxa"/>
            <w:tcBorders>
              <w:bottom w:val="double" w:sz="4" w:space="0" w:color="auto"/>
            </w:tcBorders>
            <w:shd w:val="clear" w:color="auto" w:fill="F2F2F2" w:themeFill="background1" w:themeFillShade="F2"/>
          </w:tcPr>
          <w:p w14:paraId="182727EE" w14:textId="77777777" w:rsidR="00B277FC" w:rsidRPr="00976D14" w:rsidRDefault="00B277FC" w:rsidP="00B277FC">
            <w:pPr>
              <w:spacing w:before="120" w:after="120"/>
              <w:jc w:val="center"/>
              <w:rPr>
                <w:rFonts w:ascii="Times New Roman" w:hAnsi="Times New Roman" w:cs="Times New Roman"/>
                <w:b/>
                <w:i/>
                <w:noProof/>
                <w:sz w:val="24"/>
              </w:rPr>
            </w:pPr>
            <w:r w:rsidRPr="00976D14">
              <w:rPr>
                <w:rFonts w:ascii="Times New Roman" w:hAnsi="Times New Roman" w:cs="Times New Roman"/>
                <w:b/>
                <w:i/>
                <w:noProof/>
                <w:sz w:val="24"/>
              </w:rPr>
              <w:t>Meaning or definition</w:t>
            </w:r>
          </w:p>
        </w:tc>
      </w:tr>
      <w:tr w:rsidR="00B277FC" w:rsidRPr="00976D14" w14:paraId="57840999" w14:textId="77777777" w:rsidTr="1314CC47">
        <w:tc>
          <w:tcPr>
            <w:tcW w:w="3227" w:type="dxa"/>
            <w:tcBorders>
              <w:top w:val="double" w:sz="4" w:space="0" w:color="auto"/>
            </w:tcBorders>
            <w:tcMar>
              <w:top w:w="85" w:type="dxa"/>
              <w:left w:w="57" w:type="dxa"/>
              <w:bottom w:w="85" w:type="dxa"/>
              <w:right w:w="57" w:type="dxa"/>
            </w:tcMar>
          </w:tcPr>
          <w:p w14:paraId="2599DD00"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AML(D)</w:t>
            </w:r>
          </w:p>
        </w:tc>
        <w:tc>
          <w:tcPr>
            <w:tcW w:w="5607" w:type="dxa"/>
            <w:tcBorders>
              <w:top w:val="double" w:sz="4" w:space="0" w:color="auto"/>
            </w:tcBorders>
            <w:tcMar>
              <w:top w:w="85" w:type="dxa"/>
              <w:left w:w="57" w:type="dxa"/>
              <w:bottom w:w="85" w:type="dxa"/>
              <w:right w:w="57" w:type="dxa"/>
            </w:tcMar>
          </w:tcPr>
          <w:p w14:paraId="1AC01F78" w14:textId="77777777" w:rsidR="00B277FC" w:rsidRPr="00976D14" w:rsidRDefault="00B277FC" w:rsidP="00C76643">
            <w:pPr>
              <w:jc w:val="both"/>
              <w:rPr>
                <w:rFonts w:ascii="Times New Roman" w:hAnsi="Times New Roman" w:cs="Times New Roman"/>
                <w:noProof/>
                <w:sz w:val="24"/>
              </w:rPr>
            </w:pPr>
            <w:r w:rsidRPr="00976D14">
              <w:rPr>
                <w:rFonts w:ascii="Times New Roman" w:hAnsi="Times New Roman" w:cs="Times New Roman"/>
                <w:noProof/>
                <w:sz w:val="24"/>
              </w:rPr>
              <w:t>Anti-money laundering (Directive). The European Commission has presented a package of legislative proposals to strengthen these rules in July 2021.</w:t>
            </w:r>
          </w:p>
        </w:tc>
      </w:tr>
      <w:tr w:rsidR="00B277FC" w:rsidRPr="00976D14" w14:paraId="094F65B3" w14:textId="77777777" w:rsidTr="1314CC47">
        <w:tc>
          <w:tcPr>
            <w:tcW w:w="3227" w:type="dxa"/>
            <w:tcMar>
              <w:top w:w="85" w:type="dxa"/>
              <w:left w:w="57" w:type="dxa"/>
              <w:bottom w:w="85" w:type="dxa"/>
              <w:right w:w="57" w:type="dxa"/>
            </w:tcMar>
          </w:tcPr>
          <w:p w14:paraId="7F710599"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Asset-referenced token</w:t>
            </w:r>
          </w:p>
        </w:tc>
        <w:tc>
          <w:tcPr>
            <w:tcW w:w="5607" w:type="dxa"/>
            <w:tcMar>
              <w:top w:w="85" w:type="dxa"/>
              <w:left w:w="57" w:type="dxa"/>
              <w:bottom w:w="85" w:type="dxa"/>
              <w:right w:w="57" w:type="dxa"/>
            </w:tcMar>
          </w:tcPr>
          <w:p w14:paraId="2DF0C8AD" w14:textId="77777777" w:rsidR="00B277FC" w:rsidRPr="00976D14" w:rsidRDefault="00B277FC" w:rsidP="00C76643">
            <w:pPr>
              <w:jc w:val="both"/>
              <w:rPr>
                <w:rFonts w:ascii="Times New Roman" w:hAnsi="Times New Roman" w:cs="Times New Roman"/>
                <w:noProof/>
                <w:sz w:val="24"/>
              </w:rPr>
            </w:pPr>
            <w:r w:rsidRPr="00976D14">
              <w:rPr>
                <w:rFonts w:ascii="Times New Roman" w:hAnsi="Times New Roman" w:cs="Times New Roman"/>
                <w:noProof/>
                <w:sz w:val="24"/>
              </w:rPr>
              <w:t>A type of crypto-asset that purports to maintain a stable value by referring to the value of several fiat currencies that are legal tender, one or several commodities or one or several crypto-assets, or a combination of such assets.</w:t>
            </w:r>
          </w:p>
        </w:tc>
      </w:tr>
      <w:tr w:rsidR="00B277FC" w:rsidRPr="00976D14" w14:paraId="027E4CB6" w14:textId="77777777" w:rsidTr="1314CC47">
        <w:tc>
          <w:tcPr>
            <w:tcW w:w="3227" w:type="dxa"/>
            <w:tcMar>
              <w:top w:w="85" w:type="dxa"/>
              <w:left w:w="57" w:type="dxa"/>
              <w:bottom w:w="85" w:type="dxa"/>
              <w:right w:w="57" w:type="dxa"/>
            </w:tcMar>
          </w:tcPr>
          <w:p w14:paraId="45FD3721"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Binance</w:t>
            </w:r>
          </w:p>
        </w:tc>
        <w:tc>
          <w:tcPr>
            <w:tcW w:w="5607" w:type="dxa"/>
            <w:tcMar>
              <w:top w:w="85" w:type="dxa"/>
              <w:left w:w="57" w:type="dxa"/>
              <w:bottom w:w="85" w:type="dxa"/>
              <w:right w:w="57" w:type="dxa"/>
            </w:tcMar>
          </w:tcPr>
          <w:p w14:paraId="1E38C22F" w14:textId="77777777" w:rsidR="00B277FC" w:rsidRPr="00976D14" w:rsidRDefault="00B277FC" w:rsidP="00C76643">
            <w:pPr>
              <w:jc w:val="both"/>
              <w:rPr>
                <w:rFonts w:ascii="Times New Roman" w:hAnsi="Times New Roman" w:cs="Times New Roman"/>
                <w:noProof/>
                <w:sz w:val="24"/>
              </w:rPr>
            </w:pPr>
            <w:r w:rsidRPr="00976D14">
              <w:rPr>
                <w:rFonts w:ascii="Times New Roman" w:hAnsi="Times New Roman" w:cs="Times New Roman"/>
                <w:noProof/>
                <w:sz w:val="24"/>
              </w:rPr>
              <w:t>Binance is a CAS</w:t>
            </w:r>
            <w:r w:rsidR="00D603ED" w:rsidRPr="00976D14">
              <w:rPr>
                <w:rFonts w:ascii="Times New Roman" w:hAnsi="Times New Roman" w:cs="Times New Roman"/>
                <w:noProof/>
                <w:sz w:val="24"/>
              </w:rPr>
              <w:t>P</w:t>
            </w:r>
            <w:r w:rsidRPr="00976D14">
              <w:rPr>
                <w:rFonts w:ascii="Times New Roman" w:hAnsi="Times New Roman" w:cs="Times New Roman"/>
                <w:noProof/>
                <w:sz w:val="24"/>
              </w:rPr>
              <w:t xml:space="preserve"> founded in 2017 and registered in the Cayman Islands. It is often considered as one of the largest exchange in the world in terms of daily trading volume of crypto-assets.</w:t>
            </w:r>
          </w:p>
        </w:tc>
      </w:tr>
      <w:tr w:rsidR="00B277FC" w:rsidRPr="00976D14" w14:paraId="2E39DBE7" w14:textId="77777777" w:rsidTr="1314CC47">
        <w:tc>
          <w:tcPr>
            <w:tcW w:w="3227" w:type="dxa"/>
            <w:tcMar>
              <w:top w:w="85" w:type="dxa"/>
              <w:left w:w="57" w:type="dxa"/>
              <w:bottom w:w="85" w:type="dxa"/>
              <w:right w:w="57" w:type="dxa"/>
            </w:tcMar>
          </w:tcPr>
          <w:p w14:paraId="4251881B"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Bitcoin</w:t>
            </w:r>
            <w:r w:rsidRPr="00976D14">
              <w:rPr>
                <w:rFonts w:ascii="Times New Roman" w:hAnsi="Times New Roman" w:cs="Times New Roman"/>
                <w:noProof/>
                <w:sz w:val="24"/>
              </w:rPr>
              <w:t xml:space="preserve"> </w:t>
            </w:r>
          </w:p>
        </w:tc>
        <w:tc>
          <w:tcPr>
            <w:tcW w:w="5607" w:type="dxa"/>
            <w:tcMar>
              <w:top w:w="85" w:type="dxa"/>
              <w:left w:w="57" w:type="dxa"/>
              <w:bottom w:w="85" w:type="dxa"/>
              <w:right w:w="57" w:type="dxa"/>
            </w:tcMar>
          </w:tcPr>
          <w:p w14:paraId="4CDF512C" w14:textId="77777777" w:rsidR="00B277FC" w:rsidRPr="00976D14" w:rsidRDefault="00B277FC" w:rsidP="00C76643">
            <w:pPr>
              <w:jc w:val="both"/>
              <w:rPr>
                <w:rFonts w:ascii="Times New Roman" w:hAnsi="Times New Roman" w:cs="Times New Roman"/>
                <w:noProof/>
                <w:sz w:val="24"/>
              </w:rPr>
            </w:pPr>
            <w:r w:rsidRPr="00976D14">
              <w:rPr>
                <w:rFonts w:ascii="Times New Roman" w:hAnsi="Times New Roman" w:cs="Times New Roman"/>
                <w:noProof/>
                <w:sz w:val="24"/>
              </w:rPr>
              <w:t>Bitcoin (₿) is a type of crypto-asset. It is a decentralized virtual currency, without a central bank or single administrator that can be sent from user to user on the peer-to-peer bitcoin network without the need for intermediaries. Transactions are verified by network nodes through cryptography and recorded in a public distributed ledger called a blockchain.</w:t>
            </w:r>
          </w:p>
        </w:tc>
      </w:tr>
      <w:tr w:rsidR="00B277FC" w:rsidRPr="00976D14" w14:paraId="7EAC35F6" w14:textId="77777777" w:rsidTr="1314CC47">
        <w:tc>
          <w:tcPr>
            <w:tcW w:w="3227" w:type="dxa"/>
            <w:tcMar>
              <w:top w:w="85" w:type="dxa"/>
              <w:left w:w="57" w:type="dxa"/>
              <w:bottom w:w="85" w:type="dxa"/>
              <w:right w:w="57" w:type="dxa"/>
            </w:tcMar>
          </w:tcPr>
          <w:p w14:paraId="7CB5FB5D"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Blockchain</w:t>
            </w:r>
          </w:p>
        </w:tc>
        <w:tc>
          <w:tcPr>
            <w:tcW w:w="5607" w:type="dxa"/>
            <w:tcMar>
              <w:top w:w="85" w:type="dxa"/>
              <w:left w:w="57" w:type="dxa"/>
              <w:bottom w:w="85" w:type="dxa"/>
              <w:right w:w="57" w:type="dxa"/>
            </w:tcMar>
          </w:tcPr>
          <w:p w14:paraId="6C7925CE" w14:textId="77777777" w:rsidR="00B277FC" w:rsidRPr="00976D14" w:rsidRDefault="00B277FC" w:rsidP="009E2CE3">
            <w:pPr>
              <w:jc w:val="both"/>
              <w:rPr>
                <w:rFonts w:ascii="Times New Roman" w:hAnsi="Times New Roman" w:cs="Times New Roman"/>
                <w:noProof/>
                <w:sz w:val="24"/>
              </w:rPr>
            </w:pPr>
            <w:r w:rsidRPr="00976D14">
              <w:rPr>
                <w:rFonts w:ascii="Times New Roman" w:hAnsi="Times New Roman" w:cs="Times New Roman"/>
                <w:noProof/>
                <w:sz w:val="24"/>
              </w:rPr>
              <w:t xml:space="preserve">A form of distributed ledger in which details of transactions are held in the ledger in the form of blocks of information. A block of new information is attached into the chain of pre-existing blocks via a computerised process by which transactions are validated. </w:t>
            </w:r>
          </w:p>
        </w:tc>
      </w:tr>
      <w:tr w:rsidR="00B277FC" w:rsidRPr="00976D14" w14:paraId="50DCDEFE" w14:textId="77777777" w:rsidTr="1314CC47">
        <w:trPr>
          <w:trHeight w:val="354"/>
        </w:trPr>
        <w:tc>
          <w:tcPr>
            <w:tcW w:w="3227" w:type="dxa"/>
            <w:tcMar>
              <w:top w:w="85" w:type="dxa"/>
              <w:left w:w="57" w:type="dxa"/>
              <w:bottom w:w="85" w:type="dxa"/>
              <w:right w:w="57" w:type="dxa"/>
            </w:tcMar>
          </w:tcPr>
          <w:p w14:paraId="2F9F0E63"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CBDC</w:t>
            </w:r>
          </w:p>
        </w:tc>
        <w:tc>
          <w:tcPr>
            <w:tcW w:w="5607" w:type="dxa"/>
            <w:tcMar>
              <w:top w:w="85" w:type="dxa"/>
              <w:left w:w="57" w:type="dxa"/>
              <w:bottom w:w="85" w:type="dxa"/>
              <w:right w:w="57" w:type="dxa"/>
            </w:tcMar>
          </w:tcPr>
          <w:p w14:paraId="03F7B4B9" w14:textId="77777777" w:rsidR="00B277FC" w:rsidRPr="00976D14" w:rsidRDefault="00B277FC" w:rsidP="00CB51B4">
            <w:pPr>
              <w:jc w:val="both"/>
              <w:rPr>
                <w:rStyle w:val="visible-description"/>
                <w:rFonts w:ascii="Times New Roman" w:hAnsi="Times New Roman" w:cs="Times New Roman"/>
                <w:noProof/>
                <w:sz w:val="24"/>
              </w:rPr>
            </w:pPr>
            <w:r w:rsidRPr="00976D14">
              <w:rPr>
                <w:rFonts w:ascii="Times New Roman" w:hAnsi="Times New Roman" w:cs="Times New Roman"/>
                <w:noProof/>
                <w:sz w:val="24"/>
              </w:rPr>
              <w:t>Central bank digital currency. A CBDC may be defined as a digital asset that only the central bank may issue or destroy, that is traded at par against banknotes and reserves, that is available 24/7, that may be used in peer-to-peer transactions and that circulates on digital media that are at least partially different from existing media.</w:t>
            </w:r>
          </w:p>
        </w:tc>
      </w:tr>
      <w:tr w:rsidR="00B277FC" w:rsidRPr="00976D14" w14:paraId="17B2DDC0" w14:textId="77777777" w:rsidTr="1314CC47">
        <w:tc>
          <w:tcPr>
            <w:tcW w:w="3227" w:type="dxa"/>
            <w:tcMar>
              <w:top w:w="85" w:type="dxa"/>
              <w:left w:w="57" w:type="dxa"/>
              <w:bottom w:w="85" w:type="dxa"/>
              <w:right w:w="57" w:type="dxa"/>
            </w:tcMar>
          </w:tcPr>
          <w:p w14:paraId="4463A28B"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Cold wallet</w:t>
            </w:r>
          </w:p>
        </w:tc>
        <w:tc>
          <w:tcPr>
            <w:tcW w:w="5607" w:type="dxa"/>
            <w:tcMar>
              <w:top w:w="85" w:type="dxa"/>
              <w:left w:w="57" w:type="dxa"/>
              <w:bottom w:w="85" w:type="dxa"/>
              <w:right w:w="57" w:type="dxa"/>
            </w:tcMar>
          </w:tcPr>
          <w:p w14:paraId="3D5F9A65" w14:textId="77777777" w:rsidR="00B277FC" w:rsidRPr="00976D14" w:rsidRDefault="00B277FC" w:rsidP="00CB51B4">
            <w:pPr>
              <w:jc w:val="both"/>
              <w:rPr>
                <w:rFonts w:ascii="Times New Roman" w:hAnsi="Times New Roman" w:cs="Times New Roman"/>
                <w:noProof/>
                <w:sz w:val="24"/>
              </w:rPr>
            </w:pPr>
            <w:r w:rsidRPr="00976D14">
              <w:rPr>
                <w:rFonts w:ascii="Times New Roman" w:hAnsi="Times New Roman" w:cs="Times New Roman"/>
                <w:noProof/>
                <w:sz w:val="24"/>
              </w:rPr>
              <w:t>A wallet that is not connected to the internet. Cold wallets may include paper wallets (where the public and private keys are recorded on a piece of paper) and hardware wallets (where a USB stick or similar device is used as the storage medium).</w:t>
            </w:r>
          </w:p>
        </w:tc>
      </w:tr>
      <w:tr w:rsidR="00B277FC" w:rsidRPr="00976D14" w14:paraId="2E57F6D7" w14:textId="77777777" w:rsidTr="1314CC47">
        <w:trPr>
          <w:trHeight w:val="354"/>
        </w:trPr>
        <w:tc>
          <w:tcPr>
            <w:tcW w:w="3227" w:type="dxa"/>
            <w:tcMar>
              <w:top w:w="85" w:type="dxa"/>
              <w:left w:w="57" w:type="dxa"/>
              <w:bottom w:w="85" w:type="dxa"/>
              <w:right w:w="57" w:type="dxa"/>
            </w:tcMar>
          </w:tcPr>
          <w:p w14:paraId="43F1C60C"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Crypto-asset</w:t>
            </w:r>
          </w:p>
        </w:tc>
        <w:tc>
          <w:tcPr>
            <w:tcW w:w="5607" w:type="dxa"/>
            <w:tcMar>
              <w:top w:w="85" w:type="dxa"/>
              <w:left w:w="57" w:type="dxa"/>
              <w:bottom w:w="85" w:type="dxa"/>
              <w:right w:w="57" w:type="dxa"/>
            </w:tcMar>
          </w:tcPr>
          <w:p w14:paraId="2D479626" w14:textId="77777777" w:rsidR="00B277FC" w:rsidRPr="00976D14" w:rsidRDefault="00B277FC" w:rsidP="00B277FC">
            <w:pPr>
              <w:jc w:val="both"/>
              <w:rPr>
                <w:rFonts w:ascii="Times New Roman" w:hAnsi="Times New Roman" w:cs="Times New Roman"/>
                <w:noProof/>
                <w:sz w:val="24"/>
              </w:rPr>
            </w:pPr>
            <w:r w:rsidRPr="00976D14">
              <w:rPr>
                <w:rFonts w:ascii="Times New Roman" w:hAnsi="Times New Roman" w:cs="Times New Roman"/>
                <w:noProof/>
                <w:sz w:val="24"/>
              </w:rPr>
              <w:t>A digital representation of value or rights</w:t>
            </w:r>
            <w:r w:rsidR="00207814" w:rsidRPr="00976D14">
              <w:rPr>
                <w:rFonts w:ascii="Times New Roman" w:hAnsi="Times New Roman" w:cs="Times New Roman"/>
                <w:noProof/>
                <w:sz w:val="24"/>
              </w:rPr>
              <w:t>,</w:t>
            </w:r>
            <w:r w:rsidRPr="00976D14">
              <w:rPr>
                <w:rFonts w:ascii="Times New Roman" w:hAnsi="Times New Roman" w:cs="Times New Roman"/>
                <w:noProof/>
                <w:sz w:val="24"/>
              </w:rPr>
              <w:t xml:space="preserve"> which may be transferred and stored electronically, using distributed ledger technology or similar technology. </w:t>
            </w:r>
          </w:p>
        </w:tc>
      </w:tr>
      <w:tr w:rsidR="00B277FC" w:rsidRPr="00976D14" w14:paraId="789AB113" w14:textId="77777777" w:rsidTr="1314CC47">
        <w:tc>
          <w:tcPr>
            <w:tcW w:w="3227" w:type="dxa"/>
            <w:tcMar>
              <w:top w:w="85" w:type="dxa"/>
              <w:left w:w="57" w:type="dxa"/>
              <w:bottom w:w="85" w:type="dxa"/>
              <w:right w:w="57" w:type="dxa"/>
            </w:tcMar>
          </w:tcPr>
          <w:p w14:paraId="7FA55112"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Crypto-asset service</w:t>
            </w:r>
          </w:p>
        </w:tc>
        <w:tc>
          <w:tcPr>
            <w:tcW w:w="5607" w:type="dxa"/>
            <w:tcMar>
              <w:top w:w="85" w:type="dxa"/>
              <w:left w:w="57" w:type="dxa"/>
              <w:bottom w:w="85" w:type="dxa"/>
              <w:right w:w="57" w:type="dxa"/>
            </w:tcMar>
          </w:tcPr>
          <w:p w14:paraId="04241DDF" w14:textId="77777777" w:rsidR="00B277FC" w:rsidRPr="00976D14" w:rsidRDefault="00B277FC" w:rsidP="00CB51B4">
            <w:pPr>
              <w:jc w:val="both"/>
              <w:rPr>
                <w:rFonts w:ascii="Times New Roman" w:hAnsi="Times New Roman" w:cs="Times New Roman"/>
                <w:noProof/>
                <w:sz w:val="24"/>
              </w:rPr>
            </w:pPr>
            <w:r w:rsidRPr="00976D14">
              <w:rPr>
                <w:rFonts w:ascii="Times New Roman" w:hAnsi="Times New Roman" w:cs="Times New Roman"/>
                <w:noProof/>
                <w:sz w:val="24"/>
              </w:rPr>
              <w:t>Any of the services and activities relating to any crypto-asset: the custody and administration of crypto-assets on behalf of third parties; the operation of a trading platform for crypto-assets; the exchange of crypto-assets for fiat currency that is legal tender; the exchange of crypto-assets for other crypto-assets; the execution of orders for crypto-assets on behalf of third parties; placing of crypto-assets; the reception and transmission of orders for crypto-assets on behalf of third parties; providing advice on crypto-assets.</w:t>
            </w:r>
          </w:p>
        </w:tc>
      </w:tr>
      <w:tr w:rsidR="00B277FC" w:rsidRPr="00976D14" w14:paraId="124102BD" w14:textId="77777777" w:rsidTr="1314CC47">
        <w:tc>
          <w:tcPr>
            <w:tcW w:w="3227" w:type="dxa"/>
            <w:tcMar>
              <w:top w:w="85" w:type="dxa"/>
              <w:left w:w="57" w:type="dxa"/>
              <w:bottom w:w="85" w:type="dxa"/>
              <w:right w:w="57" w:type="dxa"/>
            </w:tcMar>
          </w:tcPr>
          <w:p w14:paraId="61882787"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Crypto-asset service provider</w:t>
            </w:r>
            <w:r w:rsidRPr="00976D14">
              <w:rPr>
                <w:rFonts w:ascii="Times New Roman" w:hAnsi="Times New Roman" w:cs="Times New Roman"/>
                <w:noProof/>
                <w:sz w:val="24"/>
              </w:rPr>
              <w:t xml:space="preserve"> or</w:t>
            </w:r>
            <w:r w:rsidRPr="00976D14">
              <w:rPr>
                <w:rFonts w:ascii="Times New Roman" w:hAnsi="Times New Roman" w:cs="Times New Roman"/>
                <w:b/>
                <w:noProof/>
                <w:sz w:val="24"/>
              </w:rPr>
              <w:t xml:space="preserve"> CASP</w:t>
            </w:r>
            <w:r w:rsidRPr="00976D14">
              <w:rPr>
                <w:rFonts w:ascii="Times New Roman" w:hAnsi="Times New Roman" w:cs="Times New Roman"/>
                <w:noProof/>
                <w:sz w:val="24"/>
              </w:rPr>
              <w:t xml:space="preserve"> </w:t>
            </w:r>
          </w:p>
        </w:tc>
        <w:tc>
          <w:tcPr>
            <w:tcW w:w="5607" w:type="dxa"/>
            <w:tcMar>
              <w:top w:w="85" w:type="dxa"/>
              <w:left w:w="57" w:type="dxa"/>
              <w:bottom w:w="85" w:type="dxa"/>
              <w:right w:w="57" w:type="dxa"/>
            </w:tcMar>
          </w:tcPr>
          <w:p w14:paraId="3F61492C"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Any person whose occupation or business is the provision of one or more crypto-asset services to third parties on a professional basis.</w:t>
            </w:r>
          </w:p>
        </w:tc>
      </w:tr>
      <w:tr w:rsidR="00B277FC" w:rsidRPr="00976D14" w14:paraId="5295B5F6" w14:textId="77777777" w:rsidTr="1314CC47">
        <w:tc>
          <w:tcPr>
            <w:tcW w:w="3227" w:type="dxa"/>
            <w:tcMar>
              <w:top w:w="85" w:type="dxa"/>
              <w:left w:w="57" w:type="dxa"/>
              <w:bottom w:w="85" w:type="dxa"/>
              <w:right w:w="57" w:type="dxa"/>
            </w:tcMar>
          </w:tcPr>
          <w:p w14:paraId="6312D9C2"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Cryptocurrency</w:t>
            </w:r>
          </w:p>
        </w:tc>
        <w:tc>
          <w:tcPr>
            <w:tcW w:w="5607" w:type="dxa"/>
            <w:tcMar>
              <w:top w:w="85" w:type="dxa"/>
              <w:left w:w="57" w:type="dxa"/>
              <w:bottom w:w="85" w:type="dxa"/>
              <w:right w:w="57" w:type="dxa"/>
            </w:tcMar>
          </w:tcPr>
          <w:p w14:paraId="6538E428" w14:textId="77777777" w:rsidR="00B277FC" w:rsidRPr="00976D14" w:rsidRDefault="00B277FC" w:rsidP="00B277FC">
            <w:pPr>
              <w:jc w:val="both"/>
              <w:rPr>
                <w:rFonts w:ascii="Times New Roman" w:hAnsi="Times New Roman" w:cs="Times New Roman"/>
                <w:noProof/>
                <w:sz w:val="24"/>
              </w:rPr>
            </w:pPr>
            <w:r w:rsidRPr="00976D14">
              <w:rPr>
                <w:rFonts w:ascii="Times New Roman" w:hAnsi="Times New Roman" w:cs="Times New Roman"/>
                <w:noProof/>
                <w:sz w:val="24"/>
              </w:rPr>
              <w:t>See "Virtual currency"</w:t>
            </w:r>
          </w:p>
        </w:tc>
      </w:tr>
      <w:tr w:rsidR="00B277FC" w:rsidRPr="00976D14" w14:paraId="0E38EB6A" w14:textId="77777777" w:rsidTr="1314CC47">
        <w:trPr>
          <w:trHeight w:val="354"/>
        </w:trPr>
        <w:tc>
          <w:tcPr>
            <w:tcW w:w="3227" w:type="dxa"/>
            <w:tcMar>
              <w:top w:w="85" w:type="dxa"/>
              <w:left w:w="57" w:type="dxa"/>
              <w:bottom w:w="85" w:type="dxa"/>
              <w:right w:w="57" w:type="dxa"/>
            </w:tcMar>
          </w:tcPr>
          <w:p w14:paraId="547279A1"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Cryptography</w:t>
            </w:r>
          </w:p>
        </w:tc>
        <w:tc>
          <w:tcPr>
            <w:tcW w:w="5607" w:type="dxa"/>
            <w:tcMar>
              <w:top w:w="85" w:type="dxa"/>
              <w:left w:w="57" w:type="dxa"/>
              <w:bottom w:w="85" w:type="dxa"/>
              <w:right w:w="57" w:type="dxa"/>
            </w:tcMar>
          </w:tcPr>
          <w:p w14:paraId="46B0F878" w14:textId="77777777" w:rsidR="00B277FC" w:rsidRPr="00976D14" w:rsidRDefault="00B277FC" w:rsidP="0D02F0AF">
            <w:pPr>
              <w:jc w:val="both"/>
              <w:rPr>
                <w:rStyle w:val="visible-description"/>
                <w:rFonts w:ascii="Times New Roman" w:hAnsi="Times New Roman" w:cs="Times New Roman"/>
                <w:noProof/>
                <w:sz w:val="24"/>
              </w:rPr>
            </w:pPr>
            <w:r w:rsidRPr="00976D14">
              <w:rPr>
                <w:rFonts w:ascii="Times New Roman" w:hAnsi="Times New Roman" w:cs="Times New Roman"/>
                <w:noProof/>
                <w:sz w:val="24"/>
              </w:rPr>
              <w:t>The conversion of data into private code using encryption algorithms, typically for transmission over a public network.</w:t>
            </w:r>
          </w:p>
        </w:tc>
      </w:tr>
      <w:tr w:rsidR="00B277FC" w:rsidRPr="00976D14" w14:paraId="2439214C" w14:textId="77777777" w:rsidTr="1314CC47">
        <w:tc>
          <w:tcPr>
            <w:tcW w:w="3227" w:type="dxa"/>
            <w:tcMar>
              <w:top w:w="85" w:type="dxa"/>
              <w:left w:w="57" w:type="dxa"/>
              <w:bottom w:w="85" w:type="dxa"/>
              <w:right w:w="57" w:type="dxa"/>
            </w:tcMar>
          </w:tcPr>
          <w:p w14:paraId="38ABF07D"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b/>
                <w:noProof/>
                <w:sz w:val="24"/>
              </w:rPr>
              <w:t>Custodian wallet provider</w:t>
            </w:r>
            <w:r w:rsidRPr="00976D14">
              <w:rPr>
                <w:rFonts w:ascii="Times New Roman" w:hAnsi="Times New Roman" w:cs="Times New Roman"/>
                <w:noProof/>
                <w:sz w:val="24"/>
              </w:rPr>
              <w:tab/>
            </w:r>
          </w:p>
        </w:tc>
        <w:tc>
          <w:tcPr>
            <w:tcW w:w="5607" w:type="dxa"/>
            <w:tcMar>
              <w:top w:w="85" w:type="dxa"/>
              <w:left w:w="57" w:type="dxa"/>
              <w:bottom w:w="85" w:type="dxa"/>
              <w:right w:w="57" w:type="dxa"/>
            </w:tcMar>
          </w:tcPr>
          <w:p w14:paraId="3735C0FB" w14:textId="77777777" w:rsidR="00B277FC" w:rsidRPr="00976D14" w:rsidRDefault="77EB6B86" w:rsidP="008E2DB3">
            <w:pPr>
              <w:jc w:val="both"/>
              <w:rPr>
                <w:rFonts w:ascii="Times New Roman" w:hAnsi="Times New Roman" w:cs="Times New Roman"/>
                <w:noProof/>
                <w:sz w:val="24"/>
              </w:rPr>
            </w:pPr>
            <w:r w:rsidRPr="00976D14">
              <w:rPr>
                <w:rFonts w:ascii="Times New Roman" w:hAnsi="Times New Roman" w:cs="Times New Roman"/>
                <w:noProof/>
                <w:sz w:val="24"/>
              </w:rPr>
              <w:t>A</w:t>
            </w:r>
            <w:r w:rsidR="00B277FC" w:rsidRPr="00976D14">
              <w:rPr>
                <w:rFonts w:ascii="Times New Roman" w:hAnsi="Times New Roman" w:cs="Times New Roman"/>
                <w:noProof/>
                <w:sz w:val="24"/>
              </w:rPr>
              <w:t>n entity that provides services to safeguard private cryptographic keys on behalf of its customers, to hold, store and transfer virtual assets.</w:t>
            </w:r>
          </w:p>
        </w:tc>
      </w:tr>
      <w:tr w:rsidR="00B277FC" w:rsidRPr="00976D14" w14:paraId="23C723EB" w14:textId="77777777" w:rsidTr="1314CC47">
        <w:tc>
          <w:tcPr>
            <w:tcW w:w="3227" w:type="dxa"/>
            <w:tcMar>
              <w:top w:w="85" w:type="dxa"/>
              <w:left w:w="57" w:type="dxa"/>
              <w:bottom w:w="85" w:type="dxa"/>
              <w:right w:w="57" w:type="dxa"/>
            </w:tcMar>
          </w:tcPr>
          <w:p w14:paraId="3EBF185B"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 xml:space="preserve">Directive on administrative cooperation </w:t>
            </w:r>
            <w:r w:rsidRPr="00976D14">
              <w:rPr>
                <w:rFonts w:ascii="Times New Roman" w:hAnsi="Times New Roman" w:cs="Times New Roman"/>
                <w:noProof/>
                <w:sz w:val="24"/>
              </w:rPr>
              <w:t xml:space="preserve">or </w:t>
            </w:r>
            <w:r w:rsidRPr="00976D14">
              <w:rPr>
                <w:rFonts w:ascii="Times New Roman" w:hAnsi="Times New Roman" w:cs="Times New Roman"/>
                <w:b/>
                <w:noProof/>
                <w:sz w:val="24"/>
              </w:rPr>
              <w:t>DAC</w:t>
            </w:r>
          </w:p>
        </w:tc>
        <w:tc>
          <w:tcPr>
            <w:tcW w:w="5607" w:type="dxa"/>
            <w:tcMar>
              <w:top w:w="85" w:type="dxa"/>
              <w:left w:w="57" w:type="dxa"/>
              <w:bottom w:w="85" w:type="dxa"/>
              <w:right w:w="57" w:type="dxa"/>
            </w:tcMar>
          </w:tcPr>
          <w:p w14:paraId="44163A4B"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 xml:space="preserve">Directive on administrative cooperation in the field of direct taxation. Rules and procedures under which the Member States shall cooperate with each other with a view to exchanging information that is foreseeably relevant to the administration and enforcement of the domestic laws of the Member States concerning taxes of any kind except value added tax and customs duties, or excise duties. </w:t>
            </w:r>
          </w:p>
        </w:tc>
      </w:tr>
      <w:tr w:rsidR="00B277FC" w:rsidRPr="00976D14" w14:paraId="22BA9B0B" w14:textId="77777777" w:rsidTr="1314CC47">
        <w:tc>
          <w:tcPr>
            <w:tcW w:w="3227" w:type="dxa"/>
            <w:tcMar>
              <w:top w:w="85" w:type="dxa"/>
              <w:left w:w="57" w:type="dxa"/>
              <w:bottom w:w="85" w:type="dxa"/>
              <w:right w:w="57" w:type="dxa"/>
            </w:tcMar>
          </w:tcPr>
          <w:p w14:paraId="29B9AB97"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Distributed ledger technology</w:t>
            </w:r>
            <w:r w:rsidRPr="00976D14">
              <w:rPr>
                <w:rFonts w:ascii="Times New Roman" w:hAnsi="Times New Roman" w:cs="Times New Roman"/>
                <w:noProof/>
                <w:sz w:val="24"/>
              </w:rPr>
              <w:t xml:space="preserve"> or </w:t>
            </w:r>
            <w:r w:rsidRPr="00976D14">
              <w:rPr>
                <w:rFonts w:ascii="Times New Roman" w:hAnsi="Times New Roman" w:cs="Times New Roman"/>
                <w:b/>
                <w:noProof/>
                <w:sz w:val="24"/>
              </w:rPr>
              <w:t>DLT</w:t>
            </w:r>
          </w:p>
        </w:tc>
        <w:tc>
          <w:tcPr>
            <w:tcW w:w="5607" w:type="dxa"/>
            <w:tcMar>
              <w:top w:w="85" w:type="dxa"/>
              <w:left w:w="57" w:type="dxa"/>
              <w:bottom w:w="85" w:type="dxa"/>
              <w:right w:w="57" w:type="dxa"/>
            </w:tcMar>
          </w:tcPr>
          <w:p w14:paraId="52F882B1" w14:textId="77777777" w:rsidR="00B277FC" w:rsidRPr="00976D14" w:rsidRDefault="00B277FC" w:rsidP="0D02F0AF">
            <w:pPr>
              <w:jc w:val="both"/>
              <w:rPr>
                <w:rFonts w:ascii="Times New Roman" w:hAnsi="Times New Roman" w:cs="Times New Roman"/>
                <w:noProof/>
                <w:sz w:val="24"/>
              </w:rPr>
            </w:pPr>
            <w:r w:rsidRPr="00976D14">
              <w:rPr>
                <w:rFonts w:ascii="Times New Roman" w:hAnsi="Times New Roman" w:cs="Times New Roman"/>
                <w:noProof/>
                <w:sz w:val="24"/>
              </w:rPr>
              <w:t>A type of technology that supports the distributed recording of encrypted data</w:t>
            </w:r>
            <w:r w:rsidR="207B3C11" w:rsidRPr="00976D14">
              <w:rPr>
                <w:rFonts w:ascii="Times New Roman" w:hAnsi="Times New Roman" w:cs="Times New Roman"/>
                <w:noProof/>
                <w:sz w:val="24"/>
              </w:rPr>
              <w:t>.</w:t>
            </w:r>
          </w:p>
        </w:tc>
      </w:tr>
      <w:tr w:rsidR="00B277FC" w:rsidRPr="00976D14" w14:paraId="2F7E20D0" w14:textId="77777777" w:rsidTr="1314CC47">
        <w:tc>
          <w:tcPr>
            <w:tcW w:w="3227" w:type="dxa"/>
            <w:tcMar>
              <w:top w:w="85" w:type="dxa"/>
              <w:left w:w="57" w:type="dxa"/>
              <w:bottom w:w="85" w:type="dxa"/>
              <w:right w:w="57" w:type="dxa"/>
            </w:tcMar>
          </w:tcPr>
          <w:p w14:paraId="6BDAA732"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EMA</w:t>
            </w:r>
          </w:p>
        </w:tc>
        <w:tc>
          <w:tcPr>
            <w:tcW w:w="5607" w:type="dxa"/>
            <w:tcMar>
              <w:top w:w="85" w:type="dxa"/>
              <w:left w:w="57" w:type="dxa"/>
              <w:bottom w:w="85" w:type="dxa"/>
              <w:right w:w="57" w:type="dxa"/>
            </w:tcMar>
          </w:tcPr>
          <w:p w14:paraId="3E4D1DD4"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noProof/>
                <w:sz w:val="24"/>
              </w:rPr>
              <w:t>Electronic Money Association</w:t>
            </w:r>
          </w:p>
        </w:tc>
      </w:tr>
      <w:tr w:rsidR="00B277FC" w:rsidRPr="00976D14" w14:paraId="3A42A7D1" w14:textId="77777777" w:rsidTr="1314CC47">
        <w:tc>
          <w:tcPr>
            <w:tcW w:w="3227" w:type="dxa"/>
            <w:tcMar>
              <w:top w:w="85" w:type="dxa"/>
              <w:left w:w="57" w:type="dxa"/>
              <w:bottom w:w="85" w:type="dxa"/>
              <w:right w:w="57" w:type="dxa"/>
            </w:tcMar>
          </w:tcPr>
          <w:p w14:paraId="14BD9A64"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ECA</w:t>
            </w:r>
          </w:p>
        </w:tc>
        <w:tc>
          <w:tcPr>
            <w:tcW w:w="5607" w:type="dxa"/>
            <w:tcMar>
              <w:top w:w="85" w:type="dxa"/>
              <w:left w:w="57" w:type="dxa"/>
              <w:bottom w:w="85" w:type="dxa"/>
              <w:right w:w="57" w:type="dxa"/>
            </w:tcMar>
          </w:tcPr>
          <w:p w14:paraId="48D8A51A"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noProof/>
                <w:sz w:val="24"/>
              </w:rPr>
              <w:t>European Court of Auditors</w:t>
            </w:r>
          </w:p>
        </w:tc>
      </w:tr>
      <w:tr w:rsidR="00B277FC" w:rsidRPr="00976D14" w14:paraId="56AF4E1D" w14:textId="77777777" w:rsidTr="1314CC47">
        <w:tc>
          <w:tcPr>
            <w:tcW w:w="3227" w:type="dxa"/>
            <w:tcMar>
              <w:top w:w="85" w:type="dxa"/>
              <w:left w:w="57" w:type="dxa"/>
              <w:bottom w:w="85" w:type="dxa"/>
              <w:right w:w="57" w:type="dxa"/>
            </w:tcMar>
          </w:tcPr>
          <w:p w14:paraId="2A2CE0CF"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E-money</w:t>
            </w:r>
          </w:p>
        </w:tc>
        <w:tc>
          <w:tcPr>
            <w:tcW w:w="5607" w:type="dxa"/>
            <w:tcMar>
              <w:top w:w="85" w:type="dxa"/>
              <w:left w:w="57" w:type="dxa"/>
              <w:bottom w:w="85" w:type="dxa"/>
              <w:right w:w="57" w:type="dxa"/>
            </w:tcMar>
          </w:tcPr>
          <w:p w14:paraId="16B91D8C"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Electronically, including magnetically, stored monetary value as represented by a claim on the issuer which is issued on receipt of funds for the purpose of making payment transaction, and which is accepted by a natural or legal person other than the electronic money issuer.</w:t>
            </w:r>
          </w:p>
        </w:tc>
      </w:tr>
      <w:tr w:rsidR="00B277FC" w:rsidRPr="00976D14" w14:paraId="7955BDEB" w14:textId="77777777" w:rsidTr="1314CC47">
        <w:tc>
          <w:tcPr>
            <w:tcW w:w="3227" w:type="dxa"/>
            <w:tcMar>
              <w:top w:w="85" w:type="dxa"/>
              <w:left w:w="57" w:type="dxa"/>
              <w:bottom w:w="85" w:type="dxa"/>
              <w:right w:w="57" w:type="dxa"/>
            </w:tcMar>
          </w:tcPr>
          <w:p w14:paraId="1E54889A"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E-money token</w:t>
            </w:r>
          </w:p>
        </w:tc>
        <w:tc>
          <w:tcPr>
            <w:tcW w:w="5607" w:type="dxa"/>
            <w:tcMar>
              <w:top w:w="85" w:type="dxa"/>
              <w:left w:w="57" w:type="dxa"/>
              <w:bottom w:w="85" w:type="dxa"/>
              <w:right w:w="57" w:type="dxa"/>
            </w:tcMar>
          </w:tcPr>
          <w:p w14:paraId="2C093C29" w14:textId="77777777" w:rsidR="00B277FC" w:rsidRPr="00976D14" w:rsidRDefault="00D603ED" w:rsidP="00D603ED">
            <w:pPr>
              <w:jc w:val="both"/>
              <w:rPr>
                <w:rFonts w:ascii="Times New Roman" w:hAnsi="Times New Roman" w:cs="Times New Roman"/>
                <w:noProof/>
                <w:sz w:val="24"/>
              </w:rPr>
            </w:pPr>
            <w:r w:rsidRPr="00976D14">
              <w:rPr>
                <w:rFonts w:ascii="Times New Roman" w:hAnsi="Times New Roman" w:cs="Times New Roman"/>
                <w:noProof/>
                <w:sz w:val="24"/>
              </w:rPr>
              <w:t xml:space="preserve">Stands </w:t>
            </w:r>
            <w:r w:rsidR="77EB6B86" w:rsidRPr="00976D14">
              <w:rPr>
                <w:rFonts w:ascii="Times New Roman" w:hAnsi="Times New Roman" w:cs="Times New Roman"/>
                <w:noProof/>
                <w:sz w:val="24"/>
              </w:rPr>
              <w:t>f</w:t>
            </w:r>
            <w:r w:rsidR="00B277FC" w:rsidRPr="00976D14">
              <w:rPr>
                <w:rFonts w:ascii="Times New Roman" w:hAnsi="Times New Roman" w:cs="Times New Roman"/>
                <w:noProof/>
                <w:sz w:val="24"/>
              </w:rPr>
              <w:t>or "electronic money token". Means a type of crypto-asset  main</w:t>
            </w:r>
            <w:r w:rsidR="77EB6B86" w:rsidRPr="00976D14">
              <w:rPr>
                <w:rFonts w:ascii="Times New Roman" w:hAnsi="Times New Roman" w:cs="Times New Roman"/>
                <w:noProof/>
                <w:sz w:val="24"/>
              </w:rPr>
              <w:t>ly</w:t>
            </w:r>
            <w:r w:rsidR="00B277FC" w:rsidRPr="00976D14" w:rsidDel="00D603ED">
              <w:rPr>
                <w:rFonts w:ascii="Times New Roman" w:hAnsi="Times New Roman" w:cs="Times New Roman"/>
                <w:noProof/>
                <w:sz w:val="24"/>
              </w:rPr>
              <w:t xml:space="preserve"> </w:t>
            </w:r>
            <w:r w:rsidR="00B277FC" w:rsidRPr="00976D14">
              <w:rPr>
                <w:rFonts w:ascii="Times New Roman" w:hAnsi="Times New Roman" w:cs="Times New Roman"/>
                <w:noProof/>
                <w:sz w:val="24"/>
              </w:rPr>
              <w:t>used as a means of exchange and that purports to maintain a stable value by referring to the value of a fiat currency that is legal tender.</w:t>
            </w:r>
          </w:p>
        </w:tc>
      </w:tr>
      <w:tr w:rsidR="00B277FC" w:rsidRPr="00976D14" w14:paraId="703A5E78" w14:textId="77777777" w:rsidTr="1314CC47">
        <w:tc>
          <w:tcPr>
            <w:tcW w:w="3227" w:type="dxa"/>
            <w:tcMar>
              <w:top w:w="85" w:type="dxa"/>
              <w:left w:w="57" w:type="dxa"/>
              <w:bottom w:w="85" w:type="dxa"/>
              <w:right w:w="57" w:type="dxa"/>
            </w:tcMar>
          </w:tcPr>
          <w:p w14:paraId="6963D615"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Ethereum</w:t>
            </w:r>
          </w:p>
        </w:tc>
        <w:tc>
          <w:tcPr>
            <w:tcW w:w="5607" w:type="dxa"/>
            <w:tcMar>
              <w:top w:w="85" w:type="dxa"/>
              <w:left w:w="57" w:type="dxa"/>
              <w:bottom w:w="85" w:type="dxa"/>
              <w:right w:w="57" w:type="dxa"/>
            </w:tcMar>
          </w:tcPr>
          <w:p w14:paraId="3618CB41"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Ethereum is an open source, public, blockchain-based distributed computing platform and operating system featuring smart contract functionality.</w:t>
            </w:r>
          </w:p>
        </w:tc>
      </w:tr>
      <w:tr w:rsidR="00523B24" w:rsidRPr="00976D14" w14:paraId="2D5FF16F" w14:textId="77777777" w:rsidTr="1314CC47">
        <w:tc>
          <w:tcPr>
            <w:tcW w:w="3227" w:type="dxa"/>
            <w:tcMar>
              <w:top w:w="85" w:type="dxa"/>
              <w:left w:w="57" w:type="dxa"/>
              <w:bottom w:w="85" w:type="dxa"/>
              <w:right w:w="57" w:type="dxa"/>
            </w:tcMar>
          </w:tcPr>
          <w:p w14:paraId="0A4703FA" w14:textId="77777777" w:rsidR="00523B24" w:rsidRPr="00976D14" w:rsidRDefault="00523B24" w:rsidP="00B277FC">
            <w:pPr>
              <w:rPr>
                <w:rFonts w:ascii="Times New Roman" w:hAnsi="Times New Roman" w:cs="Times New Roman"/>
                <w:b/>
                <w:noProof/>
                <w:sz w:val="24"/>
              </w:rPr>
            </w:pPr>
            <w:r w:rsidRPr="00976D14">
              <w:rPr>
                <w:rFonts w:ascii="Times New Roman" w:hAnsi="Times New Roman" w:cs="Times New Roman"/>
                <w:b/>
                <w:noProof/>
                <w:sz w:val="24"/>
              </w:rPr>
              <w:t>FA</w:t>
            </w:r>
            <w:r w:rsidR="00D519CA" w:rsidRPr="00976D14">
              <w:rPr>
                <w:rFonts w:ascii="Times New Roman" w:hAnsi="Times New Roman" w:cs="Times New Roman"/>
                <w:b/>
                <w:noProof/>
                <w:sz w:val="24"/>
              </w:rPr>
              <w:t>T</w:t>
            </w:r>
            <w:r w:rsidRPr="00976D14">
              <w:rPr>
                <w:rFonts w:ascii="Times New Roman" w:hAnsi="Times New Roman" w:cs="Times New Roman"/>
                <w:b/>
                <w:noProof/>
                <w:sz w:val="24"/>
              </w:rPr>
              <w:t>F</w:t>
            </w:r>
          </w:p>
        </w:tc>
        <w:tc>
          <w:tcPr>
            <w:tcW w:w="5607" w:type="dxa"/>
            <w:tcMar>
              <w:top w:w="85" w:type="dxa"/>
              <w:left w:w="57" w:type="dxa"/>
              <w:bottom w:w="85" w:type="dxa"/>
              <w:right w:w="57" w:type="dxa"/>
            </w:tcMar>
          </w:tcPr>
          <w:p w14:paraId="61705453" w14:textId="77777777" w:rsidR="00523B24" w:rsidRPr="00976D14" w:rsidRDefault="00523B24" w:rsidP="00D738E7">
            <w:pPr>
              <w:jc w:val="both"/>
              <w:rPr>
                <w:rFonts w:ascii="Times New Roman" w:hAnsi="Times New Roman" w:cs="Times New Roman"/>
                <w:noProof/>
                <w:sz w:val="24"/>
              </w:rPr>
            </w:pPr>
            <w:r w:rsidRPr="00976D14">
              <w:rPr>
                <w:rFonts w:ascii="Times New Roman" w:hAnsi="Times New Roman" w:cs="Times New Roman"/>
                <w:noProof/>
                <w:sz w:val="24"/>
              </w:rPr>
              <w:t xml:space="preserve">The Financial Action Task Force (FATF) is the global money laundering and terrorist financing watchdog. The inter-governmental body sets international standards that aim to prevent these illegal activities and the harm they cause to society. </w:t>
            </w:r>
            <w:r w:rsidR="747D4BCA" w:rsidRPr="00976D14">
              <w:rPr>
                <w:rFonts w:ascii="Times New Roman" w:hAnsi="Times New Roman" w:cs="Times New Roman"/>
                <w:noProof/>
                <w:sz w:val="24"/>
              </w:rPr>
              <w:t xml:space="preserve">The FATF has developed the FATF </w:t>
            </w:r>
            <w:r w:rsidR="12B09E78" w:rsidRPr="00976D14">
              <w:rPr>
                <w:rFonts w:ascii="Times New Roman" w:hAnsi="Times New Roman" w:cs="Times New Roman"/>
                <w:noProof/>
                <w:sz w:val="24"/>
              </w:rPr>
              <w:t>Recommendations</w:t>
            </w:r>
            <w:r w:rsidR="006D0EE0" w:rsidRPr="00976D14">
              <w:rPr>
                <w:rFonts w:ascii="Times New Roman" w:hAnsi="Times New Roman" w:cs="Times New Roman"/>
                <w:noProof/>
                <w:sz w:val="24"/>
              </w:rPr>
              <w:t>,</w:t>
            </w:r>
            <w:r w:rsidR="00D738E7" w:rsidRPr="00976D14">
              <w:rPr>
                <w:rFonts w:ascii="Times New Roman" w:hAnsi="Times New Roman" w:cs="Times New Roman"/>
                <w:noProof/>
                <w:sz w:val="24"/>
              </w:rPr>
              <w:t xml:space="preserve"> </w:t>
            </w:r>
            <w:r w:rsidR="747D4BCA" w:rsidRPr="00976D14">
              <w:rPr>
                <w:rFonts w:ascii="Times New Roman" w:hAnsi="Times New Roman" w:cs="Times New Roman"/>
                <w:noProof/>
                <w:sz w:val="24"/>
              </w:rPr>
              <w:t>or FATF Standards, which ensure a co-ordinated global response to prevent organised crime, corruption and terrorism.</w:t>
            </w:r>
          </w:p>
        </w:tc>
      </w:tr>
      <w:tr w:rsidR="00B277FC" w:rsidRPr="00976D14" w14:paraId="5A54E178" w14:textId="77777777" w:rsidTr="1314CC47">
        <w:tc>
          <w:tcPr>
            <w:tcW w:w="3227" w:type="dxa"/>
            <w:tcMar>
              <w:top w:w="85" w:type="dxa"/>
              <w:left w:w="57" w:type="dxa"/>
              <w:bottom w:w="85" w:type="dxa"/>
              <w:right w:w="57" w:type="dxa"/>
            </w:tcMar>
          </w:tcPr>
          <w:p w14:paraId="54BDFDC6"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Fiat currency</w:t>
            </w:r>
          </w:p>
        </w:tc>
        <w:tc>
          <w:tcPr>
            <w:tcW w:w="5607" w:type="dxa"/>
            <w:tcMar>
              <w:top w:w="85" w:type="dxa"/>
              <w:left w:w="57" w:type="dxa"/>
              <w:bottom w:w="85" w:type="dxa"/>
              <w:right w:w="57" w:type="dxa"/>
            </w:tcMar>
          </w:tcPr>
          <w:p w14:paraId="17BD7597" w14:textId="77777777" w:rsidR="00B277FC" w:rsidRPr="00976D14" w:rsidRDefault="00D603ED" w:rsidP="00B277FC">
            <w:pPr>
              <w:rPr>
                <w:rFonts w:ascii="Times New Roman" w:hAnsi="Times New Roman" w:cs="Times New Roman"/>
                <w:noProof/>
                <w:sz w:val="24"/>
              </w:rPr>
            </w:pPr>
            <w:r w:rsidRPr="00976D14">
              <w:rPr>
                <w:rFonts w:ascii="Times New Roman" w:hAnsi="Times New Roman" w:cs="Times New Roman"/>
                <w:noProof/>
                <w:sz w:val="24"/>
              </w:rPr>
              <w:t>Fiat currency is a type of currency that is declared legal tender including money in circulation such as paper money or coins.</w:t>
            </w:r>
          </w:p>
        </w:tc>
      </w:tr>
      <w:tr w:rsidR="00B277FC" w:rsidRPr="00976D14" w14:paraId="47D98F1C" w14:textId="77777777" w:rsidTr="1314CC47">
        <w:tc>
          <w:tcPr>
            <w:tcW w:w="3227" w:type="dxa"/>
            <w:tcMar>
              <w:top w:w="85" w:type="dxa"/>
              <w:left w:w="57" w:type="dxa"/>
              <w:bottom w:w="85" w:type="dxa"/>
              <w:right w:w="57" w:type="dxa"/>
            </w:tcMar>
          </w:tcPr>
          <w:p w14:paraId="055A9A9B"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JRC</w:t>
            </w:r>
          </w:p>
        </w:tc>
        <w:tc>
          <w:tcPr>
            <w:tcW w:w="5607" w:type="dxa"/>
            <w:tcMar>
              <w:top w:w="85" w:type="dxa"/>
              <w:left w:w="57" w:type="dxa"/>
              <w:bottom w:w="85" w:type="dxa"/>
              <w:right w:w="57" w:type="dxa"/>
            </w:tcMar>
          </w:tcPr>
          <w:p w14:paraId="7FE9CFE5" w14:textId="77777777" w:rsidR="00B277FC" w:rsidRPr="00976D14" w:rsidRDefault="00B277FC" w:rsidP="00B277FC">
            <w:pPr>
              <w:rPr>
                <w:rFonts w:ascii="Times New Roman" w:hAnsi="Times New Roman" w:cs="Times New Roman"/>
                <w:noProof/>
                <w:sz w:val="24"/>
              </w:rPr>
            </w:pPr>
            <w:r w:rsidRPr="00976D14">
              <w:rPr>
                <w:rFonts w:ascii="Times New Roman" w:hAnsi="Times New Roman" w:cs="Times New Roman"/>
                <w:noProof/>
                <w:sz w:val="24"/>
              </w:rPr>
              <w:t>Joint Research Centre</w:t>
            </w:r>
          </w:p>
        </w:tc>
      </w:tr>
      <w:tr w:rsidR="00B277FC" w:rsidRPr="00976D14" w14:paraId="3C485A5A" w14:textId="77777777" w:rsidTr="1314CC47">
        <w:tc>
          <w:tcPr>
            <w:tcW w:w="3227" w:type="dxa"/>
            <w:tcMar>
              <w:top w:w="85" w:type="dxa"/>
              <w:left w:w="57" w:type="dxa"/>
              <w:bottom w:w="85" w:type="dxa"/>
              <w:right w:w="57" w:type="dxa"/>
            </w:tcMar>
          </w:tcPr>
          <w:p w14:paraId="0053F606"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KYC</w:t>
            </w:r>
          </w:p>
        </w:tc>
        <w:tc>
          <w:tcPr>
            <w:tcW w:w="5607" w:type="dxa"/>
            <w:tcMar>
              <w:top w:w="85" w:type="dxa"/>
              <w:left w:w="57" w:type="dxa"/>
              <w:bottom w:w="85" w:type="dxa"/>
              <w:right w:w="57" w:type="dxa"/>
            </w:tcMar>
          </w:tcPr>
          <w:p w14:paraId="3011F748"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For "know your customer". Customer due diligences (CDD) required by Anti Money Laundering Directive (AMLD) to identify and verify the identity of customers and beneficial owners for financial institutions and certain non-financial institutions and professionals.</w:t>
            </w:r>
          </w:p>
        </w:tc>
      </w:tr>
      <w:tr w:rsidR="00B277FC" w:rsidRPr="00976D14" w14:paraId="364F4D04" w14:textId="77777777" w:rsidTr="1314CC47">
        <w:tc>
          <w:tcPr>
            <w:tcW w:w="3227" w:type="dxa"/>
            <w:tcMar>
              <w:top w:w="85" w:type="dxa"/>
              <w:left w:w="57" w:type="dxa"/>
              <w:bottom w:w="85" w:type="dxa"/>
              <w:right w:w="57" w:type="dxa"/>
            </w:tcMar>
          </w:tcPr>
          <w:p w14:paraId="3EBF04B7" w14:textId="77777777" w:rsidR="00B277FC" w:rsidRPr="00976D14" w:rsidRDefault="22BAA21B" w:rsidP="1314CC47">
            <w:pPr>
              <w:rPr>
                <w:rFonts w:ascii="Times New Roman" w:hAnsi="Times New Roman" w:cs="Times New Roman"/>
                <w:b/>
                <w:noProof/>
                <w:sz w:val="24"/>
              </w:rPr>
            </w:pPr>
            <w:r w:rsidRPr="00976D14">
              <w:rPr>
                <w:rFonts w:ascii="Times New Roman" w:hAnsi="Times New Roman" w:cs="Times New Roman"/>
                <w:b/>
                <w:noProof/>
                <w:sz w:val="24"/>
              </w:rPr>
              <w:t>Markets in Crypto-Assets</w:t>
            </w:r>
            <w:r w:rsidRPr="00976D14">
              <w:rPr>
                <w:rFonts w:ascii="Times New Roman" w:hAnsi="Times New Roman" w:cs="Times New Roman"/>
                <w:noProof/>
                <w:sz w:val="24"/>
              </w:rPr>
              <w:t xml:space="preserve"> or </w:t>
            </w:r>
            <w:r w:rsidRPr="00976D14">
              <w:rPr>
                <w:rFonts w:ascii="Times New Roman" w:hAnsi="Times New Roman" w:cs="Times New Roman"/>
                <w:b/>
                <w:noProof/>
                <w:sz w:val="24"/>
              </w:rPr>
              <w:t>MICA</w:t>
            </w:r>
          </w:p>
        </w:tc>
        <w:tc>
          <w:tcPr>
            <w:tcW w:w="5607" w:type="dxa"/>
            <w:tcMar>
              <w:top w:w="85" w:type="dxa"/>
              <w:left w:w="57" w:type="dxa"/>
              <w:bottom w:w="85" w:type="dxa"/>
              <w:right w:w="57" w:type="dxa"/>
            </w:tcMar>
          </w:tcPr>
          <w:p w14:paraId="4124A80A" w14:textId="77777777" w:rsidR="00B277FC" w:rsidRPr="00976D14" w:rsidRDefault="28C2310C" w:rsidP="00640C11">
            <w:pPr>
              <w:jc w:val="both"/>
              <w:rPr>
                <w:rFonts w:ascii="Times New Roman" w:hAnsi="Times New Roman" w:cs="Times New Roman"/>
                <w:noProof/>
                <w:sz w:val="24"/>
              </w:rPr>
            </w:pPr>
            <w:r w:rsidRPr="00976D14">
              <w:rPr>
                <w:rFonts w:ascii="Times New Roman" w:hAnsi="Times New Roman" w:cs="Times New Roman"/>
                <w:noProof/>
                <w:sz w:val="24"/>
              </w:rPr>
              <w:t xml:space="preserve">Proposal for a </w:t>
            </w:r>
            <w:r w:rsidR="22BAA21B" w:rsidRPr="00976D14">
              <w:rPr>
                <w:rFonts w:ascii="Times New Roman" w:hAnsi="Times New Roman" w:cs="Times New Roman"/>
                <w:noProof/>
                <w:sz w:val="24"/>
              </w:rPr>
              <w:t xml:space="preserve">Regulation of the European Parliament and of </w:t>
            </w:r>
            <w:r w:rsidRPr="00976D14">
              <w:rPr>
                <w:rFonts w:ascii="Times New Roman" w:hAnsi="Times New Roman" w:cs="Times New Roman"/>
                <w:noProof/>
                <w:sz w:val="24"/>
              </w:rPr>
              <w:t xml:space="preserve">the </w:t>
            </w:r>
            <w:r w:rsidR="22BAA21B" w:rsidRPr="00976D14">
              <w:rPr>
                <w:rFonts w:ascii="Times New Roman" w:hAnsi="Times New Roman" w:cs="Times New Roman"/>
                <w:noProof/>
                <w:sz w:val="24"/>
              </w:rPr>
              <w:t>Council on Markets in Crypto-assets, and amending Directive (EU) 2019/1937</w:t>
            </w:r>
            <w:r w:rsidR="0F8A1A1F" w:rsidRPr="00976D14">
              <w:rPr>
                <w:rFonts w:ascii="Times New Roman" w:hAnsi="Times New Roman" w:cs="Times New Roman"/>
                <w:noProof/>
                <w:sz w:val="24"/>
              </w:rPr>
              <w:t>.</w:t>
            </w:r>
          </w:p>
        </w:tc>
      </w:tr>
      <w:tr w:rsidR="00B277FC" w:rsidRPr="00976D14" w14:paraId="683A239B" w14:textId="77777777" w:rsidTr="1314CC47">
        <w:tc>
          <w:tcPr>
            <w:tcW w:w="3227" w:type="dxa"/>
            <w:tcMar>
              <w:top w:w="85" w:type="dxa"/>
              <w:left w:w="57" w:type="dxa"/>
              <w:bottom w:w="85" w:type="dxa"/>
              <w:right w:w="57" w:type="dxa"/>
            </w:tcMar>
          </w:tcPr>
          <w:p w14:paraId="1B4A73F0"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Non-marketable crypto-assets</w:t>
            </w:r>
          </w:p>
        </w:tc>
        <w:tc>
          <w:tcPr>
            <w:tcW w:w="5607" w:type="dxa"/>
            <w:tcMar>
              <w:top w:w="85" w:type="dxa"/>
              <w:left w:w="57" w:type="dxa"/>
              <w:bottom w:w="85" w:type="dxa"/>
              <w:right w:w="57" w:type="dxa"/>
            </w:tcMar>
          </w:tcPr>
          <w:p w14:paraId="124E7DBB" w14:textId="77777777" w:rsidR="00B277FC" w:rsidRPr="00976D14" w:rsidRDefault="00D603ED" w:rsidP="00D603ED">
            <w:pPr>
              <w:jc w:val="both"/>
              <w:rPr>
                <w:rFonts w:ascii="Times New Roman" w:hAnsi="Times New Roman" w:cs="Times New Roman"/>
                <w:noProof/>
                <w:sz w:val="24"/>
              </w:rPr>
            </w:pPr>
            <w:r w:rsidRPr="00976D14">
              <w:rPr>
                <w:rFonts w:ascii="Times New Roman" w:hAnsi="Times New Roman" w:cs="Times New Roman"/>
                <w:noProof/>
                <w:sz w:val="24"/>
              </w:rPr>
              <w:t>A c</w:t>
            </w:r>
            <w:r w:rsidR="00B277FC" w:rsidRPr="00976D14">
              <w:rPr>
                <w:rFonts w:ascii="Times New Roman" w:hAnsi="Times New Roman" w:cs="Times New Roman"/>
                <w:noProof/>
                <w:sz w:val="24"/>
              </w:rPr>
              <w:t xml:space="preserve">rypto-asset that is not traded in a market or </w:t>
            </w:r>
            <w:r w:rsidR="70443212" w:rsidRPr="00976D14">
              <w:rPr>
                <w:rFonts w:ascii="Times New Roman" w:hAnsi="Times New Roman" w:cs="Times New Roman"/>
                <w:noProof/>
                <w:sz w:val="24"/>
              </w:rPr>
              <w:t xml:space="preserve">does not require intervention </w:t>
            </w:r>
            <w:r w:rsidR="00B277FC" w:rsidRPr="00976D14">
              <w:rPr>
                <w:rFonts w:ascii="Times New Roman" w:hAnsi="Times New Roman" w:cs="Times New Roman"/>
                <w:noProof/>
                <w:sz w:val="24"/>
              </w:rPr>
              <w:t>by a professional CASP</w:t>
            </w:r>
            <w:r w:rsidR="0944F009" w:rsidRPr="00976D14">
              <w:rPr>
                <w:rFonts w:ascii="Times New Roman" w:hAnsi="Times New Roman" w:cs="Times New Roman"/>
                <w:noProof/>
                <w:sz w:val="24"/>
              </w:rPr>
              <w:t xml:space="preserve"> for carrying out transactions</w:t>
            </w:r>
            <w:r w:rsidR="00B277FC" w:rsidRPr="00976D14">
              <w:rPr>
                <w:rFonts w:ascii="Times New Roman" w:hAnsi="Times New Roman" w:cs="Times New Roman"/>
                <w:noProof/>
                <w:sz w:val="24"/>
              </w:rPr>
              <w:t xml:space="preserve">. They are usually only transmitted through </w:t>
            </w:r>
            <w:r w:rsidR="1196EA73" w:rsidRPr="00976D14">
              <w:rPr>
                <w:rFonts w:ascii="Times New Roman" w:hAnsi="Times New Roman" w:cs="Times New Roman"/>
                <w:noProof/>
                <w:sz w:val="24"/>
              </w:rPr>
              <w:t>peer-to-peer</w:t>
            </w:r>
            <w:r w:rsidR="00B277FC" w:rsidRPr="00976D14">
              <w:rPr>
                <w:rFonts w:ascii="Times New Roman" w:hAnsi="Times New Roman" w:cs="Times New Roman"/>
                <w:noProof/>
                <w:sz w:val="24"/>
              </w:rPr>
              <w:t xml:space="preserve"> transactions.</w:t>
            </w:r>
          </w:p>
        </w:tc>
      </w:tr>
      <w:tr w:rsidR="00B277FC" w:rsidRPr="00976D14" w14:paraId="4781F2E5" w14:textId="77777777" w:rsidTr="1314CC47">
        <w:tc>
          <w:tcPr>
            <w:tcW w:w="3227" w:type="dxa"/>
            <w:tcMar>
              <w:top w:w="85" w:type="dxa"/>
              <w:left w:w="57" w:type="dxa"/>
              <w:bottom w:w="85" w:type="dxa"/>
              <w:right w:w="57" w:type="dxa"/>
            </w:tcMar>
          </w:tcPr>
          <w:p w14:paraId="1974E5C0"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 xml:space="preserve">OECD </w:t>
            </w:r>
          </w:p>
        </w:tc>
        <w:tc>
          <w:tcPr>
            <w:tcW w:w="5607" w:type="dxa"/>
            <w:tcMar>
              <w:top w:w="85" w:type="dxa"/>
              <w:left w:w="57" w:type="dxa"/>
              <w:bottom w:w="85" w:type="dxa"/>
              <w:right w:w="57" w:type="dxa"/>
            </w:tcMar>
          </w:tcPr>
          <w:p w14:paraId="349EB491" w14:textId="77777777" w:rsidR="00B277FC" w:rsidRPr="00976D14" w:rsidRDefault="00B277FC" w:rsidP="009E2CE3">
            <w:pPr>
              <w:jc w:val="both"/>
              <w:rPr>
                <w:rFonts w:ascii="Times New Roman" w:hAnsi="Times New Roman" w:cs="Times New Roman"/>
                <w:noProof/>
                <w:sz w:val="24"/>
              </w:rPr>
            </w:pPr>
            <w:r w:rsidRPr="00976D14">
              <w:rPr>
                <w:rFonts w:ascii="Times New Roman" w:hAnsi="Times New Roman" w:cs="Times New Roman"/>
                <w:noProof/>
                <w:sz w:val="24"/>
              </w:rPr>
              <w:t xml:space="preserve">Organisation for Economic Co-operation and Development </w:t>
            </w:r>
          </w:p>
        </w:tc>
      </w:tr>
      <w:tr w:rsidR="00B277FC" w:rsidRPr="00976D14" w14:paraId="534EB6F8" w14:textId="77777777" w:rsidTr="1314CC47">
        <w:tc>
          <w:tcPr>
            <w:tcW w:w="3227" w:type="dxa"/>
            <w:tcMar>
              <w:top w:w="85" w:type="dxa"/>
              <w:left w:w="57" w:type="dxa"/>
              <w:bottom w:w="85" w:type="dxa"/>
              <w:right w:w="57" w:type="dxa"/>
            </w:tcMar>
          </w:tcPr>
          <w:p w14:paraId="5F501B53"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Peer-to-peer transaction</w:t>
            </w:r>
          </w:p>
        </w:tc>
        <w:tc>
          <w:tcPr>
            <w:tcW w:w="5607" w:type="dxa"/>
            <w:tcMar>
              <w:top w:w="85" w:type="dxa"/>
              <w:left w:w="57" w:type="dxa"/>
              <w:bottom w:w="85" w:type="dxa"/>
              <w:right w:w="57" w:type="dxa"/>
            </w:tcMar>
          </w:tcPr>
          <w:p w14:paraId="1F351AB8"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Also known as "P2P". Individual user-to-individual user of crypto-assets transaction.</w:t>
            </w:r>
          </w:p>
        </w:tc>
      </w:tr>
      <w:tr w:rsidR="00B277FC" w:rsidRPr="00976D14" w14:paraId="7EEF418C" w14:textId="77777777" w:rsidTr="1314CC47">
        <w:tc>
          <w:tcPr>
            <w:tcW w:w="3227" w:type="dxa"/>
            <w:tcMar>
              <w:top w:w="85" w:type="dxa"/>
              <w:left w:w="57" w:type="dxa"/>
              <w:bottom w:w="85" w:type="dxa"/>
              <w:right w:w="57" w:type="dxa"/>
            </w:tcMar>
          </w:tcPr>
          <w:p w14:paraId="0DCE35CB"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Pseudo-anonymity</w:t>
            </w:r>
          </w:p>
        </w:tc>
        <w:tc>
          <w:tcPr>
            <w:tcW w:w="5607" w:type="dxa"/>
            <w:tcMar>
              <w:top w:w="85" w:type="dxa"/>
              <w:left w:w="57" w:type="dxa"/>
              <w:bottom w:w="85" w:type="dxa"/>
              <w:right w:w="57" w:type="dxa"/>
            </w:tcMar>
          </w:tcPr>
          <w:p w14:paraId="3AF25D3A"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The result of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tc>
      </w:tr>
      <w:tr w:rsidR="00B277FC" w:rsidRPr="00976D14" w14:paraId="376D0558" w14:textId="77777777" w:rsidTr="1314CC47">
        <w:trPr>
          <w:trHeight w:val="354"/>
        </w:trPr>
        <w:tc>
          <w:tcPr>
            <w:tcW w:w="3227" w:type="dxa"/>
          </w:tcPr>
          <w:p w14:paraId="3BB2A300"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 xml:space="preserve">SMEs </w:t>
            </w:r>
          </w:p>
        </w:tc>
        <w:tc>
          <w:tcPr>
            <w:tcW w:w="5607" w:type="dxa"/>
          </w:tcPr>
          <w:p w14:paraId="4F241CAD" w14:textId="77777777" w:rsidR="00B277FC" w:rsidRPr="00976D14" w:rsidRDefault="00B277FC" w:rsidP="00B277FC">
            <w:pPr>
              <w:rPr>
                <w:rFonts w:ascii="Times New Roman" w:hAnsi="Times New Roman" w:cs="Times New Roman"/>
                <w:noProof/>
                <w:sz w:val="24"/>
              </w:rPr>
            </w:pPr>
            <w:r w:rsidRPr="00976D14">
              <w:rPr>
                <w:rStyle w:val="visible-description"/>
                <w:rFonts w:ascii="Times New Roman" w:hAnsi="Times New Roman" w:cs="Times New Roman"/>
                <w:noProof/>
                <w:sz w:val="24"/>
              </w:rPr>
              <w:t>Small and medium-sized enterprises</w:t>
            </w:r>
          </w:p>
        </w:tc>
      </w:tr>
      <w:tr w:rsidR="6F2C388E" w:rsidRPr="00976D14" w14:paraId="05317BAE" w14:textId="77777777" w:rsidTr="1314CC47">
        <w:trPr>
          <w:trHeight w:val="354"/>
        </w:trPr>
        <w:tc>
          <w:tcPr>
            <w:tcW w:w="3227" w:type="dxa"/>
          </w:tcPr>
          <w:p w14:paraId="6C72DB68" w14:textId="77777777" w:rsidR="34970764" w:rsidRPr="00976D14" w:rsidRDefault="34970764" w:rsidP="6F2C388E">
            <w:pPr>
              <w:rPr>
                <w:rFonts w:ascii="Times New Roman" w:hAnsi="Times New Roman" w:cs="Times New Roman"/>
                <w:b/>
                <w:noProof/>
                <w:sz w:val="24"/>
              </w:rPr>
            </w:pPr>
            <w:r w:rsidRPr="00976D14">
              <w:rPr>
                <w:rFonts w:ascii="Times New Roman" w:hAnsi="Times New Roman" w:cs="Times New Roman"/>
                <w:b/>
                <w:noProof/>
                <w:sz w:val="24"/>
              </w:rPr>
              <w:t>Transfer</w:t>
            </w:r>
          </w:p>
        </w:tc>
        <w:tc>
          <w:tcPr>
            <w:tcW w:w="5607" w:type="dxa"/>
          </w:tcPr>
          <w:p w14:paraId="0D5807D7" w14:textId="77777777" w:rsidR="34970764" w:rsidRPr="00976D14" w:rsidRDefault="34970764" w:rsidP="6F2C388E">
            <w:pPr>
              <w:pStyle w:val="FootnoteText"/>
              <w:rPr>
                <w:rFonts w:cs="Times New Roman"/>
                <w:noProof/>
                <w:sz w:val="24"/>
              </w:rPr>
            </w:pPr>
            <w:r w:rsidRPr="00976D14">
              <w:rPr>
                <w:rFonts w:cs="Times New Roman"/>
                <w:noProof/>
                <w:sz w:val="24"/>
              </w:rPr>
              <w:t xml:space="preserve">A transfer is the movement of a crypto-asset to a different wallet. </w:t>
            </w:r>
            <w:r w:rsidR="00886D1B" w:rsidRPr="00976D14">
              <w:rPr>
                <w:rFonts w:cs="Times New Roman"/>
                <w:noProof/>
                <w:sz w:val="24"/>
              </w:rPr>
              <w:t>W</w:t>
            </w:r>
            <w:r w:rsidRPr="00976D14">
              <w:rPr>
                <w:rFonts w:cs="Times New Roman"/>
                <w:noProof/>
                <w:sz w:val="24"/>
              </w:rPr>
              <w:t>allets can be the so-called cold wallets which are not managed by CASPs but by the users itself, or a wallet managed by a different CASPs. All transfers and transactions are performed via blockchain.</w:t>
            </w:r>
          </w:p>
        </w:tc>
      </w:tr>
      <w:tr w:rsidR="00B277FC" w:rsidRPr="00976D14" w14:paraId="2DDD424D" w14:textId="77777777" w:rsidTr="1314CC47">
        <w:tc>
          <w:tcPr>
            <w:tcW w:w="3227" w:type="dxa"/>
            <w:tcMar>
              <w:top w:w="85" w:type="dxa"/>
              <w:left w:w="57" w:type="dxa"/>
              <w:bottom w:w="85" w:type="dxa"/>
              <w:right w:w="57" w:type="dxa"/>
            </w:tcMar>
          </w:tcPr>
          <w:p w14:paraId="56627B01"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User</w:t>
            </w:r>
          </w:p>
        </w:tc>
        <w:tc>
          <w:tcPr>
            <w:tcW w:w="5607" w:type="dxa"/>
            <w:tcMar>
              <w:top w:w="85" w:type="dxa"/>
              <w:left w:w="57" w:type="dxa"/>
              <w:bottom w:w="85" w:type="dxa"/>
              <w:right w:w="57" w:type="dxa"/>
            </w:tcMar>
          </w:tcPr>
          <w:p w14:paraId="1B15C96E" w14:textId="77777777" w:rsidR="00B277FC" w:rsidRPr="00976D14" w:rsidRDefault="00B277FC" w:rsidP="00C76643">
            <w:pPr>
              <w:rPr>
                <w:rFonts w:ascii="Times New Roman" w:hAnsi="Times New Roman" w:cs="Times New Roman"/>
                <w:noProof/>
                <w:sz w:val="24"/>
              </w:rPr>
            </w:pPr>
            <w:r w:rsidRPr="00976D14">
              <w:rPr>
                <w:rFonts w:ascii="Times New Roman" w:hAnsi="Times New Roman" w:cs="Times New Roman"/>
                <w:noProof/>
                <w:sz w:val="24"/>
              </w:rPr>
              <w:t>Any individual or legal person who use</w:t>
            </w:r>
            <w:r w:rsidR="00C76643" w:rsidRPr="00976D14">
              <w:rPr>
                <w:rFonts w:ascii="Times New Roman" w:hAnsi="Times New Roman" w:cs="Times New Roman"/>
                <w:noProof/>
                <w:sz w:val="24"/>
              </w:rPr>
              <w:t>s</w:t>
            </w:r>
            <w:r w:rsidRPr="00976D14">
              <w:rPr>
                <w:rFonts w:ascii="Times New Roman" w:hAnsi="Times New Roman" w:cs="Times New Roman"/>
                <w:noProof/>
                <w:sz w:val="24"/>
              </w:rPr>
              <w:t xml:space="preserve"> </w:t>
            </w:r>
            <w:r w:rsidR="00C76643" w:rsidRPr="00976D14">
              <w:rPr>
                <w:rFonts w:ascii="Times New Roman" w:hAnsi="Times New Roman" w:cs="Times New Roman"/>
                <w:noProof/>
                <w:sz w:val="24"/>
              </w:rPr>
              <w:t>e</w:t>
            </w:r>
            <w:r w:rsidRPr="00976D14">
              <w:rPr>
                <w:rFonts w:ascii="Times New Roman" w:hAnsi="Times New Roman" w:cs="Times New Roman"/>
                <w:noProof/>
                <w:sz w:val="24"/>
              </w:rPr>
              <w:t>-money or the services of a CASP.</w:t>
            </w:r>
          </w:p>
        </w:tc>
      </w:tr>
      <w:tr w:rsidR="00B277FC" w:rsidRPr="00976D14" w14:paraId="66ECB74C" w14:textId="77777777" w:rsidTr="1314CC47">
        <w:tc>
          <w:tcPr>
            <w:tcW w:w="3227" w:type="dxa"/>
            <w:tcMar>
              <w:top w:w="85" w:type="dxa"/>
              <w:left w:w="57" w:type="dxa"/>
              <w:bottom w:w="85" w:type="dxa"/>
              <w:right w:w="57" w:type="dxa"/>
            </w:tcMar>
          </w:tcPr>
          <w:p w14:paraId="1C454670"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Utility token</w:t>
            </w:r>
          </w:p>
        </w:tc>
        <w:tc>
          <w:tcPr>
            <w:tcW w:w="5607" w:type="dxa"/>
            <w:tcMar>
              <w:top w:w="85" w:type="dxa"/>
              <w:left w:w="57" w:type="dxa"/>
              <w:bottom w:w="85" w:type="dxa"/>
              <w:right w:w="57" w:type="dxa"/>
            </w:tcMar>
          </w:tcPr>
          <w:p w14:paraId="28ABEE96"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A type of crypto-asset</w:t>
            </w:r>
            <w:r w:rsidR="00886D1B" w:rsidRPr="00976D14">
              <w:rPr>
                <w:rFonts w:ascii="Times New Roman" w:hAnsi="Times New Roman" w:cs="Times New Roman"/>
                <w:noProof/>
                <w:sz w:val="24"/>
              </w:rPr>
              <w:t>,</w:t>
            </w:r>
            <w:r w:rsidRPr="00976D14">
              <w:rPr>
                <w:rFonts w:ascii="Times New Roman" w:hAnsi="Times New Roman" w:cs="Times New Roman"/>
                <w:noProof/>
                <w:sz w:val="24"/>
              </w:rPr>
              <w:t xml:space="preserve"> which is intended to provide digital access to a good or service, available on DLT, and is only accepted by the issuer of that token.</w:t>
            </w:r>
          </w:p>
        </w:tc>
      </w:tr>
      <w:tr w:rsidR="00B277FC" w:rsidRPr="00976D14" w14:paraId="513703C2" w14:textId="77777777" w:rsidTr="1314CC47">
        <w:tc>
          <w:tcPr>
            <w:tcW w:w="3227" w:type="dxa"/>
            <w:tcMar>
              <w:top w:w="85" w:type="dxa"/>
              <w:left w:w="57" w:type="dxa"/>
              <w:bottom w:w="85" w:type="dxa"/>
              <w:right w:w="57" w:type="dxa"/>
            </w:tcMar>
          </w:tcPr>
          <w:p w14:paraId="2240D167"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Virtual currency</w:t>
            </w:r>
          </w:p>
        </w:tc>
        <w:tc>
          <w:tcPr>
            <w:tcW w:w="5607" w:type="dxa"/>
            <w:tcMar>
              <w:top w:w="85" w:type="dxa"/>
              <w:left w:w="57" w:type="dxa"/>
              <w:bottom w:w="85" w:type="dxa"/>
              <w:right w:w="57" w:type="dxa"/>
            </w:tcMar>
          </w:tcPr>
          <w:p w14:paraId="2BAE1A63"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A digital representation of value that is not issued or guaranteed by a central bank or a public authority, is not necessarily attached to a legally established currency and does not possess a legal status of currency or money, but is accepted by natural or legal persons as a means of exchange and which can be transferred, stored and traded electronically.</w:t>
            </w:r>
          </w:p>
        </w:tc>
      </w:tr>
      <w:tr w:rsidR="00B277FC" w:rsidRPr="00976D14" w14:paraId="58EA3350" w14:textId="77777777" w:rsidTr="1314CC47">
        <w:tc>
          <w:tcPr>
            <w:tcW w:w="3227" w:type="dxa"/>
            <w:tcMar>
              <w:top w:w="85" w:type="dxa"/>
              <w:left w:w="57" w:type="dxa"/>
              <w:bottom w:w="85" w:type="dxa"/>
              <w:right w:w="57" w:type="dxa"/>
            </w:tcMar>
          </w:tcPr>
          <w:p w14:paraId="4698015E" w14:textId="77777777" w:rsidR="00B277FC" w:rsidRPr="00976D14" w:rsidRDefault="00B277FC" w:rsidP="00B277FC">
            <w:pPr>
              <w:rPr>
                <w:rFonts w:ascii="Times New Roman" w:hAnsi="Times New Roman" w:cs="Times New Roman"/>
                <w:b/>
                <w:noProof/>
                <w:sz w:val="24"/>
              </w:rPr>
            </w:pPr>
            <w:r w:rsidRPr="00976D14">
              <w:rPr>
                <w:rFonts w:ascii="Times New Roman" w:hAnsi="Times New Roman" w:cs="Times New Roman"/>
                <w:b/>
                <w:noProof/>
                <w:sz w:val="24"/>
              </w:rPr>
              <w:t>Wallet</w:t>
            </w:r>
          </w:p>
        </w:tc>
        <w:tc>
          <w:tcPr>
            <w:tcW w:w="5607" w:type="dxa"/>
            <w:tcMar>
              <w:top w:w="85" w:type="dxa"/>
              <w:left w:w="57" w:type="dxa"/>
              <w:bottom w:w="85" w:type="dxa"/>
              <w:right w:w="57" w:type="dxa"/>
            </w:tcMar>
          </w:tcPr>
          <w:p w14:paraId="50794F76" w14:textId="77777777" w:rsidR="00B277FC" w:rsidRPr="00976D14" w:rsidRDefault="00B277FC" w:rsidP="008E2DB3">
            <w:pPr>
              <w:jc w:val="both"/>
              <w:rPr>
                <w:rFonts w:ascii="Times New Roman" w:hAnsi="Times New Roman" w:cs="Times New Roman"/>
                <w:noProof/>
                <w:sz w:val="24"/>
              </w:rPr>
            </w:pPr>
            <w:r w:rsidRPr="00976D14">
              <w:rPr>
                <w:rFonts w:ascii="Times New Roman" w:hAnsi="Times New Roman" w:cs="Times New Roman"/>
                <w:noProof/>
                <w:sz w:val="24"/>
              </w:rPr>
              <w:t>A device, physical medium or software, used to store public and private keys and to interact with DLT to allow users to send and receive crypto-assets and monitor their balances. See also "Cold wallet" and “custodian wallet provider”.</w:t>
            </w:r>
          </w:p>
        </w:tc>
      </w:tr>
    </w:tbl>
    <w:p w14:paraId="2BBF6EE9" w14:textId="77777777" w:rsidR="0025042F" w:rsidRPr="00976D14" w:rsidRDefault="0025042F">
      <w:pPr>
        <w:rPr>
          <w:rFonts w:ascii="Times New Roman" w:eastAsia="Times New Roman" w:hAnsi="Times New Roman" w:cs="Times New Roman"/>
          <w:b/>
          <w:smallCaps/>
          <w:noProof/>
          <w:sz w:val="24"/>
          <w:szCs w:val="24"/>
          <w:lang w:val="en-GB"/>
        </w:rPr>
      </w:pPr>
    </w:p>
    <w:p w14:paraId="6A0EBB3B" w14:textId="77777777" w:rsidR="00B277FC" w:rsidRPr="00976D14" w:rsidRDefault="00B277FC">
      <w:pPr>
        <w:rPr>
          <w:rFonts w:ascii="Times New Roman" w:eastAsia="Times New Roman" w:hAnsi="Times New Roman" w:cs="Times New Roman"/>
          <w:b/>
          <w:smallCaps/>
          <w:noProof/>
          <w:sz w:val="24"/>
          <w:szCs w:val="24"/>
          <w:lang w:val="en-GB"/>
        </w:rPr>
      </w:pPr>
    </w:p>
    <w:p w14:paraId="5231B76D" w14:textId="77777777" w:rsidR="00B277FC" w:rsidRPr="00976D14" w:rsidRDefault="00B277FC">
      <w:pPr>
        <w:rPr>
          <w:rFonts w:ascii="Times New Roman" w:eastAsia="Times New Roman" w:hAnsi="Times New Roman" w:cs="Times New Roman"/>
          <w:b/>
          <w:smallCaps/>
          <w:noProof/>
          <w:sz w:val="24"/>
          <w:szCs w:val="24"/>
          <w:lang w:val="en-GB"/>
        </w:rPr>
      </w:pPr>
    </w:p>
    <w:p w14:paraId="5856A724" w14:textId="77777777" w:rsidR="00B277FC" w:rsidRPr="00976D14" w:rsidRDefault="00B277FC">
      <w:pPr>
        <w:rPr>
          <w:rFonts w:ascii="Times New Roman" w:eastAsia="Times New Roman" w:hAnsi="Times New Roman" w:cs="Times New Roman"/>
          <w:b/>
          <w:smallCaps/>
          <w:noProof/>
          <w:sz w:val="24"/>
          <w:szCs w:val="24"/>
          <w:lang w:val="en-GB"/>
        </w:rPr>
      </w:pPr>
    </w:p>
    <w:p w14:paraId="0F56E20E" w14:textId="77777777" w:rsidR="00B277FC" w:rsidRDefault="00B277FC">
      <w:pPr>
        <w:rPr>
          <w:rFonts w:ascii="Times New Roman" w:eastAsia="Times New Roman" w:hAnsi="Times New Roman" w:cs="Times New Roman"/>
          <w:b/>
          <w:smallCaps/>
          <w:noProof/>
          <w:sz w:val="24"/>
          <w:szCs w:val="24"/>
          <w:lang w:val="en-GB"/>
        </w:rPr>
      </w:pPr>
    </w:p>
    <w:p w14:paraId="132ADBA0" w14:textId="77777777" w:rsidR="00A67E41" w:rsidRDefault="00A67E41">
      <w:pPr>
        <w:rPr>
          <w:rFonts w:ascii="Times New Roman" w:eastAsia="Times New Roman" w:hAnsi="Times New Roman" w:cs="Times New Roman"/>
          <w:b/>
          <w:smallCaps/>
          <w:noProof/>
          <w:sz w:val="24"/>
          <w:szCs w:val="24"/>
          <w:lang w:val="en-GB"/>
        </w:rPr>
      </w:pPr>
    </w:p>
    <w:p w14:paraId="6E3846DD" w14:textId="77777777" w:rsidR="00A67E41" w:rsidRPr="006E5F59" w:rsidRDefault="00A67E41">
      <w:pPr>
        <w:rPr>
          <w:rFonts w:ascii="Times New Roman" w:eastAsia="Times New Roman" w:hAnsi="Times New Roman" w:cs="Times New Roman"/>
          <w:b/>
          <w:smallCaps/>
          <w:noProof/>
          <w:sz w:val="24"/>
          <w:szCs w:val="24"/>
          <w:lang w:val="en-GB"/>
        </w:rPr>
      </w:pPr>
    </w:p>
    <w:p w14:paraId="00037FE7" w14:textId="77777777" w:rsidR="00A817B7" w:rsidRPr="006E5F59" w:rsidRDefault="00A817B7">
      <w:pPr>
        <w:rPr>
          <w:rFonts w:ascii="Times New Roman" w:eastAsia="Times New Roman" w:hAnsi="Times New Roman" w:cs="Times New Roman"/>
          <w:b/>
          <w:smallCaps/>
          <w:noProof/>
          <w:sz w:val="24"/>
          <w:szCs w:val="24"/>
          <w:lang w:val="en-GB"/>
        </w:rPr>
      </w:pPr>
    </w:p>
    <w:p w14:paraId="214E7EE3" w14:textId="77777777" w:rsidR="00980CA2" w:rsidRPr="006E5F59" w:rsidRDefault="00980CA2">
      <w:pPr>
        <w:rPr>
          <w:rFonts w:ascii="Times New Roman" w:eastAsia="Times New Roman" w:hAnsi="Times New Roman" w:cs="Times New Roman"/>
          <w:b/>
          <w:smallCaps/>
          <w:noProof/>
          <w:sz w:val="24"/>
          <w:szCs w:val="24"/>
          <w:lang w:val="en-GB"/>
        </w:rPr>
      </w:pPr>
    </w:p>
    <w:p w14:paraId="5B668642" w14:textId="77777777" w:rsidR="00980CA2" w:rsidRPr="006E5F59" w:rsidRDefault="00980CA2">
      <w:pPr>
        <w:rPr>
          <w:rFonts w:ascii="Times New Roman" w:eastAsia="Times New Roman" w:hAnsi="Times New Roman" w:cs="Times New Roman"/>
          <w:b/>
          <w:smallCaps/>
          <w:noProof/>
          <w:sz w:val="24"/>
          <w:szCs w:val="24"/>
          <w:lang w:val="en-GB"/>
        </w:rPr>
      </w:pPr>
    </w:p>
    <w:p w14:paraId="073977B2" w14:textId="77777777" w:rsidR="00991FC5" w:rsidRPr="006E5F59" w:rsidRDefault="66D1ACCD" w:rsidP="00572424">
      <w:pPr>
        <w:pStyle w:val="Heading1"/>
        <w:rPr>
          <w:rFonts w:ascii="Times New Roman" w:eastAsia="Times New Roman" w:hAnsi="Times New Roman" w:cs="Times New Roman"/>
          <w:b w:val="0"/>
          <w:noProof/>
          <w:lang w:val="en-GB"/>
        </w:rPr>
      </w:pPr>
      <w:bookmarkStart w:id="18" w:name="_Toc81582131"/>
      <w:bookmarkStart w:id="19" w:name="_Toc83741987"/>
      <w:bookmarkStart w:id="20" w:name="_Toc83824363"/>
      <w:bookmarkStart w:id="21" w:name="_Toc84338450"/>
      <w:bookmarkStart w:id="22" w:name="_Toc84520028"/>
      <w:bookmarkStart w:id="23" w:name="_Toc84579892"/>
      <w:bookmarkStart w:id="24" w:name="_Toc85052185"/>
      <w:bookmarkStart w:id="25" w:name="_Toc678347597"/>
      <w:bookmarkStart w:id="26" w:name="_Toc218957296"/>
      <w:bookmarkStart w:id="27" w:name="_Toc1277562451"/>
      <w:bookmarkStart w:id="28" w:name="_Toc93306863"/>
      <w:r w:rsidRPr="41BAA3BB">
        <w:rPr>
          <w:rFonts w:ascii="Times New Roman" w:eastAsia="Times New Roman" w:hAnsi="Times New Roman" w:cs="Times New Roman"/>
          <w:noProof/>
          <w:lang w:val="en-GB"/>
        </w:rPr>
        <w:t>1</w:t>
      </w:r>
      <w:r w:rsidR="32530219" w:rsidRPr="41BAA3BB">
        <w:rPr>
          <w:rFonts w:ascii="Times New Roman" w:eastAsia="Times New Roman" w:hAnsi="Times New Roman" w:cs="Times New Roman"/>
          <w:noProof/>
          <w:lang w:val="en-GB"/>
        </w:rPr>
        <w:t>.</w:t>
      </w:r>
      <w:r w:rsidRPr="41BAA3BB">
        <w:rPr>
          <w:rFonts w:ascii="Times New Roman" w:eastAsia="Times New Roman" w:hAnsi="Times New Roman" w:cs="Times New Roman"/>
          <w:noProof/>
          <w:lang w:val="en-GB"/>
        </w:rPr>
        <w:t xml:space="preserve"> </w:t>
      </w:r>
      <w:r w:rsidR="5673CE9D" w:rsidRPr="41BAA3BB">
        <w:rPr>
          <w:rFonts w:ascii="Times New Roman" w:eastAsia="Times New Roman" w:hAnsi="Times New Roman" w:cs="Times New Roman"/>
          <w:noProof/>
          <w:lang w:val="en-GB"/>
        </w:rPr>
        <w:t>INTRODUCTION: POLITICAL AND LEGAL CONTEXT</w:t>
      </w:r>
      <w:bookmarkEnd w:id="18"/>
      <w:bookmarkEnd w:id="19"/>
      <w:bookmarkEnd w:id="20"/>
      <w:bookmarkEnd w:id="21"/>
      <w:bookmarkEnd w:id="22"/>
      <w:bookmarkEnd w:id="23"/>
      <w:bookmarkEnd w:id="24"/>
      <w:bookmarkEnd w:id="25"/>
      <w:bookmarkEnd w:id="26"/>
      <w:bookmarkEnd w:id="27"/>
      <w:bookmarkEnd w:id="28"/>
    </w:p>
    <w:p w14:paraId="42B19E10" w14:textId="77777777" w:rsidR="51D6124F" w:rsidRPr="006E5F59" w:rsidRDefault="51D6124F" w:rsidP="51D6124F">
      <w:pPr>
        <w:rPr>
          <w:rFonts w:ascii="Times New Roman" w:hAnsi="Times New Roman" w:cs="Times New Roman"/>
          <w:noProof/>
          <w:lang w:val="en-GB"/>
        </w:rPr>
      </w:pPr>
    </w:p>
    <w:p w14:paraId="3309A0B5" w14:textId="77777777" w:rsidR="00991FC5" w:rsidRPr="008704BD" w:rsidRDefault="606D82E5" w:rsidP="006D0EE0">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I</w:t>
      </w:r>
      <w:r w:rsidR="231E27BB" w:rsidRPr="008704BD">
        <w:rPr>
          <w:rFonts w:ascii="Times New Roman" w:hAnsi="Times New Roman"/>
          <w:noProof/>
          <w:sz w:val="24"/>
          <w:lang w:val="en-GB"/>
        </w:rPr>
        <w:t>n</w:t>
      </w:r>
      <w:r w:rsidR="3DE512EE" w:rsidRPr="008704BD">
        <w:rPr>
          <w:rFonts w:ascii="Times New Roman" w:hAnsi="Times New Roman"/>
          <w:noProof/>
          <w:sz w:val="24"/>
          <w:lang w:val="en-GB"/>
        </w:rPr>
        <w:t xml:space="preserve"> the political guidelines for the European Commission</w:t>
      </w:r>
      <w:r w:rsidR="004009B2" w:rsidRPr="008704BD">
        <w:rPr>
          <w:rFonts w:ascii="Times New Roman" w:hAnsi="Times New Roman"/>
          <w:noProof/>
          <w:sz w:val="24"/>
          <w:lang w:val="en-GB"/>
        </w:rPr>
        <w:t>,</w:t>
      </w:r>
      <w:r w:rsidR="3DE512EE" w:rsidRPr="008704BD">
        <w:rPr>
          <w:rFonts w:ascii="Times New Roman" w:hAnsi="Times New Roman"/>
          <w:noProof/>
          <w:sz w:val="24"/>
          <w:lang w:val="en-GB"/>
        </w:rPr>
        <w:t xml:space="preserve"> </w:t>
      </w:r>
      <w:r w:rsidR="1DE79998" w:rsidRPr="008704BD">
        <w:rPr>
          <w:rFonts w:ascii="Times New Roman" w:hAnsi="Times New Roman"/>
          <w:noProof/>
          <w:sz w:val="24"/>
          <w:lang w:val="en-GB"/>
        </w:rPr>
        <w:t xml:space="preserve">President von der Leyen </w:t>
      </w:r>
      <w:r w:rsidR="3B5ABF40" w:rsidRPr="008704BD">
        <w:rPr>
          <w:rFonts w:ascii="Times New Roman" w:hAnsi="Times New Roman"/>
          <w:noProof/>
          <w:sz w:val="24"/>
          <w:lang w:val="en-GB"/>
        </w:rPr>
        <w:t xml:space="preserve">stressed </w:t>
      </w:r>
      <w:r w:rsidR="3DE512EE" w:rsidRPr="008704BD">
        <w:rPr>
          <w:rFonts w:ascii="Times New Roman" w:hAnsi="Times New Roman"/>
          <w:noProof/>
          <w:sz w:val="24"/>
          <w:lang w:val="en-GB"/>
        </w:rPr>
        <w:t>t</w:t>
      </w:r>
      <w:r w:rsidR="2BC24540" w:rsidRPr="008704BD">
        <w:rPr>
          <w:rFonts w:ascii="Times New Roman" w:hAnsi="Times New Roman"/>
          <w:noProof/>
          <w:sz w:val="24"/>
          <w:lang w:val="en-GB"/>
        </w:rPr>
        <w:t>he Commission</w:t>
      </w:r>
      <w:r w:rsidR="69FE6805" w:rsidRPr="008704BD">
        <w:rPr>
          <w:rFonts w:ascii="Times New Roman" w:hAnsi="Times New Roman"/>
          <w:noProof/>
          <w:sz w:val="24"/>
          <w:lang w:val="en-GB"/>
        </w:rPr>
        <w:t>’s</w:t>
      </w:r>
      <w:r w:rsidR="2BC24540" w:rsidRPr="008704BD">
        <w:rPr>
          <w:rFonts w:ascii="Times New Roman" w:hAnsi="Times New Roman"/>
          <w:noProof/>
          <w:sz w:val="24"/>
          <w:lang w:val="en-GB"/>
        </w:rPr>
        <w:t xml:space="preserve"> </w:t>
      </w:r>
      <w:r w:rsidR="09B952AA" w:rsidRPr="008704BD">
        <w:rPr>
          <w:rFonts w:ascii="Times New Roman" w:hAnsi="Times New Roman"/>
          <w:noProof/>
          <w:sz w:val="24"/>
          <w:lang w:val="en-GB"/>
        </w:rPr>
        <w:t>commit</w:t>
      </w:r>
      <w:r w:rsidR="415701E2" w:rsidRPr="008704BD">
        <w:rPr>
          <w:rFonts w:ascii="Times New Roman" w:hAnsi="Times New Roman"/>
          <w:noProof/>
          <w:sz w:val="24"/>
          <w:lang w:val="en-GB"/>
        </w:rPr>
        <w:t>ment</w:t>
      </w:r>
      <w:r w:rsidR="2BC24540" w:rsidRPr="008704BD">
        <w:rPr>
          <w:rFonts w:ascii="Times New Roman" w:hAnsi="Times New Roman"/>
          <w:noProof/>
          <w:sz w:val="24"/>
          <w:lang w:val="en-GB"/>
        </w:rPr>
        <w:t xml:space="preserve"> to stepping up the fight against tax fraud</w:t>
      </w:r>
      <w:r w:rsidR="00BB5440" w:rsidRPr="008704BD">
        <w:rPr>
          <w:rFonts w:ascii="Times New Roman" w:hAnsi="Times New Roman"/>
          <w:noProof/>
          <w:sz w:val="24"/>
          <w:lang w:val="en-GB"/>
        </w:rPr>
        <w:t>,</w:t>
      </w:r>
      <w:r w:rsidR="2BC24540" w:rsidRPr="008704BD">
        <w:rPr>
          <w:rFonts w:ascii="Times New Roman" w:hAnsi="Times New Roman"/>
          <w:noProof/>
          <w:sz w:val="24"/>
          <w:lang w:val="en-GB"/>
        </w:rPr>
        <w:t xml:space="preserve"> evasion</w:t>
      </w:r>
      <w:r w:rsidR="757D623C" w:rsidRPr="008704BD">
        <w:rPr>
          <w:rFonts w:ascii="Times New Roman" w:hAnsi="Times New Roman"/>
          <w:noProof/>
          <w:sz w:val="24"/>
          <w:lang w:val="en-GB"/>
        </w:rPr>
        <w:t xml:space="preserve"> </w:t>
      </w:r>
      <w:r w:rsidR="00BB5440" w:rsidRPr="008704BD">
        <w:rPr>
          <w:rFonts w:ascii="Times New Roman" w:hAnsi="Times New Roman"/>
          <w:noProof/>
          <w:sz w:val="24"/>
          <w:lang w:val="en-GB"/>
        </w:rPr>
        <w:t xml:space="preserve">and avoidance </w:t>
      </w:r>
      <w:r w:rsidR="757D623C" w:rsidRPr="008704BD">
        <w:rPr>
          <w:rFonts w:ascii="Times New Roman" w:hAnsi="Times New Roman"/>
          <w:noProof/>
          <w:sz w:val="24"/>
          <w:lang w:val="en-GB"/>
        </w:rPr>
        <w:t xml:space="preserve">to </w:t>
      </w:r>
      <w:r w:rsidR="3DE512EE" w:rsidRPr="008704BD">
        <w:rPr>
          <w:rFonts w:ascii="Times New Roman" w:hAnsi="Times New Roman"/>
          <w:noProof/>
          <w:sz w:val="24"/>
          <w:lang w:val="en-GB"/>
        </w:rPr>
        <w:t>ensure an economy that works for people</w:t>
      </w:r>
      <w:r w:rsidR="00812A8E" w:rsidRPr="008704BD">
        <w:rPr>
          <w:rFonts w:ascii="Times New Roman" w:hAnsi="Times New Roman"/>
          <w:noProof/>
          <w:sz w:val="24"/>
          <w:vertAlign w:val="superscript"/>
          <w:lang w:val="en-GB"/>
        </w:rPr>
        <w:footnoteReference w:id="2"/>
      </w:r>
      <w:r w:rsidR="003D3B96" w:rsidRPr="008704BD">
        <w:rPr>
          <w:rFonts w:ascii="Times New Roman" w:hAnsi="Times New Roman"/>
          <w:noProof/>
          <w:sz w:val="24"/>
          <w:lang w:val="en-GB"/>
        </w:rPr>
        <w:t xml:space="preserve"> </w:t>
      </w:r>
      <w:r w:rsidR="3DE512EE" w:rsidRPr="008704BD">
        <w:rPr>
          <w:rFonts w:ascii="Times New Roman" w:hAnsi="Times New Roman"/>
          <w:noProof/>
          <w:sz w:val="24"/>
          <w:lang w:val="en-GB"/>
        </w:rPr>
        <w:t xml:space="preserve">and where </w:t>
      </w:r>
      <w:r w:rsidR="757D623C" w:rsidRPr="008704BD">
        <w:rPr>
          <w:rFonts w:ascii="Times New Roman" w:hAnsi="Times New Roman"/>
          <w:noProof/>
          <w:sz w:val="24"/>
          <w:lang w:val="en-GB"/>
        </w:rPr>
        <w:t>everybody pays their fair share</w:t>
      </w:r>
      <w:r w:rsidR="0E31A3E9" w:rsidRPr="008704BD">
        <w:rPr>
          <w:rFonts w:ascii="Times New Roman" w:hAnsi="Times New Roman"/>
          <w:noProof/>
          <w:sz w:val="24"/>
          <w:lang w:val="en-GB"/>
        </w:rPr>
        <w:t>.</w:t>
      </w:r>
      <w:r w:rsidR="000E1F23" w:rsidRPr="008704BD">
        <w:rPr>
          <w:rFonts w:ascii="Times New Roman" w:hAnsi="Times New Roman"/>
          <w:noProof/>
          <w:sz w:val="24"/>
          <w:lang w:val="en-GB"/>
        </w:rPr>
        <w:t xml:space="preserve"> </w:t>
      </w:r>
      <w:r w:rsidR="2BC24540" w:rsidRPr="008704BD">
        <w:rPr>
          <w:rFonts w:ascii="Times New Roman" w:hAnsi="Times New Roman"/>
          <w:noProof/>
          <w:sz w:val="24"/>
          <w:lang w:val="en-GB"/>
        </w:rPr>
        <w:t xml:space="preserve">Fair and efficient taxation </w:t>
      </w:r>
      <w:r w:rsidR="210DAC1F" w:rsidRPr="008704BD">
        <w:rPr>
          <w:rFonts w:ascii="Times New Roman" w:hAnsi="Times New Roman"/>
          <w:noProof/>
          <w:sz w:val="24"/>
          <w:lang w:val="en-GB"/>
        </w:rPr>
        <w:t xml:space="preserve">not only promotes social justice </w:t>
      </w:r>
      <w:r w:rsidR="70246FCE" w:rsidRPr="008704BD">
        <w:rPr>
          <w:rFonts w:ascii="Times New Roman" w:hAnsi="Times New Roman"/>
          <w:noProof/>
          <w:sz w:val="24"/>
          <w:lang w:val="en-GB"/>
        </w:rPr>
        <w:t xml:space="preserve">for citizens </w:t>
      </w:r>
      <w:r w:rsidR="210DAC1F" w:rsidRPr="008704BD">
        <w:rPr>
          <w:rFonts w:ascii="Times New Roman" w:hAnsi="Times New Roman"/>
          <w:noProof/>
          <w:sz w:val="24"/>
          <w:lang w:val="en-GB"/>
        </w:rPr>
        <w:t xml:space="preserve">and a level playing field for </w:t>
      </w:r>
      <w:r w:rsidR="3E2A56DA" w:rsidRPr="008704BD">
        <w:rPr>
          <w:rFonts w:ascii="Times New Roman" w:hAnsi="Times New Roman"/>
          <w:noProof/>
          <w:sz w:val="24"/>
          <w:lang w:val="en-GB"/>
        </w:rPr>
        <w:t>businesses</w:t>
      </w:r>
      <w:r w:rsidR="003D3B96" w:rsidRPr="008704BD">
        <w:rPr>
          <w:rFonts w:ascii="Times New Roman" w:hAnsi="Times New Roman"/>
          <w:noProof/>
          <w:sz w:val="24"/>
          <w:lang w:val="en-GB"/>
        </w:rPr>
        <w:t xml:space="preserve"> </w:t>
      </w:r>
      <w:r w:rsidR="3DE512EE" w:rsidRPr="008704BD">
        <w:rPr>
          <w:rFonts w:ascii="Times New Roman" w:hAnsi="Times New Roman"/>
          <w:noProof/>
          <w:sz w:val="24"/>
          <w:lang w:val="en-GB"/>
        </w:rPr>
        <w:t>but</w:t>
      </w:r>
      <w:r w:rsidR="1EA6537E" w:rsidRPr="008704BD">
        <w:rPr>
          <w:rFonts w:ascii="Times New Roman" w:hAnsi="Times New Roman"/>
          <w:noProof/>
          <w:sz w:val="24"/>
          <w:lang w:val="en-GB"/>
        </w:rPr>
        <w:t xml:space="preserve"> </w:t>
      </w:r>
      <w:r w:rsidR="28F89F71" w:rsidRPr="008704BD">
        <w:rPr>
          <w:rFonts w:ascii="Times New Roman" w:hAnsi="Times New Roman"/>
          <w:noProof/>
          <w:sz w:val="24"/>
          <w:lang w:val="en-GB"/>
        </w:rPr>
        <w:t xml:space="preserve">also </w:t>
      </w:r>
      <w:r w:rsidR="1EA6537E" w:rsidRPr="008704BD">
        <w:rPr>
          <w:rFonts w:ascii="Times New Roman" w:hAnsi="Times New Roman"/>
          <w:noProof/>
          <w:sz w:val="24"/>
          <w:lang w:val="en-GB"/>
        </w:rPr>
        <w:t>ensures that citizens and</w:t>
      </w:r>
      <w:r w:rsidR="2BC24540" w:rsidRPr="008704BD">
        <w:rPr>
          <w:rFonts w:ascii="Times New Roman" w:hAnsi="Times New Roman"/>
          <w:noProof/>
          <w:sz w:val="24"/>
          <w:lang w:val="en-GB"/>
        </w:rPr>
        <w:t xml:space="preserve"> business</w:t>
      </w:r>
      <w:r w:rsidR="04B9859C" w:rsidRPr="008704BD">
        <w:rPr>
          <w:rFonts w:ascii="Times New Roman" w:hAnsi="Times New Roman"/>
          <w:noProof/>
          <w:sz w:val="24"/>
          <w:lang w:val="en-GB"/>
        </w:rPr>
        <w:t>es</w:t>
      </w:r>
      <w:r w:rsidR="2BC24540" w:rsidRPr="008704BD">
        <w:rPr>
          <w:rFonts w:ascii="Times New Roman" w:hAnsi="Times New Roman"/>
          <w:noProof/>
          <w:sz w:val="24"/>
          <w:lang w:val="en-GB"/>
        </w:rPr>
        <w:t xml:space="preserve"> </w:t>
      </w:r>
      <w:r w:rsidR="1EA6537E" w:rsidRPr="008704BD">
        <w:rPr>
          <w:rFonts w:ascii="Times New Roman" w:hAnsi="Times New Roman"/>
          <w:noProof/>
          <w:sz w:val="24"/>
          <w:lang w:val="en-GB"/>
        </w:rPr>
        <w:t xml:space="preserve">can fully </w:t>
      </w:r>
      <w:r w:rsidR="3A10217C" w:rsidRPr="008704BD">
        <w:rPr>
          <w:rFonts w:ascii="Times New Roman" w:hAnsi="Times New Roman"/>
          <w:noProof/>
          <w:sz w:val="24"/>
          <w:lang w:val="en-GB"/>
        </w:rPr>
        <w:t>r</w:t>
      </w:r>
      <w:r w:rsidR="1EA6537E" w:rsidRPr="008704BD">
        <w:rPr>
          <w:rFonts w:ascii="Times New Roman" w:hAnsi="Times New Roman"/>
          <w:noProof/>
          <w:sz w:val="24"/>
          <w:lang w:val="en-GB"/>
        </w:rPr>
        <w:t xml:space="preserve">eap the benefits of the </w:t>
      </w:r>
      <w:r w:rsidR="70246FCE" w:rsidRPr="008704BD">
        <w:rPr>
          <w:rFonts w:ascii="Times New Roman" w:hAnsi="Times New Roman"/>
          <w:noProof/>
          <w:sz w:val="24"/>
          <w:lang w:val="en-GB"/>
        </w:rPr>
        <w:t>Internal</w:t>
      </w:r>
      <w:r w:rsidR="1EA6537E" w:rsidRPr="008704BD">
        <w:rPr>
          <w:rFonts w:ascii="Times New Roman" w:hAnsi="Times New Roman"/>
          <w:noProof/>
          <w:sz w:val="24"/>
          <w:lang w:val="en-GB"/>
        </w:rPr>
        <w:t xml:space="preserve"> Market</w:t>
      </w:r>
      <w:r w:rsidR="231E27BB" w:rsidRPr="008704BD">
        <w:rPr>
          <w:rFonts w:ascii="Times New Roman" w:hAnsi="Times New Roman"/>
          <w:noProof/>
          <w:sz w:val="24"/>
          <w:lang w:val="en-GB"/>
        </w:rPr>
        <w:t>.</w:t>
      </w:r>
      <w:r w:rsidR="1EA6537E" w:rsidRPr="008704BD">
        <w:rPr>
          <w:rFonts w:ascii="Times New Roman" w:hAnsi="Times New Roman"/>
          <w:noProof/>
          <w:sz w:val="24"/>
          <w:lang w:val="en-GB"/>
        </w:rPr>
        <w:t xml:space="preserve"> </w:t>
      </w:r>
      <w:r w:rsidR="006561F9" w:rsidRPr="008704BD">
        <w:rPr>
          <w:rFonts w:ascii="Times New Roman" w:hAnsi="Times New Roman"/>
          <w:noProof/>
          <w:sz w:val="24"/>
          <w:lang w:val="en-GB"/>
        </w:rPr>
        <w:t>T</w:t>
      </w:r>
      <w:r w:rsidR="2BC24540" w:rsidRPr="008704BD">
        <w:rPr>
          <w:rFonts w:ascii="Times New Roman" w:hAnsi="Times New Roman"/>
          <w:noProof/>
          <w:sz w:val="24"/>
          <w:lang w:val="en-GB"/>
        </w:rPr>
        <w:t xml:space="preserve">he </w:t>
      </w:r>
      <w:r w:rsidR="3DE512EE" w:rsidRPr="008704BD">
        <w:rPr>
          <w:rFonts w:ascii="Times New Roman" w:hAnsi="Times New Roman"/>
          <w:noProof/>
          <w:sz w:val="24"/>
          <w:lang w:val="en-GB"/>
        </w:rPr>
        <w:t xml:space="preserve">COVID-19 </w:t>
      </w:r>
      <w:r w:rsidR="2BC24540" w:rsidRPr="008704BD">
        <w:rPr>
          <w:rFonts w:ascii="Times New Roman" w:hAnsi="Times New Roman"/>
          <w:noProof/>
          <w:sz w:val="24"/>
          <w:lang w:val="en-GB"/>
        </w:rPr>
        <w:t xml:space="preserve">pandemic </w:t>
      </w:r>
      <w:r w:rsidR="40A25CE1" w:rsidRPr="008704BD">
        <w:rPr>
          <w:rFonts w:ascii="Times New Roman" w:hAnsi="Times New Roman"/>
          <w:noProof/>
          <w:sz w:val="24"/>
          <w:lang w:val="en-GB"/>
        </w:rPr>
        <w:t xml:space="preserve">has </w:t>
      </w:r>
      <w:r w:rsidR="042D5EF3" w:rsidRPr="008704BD">
        <w:rPr>
          <w:rFonts w:ascii="Times New Roman" w:hAnsi="Times New Roman"/>
          <w:noProof/>
          <w:sz w:val="24"/>
          <w:lang w:val="en-GB"/>
        </w:rPr>
        <w:t>add</w:t>
      </w:r>
      <w:r w:rsidR="292F6058" w:rsidRPr="008704BD">
        <w:rPr>
          <w:rFonts w:ascii="Times New Roman" w:hAnsi="Times New Roman"/>
          <w:noProof/>
          <w:sz w:val="24"/>
          <w:lang w:val="en-GB"/>
        </w:rPr>
        <w:t>ed</w:t>
      </w:r>
      <w:r w:rsidR="36466247" w:rsidRPr="008704BD">
        <w:rPr>
          <w:rFonts w:ascii="Times New Roman" w:hAnsi="Times New Roman"/>
          <w:noProof/>
          <w:sz w:val="24"/>
          <w:lang w:val="en-GB"/>
        </w:rPr>
        <w:t xml:space="preserve"> </w:t>
      </w:r>
      <w:r w:rsidR="00BB5440" w:rsidRPr="008704BD">
        <w:rPr>
          <w:rFonts w:ascii="Times New Roman" w:hAnsi="Times New Roman"/>
          <w:noProof/>
          <w:sz w:val="24"/>
          <w:lang w:val="en-GB"/>
        </w:rPr>
        <w:t xml:space="preserve">greater </w:t>
      </w:r>
      <w:r w:rsidR="36466247" w:rsidRPr="008704BD">
        <w:rPr>
          <w:rFonts w:ascii="Times New Roman" w:hAnsi="Times New Roman"/>
          <w:noProof/>
          <w:sz w:val="24"/>
          <w:lang w:val="en-GB"/>
        </w:rPr>
        <w:t xml:space="preserve">urgency to the need to protect public finances and </w:t>
      </w:r>
      <w:r w:rsidR="009A7114" w:rsidRPr="008704BD">
        <w:rPr>
          <w:rFonts w:ascii="Times New Roman" w:hAnsi="Times New Roman"/>
          <w:noProof/>
          <w:sz w:val="24"/>
          <w:lang w:val="en-GB"/>
        </w:rPr>
        <w:t xml:space="preserve">to </w:t>
      </w:r>
      <w:r w:rsidR="36466247" w:rsidRPr="008704BD">
        <w:rPr>
          <w:rFonts w:ascii="Times New Roman" w:hAnsi="Times New Roman"/>
          <w:noProof/>
          <w:sz w:val="24"/>
          <w:lang w:val="en-GB"/>
        </w:rPr>
        <w:t>ensure fair</w:t>
      </w:r>
      <w:r w:rsidR="00BB5440" w:rsidRPr="008704BD">
        <w:rPr>
          <w:rFonts w:ascii="Times New Roman" w:hAnsi="Times New Roman"/>
          <w:noProof/>
          <w:sz w:val="24"/>
          <w:lang w:val="en-GB"/>
        </w:rPr>
        <w:t xml:space="preserve"> </w:t>
      </w:r>
      <w:r w:rsidR="36466247" w:rsidRPr="008704BD">
        <w:rPr>
          <w:rFonts w:ascii="Times New Roman" w:hAnsi="Times New Roman"/>
          <w:noProof/>
          <w:sz w:val="24"/>
          <w:lang w:val="en-GB"/>
        </w:rPr>
        <w:t xml:space="preserve">burden sharing. </w:t>
      </w:r>
    </w:p>
    <w:p w14:paraId="136711E1" w14:textId="77777777" w:rsidR="00763264" w:rsidRPr="008704BD" w:rsidRDefault="28127812" w:rsidP="0D0D3BA0">
      <w:pPr>
        <w:spacing w:after="200" w:line="240" w:lineRule="auto"/>
        <w:jc w:val="both"/>
        <w:rPr>
          <w:rFonts w:ascii="Times New Roman" w:hAnsi="Times New Roman"/>
          <w:noProof/>
          <w:color w:val="000000" w:themeColor="text1"/>
          <w:sz w:val="24"/>
          <w:lang w:val="en-GB"/>
        </w:rPr>
      </w:pPr>
      <w:r w:rsidRPr="008704BD">
        <w:rPr>
          <w:rFonts w:ascii="Times New Roman" w:hAnsi="Times New Roman"/>
          <w:noProof/>
          <w:sz w:val="24"/>
          <w:lang w:val="en-GB"/>
        </w:rPr>
        <w:t>On 15 July 2020, the European Commission adopted an Action Plan for Fair and Simple Taxation Supporting the Recovery Strategy</w:t>
      </w:r>
      <w:r w:rsidR="74AC821F" w:rsidRPr="008704BD">
        <w:rPr>
          <w:rFonts w:ascii="Times New Roman" w:hAnsi="Times New Roman"/>
          <w:noProof/>
          <w:sz w:val="24"/>
          <w:vertAlign w:val="superscript"/>
          <w:lang w:val="en-GB"/>
        </w:rPr>
        <w:footnoteReference w:id="3"/>
      </w:r>
      <w:r w:rsidRPr="008704BD">
        <w:rPr>
          <w:rFonts w:ascii="Times New Roman" w:hAnsi="Times New Roman"/>
          <w:noProof/>
          <w:sz w:val="24"/>
          <w:lang w:val="en-GB"/>
        </w:rPr>
        <w:t xml:space="preserve"> (hereafter </w:t>
      </w:r>
      <w:r w:rsidR="009A7114" w:rsidRPr="008704BD">
        <w:rPr>
          <w:rFonts w:ascii="Times New Roman" w:hAnsi="Times New Roman"/>
          <w:noProof/>
          <w:sz w:val="24"/>
          <w:lang w:val="en-GB"/>
        </w:rPr>
        <w:t xml:space="preserve">referred to as </w:t>
      </w:r>
      <w:r w:rsidRPr="008704BD">
        <w:rPr>
          <w:rFonts w:ascii="Times New Roman" w:hAnsi="Times New Roman"/>
          <w:noProof/>
          <w:sz w:val="24"/>
          <w:lang w:val="en-GB"/>
        </w:rPr>
        <w:t>the “</w:t>
      </w:r>
      <w:r w:rsidR="00BB5440" w:rsidRPr="008704BD">
        <w:rPr>
          <w:rFonts w:ascii="Times New Roman" w:hAnsi="Times New Roman"/>
          <w:noProof/>
          <w:sz w:val="24"/>
          <w:lang w:val="en-GB"/>
        </w:rPr>
        <w:t xml:space="preserve">Tax </w:t>
      </w:r>
      <w:r w:rsidRPr="008704BD">
        <w:rPr>
          <w:rFonts w:ascii="Times New Roman" w:hAnsi="Times New Roman"/>
          <w:noProof/>
          <w:sz w:val="24"/>
          <w:lang w:val="en-GB"/>
        </w:rPr>
        <w:t xml:space="preserve">Action Plan”). </w:t>
      </w:r>
      <w:r w:rsidR="00BB5440" w:rsidRPr="008704BD">
        <w:rPr>
          <w:rFonts w:ascii="Times New Roman" w:hAnsi="Times New Roman"/>
          <w:noProof/>
          <w:sz w:val="24"/>
          <w:lang w:val="en-GB"/>
        </w:rPr>
        <w:t xml:space="preserve">The Tax Action Plan contains </w:t>
      </w:r>
      <w:r w:rsidRPr="008704BD">
        <w:rPr>
          <w:rFonts w:ascii="Times New Roman" w:hAnsi="Times New Roman"/>
          <w:noProof/>
          <w:sz w:val="24"/>
          <w:lang w:val="en-GB"/>
        </w:rPr>
        <w:t>measures to reinforce the fight against tax abuse</w:t>
      </w:r>
      <w:r w:rsidR="00D613AD" w:rsidRPr="008704BD">
        <w:rPr>
          <w:rFonts w:ascii="Times New Roman" w:hAnsi="Times New Roman"/>
          <w:noProof/>
          <w:sz w:val="24"/>
          <w:lang w:val="en-GB"/>
        </w:rPr>
        <w:t>,</w:t>
      </w:r>
      <w:r w:rsidRPr="008704BD" w:rsidDel="00D613AD">
        <w:rPr>
          <w:rFonts w:ascii="Times New Roman" w:hAnsi="Times New Roman"/>
          <w:noProof/>
          <w:sz w:val="24"/>
          <w:lang w:val="en-GB"/>
        </w:rPr>
        <w:t xml:space="preserve"> </w:t>
      </w:r>
      <w:r w:rsidRPr="008704BD">
        <w:rPr>
          <w:rFonts w:ascii="Times New Roman" w:hAnsi="Times New Roman"/>
          <w:noProof/>
          <w:sz w:val="24"/>
          <w:lang w:val="en-GB"/>
        </w:rPr>
        <w:t xml:space="preserve">to help tax administrations to keep pace with a constantly evolving economy and to ease the administrative burden for citizens and companies. Furthermore, </w:t>
      </w:r>
      <w:r w:rsidR="00BB5440" w:rsidRPr="008704BD">
        <w:rPr>
          <w:rFonts w:ascii="Times New Roman" w:hAnsi="Times New Roman"/>
          <w:noProof/>
          <w:sz w:val="24"/>
          <w:lang w:val="en-GB"/>
        </w:rPr>
        <w:t xml:space="preserve">the Tax Action Plan </w:t>
      </w:r>
      <w:r w:rsidRPr="008704BD">
        <w:rPr>
          <w:rFonts w:ascii="Times New Roman" w:hAnsi="Times New Roman"/>
          <w:noProof/>
          <w:sz w:val="24"/>
          <w:lang w:val="en-GB"/>
        </w:rPr>
        <w:t xml:space="preserve">envisages improving </w:t>
      </w:r>
      <w:r w:rsidR="00BB5440" w:rsidRPr="008704BD">
        <w:rPr>
          <w:rFonts w:ascii="Times New Roman" w:hAnsi="Times New Roman"/>
          <w:noProof/>
          <w:sz w:val="24"/>
          <w:lang w:val="en-GB"/>
        </w:rPr>
        <w:t xml:space="preserve">administrative </w:t>
      </w:r>
      <w:r w:rsidRPr="008704BD">
        <w:rPr>
          <w:rFonts w:ascii="Times New Roman" w:hAnsi="Times New Roman"/>
          <w:noProof/>
          <w:sz w:val="24"/>
          <w:lang w:val="en-GB"/>
        </w:rPr>
        <w:t>cooperation between national tax authorities in existing as well as newly developing areas.</w:t>
      </w:r>
      <w:r w:rsidRPr="008704BD">
        <w:rPr>
          <w:rFonts w:ascii="Times New Roman" w:hAnsi="Times New Roman"/>
          <w:noProof/>
          <w:color w:val="000000" w:themeColor="text1"/>
          <w:sz w:val="24"/>
          <w:lang w:val="en-GB"/>
        </w:rPr>
        <w:t xml:space="preserve"> </w:t>
      </w:r>
    </w:p>
    <w:p w14:paraId="74259B35" w14:textId="77777777" w:rsidR="00763264" w:rsidRPr="008704BD" w:rsidRDefault="0A056258" w:rsidP="0D0D3BA0">
      <w:pPr>
        <w:spacing w:after="200" w:line="240" w:lineRule="auto"/>
        <w:jc w:val="both"/>
        <w:rPr>
          <w:rFonts w:ascii="Times New Roman" w:hAnsi="Times New Roman"/>
          <w:noProof/>
          <w:color w:val="000000" w:themeColor="text1"/>
          <w:sz w:val="24"/>
          <w:lang w:val="en-GB"/>
        </w:rPr>
      </w:pPr>
      <w:r w:rsidRPr="008704BD">
        <w:rPr>
          <w:rFonts w:ascii="Times New Roman" w:hAnsi="Times New Roman"/>
          <w:noProof/>
          <w:color w:val="000000" w:themeColor="text1"/>
          <w:sz w:val="24"/>
          <w:lang w:val="en-GB"/>
        </w:rPr>
        <w:t xml:space="preserve">The European Parliament has on several occasions stressed the political importance of fair taxation </w:t>
      </w:r>
      <w:r w:rsidR="185A5E15" w:rsidRPr="008704BD">
        <w:rPr>
          <w:rFonts w:ascii="Times New Roman" w:hAnsi="Times New Roman"/>
          <w:noProof/>
          <w:color w:val="000000" w:themeColor="text1"/>
          <w:sz w:val="24"/>
          <w:lang w:val="en-GB"/>
        </w:rPr>
        <w:t xml:space="preserve">and </w:t>
      </w:r>
      <w:r w:rsidRPr="008704BD">
        <w:rPr>
          <w:rFonts w:ascii="Times New Roman" w:hAnsi="Times New Roman"/>
          <w:noProof/>
          <w:color w:val="000000" w:themeColor="text1"/>
          <w:sz w:val="24"/>
          <w:lang w:val="en-GB"/>
        </w:rPr>
        <w:t>of fighting tax fraud, evasion and avoidance.</w:t>
      </w:r>
      <w:r w:rsidR="185A5E15" w:rsidRPr="008704BD">
        <w:rPr>
          <w:rFonts w:ascii="Times New Roman" w:hAnsi="Times New Roman"/>
          <w:noProof/>
          <w:color w:val="000000" w:themeColor="text1"/>
          <w:sz w:val="24"/>
          <w:lang w:val="en-GB"/>
        </w:rPr>
        <w:t xml:space="preserve"> </w:t>
      </w:r>
      <w:r w:rsidR="3B1EE742" w:rsidRPr="008704BD">
        <w:rPr>
          <w:rFonts w:ascii="Times New Roman" w:hAnsi="Times New Roman"/>
          <w:noProof/>
          <w:color w:val="000000" w:themeColor="text1"/>
          <w:sz w:val="24"/>
          <w:lang w:val="en-GB"/>
        </w:rPr>
        <w:t xml:space="preserve">For example, in a </w:t>
      </w:r>
      <w:r w:rsidR="01A006FC" w:rsidRPr="008704BD">
        <w:rPr>
          <w:rFonts w:ascii="Times New Roman" w:hAnsi="Times New Roman"/>
          <w:noProof/>
          <w:color w:val="000000" w:themeColor="text1"/>
          <w:sz w:val="24"/>
          <w:lang w:val="en-GB"/>
        </w:rPr>
        <w:t>resolution</w:t>
      </w:r>
      <w:r w:rsidR="009A7114" w:rsidRPr="008704BD">
        <w:rPr>
          <w:rFonts w:ascii="Times New Roman" w:hAnsi="Times New Roman"/>
          <w:noProof/>
          <w:color w:val="000000" w:themeColor="text1"/>
          <w:sz w:val="24"/>
          <w:vertAlign w:val="superscript"/>
          <w:lang w:val="en-GB"/>
        </w:rPr>
        <w:footnoteReference w:id="4"/>
      </w:r>
      <w:r w:rsidR="01A006FC" w:rsidRPr="008704BD">
        <w:rPr>
          <w:rFonts w:ascii="Times New Roman" w:hAnsi="Times New Roman"/>
          <w:noProof/>
          <w:color w:val="000000" w:themeColor="text1"/>
          <w:sz w:val="24"/>
          <w:lang w:val="en-GB"/>
        </w:rPr>
        <w:t xml:space="preserve"> from </w:t>
      </w:r>
      <w:r w:rsidR="3B1EE742" w:rsidRPr="008704BD">
        <w:rPr>
          <w:rFonts w:ascii="Times New Roman" w:hAnsi="Times New Roman"/>
          <w:noProof/>
          <w:color w:val="000000" w:themeColor="text1"/>
          <w:sz w:val="24"/>
          <w:lang w:val="en-GB"/>
        </w:rPr>
        <w:t>2019</w:t>
      </w:r>
      <w:r w:rsidR="0D45BF65" w:rsidRPr="008704BD">
        <w:rPr>
          <w:rFonts w:ascii="Times New Roman" w:hAnsi="Times New Roman"/>
          <w:noProof/>
          <w:color w:val="000000" w:themeColor="text1"/>
          <w:sz w:val="24"/>
          <w:lang w:val="en-GB"/>
        </w:rPr>
        <w:t>,</w:t>
      </w:r>
      <w:r w:rsidR="3B1EE742" w:rsidRPr="008704BD">
        <w:rPr>
          <w:rFonts w:ascii="Times New Roman" w:hAnsi="Times New Roman"/>
          <w:noProof/>
          <w:color w:val="000000" w:themeColor="text1"/>
          <w:sz w:val="24"/>
          <w:lang w:val="en-GB"/>
        </w:rPr>
        <w:t xml:space="preserve"> </w:t>
      </w:r>
      <w:r w:rsidR="7C4B36CE" w:rsidRPr="008704BD">
        <w:rPr>
          <w:rFonts w:ascii="Times New Roman" w:hAnsi="Times New Roman"/>
          <w:noProof/>
          <w:color w:val="000000" w:themeColor="text1"/>
          <w:sz w:val="24"/>
          <w:lang w:val="en-GB"/>
        </w:rPr>
        <w:t xml:space="preserve">the European Parliament </w:t>
      </w:r>
      <w:r w:rsidR="3B1EE742" w:rsidRPr="008704BD">
        <w:rPr>
          <w:rFonts w:ascii="Times New Roman" w:hAnsi="Times New Roman"/>
          <w:noProof/>
          <w:color w:val="000000" w:themeColor="text1"/>
          <w:sz w:val="24"/>
          <w:lang w:val="en-GB"/>
        </w:rPr>
        <w:t xml:space="preserve">called on the Commission to do more to fight tax fraud, evasion and avoidance including through greater </w:t>
      </w:r>
      <w:r w:rsidR="2C459B1F" w:rsidRPr="008704BD">
        <w:rPr>
          <w:rFonts w:ascii="Times New Roman" w:hAnsi="Times New Roman"/>
          <w:noProof/>
          <w:color w:val="000000" w:themeColor="text1"/>
          <w:sz w:val="24"/>
          <w:lang w:val="en-GB"/>
        </w:rPr>
        <w:t xml:space="preserve">administrative </w:t>
      </w:r>
      <w:r w:rsidR="3B1EE742" w:rsidRPr="008704BD">
        <w:rPr>
          <w:rFonts w:ascii="Times New Roman" w:hAnsi="Times New Roman"/>
          <w:noProof/>
          <w:color w:val="000000" w:themeColor="text1"/>
          <w:sz w:val="24"/>
          <w:lang w:val="en-GB"/>
        </w:rPr>
        <w:t>cooperation and exchan</w:t>
      </w:r>
      <w:r w:rsidR="5F632E6B" w:rsidRPr="008704BD">
        <w:rPr>
          <w:rFonts w:ascii="Times New Roman" w:hAnsi="Times New Roman"/>
          <w:noProof/>
          <w:color w:val="000000" w:themeColor="text1"/>
          <w:sz w:val="24"/>
          <w:lang w:val="en-GB"/>
        </w:rPr>
        <w:t>g</w:t>
      </w:r>
      <w:r w:rsidR="3B1EE742" w:rsidRPr="008704BD">
        <w:rPr>
          <w:rFonts w:ascii="Times New Roman" w:hAnsi="Times New Roman"/>
          <w:noProof/>
          <w:color w:val="000000" w:themeColor="text1"/>
          <w:sz w:val="24"/>
          <w:lang w:val="en-GB"/>
        </w:rPr>
        <w:t>e of information between Member States</w:t>
      </w:r>
      <w:r w:rsidR="2CBFA3B7" w:rsidRPr="008704BD">
        <w:rPr>
          <w:rFonts w:ascii="Times New Roman" w:hAnsi="Times New Roman"/>
          <w:noProof/>
          <w:color w:val="000000" w:themeColor="text1"/>
          <w:sz w:val="24"/>
          <w:lang w:val="en-GB"/>
        </w:rPr>
        <w:t>.</w:t>
      </w:r>
      <w:r w:rsidR="7C4B36CE" w:rsidRPr="008704BD">
        <w:rPr>
          <w:rFonts w:ascii="Times New Roman" w:hAnsi="Times New Roman"/>
          <w:noProof/>
          <w:color w:val="000000" w:themeColor="text1"/>
          <w:sz w:val="24"/>
          <w:lang w:val="en-GB"/>
        </w:rPr>
        <w:t xml:space="preserve"> </w:t>
      </w:r>
      <w:r w:rsidR="2CBFA3B7" w:rsidRPr="008704BD">
        <w:rPr>
          <w:rFonts w:ascii="Times New Roman" w:hAnsi="Times New Roman"/>
          <w:noProof/>
          <w:color w:val="000000" w:themeColor="text1"/>
          <w:sz w:val="24"/>
          <w:lang w:val="en-GB"/>
        </w:rPr>
        <w:t xml:space="preserve">More recently, the </w:t>
      </w:r>
      <w:r w:rsidR="216CD56A" w:rsidRPr="008704BD">
        <w:rPr>
          <w:rFonts w:ascii="Times New Roman" w:hAnsi="Times New Roman"/>
          <w:noProof/>
          <w:color w:val="000000" w:themeColor="text1"/>
          <w:sz w:val="24"/>
          <w:lang w:val="en-GB"/>
        </w:rPr>
        <w:t>European</w:t>
      </w:r>
      <w:r w:rsidR="2CBFA3B7" w:rsidRPr="008704BD">
        <w:rPr>
          <w:rFonts w:ascii="Times New Roman" w:hAnsi="Times New Roman"/>
          <w:noProof/>
          <w:color w:val="000000" w:themeColor="text1"/>
          <w:sz w:val="24"/>
          <w:lang w:val="en-GB"/>
        </w:rPr>
        <w:t xml:space="preserve"> Parliament published a </w:t>
      </w:r>
      <w:r w:rsidR="216CD56A" w:rsidRPr="008704BD">
        <w:rPr>
          <w:rFonts w:ascii="Times New Roman" w:hAnsi="Times New Roman"/>
          <w:noProof/>
          <w:color w:val="000000" w:themeColor="text1"/>
          <w:sz w:val="24"/>
          <w:lang w:val="en-GB"/>
        </w:rPr>
        <w:t xml:space="preserve">resolution </w:t>
      </w:r>
      <w:r w:rsidR="2CBFA3B7" w:rsidRPr="008704BD">
        <w:rPr>
          <w:rFonts w:ascii="Times New Roman" w:hAnsi="Times New Roman"/>
          <w:noProof/>
          <w:color w:val="000000" w:themeColor="text1"/>
          <w:sz w:val="24"/>
          <w:lang w:val="en-GB"/>
        </w:rPr>
        <w:t xml:space="preserve">about implementing the EU requirements for the exchange of tax information </w:t>
      </w:r>
      <w:r w:rsidR="7C4B36CE" w:rsidRPr="008704BD">
        <w:rPr>
          <w:rFonts w:ascii="Times New Roman" w:hAnsi="Times New Roman"/>
          <w:noProof/>
          <w:color w:val="000000" w:themeColor="text1"/>
          <w:sz w:val="24"/>
          <w:lang w:val="en-GB"/>
        </w:rPr>
        <w:t>h</w:t>
      </w:r>
      <w:r w:rsidR="4F4C3577" w:rsidRPr="008704BD">
        <w:rPr>
          <w:rFonts w:ascii="Times New Roman" w:hAnsi="Times New Roman"/>
          <w:noProof/>
          <w:color w:val="000000" w:themeColor="text1"/>
          <w:sz w:val="24"/>
          <w:lang w:val="en-GB"/>
        </w:rPr>
        <w:t>ighlighting aspects to improve administrative cooperation, some of which are addressed by this initiative.</w:t>
      </w:r>
      <w:r w:rsidR="00F16B98" w:rsidRPr="008704BD">
        <w:rPr>
          <w:rStyle w:val="FootnoteReference"/>
          <w:rFonts w:ascii="Times New Roman" w:hAnsi="Times New Roman"/>
          <w:noProof/>
          <w:color w:val="000000" w:themeColor="text1"/>
          <w:sz w:val="24"/>
          <w:lang w:val="en-GB"/>
        </w:rPr>
        <w:footnoteReference w:id="5"/>
      </w:r>
    </w:p>
    <w:p w14:paraId="61C0427A" w14:textId="77777777" w:rsidR="00F16B98" w:rsidRPr="00A67E41" w:rsidRDefault="00EF4E38" w:rsidP="008E2DB3">
      <w:pPr>
        <w:spacing w:after="200" w:line="240" w:lineRule="auto"/>
        <w:jc w:val="both"/>
        <w:rPr>
          <w:rFonts w:ascii="Times New Roman" w:hAnsi="Times New Roman" w:cs="Times New Roman"/>
          <w:noProof/>
          <w:sz w:val="24"/>
          <w:szCs w:val="24"/>
        </w:rPr>
      </w:pPr>
      <w:r w:rsidRPr="008704BD">
        <w:rPr>
          <w:rFonts w:ascii="Times New Roman" w:hAnsi="Times New Roman"/>
          <w:noProof/>
          <w:color w:val="000000" w:themeColor="text1"/>
          <w:sz w:val="24"/>
          <w:lang w:val="en-GB"/>
        </w:rPr>
        <w:t>Fair taxation and the fight against tax fraud, evasion and avoidance are priorities shared by the Council and the European Parliament.</w:t>
      </w:r>
      <w:r w:rsidR="00207814" w:rsidRPr="008704BD">
        <w:rPr>
          <w:rFonts w:ascii="Times New Roman" w:hAnsi="Times New Roman"/>
          <w:noProof/>
          <w:color w:val="000000" w:themeColor="text1"/>
          <w:sz w:val="24"/>
          <w:lang w:val="en-GB"/>
        </w:rPr>
        <w:t xml:space="preserve"> </w:t>
      </w:r>
      <w:r w:rsidR="00F16B98" w:rsidRPr="008704BD">
        <w:rPr>
          <w:rFonts w:ascii="Times New Roman" w:hAnsi="Times New Roman"/>
          <w:noProof/>
          <w:sz w:val="24"/>
          <w:lang w:val="en-GB"/>
        </w:rPr>
        <w:t>Better administrative cooperation and greater exchange of information between tax administrations are essential in the fight against tax avoidance and evasion. Major progress has been made over the past years in this respect.</w:t>
      </w:r>
      <w:r w:rsidR="00F16B98" w:rsidRPr="00A67E41">
        <w:rPr>
          <w:rFonts w:ascii="Times New Roman" w:hAnsi="Times New Roman" w:cs="Times New Roman"/>
          <w:noProof/>
          <w:sz w:val="24"/>
          <w:szCs w:val="24"/>
        </w:rPr>
        <w:t xml:space="preserve"> </w:t>
      </w:r>
    </w:p>
    <w:p w14:paraId="27C336D6" w14:textId="77777777" w:rsidR="00A90CFF" w:rsidRPr="008704BD" w:rsidRDefault="00A00CB1" w:rsidP="00A90CFF">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Th</w:t>
      </w:r>
      <w:r w:rsidR="00F16B98" w:rsidRPr="008704BD">
        <w:rPr>
          <w:rFonts w:ascii="Times New Roman" w:hAnsi="Times New Roman"/>
          <w:noProof/>
          <w:sz w:val="24"/>
          <w:lang w:val="en-GB"/>
        </w:rPr>
        <w:t>e</w:t>
      </w:r>
      <w:r w:rsidRPr="008704BD">
        <w:rPr>
          <w:rFonts w:ascii="Times New Roman" w:hAnsi="Times New Roman"/>
          <w:noProof/>
          <w:sz w:val="24"/>
          <w:lang w:val="en-GB"/>
        </w:rPr>
        <w:t xml:space="preserve"> </w:t>
      </w:r>
      <w:r w:rsidR="00F16B98" w:rsidRPr="008704BD">
        <w:rPr>
          <w:rFonts w:ascii="Times New Roman" w:hAnsi="Times New Roman"/>
          <w:noProof/>
          <w:sz w:val="24"/>
          <w:lang w:val="en-GB"/>
        </w:rPr>
        <w:t xml:space="preserve">mechanism for </w:t>
      </w:r>
      <w:r w:rsidRPr="008704BD">
        <w:rPr>
          <w:rFonts w:ascii="Times New Roman" w:hAnsi="Times New Roman"/>
          <w:noProof/>
          <w:sz w:val="24"/>
          <w:lang w:val="en-GB"/>
        </w:rPr>
        <w:t xml:space="preserve">cooperation and exchange of information within the EU for the purpose of direct taxation is framed by </w:t>
      </w:r>
      <w:r w:rsidR="00A36BC4" w:rsidRPr="008704BD">
        <w:rPr>
          <w:rFonts w:ascii="Times New Roman" w:hAnsi="Times New Roman"/>
          <w:noProof/>
          <w:sz w:val="24"/>
          <w:lang w:val="en-GB"/>
        </w:rPr>
        <w:t xml:space="preserve">the </w:t>
      </w:r>
      <w:r w:rsidR="004A4B73" w:rsidRPr="008704BD">
        <w:rPr>
          <w:rFonts w:ascii="Times New Roman" w:hAnsi="Times New Roman"/>
          <w:noProof/>
          <w:sz w:val="24"/>
          <w:lang w:val="en-GB"/>
        </w:rPr>
        <w:t xml:space="preserve">Council </w:t>
      </w:r>
      <w:r w:rsidR="00A36BC4" w:rsidRPr="008704BD">
        <w:rPr>
          <w:rFonts w:ascii="Times New Roman" w:hAnsi="Times New Roman"/>
          <w:noProof/>
          <w:sz w:val="24"/>
          <w:lang w:val="en-GB"/>
        </w:rPr>
        <w:t>Directive 2011/16/EU</w:t>
      </w:r>
      <w:r w:rsidR="004A4B73" w:rsidRPr="008704BD">
        <w:rPr>
          <w:rFonts w:ascii="Times New Roman" w:hAnsi="Times New Roman"/>
          <w:noProof/>
          <w:sz w:val="24"/>
          <w:lang w:val="en-GB"/>
        </w:rPr>
        <w:t xml:space="preserve"> on administrative cooperation in the field of </w:t>
      </w:r>
      <w:r w:rsidR="0B621B55" w:rsidRPr="008704BD">
        <w:rPr>
          <w:rFonts w:ascii="Times New Roman" w:hAnsi="Times New Roman"/>
          <w:noProof/>
          <w:sz w:val="24"/>
          <w:lang w:val="en-GB"/>
        </w:rPr>
        <w:t>direct</w:t>
      </w:r>
      <w:r w:rsidR="004A4B73" w:rsidRPr="008704BD">
        <w:rPr>
          <w:rFonts w:ascii="Times New Roman" w:hAnsi="Times New Roman"/>
          <w:noProof/>
          <w:sz w:val="24"/>
          <w:lang w:val="en-GB"/>
        </w:rPr>
        <w:t xml:space="preserve"> taxation</w:t>
      </w:r>
      <w:r w:rsidR="00A36BC4" w:rsidRPr="008704BD">
        <w:rPr>
          <w:rFonts w:ascii="Times New Roman" w:hAnsi="Times New Roman"/>
          <w:noProof/>
          <w:sz w:val="24"/>
          <w:vertAlign w:val="superscript"/>
          <w:lang w:val="en-GB"/>
        </w:rPr>
        <w:footnoteReference w:id="6"/>
      </w:r>
      <w:r w:rsidR="00A36BC4" w:rsidRPr="008704BD">
        <w:rPr>
          <w:rFonts w:ascii="Times New Roman" w:hAnsi="Times New Roman"/>
          <w:noProof/>
          <w:sz w:val="24"/>
          <w:lang w:val="en-GB"/>
        </w:rPr>
        <w:t xml:space="preserve"> (hereafter </w:t>
      </w:r>
      <w:r w:rsidR="00207814" w:rsidRPr="008704BD">
        <w:rPr>
          <w:rFonts w:ascii="Times New Roman" w:hAnsi="Times New Roman"/>
          <w:noProof/>
          <w:sz w:val="24"/>
          <w:lang w:val="en-GB"/>
        </w:rPr>
        <w:t>referred to as</w:t>
      </w:r>
      <w:r w:rsidR="00A36BC4" w:rsidRPr="008704BD">
        <w:rPr>
          <w:rFonts w:ascii="Times New Roman" w:hAnsi="Times New Roman"/>
          <w:noProof/>
          <w:sz w:val="24"/>
          <w:lang w:val="en-GB"/>
        </w:rPr>
        <w:t xml:space="preserve"> </w:t>
      </w:r>
      <w:r w:rsidR="0033712A" w:rsidRPr="008704BD">
        <w:rPr>
          <w:rFonts w:ascii="Times New Roman" w:hAnsi="Times New Roman"/>
          <w:noProof/>
          <w:sz w:val="24"/>
          <w:lang w:val="en-GB"/>
        </w:rPr>
        <w:t>“</w:t>
      </w:r>
      <w:r w:rsidR="004A4B73" w:rsidRPr="008704BD">
        <w:rPr>
          <w:rFonts w:ascii="Times New Roman" w:hAnsi="Times New Roman"/>
          <w:noProof/>
          <w:sz w:val="24"/>
          <w:lang w:val="en-GB"/>
        </w:rPr>
        <w:t>Directive 2011/16/EU</w:t>
      </w:r>
      <w:r w:rsidR="0033712A" w:rsidRPr="008704BD">
        <w:rPr>
          <w:rFonts w:ascii="Times New Roman" w:hAnsi="Times New Roman"/>
          <w:noProof/>
          <w:sz w:val="24"/>
          <w:lang w:val="en-GB"/>
        </w:rPr>
        <w:t>”</w:t>
      </w:r>
      <w:r w:rsidR="004A4B73" w:rsidRPr="008704BD">
        <w:rPr>
          <w:rFonts w:ascii="Times New Roman" w:hAnsi="Times New Roman"/>
          <w:noProof/>
          <w:sz w:val="24"/>
          <w:lang w:val="en-GB"/>
        </w:rPr>
        <w:t xml:space="preserve"> or</w:t>
      </w:r>
      <w:r w:rsidR="00A36BC4" w:rsidRPr="008704BD">
        <w:rPr>
          <w:rFonts w:ascii="Times New Roman" w:hAnsi="Times New Roman"/>
          <w:noProof/>
          <w:sz w:val="24"/>
          <w:lang w:val="en-GB"/>
        </w:rPr>
        <w:t xml:space="preserve"> </w:t>
      </w:r>
      <w:r w:rsidR="0033712A" w:rsidRPr="008704BD">
        <w:rPr>
          <w:rFonts w:ascii="Times New Roman" w:hAnsi="Times New Roman"/>
          <w:noProof/>
          <w:sz w:val="24"/>
          <w:lang w:val="en-GB"/>
        </w:rPr>
        <w:t>“</w:t>
      </w:r>
      <w:r w:rsidR="00A36BC4" w:rsidRPr="008704BD">
        <w:rPr>
          <w:rFonts w:ascii="Times New Roman" w:hAnsi="Times New Roman"/>
          <w:noProof/>
          <w:sz w:val="24"/>
          <w:lang w:val="en-GB"/>
        </w:rPr>
        <w:t>DAC</w:t>
      </w:r>
      <w:r w:rsidR="0033712A" w:rsidRPr="008704BD">
        <w:rPr>
          <w:rFonts w:ascii="Times New Roman" w:hAnsi="Times New Roman"/>
          <w:noProof/>
          <w:sz w:val="24"/>
          <w:lang w:val="en-GB"/>
        </w:rPr>
        <w:t>”</w:t>
      </w:r>
      <w:r w:rsidR="00A36BC4" w:rsidRPr="008704BD">
        <w:rPr>
          <w:rFonts w:ascii="Times New Roman" w:hAnsi="Times New Roman"/>
          <w:noProof/>
          <w:sz w:val="24"/>
          <w:lang w:val="en-GB"/>
        </w:rPr>
        <w:t>)</w:t>
      </w:r>
      <w:r w:rsidR="27D944EA" w:rsidRPr="008704BD">
        <w:rPr>
          <w:rFonts w:ascii="Times New Roman" w:hAnsi="Times New Roman"/>
          <w:noProof/>
          <w:sz w:val="24"/>
          <w:lang w:val="en-GB"/>
        </w:rPr>
        <w:t xml:space="preserve">. </w:t>
      </w:r>
      <w:r w:rsidR="00F16B98" w:rsidRPr="008704BD">
        <w:rPr>
          <w:rFonts w:ascii="Times New Roman" w:hAnsi="Times New Roman"/>
          <w:noProof/>
          <w:sz w:val="24"/>
          <w:lang w:val="en-GB"/>
        </w:rPr>
        <w:t xml:space="preserve">Through the provision of an efficient mechanism for administrative cooperation and exchange of information between Member States, the DAC aims at protecting the financial interests of the Member States and the EU while fighting against tax fraud, evasion and avoidance. To this </w:t>
      </w:r>
      <w:r w:rsidR="006D08A1" w:rsidRPr="008704BD">
        <w:rPr>
          <w:rFonts w:ascii="Times New Roman" w:hAnsi="Times New Roman"/>
          <w:noProof/>
          <w:sz w:val="24"/>
          <w:lang w:val="en-GB"/>
        </w:rPr>
        <w:t>effect,</w:t>
      </w:r>
      <w:r w:rsidR="00F16B98" w:rsidRPr="008704BD">
        <w:rPr>
          <w:rFonts w:ascii="Times New Roman" w:hAnsi="Times New Roman"/>
          <w:noProof/>
          <w:sz w:val="24"/>
          <w:lang w:val="en-GB"/>
        </w:rPr>
        <w:t xml:space="preserve"> it ensures a proper functioning of the Internal Market, greater transparency, </w:t>
      </w:r>
      <w:r w:rsidR="4E9D3DAF" w:rsidRPr="008704BD">
        <w:rPr>
          <w:rFonts w:ascii="Times New Roman" w:hAnsi="Times New Roman"/>
          <w:noProof/>
          <w:sz w:val="24"/>
          <w:lang w:val="en-GB"/>
        </w:rPr>
        <w:t>as well as an overall fair taxation system</w:t>
      </w:r>
      <w:r w:rsidRPr="008704BD">
        <w:rPr>
          <w:rFonts w:ascii="Times New Roman" w:hAnsi="Times New Roman"/>
          <w:noProof/>
          <w:sz w:val="24"/>
          <w:lang w:val="en-GB"/>
        </w:rPr>
        <w:t>.</w:t>
      </w:r>
      <w:r w:rsidR="259023E1" w:rsidRPr="008704BD">
        <w:rPr>
          <w:rFonts w:ascii="Times New Roman" w:hAnsi="Times New Roman"/>
          <w:noProof/>
          <w:sz w:val="24"/>
          <w:lang w:val="en-GB"/>
        </w:rPr>
        <w:t xml:space="preserve"> </w:t>
      </w:r>
      <w:r w:rsidR="26A33D82" w:rsidRPr="008704BD">
        <w:rPr>
          <w:rFonts w:ascii="Times New Roman" w:hAnsi="Times New Roman"/>
          <w:noProof/>
          <w:sz w:val="24"/>
          <w:lang w:val="en-GB"/>
        </w:rPr>
        <w:t>The scope of DAC has been extended six times over the last years in order</w:t>
      </w:r>
      <w:r w:rsidR="26A33D82" w:rsidRPr="008704BD">
        <w:rPr>
          <w:rFonts w:ascii="Times New Roman" w:hAnsi="Times New Roman"/>
          <w:noProof/>
          <w:sz w:val="24"/>
          <w:vertAlign w:val="superscript"/>
          <w:lang w:val="en-GB"/>
        </w:rPr>
        <w:t xml:space="preserve"> </w:t>
      </w:r>
      <w:r w:rsidR="26A33D82" w:rsidRPr="008704BD">
        <w:rPr>
          <w:rFonts w:ascii="Times New Roman" w:hAnsi="Times New Roman"/>
          <w:noProof/>
          <w:sz w:val="24"/>
          <w:lang w:val="en-GB"/>
        </w:rPr>
        <w:t>to meet new challenges</w:t>
      </w:r>
      <w:r w:rsidR="00EC7EB5" w:rsidRPr="008704BD">
        <w:rPr>
          <w:rFonts w:ascii="Times New Roman" w:hAnsi="Times New Roman"/>
          <w:noProof/>
          <w:sz w:val="24"/>
          <w:lang w:val="en-GB"/>
        </w:rPr>
        <w:t xml:space="preserve"> and adjust to new economic realities</w:t>
      </w:r>
      <w:r w:rsidR="26A33D82" w:rsidRPr="008704BD">
        <w:rPr>
          <w:rFonts w:ascii="Times New Roman" w:hAnsi="Times New Roman"/>
          <w:noProof/>
          <w:sz w:val="24"/>
          <w:lang w:val="en-GB"/>
        </w:rPr>
        <w:t>.</w:t>
      </w:r>
      <w:r w:rsidRPr="008704BD">
        <w:rPr>
          <w:rFonts w:ascii="Times New Roman" w:hAnsi="Times New Roman"/>
          <w:noProof/>
          <w:sz w:val="24"/>
          <w:vertAlign w:val="superscript"/>
          <w:lang w:val="en-GB"/>
        </w:rPr>
        <w:footnoteReference w:id="7"/>
      </w:r>
    </w:p>
    <w:p w14:paraId="071B7488" w14:textId="77777777" w:rsidR="00D603CB" w:rsidRDefault="00D603CB" w:rsidP="3169A91F">
      <w:pPr>
        <w:spacing w:after="200" w:line="240" w:lineRule="auto"/>
        <w:jc w:val="both"/>
        <w:rPr>
          <w:rFonts w:ascii="Times New Roman" w:hAnsi="Times New Roman" w:cs="Times New Roman"/>
          <w:noProof/>
          <w:sz w:val="16"/>
          <w:szCs w:val="16"/>
          <w:lang w:val="en-GB"/>
        </w:rPr>
      </w:pPr>
    </w:p>
    <w:p w14:paraId="43522F24" w14:textId="77777777" w:rsidR="00A36BC4" w:rsidRPr="008704BD" w:rsidRDefault="4BD540D6" w:rsidP="1314CC47">
      <w:pPr>
        <w:spacing w:after="200" w:line="240" w:lineRule="auto"/>
        <w:jc w:val="both"/>
        <w:rPr>
          <w:rFonts w:ascii="Times New Roman" w:hAnsi="Times New Roman"/>
          <w:i/>
          <w:noProof/>
          <w:sz w:val="24"/>
          <w:lang w:val="en-GB"/>
        </w:rPr>
      </w:pPr>
      <w:r w:rsidRPr="008704BD">
        <w:rPr>
          <w:rFonts w:ascii="Times New Roman" w:hAnsi="Times New Roman"/>
          <w:i/>
          <w:noProof/>
          <w:sz w:val="24"/>
          <w:lang w:val="en-GB"/>
        </w:rPr>
        <w:t>Table 1 – DAC evolution</w:t>
      </w:r>
    </w:p>
    <w:tbl>
      <w:tblPr>
        <w:tblStyle w:val="TableGrid"/>
        <w:tblW w:w="5172" w:type="pct"/>
        <w:tblLayout w:type="fixed"/>
        <w:tblLook w:val="04A0" w:firstRow="1" w:lastRow="0" w:firstColumn="1" w:lastColumn="0" w:noHBand="0" w:noVBand="1"/>
      </w:tblPr>
      <w:tblGrid>
        <w:gridCol w:w="1209"/>
        <w:gridCol w:w="1209"/>
        <w:gridCol w:w="1209"/>
        <w:gridCol w:w="1209"/>
        <w:gridCol w:w="1209"/>
        <w:gridCol w:w="1209"/>
        <w:gridCol w:w="1209"/>
        <w:gridCol w:w="1209"/>
      </w:tblGrid>
      <w:tr w:rsidR="001A0E69" w:rsidRPr="006E5F59" w14:paraId="403E4A89" w14:textId="77777777" w:rsidTr="1FF2A622">
        <w:trPr>
          <w:trHeight w:val="276"/>
        </w:trPr>
        <w:tc>
          <w:tcPr>
            <w:tcW w:w="5000" w:type="pct"/>
            <w:gridSpan w:val="8"/>
          </w:tcPr>
          <w:p w14:paraId="42E75896" w14:textId="77777777" w:rsidR="001A0E69" w:rsidRPr="006E5F59" w:rsidRDefault="001A0E69" w:rsidP="1FF2A622">
            <w:pPr>
              <w:jc w:val="center"/>
              <w:rPr>
                <w:rFonts w:ascii="Times New Roman" w:hAnsi="Times New Roman" w:cs="Times New Roman"/>
                <w:b/>
                <w:bCs/>
                <w:noProof/>
                <w:sz w:val="16"/>
                <w:szCs w:val="16"/>
              </w:rPr>
            </w:pPr>
            <w:r w:rsidRPr="006E5F59">
              <w:rPr>
                <w:rFonts w:ascii="Times New Roman" w:hAnsi="Times New Roman" w:cs="Times New Roman"/>
                <w:b/>
                <w:bCs/>
                <w:noProof/>
                <w:sz w:val="16"/>
                <w:szCs w:val="16"/>
              </w:rPr>
              <w:t xml:space="preserve">Directive on Administrative Cooperation </w:t>
            </w:r>
            <w:r w:rsidR="00F16B98" w:rsidRPr="006E5F59">
              <w:rPr>
                <w:rFonts w:ascii="Times New Roman" w:hAnsi="Times New Roman" w:cs="Times New Roman"/>
                <w:b/>
                <w:bCs/>
                <w:noProof/>
                <w:sz w:val="16"/>
                <w:szCs w:val="16"/>
              </w:rPr>
              <w:t xml:space="preserve">– </w:t>
            </w:r>
            <w:r w:rsidRPr="006E5F59">
              <w:rPr>
                <w:rFonts w:ascii="Times New Roman" w:hAnsi="Times New Roman" w:cs="Times New Roman"/>
                <w:b/>
                <w:bCs/>
                <w:noProof/>
                <w:sz w:val="16"/>
                <w:szCs w:val="16"/>
              </w:rPr>
              <w:t>DAC</w:t>
            </w:r>
          </w:p>
        </w:tc>
      </w:tr>
      <w:tr w:rsidR="00C60FCA" w:rsidRPr="006E5F59" w14:paraId="661EC68E" w14:textId="77777777" w:rsidTr="1FF2A622">
        <w:trPr>
          <w:trHeight w:val="5394"/>
        </w:trPr>
        <w:tc>
          <w:tcPr>
            <w:tcW w:w="625" w:type="pct"/>
          </w:tcPr>
          <w:p w14:paraId="30BE2DA8" w14:textId="77777777" w:rsidR="00C60FCA" w:rsidRPr="006E5F59" w:rsidRDefault="00C60FCA" w:rsidP="00C60FCA">
            <w:pPr>
              <w:pStyle w:val="paragraph"/>
              <w:spacing w:before="0" w:beforeAutospacing="0" w:after="0" w:afterAutospacing="0"/>
              <w:textAlignment w:val="baseline"/>
              <w:divId w:val="104737563"/>
              <w:rPr>
                <w:noProof/>
                <w:sz w:val="18"/>
                <w:szCs w:val="18"/>
              </w:rPr>
            </w:pPr>
            <w:r w:rsidRPr="006E5F59">
              <w:rPr>
                <w:rStyle w:val="normaltextrun"/>
                <w:b/>
                <w:noProof/>
                <w:sz w:val="16"/>
                <w:szCs w:val="16"/>
              </w:rPr>
              <w:t>DAC1</w:t>
            </w:r>
            <w:r w:rsidRPr="006E5F59">
              <w:rPr>
                <w:rStyle w:val="eop"/>
                <w:noProof/>
                <w:sz w:val="16"/>
                <w:szCs w:val="16"/>
              </w:rPr>
              <w:t> </w:t>
            </w:r>
          </w:p>
          <w:p w14:paraId="0AEA4F3D" w14:textId="77777777" w:rsidR="00C60FCA" w:rsidRPr="006E5F59" w:rsidRDefault="00C60FCA" w:rsidP="00C60FCA">
            <w:pPr>
              <w:pStyle w:val="paragraph"/>
              <w:spacing w:before="0" w:beforeAutospacing="0" w:after="0" w:afterAutospacing="0"/>
              <w:textAlignment w:val="baseline"/>
              <w:divId w:val="774205690"/>
              <w:rPr>
                <w:noProof/>
                <w:sz w:val="18"/>
                <w:szCs w:val="18"/>
              </w:rPr>
            </w:pPr>
            <w:r w:rsidRPr="006E5F59">
              <w:rPr>
                <w:rStyle w:val="normaltextrun"/>
                <w:b/>
                <w:noProof/>
                <w:sz w:val="16"/>
                <w:szCs w:val="16"/>
              </w:rPr>
              <w:t>2011/16/EU</w:t>
            </w:r>
            <w:r w:rsidRPr="006E5F59">
              <w:rPr>
                <w:rStyle w:val="eop"/>
                <w:noProof/>
                <w:sz w:val="16"/>
                <w:szCs w:val="16"/>
              </w:rPr>
              <w:t> </w:t>
            </w:r>
          </w:p>
          <w:p w14:paraId="59EE9C65" w14:textId="77777777" w:rsidR="00C60FCA" w:rsidRPr="006E5F59" w:rsidRDefault="56F64845" w:rsidP="00C60FCA">
            <w:pPr>
              <w:pStyle w:val="paragraph"/>
              <w:spacing w:before="0" w:beforeAutospacing="0" w:after="0" w:afterAutospacing="0"/>
              <w:textAlignment w:val="baseline"/>
              <w:divId w:val="1159005549"/>
              <w:rPr>
                <w:noProof/>
                <w:sz w:val="18"/>
                <w:szCs w:val="18"/>
              </w:rPr>
            </w:pPr>
            <w:r w:rsidRPr="006E5F59">
              <w:rPr>
                <w:rStyle w:val="eop"/>
                <w:noProof/>
                <w:sz w:val="16"/>
                <w:szCs w:val="16"/>
              </w:rPr>
              <w:t> </w:t>
            </w:r>
          </w:p>
          <w:p w14:paraId="31F2A23D" w14:textId="77777777" w:rsidR="00C60FCA" w:rsidRPr="006E5F59" w:rsidRDefault="00C60FCA" w:rsidP="00C60FCA">
            <w:pPr>
              <w:pStyle w:val="paragraph"/>
              <w:spacing w:before="0" w:beforeAutospacing="0" w:after="0" w:afterAutospacing="0"/>
              <w:textAlignment w:val="baseline"/>
              <w:divId w:val="549414712"/>
              <w:rPr>
                <w:noProof/>
                <w:sz w:val="18"/>
                <w:szCs w:val="18"/>
              </w:rPr>
            </w:pPr>
            <w:r w:rsidRPr="006E5F59">
              <w:rPr>
                <w:rStyle w:val="normaltextrun"/>
                <w:noProof/>
                <w:sz w:val="16"/>
                <w:szCs w:val="16"/>
              </w:rPr>
              <w:t>Applies 1/2013</w:t>
            </w:r>
            <w:r w:rsidRPr="006E5F59">
              <w:rPr>
                <w:rStyle w:val="eop"/>
                <w:noProof/>
                <w:sz w:val="16"/>
                <w:szCs w:val="16"/>
              </w:rPr>
              <w:t> </w:t>
            </w:r>
          </w:p>
          <w:p w14:paraId="4446C5F1" w14:textId="77777777" w:rsidR="00E826CF" w:rsidRPr="006E5F59" w:rsidRDefault="00E826CF" w:rsidP="00C60FCA">
            <w:pPr>
              <w:pStyle w:val="paragraph"/>
              <w:spacing w:before="0" w:beforeAutospacing="0" w:after="0" w:afterAutospacing="0"/>
              <w:textAlignment w:val="baseline"/>
              <w:divId w:val="1911232630"/>
              <w:rPr>
                <w:rStyle w:val="normaltextrun"/>
                <w:b/>
                <w:bCs/>
                <w:noProof/>
                <w:sz w:val="16"/>
                <w:szCs w:val="16"/>
              </w:rPr>
            </w:pPr>
          </w:p>
          <w:p w14:paraId="6A2488D6" w14:textId="77777777" w:rsidR="00E826CF" w:rsidRPr="006E5F59" w:rsidRDefault="00E826CF" w:rsidP="00C60FCA">
            <w:pPr>
              <w:pStyle w:val="paragraph"/>
              <w:spacing w:before="0" w:beforeAutospacing="0" w:after="0" w:afterAutospacing="0"/>
              <w:textAlignment w:val="baseline"/>
              <w:divId w:val="1911232630"/>
              <w:rPr>
                <w:rStyle w:val="normaltextrun"/>
                <w:b/>
                <w:bCs/>
                <w:noProof/>
                <w:sz w:val="16"/>
                <w:szCs w:val="16"/>
              </w:rPr>
            </w:pPr>
          </w:p>
          <w:p w14:paraId="16A2753A" w14:textId="77777777" w:rsidR="00E826CF" w:rsidRPr="006E5F59" w:rsidRDefault="00E826CF" w:rsidP="00C60FCA">
            <w:pPr>
              <w:pStyle w:val="paragraph"/>
              <w:spacing w:before="0" w:beforeAutospacing="0" w:after="0" w:afterAutospacing="0"/>
              <w:textAlignment w:val="baseline"/>
              <w:divId w:val="1911232630"/>
              <w:rPr>
                <w:rStyle w:val="normaltextrun"/>
                <w:b/>
                <w:bCs/>
                <w:noProof/>
                <w:sz w:val="16"/>
                <w:szCs w:val="16"/>
              </w:rPr>
            </w:pPr>
          </w:p>
          <w:p w14:paraId="7177F2BB" w14:textId="77777777" w:rsidR="00C60FCA" w:rsidRPr="006E5F59" w:rsidRDefault="00C60FCA" w:rsidP="00C60FCA">
            <w:pPr>
              <w:pStyle w:val="paragraph"/>
              <w:spacing w:before="0" w:beforeAutospacing="0" w:after="0" w:afterAutospacing="0"/>
              <w:textAlignment w:val="baseline"/>
              <w:divId w:val="1911232630"/>
              <w:rPr>
                <w:noProof/>
                <w:sz w:val="18"/>
                <w:szCs w:val="18"/>
              </w:rPr>
            </w:pPr>
            <w:r w:rsidRPr="006E5F59">
              <w:rPr>
                <w:rStyle w:val="normaltextrun"/>
                <w:b/>
                <w:bCs/>
                <w:noProof/>
                <w:sz w:val="16"/>
                <w:szCs w:val="16"/>
              </w:rPr>
              <w:t xml:space="preserve">-Exchange </w:t>
            </w:r>
            <w:r w:rsidR="6DD9B3D6" w:rsidRPr="006E5F59">
              <w:rPr>
                <w:rStyle w:val="normaltextrun"/>
                <w:b/>
                <w:bCs/>
                <w:noProof/>
                <w:sz w:val="16"/>
                <w:szCs w:val="16"/>
              </w:rPr>
              <w:t xml:space="preserve">of information </w:t>
            </w:r>
            <w:r w:rsidRPr="006E5F59">
              <w:rPr>
                <w:rStyle w:val="normaltextrun"/>
                <w:b/>
                <w:bCs/>
                <w:noProof/>
                <w:sz w:val="16"/>
                <w:szCs w:val="16"/>
              </w:rPr>
              <w:t>on request</w:t>
            </w:r>
            <w:r w:rsidRPr="006E5F59">
              <w:rPr>
                <w:rStyle w:val="eop"/>
                <w:noProof/>
                <w:sz w:val="16"/>
                <w:szCs w:val="16"/>
              </w:rPr>
              <w:t> </w:t>
            </w:r>
          </w:p>
          <w:p w14:paraId="21A7E6C6" w14:textId="77777777" w:rsidR="00C60FCA" w:rsidRPr="006E5F59" w:rsidRDefault="00C60FCA" w:rsidP="00C60FCA">
            <w:pPr>
              <w:pStyle w:val="paragraph"/>
              <w:spacing w:before="0" w:beforeAutospacing="0" w:after="0" w:afterAutospacing="0"/>
              <w:textAlignment w:val="baseline"/>
              <w:divId w:val="1836993642"/>
              <w:rPr>
                <w:noProof/>
                <w:sz w:val="18"/>
                <w:szCs w:val="18"/>
              </w:rPr>
            </w:pPr>
            <w:r w:rsidRPr="006E5F59">
              <w:rPr>
                <w:rStyle w:val="normaltextrun"/>
                <w:b/>
                <w:bCs/>
                <w:noProof/>
                <w:sz w:val="16"/>
                <w:szCs w:val="16"/>
              </w:rPr>
              <w:t>-Spontaneous exchange</w:t>
            </w:r>
            <w:r w:rsidRPr="006E5F59">
              <w:rPr>
                <w:rStyle w:val="eop"/>
                <w:noProof/>
                <w:sz w:val="16"/>
                <w:szCs w:val="16"/>
              </w:rPr>
              <w:t> </w:t>
            </w:r>
            <w:r w:rsidR="4D2C266F" w:rsidRPr="006E5F59">
              <w:rPr>
                <w:rStyle w:val="eop"/>
                <w:noProof/>
                <w:sz w:val="16"/>
                <w:szCs w:val="16"/>
              </w:rPr>
              <w:t>of information</w:t>
            </w:r>
          </w:p>
          <w:p w14:paraId="414CF0B4" w14:textId="77777777" w:rsidR="00C60FCA" w:rsidRPr="006E5F59" w:rsidRDefault="00C60FCA" w:rsidP="00C60FCA">
            <w:pPr>
              <w:pStyle w:val="paragraph"/>
              <w:spacing w:before="0" w:beforeAutospacing="0" w:after="0" w:afterAutospacing="0"/>
              <w:textAlignment w:val="baseline"/>
              <w:divId w:val="677389344"/>
              <w:rPr>
                <w:noProof/>
                <w:sz w:val="18"/>
                <w:szCs w:val="18"/>
              </w:rPr>
            </w:pPr>
            <w:r w:rsidRPr="006E5F59">
              <w:rPr>
                <w:rStyle w:val="normaltextrun"/>
                <w:b/>
                <w:bCs/>
                <w:noProof/>
                <w:sz w:val="16"/>
                <w:szCs w:val="16"/>
              </w:rPr>
              <w:t>-Presence in adm. offices</w:t>
            </w:r>
            <w:r w:rsidRPr="006E5F59">
              <w:rPr>
                <w:rStyle w:val="eop"/>
                <w:noProof/>
                <w:sz w:val="16"/>
                <w:szCs w:val="16"/>
              </w:rPr>
              <w:t> </w:t>
            </w:r>
          </w:p>
          <w:p w14:paraId="3FBAFAC3" w14:textId="77777777" w:rsidR="00C60FCA" w:rsidRPr="006E5F59" w:rsidRDefault="00C60FCA" w:rsidP="00C60FCA">
            <w:pPr>
              <w:pStyle w:val="paragraph"/>
              <w:spacing w:before="0" w:beforeAutospacing="0" w:after="0" w:afterAutospacing="0"/>
              <w:textAlignment w:val="baseline"/>
              <w:divId w:val="2092844410"/>
              <w:rPr>
                <w:noProof/>
                <w:sz w:val="18"/>
                <w:szCs w:val="18"/>
              </w:rPr>
            </w:pPr>
            <w:r w:rsidRPr="006E5F59">
              <w:rPr>
                <w:rStyle w:val="normaltextrun"/>
                <w:b/>
                <w:bCs/>
                <w:noProof/>
                <w:sz w:val="16"/>
                <w:szCs w:val="16"/>
              </w:rPr>
              <w:t>-Simultaneous controls</w:t>
            </w:r>
            <w:r w:rsidRPr="006E5F59">
              <w:rPr>
                <w:rStyle w:val="eop"/>
                <w:noProof/>
                <w:sz w:val="16"/>
                <w:szCs w:val="16"/>
              </w:rPr>
              <w:t> </w:t>
            </w:r>
          </w:p>
          <w:p w14:paraId="0332EEB9" w14:textId="77777777" w:rsidR="00C60FCA" w:rsidRPr="006E5F59" w:rsidRDefault="00C60FCA" w:rsidP="00C60FCA">
            <w:pPr>
              <w:pStyle w:val="paragraph"/>
              <w:spacing w:before="0" w:beforeAutospacing="0" w:after="0" w:afterAutospacing="0"/>
              <w:textAlignment w:val="baseline"/>
              <w:divId w:val="2035038988"/>
              <w:rPr>
                <w:noProof/>
                <w:sz w:val="18"/>
                <w:szCs w:val="18"/>
              </w:rPr>
            </w:pPr>
            <w:r w:rsidRPr="006E5F59">
              <w:rPr>
                <w:rStyle w:val="normaltextrun"/>
                <w:b/>
                <w:bCs/>
                <w:noProof/>
                <w:sz w:val="16"/>
                <w:szCs w:val="16"/>
              </w:rPr>
              <w:t>-Request for notification</w:t>
            </w:r>
            <w:r w:rsidRPr="006E5F59">
              <w:rPr>
                <w:rStyle w:val="eop"/>
                <w:noProof/>
                <w:sz w:val="16"/>
                <w:szCs w:val="16"/>
              </w:rPr>
              <w:t> </w:t>
            </w:r>
          </w:p>
          <w:p w14:paraId="53FCE78D" w14:textId="77777777" w:rsidR="00C60FCA" w:rsidRPr="006E5F59" w:rsidRDefault="00C60FCA" w:rsidP="00C60FCA">
            <w:pPr>
              <w:pStyle w:val="paragraph"/>
              <w:spacing w:before="0" w:beforeAutospacing="0" w:after="0" w:afterAutospacing="0"/>
              <w:textAlignment w:val="baseline"/>
              <w:divId w:val="1398893152"/>
              <w:rPr>
                <w:noProof/>
                <w:sz w:val="18"/>
                <w:szCs w:val="18"/>
              </w:rPr>
            </w:pPr>
            <w:r w:rsidRPr="006E5F59">
              <w:rPr>
                <w:rStyle w:val="normaltextrun"/>
                <w:b/>
                <w:bCs/>
                <w:noProof/>
                <w:sz w:val="16"/>
                <w:szCs w:val="16"/>
              </w:rPr>
              <w:t>-Sharing best practices</w:t>
            </w:r>
            <w:r w:rsidRPr="006E5F59">
              <w:rPr>
                <w:rStyle w:val="eop"/>
                <w:noProof/>
                <w:sz w:val="16"/>
                <w:szCs w:val="16"/>
              </w:rPr>
              <w:t> </w:t>
            </w:r>
          </w:p>
          <w:p w14:paraId="284BFCD8" w14:textId="77777777" w:rsidR="00C60FCA" w:rsidRPr="006E5F59" w:rsidRDefault="00C60FCA" w:rsidP="00C60FCA">
            <w:pPr>
              <w:rPr>
                <w:rFonts w:ascii="Times New Roman" w:hAnsi="Times New Roman" w:cs="Times New Roman"/>
                <w:noProof/>
                <w:sz w:val="16"/>
                <w:szCs w:val="16"/>
              </w:rPr>
            </w:pPr>
            <w:r w:rsidRPr="006E5F59">
              <w:rPr>
                <w:rStyle w:val="normaltextrun"/>
                <w:rFonts w:ascii="Times New Roman" w:hAnsi="Times New Roman" w:cs="Times New Roman"/>
                <w:b/>
                <w:bCs/>
                <w:noProof/>
                <w:sz w:val="16"/>
                <w:szCs w:val="16"/>
              </w:rPr>
              <w:t>-Use of standard forms</w:t>
            </w:r>
            <w:r w:rsidRPr="006E5F59">
              <w:rPr>
                <w:rStyle w:val="eop"/>
                <w:rFonts w:ascii="Times New Roman" w:hAnsi="Times New Roman" w:cs="Times New Roman"/>
                <w:noProof/>
                <w:sz w:val="16"/>
                <w:szCs w:val="16"/>
              </w:rPr>
              <w:t> </w:t>
            </w:r>
          </w:p>
        </w:tc>
        <w:tc>
          <w:tcPr>
            <w:tcW w:w="625" w:type="pct"/>
          </w:tcPr>
          <w:p w14:paraId="062FB52D" w14:textId="77777777" w:rsidR="00C60FCA" w:rsidRPr="006E5F59" w:rsidRDefault="00C60FCA" w:rsidP="00C60FCA">
            <w:pPr>
              <w:pStyle w:val="paragraph"/>
              <w:spacing w:before="0" w:beforeAutospacing="0" w:after="0" w:afterAutospacing="0"/>
              <w:textAlignment w:val="baseline"/>
              <w:divId w:val="903026997"/>
              <w:rPr>
                <w:noProof/>
                <w:sz w:val="18"/>
                <w:szCs w:val="18"/>
              </w:rPr>
            </w:pPr>
            <w:r w:rsidRPr="006E5F59">
              <w:rPr>
                <w:rStyle w:val="normaltextrun"/>
                <w:b/>
                <w:noProof/>
                <w:sz w:val="16"/>
                <w:szCs w:val="16"/>
              </w:rPr>
              <w:t>DAC1</w:t>
            </w:r>
            <w:r w:rsidRPr="006E5F59">
              <w:rPr>
                <w:rStyle w:val="eop"/>
                <w:noProof/>
                <w:sz w:val="16"/>
                <w:szCs w:val="16"/>
              </w:rPr>
              <w:t> </w:t>
            </w:r>
          </w:p>
          <w:p w14:paraId="6F46367E" w14:textId="77777777" w:rsidR="00C60FCA" w:rsidRPr="006E5F59" w:rsidRDefault="00C60FCA" w:rsidP="00C60FCA">
            <w:pPr>
              <w:pStyle w:val="paragraph"/>
              <w:spacing w:before="0" w:beforeAutospacing="0" w:after="0" w:afterAutospacing="0"/>
              <w:textAlignment w:val="baseline"/>
              <w:divId w:val="126703990"/>
              <w:rPr>
                <w:noProof/>
                <w:sz w:val="18"/>
                <w:szCs w:val="18"/>
              </w:rPr>
            </w:pPr>
            <w:r w:rsidRPr="006E5F59">
              <w:rPr>
                <w:rStyle w:val="normaltextrun"/>
                <w:b/>
                <w:noProof/>
                <w:sz w:val="16"/>
                <w:szCs w:val="16"/>
              </w:rPr>
              <w:t>2011/16/EU</w:t>
            </w:r>
            <w:r w:rsidRPr="006E5F59">
              <w:rPr>
                <w:rStyle w:val="eop"/>
                <w:noProof/>
                <w:sz w:val="16"/>
                <w:szCs w:val="16"/>
              </w:rPr>
              <w:t> </w:t>
            </w:r>
          </w:p>
          <w:p w14:paraId="73A573FC" w14:textId="77777777" w:rsidR="00E826CF" w:rsidRPr="006E5F59" w:rsidRDefault="00E826CF" w:rsidP="00C60FCA">
            <w:pPr>
              <w:pStyle w:val="paragraph"/>
              <w:spacing w:before="0" w:beforeAutospacing="0" w:after="0" w:afterAutospacing="0"/>
              <w:textAlignment w:val="baseline"/>
              <w:divId w:val="1399522618"/>
              <w:rPr>
                <w:rStyle w:val="normaltextrun"/>
                <w:noProof/>
                <w:sz w:val="16"/>
                <w:szCs w:val="16"/>
              </w:rPr>
            </w:pPr>
          </w:p>
          <w:p w14:paraId="2D5F8043" w14:textId="77777777" w:rsidR="00C60FCA" w:rsidRPr="006E5F59" w:rsidRDefault="00C60FCA" w:rsidP="00C60FCA">
            <w:pPr>
              <w:pStyle w:val="paragraph"/>
              <w:spacing w:before="0" w:beforeAutospacing="0" w:after="0" w:afterAutospacing="0"/>
              <w:textAlignment w:val="baseline"/>
              <w:divId w:val="1399522618"/>
              <w:rPr>
                <w:noProof/>
                <w:sz w:val="18"/>
                <w:szCs w:val="18"/>
              </w:rPr>
            </w:pPr>
            <w:r w:rsidRPr="006E5F59">
              <w:rPr>
                <w:rStyle w:val="normaltextrun"/>
                <w:noProof/>
                <w:sz w:val="16"/>
                <w:szCs w:val="16"/>
              </w:rPr>
              <w:t>Applies 1/2015</w:t>
            </w:r>
            <w:r w:rsidRPr="006E5F59">
              <w:rPr>
                <w:rStyle w:val="eop"/>
                <w:noProof/>
                <w:sz w:val="16"/>
                <w:szCs w:val="16"/>
              </w:rPr>
              <w:t> </w:t>
            </w:r>
          </w:p>
          <w:p w14:paraId="43C84B9A" w14:textId="77777777" w:rsidR="00C60FCA" w:rsidRPr="006E5F59" w:rsidRDefault="00C60FCA" w:rsidP="00C60FCA">
            <w:pPr>
              <w:pStyle w:val="paragraph"/>
              <w:spacing w:before="0" w:beforeAutospacing="0" w:after="0" w:afterAutospacing="0"/>
              <w:textAlignment w:val="baseline"/>
              <w:divId w:val="91050953"/>
              <w:rPr>
                <w:noProof/>
                <w:sz w:val="18"/>
                <w:szCs w:val="18"/>
              </w:rPr>
            </w:pPr>
            <w:r w:rsidRPr="006E5F59">
              <w:rPr>
                <w:rStyle w:val="normaltextrun"/>
                <w:noProof/>
                <w:sz w:val="16"/>
                <w:szCs w:val="16"/>
              </w:rPr>
              <w:t>1st exchanges 30.6.2015</w:t>
            </w:r>
            <w:r w:rsidRPr="006E5F59">
              <w:rPr>
                <w:rStyle w:val="eop"/>
                <w:noProof/>
                <w:sz w:val="16"/>
                <w:szCs w:val="16"/>
              </w:rPr>
              <w:t> </w:t>
            </w:r>
          </w:p>
          <w:p w14:paraId="760934CC" w14:textId="77777777" w:rsidR="00C60FCA" w:rsidRPr="006E5F59" w:rsidRDefault="00C60FCA" w:rsidP="00C60FCA">
            <w:pPr>
              <w:pStyle w:val="paragraph"/>
              <w:spacing w:before="0" w:beforeAutospacing="0" w:after="0" w:afterAutospacing="0"/>
              <w:textAlignment w:val="baseline"/>
              <w:divId w:val="958344235"/>
              <w:rPr>
                <w:noProof/>
                <w:sz w:val="18"/>
                <w:szCs w:val="18"/>
              </w:rPr>
            </w:pPr>
            <w:r w:rsidRPr="006E5F59">
              <w:rPr>
                <w:rStyle w:val="eop"/>
                <w:noProof/>
                <w:sz w:val="16"/>
                <w:szCs w:val="16"/>
              </w:rPr>
              <w:t> </w:t>
            </w:r>
          </w:p>
          <w:p w14:paraId="5A3B7EDA" w14:textId="77777777" w:rsidR="00C60FCA" w:rsidRPr="006E5F59" w:rsidRDefault="00C60FCA" w:rsidP="00C60FCA">
            <w:pPr>
              <w:pStyle w:val="paragraph"/>
              <w:spacing w:before="0" w:beforeAutospacing="0" w:after="0" w:afterAutospacing="0"/>
              <w:textAlignment w:val="baseline"/>
              <w:divId w:val="367025021"/>
              <w:rPr>
                <w:noProof/>
                <w:sz w:val="18"/>
                <w:szCs w:val="18"/>
              </w:rPr>
            </w:pPr>
            <w:r w:rsidRPr="006E5F59">
              <w:rPr>
                <w:rStyle w:val="normaltextrun"/>
                <w:b/>
                <w:bCs/>
                <w:noProof/>
                <w:sz w:val="16"/>
                <w:szCs w:val="16"/>
              </w:rPr>
              <w:t xml:space="preserve">-Automatic exchange of information </w:t>
            </w:r>
            <w:r w:rsidR="5392BCD3" w:rsidRPr="006E5F59">
              <w:rPr>
                <w:rStyle w:val="normaltextrun"/>
                <w:b/>
                <w:bCs/>
                <w:noProof/>
                <w:sz w:val="16"/>
                <w:szCs w:val="16"/>
              </w:rPr>
              <w:t>(AEOI)</w:t>
            </w:r>
            <w:r w:rsidR="23ED07E5" w:rsidRPr="006E5F59">
              <w:rPr>
                <w:rStyle w:val="normaltextrun"/>
                <w:b/>
                <w:bCs/>
                <w:noProof/>
                <w:sz w:val="16"/>
                <w:szCs w:val="16"/>
              </w:rPr>
              <w:t xml:space="preserve"> </w:t>
            </w:r>
            <w:r w:rsidRPr="006E5F59">
              <w:rPr>
                <w:rStyle w:val="normaltextrun"/>
                <w:b/>
                <w:bCs/>
                <w:noProof/>
                <w:sz w:val="16"/>
                <w:szCs w:val="16"/>
              </w:rPr>
              <w:t>on 5 non-financial categories</w:t>
            </w:r>
            <w:r w:rsidRPr="006E5F59">
              <w:rPr>
                <w:rStyle w:val="eop"/>
                <w:noProof/>
                <w:sz w:val="16"/>
                <w:szCs w:val="16"/>
              </w:rPr>
              <w:t> </w:t>
            </w:r>
          </w:p>
          <w:p w14:paraId="377E5E11" w14:textId="77777777" w:rsidR="00C60FCA" w:rsidRPr="006E5F59" w:rsidRDefault="00C60FCA" w:rsidP="00C60FCA">
            <w:pPr>
              <w:pStyle w:val="paragraph"/>
              <w:spacing w:before="0" w:beforeAutospacing="0" w:after="0" w:afterAutospacing="0"/>
              <w:textAlignment w:val="baseline"/>
              <w:divId w:val="1857235860"/>
              <w:rPr>
                <w:noProof/>
                <w:sz w:val="18"/>
                <w:szCs w:val="18"/>
              </w:rPr>
            </w:pPr>
            <w:r w:rsidRPr="006E5F59">
              <w:rPr>
                <w:rStyle w:val="normaltextrun"/>
                <w:noProof/>
                <w:sz w:val="16"/>
                <w:szCs w:val="16"/>
              </w:rPr>
              <w:t>-Income from employment</w:t>
            </w:r>
            <w:r w:rsidRPr="006E5F59">
              <w:rPr>
                <w:rStyle w:val="eop"/>
                <w:noProof/>
                <w:sz w:val="16"/>
                <w:szCs w:val="16"/>
              </w:rPr>
              <w:t> </w:t>
            </w:r>
          </w:p>
          <w:p w14:paraId="05EB8919" w14:textId="77777777" w:rsidR="00C60FCA" w:rsidRPr="006E5F59" w:rsidRDefault="00C60FCA" w:rsidP="00C60FCA">
            <w:pPr>
              <w:pStyle w:val="paragraph"/>
              <w:spacing w:before="0" w:beforeAutospacing="0" w:after="0" w:afterAutospacing="0"/>
              <w:textAlignment w:val="baseline"/>
              <w:divId w:val="1929655474"/>
              <w:rPr>
                <w:noProof/>
                <w:sz w:val="18"/>
                <w:szCs w:val="18"/>
              </w:rPr>
            </w:pPr>
            <w:r w:rsidRPr="006E5F59">
              <w:rPr>
                <w:rStyle w:val="normaltextrun"/>
                <w:noProof/>
                <w:sz w:val="16"/>
                <w:szCs w:val="16"/>
              </w:rPr>
              <w:t>-Directors fees</w:t>
            </w:r>
            <w:r w:rsidRPr="006E5F59">
              <w:rPr>
                <w:rStyle w:val="eop"/>
                <w:noProof/>
                <w:sz w:val="16"/>
                <w:szCs w:val="16"/>
              </w:rPr>
              <w:t> </w:t>
            </w:r>
          </w:p>
          <w:p w14:paraId="37F72C2B" w14:textId="77777777" w:rsidR="00C60FCA" w:rsidRPr="006E5F59" w:rsidRDefault="00C60FCA" w:rsidP="00C60FCA">
            <w:pPr>
              <w:pStyle w:val="paragraph"/>
              <w:spacing w:before="0" w:beforeAutospacing="0" w:after="0" w:afterAutospacing="0"/>
              <w:textAlignment w:val="baseline"/>
              <w:divId w:val="804934858"/>
              <w:rPr>
                <w:noProof/>
                <w:sz w:val="18"/>
                <w:szCs w:val="18"/>
              </w:rPr>
            </w:pPr>
            <w:r w:rsidRPr="006E5F59">
              <w:rPr>
                <w:rStyle w:val="normaltextrun"/>
                <w:noProof/>
                <w:sz w:val="16"/>
                <w:szCs w:val="16"/>
              </w:rPr>
              <w:t>-Pensions</w:t>
            </w:r>
            <w:r w:rsidRPr="006E5F59">
              <w:rPr>
                <w:rStyle w:val="eop"/>
                <w:noProof/>
                <w:sz w:val="16"/>
                <w:szCs w:val="16"/>
              </w:rPr>
              <w:t> </w:t>
            </w:r>
          </w:p>
          <w:p w14:paraId="20664E48" w14:textId="77777777" w:rsidR="00C60FCA" w:rsidRPr="006E5F59" w:rsidRDefault="00C60FCA" w:rsidP="00C60FCA">
            <w:pPr>
              <w:pStyle w:val="paragraph"/>
              <w:spacing w:before="0" w:beforeAutospacing="0" w:after="0" w:afterAutospacing="0"/>
              <w:textAlignment w:val="baseline"/>
              <w:divId w:val="1939831220"/>
              <w:rPr>
                <w:noProof/>
                <w:sz w:val="18"/>
                <w:szCs w:val="18"/>
              </w:rPr>
            </w:pPr>
            <w:r w:rsidRPr="006E5F59">
              <w:rPr>
                <w:rStyle w:val="normaltextrun"/>
                <w:noProof/>
                <w:sz w:val="16"/>
                <w:szCs w:val="16"/>
              </w:rPr>
              <w:t>-Life insurance products</w:t>
            </w:r>
            <w:r w:rsidRPr="006E5F59">
              <w:rPr>
                <w:rStyle w:val="eop"/>
                <w:noProof/>
                <w:sz w:val="16"/>
                <w:szCs w:val="16"/>
              </w:rPr>
              <w:t> </w:t>
            </w:r>
          </w:p>
          <w:p w14:paraId="0FD5DFC6" w14:textId="77777777" w:rsidR="00C60FCA" w:rsidRPr="006E5F59" w:rsidRDefault="00C60FCA" w:rsidP="00C60FCA">
            <w:pPr>
              <w:pStyle w:val="paragraph"/>
              <w:spacing w:before="0" w:beforeAutospacing="0" w:after="0" w:afterAutospacing="0"/>
              <w:textAlignment w:val="baseline"/>
              <w:divId w:val="569315990"/>
              <w:rPr>
                <w:noProof/>
                <w:sz w:val="18"/>
                <w:szCs w:val="18"/>
              </w:rPr>
            </w:pPr>
            <w:r w:rsidRPr="006E5F59">
              <w:rPr>
                <w:rStyle w:val="normaltextrun"/>
                <w:noProof/>
                <w:sz w:val="16"/>
                <w:szCs w:val="16"/>
              </w:rPr>
              <w:t>-Immovable property (income and ownership)</w:t>
            </w:r>
            <w:r w:rsidRPr="006E5F59">
              <w:rPr>
                <w:rStyle w:val="eop"/>
                <w:noProof/>
                <w:sz w:val="16"/>
                <w:szCs w:val="16"/>
              </w:rPr>
              <w:t> </w:t>
            </w:r>
          </w:p>
          <w:p w14:paraId="1AF66A93" w14:textId="77777777" w:rsidR="00C60FCA" w:rsidRPr="006E5F59" w:rsidRDefault="00C60FCA" w:rsidP="00C60FCA">
            <w:pPr>
              <w:rPr>
                <w:rFonts w:ascii="Times New Roman" w:hAnsi="Times New Roman" w:cs="Times New Roman"/>
                <w:noProof/>
                <w:sz w:val="16"/>
                <w:szCs w:val="16"/>
              </w:rPr>
            </w:pPr>
            <w:r w:rsidRPr="006E5F59">
              <w:rPr>
                <w:rStyle w:val="eop"/>
                <w:rFonts w:ascii="Times New Roman" w:hAnsi="Times New Roman" w:cs="Times New Roman"/>
                <w:noProof/>
                <w:sz w:val="16"/>
                <w:szCs w:val="16"/>
              </w:rPr>
              <w:t> </w:t>
            </w:r>
          </w:p>
        </w:tc>
        <w:tc>
          <w:tcPr>
            <w:tcW w:w="625" w:type="pct"/>
          </w:tcPr>
          <w:p w14:paraId="7A63535A" w14:textId="77777777" w:rsidR="00C60FCA" w:rsidRPr="006E5F59" w:rsidRDefault="00C60FCA" w:rsidP="00C60FCA">
            <w:pPr>
              <w:pStyle w:val="paragraph"/>
              <w:spacing w:before="0" w:beforeAutospacing="0" w:after="0" w:afterAutospacing="0"/>
              <w:textAlignment w:val="baseline"/>
              <w:divId w:val="848568979"/>
              <w:rPr>
                <w:noProof/>
                <w:sz w:val="18"/>
                <w:szCs w:val="18"/>
              </w:rPr>
            </w:pPr>
            <w:r w:rsidRPr="006E5F59">
              <w:rPr>
                <w:rStyle w:val="normaltextrun"/>
                <w:b/>
                <w:noProof/>
                <w:sz w:val="16"/>
                <w:szCs w:val="16"/>
              </w:rPr>
              <w:t>DAC2</w:t>
            </w:r>
            <w:r w:rsidRPr="006E5F59">
              <w:rPr>
                <w:rStyle w:val="eop"/>
                <w:noProof/>
                <w:sz w:val="16"/>
                <w:szCs w:val="16"/>
              </w:rPr>
              <w:t> </w:t>
            </w:r>
          </w:p>
          <w:p w14:paraId="4F81AE9D" w14:textId="77777777" w:rsidR="00C60FCA" w:rsidRPr="006E5F59" w:rsidRDefault="00C60FCA" w:rsidP="00C60FCA">
            <w:pPr>
              <w:pStyle w:val="paragraph"/>
              <w:spacing w:before="0" w:beforeAutospacing="0" w:after="0" w:afterAutospacing="0"/>
              <w:textAlignment w:val="baseline"/>
              <w:divId w:val="1670406992"/>
              <w:rPr>
                <w:noProof/>
                <w:sz w:val="18"/>
                <w:szCs w:val="18"/>
              </w:rPr>
            </w:pPr>
            <w:r w:rsidRPr="006E5F59">
              <w:rPr>
                <w:rStyle w:val="normaltextrun"/>
                <w:b/>
                <w:noProof/>
                <w:sz w:val="16"/>
                <w:szCs w:val="16"/>
              </w:rPr>
              <w:t>2014/107/EU</w:t>
            </w:r>
            <w:r w:rsidRPr="006E5F59">
              <w:rPr>
                <w:rStyle w:val="eop"/>
                <w:noProof/>
                <w:sz w:val="16"/>
                <w:szCs w:val="16"/>
              </w:rPr>
              <w:t> </w:t>
            </w:r>
          </w:p>
          <w:p w14:paraId="3D148DE2" w14:textId="77777777" w:rsidR="00C60FCA" w:rsidRPr="006E5F59" w:rsidRDefault="56F64845" w:rsidP="00C60FCA">
            <w:pPr>
              <w:pStyle w:val="paragraph"/>
              <w:spacing w:before="0" w:beforeAutospacing="0" w:after="0" w:afterAutospacing="0"/>
              <w:textAlignment w:val="baseline"/>
              <w:divId w:val="197474773"/>
              <w:rPr>
                <w:noProof/>
                <w:sz w:val="18"/>
                <w:szCs w:val="18"/>
              </w:rPr>
            </w:pPr>
            <w:r w:rsidRPr="006E5F59">
              <w:rPr>
                <w:rStyle w:val="eop"/>
                <w:noProof/>
                <w:sz w:val="16"/>
                <w:szCs w:val="16"/>
              </w:rPr>
              <w:t> </w:t>
            </w:r>
          </w:p>
          <w:p w14:paraId="5893F091" w14:textId="77777777" w:rsidR="00C60FCA" w:rsidRPr="006E5F59" w:rsidRDefault="00C60FCA" w:rsidP="00C60FCA">
            <w:pPr>
              <w:pStyle w:val="paragraph"/>
              <w:spacing w:before="0" w:beforeAutospacing="0" w:after="0" w:afterAutospacing="0"/>
              <w:textAlignment w:val="baseline"/>
              <w:divId w:val="762452789"/>
              <w:rPr>
                <w:noProof/>
                <w:sz w:val="18"/>
                <w:szCs w:val="18"/>
              </w:rPr>
            </w:pPr>
            <w:r w:rsidRPr="006E5F59">
              <w:rPr>
                <w:rStyle w:val="normaltextrun"/>
                <w:noProof/>
                <w:sz w:val="16"/>
                <w:szCs w:val="16"/>
              </w:rPr>
              <w:t>Applies 1/2016</w:t>
            </w:r>
            <w:r w:rsidRPr="006E5F59">
              <w:rPr>
                <w:rStyle w:val="eop"/>
                <w:noProof/>
                <w:sz w:val="16"/>
                <w:szCs w:val="16"/>
              </w:rPr>
              <w:t> </w:t>
            </w:r>
          </w:p>
          <w:p w14:paraId="3E80BFDF" w14:textId="77777777" w:rsidR="00C60FCA" w:rsidRPr="006E5F59" w:rsidRDefault="00C60FCA" w:rsidP="00C60FCA">
            <w:pPr>
              <w:pStyle w:val="paragraph"/>
              <w:spacing w:before="0" w:beforeAutospacing="0" w:after="0" w:afterAutospacing="0"/>
              <w:textAlignment w:val="baseline"/>
              <w:divId w:val="1131441708"/>
              <w:rPr>
                <w:noProof/>
                <w:sz w:val="18"/>
                <w:szCs w:val="18"/>
              </w:rPr>
            </w:pPr>
            <w:r w:rsidRPr="006E5F59">
              <w:rPr>
                <w:rStyle w:val="normaltextrun"/>
                <w:noProof/>
                <w:sz w:val="16"/>
                <w:szCs w:val="16"/>
              </w:rPr>
              <w:t>1st exchanges 30.9.2017</w:t>
            </w:r>
            <w:r w:rsidRPr="006E5F59">
              <w:rPr>
                <w:rStyle w:val="eop"/>
                <w:noProof/>
                <w:sz w:val="16"/>
                <w:szCs w:val="16"/>
              </w:rPr>
              <w:t> </w:t>
            </w:r>
          </w:p>
          <w:p w14:paraId="6C4D95A4" w14:textId="77777777" w:rsidR="00C60FCA" w:rsidRPr="006E5F59" w:rsidRDefault="00C60FCA" w:rsidP="00C60FCA">
            <w:pPr>
              <w:pStyle w:val="paragraph"/>
              <w:spacing w:before="0" w:beforeAutospacing="0" w:after="0" w:afterAutospacing="0"/>
              <w:textAlignment w:val="baseline"/>
              <w:divId w:val="1561941441"/>
              <w:rPr>
                <w:noProof/>
                <w:sz w:val="18"/>
                <w:szCs w:val="18"/>
              </w:rPr>
            </w:pPr>
            <w:r w:rsidRPr="006E5F59">
              <w:rPr>
                <w:rStyle w:val="eop"/>
                <w:noProof/>
                <w:sz w:val="16"/>
                <w:szCs w:val="16"/>
              </w:rPr>
              <w:t> </w:t>
            </w:r>
          </w:p>
          <w:p w14:paraId="7772A74A" w14:textId="77777777" w:rsidR="00C60FCA" w:rsidRPr="006E5F59" w:rsidRDefault="00C60FCA" w:rsidP="00C60FCA">
            <w:pPr>
              <w:pStyle w:val="paragraph"/>
              <w:spacing w:before="0" w:beforeAutospacing="0" w:after="0" w:afterAutospacing="0"/>
              <w:textAlignment w:val="baseline"/>
              <w:divId w:val="2105570533"/>
              <w:rPr>
                <w:noProof/>
                <w:sz w:val="18"/>
                <w:szCs w:val="18"/>
              </w:rPr>
            </w:pPr>
            <w:r w:rsidRPr="006E5F59">
              <w:rPr>
                <w:rStyle w:val="normaltextrun"/>
                <w:noProof/>
                <w:sz w:val="16"/>
                <w:szCs w:val="16"/>
              </w:rPr>
              <w:t>Automatic exchange of </w:t>
            </w:r>
            <w:r w:rsidRPr="006E5F59">
              <w:rPr>
                <w:rStyle w:val="normaltextrun"/>
                <w:b/>
                <w:bCs/>
                <w:noProof/>
                <w:sz w:val="16"/>
                <w:szCs w:val="16"/>
              </w:rPr>
              <w:t>financial account information</w:t>
            </w:r>
            <w:r w:rsidRPr="006E5F59">
              <w:rPr>
                <w:rStyle w:val="normaltextrun"/>
                <w:noProof/>
                <w:sz w:val="16"/>
                <w:szCs w:val="16"/>
              </w:rPr>
              <w:t> : </w:t>
            </w:r>
            <w:r w:rsidRPr="006E5F59">
              <w:rPr>
                <w:rStyle w:val="eop"/>
                <w:noProof/>
                <w:sz w:val="16"/>
                <w:szCs w:val="16"/>
              </w:rPr>
              <w:t> </w:t>
            </w:r>
          </w:p>
          <w:p w14:paraId="0488C5B0" w14:textId="77777777" w:rsidR="00C60FCA" w:rsidRPr="006E5F59" w:rsidRDefault="00C60FCA" w:rsidP="00C60FCA">
            <w:pPr>
              <w:pStyle w:val="paragraph"/>
              <w:spacing w:before="0" w:beforeAutospacing="0" w:after="0" w:afterAutospacing="0"/>
              <w:textAlignment w:val="baseline"/>
              <w:divId w:val="347492264"/>
              <w:rPr>
                <w:noProof/>
                <w:sz w:val="18"/>
                <w:szCs w:val="18"/>
              </w:rPr>
            </w:pPr>
            <w:r w:rsidRPr="006E5F59">
              <w:rPr>
                <w:rStyle w:val="normaltextrun"/>
                <w:noProof/>
                <w:sz w:val="16"/>
                <w:szCs w:val="16"/>
              </w:rPr>
              <w:t>-Interests, dividends and other income generated by financial account;</w:t>
            </w:r>
            <w:r w:rsidRPr="006E5F59">
              <w:rPr>
                <w:rStyle w:val="eop"/>
                <w:noProof/>
                <w:sz w:val="16"/>
                <w:szCs w:val="16"/>
              </w:rPr>
              <w:t> </w:t>
            </w:r>
          </w:p>
          <w:p w14:paraId="0E149189" w14:textId="77777777" w:rsidR="00C60FCA" w:rsidRPr="006E5F59" w:rsidRDefault="00C60FCA" w:rsidP="00C60FCA">
            <w:pPr>
              <w:pStyle w:val="paragraph"/>
              <w:spacing w:before="0" w:beforeAutospacing="0" w:after="0" w:afterAutospacing="0"/>
              <w:textAlignment w:val="baseline"/>
              <w:divId w:val="1848016401"/>
              <w:rPr>
                <w:noProof/>
                <w:sz w:val="18"/>
                <w:szCs w:val="18"/>
              </w:rPr>
            </w:pPr>
            <w:r w:rsidRPr="006E5F59">
              <w:rPr>
                <w:rStyle w:val="normaltextrun"/>
                <w:noProof/>
                <w:sz w:val="16"/>
                <w:szCs w:val="16"/>
              </w:rPr>
              <w:t>-Gross proceeds from sale or redemption;</w:t>
            </w:r>
            <w:r w:rsidRPr="006E5F59">
              <w:rPr>
                <w:rStyle w:val="eop"/>
                <w:noProof/>
                <w:sz w:val="16"/>
                <w:szCs w:val="16"/>
              </w:rPr>
              <w:t> </w:t>
            </w:r>
          </w:p>
          <w:p w14:paraId="461FE8C5" w14:textId="77777777" w:rsidR="00C60FCA" w:rsidRPr="006E5F59" w:rsidRDefault="00C60FCA" w:rsidP="00C60FCA">
            <w:pPr>
              <w:rPr>
                <w:rFonts w:ascii="Times New Roman" w:hAnsi="Times New Roman" w:cs="Times New Roman"/>
                <w:noProof/>
                <w:sz w:val="16"/>
                <w:szCs w:val="16"/>
              </w:rPr>
            </w:pPr>
            <w:r w:rsidRPr="006E5F59">
              <w:rPr>
                <w:rStyle w:val="normaltextrun"/>
                <w:rFonts w:ascii="Times New Roman" w:hAnsi="Times New Roman" w:cs="Times New Roman"/>
                <w:noProof/>
                <w:sz w:val="16"/>
                <w:szCs w:val="16"/>
              </w:rPr>
              <w:t>-Account balances.</w:t>
            </w:r>
            <w:r w:rsidRPr="006E5F59">
              <w:rPr>
                <w:rStyle w:val="eop"/>
                <w:rFonts w:ascii="Times New Roman" w:hAnsi="Times New Roman" w:cs="Times New Roman"/>
                <w:noProof/>
                <w:sz w:val="16"/>
                <w:szCs w:val="16"/>
              </w:rPr>
              <w:t> </w:t>
            </w:r>
          </w:p>
        </w:tc>
        <w:tc>
          <w:tcPr>
            <w:tcW w:w="625" w:type="pct"/>
          </w:tcPr>
          <w:p w14:paraId="5131A9A7" w14:textId="77777777" w:rsidR="00C60FCA" w:rsidRPr="006E5F59" w:rsidRDefault="00C60FCA" w:rsidP="00C60FCA">
            <w:pPr>
              <w:pStyle w:val="paragraph"/>
              <w:spacing w:before="0" w:beforeAutospacing="0" w:after="0" w:afterAutospacing="0"/>
              <w:textAlignment w:val="baseline"/>
              <w:divId w:val="1169637173"/>
              <w:rPr>
                <w:noProof/>
                <w:sz w:val="18"/>
                <w:szCs w:val="18"/>
              </w:rPr>
            </w:pPr>
            <w:r w:rsidRPr="006E5F59">
              <w:rPr>
                <w:rStyle w:val="normaltextrun"/>
                <w:b/>
                <w:noProof/>
                <w:sz w:val="16"/>
                <w:szCs w:val="16"/>
              </w:rPr>
              <w:t>DAC3</w:t>
            </w:r>
            <w:r w:rsidRPr="006E5F59">
              <w:rPr>
                <w:rStyle w:val="eop"/>
                <w:noProof/>
                <w:sz w:val="16"/>
                <w:szCs w:val="16"/>
              </w:rPr>
              <w:t> </w:t>
            </w:r>
          </w:p>
          <w:p w14:paraId="79464E92" w14:textId="77777777" w:rsidR="00C60FCA" w:rsidRPr="006E5F59" w:rsidRDefault="00C60FCA" w:rsidP="00C60FCA">
            <w:pPr>
              <w:pStyle w:val="paragraph"/>
              <w:spacing w:before="0" w:beforeAutospacing="0" w:after="0" w:afterAutospacing="0"/>
              <w:textAlignment w:val="baseline"/>
              <w:divId w:val="1618246884"/>
              <w:rPr>
                <w:noProof/>
                <w:sz w:val="18"/>
                <w:szCs w:val="18"/>
              </w:rPr>
            </w:pPr>
            <w:r w:rsidRPr="006E5F59">
              <w:rPr>
                <w:rStyle w:val="normaltextrun"/>
                <w:b/>
                <w:noProof/>
                <w:sz w:val="16"/>
                <w:szCs w:val="16"/>
              </w:rPr>
              <w:t>2015/2376/EU</w:t>
            </w:r>
            <w:r w:rsidRPr="006E5F59">
              <w:rPr>
                <w:rStyle w:val="eop"/>
                <w:noProof/>
                <w:sz w:val="16"/>
                <w:szCs w:val="16"/>
              </w:rPr>
              <w:t> </w:t>
            </w:r>
          </w:p>
          <w:p w14:paraId="19412E41" w14:textId="77777777" w:rsidR="004009B2" w:rsidRPr="006E5F59" w:rsidRDefault="004009B2" w:rsidP="00C60FCA">
            <w:pPr>
              <w:pStyle w:val="paragraph"/>
              <w:spacing w:before="0" w:beforeAutospacing="0" w:after="0" w:afterAutospacing="0"/>
              <w:textAlignment w:val="baseline"/>
              <w:divId w:val="1623222887"/>
              <w:rPr>
                <w:rStyle w:val="normaltextrun"/>
                <w:noProof/>
                <w:sz w:val="16"/>
                <w:szCs w:val="16"/>
              </w:rPr>
            </w:pPr>
          </w:p>
          <w:p w14:paraId="749826C9" w14:textId="77777777" w:rsidR="00C60FCA" w:rsidRPr="006E5F59" w:rsidRDefault="00C60FCA" w:rsidP="00C60FCA">
            <w:pPr>
              <w:pStyle w:val="paragraph"/>
              <w:spacing w:before="0" w:beforeAutospacing="0" w:after="0" w:afterAutospacing="0"/>
              <w:textAlignment w:val="baseline"/>
              <w:divId w:val="1623222887"/>
              <w:rPr>
                <w:noProof/>
                <w:sz w:val="18"/>
                <w:szCs w:val="18"/>
              </w:rPr>
            </w:pPr>
            <w:r w:rsidRPr="006E5F59">
              <w:rPr>
                <w:rStyle w:val="normaltextrun"/>
                <w:noProof/>
                <w:sz w:val="16"/>
                <w:szCs w:val="16"/>
              </w:rPr>
              <w:t>Applies 1/2017</w:t>
            </w:r>
            <w:r w:rsidRPr="006E5F59">
              <w:rPr>
                <w:rStyle w:val="eop"/>
                <w:noProof/>
                <w:sz w:val="16"/>
                <w:szCs w:val="16"/>
              </w:rPr>
              <w:t> </w:t>
            </w:r>
          </w:p>
          <w:p w14:paraId="0C14EF8C" w14:textId="77777777" w:rsidR="00C60FCA" w:rsidRPr="006E5F59" w:rsidRDefault="00C60FCA" w:rsidP="00C60FCA">
            <w:pPr>
              <w:pStyle w:val="paragraph"/>
              <w:spacing w:before="0" w:beforeAutospacing="0" w:after="0" w:afterAutospacing="0"/>
              <w:textAlignment w:val="baseline"/>
              <w:divId w:val="259486151"/>
              <w:rPr>
                <w:noProof/>
                <w:sz w:val="18"/>
                <w:szCs w:val="18"/>
              </w:rPr>
            </w:pPr>
            <w:r w:rsidRPr="006E5F59">
              <w:rPr>
                <w:rStyle w:val="normaltextrun"/>
                <w:noProof/>
                <w:sz w:val="16"/>
                <w:szCs w:val="16"/>
              </w:rPr>
              <w:t>1st exchanges 30.9.2017</w:t>
            </w:r>
            <w:r w:rsidRPr="006E5F59">
              <w:rPr>
                <w:rStyle w:val="eop"/>
                <w:noProof/>
                <w:sz w:val="16"/>
                <w:szCs w:val="16"/>
              </w:rPr>
              <w:t> </w:t>
            </w:r>
          </w:p>
          <w:p w14:paraId="1A369186" w14:textId="77777777" w:rsidR="00C60FCA" w:rsidRPr="006E5F59" w:rsidRDefault="00C60FCA" w:rsidP="00C60FCA">
            <w:pPr>
              <w:pStyle w:val="paragraph"/>
              <w:spacing w:before="0" w:beforeAutospacing="0" w:after="0" w:afterAutospacing="0"/>
              <w:textAlignment w:val="baseline"/>
              <w:divId w:val="225075257"/>
              <w:rPr>
                <w:noProof/>
                <w:sz w:val="18"/>
                <w:szCs w:val="18"/>
              </w:rPr>
            </w:pPr>
            <w:r w:rsidRPr="006E5F59">
              <w:rPr>
                <w:rStyle w:val="eop"/>
                <w:noProof/>
                <w:sz w:val="16"/>
                <w:szCs w:val="16"/>
              </w:rPr>
              <w:t> </w:t>
            </w:r>
          </w:p>
          <w:p w14:paraId="3A7975FB" w14:textId="77777777" w:rsidR="00C60FCA" w:rsidRPr="006E5F59" w:rsidRDefault="00C60FCA" w:rsidP="00E826CF">
            <w:pPr>
              <w:pStyle w:val="paragraph"/>
              <w:spacing w:before="0" w:beforeAutospacing="0" w:after="0" w:afterAutospacing="0"/>
              <w:textAlignment w:val="baseline"/>
              <w:divId w:val="453603570"/>
              <w:rPr>
                <w:noProof/>
                <w:sz w:val="18"/>
                <w:szCs w:val="18"/>
              </w:rPr>
            </w:pPr>
            <w:r w:rsidRPr="006E5F59">
              <w:rPr>
                <w:rStyle w:val="eop"/>
                <w:noProof/>
                <w:sz w:val="16"/>
                <w:szCs w:val="16"/>
              </w:rPr>
              <w:t> </w:t>
            </w:r>
            <w:r w:rsidRPr="006E5F59">
              <w:rPr>
                <w:rStyle w:val="normaltextrun"/>
                <w:noProof/>
                <w:sz w:val="16"/>
                <w:szCs w:val="16"/>
              </w:rPr>
              <w:t>Automatic exchange of information  of:</w:t>
            </w:r>
            <w:r w:rsidRPr="006E5F59">
              <w:rPr>
                <w:rStyle w:val="eop"/>
                <w:noProof/>
                <w:sz w:val="16"/>
                <w:szCs w:val="16"/>
              </w:rPr>
              <w:t> </w:t>
            </w:r>
          </w:p>
          <w:p w14:paraId="60AFEFC7" w14:textId="77777777" w:rsidR="00C60FCA" w:rsidRPr="006E5F59" w:rsidRDefault="00C60FCA" w:rsidP="00C60FCA">
            <w:pPr>
              <w:pStyle w:val="paragraph"/>
              <w:spacing w:before="0" w:beforeAutospacing="0" w:after="0" w:afterAutospacing="0"/>
              <w:textAlignment w:val="baseline"/>
              <w:divId w:val="515508575"/>
              <w:rPr>
                <w:noProof/>
                <w:sz w:val="18"/>
                <w:szCs w:val="18"/>
              </w:rPr>
            </w:pPr>
            <w:r w:rsidRPr="006E5F59">
              <w:rPr>
                <w:rStyle w:val="normaltextrun"/>
                <w:b/>
                <w:bCs/>
                <w:noProof/>
                <w:sz w:val="16"/>
                <w:szCs w:val="16"/>
              </w:rPr>
              <w:t>-Advance cross-border rulings</w:t>
            </w:r>
            <w:r w:rsidRPr="006E5F59">
              <w:rPr>
                <w:rStyle w:val="eop"/>
                <w:noProof/>
                <w:sz w:val="16"/>
                <w:szCs w:val="16"/>
              </w:rPr>
              <w:t> </w:t>
            </w:r>
          </w:p>
          <w:p w14:paraId="588E9E14" w14:textId="77777777" w:rsidR="00C60FCA" w:rsidRPr="006E5F59" w:rsidRDefault="00C60FCA" w:rsidP="00C60FCA">
            <w:pPr>
              <w:rPr>
                <w:rFonts w:ascii="Times New Roman" w:hAnsi="Times New Roman" w:cs="Times New Roman"/>
                <w:noProof/>
                <w:sz w:val="16"/>
                <w:szCs w:val="16"/>
              </w:rPr>
            </w:pPr>
            <w:r w:rsidRPr="006E5F59">
              <w:rPr>
                <w:rStyle w:val="normaltextrun"/>
                <w:rFonts w:ascii="Times New Roman" w:hAnsi="Times New Roman" w:cs="Times New Roman"/>
                <w:b/>
                <w:bCs/>
                <w:noProof/>
                <w:sz w:val="16"/>
                <w:szCs w:val="16"/>
              </w:rPr>
              <w:t>-Advance pricing agreements.</w:t>
            </w:r>
            <w:r w:rsidRPr="006E5F59">
              <w:rPr>
                <w:rStyle w:val="eop"/>
                <w:rFonts w:ascii="Times New Roman" w:hAnsi="Times New Roman" w:cs="Times New Roman"/>
                <w:noProof/>
                <w:sz w:val="16"/>
                <w:szCs w:val="16"/>
              </w:rPr>
              <w:t> </w:t>
            </w:r>
          </w:p>
        </w:tc>
        <w:tc>
          <w:tcPr>
            <w:tcW w:w="625" w:type="pct"/>
          </w:tcPr>
          <w:p w14:paraId="7253379C" w14:textId="77777777" w:rsidR="00C60FCA" w:rsidRPr="006E5F59" w:rsidRDefault="00C60FCA" w:rsidP="00C60FCA">
            <w:pPr>
              <w:pStyle w:val="paragraph"/>
              <w:spacing w:before="0" w:beforeAutospacing="0" w:after="0" w:afterAutospacing="0"/>
              <w:textAlignment w:val="baseline"/>
              <w:divId w:val="896816457"/>
              <w:rPr>
                <w:noProof/>
                <w:sz w:val="18"/>
                <w:szCs w:val="18"/>
              </w:rPr>
            </w:pPr>
            <w:r w:rsidRPr="006E5F59">
              <w:rPr>
                <w:rStyle w:val="normaltextrun"/>
                <w:b/>
                <w:noProof/>
                <w:sz w:val="16"/>
                <w:szCs w:val="16"/>
              </w:rPr>
              <w:t>DAC4</w:t>
            </w:r>
            <w:r w:rsidRPr="006E5F59">
              <w:rPr>
                <w:rStyle w:val="eop"/>
                <w:noProof/>
                <w:sz w:val="16"/>
                <w:szCs w:val="16"/>
              </w:rPr>
              <w:t> </w:t>
            </w:r>
          </w:p>
          <w:p w14:paraId="7D894D69" w14:textId="77777777" w:rsidR="00C60FCA" w:rsidRPr="006E5F59" w:rsidRDefault="00C60FCA" w:rsidP="00C60FCA">
            <w:pPr>
              <w:pStyle w:val="paragraph"/>
              <w:spacing w:before="0" w:beforeAutospacing="0" w:after="0" w:afterAutospacing="0"/>
              <w:textAlignment w:val="baseline"/>
              <w:divId w:val="1764960722"/>
              <w:rPr>
                <w:noProof/>
                <w:sz w:val="18"/>
                <w:szCs w:val="18"/>
              </w:rPr>
            </w:pPr>
            <w:r w:rsidRPr="006E5F59">
              <w:rPr>
                <w:rStyle w:val="normaltextrun"/>
                <w:b/>
                <w:noProof/>
                <w:sz w:val="16"/>
                <w:szCs w:val="16"/>
              </w:rPr>
              <w:t>2016/881/EU</w:t>
            </w:r>
            <w:r w:rsidRPr="006E5F59">
              <w:rPr>
                <w:rStyle w:val="eop"/>
                <w:noProof/>
                <w:sz w:val="16"/>
                <w:szCs w:val="16"/>
              </w:rPr>
              <w:t> </w:t>
            </w:r>
          </w:p>
          <w:p w14:paraId="176BAB29" w14:textId="77777777" w:rsidR="00E826CF" w:rsidRPr="006E5F59" w:rsidRDefault="00E826CF" w:rsidP="00C60FCA">
            <w:pPr>
              <w:pStyle w:val="paragraph"/>
              <w:spacing w:before="0" w:beforeAutospacing="0" w:after="0" w:afterAutospacing="0"/>
              <w:textAlignment w:val="baseline"/>
              <w:divId w:val="544565444"/>
              <w:rPr>
                <w:rStyle w:val="normaltextrun"/>
                <w:noProof/>
                <w:sz w:val="16"/>
                <w:szCs w:val="16"/>
              </w:rPr>
            </w:pPr>
          </w:p>
          <w:p w14:paraId="1891FAAB" w14:textId="77777777" w:rsidR="00C60FCA" w:rsidRPr="006E5F59" w:rsidRDefault="00C60FCA" w:rsidP="00C60FCA">
            <w:pPr>
              <w:pStyle w:val="paragraph"/>
              <w:spacing w:before="0" w:beforeAutospacing="0" w:after="0" w:afterAutospacing="0"/>
              <w:textAlignment w:val="baseline"/>
              <w:divId w:val="544565444"/>
              <w:rPr>
                <w:noProof/>
                <w:sz w:val="18"/>
                <w:szCs w:val="18"/>
              </w:rPr>
            </w:pPr>
            <w:r w:rsidRPr="006E5F59">
              <w:rPr>
                <w:rStyle w:val="normaltextrun"/>
                <w:noProof/>
                <w:sz w:val="16"/>
                <w:szCs w:val="16"/>
              </w:rPr>
              <w:t>Applies 6/2017</w:t>
            </w:r>
            <w:r w:rsidRPr="006E5F59">
              <w:rPr>
                <w:rStyle w:val="eop"/>
                <w:noProof/>
                <w:sz w:val="16"/>
                <w:szCs w:val="16"/>
              </w:rPr>
              <w:t> </w:t>
            </w:r>
          </w:p>
          <w:p w14:paraId="334A437F" w14:textId="77777777" w:rsidR="00C60FCA" w:rsidRPr="006E5F59" w:rsidRDefault="00C60FCA" w:rsidP="00C60FCA">
            <w:pPr>
              <w:pStyle w:val="paragraph"/>
              <w:spacing w:before="0" w:beforeAutospacing="0" w:after="0" w:afterAutospacing="0"/>
              <w:textAlignment w:val="baseline"/>
              <w:divId w:val="1401558704"/>
              <w:rPr>
                <w:noProof/>
                <w:sz w:val="18"/>
                <w:szCs w:val="18"/>
              </w:rPr>
            </w:pPr>
            <w:r w:rsidRPr="006E5F59">
              <w:rPr>
                <w:rStyle w:val="normaltextrun"/>
                <w:noProof/>
                <w:sz w:val="16"/>
                <w:szCs w:val="16"/>
              </w:rPr>
              <w:t>1</w:t>
            </w:r>
            <w:r w:rsidRPr="006E5F59">
              <w:rPr>
                <w:rStyle w:val="normaltextrun"/>
                <w:noProof/>
                <w:sz w:val="12"/>
                <w:szCs w:val="12"/>
                <w:vertAlign w:val="superscript"/>
              </w:rPr>
              <w:t>st</w:t>
            </w:r>
            <w:r w:rsidRPr="006E5F59">
              <w:rPr>
                <w:rStyle w:val="normaltextrun"/>
                <w:noProof/>
                <w:sz w:val="16"/>
                <w:szCs w:val="16"/>
              </w:rPr>
              <w:t> exchanges 30.6.2018</w:t>
            </w:r>
            <w:r w:rsidRPr="006E5F59">
              <w:rPr>
                <w:rStyle w:val="eop"/>
                <w:noProof/>
                <w:sz w:val="16"/>
                <w:szCs w:val="16"/>
              </w:rPr>
              <w:t> </w:t>
            </w:r>
          </w:p>
          <w:p w14:paraId="430C1CA7" w14:textId="77777777" w:rsidR="00C60FCA" w:rsidRPr="006E5F59" w:rsidRDefault="56F64845" w:rsidP="00C60FCA">
            <w:pPr>
              <w:pStyle w:val="paragraph"/>
              <w:spacing w:before="0" w:beforeAutospacing="0" w:after="0" w:afterAutospacing="0"/>
              <w:textAlignment w:val="baseline"/>
              <w:divId w:val="2014526617"/>
              <w:rPr>
                <w:noProof/>
                <w:sz w:val="18"/>
                <w:szCs w:val="18"/>
              </w:rPr>
            </w:pPr>
            <w:r w:rsidRPr="006E5F59">
              <w:rPr>
                <w:rStyle w:val="eop"/>
                <w:noProof/>
                <w:sz w:val="16"/>
                <w:szCs w:val="16"/>
              </w:rPr>
              <w:t> </w:t>
            </w:r>
          </w:p>
          <w:p w14:paraId="42B41161" w14:textId="77777777" w:rsidR="00C60FCA" w:rsidRPr="006E5F59" w:rsidRDefault="00C60FCA" w:rsidP="00E826CF">
            <w:pPr>
              <w:pStyle w:val="paragraph"/>
              <w:spacing w:before="0" w:beforeAutospacing="0" w:after="0" w:afterAutospacing="0"/>
              <w:textAlignment w:val="baseline"/>
              <w:divId w:val="1215386214"/>
              <w:rPr>
                <w:noProof/>
                <w:sz w:val="18"/>
                <w:szCs w:val="18"/>
              </w:rPr>
            </w:pPr>
            <w:r w:rsidRPr="006E5F59">
              <w:rPr>
                <w:rStyle w:val="normaltextrun"/>
                <w:b/>
                <w:bCs/>
                <w:noProof/>
                <w:sz w:val="16"/>
                <w:szCs w:val="16"/>
              </w:rPr>
              <w:t>Automatic exchange of information</w:t>
            </w:r>
            <w:r w:rsidRPr="006E5F59">
              <w:rPr>
                <w:rStyle w:val="normaltextrun"/>
                <w:noProof/>
                <w:sz w:val="16"/>
                <w:szCs w:val="16"/>
              </w:rPr>
              <w:t> </w:t>
            </w:r>
            <w:r w:rsidR="00561F69" w:rsidRPr="006E5F59">
              <w:rPr>
                <w:rStyle w:val="normaltextrun"/>
                <w:noProof/>
                <w:sz w:val="16"/>
                <w:szCs w:val="16"/>
              </w:rPr>
              <w:br/>
            </w:r>
            <w:r w:rsidRPr="006E5F59">
              <w:rPr>
                <w:rStyle w:val="normaltextrun"/>
                <w:noProof/>
                <w:sz w:val="16"/>
                <w:szCs w:val="16"/>
              </w:rPr>
              <w:t>on </w:t>
            </w:r>
            <w:r w:rsidRPr="006E5F59">
              <w:rPr>
                <w:rStyle w:val="normaltextrun"/>
                <w:b/>
                <w:bCs/>
                <w:noProof/>
                <w:sz w:val="16"/>
                <w:szCs w:val="16"/>
              </w:rPr>
              <w:t>country-by-country-reports</w:t>
            </w:r>
            <w:r w:rsidRPr="006E5F59">
              <w:rPr>
                <w:rStyle w:val="normaltextrun"/>
                <w:noProof/>
                <w:sz w:val="16"/>
                <w:szCs w:val="16"/>
              </w:rPr>
              <w:t> on certain financial information:</w:t>
            </w:r>
            <w:r w:rsidRPr="006E5F59">
              <w:rPr>
                <w:rStyle w:val="eop"/>
                <w:noProof/>
                <w:sz w:val="16"/>
                <w:szCs w:val="16"/>
              </w:rPr>
              <w:t> </w:t>
            </w:r>
          </w:p>
          <w:p w14:paraId="110B807F" w14:textId="77777777" w:rsidR="00C60FCA" w:rsidRPr="006E5F59" w:rsidRDefault="00C60FCA" w:rsidP="00C60FCA">
            <w:pPr>
              <w:pStyle w:val="paragraph"/>
              <w:spacing w:before="0" w:beforeAutospacing="0" w:after="0" w:afterAutospacing="0"/>
              <w:textAlignment w:val="baseline"/>
              <w:divId w:val="946621938"/>
              <w:rPr>
                <w:noProof/>
                <w:sz w:val="18"/>
                <w:szCs w:val="18"/>
              </w:rPr>
            </w:pPr>
            <w:r w:rsidRPr="006E5F59">
              <w:rPr>
                <w:rStyle w:val="normaltextrun"/>
                <w:noProof/>
                <w:sz w:val="16"/>
                <w:szCs w:val="16"/>
              </w:rPr>
              <w:t>-Revenues;</w:t>
            </w:r>
            <w:r w:rsidRPr="006E5F59">
              <w:rPr>
                <w:rStyle w:val="eop"/>
                <w:noProof/>
                <w:sz w:val="16"/>
                <w:szCs w:val="16"/>
              </w:rPr>
              <w:t> </w:t>
            </w:r>
          </w:p>
          <w:p w14:paraId="014D3BD7" w14:textId="77777777" w:rsidR="00C60FCA" w:rsidRPr="006E5F59" w:rsidRDefault="00C60FCA" w:rsidP="00C60FCA">
            <w:pPr>
              <w:pStyle w:val="paragraph"/>
              <w:spacing w:before="0" w:beforeAutospacing="0" w:after="0" w:afterAutospacing="0"/>
              <w:textAlignment w:val="baseline"/>
              <w:divId w:val="1803616300"/>
              <w:rPr>
                <w:noProof/>
                <w:sz w:val="18"/>
                <w:szCs w:val="18"/>
              </w:rPr>
            </w:pPr>
            <w:r w:rsidRPr="006E5F59">
              <w:rPr>
                <w:rStyle w:val="normaltextrun"/>
                <w:noProof/>
                <w:sz w:val="16"/>
                <w:szCs w:val="16"/>
              </w:rPr>
              <w:t>-Profits;</w:t>
            </w:r>
            <w:r w:rsidRPr="006E5F59">
              <w:rPr>
                <w:rStyle w:val="eop"/>
                <w:noProof/>
                <w:sz w:val="16"/>
                <w:szCs w:val="16"/>
              </w:rPr>
              <w:t> </w:t>
            </w:r>
          </w:p>
          <w:p w14:paraId="0AFD6753" w14:textId="77777777" w:rsidR="00C60FCA" w:rsidRPr="006E5F59" w:rsidRDefault="00C60FCA" w:rsidP="00C60FCA">
            <w:pPr>
              <w:pStyle w:val="paragraph"/>
              <w:spacing w:before="0" w:beforeAutospacing="0" w:after="0" w:afterAutospacing="0"/>
              <w:textAlignment w:val="baseline"/>
              <w:divId w:val="594368551"/>
              <w:rPr>
                <w:noProof/>
                <w:sz w:val="18"/>
                <w:szCs w:val="18"/>
              </w:rPr>
            </w:pPr>
            <w:r w:rsidRPr="006E5F59">
              <w:rPr>
                <w:rStyle w:val="normaltextrun"/>
                <w:noProof/>
                <w:sz w:val="16"/>
                <w:szCs w:val="16"/>
              </w:rPr>
              <w:t>-Taxes paid and accrued;</w:t>
            </w:r>
            <w:r w:rsidRPr="006E5F59">
              <w:rPr>
                <w:rStyle w:val="eop"/>
                <w:noProof/>
                <w:sz w:val="16"/>
                <w:szCs w:val="16"/>
              </w:rPr>
              <w:t> </w:t>
            </w:r>
          </w:p>
          <w:p w14:paraId="367181D1" w14:textId="77777777" w:rsidR="00C60FCA" w:rsidRPr="006E5F59" w:rsidRDefault="00C60FCA" w:rsidP="00C60FCA">
            <w:pPr>
              <w:pStyle w:val="paragraph"/>
              <w:spacing w:before="0" w:beforeAutospacing="0" w:after="0" w:afterAutospacing="0"/>
              <w:textAlignment w:val="baseline"/>
              <w:divId w:val="1643000714"/>
              <w:rPr>
                <w:noProof/>
                <w:sz w:val="18"/>
                <w:szCs w:val="18"/>
              </w:rPr>
            </w:pPr>
            <w:r w:rsidRPr="006E5F59">
              <w:rPr>
                <w:rStyle w:val="normaltextrun"/>
                <w:noProof/>
                <w:sz w:val="16"/>
                <w:szCs w:val="16"/>
              </w:rPr>
              <w:t>-Accumulated </w:t>
            </w:r>
            <w:r w:rsidR="00561F69" w:rsidRPr="006E5F59">
              <w:rPr>
                <w:rStyle w:val="normaltextrun"/>
                <w:noProof/>
                <w:sz w:val="16"/>
                <w:szCs w:val="16"/>
              </w:rPr>
              <w:br/>
            </w:r>
            <w:r w:rsidRPr="006E5F59">
              <w:rPr>
                <w:rStyle w:val="normaltextrun"/>
                <w:noProof/>
                <w:sz w:val="16"/>
                <w:szCs w:val="16"/>
              </w:rPr>
              <w:t>earnings;</w:t>
            </w:r>
            <w:r w:rsidRPr="006E5F59">
              <w:rPr>
                <w:rStyle w:val="eop"/>
                <w:noProof/>
                <w:sz w:val="16"/>
                <w:szCs w:val="16"/>
              </w:rPr>
              <w:t> </w:t>
            </w:r>
          </w:p>
          <w:p w14:paraId="3B8E09C7" w14:textId="77777777" w:rsidR="00C60FCA" w:rsidRPr="006E5F59" w:rsidRDefault="00C60FCA" w:rsidP="00C60FCA">
            <w:pPr>
              <w:pStyle w:val="paragraph"/>
              <w:spacing w:before="0" w:beforeAutospacing="0" w:after="0" w:afterAutospacing="0"/>
              <w:textAlignment w:val="baseline"/>
              <w:divId w:val="1231958541"/>
              <w:rPr>
                <w:noProof/>
                <w:sz w:val="18"/>
                <w:szCs w:val="18"/>
              </w:rPr>
            </w:pPr>
            <w:r w:rsidRPr="006E5F59">
              <w:rPr>
                <w:rStyle w:val="normaltextrun"/>
                <w:noProof/>
                <w:sz w:val="16"/>
                <w:szCs w:val="16"/>
              </w:rPr>
              <w:t>-Number of employees;</w:t>
            </w:r>
            <w:r w:rsidRPr="006E5F59">
              <w:rPr>
                <w:rStyle w:val="eop"/>
                <w:noProof/>
                <w:sz w:val="16"/>
                <w:szCs w:val="16"/>
              </w:rPr>
              <w:t> </w:t>
            </w:r>
          </w:p>
          <w:p w14:paraId="5319E72A" w14:textId="77777777" w:rsidR="00C60FCA" w:rsidRPr="006E5F59" w:rsidRDefault="00C60FCA" w:rsidP="00C60FCA">
            <w:pPr>
              <w:rPr>
                <w:rFonts w:ascii="Times New Roman" w:hAnsi="Times New Roman" w:cs="Times New Roman"/>
                <w:noProof/>
                <w:sz w:val="16"/>
                <w:szCs w:val="16"/>
              </w:rPr>
            </w:pPr>
            <w:r w:rsidRPr="006E5F59">
              <w:rPr>
                <w:rStyle w:val="normaltextrun"/>
                <w:rFonts w:ascii="Times New Roman" w:hAnsi="Times New Roman" w:cs="Times New Roman"/>
                <w:noProof/>
                <w:sz w:val="16"/>
                <w:szCs w:val="16"/>
              </w:rPr>
              <w:t>-Certain assets.</w:t>
            </w:r>
            <w:r w:rsidRPr="006E5F59">
              <w:rPr>
                <w:rStyle w:val="eop"/>
                <w:rFonts w:ascii="Times New Roman" w:hAnsi="Times New Roman" w:cs="Times New Roman"/>
                <w:noProof/>
                <w:sz w:val="16"/>
                <w:szCs w:val="16"/>
              </w:rPr>
              <w:t> </w:t>
            </w:r>
          </w:p>
        </w:tc>
        <w:tc>
          <w:tcPr>
            <w:tcW w:w="625" w:type="pct"/>
          </w:tcPr>
          <w:p w14:paraId="23C6283A" w14:textId="77777777" w:rsidR="00C60FCA" w:rsidRPr="006E5F59" w:rsidRDefault="00C60FCA" w:rsidP="00C60FCA">
            <w:pPr>
              <w:pStyle w:val="paragraph"/>
              <w:spacing w:before="0" w:beforeAutospacing="0" w:after="0" w:afterAutospacing="0"/>
              <w:textAlignment w:val="baseline"/>
              <w:divId w:val="604386536"/>
              <w:rPr>
                <w:noProof/>
                <w:sz w:val="18"/>
                <w:szCs w:val="18"/>
              </w:rPr>
            </w:pPr>
            <w:r w:rsidRPr="006E5F59">
              <w:rPr>
                <w:rStyle w:val="normaltextrun"/>
                <w:b/>
                <w:noProof/>
                <w:sz w:val="16"/>
                <w:szCs w:val="16"/>
              </w:rPr>
              <w:t>DAC5</w:t>
            </w:r>
            <w:r w:rsidRPr="006E5F59">
              <w:rPr>
                <w:rStyle w:val="eop"/>
                <w:noProof/>
                <w:sz w:val="16"/>
                <w:szCs w:val="16"/>
              </w:rPr>
              <w:t> </w:t>
            </w:r>
          </w:p>
          <w:p w14:paraId="0401F71D" w14:textId="77777777" w:rsidR="00C60FCA" w:rsidRPr="006E5F59" w:rsidRDefault="00C60FCA" w:rsidP="00C60FCA">
            <w:pPr>
              <w:pStyle w:val="paragraph"/>
              <w:spacing w:before="0" w:beforeAutospacing="0" w:after="0" w:afterAutospacing="0"/>
              <w:textAlignment w:val="baseline"/>
              <w:divId w:val="920407024"/>
              <w:rPr>
                <w:noProof/>
                <w:sz w:val="18"/>
                <w:szCs w:val="18"/>
              </w:rPr>
            </w:pPr>
            <w:r w:rsidRPr="006E5F59">
              <w:rPr>
                <w:rStyle w:val="normaltextrun"/>
                <w:b/>
                <w:noProof/>
                <w:sz w:val="16"/>
                <w:szCs w:val="16"/>
              </w:rPr>
              <w:t>2016/2258/EU</w:t>
            </w:r>
            <w:r w:rsidRPr="006E5F59">
              <w:rPr>
                <w:rStyle w:val="eop"/>
                <w:noProof/>
                <w:sz w:val="16"/>
                <w:szCs w:val="16"/>
              </w:rPr>
              <w:t> </w:t>
            </w:r>
          </w:p>
          <w:p w14:paraId="5A71D64C" w14:textId="77777777" w:rsidR="004009B2" w:rsidRPr="006E5F59" w:rsidRDefault="004009B2" w:rsidP="00E826CF">
            <w:pPr>
              <w:pStyle w:val="paragraph"/>
              <w:spacing w:before="0" w:beforeAutospacing="0" w:after="0" w:afterAutospacing="0"/>
              <w:textAlignment w:val="baseline"/>
              <w:divId w:val="1525554715"/>
              <w:rPr>
                <w:rStyle w:val="normaltextrun"/>
                <w:noProof/>
                <w:sz w:val="16"/>
                <w:szCs w:val="16"/>
              </w:rPr>
            </w:pPr>
          </w:p>
          <w:p w14:paraId="5C36F561" w14:textId="77777777" w:rsidR="00C60FCA" w:rsidRPr="006E5F59" w:rsidRDefault="00C60FCA" w:rsidP="00E826CF">
            <w:pPr>
              <w:pStyle w:val="paragraph"/>
              <w:spacing w:before="0" w:beforeAutospacing="0" w:after="0" w:afterAutospacing="0"/>
              <w:textAlignment w:val="baseline"/>
              <w:divId w:val="1525554715"/>
              <w:rPr>
                <w:noProof/>
                <w:sz w:val="18"/>
                <w:szCs w:val="18"/>
              </w:rPr>
            </w:pPr>
            <w:r w:rsidRPr="006E5F59">
              <w:rPr>
                <w:rStyle w:val="normaltextrun"/>
                <w:noProof/>
                <w:sz w:val="16"/>
                <w:szCs w:val="16"/>
              </w:rPr>
              <w:t>Applies 1/2018</w:t>
            </w:r>
            <w:r w:rsidRPr="006E5F59">
              <w:rPr>
                <w:rStyle w:val="eop"/>
                <w:noProof/>
                <w:sz w:val="16"/>
                <w:szCs w:val="16"/>
              </w:rPr>
              <w:t> </w:t>
            </w:r>
          </w:p>
          <w:p w14:paraId="437066ED" w14:textId="77777777" w:rsidR="00C60FCA" w:rsidRPr="006E5F59" w:rsidRDefault="00C60FCA" w:rsidP="00C60FCA">
            <w:pPr>
              <w:pStyle w:val="paragraph"/>
              <w:spacing w:before="0" w:beforeAutospacing="0" w:after="0" w:afterAutospacing="0"/>
              <w:textAlignment w:val="baseline"/>
              <w:divId w:val="1465082578"/>
              <w:rPr>
                <w:noProof/>
                <w:sz w:val="18"/>
                <w:szCs w:val="18"/>
              </w:rPr>
            </w:pPr>
            <w:r w:rsidRPr="006E5F59">
              <w:rPr>
                <w:rStyle w:val="eop"/>
                <w:noProof/>
                <w:sz w:val="16"/>
                <w:szCs w:val="16"/>
              </w:rPr>
              <w:t> </w:t>
            </w:r>
          </w:p>
          <w:p w14:paraId="4A296006" w14:textId="77777777" w:rsidR="00E826CF" w:rsidRPr="006E5F59" w:rsidRDefault="00E826CF" w:rsidP="00C60FCA">
            <w:pPr>
              <w:rPr>
                <w:rStyle w:val="normaltextrun"/>
                <w:rFonts w:ascii="Times New Roman" w:hAnsi="Times New Roman" w:cs="Times New Roman"/>
                <w:b/>
                <w:bCs/>
                <w:noProof/>
                <w:sz w:val="16"/>
                <w:szCs w:val="16"/>
              </w:rPr>
            </w:pPr>
          </w:p>
          <w:p w14:paraId="30559C6C" w14:textId="77777777" w:rsidR="00E826CF" w:rsidRPr="006E5F59" w:rsidRDefault="00E826CF" w:rsidP="00C60FCA">
            <w:pPr>
              <w:rPr>
                <w:rStyle w:val="normaltextrun"/>
                <w:rFonts w:ascii="Times New Roman" w:hAnsi="Times New Roman" w:cs="Times New Roman"/>
                <w:b/>
                <w:bCs/>
                <w:noProof/>
                <w:sz w:val="16"/>
                <w:szCs w:val="16"/>
              </w:rPr>
            </w:pPr>
          </w:p>
          <w:p w14:paraId="5F5EB7B2" w14:textId="77777777" w:rsidR="00C60FCA" w:rsidRPr="006E5F59" w:rsidRDefault="00C60FCA" w:rsidP="00C60FCA">
            <w:pPr>
              <w:rPr>
                <w:rFonts w:ascii="Times New Roman" w:hAnsi="Times New Roman" w:cs="Times New Roman"/>
                <w:noProof/>
                <w:sz w:val="16"/>
                <w:szCs w:val="16"/>
              </w:rPr>
            </w:pPr>
            <w:r w:rsidRPr="006E5F59">
              <w:rPr>
                <w:rStyle w:val="normaltextrun"/>
                <w:rFonts w:ascii="Times New Roman" w:hAnsi="Times New Roman" w:cs="Times New Roman"/>
                <w:b/>
                <w:bCs/>
                <w:noProof/>
                <w:sz w:val="16"/>
                <w:szCs w:val="16"/>
              </w:rPr>
              <w:t>Access by tax authorities to beneficial ownership information</w:t>
            </w:r>
            <w:r w:rsidRPr="006E5F59">
              <w:rPr>
                <w:rStyle w:val="normaltextrun"/>
                <w:rFonts w:ascii="Times New Roman" w:hAnsi="Times New Roman" w:cs="Times New Roman"/>
                <w:noProof/>
                <w:sz w:val="16"/>
                <w:szCs w:val="16"/>
              </w:rPr>
              <w:t> as collected under AML rules.</w:t>
            </w:r>
            <w:r w:rsidRPr="006E5F59">
              <w:rPr>
                <w:rStyle w:val="eop"/>
                <w:rFonts w:ascii="Times New Roman" w:hAnsi="Times New Roman" w:cs="Times New Roman"/>
                <w:noProof/>
                <w:sz w:val="16"/>
                <w:szCs w:val="16"/>
              </w:rPr>
              <w:t> </w:t>
            </w:r>
          </w:p>
        </w:tc>
        <w:tc>
          <w:tcPr>
            <w:tcW w:w="625" w:type="pct"/>
          </w:tcPr>
          <w:p w14:paraId="4FBA070C" w14:textId="77777777" w:rsidR="00C60FCA" w:rsidRPr="006E5F59" w:rsidRDefault="00C60FCA" w:rsidP="00C60FCA">
            <w:pPr>
              <w:pStyle w:val="paragraph"/>
              <w:spacing w:before="0" w:beforeAutospacing="0" w:after="0" w:afterAutospacing="0"/>
              <w:textAlignment w:val="baseline"/>
              <w:divId w:val="981613629"/>
              <w:rPr>
                <w:noProof/>
                <w:sz w:val="18"/>
                <w:szCs w:val="18"/>
              </w:rPr>
            </w:pPr>
            <w:r w:rsidRPr="006E5F59">
              <w:rPr>
                <w:rStyle w:val="normaltextrun"/>
                <w:b/>
                <w:noProof/>
                <w:sz w:val="16"/>
                <w:szCs w:val="16"/>
              </w:rPr>
              <w:t>DAC6</w:t>
            </w:r>
            <w:r w:rsidRPr="006E5F59">
              <w:rPr>
                <w:rStyle w:val="eop"/>
                <w:noProof/>
                <w:sz w:val="16"/>
                <w:szCs w:val="16"/>
              </w:rPr>
              <w:t> </w:t>
            </w:r>
          </w:p>
          <w:p w14:paraId="2EAD39F7" w14:textId="77777777" w:rsidR="00C60FCA" w:rsidRPr="006E5F59" w:rsidRDefault="00C60FCA" w:rsidP="00C60FCA">
            <w:pPr>
              <w:pStyle w:val="paragraph"/>
              <w:spacing w:before="0" w:beforeAutospacing="0" w:after="0" w:afterAutospacing="0"/>
              <w:textAlignment w:val="baseline"/>
              <w:divId w:val="29965747"/>
              <w:rPr>
                <w:noProof/>
                <w:sz w:val="18"/>
                <w:szCs w:val="18"/>
              </w:rPr>
            </w:pPr>
            <w:r w:rsidRPr="006E5F59">
              <w:rPr>
                <w:rStyle w:val="normaltextrun"/>
                <w:b/>
                <w:noProof/>
                <w:sz w:val="16"/>
                <w:szCs w:val="16"/>
              </w:rPr>
              <w:t>2018/822/EU</w:t>
            </w:r>
            <w:r w:rsidRPr="006E5F59">
              <w:rPr>
                <w:rStyle w:val="eop"/>
                <w:noProof/>
                <w:sz w:val="16"/>
                <w:szCs w:val="16"/>
              </w:rPr>
              <w:t> </w:t>
            </w:r>
          </w:p>
          <w:p w14:paraId="46959411" w14:textId="77777777" w:rsidR="00E826CF" w:rsidRPr="006E5F59" w:rsidRDefault="00E826CF" w:rsidP="00C60FCA">
            <w:pPr>
              <w:pStyle w:val="paragraph"/>
              <w:spacing w:before="0" w:beforeAutospacing="0" w:after="0" w:afterAutospacing="0"/>
              <w:textAlignment w:val="baseline"/>
              <w:divId w:val="1510099922"/>
              <w:rPr>
                <w:rStyle w:val="normaltextrun"/>
                <w:noProof/>
                <w:sz w:val="16"/>
                <w:szCs w:val="16"/>
              </w:rPr>
            </w:pPr>
          </w:p>
          <w:p w14:paraId="735E3A1F" w14:textId="77777777" w:rsidR="00C60FCA" w:rsidRPr="006E5F59" w:rsidRDefault="00C60FCA" w:rsidP="00C60FCA">
            <w:pPr>
              <w:pStyle w:val="paragraph"/>
              <w:spacing w:before="0" w:beforeAutospacing="0" w:after="0" w:afterAutospacing="0"/>
              <w:textAlignment w:val="baseline"/>
              <w:divId w:val="1510099922"/>
              <w:rPr>
                <w:noProof/>
                <w:sz w:val="18"/>
                <w:szCs w:val="18"/>
              </w:rPr>
            </w:pPr>
            <w:r w:rsidRPr="006E5F59">
              <w:rPr>
                <w:rStyle w:val="normaltextrun"/>
                <w:noProof/>
                <w:sz w:val="16"/>
                <w:szCs w:val="16"/>
              </w:rPr>
              <w:t>Applies 7/2020</w:t>
            </w:r>
            <w:r w:rsidRPr="006E5F59">
              <w:rPr>
                <w:rStyle w:val="eop"/>
                <w:noProof/>
                <w:sz w:val="16"/>
                <w:szCs w:val="16"/>
              </w:rPr>
              <w:t> </w:t>
            </w:r>
          </w:p>
          <w:p w14:paraId="00E8B153" w14:textId="77777777" w:rsidR="00C60FCA" w:rsidRPr="006E5F59" w:rsidRDefault="00C60FCA" w:rsidP="00C60FCA">
            <w:pPr>
              <w:pStyle w:val="paragraph"/>
              <w:spacing w:before="0" w:beforeAutospacing="0" w:after="0" w:afterAutospacing="0"/>
              <w:textAlignment w:val="baseline"/>
              <w:divId w:val="1515995808"/>
              <w:rPr>
                <w:noProof/>
                <w:sz w:val="18"/>
                <w:szCs w:val="18"/>
              </w:rPr>
            </w:pPr>
            <w:r w:rsidRPr="006E5F59">
              <w:rPr>
                <w:rStyle w:val="normaltextrun"/>
                <w:noProof/>
                <w:sz w:val="16"/>
                <w:szCs w:val="16"/>
              </w:rPr>
              <w:t>1</w:t>
            </w:r>
            <w:r w:rsidRPr="006E5F59">
              <w:rPr>
                <w:rStyle w:val="normaltextrun"/>
                <w:noProof/>
                <w:sz w:val="12"/>
                <w:szCs w:val="12"/>
                <w:vertAlign w:val="superscript"/>
              </w:rPr>
              <w:t>st</w:t>
            </w:r>
            <w:r w:rsidRPr="006E5F59">
              <w:rPr>
                <w:rStyle w:val="normaltextrun"/>
                <w:noProof/>
                <w:sz w:val="16"/>
                <w:szCs w:val="16"/>
              </w:rPr>
              <w:t> exchanges 31.8.2020</w:t>
            </w:r>
            <w:r w:rsidRPr="006E5F59">
              <w:rPr>
                <w:rStyle w:val="eop"/>
                <w:noProof/>
                <w:sz w:val="16"/>
                <w:szCs w:val="16"/>
              </w:rPr>
              <w:t> </w:t>
            </w:r>
          </w:p>
          <w:p w14:paraId="79E76C94" w14:textId="77777777" w:rsidR="00E826CF" w:rsidRPr="006E5F59" w:rsidRDefault="00E826CF" w:rsidP="00C60FCA">
            <w:pPr>
              <w:pStyle w:val="paragraph"/>
              <w:spacing w:before="0" w:beforeAutospacing="0" w:after="0" w:afterAutospacing="0"/>
              <w:textAlignment w:val="baseline"/>
              <w:divId w:val="853231886"/>
              <w:rPr>
                <w:rStyle w:val="normaltextrun"/>
                <w:noProof/>
                <w:sz w:val="16"/>
                <w:szCs w:val="16"/>
              </w:rPr>
            </w:pPr>
          </w:p>
          <w:p w14:paraId="3E3D6925" w14:textId="77777777" w:rsidR="00C60FCA" w:rsidRPr="006E5F59" w:rsidRDefault="00C60FCA" w:rsidP="00C60FCA">
            <w:pPr>
              <w:pStyle w:val="paragraph"/>
              <w:spacing w:before="0" w:beforeAutospacing="0" w:after="0" w:afterAutospacing="0"/>
              <w:textAlignment w:val="baseline"/>
              <w:divId w:val="853231886"/>
              <w:rPr>
                <w:noProof/>
                <w:sz w:val="18"/>
                <w:szCs w:val="18"/>
              </w:rPr>
            </w:pPr>
            <w:r w:rsidRPr="006E5F59">
              <w:rPr>
                <w:rStyle w:val="normaltextrun"/>
                <w:noProof/>
                <w:sz w:val="16"/>
                <w:szCs w:val="16"/>
              </w:rPr>
              <w:t>-</w:t>
            </w:r>
            <w:r w:rsidRPr="006E5F59">
              <w:rPr>
                <w:rStyle w:val="normaltextrun"/>
                <w:b/>
                <w:bCs/>
                <w:noProof/>
                <w:sz w:val="16"/>
                <w:szCs w:val="16"/>
              </w:rPr>
              <w:t>Mandatory disclosure rules</w:t>
            </w:r>
            <w:r w:rsidRPr="006E5F59">
              <w:rPr>
                <w:rStyle w:val="normaltextrun"/>
                <w:noProof/>
                <w:sz w:val="16"/>
                <w:szCs w:val="16"/>
              </w:rPr>
              <w:t> for </w:t>
            </w:r>
            <w:r w:rsidRPr="006E5F59">
              <w:rPr>
                <w:rStyle w:val="normaltextrun"/>
                <w:b/>
                <w:bCs/>
                <w:noProof/>
                <w:sz w:val="16"/>
                <w:szCs w:val="16"/>
              </w:rPr>
              <w:t>intermediaries</w:t>
            </w:r>
            <w:r w:rsidRPr="006E5F59">
              <w:rPr>
                <w:rStyle w:val="normaltextrun"/>
                <w:noProof/>
                <w:sz w:val="16"/>
                <w:szCs w:val="16"/>
              </w:rPr>
              <w:t>; and</w:t>
            </w:r>
            <w:r w:rsidRPr="006E5F59">
              <w:rPr>
                <w:rStyle w:val="eop"/>
                <w:noProof/>
                <w:sz w:val="16"/>
                <w:szCs w:val="16"/>
              </w:rPr>
              <w:t> </w:t>
            </w:r>
          </w:p>
          <w:p w14:paraId="54F78DBA" w14:textId="77777777" w:rsidR="00C60FCA" w:rsidRPr="006E5F59" w:rsidRDefault="00C60FCA" w:rsidP="00C60FCA">
            <w:pPr>
              <w:rPr>
                <w:rFonts w:ascii="Times New Roman" w:hAnsi="Times New Roman" w:cs="Times New Roman"/>
                <w:noProof/>
                <w:sz w:val="16"/>
                <w:szCs w:val="16"/>
              </w:rPr>
            </w:pPr>
            <w:r w:rsidRPr="006E5F59">
              <w:rPr>
                <w:rStyle w:val="normaltextrun"/>
                <w:rFonts w:ascii="Times New Roman" w:hAnsi="Times New Roman" w:cs="Times New Roman"/>
                <w:noProof/>
                <w:sz w:val="16"/>
                <w:szCs w:val="16"/>
              </w:rPr>
              <w:t>-</w:t>
            </w:r>
            <w:r w:rsidRPr="006E5F59">
              <w:rPr>
                <w:rStyle w:val="normaltextrun"/>
                <w:rFonts w:ascii="Times New Roman" w:hAnsi="Times New Roman" w:cs="Times New Roman"/>
                <w:b/>
                <w:bCs/>
                <w:noProof/>
                <w:sz w:val="16"/>
                <w:szCs w:val="16"/>
              </w:rPr>
              <w:t>Automatic exchange of information</w:t>
            </w:r>
            <w:r w:rsidRPr="006E5F59">
              <w:rPr>
                <w:rStyle w:val="normaltextrun"/>
                <w:rFonts w:ascii="Times New Roman" w:hAnsi="Times New Roman" w:cs="Times New Roman"/>
                <w:noProof/>
                <w:sz w:val="16"/>
                <w:szCs w:val="16"/>
              </w:rPr>
              <w:t> </w:t>
            </w:r>
            <w:r w:rsidR="00561F69" w:rsidRPr="006E5F59">
              <w:rPr>
                <w:rStyle w:val="normaltextrun"/>
                <w:rFonts w:ascii="Times New Roman" w:hAnsi="Times New Roman" w:cs="Times New Roman"/>
                <w:noProof/>
                <w:sz w:val="16"/>
                <w:szCs w:val="16"/>
              </w:rPr>
              <w:br/>
            </w:r>
            <w:r w:rsidRPr="006E5F59">
              <w:rPr>
                <w:rStyle w:val="normaltextrun"/>
                <w:rFonts w:ascii="Times New Roman" w:hAnsi="Times New Roman" w:cs="Times New Roman"/>
                <w:noProof/>
                <w:sz w:val="16"/>
                <w:szCs w:val="16"/>
              </w:rPr>
              <w:t>on tax planning </w:t>
            </w:r>
            <w:r w:rsidRPr="006E5F59">
              <w:rPr>
                <w:rStyle w:val="normaltextrun"/>
                <w:rFonts w:ascii="Times New Roman" w:hAnsi="Times New Roman" w:cs="Times New Roman"/>
                <w:b/>
                <w:bCs/>
                <w:noProof/>
                <w:sz w:val="16"/>
                <w:szCs w:val="16"/>
              </w:rPr>
              <w:t>cross-border arrangements</w:t>
            </w:r>
            <w:r w:rsidRPr="006E5F59">
              <w:rPr>
                <w:rStyle w:val="normaltextrun"/>
                <w:rFonts w:ascii="Times New Roman" w:hAnsi="Times New Roman" w:cs="Times New Roman"/>
                <w:noProof/>
                <w:sz w:val="16"/>
                <w:szCs w:val="16"/>
              </w:rPr>
              <w:t>.</w:t>
            </w:r>
            <w:r w:rsidRPr="006E5F59">
              <w:rPr>
                <w:rStyle w:val="eop"/>
                <w:rFonts w:ascii="Times New Roman" w:hAnsi="Times New Roman" w:cs="Times New Roman"/>
                <w:noProof/>
                <w:sz w:val="16"/>
                <w:szCs w:val="16"/>
              </w:rPr>
              <w:t> </w:t>
            </w:r>
          </w:p>
        </w:tc>
        <w:tc>
          <w:tcPr>
            <w:tcW w:w="625" w:type="pct"/>
          </w:tcPr>
          <w:p w14:paraId="3804F7E1" w14:textId="77777777" w:rsidR="00C60FCA" w:rsidRPr="006E5F59" w:rsidRDefault="00C60FCA" w:rsidP="00C60FCA">
            <w:pPr>
              <w:pStyle w:val="paragraph"/>
              <w:spacing w:before="0" w:beforeAutospacing="0" w:after="0" w:afterAutospacing="0"/>
              <w:textAlignment w:val="baseline"/>
              <w:divId w:val="1103458170"/>
              <w:rPr>
                <w:noProof/>
                <w:sz w:val="18"/>
                <w:szCs w:val="18"/>
              </w:rPr>
            </w:pPr>
            <w:r w:rsidRPr="006E5F59">
              <w:rPr>
                <w:rStyle w:val="normaltextrun"/>
                <w:b/>
                <w:noProof/>
                <w:sz w:val="16"/>
                <w:szCs w:val="16"/>
              </w:rPr>
              <w:t>DAC7</w:t>
            </w:r>
            <w:r w:rsidRPr="006E5F59">
              <w:rPr>
                <w:rStyle w:val="eop"/>
                <w:noProof/>
                <w:sz w:val="16"/>
                <w:szCs w:val="16"/>
              </w:rPr>
              <w:t> </w:t>
            </w:r>
          </w:p>
          <w:p w14:paraId="31A64E60" w14:textId="77777777" w:rsidR="00C60FCA" w:rsidRPr="006E5F59" w:rsidRDefault="00C60FCA" w:rsidP="00C60FCA">
            <w:pPr>
              <w:pStyle w:val="paragraph"/>
              <w:spacing w:before="0" w:beforeAutospacing="0" w:after="0" w:afterAutospacing="0"/>
              <w:textAlignment w:val="baseline"/>
              <w:divId w:val="999890661"/>
              <w:rPr>
                <w:noProof/>
                <w:sz w:val="18"/>
                <w:szCs w:val="18"/>
              </w:rPr>
            </w:pPr>
            <w:r w:rsidRPr="006E5F59">
              <w:rPr>
                <w:rStyle w:val="normaltextrun"/>
                <w:b/>
                <w:noProof/>
                <w:sz w:val="16"/>
                <w:szCs w:val="16"/>
              </w:rPr>
              <w:t>2021/514/EU</w:t>
            </w:r>
            <w:r w:rsidRPr="006E5F59">
              <w:rPr>
                <w:rStyle w:val="eop"/>
                <w:noProof/>
                <w:sz w:val="16"/>
                <w:szCs w:val="16"/>
              </w:rPr>
              <w:t> </w:t>
            </w:r>
          </w:p>
          <w:p w14:paraId="54199855" w14:textId="77777777" w:rsidR="00E826CF" w:rsidRPr="006E5F59" w:rsidRDefault="00E826CF" w:rsidP="00C60FCA">
            <w:pPr>
              <w:pStyle w:val="paragraph"/>
              <w:spacing w:before="0" w:beforeAutospacing="0" w:after="0" w:afterAutospacing="0"/>
              <w:textAlignment w:val="baseline"/>
              <w:divId w:val="24605461"/>
              <w:rPr>
                <w:rStyle w:val="normaltextrun"/>
                <w:noProof/>
                <w:sz w:val="16"/>
                <w:szCs w:val="16"/>
              </w:rPr>
            </w:pPr>
          </w:p>
          <w:p w14:paraId="74F5DE73" w14:textId="77777777" w:rsidR="00C60FCA" w:rsidRPr="006E5F59" w:rsidRDefault="00C60FCA" w:rsidP="00C60FCA">
            <w:pPr>
              <w:pStyle w:val="paragraph"/>
              <w:spacing w:before="0" w:beforeAutospacing="0" w:after="0" w:afterAutospacing="0"/>
              <w:textAlignment w:val="baseline"/>
              <w:divId w:val="24605461"/>
              <w:rPr>
                <w:noProof/>
                <w:sz w:val="18"/>
                <w:szCs w:val="18"/>
              </w:rPr>
            </w:pPr>
            <w:r w:rsidRPr="006E5F59">
              <w:rPr>
                <w:rStyle w:val="normaltextrun"/>
                <w:noProof/>
                <w:sz w:val="16"/>
                <w:szCs w:val="16"/>
              </w:rPr>
              <w:t>Applies 1/2023</w:t>
            </w:r>
            <w:r w:rsidRPr="006E5F59">
              <w:rPr>
                <w:rStyle w:val="eop"/>
                <w:noProof/>
                <w:sz w:val="16"/>
                <w:szCs w:val="16"/>
              </w:rPr>
              <w:t> </w:t>
            </w:r>
          </w:p>
          <w:p w14:paraId="1763DF5C" w14:textId="77777777" w:rsidR="00C60FCA" w:rsidRPr="006E5F59" w:rsidRDefault="00C60FCA" w:rsidP="00C60FCA">
            <w:pPr>
              <w:pStyle w:val="paragraph"/>
              <w:spacing w:before="0" w:beforeAutospacing="0" w:after="0" w:afterAutospacing="0"/>
              <w:textAlignment w:val="baseline"/>
              <w:divId w:val="630130168"/>
              <w:rPr>
                <w:noProof/>
                <w:sz w:val="18"/>
                <w:szCs w:val="18"/>
              </w:rPr>
            </w:pPr>
            <w:r w:rsidRPr="006E5F59">
              <w:rPr>
                <w:rStyle w:val="normaltextrun"/>
                <w:noProof/>
                <w:sz w:val="16"/>
                <w:szCs w:val="16"/>
              </w:rPr>
              <w:t>1</w:t>
            </w:r>
            <w:r w:rsidRPr="006E5F59">
              <w:rPr>
                <w:rStyle w:val="normaltextrun"/>
                <w:noProof/>
                <w:sz w:val="12"/>
                <w:szCs w:val="12"/>
                <w:vertAlign w:val="superscript"/>
              </w:rPr>
              <w:t>st</w:t>
            </w:r>
            <w:r w:rsidRPr="006E5F59">
              <w:rPr>
                <w:rStyle w:val="normaltextrun"/>
                <w:noProof/>
                <w:sz w:val="16"/>
                <w:szCs w:val="16"/>
              </w:rPr>
              <w:t> exchanges 2</w:t>
            </w:r>
            <w:r w:rsidR="004009B2" w:rsidRPr="006E5F59">
              <w:rPr>
                <w:rStyle w:val="normaltextrun"/>
                <w:noProof/>
                <w:sz w:val="16"/>
                <w:szCs w:val="16"/>
              </w:rPr>
              <w:t>.</w:t>
            </w:r>
            <w:r w:rsidRPr="006E5F59">
              <w:rPr>
                <w:rStyle w:val="normaltextrun"/>
                <w:noProof/>
                <w:sz w:val="16"/>
                <w:szCs w:val="16"/>
              </w:rPr>
              <w:t>2024</w:t>
            </w:r>
            <w:r w:rsidRPr="006E5F59">
              <w:rPr>
                <w:rStyle w:val="eop"/>
                <w:noProof/>
                <w:sz w:val="16"/>
                <w:szCs w:val="16"/>
              </w:rPr>
              <w:t> </w:t>
            </w:r>
          </w:p>
          <w:p w14:paraId="6D7C9061" w14:textId="77777777" w:rsidR="00C60FCA" w:rsidRPr="006E5F59" w:rsidRDefault="00C60FCA" w:rsidP="00C60FCA">
            <w:pPr>
              <w:pStyle w:val="paragraph"/>
              <w:spacing w:before="0" w:beforeAutospacing="0" w:after="0" w:afterAutospacing="0"/>
              <w:textAlignment w:val="baseline"/>
              <w:divId w:val="1085956884"/>
              <w:rPr>
                <w:noProof/>
                <w:sz w:val="18"/>
                <w:szCs w:val="18"/>
              </w:rPr>
            </w:pPr>
            <w:r w:rsidRPr="006E5F59">
              <w:rPr>
                <w:rStyle w:val="eop"/>
                <w:noProof/>
                <w:sz w:val="16"/>
                <w:szCs w:val="16"/>
              </w:rPr>
              <w:t> </w:t>
            </w:r>
          </w:p>
          <w:p w14:paraId="5EBBCFC6" w14:textId="77777777" w:rsidR="00C60FCA" w:rsidRPr="006E5F59" w:rsidRDefault="00C60FCA" w:rsidP="00C60FCA">
            <w:pPr>
              <w:rPr>
                <w:rFonts w:ascii="Times New Roman" w:hAnsi="Times New Roman" w:cs="Times New Roman"/>
                <w:noProof/>
                <w:sz w:val="16"/>
                <w:szCs w:val="16"/>
              </w:rPr>
            </w:pPr>
            <w:r w:rsidRPr="006E5F59">
              <w:rPr>
                <w:rStyle w:val="normaltextrun"/>
                <w:rFonts w:ascii="Times New Roman" w:hAnsi="Times New Roman" w:cs="Times New Roman"/>
                <w:b/>
                <w:bCs/>
                <w:noProof/>
                <w:sz w:val="16"/>
                <w:szCs w:val="16"/>
              </w:rPr>
              <w:t xml:space="preserve">Automatic exchange of information and reporting rules for </w:t>
            </w:r>
            <w:r w:rsidR="00F16B98" w:rsidRPr="006E5F59">
              <w:rPr>
                <w:rStyle w:val="normaltextrun"/>
                <w:rFonts w:ascii="Times New Roman" w:hAnsi="Times New Roman" w:cs="Times New Roman"/>
                <w:b/>
                <w:bCs/>
                <w:noProof/>
                <w:sz w:val="16"/>
                <w:szCs w:val="16"/>
              </w:rPr>
              <w:t xml:space="preserve">digital </w:t>
            </w:r>
            <w:r w:rsidRPr="006E5F59">
              <w:rPr>
                <w:rStyle w:val="normaltextrun"/>
                <w:rFonts w:ascii="Times New Roman" w:hAnsi="Times New Roman" w:cs="Times New Roman"/>
                <w:b/>
                <w:bCs/>
                <w:noProof/>
                <w:sz w:val="16"/>
                <w:szCs w:val="16"/>
              </w:rPr>
              <w:t>Platform Operators</w:t>
            </w:r>
            <w:r w:rsidRPr="006E5F59">
              <w:rPr>
                <w:rStyle w:val="normaltextrun"/>
                <w:rFonts w:ascii="Times New Roman" w:hAnsi="Times New Roman" w:cs="Times New Roman"/>
                <w:noProof/>
                <w:sz w:val="16"/>
                <w:szCs w:val="16"/>
              </w:rPr>
              <w:t> with respect to income earned by Sellers with the use of their platforms for the </w:t>
            </w:r>
            <w:r w:rsidRPr="006E5F59">
              <w:rPr>
                <w:rStyle w:val="normaltextrun"/>
                <w:rFonts w:ascii="Times New Roman" w:hAnsi="Times New Roman" w:cs="Times New Roman"/>
                <w:b/>
                <w:bCs/>
                <w:noProof/>
                <w:sz w:val="16"/>
                <w:szCs w:val="16"/>
              </w:rPr>
              <w:t>sale of services and goods</w:t>
            </w:r>
            <w:r w:rsidRPr="006E5F59">
              <w:rPr>
                <w:rStyle w:val="normaltextrun"/>
                <w:rFonts w:ascii="Times New Roman" w:hAnsi="Times New Roman" w:cs="Times New Roman"/>
                <w:noProof/>
                <w:sz w:val="16"/>
                <w:szCs w:val="16"/>
              </w:rPr>
              <w:t>.</w:t>
            </w:r>
            <w:r w:rsidRPr="006E5F59">
              <w:rPr>
                <w:rStyle w:val="eop"/>
                <w:rFonts w:ascii="Times New Roman" w:hAnsi="Times New Roman" w:cs="Times New Roman"/>
                <w:noProof/>
                <w:sz w:val="16"/>
                <w:szCs w:val="16"/>
              </w:rPr>
              <w:t> </w:t>
            </w:r>
          </w:p>
        </w:tc>
      </w:tr>
    </w:tbl>
    <w:p w14:paraId="45B41771" w14:textId="77777777" w:rsidR="00146B50" w:rsidRPr="006E5F59" w:rsidRDefault="4878AD81" w:rsidP="2A8AD84E">
      <w:pPr>
        <w:spacing w:after="200" w:line="240" w:lineRule="auto"/>
        <w:jc w:val="both"/>
        <w:rPr>
          <w:rFonts w:ascii="Times New Roman" w:hAnsi="Times New Roman" w:cs="Times New Roman"/>
          <w:noProof/>
          <w:lang w:val="en-GB"/>
        </w:rPr>
      </w:pPr>
      <w:r w:rsidRPr="006E5F59">
        <w:rPr>
          <w:rFonts w:ascii="Times New Roman" w:hAnsi="Times New Roman" w:cs="Times New Roman"/>
          <w:noProof/>
          <w:lang w:val="en-GB"/>
        </w:rPr>
        <w:t xml:space="preserve"> </w:t>
      </w:r>
    </w:p>
    <w:p w14:paraId="28F42C6F" w14:textId="77777777" w:rsidR="0FC21522" w:rsidRPr="008704BD" w:rsidRDefault="0FC21522" w:rsidP="6D23743A">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 xml:space="preserve">The mechanism for the exchange of information under DAC is in most instances based on a two-step approach: 1. </w:t>
      </w:r>
      <w:r w:rsidR="01326F2E" w:rsidRPr="008704BD">
        <w:rPr>
          <w:rFonts w:ascii="Times New Roman" w:hAnsi="Times New Roman"/>
          <w:noProof/>
          <w:sz w:val="24"/>
          <w:lang w:val="en-GB"/>
        </w:rPr>
        <w:t xml:space="preserve">reporting to the tax authorities by the taxpayer or a </w:t>
      </w:r>
      <w:r w:rsidR="57585320" w:rsidRPr="008704BD">
        <w:rPr>
          <w:rFonts w:ascii="Times New Roman" w:hAnsi="Times New Roman"/>
          <w:noProof/>
          <w:sz w:val="24"/>
          <w:lang w:val="en-GB"/>
        </w:rPr>
        <w:t>third</w:t>
      </w:r>
      <w:r w:rsidR="004568B5" w:rsidRPr="008704BD">
        <w:rPr>
          <w:rFonts w:ascii="Times New Roman" w:hAnsi="Times New Roman"/>
          <w:noProof/>
          <w:sz w:val="24"/>
          <w:lang w:val="en-GB"/>
        </w:rPr>
        <w:t xml:space="preserve"> </w:t>
      </w:r>
      <w:r w:rsidR="57585320" w:rsidRPr="008704BD">
        <w:rPr>
          <w:rFonts w:ascii="Times New Roman" w:hAnsi="Times New Roman"/>
          <w:noProof/>
          <w:sz w:val="24"/>
          <w:lang w:val="en-GB"/>
        </w:rPr>
        <w:t>party (e.g</w:t>
      </w:r>
      <w:r w:rsidR="004009B2" w:rsidRPr="008704BD">
        <w:rPr>
          <w:rFonts w:ascii="Times New Roman" w:hAnsi="Times New Roman"/>
          <w:noProof/>
          <w:sz w:val="24"/>
          <w:lang w:val="en-GB"/>
        </w:rPr>
        <w:t>.</w:t>
      </w:r>
      <w:r w:rsidR="57585320" w:rsidRPr="008704BD">
        <w:rPr>
          <w:rFonts w:ascii="Times New Roman" w:hAnsi="Times New Roman"/>
          <w:noProof/>
          <w:sz w:val="24"/>
          <w:lang w:val="en-GB"/>
        </w:rPr>
        <w:t xml:space="preserve"> </w:t>
      </w:r>
      <w:r w:rsidR="01326F2E" w:rsidRPr="008704BD">
        <w:rPr>
          <w:rFonts w:ascii="Times New Roman" w:hAnsi="Times New Roman"/>
          <w:noProof/>
          <w:sz w:val="24"/>
          <w:lang w:val="en-GB"/>
        </w:rPr>
        <w:t>financial institution or service provider</w:t>
      </w:r>
      <w:r w:rsidR="6BDB4557" w:rsidRPr="008704BD">
        <w:rPr>
          <w:rFonts w:ascii="Times New Roman" w:hAnsi="Times New Roman"/>
          <w:noProof/>
          <w:sz w:val="24"/>
          <w:lang w:val="en-GB"/>
        </w:rPr>
        <w:t>)</w:t>
      </w:r>
      <w:r w:rsidR="01326F2E" w:rsidRPr="008704BD">
        <w:rPr>
          <w:rFonts w:ascii="Times New Roman" w:hAnsi="Times New Roman"/>
          <w:noProof/>
          <w:sz w:val="24"/>
          <w:lang w:val="en-GB"/>
        </w:rPr>
        <w:t xml:space="preserve">, and 2. </w:t>
      </w:r>
      <w:r w:rsidR="12E0CC52" w:rsidRPr="008704BD">
        <w:rPr>
          <w:rFonts w:ascii="Times New Roman" w:hAnsi="Times New Roman"/>
          <w:noProof/>
          <w:sz w:val="24"/>
          <w:lang w:val="en-GB"/>
        </w:rPr>
        <w:t>exchange between the tax authorities concerned of the information that has been reported.</w:t>
      </w:r>
    </w:p>
    <w:p w14:paraId="3A5964C2" w14:textId="77777777" w:rsidR="00F16B98" w:rsidRPr="008704BD" w:rsidRDefault="000F1243" w:rsidP="4941CBEC">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N</w:t>
      </w:r>
      <w:r w:rsidR="00F16B98" w:rsidRPr="008704BD">
        <w:rPr>
          <w:rFonts w:ascii="Times New Roman" w:hAnsi="Times New Roman"/>
          <w:noProof/>
          <w:sz w:val="24"/>
          <w:lang w:val="en-GB"/>
        </w:rPr>
        <w:t xml:space="preserve">ew challenges are constantly </w:t>
      </w:r>
      <w:r w:rsidR="00CA6E70" w:rsidRPr="008704BD">
        <w:rPr>
          <w:rFonts w:ascii="Times New Roman" w:hAnsi="Times New Roman"/>
          <w:noProof/>
          <w:sz w:val="24"/>
          <w:lang w:val="en-GB"/>
        </w:rPr>
        <w:t xml:space="preserve">arising </w:t>
      </w:r>
      <w:r w:rsidR="00F16B98" w:rsidRPr="008704BD">
        <w:rPr>
          <w:rFonts w:ascii="Times New Roman" w:hAnsi="Times New Roman"/>
          <w:noProof/>
          <w:sz w:val="24"/>
          <w:lang w:val="en-GB"/>
        </w:rPr>
        <w:t>and may not be covered by the existing scope of the DAC. In particular, the emergence of alternative means of payment and investment, such as crypto-assets, which may pose new risks of tax evasion</w:t>
      </w:r>
      <w:r w:rsidR="00CE426D" w:rsidRPr="008704BD">
        <w:rPr>
          <w:rFonts w:ascii="Times New Roman" w:hAnsi="Times New Roman"/>
          <w:noProof/>
          <w:sz w:val="24"/>
          <w:lang w:val="en-GB"/>
        </w:rPr>
        <w:t>, are not covered</w:t>
      </w:r>
      <w:r w:rsidR="00F16B98" w:rsidRPr="008704BD">
        <w:rPr>
          <w:rFonts w:ascii="Times New Roman" w:hAnsi="Times New Roman"/>
          <w:noProof/>
          <w:sz w:val="24"/>
          <w:lang w:val="en-GB"/>
        </w:rPr>
        <w:t xml:space="preserve">. Therefore, this impact assessment presents policy actions to expand the exchange of information within the EU to cover income or revenue generated by these new means of payment and investment. </w:t>
      </w:r>
    </w:p>
    <w:p w14:paraId="127B366E" w14:textId="1DC27E82" w:rsidR="00EA472A" w:rsidRPr="009B7EE4" w:rsidRDefault="00D7754E" w:rsidP="00EA472A">
      <w:pPr>
        <w:spacing w:after="200" w:line="240" w:lineRule="auto"/>
        <w:jc w:val="both"/>
        <w:rPr>
          <w:rFonts w:ascii="Times New Roman" w:hAnsi="Times New Roman"/>
          <w:noProof/>
          <w:sz w:val="24"/>
          <w:szCs w:val="24"/>
          <w:lang w:val="en-GB"/>
        </w:rPr>
      </w:pPr>
      <w:r w:rsidRPr="008704BD">
        <w:rPr>
          <w:rFonts w:ascii="Times New Roman" w:hAnsi="Times New Roman"/>
          <w:noProof/>
          <w:sz w:val="24"/>
          <w:lang w:val="en-GB"/>
        </w:rPr>
        <w:t>Crypto-assets are digital assets based on distributed ledger technology and cryptography</w:t>
      </w:r>
      <w:r w:rsidR="0038391D" w:rsidRPr="008704BD">
        <w:rPr>
          <w:rFonts w:ascii="Times New Roman" w:hAnsi="Times New Roman"/>
          <w:noProof/>
          <w:sz w:val="24"/>
          <w:lang w:val="en-GB"/>
        </w:rPr>
        <w:t>.</w:t>
      </w:r>
      <w:r w:rsidR="008829B8" w:rsidRPr="008704BD">
        <w:rPr>
          <w:rFonts w:ascii="Times New Roman" w:hAnsi="Times New Roman"/>
          <w:noProof/>
          <w:sz w:val="24"/>
          <w:lang w:val="en-GB"/>
        </w:rPr>
        <w:t xml:space="preserve"> </w:t>
      </w:r>
      <w:r w:rsidR="007E1284" w:rsidRPr="008704BD">
        <w:rPr>
          <w:rFonts w:ascii="Times New Roman" w:hAnsi="Times New Roman"/>
          <w:noProof/>
          <w:sz w:val="24"/>
          <w:lang w:val="en-GB"/>
        </w:rPr>
        <w:t xml:space="preserve">Crypto-asset markets have been growing fast over the </w:t>
      </w:r>
      <w:r w:rsidR="00682820" w:rsidRPr="008704BD">
        <w:rPr>
          <w:rFonts w:ascii="Times New Roman" w:hAnsi="Times New Roman"/>
          <w:noProof/>
          <w:sz w:val="24"/>
          <w:lang w:val="en-GB"/>
        </w:rPr>
        <w:t>past</w:t>
      </w:r>
      <w:r w:rsidR="007E1284" w:rsidRPr="008704BD">
        <w:rPr>
          <w:rFonts w:ascii="Times New Roman" w:hAnsi="Times New Roman"/>
          <w:noProof/>
          <w:sz w:val="24"/>
          <w:lang w:val="en-GB"/>
        </w:rPr>
        <w:t xml:space="preserve"> years. </w:t>
      </w:r>
      <w:r w:rsidR="00573D12" w:rsidRPr="008704BD">
        <w:rPr>
          <w:rFonts w:ascii="Times New Roman" w:hAnsi="Times New Roman"/>
          <w:noProof/>
          <w:sz w:val="24"/>
          <w:lang w:val="en-GB"/>
        </w:rPr>
        <w:t xml:space="preserve">In September 2020, </w:t>
      </w:r>
      <w:r w:rsidR="007E1284" w:rsidRPr="008704BD">
        <w:rPr>
          <w:rFonts w:ascii="Times New Roman" w:hAnsi="Times New Roman"/>
          <w:noProof/>
          <w:sz w:val="24"/>
          <w:lang w:val="en-GB"/>
        </w:rPr>
        <w:t>the European Commission</w:t>
      </w:r>
      <w:r w:rsidR="00573D12" w:rsidRPr="008704BD">
        <w:rPr>
          <w:rFonts w:ascii="Times New Roman" w:hAnsi="Times New Roman"/>
          <w:noProof/>
          <w:sz w:val="24"/>
          <w:lang w:val="en-GB"/>
        </w:rPr>
        <w:t xml:space="preserve"> adopted a </w:t>
      </w:r>
      <w:r w:rsidR="007E1284" w:rsidRPr="008704BD">
        <w:rPr>
          <w:rFonts w:ascii="Times New Roman" w:hAnsi="Times New Roman"/>
          <w:noProof/>
          <w:sz w:val="24"/>
          <w:lang w:val="en-GB"/>
        </w:rPr>
        <w:t xml:space="preserve">proposal for a Regulation on Markets in Crypto-assets (hereafter </w:t>
      </w:r>
      <w:r w:rsidR="0084244D" w:rsidRPr="008704BD">
        <w:rPr>
          <w:rFonts w:ascii="Times New Roman" w:hAnsi="Times New Roman"/>
          <w:noProof/>
          <w:sz w:val="24"/>
          <w:lang w:val="en-GB"/>
        </w:rPr>
        <w:t>referred to as</w:t>
      </w:r>
      <w:r w:rsidR="007E1284" w:rsidRPr="008704BD">
        <w:rPr>
          <w:rFonts w:ascii="Times New Roman" w:hAnsi="Times New Roman"/>
          <w:noProof/>
          <w:sz w:val="24"/>
          <w:lang w:val="en-GB"/>
        </w:rPr>
        <w:t xml:space="preserve"> “MiCA”)</w:t>
      </w:r>
      <w:r w:rsidR="007E1284" w:rsidRPr="008704BD">
        <w:rPr>
          <w:rStyle w:val="FootnoteReference"/>
          <w:rFonts w:ascii="Times New Roman" w:hAnsi="Times New Roman"/>
          <w:noProof/>
          <w:sz w:val="24"/>
          <w:lang w:val="en-GB"/>
        </w:rPr>
        <w:footnoteReference w:id="8"/>
      </w:r>
      <w:r w:rsidR="007E1284" w:rsidRPr="008704BD">
        <w:rPr>
          <w:rFonts w:ascii="Times New Roman" w:hAnsi="Times New Roman"/>
          <w:noProof/>
          <w:sz w:val="24"/>
          <w:lang w:val="en-GB"/>
        </w:rPr>
        <w:t xml:space="preserve"> </w:t>
      </w:r>
      <w:r w:rsidR="00573D12" w:rsidRPr="008704BD">
        <w:rPr>
          <w:rFonts w:ascii="Times New Roman" w:hAnsi="Times New Roman"/>
          <w:noProof/>
          <w:sz w:val="24"/>
          <w:lang w:val="en-GB"/>
        </w:rPr>
        <w:t>,</w:t>
      </w:r>
      <w:r w:rsidR="007E1284" w:rsidRPr="008704BD">
        <w:rPr>
          <w:rFonts w:ascii="Times New Roman" w:hAnsi="Times New Roman"/>
          <w:noProof/>
          <w:sz w:val="24"/>
          <w:lang w:val="en-GB"/>
        </w:rPr>
        <w:t xml:space="preserve"> which will have, once agreed by the legislators, the effect of expanding the EU regulatory perimeter to a range of crypto-asset activities. </w:t>
      </w:r>
      <w:r w:rsidR="00573D12" w:rsidRPr="008704BD">
        <w:rPr>
          <w:rFonts w:ascii="Times New Roman" w:hAnsi="Times New Roman"/>
          <w:noProof/>
          <w:sz w:val="24"/>
          <w:lang w:val="en-GB"/>
        </w:rPr>
        <w:t>The inherent cross-border</w:t>
      </w:r>
      <w:r w:rsidR="003016F3">
        <w:rPr>
          <w:rFonts w:ascii="Times New Roman" w:hAnsi="Times New Roman"/>
          <w:noProof/>
          <w:sz w:val="24"/>
          <w:lang w:val="en-GB"/>
        </w:rPr>
        <w:t xml:space="preserve"> nature of </w:t>
      </w:r>
      <w:r w:rsidR="00573D12" w:rsidRPr="008704BD">
        <w:rPr>
          <w:rFonts w:ascii="Times New Roman" w:hAnsi="Times New Roman"/>
          <w:noProof/>
          <w:sz w:val="24"/>
          <w:lang w:val="en-GB"/>
        </w:rPr>
        <w:t>crypto-assets requires strong international administrative cooperation, so as to ensure effective regulation.</w:t>
      </w:r>
      <w:r w:rsidR="00EA472A" w:rsidRPr="00EA472A">
        <w:rPr>
          <w:rFonts w:ascii="Times New Roman" w:hAnsi="Times New Roman" w:cs="Times New Roman"/>
          <w:noProof/>
          <w:sz w:val="24"/>
          <w:szCs w:val="24"/>
          <w:lang w:val="en-GB"/>
        </w:rPr>
        <w:t xml:space="preserve"> </w:t>
      </w:r>
      <w:r w:rsidR="00EA472A" w:rsidRPr="009B7EE4">
        <w:rPr>
          <w:rFonts w:ascii="Times New Roman" w:hAnsi="Times New Roman" w:cs="Times New Roman"/>
          <w:noProof/>
          <w:sz w:val="24"/>
          <w:szCs w:val="24"/>
          <w:lang w:val="en-GB"/>
        </w:rPr>
        <w:t>The proposed MiCA legislation regulates the market for crypto-assets and provides for the conditions for access to the EU market for crypto-assets. This framework,</w:t>
      </w:r>
      <w:r w:rsidR="00EA472A" w:rsidRPr="009B7EE4" w:rsidDel="0005743A">
        <w:rPr>
          <w:rStyle w:val="normaltextrun"/>
          <w:rFonts w:ascii="Times New Roman" w:hAnsi="Times New Roman" w:cs="Times New Roman"/>
          <w:noProof/>
          <w:sz w:val="24"/>
          <w:szCs w:val="24"/>
        </w:rPr>
        <w:t xml:space="preserve"> </w:t>
      </w:r>
      <w:r w:rsidR="00EA472A" w:rsidRPr="009B7EE4">
        <w:rPr>
          <w:rStyle w:val="normaltextrun"/>
          <w:rFonts w:ascii="Times New Roman" w:hAnsi="Times New Roman" w:cs="Times New Roman"/>
          <w:noProof/>
          <w:sz w:val="24"/>
          <w:szCs w:val="24"/>
        </w:rPr>
        <w:t xml:space="preserve">once adopted, would replace national rules currently governing for example the issuance, trading and custody of crypto-assets. This framework does not by itself provide a basis for tax authorities to collect and exchange the information that they would need in order to tax crypto-asset income. This being said, the planned DAC8 proposal would build on this proposed framework, including on the definitions of crypto-assets and service providers. </w:t>
      </w:r>
    </w:p>
    <w:p w14:paraId="0C363FE8" w14:textId="77777777" w:rsidR="00EA472A" w:rsidRPr="0097262B" w:rsidRDefault="007E1284" w:rsidP="00EA472A">
      <w:pPr>
        <w:spacing w:after="200" w:line="240" w:lineRule="auto"/>
        <w:jc w:val="both"/>
        <w:rPr>
          <w:rFonts w:ascii="Times New Roman" w:hAnsi="Times New Roman" w:cs="Times New Roman"/>
          <w:noProof/>
          <w:sz w:val="24"/>
          <w:lang w:val="en-GB"/>
        </w:rPr>
      </w:pPr>
      <w:r w:rsidRPr="008704BD">
        <w:rPr>
          <w:rFonts w:ascii="Times New Roman" w:hAnsi="Times New Roman"/>
          <w:noProof/>
          <w:sz w:val="24"/>
          <w:lang w:val="en-GB"/>
        </w:rPr>
        <w:t xml:space="preserve">The Commission’s package of legislative proposals to strengthen the EU’s </w:t>
      </w:r>
      <w:r w:rsidRPr="008704BD">
        <w:rPr>
          <w:rFonts w:ascii="Times New Roman" w:hAnsi="Times New Roman"/>
          <w:noProof/>
          <w:sz w:val="24"/>
        </w:rPr>
        <w:t>Anti-Money Laundering/Countering the Financing of Terrorism</w:t>
      </w:r>
      <w:r w:rsidR="00CE426D" w:rsidRPr="008704BD">
        <w:rPr>
          <w:rFonts w:ascii="Times New Roman" w:hAnsi="Times New Roman"/>
          <w:noProof/>
          <w:sz w:val="24"/>
        </w:rPr>
        <w:t xml:space="preserve"> framework</w:t>
      </w:r>
      <w:r w:rsidRPr="008704BD">
        <w:rPr>
          <w:rFonts w:ascii="Times New Roman" w:hAnsi="Times New Roman"/>
          <w:noProof/>
          <w:sz w:val="24"/>
        </w:rPr>
        <w:t xml:space="preserve"> (</w:t>
      </w:r>
      <w:r w:rsidR="00CE426D" w:rsidRPr="008704BD">
        <w:rPr>
          <w:rFonts w:ascii="Times New Roman" w:hAnsi="Times New Roman"/>
          <w:noProof/>
          <w:sz w:val="24"/>
        </w:rPr>
        <w:t xml:space="preserve">hereafter referred to as </w:t>
      </w:r>
      <w:r w:rsidR="00F613B1" w:rsidRPr="008704BD">
        <w:rPr>
          <w:rFonts w:ascii="Times New Roman" w:hAnsi="Times New Roman"/>
          <w:noProof/>
          <w:sz w:val="24"/>
        </w:rPr>
        <w:t>“</w:t>
      </w:r>
      <w:r w:rsidRPr="008704BD">
        <w:rPr>
          <w:rFonts w:ascii="Times New Roman" w:hAnsi="Times New Roman"/>
          <w:noProof/>
          <w:sz w:val="24"/>
        </w:rPr>
        <w:t>AML/CFT</w:t>
      </w:r>
      <w:r w:rsidR="00F613B1" w:rsidRPr="008704BD">
        <w:rPr>
          <w:rFonts w:ascii="Times New Roman" w:hAnsi="Times New Roman"/>
          <w:noProof/>
          <w:sz w:val="24"/>
        </w:rPr>
        <w:t>”</w:t>
      </w:r>
      <w:r w:rsidRPr="008704BD">
        <w:rPr>
          <w:rFonts w:ascii="Times New Roman" w:hAnsi="Times New Roman"/>
          <w:noProof/>
          <w:sz w:val="24"/>
        </w:rPr>
        <w:t>)</w:t>
      </w:r>
      <w:r w:rsidR="005C4213" w:rsidRPr="008704BD">
        <w:rPr>
          <w:rStyle w:val="FootnoteReference"/>
          <w:rFonts w:ascii="Times New Roman" w:hAnsi="Times New Roman"/>
          <w:noProof/>
          <w:sz w:val="24"/>
        </w:rPr>
        <w:footnoteReference w:id="9"/>
      </w:r>
      <w:r w:rsidRPr="008704BD">
        <w:rPr>
          <w:rFonts w:ascii="Times New Roman" w:hAnsi="Times New Roman"/>
          <w:noProof/>
          <w:sz w:val="24"/>
          <w:lang w:val="en-GB"/>
        </w:rPr>
        <w:t xml:space="preserve"> includes a proposal to extend the scope of obliged entities subject to AML rules, to the virtual asset service p</w:t>
      </w:r>
      <w:r w:rsidR="00B30A0B">
        <w:rPr>
          <w:rFonts w:ascii="Times New Roman" w:hAnsi="Times New Roman"/>
          <w:noProof/>
          <w:sz w:val="24"/>
          <w:lang w:val="en-GB"/>
        </w:rPr>
        <w:t>r</w:t>
      </w:r>
      <w:r w:rsidRPr="008704BD">
        <w:rPr>
          <w:rFonts w:ascii="Times New Roman" w:hAnsi="Times New Roman"/>
          <w:noProof/>
          <w:sz w:val="24"/>
          <w:lang w:val="en-GB"/>
        </w:rPr>
        <w:t xml:space="preserve">oviders regulated by MiCA. </w:t>
      </w:r>
      <w:r w:rsidR="00EA472A" w:rsidRPr="009B7EE4">
        <w:rPr>
          <w:rFonts w:ascii="Times New Roman" w:hAnsi="Times New Roman" w:cs="Times New Roman"/>
          <w:noProof/>
          <w:sz w:val="24"/>
          <w:szCs w:val="24"/>
          <w:lang w:val="en-GB"/>
        </w:rPr>
        <w:t xml:space="preserve">The AML package adopted by the Commission in July 2021 aims at extending the EU AML rules to all </w:t>
      </w:r>
      <w:r w:rsidR="00EA472A">
        <w:rPr>
          <w:rFonts w:ascii="Times New Roman" w:hAnsi="Times New Roman" w:cs="Times New Roman"/>
          <w:noProof/>
          <w:sz w:val="24"/>
          <w:szCs w:val="24"/>
          <w:lang w:val="en-GB"/>
        </w:rPr>
        <w:t>crypto-assets service providers (</w:t>
      </w:r>
      <w:r w:rsidR="00C0501B" w:rsidRPr="008704BD">
        <w:rPr>
          <w:rFonts w:ascii="Times New Roman" w:hAnsi="Times New Roman"/>
          <w:noProof/>
          <w:sz w:val="24"/>
          <w:lang w:val="en-GB"/>
        </w:rPr>
        <w:t xml:space="preserve">hereafter referred to as </w:t>
      </w:r>
      <w:r w:rsidR="00EA472A" w:rsidRPr="009B7EE4">
        <w:rPr>
          <w:rFonts w:ascii="Times New Roman" w:hAnsi="Times New Roman" w:cs="Times New Roman"/>
          <w:noProof/>
          <w:sz w:val="24"/>
          <w:szCs w:val="24"/>
          <w:lang w:val="en-GB"/>
        </w:rPr>
        <w:t>CASPs</w:t>
      </w:r>
      <w:r w:rsidR="00EA472A">
        <w:rPr>
          <w:rFonts w:ascii="Times New Roman" w:hAnsi="Times New Roman" w:cs="Times New Roman"/>
          <w:noProof/>
          <w:sz w:val="24"/>
          <w:szCs w:val="24"/>
          <w:lang w:val="en-GB"/>
        </w:rPr>
        <w:t>)</w:t>
      </w:r>
      <w:r w:rsidR="00EA472A" w:rsidRPr="009B7EE4">
        <w:rPr>
          <w:rFonts w:ascii="Times New Roman" w:hAnsi="Times New Roman" w:cs="Times New Roman"/>
          <w:noProof/>
          <w:sz w:val="24"/>
          <w:szCs w:val="24"/>
          <w:lang w:val="en-GB"/>
        </w:rPr>
        <w:t>. This means that CASPs will have to ensure the availability of certain information relative to crypto-assets</w:t>
      </w:r>
      <w:r w:rsidR="00EA472A" w:rsidRPr="009B7EE4">
        <w:rPr>
          <w:rStyle w:val="normaltextrun"/>
          <w:rFonts w:ascii="Times New Roman" w:hAnsi="Times New Roman" w:cs="Times New Roman"/>
          <w:noProof/>
          <w:sz w:val="24"/>
          <w:szCs w:val="24"/>
        </w:rPr>
        <w:t xml:space="preserve"> (for example as </w:t>
      </w:r>
      <w:r w:rsidR="00EA472A" w:rsidRPr="009B7EE4">
        <w:rPr>
          <w:rFonts w:ascii="Times New Roman" w:hAnsi="Times New Roman" w:cs="Times New Roman"/>
          <w:noProof/>
          <w:sz w:val="24"/>
          <w:szCs w:val="24"/>
        </w:rPr>
        <w:t>the name of the payer, the payer's payment account number, the payer's address, customer identification number or date and place of birth)</w:t>
      </w:r>
      <w:r w:rsidR="00EA472A" w:rsidRPr="009B7EE4">
        <w:rPr>
          <w:rStyle w:val="normaltextrun"/>
          <w:rFonts w:ascii="Times New Roman" w:hAnsi="Times New Roman" w:cs="Times New Roman"/>
          <w:noProof/>
          <w:sz w:val="24"/>
          <w:szCs w:val="24"/>
        </w:rPr>
        <w:t>. Information gathered for AML purposes can be useful for tax authorities, which is demonstrated by a previous amendment to DAC (DAC5) which provides a basis for the use of AML information for tax purposes. However, the information gathered for AML purposes is not fully sufficient for tax purposes. It is intended for other purposes than taxation and neither the information collected, nor the procedure for collecting it are adapted to the needs of tackling tax fraud, evasion and avoidance.</w:t>
      </w:r>
      <w:r w:rsidR="00EA472A" w:rsidRPr="009B7EE4" w:rsidDel="007E76C7">
        <w:rPr>
          <w:rStyle w:val="normaltextrun"/>
          <w:rFonts w:ascii="Times New Roman" w:hAnsi="Times New Roman" w:cs="Times New Roman"/>
          <w:noProof/>
          <w:sz w:val="24"/>
          <w:szCs w:val="24"/>
        </w:rPr>
        <w:t xml:space="preserve"> </w:t>
      </w:r>
    </w:p>
    <w:p w14:paraId="2D855B1F" w14:textId="77777777" w:rsidR="00B30A0B" w:rsidRPr="009B7EE4" w:rsidRDefault="00B30A0B" w:rsidP="0097262B">
      <w:pPr>
        <w:spacing w:after="200" w:line="240" w:lineRule="auto"/>
        <w:jc w:val="both"/>
        <w:rPr>
          <w:rFonts w:ascii="Times New Roman" w:hAnsi="Times New Roman" w:cs="Times New Roman"/>
          <w:noProof/>
          <w:sz w:val="24"/>
          <w:szCs w:val="24"/>
          <w:lang w:val="en-GB"/>
        </w:rPr>
      </w:pPr>
      <w:r w:rsidRPr="009B7EE4">
        <w:rPr>
          <w:rFonts w:ascii="Times New Roman" w:hAnsi="Times New Roman" w:cs="Times New Roman"/>
          <w:noProof/>
          <w:sz w:val="24"/>
          <w:szCs w:val="24"/>
          <w:lang w:val="en-GB"/>
        </w:rPr>
        <w:t xml:space="preserve">The EU initiatives, in particular the proposed legislation on MiCA and the Anti-Money Laundering (AML) package, contribute to better regulating the crypto-assets market, improving traceability and greater transparency at large. However, it does not improve transparency for tax purposes, as envisaged by the proposal for DAC8.  </w:t>
      </w:r>
    </w:p>
    <w:p w14:paraId="54504946" w14:textId="77777777" w:rsidR="00B30A0B" w:rsidRPr="009B7EE4" w:rsidRDefault="00B30A0B" w:rsidP="0097262B">
      <w:pPr>
        <w:spacing w:after="200" w:line="240" w:lineRule="auto"/>
        <w:jc w:val="both"/>
        <w:rPr>
          <w:rFonts w:ascii="Times New Roman" w:hAnsi="Times New Roman" w:cs="Times New Roman"/>
          <w:noProof/>
          <w:sz w:val="24"/>
          <w:szCs w:val="24"/>
          <w:lang w:val="en-GB"/>
        </w:rPr>
      </w:pPr>
      <w:r w:rsidRPr="009B7EE4">
        <w:rPr>
          <w:rFonts w:ascii="Times New Roman" w:hAnsi="Times New Roman" w:cs="Times New Roman"/>
          <w:noProof/>
          <w:sz w:val="24"/>
          <w:szCs w:val="24"/>
          <w:lang w:val="en-GB"/>
        </w:rPr>
        <w:t>An amendment of the DAC is therefore necessary in order to provide for clear reporting obligations with information that is relevant for tax purposes, due diligence rules and a specific mechanism for exchanging</w:t>
      </w:r>
      <w:r w:rsidRPr="009B7EE4">
        <w:rPr>
          <w:noProof/>
          <w:sz w:val="24"/>
          <w:szCs w:val="24"/>
          <w:lang w:val="en-GB"/>
        </w:rPr>
        <w:t xml:space="preserve"> </w:t>
      </w:r>
      <w:r w:rsidRPr="009B7EE4">
        <w:rPr>
          <w:rFonts w:ascii="Times New Roman" w:hAnsi="Times New Roman" w:cs="Times New Roman"/>
          <w:noProof/>
          <w:sz w:val="24"/>
          <w:szCs w:val="24"/>
          <w:lang w:val="en-GB"/>
        </w:rPr>
        <w:t>information between Member States, which would not be provided by the MiCA Regulation nor by the AML package.</w:t>
      </w:r>
      <w:r w:rsidRPr="009B7EE4">
        <w:rPr>
          <w:rStyle w:val="eop"/>
          <w:rFonts w:ascii="Times New Roman" w:hAnsi="Times New Roman" w:cs="Times New Roman"/>
          <w:noProof/>
          <w:sz w:val="24"/>
          <w:szCs w:val="24"/>
        </w:rPr>
        <w:t> </w:t>
      </w:r>
    </w:p>
    <w:p w14:paraId="2717F1ED" w14:textId="76464983" w:rsidR="00C0501B" w:rsidRDefault="00B30A0B" w:rsidP="007167E9">
      <w:pPr>
        <w:tabs>
          <w:tab w:val="left" w:pos="2302"/>
        </w:tabs>
        <w:spacing w:after="240" w:line="240" w:lineRule="auto"/>
        <w:jc w:val="both"/>
        <w:rPr>
          <w:rStyle w:val="eop"/>
          <w:rFonts w:ascii="Times New Roman" w:hAnsi="Times New Roman" w:cs="Times New Roman"/>
          <w:noProof/>
          <w:sz w:val="24"/>
          <w:szCs w:val="24"/>
        </w:rPr>
      </w:pPr>
      <w:r w:rsidRPr="009B7EE4">
        <w:rPr>
          <w:rFonts w:ascii="Times New Roman" w:hAnsi="Times New Roman" w:cs="Times New Roman"/>
          <w:noProof/>
          <w:sz w:val="24"/>
          <w:szCs w:val="24"/>
          <w:lang w:val="en-GB"/>
        </w:rPr>
        <w:t>The OECD initiative, which is currently still under negotiation</w:t>
      </w:r>
      <w:r w:rsidRPr="009B7EE4">
        <w:rPr>
          <w:rStyle w:val="normaltextrun"/>
          <w:rFonts w:ascii="Times New Roman" w:hAnsi="Times New Roman" w:cs="Times New Roman"/>
          <w:noProof/>
          <w:sz w:val="24"/>
          <w:szCs w:val="24"/>
        </w:rPr>
        <w:t xml:space="preserve"> at the international level, aims at introducing greater tax transparency on crypto-assets. It is important to ensure consistency between the international OECD and EU rules in order to</w:t>
      </w:r>
      <w:r w:rsidRPr="009B7EE4">
        <w:rPr>
          <w:rFonts w:ascii="Times New Roman" w:hAnsi="Times New Roman" w:cs="Times New Roman"/>
          <w:noProof/>
          <w:sz w:val="24"/>
          <w:szCs w:val="24"/>
        </w:rPr>
        <w:t xml:space="preserve"> </w:t>
      </w:r>
      <w:r w:rsidRPr="009B7EE4">
        <w:rPr>
          <w:rStyle w:val="normaltextrun"/>
          <w:rFonts w:ascii="Times New Roman" w:hAnsi="Times New Roman" w:cs="Times New Roman"/>
          <w:noProof/>
          <w:sz w:val="24"/>
          <w:szCs w:val="24"/>
        </w:rPr>
        <w:t>increase effectiveness of information exchange and to reduce the administrative burden. However, an OECD framework would not eliminate the need for an EU framework. In particular, a future OECD standard is not expected to be binding and would therefore not achieve the same coordinated regulation across participating Member States. It has been standard practice to bring OECD agreements into EU law through directives and it has been used for DAC2, 3, 4, 6 and 7. There is a need to ensure a coordinated approach within the EU with as few variations as possible. There is furthermore a need to ensure that the exchanges of information on crypto-assets can be integrated into the existing EU system of exchange of information. Finally, only an amendment to the DAC can ensure the necessary coherence of rules on reporting and exchange for tax purposes with the previously mentioned EU initiatives (proposal for a MICA regulation and AML package).</w:t>
      </w:r>
      <w:r w:rsidRPr="009B7EE4">
        <w:rPr>
          <w:rStyle w:val="eop"/>
          <w:rFonts w:ascii="Times New Roman" w:hAnsi="Times New Roman" w:cs="Times New Roman"/>
          <w:noProof/>
          <w:sz w:val="24"/>
          <w:szCs w:val="24"/>
        </w:rPr>
        <w:t> </w:t>
      </w:r>
    </w:p>
    <w:p w14:paraId="5CA8CF5D" w14:textId="77777777" w:rsidR="00991FC5" w:rsidRPr="008704BD" w:rsidRDefault="00AB7B0D" w:rsidP="007167E9">
      <w:pPr>
        <w:tabs>
          <w:tab w:val="left" w:pos="2302"/>
        </w:tabs>
        <w:spacing w:after="240" w:line="240" w:lineRule="auto"/>
        <w:jc w:val="both"/>
        <w:rPr>
          <w:rFonts w:ascii="Times New Roman" w:hAnsi="Times New Roman"/>
          <w:noProof/>
          <w:color w:val="000000" w:themeColor="text1"/>
          <w:sz w:val="24"/>
          <w:lang w:val="en-GB"/>
        </w:rPr>
      </w:pPr>
      <w:r w:rsidRPr="008704BD">
        <w:rPr>
          <w:rFonts w:ascii="Times New Roman" w:hAnsi="Times New Roman"/>
          <w:noProof/>
          <w:sz w:val="24"/>
          <w:lang w:val="en-GB"/>
        </w:rPr>
        <w:t>The</w:t>
      </w:r>
      <w:r w:rsidR="00991FC5" w:rsidRPr="008704BD">
        <w:rPr>
          <w:rFonts w:ascii="Times New Roman" w:hAnsi="Times New Roman"/>
          <w:noProof/>
          <w:sz w:val="24"/>
          <w:lang w:val="en-GB"/>
        </w:rPr>
        <w:t xml:space="preserve"> European Court of Auditors</w:t>
      </w:r>
      <w:r w:rsidR="00624B5C" w:rsidRPr="008704BD">
        <w:rPr>
          <w:rFonts w:ascii="Times New Roman" w:hAnsi="Times New Roman"/>
          <w:noProof/>
          <w:sz w:val="24"/>
          <w:lang w:val="en-GB"/>
        </w:rPr>
        <w:t xml:space="preserve"> (ECA)</w:t>
      </w:r>
      <w:r w:rsidR="00991FC5" w:rsidRPr="008704BD">
        <w:rPr>
          <w:rFonts w:ascii="Times New Roman" w:hAnsi="Times New Roman"/>
          <w:noProof/>
          <w:sz w:val="24"/>
          <w:lang w:val="en-GB"/>
        </w:rPr>
        <w:t xml:space="preserve"> </w:t>
      </w:r>
      <w:r w:rsidRPr="008704BD">
        <w:rPr>
          <w:rFonts w:ascii="Times New Roman" w:hAnsi="Times New Roman"/>
          <w:noProof/>
          <w:sz w:val="24"/>
          <w:lang w:val="en-GB"/>
        </w:rPr>
        <w:t xml:space="preserve">published a </w:t>
      </w:r>
      <w:r w:rsidR="00991FC5" w:rsidRPr="008704BD">
        <w:rPr>
          <w:rFonts w:ascii="Times New Roman" w:hAnsi="Times New Roman"/>
          <w:noProof/>
          <w:sz w:val="24"/>
          <w:lang w:val="en-GB"/>
        </w:rPr>
        <w:t>report</w:t>
      </w:r>
      <w:r w:rsidR="00991FC5" w:rsidRPr="008704BD">
        <w:rPr>
          <w:rFonts w:ascii="Times New Roman" w:hAnsi="Times New Roman"/>
          <w:noProof/>
          <w:sz w:val="24"/>
          <w:vertAlign w:val="superscript"/>
          <w:lang w:val="en-GB"/>
        </w:rPr>
        <w:footnoteReference w:id="10"/>
      </w:r>
      <w:r w:rsidRPr="008704BD">
        <w:rPr>
          <w:rFonts w:ascii="Times New Roman" w:hAnsi="Times New Roman"/>
          <w:noProof/>
          <w:sz w:val="24"/>
          <w:lang w:val="en-GB"/>
        </w:rPr>
        <w:t xml:space="preserve"> </w:t>
      </w:r>
      <w:r w:rsidR="00991FC5" w:rsidRPr="008704BD">
        <w:rPr>
          <w:rFonts w:ascii="Times New Roman" w:hAnsi="Times New Roman"/>
          <w:noProof/>
          <w:sz w:val="24"/>
          <w:lang w:val="en-GB"/>
        </w:rPr>
        <w:t>examin</w:t>
      </w:r>
      <w:r w:rsidRPr="008704BD">
        <w:rPr>
          <w:rFonts w:ascii="Times New Roman" w:hAnsi="Times New Roman"/>
          <w:noProof/>
          <w:sz w:val="24"/>
          <w:lang w:val="en-GB"/>
        </w:rPr>
        <w:t>ing</w:t>
      </w:r>
      <w:r w:rsidR="00991FC5" w:rsidRPr="008704BD">
        <w:rPr>
          <w:rFonts w:ascii="Times New Roman" w:hAnsi="Times New Roman"/>
          <w:noProof/>
          <w:sz w:val="24"/>
          <w:lang w:val="en-GB"/>
        </w:rPr>
        <w:t xml:space="preserve"> the legal framework and implementation of the DAC. This report notes that </w:t>
      </w:r>
      <w:r w:rsidR="00991FC5" w:rsidRPr="008704BD">
        <w:rPr>
          <w:rFonts w:ascii="Times New Roman" w:hAnsi="Times New Roman"/>
          <w:i/>
          <w:noProof/>
          <w:sz w:val="24"/>
          <w:lang w:val="en-GB"/>
        </w:rPr>
        <w:t>“Cryptocurrencies are excluded from the scope of information exchange. If a taxpayer holds money in electronic cryptocurrencies, the platform or other electronic provider supplying portfolio services for such customers are not obliged to declare any such amounts or gains acquired to the tax authorities. Therefore, money held in such electronic instruments remain</w:t>
      </w:r>
      <w:r w:rsidR="00F613B1" w:rsidRPr="008704BD">
        <w:rPr>
          <w:rFonts w:ascii="Times New Roman" w:hAnsi="Times New Roman"/>
          <w:i/>
          <w:noProof/>
          <w:sz w:val="24"/>
          <w:lang w:val="en-GB"/>
        </w:rPr>
        <w:t>s</w:t>
      </w:r>
      <w:r w:rsidR="00991FC5" w:rsidRPr="008704BD">
        <w:rPr>
          <w:rFonts w:ascii="Times New Roman" w:hAnsi="Times New Roman"/>
          <w:i/>
          <w:noProof/>
          <w:sz w:val="24"/>
          <w:lang w:val="en-GB"/>
        </w:rPr>
        <w:t xml:space="preserve"> largely untaxed.”</w:t>
      </w:r>
      <w:r w:rsidR="00991FC5" w:rsidRPr="008704BD">
        <w:rPr>
          <w:rFonts w:ascii="Times New Roman" w:hAnsi="Times New Roman"/>
          <w:noProof/>
          <w:sz w:val="24"/>
          <w:lang w:val="en-GB"/>
        </w:rPr>
        <w:t xml:space="preserve"> </w:t>
      </w:r>
    </w:p>
    <w:p w14:paraId="5327FA73" w14:textId="6C277387" w:rsidR="007E1284" w:rsidRPr="008704BD" w:rsidRDefault="007E1284" w:rsidP="007E1284">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 xml:space="preserve">It is important to clarify that this initiative focuses on the reporting and exchange of information between tax administrations on the income obtained by the users of crypto-asset services and the use of this information by tax administrations, to ensure the proper application of domestic tax rules. It does not aim at setting out new rules regarding the actual taxation of such proceeds based on each Member State’s national rules, nor does it cover the taxation of the profits made by the </w:t>
      </w:r>
      <w:r w:rsidR="00C0501B">
        <w:rPr>
          <w:rFonts w:ascii="Times New Roman" w:hAnsi="Times New Roman"/>
          <w:noProof/>
          <w:sz w:val="24"/>
          <w:lang w:val="en-GB"/>
        </w:rPr>
        <w:t xml:space="preserve">CASPs </w:t>
      </w:r>
      <w:r w:rsidRPr="008704BD">
        <w:rPr>
          <w:rFonts w:ascii="Times New Roman" w:hAnsi="Times New Roman"/>
          <w:noProof/>
          <w:sz w:val="24"/>
          <w:lang w:val="en-GB"/>
        </w:rPr>
        <w:t>and whether they, as companies, pay their fair share in relation to those profits. Those aspects may be addressed through separate initiatives and work streams.</w:t>
      </w:r>
    </w:p>
    <w:p w14:paraId="3FBFFB8C" w14:textId="77777777" w:rsidR="006D0EE0" w:rsidRPr="006E5F59" w:rsidRDefault="004568B5" w:rsidP="00A923CB">
      <w:pPr>
        <w:jc w:val="both"/>
        <w:rPr>
          <w:rFonts w:ascii="Times New Roman" w:eastAsia="Times New Roman" w:hAnsi="Times New Roman" w:cs="Times New Roman"/>
          <w:b/>
          <w:noProof/>
          <w:sz w:val="28"/>
          <w:szCs w:val="32"/>
          <w:lang w:val="en-GB"/>
        </w:rPr>
      </w:pPr>
      <w:r w:rsidRPr="008704BD">
        <w:rPr>
          <w:rFonts w:ascii="Times New Roman" w:hAnsi="Times New Roman"/>
          <w:noProof/>
          <w:sz w:val="24"/>
          <w:lang w:val="en-GB"/>
        </w:rPr>
        <w:t xml:space="preserve">A legislative initiative addressing the issue </w:t>
      </w:r>
      <w:r w:rsidR="0044246C" w:rsidRPr="008704BD">
        <w:rPr>
          <w:rFonts w:ascii="Times New Roman" w:hAnsi="Times New Roman"/>
          <w:noProof/>
          <w:sz w:val="24"/>
          <w:lang w:val="en-GB"/>
        </w:rPr>
        <w:t xml:space="preserve">of </w:t>
      </w:r>
      <w:r w:rsidRPr="008704BD">
        <w:rPr>
          <w:rFonts w:ascii="Times New Roman" w:hAnsi="Times New Roman"/>
          <w:noProof/>
          <w:sz w:val="24"/>
          <w:lang w:val="en-GB"/>
        </w:rPr>
        <w:t xml:space="preserve">exchange of information on crypto-assets (DAC8) is likely to include </w:t>
      </w:r>
      <w:r w:rsidR="0044246C" w:rsidRPr="008704BD">
        <w:rPr>
          <w:rFonts w:ascii="Times New Roman" w:hAnsi="Times New Roman"/>
          <w:noProof/>
          <w:sz w:val="24"/>
          <w:lang w:val="en-GB"/>
        </w:rPr>
        <w:t xml:space="preserve">some </w:t>
      </w:r>
      <w:r w:rsidR="74DD740B" w:rsidRPr="008704BD">
        <w:rPr>
          <w:rFonts w:ascii="Times New Roman" w:hAnsi="Times New Roman"/>
          <w:noProof/>
          <w:sz w:val="24"/>
          <w:lang w:val="en-GB"/>
        </w:rPr>
        <w:t>fine-tuning</w:t>
      </w:r>
      <w:r w:rsidR="0044246C" w:rsidRPr="008704BD">
        <w:rPr>
          <w:rFonts w:ascii="Times New Roman" w:hAnsi="Times New Roman"/>
          <w:noProof/>
          <w:sz w:val="24"/>
          <w:lang w:val="en-GB"/>
        </w:rPr>
        <w:t xml:space="preserve"> of</w:t>
      </w:r>
      <w:r w:rsidRPr="008704BD">
        <w:rPr>
          <w:rFonts w:ascii="Times New Roman" w:hAnsi="Times New Roman"/>
          <w:noProof/>
          <w:sz w:val="24"/>
          <w:lang w:val="en-GB"/>
        </w:rPr>
        <w:t xml:space="preserve"> existing concepts in the DAC</w:t>
      </w:r>
      <w:r w:rsidR="09BC8BBD" w:rsidRPr="008704BD">
        <w:rPr>
          <w:rFonts w:ascii="Times New Roman" w:hAnsi="Times New Roman"/>
          <w:noProof/>
          <w:sz w:val="24"/>
          <w:lang w:val="en-GB"/>
        </w:rPr>
        <w:t xml:space="preserve"> and filling in some gaps</w:t>
      </w:r>
      <w:r w:rsidRPr="008704BD">
        <w:rPr>
          <w:rFonts w:ascii="Times New Roman" w:hAnsi="Times New Roman"/>
          <w:noProof/>
          <w:sz w:val="24"/>
          <w:lang w:val="en-GB"/>
        </w:rPr>
        <w:t xml:space="preserve">. Areas that could be covered touch upon </w:t>
      </w:r>
      <w:r w:rsidR="00B8409E" w:rsidRPr="008704BD">
        <w:rPr>
          <w:rFonts w:ascii="Times New Roman" w:hAnsi="Times New Roman"/>
          <w:noProof/>
          <w:sz w:val="24"/>
          <w:lang w:val="en-GB"/>
        </w:rPr>
        <w:t>a</w:t>
      </w:r>
      <w:r w:rsidR="6C4DA7D2" w:rsidRPr="008704BD">
        <w:rPr>
          <w:rFonts w:ascii="Times New Roman" w:hAnsi="Times New Roman"/>
          <w:noProof/>
          <w:sz w:val="24"/>
          <w:lang w:val="en-GB"/>
        </w:rPr>
        <w:t xml:space="preserve"> further strengthening of administrative cooperation between tax authorities, a review of the current compliance framework, </w:t>
      </w:r>
      <w:r w:rsidR="00B8409E" w:rsidRPr="008704BD">
        <w:rPr>
          <w:rFonts w:ascii="Times New Roman" w:hAnsi="Times New Roman"/>
          <w:noProof/>
          <w:sz w:val="24"/>
          <w:lang w:val="en-GB"/>
        </w:rPr>
        <w:t>a</w:t>
      </w:r>
      <w:r w:rsidR="6C4DA7D2" w:rsidRPr="008704BD">
        <w:rPr>
          <w:rFonts w:ascii="Times New Roman" w:hAnsi="Times New Roman"/>
          <w:noProof/>
          <w:sz w:val="24"/>
          <w:lang w:val="en-GB"/>
        </w:rPr>
        <w:t xml:space="preserve"> clarification of the</w:t>
      </w:r>
      <w:r w:rsidR="00886D1B" w:rsidRPr="008704BD">
        <w:rPr>
          <w:rFonts w:ascii="Times New Roman" w:hAnsi="Times New Roman"/>
          <w:noProof/>
          <w:sz w:val="24"/>
          <w:lang w:val="en-GB"/>
        </w:rPr>
        <w:t xml:space="preserve"> reporting and exchange</w:t>
      </w:r>
      <w:r w:rsidR="6C4DA7D2" w:rsidRPr="008704BD">
        <w:rPr>
          <w:rFonts w:ascii="Times New Roman" w:hAnsi="Times New Roman"/>
          <w:noProof/>
          <w:sz w:val="24"/>
          <w:lang w:val="en-GB"/>
        </w:rPr>
        <w:t xml:space="preserve"> </w:t>
      </w:r>
      <w:r w:rsidR="00B8409E" w:rsidRPr="008704BD">
        <w:rPr>
          <w:rFonts w:ascii="Times New Roman" w:hAnsi="Times New Roman"/>
          <w:noProof/>
          <w:sz w:val="24"/>
          <w:lang w:val="en-GB"/>
        </w:rPr>
        <w:t>rules applicable to</w:t>
      </w:r>
      <w:r w:rsidR="6C4DA7D2" w:rsidRPr="008704BD">
        <w:rPr>
          <w:rFonts w:ascii="Times New Roman" w:hAnsi="Times New Roman"/>
          <w:noProof/>
          <w:sz w:val="24"/>
          <w:lang w:val="en-GB"/>
        </w:rPr>
        <w:t xml:space="preserve"> </w:t>
      </w:r>
      <w:r w:rsidR="00886D1B" w:rsidRPr="008704BD">
        <w:rPr>
          <w:rFonts w:ascii="Times New Roman" w:hAnsi="Times New Roman"/>
          <w:noProof/>
          <w:sz w:val="24"/>
          <w:lang w:val="en-GB"/>
        </w:rPr>
        <w:t xml:space="preserve">information about </w:t>
      </w:r>
      <w:r w:rsidR="6C4DA7D2" w:rsidRPr="008704BD">
        <w:rPr>
          <w:rFonts w:ascii="Times New Roman" w:hAnsi="Times New Roman"/>
          <w:noProof/>
          <w:sz w:val="24"/>
          <w:lang w:val="en-GB"/>
        </w:rPr>
        <w:t xml:space="preserve">e-money and the </w:t>
      </w:r>
      <w:r w:rsidRPr="008704BD">
        <w:rPr>
          <w:rFonts w:ascii="Times New Roman" w:hAnsi="Times New Roman"/>
          <w:noProof/>
          <w:sz w:val="24"/>
          <w:lang w:val="en-GB"/>
        </w:rPr>
        <w:t>opening up</w:t>
      </w:r>
      <w:r w:rsidR="6C4DA7D2" w:rsidRPr="008704BD">
        <w:rPr>
          <w:rFonts w:ascii="Times New Roman" w:hAnsi="Times New Roman"/>
          <w:noProof/>
          <w:sz w:val="24"/>
          <w:lang w:val="en-GB"/>
        </w:rPr>
        <w:t xml:space="preserve"> of the </w:t>
      </w:r>
      <w:r w:rsidR="00886D1B" w:rsidRPr="008704BD">
        <w:rPr>
          <w:rFonts w:ascii="Times New Roman" w:hAnsi="Times New Roman"/>
          <w:noProof/>
          <w:sz w:val="24"/>
          <w:lang w:val="en-GB"/>
        </w:rPr>
        <w:t xml:space="preserve">information </w:t>
      </w:r>
      <w:r w:rsidR="6C4DA7D2" w:rsidRPr="008704BD">
        <w:rPr>
          <w:rFonts w:ascii="Times New Roman" w:hAnsi="Times New Roman"/>
          <w:noProof/>
          <w:sz w:val="24"/>
          <w:lang w:val="en-GB"/>
        </w:rPr>
        <w:t>exchange o</w:t>
      </w:r>
      <w:r w:rsidR="00886D1B" w:rsidRPr="008704BD">
        <w:rPr>
          <w:rFonts w:ascii="Times New Roman" w:hAnsi="Times New Roman"/>
          <w:noProof/>
          <w:sz w:val="24"/>
          <w:lang w:val="en-GB"/>
        </w:rPr>
        <w:t>n</w:t>
      </w:r>
      <w:r w:rsidR="6C4DA7D2" w:rsidRPr="008704BD">
        <w:rPr>
          <w:rFonts w:ascii="Times New Roman" w:hAnsi="Times New Roman"/>
          <w:noProof/>
          <w:sz w:val="24"/>
          <w:lang w:val="en-GB"/>
        </w:rPr>
        <w:t xml:space="preserve"> cross-border tax rulings to </w:t>
      </w:r>
      <w:r w:rsidR="27F8001A" w:rsidRPr="008704BD">
        <w:rPr>
          <w:rFonts w:ascii="Times New Roman" w:hAnsi="Times New Roman"/>
          <w:noProof/>
          <w:sz w:val="24"/>
          <w:lang w:val="en-GB"/>
        </w:rPr>
        <w:t xml:space="preserve">further types of </w:t>
      </w:r>
      <w:r w:rsidR="6C4DA7D2" w:rsidRPr="008704BD">
        <w:rPr>
          <w:rFonts w:ascii="Times New Roman" w:hAnsi="Times New Roman"/>
          <w:noProof/>
          <w:sz w:val="24"/>
          <w:lang w:val="en-GB"/>
        </w:rPr>
        <w:t>rulings</w:t>
      </w:r>
      <w:r w:rsidR="56A75E19" w:rsidRPr="008704BD">
        <w:rPr>
          <w:rFonts w:ascii="Times New Roman" w:hAnsi="Times New Roman"/>
          <w:noProof/>
          <w:sz w:val="24"/>
          <w:lang w:val="en-GB"/>
        </w:rPr>
        <w:t>.</w:t>
      </w:r>
      <w:r w:rsidR="6C4DA7D2" w:rsidRPr="008704BD">
        <w:rPr>
          <w:rFonts w:ascii="Times New Roman" w:hAnsi="Times New Roman"/>
          <w:noProof/>
          <w:sz w:val="24"/>
          <w:lang w:val="en-GB"/>
        </w:rPr>
        <w:t xml:space="preserve"> </w:t>
      </w:r>
      <w:r w:rsidRPr="008704BD">
        <w:rPr>
          <w:rFonts w:ascii="Times New Roman" w:hAnsi="Times New Roman"/>
          <w:noProof/>
          <w:sz w:val="24"/>
          <w:lang w:val="en-GB"/>
        </w:rPr>
        <w:t>Those improvements are</w:t>
      </w:r>
      <w:r w:rsidRPr="008704BD" w:rsidDel="00886D1B">
        <w:rPr>
          <w:rFonts w:ascii="Times New Roman" w:hAnsi="Times New Roman"/>
          <w:noProof/>
          <w:sz w:val="24"/>
          <w:lang w:val="en-GB"/>
        </w:rPr>
        <w:t xml:space="preserve"> </w:t>
      </w:r>
      <w:r w:rsidR="00CE7E6F">
        <w:rPr>
          <w:rFonts w:ascii="Times New Roman" w:hAnsi="Times New Roman"/>
          <w:noProof/>
          <w:sz w:val="24"/>
          <w:lang w:val="en-GB"/>
        </w:rPr>
        <w:t xml:space="preserve">briefly presented in Annex 6 but are </w:t>
      </w:r>
      <w:r w:rsidRPr="008704BD">
        <w:rPr>
          <w:rFonts w:ascii="Times New Roman" w:hAnsi="Times New Roman"/>
          <w:noProof/>
          <w:sz w:val="24"/>
          <w:lang w:val="en-GB"/>
        </w:rPr>
        <w:t>not economically assessed in this impact assessment.</w:t>
      </w:r>
      <w:r w:rsidR="6C4DA7D2" w:rsidRPr="008704BD">
        <w:rPr>
          <w:rFonts w:ascii="Times New Roman" w:hAnsi="Times New Roman"/>
          <w:noProof/>
          <w:sz w:val="24"/>
          <w:lang w:val="en-GB"/>
        </w:rPr>
        <w:t xml:space="preserve"> </w:t>
      </w:r>
      <w:bookmarkStart w:id="29" w:name="_Toc81582134"/>
      <w:bookmarkStart w:id="30" w:name="_Toc83741990"/>
      <w:bookmarkStart w:id="31" w:name="_Toc83824366"/>
      <w:bookmarkStart w:id="32" w:name="_Toc84338451"/>
    </w:p>
    <w:p w14:paraId="432207AB" w14:textId="77777777" w:rsidR="00991FC5" w:rsidRPr="006E5F59" w:rsidRDefault="00991FC5" w:rsidP="58C1C011">
      <w:pPr>
        <w:pStyle w:val="Heading1"/>
        <w:rPr>
          <w:rFonts w:ascii="Times New Roman" w:eastAsia="Times New Roman" w:hAnsi="Times New Roman" w:cs="Times New Roman"/>
          <w:b w:val="0"/>
          <w:noProof/>
          <w:lang w:val="en-GB"/>
        </w:rPr>
      </w:pPr>
      <w:bookmarkStart w:id="33" w:name="_Toc84520029"/>
      <w:bookmarkStart w:id="34" w:name="_Toc84579893"/>
      <w:bookmarkStart w:id="35" w:name="_Toc85052186"/>
      <w:bookmarkStart w:id="36" w:name="_Toc639546968"/>
      <w:bookmarkStart w:id="37" w:name="_Toc623011493"/>
      <w:bookmarkStart w:id="38" w:name="_Toc2044833833"/>
      <w:bookmarkStart w:id="39" w:name="_Toc93306864"/>
      <w:r w:rsidRPr="41BAA3BB">
        <w:rPr>
          <w:rFonts w:ascii="Times New Roman" w:eastAsia="Times New Roman" w:hAnsi="Times New Roman" w:cs="Times New Roman"/>
          <w:noProof/>
          <w:lang w:val="en-GB"/>
        </w:rPr>
        <w:t xml:space="preserve">2.  </w:t>
      </w:r>
      <w:r w:rsidR="006652BB" w:rsidRPr="41BAA3BB">
        <w:rPr>
          <w:rFonts w:ascii="Times New Roman" w:eastAsia="Times New Roman" w:hAnsi="Times New Roman" w:cs="Times New Roman"/>
          <w:noProof/>
          <w:lang w:val="en-GB"/>
        </w:rPr>
        <w:t>PROBLEM DEFINITION</w:t>
      </w:r>
      <w:bookmarkEnd w:id="29"/>
      <w:bookmarkEnd w:id="30"/>
      <w:bookmarkEnd w:id="31"/>
      <w:bookmarkEnd w:id="32"/>
      <w:bookmarkEnd w:id="33"/>
      <w:bookmarkEnd w:id="34"/>
      <w:bookmarkEnd w:id="35"/>
      <w:bookmarkEnd w:id="36"/>
      <w:bookmarkEnd w:id="37"/>
      <w:bookmarkEnd w:id="38"/>
      <w:bookmarkEnd w:id="39"/>
    </w:p>
    <w:p w14:paraId="0B8D14D9" w14:textId="77777777" w:rsidR="004A14A2" w:rsidRPr="008704BD" w:rsidRDefault="004A14A2" w:rsidP="004A14A2">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The following analysis has been performed</w:t>
      </w:r>
      <w:r w:rsidR="00561F69" w:rsidRPr="008704BD">
        <w:rPr>
          <w:rFonts w:ascii="Times New Roman" w:hAnsi="Times New Roman"/>
          <w:noProof/>
          <w:sz w:val="24"/>
          <w:lang w:val="en-GB"/>
        </w:rPr>
        <w:t xml:space="preserve"> in order to </w:t>
      </w:r>
      <w:r w:rsidRPr="008704BD">
        <w:rPr>
          <w:rFonts w:ascii="Times New Roman" w:hAnsi="Times New Roman"/>
          <w:noProof/>
          <w:sz w:val="24"/>
          <w:lang w:val="en-GB"/>
        </w:rPr>
        <w:t xml:space="preserve">estimate how significant the problem </w:t>
      </w:r>
      <w:r w:rsidR="001F75EF" w:rsidRPr="008704BD">
        <w:rPr>
          <w:rFonts w:ascii="Times New Roman" w:hAnsi="Times New Roman"/>
          <w:noProof/>
          <w:sz w:val="24"/>
          <w:lang w:val="en-GB"/>
        </w:rPr>
        <w:t>is</w:t>
      </w:r>
      <w:r w:rsidRPr="008704BD">
        <w:rPr>
          <w:rFonts w:ascii="Times New Roman" w:hAnsi="Times New Roman"/>
          <w:noProof/>
          <w:sz w:val="24"/>
          <w:lang w:val="en-GB"/>
        </w:rPr>
        <w:t>, although the actual lack of available data has made this</w:t>
      </w:r>
      <w:r w:rsidR="001D5550" w:rsidRPr="008704BD">
        <w:rPr>
          <w:rFonts w:ascii="Times New Roman" w:hAnsi="Times New Roman"/>
          <w:noProof/>
          <w:sz w:val="24"/>
          <w:lang w:val="en-GB"/>
        </w:rPr>
        <w:t xml:space="preserve"> </w:t>
      </w:r>
      <w:r w:rsidRPr="008704BD">
        <w:rPr>
          <w:rFonts w:ascii="Times New Roman" w:hAnsi="Times New Roman"/>
          <w:noProof/>
          <w:sz w:val="24"/>
          <w:lang w:val="en-GB"/>
        </w:rPr>
        <w:t>analysis challenging. Also, the problem drivers have been examined and the evolution of the problem - in the absence of an EU policy initiative – has been assessed. A problem tree chart has been included to visually present</w:t>
      </w:r>
      <w:r w:rsidR="00ED6A40" w:rsidRPr="008704BD">
        <w:rPr>
          <w:rFonts w:ascii="Times New Roman" w:hAnsi="Times New Roman"/>
          <w:noProof/>
          <w:sz w:val="24"/>
          <w:lang w:val="en-GB"/>
        </w:rPr>
        <w:t xml:space="preserve"> </w:t>
      </w:r>
      <w:r w:rsidRPr="008704BD">
        <w:rPr>
          <w:rFonts w:ascii="Times New Roman" w:hAnsi="Times New Roman"/>
          <w:noProof/>
          <w:sz w:val="24"/>
          <w:lang w:val="en-GB"/>
        </w:rPr>
        <w:t>the problem,</w:t>
      </w:r>
      <w:r w:rsidRPr="008704BD" w:rsidDel="001F75EF">
        <w:rPr>
          <w:rFonts w:ascii="Times New Roman" w:hAnsi="Times New Roman"/>
          <w:noProof/>
          <w:sz w:val="24"/>
          <w:lang w:val="en-GB"/>
        </w:rPr>
        <w:t xml:space="preserve"> </w:t>
      </w:r>
      <w:r w:rsidR="001F75EF" w:rsidRPr="008704BD">
        <w:rPr>
          <w:rFonts w:ascii="Times New Roman" w:hAnsi="Times New Roman"/>
          <w:noProof/>
          <w:sz w:val="24"/>
          <w:lang w:val="en-GB"/>
        </w:rPr>
        <w:t xml:space="preserve">its </w:t>
      </w:r>
      <w:r w:rsidRPr="008704BD">
        <w:rPr>
          <w:rFonts w:ascii="Times New Roman" w:hAnsi="Times New Roman"/>
          <w:noProof/>
          <w:sz w:val="24"/>
          <w:lang w:val="en-GB"/>
        </w:rPr>
        <w:t>drivers and consequences.</w:t>
      </w:r>
    </w:p>
    <w:p w14:paraId="2EA5DE8B" w14:textId="77777777" w:rsidR="0006025D" w:rsidRDefault="0006025D">
      <w:pPr>
        <w:rPr>
          <w:rFonts w:ascii="Times New Roman" w:hAnsi="Times New Roman"/>
          <w:i/>
          <w:noProof/>
          <w:sz w:val="24"/>
          <w:lang w:val="en-GB"/>
        </w:rPr>
      </w:pPr>
      <w:r>
        <w:rPr>
          <w:rFonts w:ascii="Times New Roman" w:hAnsi="Times New Roman"/>
          <w:i/>
          <w:noProof/>
          <w:sz w:val="24"/>
          <w:lang w:val="en-GB"/>
        </w:rPr>
        <w:br w:type="page"/>
      </w:r>
    </w:p>
    <w:p w14:paraId="3E65879F" w14:textId="4546227D" w:rsidR="00991FC5" w:rsidRPr="008704BD" w:rsidDel="00304140" w:rsidRDefault="4C76C269" w:rsidP="52FC4DAA">
      <w:pPr>
        <w:spacing w:after="200" w:line="240" w:lineRule="auto"/>
        <w:jc w:val="both"/>
        <w:rPr>
          <w:noProof/>
          <w:sz w:val="24"/>
        </w:rPr>
      </w:pPr>
      <w:r w:rsidRPr="008704BD">
        <w:rPr>
          <w:rFonts w:ascii="Times New Roman" w:hAnsi="Times New Roman"/>
          <w:i/>
          <w:noProof/>
          <w:sz w:val="24"/>
          <w:lang w:val="en-GB"/>
        </w:rPr>
        <w:t>Figure</w:t>
      </w:r>
      <w:r w:rsidR="457E4967" w:rsidRPr="008704BD">
        <w:rPr>
          <w:rFonts w:ascii="Times New Roman" w:hAnsi="Times New Roman"/>
          <w:i/>
          <w:noProof/>
          <w:sz w:val="24"/>
          <w:lang w:val="en-GB"/>
        </w:rPr>
        <w:t xml:space="preserve"> 1</w:t>
      </w:r>
      <w:r w:rsidRPr="008704BD">
        <w:rPr>
          <w:rFonts w:ascii="Times New Roman" w:hAnsi="Times New Roman"/>
          <w:i/>
          <w:noProof/>
          <w:sz w:val="24"/>
          <w:lang w:val="en-GB"/>
        </w:rPr>
        <w:t xml:space="preserve"> Problem Tree</w:t>
      </w:r>
      <w:r w:rsidR="737D4946" w:rsidRPr="008704BD">
        <w:rPr>
          <w:rFonts w:ascii="Times New Roman" w:hAnsi="Times New Roman"/>
          <w:noProof/>
          <w:sz w:val="24"/>
          <w:lang w:val="en-GB"/>
        </w:rPr>
        <w:t xml:space="preserve"> </w:t>
      </w:r>
    </w:p>
    <w:p w14:paraId="5810C0D7" w14:textId="77777777" w:rsidR="2F9504CA" w:rsidRDefault="0022100C">
      <w:pPr>
        <w:spacing w:after="200" w:line="240" w:lineRule="auto"/>
        <w:jc w:val="both"/>
        <w:rPr>
          <w:noProof/>
        </w:rPr>
      </w:pPr>
      <w:r>
        <w:rPr>
          <w:noProof/>
          <w:lang w:val="en-GB" w:eastAsia="en-GB"/>
        </w:rPr>
        <w:drawing>
          <wp:inline distT="0" distB="0" distL="0" distR="0" wp14:anchorId="0E7E0EEF" wp14:editId="150FA17F">
            <wp:extent cx="5943600" cy="38792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879215"/>
                    </a:xfrm>
                    <a:prstGeom prst="rect">
                      <a:avLst/>
                    </a:prstGeom>
                  </pic:spPr>
                </pic:pic>
              </a:graphicData>
            </a:graphic>
          </wp:inline>
        </w:drawing>
      </w:r>
      <w:r w:rsidDel="0022100C">
        <w:rPr>
          <w:noProof/>
          <w:color w:val="2B579A"/>
          <w:shd w:val="clear" w:color="auto" w:fill="E6E6E6"/>
        </w:rPr>
        <w:t xml:space="preserve"> </w:t>
      </w:r>
    </w:p>
    <w:p w14:paraId="15C2EF65" w14:textId="77777777" w:rsidR="00BE729B" w:rsidRPr="006E5F59" w:rsidRDefault="33737B26" w:rsidP="41BAA3BB">
      <w:pPr>
        <w:pStyle w:val="Heading2"/>
        <w:rPr>
          <w:rFonts w:cs="Times New Roman"/>
          <w:i/>
          <w:iCs/>
          <w:noProof/>
          <w:lang w:val="en-GB"/>
        </w:rPr>
      </w:pPr>
      <w:bookmarkStart w:id="40" w:name="_Toc84338452"/>
      <w:bookmarkStart w:id="41" w:name="_Toc84520030"/>
      <w:bookmarkStart w:id="42" w:name="_Toc84579894"/>
      <w:bookmarkStart w:id="43" w:name="_Toc85052187"/>
      <w:bookmarkStart w:id="44" w:name="_Toc140001087"/>
      <w:bookmarkStart w:id="45" w:name="_Toc1000297895"/>
      <w:bookmarkStart w:id="46" w:name="_Toc1542137850"/>
      <w:bookmarkStart w:id="47" w:name="_Toc93306865"/>
      <w:bookmarkStart w:id="48" w:name="_Toc83741991"/>
      <w:bookmarkStart w:id="49" w:name="_Toc83824367"/>
      <w:bookmarkStart w:id="50" w:name="_Toc81582135"/>
      <w:r w:rsidRPr="41BAA3BB">
        <w:rPr>
          <w:rFonts w:cs="Times New Roman"/>
          <w:noProof/>
          <w:lang w:val="en-GB"/>
        </w:rPr>
        <w:t xml:space="preserve">2.1 </w:t>
      </w:r>
      <w:r w:rsidR="13C39522" w:rsidRPr="41BAA3BB">
        <w:rPr>
          <w:rFonts w:cs="Times New Roman"/>
          <w:noProof/>
          <w:lang w:val="en-GB"/>
        </w:rPr>
        <w:t xml:space="preserve">What </w:t>
      </w:r>
      <w:r w:rsidR="13C39522" w:rsidRPr="41BAA3BB">
        <w:rPr>
          <w:rFonts w:cs="Times New Roman"/>
          <w:noProof/>
        </w:rPr>
        <w:t>are</w:t>
      </w:r>
      <w:r w:rsidR="13C39522" w:rsidRPr="41BAA3BB">
        <w:rPr>
          <w:rFonts w:cs="Times New Roman"/>
          <w:noProof/>
          <w:lang w:val="en-GB"/>
        </w:rPr>
        <w:t xml:space="preserve"> the problems?</w:t>
      </w:r>
      <w:bookmarkEnd w:id="40"/>
      <w:bookmarkEnd w:id="41"/>
      <w:bookmarkEnd w:id="42"/>
      <w:bookmarkEnd w:id="43"/>
      <w:bookmarkEnd w:id="44"/>
      <w:bookmarkEnd w:id="45"/>
      <w:bookmarkEnd w:id="46"/>
      <w:bookmarkEnd w:id="47"/>
    </w:p>
    <w:p w14:paraId="7266AFC2" w14:textId="77777777" w:rsidR="106E0FFB" w:rsidRPr="008704BD" w:rsidRDefault="13C39522" w:rsidP="007167E9">
      <w:pPr>
        <w:jc w:val="both"/>
        <w:rPr>
          <w:rFonts w:ascii="Times New Roman" w:hAnsi="Times New Roman"/>
          <w:noProof/>
          <w:sz w:val="24"/>
          <w:lang w:val="en-GB"/>
        </w:rPr>
      </w:pPr>
      <w:r w:rsidRPr="008704BD">
        <w:rPr>
          <w:rFonts w:ascii="Times New Roman" w:hAnsi="Times New Roman"/>
          <w:noProof/>
          <w:sz w:val="24"/>
          <w:lang w:val="en-GB"/>
        </w:rPr>
        <w:t>Th</w:t>
      </w:r>
      <w:r w:rsidR="00987F26" w:rsidRPr="008704BD">
        <w:rPr>
          <w:rFonts w:ascii="Times New Roman" w:hAnsi="Times New Roman"/>
          <w:noProof/>
          <w:sz w:val="24"/>
          <w:lang w:val="en-GB"/>
        </w:rPr>
        <w:t>e</w:t>
      </w:r>
      <w:r w:rsidRPr="008704BD">
        <w:rPr>
          <w:rFonts w:ascii="Times New Roman" w:hAnsi="Times New Roman"/>
          <w:noProof/>
          <w:sz w:val="24"/>
          <w:lang w:val="en-GB"/>
        </w:rPr>
        <w:t xml:space="preserve"> </w:t>
      </w:r>
      <w:r w:rsidR="00987F26" w:rsidRPr="008704BD">
        <w:rPr>
          <w:rFonts w:ascii="Times New Roman" w:hAnsi="Times New Roman"/>
          <w:noProof/>
          <w:sz w:val="24"/>
          <w:lang w:val="en-GB"/>
        </w:rPr>
        <w:t xml:space="preserve">key problem that this </w:t>
      </w:r>
      <w:r w:rsidRPr="008704BD">
        <w:rPr>
          <w:rFonts w:ascii="Times New Roman" w:hAnsi="Times New Roman"/>
          <w:noProof/>
          <w:sz w:val="24"/>
          <w:lang w:val="en-GB"/>
        </w:rPr>
        <w:t xml:space="preserve">impact assessment focuses on </w:t>
      </w:r>
      <w:r w:rsidR="00987F26" w:rsidRPr="008704BD">
        <w:rPr>
          <w:rFonts w:ascii="Times New Roman" w:hAnsi="Times New Roman"/>
          <w:noProof/>
          <w:sz w:val="24"/>
          <w:lang w:val="en-GB"/>
        </w:rPr>
        <w:t>is that t</w:t>
      </w:r>
      <w:r w:rsidRPr="008704BD">
        <w:rPr>
          <w:rFonts w:ascii="Times New Roman" w:hAnsi="Times New Roman"/>
          <w:noProof/>
          <w:sz w:val="24"/>
          <w:lang w:val="en-GB"/>
        </w:rPr>
        <w:t>ax authorities lack information to monitor the proceeds obtained using crypto-assets</w:t>
      </w:r>
      <w:r w:rsidR="00576C2C" w:rsidRPr="008704BD">
        <w:rPr>
          <w:rFonts w:ascii="Times New Roman" w:hAnsi="Times New Roman"/>
          <w:noProof/>
          <w:sz w:val="24"/>
          <w:lang w:val="en-GB"/>
        </w:rPr>
        <w:t xml:space="preserve"> and the potential tax consequences of those</w:t>
      </w:r>
      <w:r w:rsidR="00987F26" w:rsidRPr="008704BD">
        <w:rPr>
          <w:rFonts w:ascii="Times New Roman" w:hAnsi="Times New Roman"/>
          <w:noProof/>
          <w:sz w:val="24"/>
          <w:lang w:val="en-GB"/>
        </w:rPr>
        <w:t>.</w:t>
      </w:r>
    </w:p>
    <w:bookmarkEnd w:id="48"/>
    <w:bookmarkEnd w:id="49"/>
    <w:bookmarkEnd w:id="50"/>
    <w:p w14:paraId="68719CE9" w14:textId="49C6A3B1" w:rsidR="00991FC5" w:rsidRPr="008704BD" w:rsidRDefault="76E5C5A1" w:rsidP="2F9139C1">
      <w:pPr>
        <w:spacing w:after="200" w:line="240" w:lineRule="auto"/>
        <w:jc w:val="both"/>
        <w:rPr>
          <w:rFonts w:ascii="Times New Roman" w:hAnsi="Times New Roman"/>
          <w:noProof/>
          <w:sz w:val="24"/>
          <w:szCs w:val="24"/>
          <w:lang w:val="en-GB"/>
        </w:rPr>
      </w:pPr>
      <w:r w:rsidRPr="2F9139C1">
        <w:rPr>
          <w:rFonts w:ascii="Times New Roman" w:hAnsi="Times New Roman"/>
          <w:noProof/>
          <w:sz w:val="24"/>
          <w:szCs w:val="24"/>
          <w:lang w:val="en-GB"/>
        </w:rPr>
        <w:t xml:space="preserve">In other words, there is a </w:t>
      </w:r>
      <w:r w:rsidR="5E130AC2" w:rsidRPr="2F9139C1">
        <w:rPr>
          <w:rFonts w:ascii="Times New Roman" w:hAnsi="Times New Roman"/>
          <w:noProof/>
          <w:sz w:val="24"/>
          <w:szCs w:val="24"/>
          <w:lang w:val="en-GB"/>
        </w:rPr>
        <w:t xml:space="preserve">lack of information available to tax administrations regarding crypto-assets, while </w:t>
      </w:r>
      <w:r w:rsidR="16F7B94F" w:rsidRPr="2F9139C1">
        <w:rPr>
          <w:rFonts w:ascii="Times New Roman" w:hAnsi="Times New Roman"/>
          <w:noProof/>
          <w:sz w:val="24"/>
          <w:szCs w:val="24"/>
          <w:lang w:val="en-GB"/>
        </w:rPr>
        <w:t>th</w:t>
      </w:r>
      <w:r w:rsidR="1FCDBA10" w:rsidRPr="2F9139C1">
        <w:rPr>
          <w:rFonts w:ascii="Times New Roman" w:hAnsi="Times New Roman"/>
          <w:noProof/>
          <w:sz w:val="24"/>
          <w:szCs w:val="24"/>
          <w:lang w:val="en-GB"/>
        </w:rPr>
        <w:t>e</w:t>
      </w:r>
      <w:r w:rsidR="5E130AC2" w:rsidRPr="2F9139C1">
        <w:rPr>
          <w:rFonts w:ascii="Times New Roman" w:hAnsi="Times New Roman"/>
          <w:noProof/>
          <w:sz w:val="24"/>
          <w:szCs w:val="24"/>
          <w:lang w:val="en-GB"/>
        </w:rPr>
        <w:t xml:space="preserve"> </w:t>
      </w:r>
      <w:r w:rsidRPr="2F9139C1">
        <w:rPr>
          <w:rFonts w:ascii="Times New Roman" w:hAnsi="Times New Roman"/>
          <w:noProof/>
          <w:sz w:val="24"/>
          <w:szCs w:val="24"/>
          <w:lang w:val="en-GB"/>
        </w:rPr>
        <w:t xml:space="preserve">crypto-assets </w:t>
      </w:r>
      <w:r w:rsidR="5E130AC2" w:rsidRPr="2F9139C1">
        <w:rPr>
          <w:rFonts w:ascii="Times New Roman" w:hAnsi="Times New Roman"/>
          <w:noProof/>
          <w:sz w:val="24"/>
          <w:szCs w:val="24"/>
          <w:lang w:val="en-GB"/>
        </w:rPr>
        <w:t xml:space="preserve">market </w:t>
      </w:r>
      <w:r w:rsidR="5E130AC2" w:rsidRPr="2F9139C1" w:rsidDel="001C7206">
        <w:rPr>
          <w:rFonts w:ascii="Times New Roman" w:hAnsi="Times New Roman"/>
          <w:noProof/>
          <w:sz w:val="24"/>
          <w:szCs w:val="24"/>
          <w:lang w:val="en-GB"/>
        </w:rPr>
        <w:t>has</w:t>
      </w:r>
      <w:r w:rsidR="04A78BE1" w:rsidRPr="2F9139C1">
        <w:rPr>
          <w:rFonts w:ascii="Times New Roman" w:hAnsi="Times New Roman"/>
          <w:noProof/>
          <w:sz w:val="24"/>
          <w:szCs w:val="24"/>
          <w:lang w:val="en-GB"/>
        </w:rPr>
        <w:t xml:space="preserve"> gained in importance over the last years.</w:t>
      </w:r>
      <w:r w:rsidR="29FCA5EF" w:rsidRPr="2F9139C1" w:rsidDel="00056D96">
        <w:rPr>
          <w:rFonts w:ascii="Times New Roman" w:hAnsi="Times New Roman"/>
          <w:noProof/>
          <w:sz w:val="24"/>
          <w:szCs w:val="24"/>
          <w:lang w:val="en-GB"/>
        </w:rPr>
        <w:t xml:space="preserve"> </w:t>
      </w:r>
      <w:r w:rsidR="0C6A231C" w:rsidRPr="2F9139C1" w:rsidDel="62005134">
        <w:rPr>
          <w:rFonts w:ascii="Times New Roman" w:hAnsi="Times New Roman"/>
          <w:noProof/>
          <w:sz w:val="24"/>
          <w:szCs w:val="24"/>
          <w:lang w:val="en-GB"/>
        </w:rPr>
        <w:t xml:space="preserve">The crypto-assets market capitalization has increased substantially </w:t>
      </w:r>
      <w:r w:rsidR="4FA8A4B3" w:rsidRPr="2F9139C1">
        <w:rPr>
          <w:rFonts w:ascii="Times New Roman" w:hAnsi="Times New Roman"/>
          <w:noProof/>
          <w:sz w:val="24"/>
          <w:szCs w:val="24"/>
          <w:lang w:val="en-GB"/>
        </w:rPr>
        <w:t>and rapidly</w:t>
      </w:r>
      <w:r w:rsidR="02EF8590" w:rsidRPr="2F9139C1">
        <w:rPr>
          <w:rFonts w:ascii="Times New Roman" w:hAnsi="Times New Roman"/>
          <w:noProof/>
          <w:sz w:val="24"/>
          <w:szCs w:val="24"/>
          <w:lang w:val="en-GB"/>
        </w:rPr>
        <w:t>,</w:t>
      </w:r>
      <w:r w:rsidR="0C6A231C" w:rsidRPr="2F9139C1">
        <w:rPr>
          <w:rFonts w:ascii="Times New Roman" w:hAnsi="Times New Roman"/>
          <w:noProof/>
          <w:sz w:val="24"/>
          <w:szCs w:val="24"/>
          <w:lang w:val="en-GB"/>
        </w:rPr>
        <w:t xml:space="preserve"> reaching more than </w:t>
      </w:r>
      <w:r w:rsidR="05553336" w:rsidRPr="2F9139C1">
        <w:rPr>
          <w:rFonts w:ascii="Times New Roman" w:hAnsi="Times New Roman"/>
          <w:noProof/>
          <w:sz w:val="24"/>
          <w:szCs w:val="24"/>
          <w:lang w:val="en-GB"/>
        </w:rPr>
        <w:t xml:space="preserve">EUR </w:t>
      </w:r>
      <w:r w:rsidR="3E10E107" w:rsidRPr="2F9139C1">
        <w:rPr>
          <w:rFonts w:ascii="Times New Roman" w:hAnsi="Times New Roman"/>
          <w:noProof/>
          <w:sz w:val="24"/>
          <w:szCs w:val="24"/>
          <w:lang w:val="en-GB"/>
        </w:rPr>
        <w:t>1.8</w:t>
      </w:r>
      <w:r w:rsidR="003016F3">
        <w:rPr>
          <w:rFonts w:ascii="Times New Roman" w:hAnsi="Times New Roman"/>
          <w:noProof/>
          <w:sz w:val="24"/>
          <w:szCs w:val="24"/>
          <w:lang w:val="en-GB"/>
        </w:rPr>
        <w:t> </w:t>
      </w:r>
      <w:r w:rsidR="0C6A231C" w:rsidRPr="2F9139C1">
        <w:rPr>
          <w:rFonts w:ascii="Times New Roman" w:hAnsi="Times New Roman"/>
          <w:noProof/>
          <w:sz w:val="24"/>
          <w:szCs w:val="24"/>
          <w:lang w:val="en-GB"/>
        </w:rPr>
        <w:t>trillion</w:t>
      </w:r>
      <w:r w:rsidRPr="2F9139C1">
        <w:rPr>
          <w:rFonts w:ascii="Times New Roman" w:hAnsi="Times New Roman"/>
          <w:noProof/>
          <w:sz w:val="24"/>
          <w:szCs w:val="24"/>
          <w:lang w:val="en-GB"/>
        </w:rPr>
        <w:t xml:space="preserve"> in 2021</w:t>
      </w:r>
      <w:r w:rsidR="5B0EAE18" w:rsidRPr="2F9139C1">
        <w:rPr>
          <w:rFonts w:ascii="Times New Roman" w:hAnsi="Times New Roman"/>
          <w:noProof/>
          <w:sz w:val="24"/>
          <w:szCs w:val="24"/>
          <w:lang w:val="en-GB"/>
        </w:rPr>
        <w:t>.</w:t>
      </w:r>
      <w:r w:rsidR="00EF4343" w:rsidRPr="2F9139C1">
        <w:rPr>
          <w:rStyle w:val="FootnoteReference"/>
          <w:rFonts w:ascii="Times New Roman" w:hAnsi="Times New Roman"/>
          <w:noProof/>
          <w:sz w:val="24"/>
          <w:szCs w:val="24"/>
          <w:lang w:val="en-GB"/>
        </w:rPr>
        <w:footnoteReference w:id="11"/>
      </w:r>
      <w:r w:rsidR="0C6A231C" w:rsidRPr="2F9139C1">
        <w:rPr>
          <w:rFonts w:ascii="Times New Roman" w:hAnsi="Times New Roman"/>
          <w:noProof/>
          <w:sz w:val="24"/>
          <w:szCs w:val="24"/>
          <w:lang w:val="en-GB"/>
        </w:rPr>
        <w:t xml:space="preserve"> Although Bitcoin</w:t>
      </w:r>
      <w:r w:rsidR="00987F26" w:rsidRPr="2F9139C1">
        <w:rPr>
          <w:rFonts w:ascii="Times New Roman" w:hAnsi="Times New Roman"/>
          <w:noProof/>
          <w:sz w:val="24"/>
          <w:szCs w:val="24"/>
          <w:vertAlign w:val="superscript"/>
          <w:lang w:val="en-GB"/>
        </w:rPr>
        <w:footnoteReference w:id="12"/>
      </w:r>
      <w:r w:rsidR="7F34A3C2" w:rsidRPr="2F9139C1">
        <w:rPr>
          <w:rFonts w:ascii="Times New Roman" w:hAnsi="Times New Roman"/>
          <w:noProof/>
          <w:sz w:val="24"/>
          <w:szCs w:val="24"/>
          <w:lang w:val="en-GB"/>
        </w:rPr>
        <w:t xml:space="preserve"> </w:t>
      </w:r>
      <w:r w:rsidR="0C6A231C" w:rsidRPr="2F9139C1">
        <w:rPr>
          <w:rFonts w:ascii="Times New Roman" w:hAnsi="Times New Roman"/>
          <w:noProof/>
          <w:sz w:val="24"/>
          <w:szCs w:val="24"/>
          <w:lang w:val="en-GB"/>
        </w:rPr>
        <w:t xml:space="preserve">maintained </w:t>
      </w:r>
      <w:r w:rsidR="0CD4B65E" w:rsidRPr="2F9139C1">
        <w:rPr>
          <w:rFonts w:ascii="Times New Roman" w:hAnsi="Times New Roman"/>
          <w:noProof/>
          <w:sz w:val="24"/>
          <w:szCs w:val="24"/>
          <w:lang w:val="en-GB"/>
        </w:rPr>
        <w:t xml:space="preserve">a </w:t>
      </w:r>
      <w:r w:rsidR="0C6A231C" w:rsidRPr="2F9139C1">
        <w:rPr>
          <w:rFonts w:ascii="Times New Roman" w:hAnsi="Times New Roman"/>
          <w:noProof/>
          <w:sz w:val="24"/>
          <w:szCs w:val="24"/>
          <w:lang w:val="en-GB"/>
        </w:rPr>
        <w:t xml:space="preserve">very high market share in the early years, its relative importance </w:t>
      </w:r>
      <w:r w:rsidR="7B1C6B15" w:rsidRPr="2F9139C1">
        <w:rPr>
          <w:rFonts w:ascii="Times New Roman" w:hAnsi="Times New Roman"/>
          <w:noProof/>
          <w:sz w:val="24"/>
          <w:szCs w:val="24"/>
          <w:lang w:val="en-GB"/>
        </w:rPr>
        <w:t xml:space="preserve">has decreased </w:t>
      </w:r>
      <w:r w:rsidR="0C6A231C" w:rsidRPr="2F9139C1">
        <w:rPr>
          <w:rFonts w:ascii="Times New Roman" w:hAnsi="Times New Roman"/>
          <w:noProof/>
          <w:sz w:val="24"/>
          <w:szCs w:val="24"/>
          <w:lang w:val="en-GB"/>
        </w:rPr>
        <w:t xml:space="preserve">lately </w:t>
      </w:r>
      <w:r w:rsidR="0B7F5592" w:rsidRPr="2F9139C1">
        <w:rPr>
          <w:rFonts w:ascii="Times New Roman" w:hAnsi="Times New Roman"/>
          <w:noProof/>
          <w:sz w:val="24"/>
          <w:szCs w:val="24"/>
          <w:lang w:val="en-GB"/>
        </w:rPr>
        <w:t>due to the</w:t>
      </w:r>
      <w:r w:rsidR="0C6A231C" w:rsidRPr="2F9139C1">
        <w:rPr>
          <w:rFonts w:ascii="Times New Roman" w:hAnsi="Times New Roman"/>
          <w:noProof/>
          <w:sz w:val="24"/>
          <w:szCs w:val="24"/>
          <w:lang w:val="en-GB"/>
        </w:rPr>
        <w:t xml:space="preserve"> increasing </w:t>
      </w:r>
      <w:r w:rsidR="2C12308C" w:rsidRPr="2F9139C1">
        <w:rPr>
          <w:rFonts w:ascii="Times New Roman" w:hAnsi="Times New Roman"/>
          <w:noProof/>
          <w:sz w:val="24"/>
          <w:szCs w:val="24"/>
          <w:lang w:val="en-GB"/>
        </w:rPr>
        <w:t xml:space="preserve">use </w:t>
      </w:r>
      <w:r w:rsidR="0C6A231C" w:rsidRPr="2F9139C1">
        <w:rPr>
          <w:rFonts w:ascii="Times New Roman" w:hAnsi="Times New Roman"/>
          <w:noProof/>
          <w:sz w:val="24"/>
          <w:szCs w:val="24"/>
          <w:lang w:val="en-GB"/>
        </w:rPr>
        <w:t xml:space="preserve">of other new cryptocurrencies, such as Ethereum. </w:t>
      </w:r>
      <w:r w:rsidR="05553336" w:rsidRPr="2F9139C1">
        <w:rPr>
          <w:rFonts w:ascii="Times New Roman" w:hAnsi="Times New Roman"/>
          <w:noProof/>
          <w:sz w:val="24"/>
          <w:szCs w:val="24"/>
          <w:lang w:val="en-GB"/>
        </w:rPr>
        <w:t>I</w:t>
      </w:r>
      <w:r w:rsidR="0C6A231C" w:rsidRPr="2F9139C1">
        <w:rPr>
          <w:rFonts w:ascii="Times New Roman" w:hAnsi="Times New Roman"/>
          <w:noProof/>
          <w:sz w:val="24"/>
          <w:szCs w:val="24"/>
          <w:lang w:val="en-GB"/>
        </w:rPr>
        <w:t xml:space="preserve">n </w:t>
      </w:r>
      <w:r w:rsidR="48D7F17D" w:rsidRPr="2F9139C1">
        <w:rPr>
          <w:rFonts w:ascii="Times New Roman" w:hAnsi="Times New Roman"/>
          <w:noProof/>
          <w:sz w:val="24"/>
          <w:szCs w:val="24"/>
          <w:lang w:val="en-GB"/>
        </w:rPr>
        <w:t>September</w:t>
      </w:r>
      <w:r w:rsidR="0C6A231C" w:rsidRPr="2F9139C1">
        <w:rPr>
          <w:rFonts w:ascii="Times New Roman" w:hAnsi="Times New Roman"/>
          <w:noProof/>
          <w:sz w:val="24"/>
          <w:szCs w:val="24"/>
          <w:lang w:val="en-GB"/>
        </w:rPr>
        <w:t xml:space="preserve"> 2021, Bitcoin’s market share was </w:t>
      </w:r>
      <w:r w:rsidR="48D7F17D" w:rsidRPr="2F9139C1">
        <w:rPr>
          <w:rFonts w:ascii="Times New Roman" w:hAnsi="Times New Roman"/>
          <w:noProof/>
          <w:sz w:val="24"/>
          <w:szCs w:val="24"/>
          <w:lang w:val="en-GB"/>
        </w:rPr>
        <w:t>around</w:t>
      </w:r>
      <w:r w:rsidR="0C6A231C" w:rsidRPr="2F9139C1">
        <w:rPr>
          <w:rFonts w:ascii="Times New Roman" w:hAnsi="Times New Roman"/>
          <w:noProof/>
          <w:sz w:val="24"/>
          <w:szCs w:val="24"/>
          <w:lang w:val="en-GB"/>
        </w:rPr>
        <w:t xml:space="preserve"> 4</w:t>
      </w:r>
      <w:r w:rsidR="0B5A11C2" w:rsidRPr="2F9139C1">
        <w:rPr>
          <w:rFonts w:ascii="Times New Roman" w:hAnsi="Times New Roman"/>
          <w:noProof/>
          <w:sz w:val="24"/>
          <w:szCs w:val="24"/>
          <w:lang w:val="en-GB"/>
        </w:rPr>
        <w:t>2,8</w:t>
      </w:r>
      <w:r w:rsidRPr="2F9139C1" w:rsidDel="7DF91FF0">
        <w:rPr>
          <w:rFonts w:ascii="Times New Roman" w:hAnsi="Times New Roman"/>
          <w:noProof/>
          <w:sz w:val="24"/>
          <w:szCs w:val="24"/>
          <w:lang w:val="en-GB"/>
        </w:rPr>
        <w:t>%</w:t>
      </w:r>
      <w:r w:rsidR="0C6A231C" w:rsidRPr="2F9139C1">
        <w:rPr>
          <w:rFonts w:ascii="Times New Roman" w:hAnsi="Times New Roman"/>
          <w:noProof/>
          <w:sz w:val="24"/>
          <w:szCs w:val="24"/>
          <w:lang w:val="en-GB"/>
        </w:rPr>
        <w:t>, followed by Ethereum (1</w:t>
      </w:r>
      <w:r w:rsidR="679D4878" w:rsidRPr="2F9139C1">
        <w:rPr>
          <w:rFonts w:ascii="Times New Roman" w:hAnsi="Times New Roman"/>
          <w:noProof/>
          <w:sz w:val="24"/>
          <w:szCs w:val="24"/>
          <w:lang w:val="en-GB"/>
        </w:rPr>
        <w:t>8,8</w:t>
      </w:r>
      <w:r w:rsidR="0C6A231C" w:rsidRPr="2F9139C1">
        <w:rPr>
          <w:rFonts w:ascii="Times New Roman" w:hAnsi="Times New Roman"/>
          <w:noProof/>
          <w:sz w:val="24"/>
          <w:szCs w:val="24"/>
          <w:lang w:val="en-GB"/>
        </w:rPr>
        <w:t>%)</w:t>
      </w:r>
      <w:r w:rsidR="7D7712EB" w:rsidRPr="2F9139C1">
        <w:rPr>
          <w:rFonts w:ascii="Times New Roman" w:hAnsi="Times New Roman"/>
          <w:noProof/>
          <w:sz w:val="24"/>
          <w:szCs w:val="24"/>
          <w:lang w:val="en-GB"/>
        </w:rPr>
        <w:t xml:space="preserve"> and Cardano (3,69%).</w:t>
      </w:r>
      <w:r w:rsidR="785213B6" w:rsidRPr="2F9139C1">
        <w:rPr>
          <w:rStyle w:val="FootnoteReference"/>
          <w:rFonts w:ascii="Times New Roman" w:hAnsi="Times New Roman"/>
          <w:noProof/>
          <w:sz w:val="24"/>
          <w:szCs w:val="24"/>
          <w:lang w:val="en-GB"/>
        </w:rPr>
        <w:footnoteReference w:id="13"/>
      </w:r>
    </w:p>
    <w:p w14:paraId="699D8529" w14:textId="77777777" w:rsidR="5EC1A6F5" w:rsidRPr="008704BD" w:rsidRDefault="75F607C9" w:rsidP="00DA1067">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Crypto</w:t>
      </w:r>
      <w:r w:rsidR="0538C4A8" w:rsidRPr="008704BD">
        <w:rPr>
          <w:rFonts w:ascii="Times New Roman" w:hAnsi="Times New Roman"/>
          <w:noProof/>
          <w:sz w:val="24"/>
          <w:lang w:val="en-GB"/>
        </w:rPr>
        <w:t>-</w:t>
      </w:r>
      <w:r w:rsidRPr="008704BD">
        <w:rPr>
          <w:rFonts w:ascii="Times New Roman" w:hAnsi="Times New Roman"/>
          <w:noProof/>
          <w:sz w:val="24"/>
          <w:lang w:val="en-GB"/>
        </w:rPr>
        <w:t>assets, like more traditional financial products, are a stock of we</w:t>
      </w:r>
      <w:r w:rsidR="42BC8D9F" w:rsidRPr="008704BD">
        <w:rPr>
          <w:rFonts w:ascii="Times New Roman" w:hAnsi="Times New Roman"/>
          <w:noProof/>
          <w:sz w:val="24"/>
          <w:lang w:val="en-GB"/>
        </w:rPr>
        <w:t>a</w:t>
      </w:r>
      <w:r w:rsidRPr="008704BD">
        <w:rPr>
          <w:rFonts w:ascii="Times New Roman" w:hAnsi="Times New Roman"/>
          <w:noProof/>
          <w:sz w:val="24"/>
          <w:lang w:val="en-GB"/>
        </w:rPr>
        <w:t xml:space="preserve">lth and can be taxed as such. But more generally, it is the </w:t>
      </w:r>
      <w:r w:rsidR="591238D9" w:rsidRPr="008704BD">
        <w:rPr>
          <w:rFonts w:ascii="Times New Roman" w:hAnsi="Times New Roman"/>
          <w:noProof/>
          <w:sz w:val="24"/>
          <w:lang w:val="en-GB"/>
        </w:rPr>
        <w:t>c</w:t>
      </w:r>
      <w:r w:rsidR="181E43BC" w:rsidRPr="008704BD">
        <w:rPr>
          <w:rFonts w:ascii="Times New Roman" w:hAnsi="Times New Roman"/>
          <w:noProof/>
          <w:sz w:val="24"/>
          <w:lang w:val="en-GB"/>
        </w:rPr>
        <w:t>apital gains</w:t>
      </w:r>
      <w:r w:rsidR="151EF7B0" w:rsidRPr="008704BD">
        <w:rPr>
          <w:rFonts w:ascii="Times New Roman" w:hAnsi="Times New Roman"/>
          <w:noProof/>
          <w:sz w:val="24"/>
          <w:lang w:val="en-GB"/>
        </w:rPr>
        <w:t xml:space="preserve"> arising from the trading of </w:t>
      </w:r>
      <w:r w:rsidR="181E43BC" w:rsidRPr="008704BD">
        <w:rPr>
          <w:rFonts w:ascii="Times New Roman" w:hAnsi="Times New Roman"/>
          <w:noProof/>
          <w:sz w:val="24"/>
          <w:lang w:val="en-GB"/>
        </w:rPr>
        <w:t xml:space="preserve">crypto-assets </w:t>
      </w:r>
      <w:r w:rsidR="672E00B6" w:rsidRPr="008704BD">
        <w:rPr>
          <w:rFonts w:ascii="Times New Roman" w:hAnsi="Times New Roman"/>
          <w:noProof/>
          <w:sz w:val="24"/>
          <w:lang w:val="en-GB"/>
        </w:rPr>
        <w:t xml:space="preserve">that are </w:t>
      </w:r>
      <w:r w:rsidR="42BC8D9F" w:rsidRPr="008704BD">
        <w:rPr>
          <w:rFonts w:ascii="Times New Roman" w:hAnsi="Times New Roman"/>
          <w:noProof/>
          <w:sz w:val="24"/>
          <w:lang w:val="en-GB"/>
        </w:rPr>
        <w:t xml:space="preserve">in principle </w:t>
      </w:r>
      <w:r w:rsidR="672E00B6" w:rsidRPr="008704BD">
        <w:rPr>
          <w:rFonts w:ascii="Times New Roman" w:hAnsi="Times New Roman"/>
          <w:noProof/>
          <w:sz w:val="24"/>
          <w:lang w:val="en-GB"/>
        </w:rPr>
        <w:t>subject to taxation</w:t>
      </w:r>
      <w:r w:rsidR="42BC8D9F" w:rsidRPr="008704BD">
        <w:rPr>
          <w:rFonts w:ascii="Times New Roman" w:hAnsi="Times New Roman"/>
          <w:noProof/>
          <w:sz w:val="24"/>
          <w:lang w:val="en-GB"/>
        </w:rPr>
        <w:t xml:space="preserve"> under the national law of Member States</w:t>
      </w:r>
      <w:r w:rsidR="672E00B6" w:rsidRPr="008704BD">
        <w:rPr>
          <w:rFonts w:ascii="Times New Roman" w:hAnsi="Times New Roman"/>
          <w:noProof/>
          <w:sz w:val="24"/>
          <w:lang w:val="en-GB"/>
        </w:rPr>
        <w:t xml:space="preserve">. Those capital gains </w:t>
      </w:r>
      <w:r w:rsidR="42BC8D9F" w:rsidRPr="008704BD">
        <w:rPr>
          <w:rFonts w:ascii="Times New Roman" w:hAnsi="Times New Roman"/>
          <w:noProof/>
          <w:sz w:val="24"/>
          <w:lang w:val="en-GB"/>
        </w:rPr>
        <w:t>arise</w:t>
      </w:r>
      <w:r w:rsidR="672E00B6" w:rsidRPr="008704BD">
        <w:rPr>
          <w:rFonts w:ascii="Times New Roman" w:hAnsi="Times New Roman"/>
          <w:noProof/>
          <w:sz w:val="24"/>
          <w:lang w:val="en-GB"/>
        </w:rPr>
        <w:t xml:space="preserve"> either when </w:t>
      </w:r>
      <w:r w:rsidR="42BC8D9F" w:rsidRPr="008704BD">
        <w:rPr>
          <w:rFonts w:ascii="Times New Roman" w:hAnsi="Times New Roman"/>
          <w:noProof/>
          <w:sz w:val="24"/>
          <w:lang w:val="en-GB"/>
        </w:rPr>
        <w:t xml:space="preserve">(i) </w:t>
      </w:r>
      <w:r w:rsidR="672E00B6" w:rsidRPr="008704BD">
        <w:rPr>
          <w:rFonts w:ascii="Times New Roman" w:hAnsi="Times New Roman"/>
          <w:noProof/>
          <w:sz w:val="24"/>
          <w:lang w:val="en-GB"/>
        </w:rPr>
        <w:t xml:space="preserve">crypto-assets </w:t>
      </w:r>
      <w:r w:rsidR="181E43BC" w:rsidRPr="008704BD">
        <w:rPr>
          <w:rFonts w:ascii="Times New Roman" w:hAnsi="Times New Roman"/>
          <w:noProof/>
          <w:sz w:val="24"/>
          <w:lang w:val="en-GB"/>
        </w:rPr>
        <w:t xml:space="preserve">are traded for other crypto-assets or </w:t>
      </w:r>
      <w:r w:rsidR="42BC8D9F" w:rsidRPr="008704BD">
        <w:rPr>
          <w:rFonts w:ascii="Times New Roman" w:hAnsi="Times New Roman"/>
          <w:noProof/>
          <w:sz w:val="24"/>
          <w:lang w:val="en-GB"/>
        </w:rPr>
        <w:t xml:space="preserve">(ii) </w:t>
      </w:r>
      <w:r w:rsidR="2D028757" w:rsidRPr="008704BD">
        <w:rPr>
          <w:rFonts w:ascii="Times New Roman" w:hAnsi="Times New Roman"/>
          <w:noProof/>
          <w:sz w:val="24"/>
          <w:lang w:val="en-GB"/>
        </w:rPr>
        <w:t xml:space="preserve">a </w:t>
      </w:r>
      <w:r w:rsidR="42BC8D9F" w:rsidRPr="008704BD">
        <w:rPr>
          <w:rFonts w:ascii="Times New Roman" w:hAnsi="Times New Roman"/>
          <w:noProof/>
          <w:sz w:val="24"/>
          <w:lang w:val="en-GB"/>
        </w:rPr>
        <w:t>fiat currency is traded for crypto-assets and back to</w:t>
      </w:r>
      <w:r w:rsidR="2D028757" w:rsidRPr="008704BD">
        <w:rPr>
          <w:rFonts w:ascii="Times New Roman" w:hAnsi="Times New Roman"/>
          <w:noProof/>
          <w:sz w:val="24"/>
          <w:lang w:val="en-GB"/>
        </w:rPr>
        <w:t xml:space="preserve"> a</w:t>
      </w:r>
      <w:r w:rsidR="42BC8D9F" w:rsidRPr="008704BD">
        <w:rPr>
          <w:rFonts w:ascii="Times New Roman" w:hAnsi="Times New Roman"/>
          <w:noProof/>
          <w:sz w:val="24"/>
          <w:lang w:val="en-GB"/>
        </w:rPr>
        <w:t xml:space="preserve"> fiat currency</w:t>
      </w:r>
      <w:r w:rsidR="181E43BC" w:rsidRPr="008704BD">
        <w:rPr>
          <w:rFonts w:ascii="Times New Roman" w:hAnsi="Times New Roman"/>
          <w:noProof/>
          <w:sz w:val="24"/>
          <w:lang w:val="en-GB"/>
        </w:rPr>
        <w:t xml:space="preserve">. </w:t>
      </w:r>
      <w:r w:rsidR="278F8B18" w:rsidRPr="008704BD">
        <w:rPr>
          <w:rFonts w:ascii="Times New Roman" w:hAnsi="Times New Roman"/>
          <w:noProof/>
          <w:sz w:val="24"/>
          <w:lang w:val="en-GB"/>
        </w:rPr>
        <w:t xml:space="preserve"> </w:t>
      </w:r>
      <w:r w:rsidR="181E43BC" w:rsidRPr="008704BD">
        <w:rPr>
          <w:rFonts w:ascii="Times New Roman" w:hAnsi="Times New Roman"/>
          <w:noProof/>
          <w:sz w:val="24"/>
          <w:lang w:val="en-GB"/>
        </w:rPr>
        <w:t>Th</w:t>
      </w:r>
      <w:r w:rsidR="1E78E47A" w:rsidRPr="008704BD">
        <w:rPr>
          <w:rFonts w:ascii="Times New Roman" w:hAnsi="Times New Roman"/>
          <w:noProof/>
          <w:sz w:val="24"/>
          <w:lang w:val="en-GB"/>
        </w:rPr>
        <w:t>e</w:t>
      </w:r>
      <w:r w:rsidR="181E43BC" w:rsidRPr="008704BD">
        <w:rPr>
          <w:rFonts w:ascii="Times New Roman" w:hAnsi="Times New Roman"/>
          <w:noProof/>
          <w:sz w:val="24"/>
          <w:lang w:val="en-GB"/>
        </w:rPr>
        <w:t xml:space="preserve"> trading can be carried out using </w:t>
      </w:r>
      <w:r w:rsidR="2281EF64" w:rsidRPr="008704BD">
        <w:rPr>
          <w:rFonts w:ascii="Times New Roman" w:hAnsi="Times New Roman"/>
          <w:noProof/>
          <w:sz w:val="24"/>
          <w:lang w:val="en-GB"/>
        </w:rPr>
        <w:t>crypto-asset service providers or between individuals or entities directly.</w:t>
      </w:r>
      <w:r w:rsidR="26C5E3C1" w:rsidRPr="008704BD">
        <w:rPr>
          <w:rFonts w:ascii="Times New Roman" w:hAnsi="Times New Roman"/>
          <w:noProof/>
          <w:sz w:val="24"/>
          <w:lang w:val="en-GB"/>
        </w:rPr>
        <w:t xml:space="preserve"> </w:t>
      </w:r>
      <w:r w:rsidR="5643E3EC" w:rsidRPr="008704BD">
        <w:rPr>
          <w:rFonts w:ascii="Times New Roman" w:hAnsi="Times New Roman"/>
          <w:noProof/>
          <w:sz w:val="24"/>
          <w:lang w:val="en-GB"/>
        </w:rPr>
        <w:t xml:space="preserve">Information on the details of these transactions is available through the service providers when they are involved. </w:t>
      </w:r>
      <w:r w:rsidR="15274ADE" w:rsidRPr="008704BD">
        <w:rPr>
          <w:rFonts w:ascii="Times New Roman" w:hAnsi="Times New Roman"/>
          <w:noProof/>
          <w:sz w:val="24"/>
          <w:lang w:val="en-GB"/>
        </w:rPr>
        <w:t>In cases where no service provider is involved</w:t>
      </w:r>
      <w:r w:rsidR="7F34A3C2" w:rsidRPr="008704BD">
        <w:rPr>
          <w:rFonts w:ascii="Times New Roman" w:hAnsi="Times New Roman"/>
          <w:noProof/>
          <w:sz w:val="24"/>
          <w:lang w:val="en-GB"/>
        </w:rPr>
        <w:t>,</w:t>
      </w:r>
      <w:r w:rsidR="15274ADE" w:rsidRPr="008704BD">
        <w:rPr>
          <w:rFonts w:ascii="Times New Roman" w:hAnsi="Times New Roman"/>
          <w:noProof/>
          <w:sz w:val="24"/>
          <w:lang w:val="en-GB"/>
        </w:rPr>
        <w:t xml:space="preserve"> the information is more difficult to obtain and would require </w:t>
      </w:r>
      <w:r w:rsidR="2999EF86" w:rsidRPr="008704BD">
        <w:rPr>
          <w:rFonts w:ascii="Times New Roman" w:hAnsi="Times New Roman"/>
          <w:noProof/>
          <w:sz w:val="24"/>
          <w:lang w:val="en-GB"/>
        </w:rPr>
        <w:t>detailed knowledge of the information on the blockchain.</w:t>
      </w:r>
    </w:p>
    <w:p w14:paraId="5B0A7306" w14:textId="77777777" w:rsidR="0034759C" w:rsidRPr="008704BD" w:rsidRDefault="43E776F2" w:rsidP="0034759C">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The fact that there is no</w:t>
      </w:r>
      <w:r w:rsidR="0DBFCA95" w:rsidRPr="008704BD">
        <w:rPr>
          <w:rFonts w:ascii="Times New Roman" w:hAnsi="Times New Roman"/>
          <w:noProof/>
          <w:sz w:val="24"/>
          <w:lang w:val="en-GB"/>
        </w:rPr>
        <w:t xml:space="preserve"> reporting (or underreporting) and the lack of exchange of data related to revenues and income gained by investments in and transactions made with crypto-assets means that tax administrations lack the necessary information to ensure that taxes are imposed and effectively paid by taxpayers. Whilst it is difficult to precisely quantify this particular tax gap, it represents a current and future problem that needs to be addressed keeping in mind that the use of these assets is expected to increase substantially in the future. There is also significant potential for eroding the proper functioning of the existing exchanges under DAC2</w:t>
      </w:r>
      <w:r w:rsidR="0034759C" w:rsidRPr="008704BD">
        <w:rPr>
          <w:rFonts w:ascii="Times New Roman" w:hAnsi="Times New Roman"/>
          <w:noProof/>
          <w:sz w:val="24"/>
          <w:vertAlign w:val="superscript"/>
        </w:rPr>
        <w:footnoteReference w:id="14"/>
      </w:r>
      <w:r w:rsidR="0DBFCA95" w:rsidRPr="008704BD">
        <w:rPr>
          <w:rFonts w:ascii="Times New Roman" w:hAnsi="Times New Roman"/>
          <w:noProof/>
          <w:sz w:val="24"/>
          <w:lang w:val="en-GB"/>
        </w:rPr>
        <w:t xml:space="preserve">, which is a key tool in ensuring tax transparency on cross-border financial investments and tackling offshore tax evasion. </w:t>
      </w:r>
    </w:p>
    <w:p w14:paraId="3AEB940F" w14:textId="77777777" w:rsidR="00991FC5" w:rsidRPr="008704BD" w:rsidRDefault="6DA881F2" w:rsidP="007167E9">
      <w:pPr>
        <w:jc w:val="both"/>
        <w:rPr>
          <w:rFonts w:ascii="Times New Roman" w:hAnsi="Times New Roman"/>
          <w:noProof/>
          <w:sz w:val="24"/>
          <w:lang w:val="en-GB"/>
        </w:rPr>
      </w:pPr>
      <w:r w:rsidRPr="008704BD">
        <w:rPr>
          <w:rFonts w:ascii="Times New Roman" w:hAnsi="Times New Roman"/>
          <w:noProof/>
          <w:sz w:val="24"/>
          <w:lang w:val="en-GB"/>
        </w:rPr>
        <w:t>The majority of</w:t>
      </w:r>
      <w:r w:rsidR="035D8AB2" w:rsidRPr="008704BD">
        <w:rPr>
          <w:rFonts w:ascii="Times New Roman" w:hAnsi="Times New Roman"/>
          <w:noProof/>
          <w:sz w:val="24"/>
          <w:lang w:val="en-GB"/>
        </w:rPr>
        <w:t xml:space="preserve"> </w:t>
      </w:r>
      <w:r w:rsidR="161717A6" w:rsidRPr="008704BD">
        <w:rPr>
          <w:rFonts w:ascii="Times New Roman" w:hAnsi="Times New Roman"/>
          <w:noProof/>
          <w:sz w:val="24"/>
          <w:lang w:val="en-GB"/>
        </w:rPr>
        <w:t xml:space="preserve">Member States </w:t>
      </w:r>
      <w:r w:rsidR="394DBAF8" w:rsidRPr="008704BD">
        <w:rPr>
          <w:rFonts w:ascii="Times New Roman" w:hAnsi="Times New Roman"/>
          <w:noProof/>
          <w:sz w:val="24"/>
          <w:lang w:val="en-GB"/>
        </w:rPr>
        <w:t xml:space="preserve">already </w:t>
      </w:r>
      <w:r w:rsidR="648E4C17" w:rsidRPr="008704BD">
        <w:rPr>
          <w:rFonts w:ascii="Times New Roman" w:hAnsi="Times New Roman"/>
          <w:noProof/>
          <w:sz w:val="24"/>
          <w:lang w:val="en-GB"/>
        </w:rPr>
        <w:t>have legislation</w:t>
      </w:r>
      <w:r w:rsidR="00F32D1F" w:rsidRPr="008704BD">
        <w:rPr>
          <w:rFonts w:ascii="Times New Roman" w:hAnsi="Times New Roman"/>
          <w:noProof/>
          <w:sz w:val="24"/>
          <w:vertAlign w:val="superscript"/>
          <w:lang w:val="en-GB"/>
        </w:rPr>
        <w:footnoteReference w:id="15"/>
      </w:r>
      <w:r w:rsidR="648E4C17" w:rsidRPr="008704BD">
        <w:rPr>
          <w:rFonts w:ascii="Times New Roman" w:hAnsi="Times New Roman"/>
          <w:noProof/>
          <w:sz w:val="24"/>
          <w:vertAlign w:val="superscript"/>
          <w:lang w:val="en-GB"/>
        </w:rPr>
        <w:t xml:space="preserve"> </w:t>
      </w:r>
      <w:r w:rsidR="633CA0A7" w:rsidRPr="008704BD">
        <w:rPr>
          <w:rFonts w:ascii="Times New Roman" w:hAnsi="Times New Roman"/>
          <w:noProof/>
          <w:sz w:val="24"/>
          <w:lang w:val="en-GB"/>
        </w:rPr>
        <w:t xml:space="preserve">or </w:t>
      </w:r>
      <w:r w:rsidR="394DBAF8" w:rsidRPr="008704BD">
        <w:rPr>
          <w:rFonts w:ascii="Times New Roman" w:hAnsi="Times New Roman"/>
          <w:noProof/>
          <w:sz w:val="24"/>
          <w:lang w:val="en-GB"/>
        </w:rPr>
        <w:t xml:space="preserve">at least </w:t>
      </w:r>
      <w:r w:rsidR="633CA0A7" w:rsidRPr="008704BD">
        <w:rPr>
          <w:rFonts w:ascii="Times New Roman" w:hAnsi="Times New Roman"/>
          <w:noProof/>
          <w:sz w:val="24"/>
          <w:lang w:val="en-GB"/>
        </w:rPr>
        <w:t>admin</w:t>
      </w:r>
      <w:r w:rsidR="394DBAF8" w:rsidRPr="008704BD">
        <w:rPr>
          <w:rFonts w:ascii="Times New Roman" w:hAnsi="Times New Roman"/>
          <w:noProof/>
          <w:sz w:val="24"/>
          <w:lang w:val="en-GB"/>
        </w:rPr>
        <w:t>i</w:t>
      </w:r>
      <w:r w:rsidR="633CA0A7" w:rsidRPr="008704BD">
        <w:rPr>
          <w:rFonts w:ascii="Times New Roman" w:hAnsi="Times New Roman"/>
          <w:noProof/>
          <w:sz w:val="24"/>
          <w:lang w:val="en-GB"/>
        </w:rPr>
        <w:t xml:space="preserve">strative guidance </w:t>
      </w:r>
      <w:r w:rsidR="648E4C17" w:rsidRPr="008704BD">
        <w:rPr>
          <w:rFonts w:ascii="Times New Roman" w:hAnsi="Times New Roman"/>
          <w:noProof/>
          <w:sz w:val="24"/>
          <w:lang w:val="en-GB"/>
        </w:rPr>
        <w:t>in place to</w:t>
      </w:r>
      <w:r w:rsidR="7986ED5D" w:rsidRPr="008704BD">
        <w:rPr>
          <w:rFonts w:ascii="Times New Roman" w:hAnsi="Times New Roman"/>
          <w:noProof/>
          <w:sz w:val="24"/>
          <w:lang w:val="en-GB"/>
        </w:rPr>
        <w:t xml:space="preserve"> </w:t>
      </w:r>
      <w:r w:rsidR="161717A6" w:rsidRPr="008704BD">
        <w:rPr>
          <w:rFonts w:ascii="Times New Roman" w:hAnsi="Times New Roman"/>
          <w:noProof/>
          <w:sz w:val="24"/>
          <w:lang w:val="en-GB"/>
        </w:rPr>
        <w:t xml:space="preserve">tax capital gains obtained </w:t>
      </w:r>
      <w:r w:rsidR="0FA88444" w:rsidRPr="008704BD">
        <w:rPr>
          <w:rFonts w:ascii="Times New Roman" w:hAnsi="Times New Roman"/>
          <w:noProof/>
          <w:sz w:val="24"/>
          <w:lang w:val="en-GB"/>
        </w:rPr>
        <w:t>through</w:t>
      </w:r>
      <w:r w:rsidR="161717A6" w:rsidRPr="008704BD">
        <w:rPr>
          <w:rFonts w:ascii="Times New Roman" w:hAnsi="Times New Roman"/>
          <w:noProof/>
          <w:sz w:val="24"/>
          <w:lang w:val="en-GB"/>
        </w:rPr>
        <w:t xml:space="preserve"> crypto-asset</w:t>
      </w:r>
      <w:r w:rsidR="6CAA61CF" w:rsidRPr="008704BD">
        <w:rPr>
          <w:rFonts w:ascii="Times New Roman" w:hAnsi="Times New Roman"/>
          <w:noProof/>
          <w:sz w:val="24"/>
          <w:lang w:val="en-GB"/>
        </w:rPr>
        <w:t xml:space="preserve"> </w:t>
      </w:r>
      <w:r w:rsidR="114B8477" w:rsidRPr="008704BD">
        <w:rPr>
          <w:rFonts w:ascii="Times New Roman" w:hAnsi="Times New Roman"/>
          <w:noProof/>
          <w:sz w:val="24"/>
          <w:lang w:val="en-GB"/>
        </w:rPr>
        <w:t>investments</w:t>
      </w:r>
      <w:r w:rsidR="3EB15057" w:rsidRPr="008704BD">
        <w:rPr>
          <w:rFonts w:ascii="Times New Roman" w:hAnsi="Times New Roman"/>
          <w:noProof/>
          <w:sz w:val="24"/>
          <w:lang w:val="en-GB"/>
        </w:rPr>
        <w:t>.</w:t>
      </w:r>
      <w:r w:rsidR="2D798965" w:rsidRPr="008704BD">
        <w:rPr>
          <w:rFonts w:ascii="Times New Roman" w:hAnsi="Times New Roman"/>
          <w:noProof/>
          <w:sz w:val="24"/>
          <w:lang w:val="en-GB"/>
        </w:rPr>
        <w:t xml:space="preserve"> </w:t>
      </w:r>
      <w:r w:rsidR="3A93643C" w:rsidRPr="008704BD">
        <w:rPr>
          <w:rFonts w:ascii="Times New Roman" w:hAnsi="Times New Roman"/>
          <w:noProof/>
          <w:sz w:val="24"/>
          <w:lang w:val="en-GB"/>
        </w:rPr>
        <w:t>However,</w:t>
      </w:r>
      <w:r w:rsidR="68B651FF" w:rsidRPr="008704BD">
        <w:rPr>
          <w:rFonts w:ascii="Times New Roman" w:hAnsi="Times New Roman"/>
          <w:noProof/>
          <w:sz w:val="24"/>
          <w:lang w:val="en-GB"/>
        </w:rPr>
        <w:t xml:space="preserve"> </w:t>
      </w:r>
      <w:r w:rsidR="7CEB1F70" w:rsidRPr="008704BD">
        <w:rPr>
          <w:rFonts w:ascii="Times New Roman" w:hAnsi="Times New Roman"/>
          <w:noProof/>
          <w:sz w:val="24"/>
          <w:lang w:val="en-GB"/>
        </w:rPr>
        <w:t>they</w:t>
      </w:r>
      <w:r w:rsidR="68B651FF" w:rsidRPr="008704BD">
        <w:rPr>
          <w:rFonts w:ascii="Times New Roman" w:hAnsi="Times New Roman"/>
          <w:noProof/>
          <w:sz w:val="24"/>
          <w:lang w:val="en-GB"/>
        </w:rPr>
        <w:t xml:space="preserve"> often lack the necessary information that would enable them to do so</w:t>
      </w:r>
      <w:r w:rsidR="4BB88F21" w:rsidRPr="008704BD">
        <w:rPr>
          <w:rFonts w:ascii="Times New Roman" w:hAnsi="Times New Roman"/>
          <w:noProof/>
          <w:sz w:val="24"/>
          <w:lang w:val="en-GB"/>
        </w:rPr>
        <w:t>.</w:t>
      </w:r>
      <w:r w:rsidR="00F32D1F" w:rsidRPr="008704BD">
        <w:rPr>
          <w:rFonts w:ascii="Times New Roman" w:hAnsi="Times New Roman"/>
          <w:noProof/>
          <w:sz w:val="24"/>
          <w:vertAlign w:val="superscript"/>
        </w:rPr>
        <w:footnoteReference w:id="16"/>
      </w:r>
      <w:r w:rsidR="7415E7CB" w:rsidRPr="008704BD">
        <w:rPr>
          <w:rFonts w:ascii="Times New Roman" w:hAnsi="Times New Roman"/>
          <w:noProof/>
          <w:sz w:val="24"/>
          <w:lang w:val="en-GB"/>
        </w:rPr>
        <w:t xml:space="preserve"> </w:t>
      </w:r>
      <w:r w:rsidR="1AE9D573" w:rsidRPr="008704BD">
        <w:rPr>
          <w:rFonts w:ascii="Times New Roman" w:hAnsi="Times New Roman"/>
          <w:noProof/>
          <w:sz w:val="24"/>
          <w:lang w:val="en-GB"/>
        </w:rPr>
        <w:t>Figure 2 shows the estimated capital gains, both reali</w:t>
      </w:r>
      <w:r w:rsidR="61B05176" w:rsidRPr="008704BD">
        <w:rPr>
          <w:rFonts w:ascii="Times New Roman" w:hAnsi="Times New Roman"/>
          <w:noProof/>
          <w:sz w:val="24"/>
          <w:lang w:val="en-GB"/>
        </w:rPr>
        <w:t>s</w:t>
      </w:r>
      <w:r w:rsidR="1AE9D573" w:rsidRPr="008704BD">
        <w:rPr>
          <w:rFonts w:ascii="Times New Roman" w:hAnsi="Times New Roman"/>
          <w:noProof/>
          <w:sz w:val="24"/>
          <w:lang w:val="en-GB"/>
        </w:rPr>
        <w:t>ed and unreali</w:t>
      </w:r>
      <w:r w:rsidR="452F6128" w:rsidRPr="008704BD">
        <w:rPr>
          <w:rFonts w:ascii="Times New Roman" w:hAnsi="Times New Roman"/>
          <w:noProof/>
          <w:sz w:val="24"/>
          <w:lang w:val="en-GB"/>
        </w:rPr>
        <w:t>s</w:t>
      </w:r>
      <w:r w:rsidR="1AE9D573" w:rsidRPr="008704BD">
        <w:rPr>
          <w:rFonts w:ascii="Times New Roman" w:hAnsi="Times New Roman"/>
          <w:noProof/>
          <w:sz w:val="24"/>
          <w:lang w:val="en-GB"/>
        </w:rPr>
        <w:t xml:space="preserve">ed, of </w:t>
      </w:r>
      <w:r w:rsidR="2D914034" w:rsidRPr="008704BD">
        <w:rPr>
          <w:rFonts w:ascii="Times New Roman" w:hAnsi="Times New Roman"/>
          <w:noProof/>
          <w:sz w:val="24"/>
          <w:lang w:val="en-GB"/>
        </w:rPr>
        <w:t>B</w:t>
      </w:r>
      <w:r w:rsidR="1AE9D573" w:rsidRPr="008704BD">
        <w:rPr>
          <w:rFonts w:ascii="Times New Roman" w:hAnsi="Times New Roman"/>
          <w:noProof/>
          <w:sz w:val="24"/>
          <w:lang w:val="en-GB"/>
        </w:rPr>
        <w:t>itcoin owners in 2020, ranked by reali</w:t>
      </w:r>
      <w:r w:rsidR="0FA3E0A3" w:rsidRPr="008704BD">
        <w:rPr>
          <w:rFonts w:ascii="Times New Roman" w:hAnsi="Times New Roman"/>
          <w:noProof/>
          <w:sz w:val="24"/>
          <w:lang w:val="en-GB"/>
        </w:rPr>
        <w:t>s</w:t>
      </w:r>
      <w:r w:rsidR="1AE9D573" w:rsidRPr="008704BD">
        <w:rPr>
          <w:rFonts w:ascii="Times New Roman" w:hAnsi="Times New Roman"/>
          <w:noProof/>
          <w:sz w:val="24"/>
          <w:lang w:val="en-GB"/>
        </w:rPr>
        <w:t>ed capital gains. In 2020</w:t>
      </w:r>
      <w:r w:rsidR="7F34A3C2" w:rsidRPr="008704BD">
        <w:rPr>
          <w:rFonts w:ascii="Times New Roman" w:hAnsi="Times New Roman"/>
          <w:noProof/>
          <w:sz w:val="24"/>
          <w:lang w:val="en-GB"/>
        </w:rPr>
        <w:t>,</w:t>
      </w:r>
      <w:r w:rsidR="1AE9D573" w:rsidRPr="008704BD">
        <w:rPr>
          <w:rFonts w:ascii="Times New Roman" w:hAnsi="Times New Roman"/>
          <w:noProof/>
          <w:sz w:val="24"/>
          <w:lang w:val="en-GB"/>
        </w:rPr>
        <w:t xml:space="preserve"> the total reali</w:t>
      </w:r>
      <w:r w:rsidR="7520F9E4" w:rsidRPr="008704BD">
        <w:rPr>
          <w:rFonts w:ascii="Times New Roman" w:hAnsi="Times New Roman"/>
          <w:noProof/>
          <w:sz w:val="24"/>
          <w:lang w:val="en-GB"/>
        </w:rPr>
        <w:t>s</w:t>
      </w:r>
      <w:r w:rsidR="1AE9D573" w:rsidRPr="008704BD">
        <w:rPr>
          <w:rFonts w:ascii="Times New Roman" w:hAnsi="Times New Roman"/>
          <w:noProof/>
          <w:sz w:val="24"/>
          <w:lang w:val="en-GB"/>
        </w:rPr>
        <w:t>ed capital gains by EU citizen</w:t>
      </w:r>
      <w:r w:rsidR="6E8C9F45" w:rsidRPr="008704BD">
        <w:rPr>
          <w:rFonts w:ascii="Times New Roman" w:hAnsi="Times New Roman"/>
          <w:noProof/>
          <w:sz w:val="24"/>
          <w:lang w:val="en-GB"/>
        </w:rPr>
        <w:t>s</w:t>
      </w:r>
      <w:r w:rsidR="1AE9D573" w:rsidRPr="008704BD">
        <w:rPr>
          <w:rFonts w:ascii="Times New Roman" w:hAnsi="Times New Roman"/>
          <w:noProof/>
          <w:sz w:val="24"/>
          <w:lang w:val="en-GB"/>
        </w:rPr>
        <w:t xml:space="preserve"> amount</w:t>
      </w:r>
      <w:r w:rsidR="63D9D567" w:rsidRPr="008704BD">
        <w:rPr>
          <w:rFonts w:ascii="Times New Roman" w:hAnsi="Times New Roman"/>
          <w:noProof/>
          <w:sz w:val="24"/>
          <w:lang w:val="en-GB"/>
        </w:rPr>
        <w:t>ed</w:t>
      </w:r>
      <w:r w:rsidR="1AE9D573" w:rsidRPr="008704BD">
        <w:rPr>
          <w:rFonts w:ascii="Times New Roman" w:hAnsi="Times New Roman"/>
          <w:noProof/>
          <w:sz w:val="24"/>
          <w:lang w:val="en-GB"/>
        </w:rPr>
        <w:t xml:space="preserve"> to </w:t>
      </w:r>
      <w:r w:rsidR="035D8AB2" w:rsidRPr="008704BD">
        <w:rPr>
          <w:rFonts w:ascii="Times New Roman" w:hAnsi="Times New Roman"/>
          <w:noProof/>
          <w:sz w:val="24"/>
          <w:lang w:val="en-GB"/>
        </w:rPr>
        <w:t xml:space="preserve">EUR </w:t>
      </w:r>
      <w:r w:rsidR="1AE9D573" w:rsidRPr="008704BD">
        <w:rPr>
          <w:rFonts w:ascii="Times New Roman" w:hAnsi="Times New Roman"/>
          <w:noProof/>
          <w:sz w:val="24"/>
          <w:lang w:val="en-GB"/>
        </w:rPr>
        <w:t>3.6 billion and the total unreali</w:t>
      </w:r>
      <w:r w:rsidR="2D6E552A" w:rsidRPr="008704BD">
        <w:rPr>
          <w:rFonts w:ascii="Times New Roman" w:hAnsi="Times New Roman"/>
          <w:noProof/>
          <w:sz w:val="24"/>
          <w:lang w:val="en-GB"/>
        </w:rPr>
        <w:t>s</w:t>
      </w:r>
      <w:r w:rsidR="1AE9D573" w:rsidRPr="008704BD">
        <w:rPr>
          <w:rFonts w:ascii="Times New Roman" w:hAnsi="Times New Roman"/>
          <w:noProof/>
          <w:sz w:val="24"/>
          <w:lang w:val="en-GB"/>
        </w:rPr>
        <w:t xml:space="preserve">ed capital gains </w:t>
      </w:r>
      <w:r w:rsidR="2974F19A" w:rsidRPr="008704BD">
        <w:rPr>
          <w:rFonts w:ascii="Times New Roman" w:hAnsi="Times New Roman"/>
          <w:noProof/>
          <w:sz w:val="24"/>
          <w:lang w:val="en-GB"/>
        </w:rPr>
        <w:t>to</w:t>
      </w:r>
      <w:r w:rsidR="1AE9D573" w:rsidRPr="008704BD">
        <w:rPr>
          <w:rFonts w:ascii="Times New Roman" w:hAnsi="Times New Roman"/>
          <w:noProof/>
          <w:sz w:val="24"/>
          <w:lang w:val="en-GB"/>
        </w:rPr>
        <w:t xml:space="preserve"> </w:t>
      </w:r>
      <w:r w:rsidR="035D8AB2" w:rsidRPr="008704BD">
        <w:rPr>
          <w:rFonts w:ascii="Times New Roman" w:hAnsi="Times New Roman"/>
          <w:noProof/>
          <w:sz w:val="24"/>
          <w:lang w:val="en-GB"/>
        </w:rPr>
        <w:t xml:space="preserve">EUR </w:t>
      </w:r>
      <w:r w:rsidR="1AE9D573" w:rsidRPr="008704BD">
        <w:rPr>
          <w:rFonts w:ascii="Times New Roman" w:hAnsi="Times New Roman"/>
          <w:noProof/>
          <w:sz w:val="24"/>
          <w:lang w:val="en-GB"/>
        </w:rPr>
        <w:t xml:space="preserve">9.1 billion, according to </w:t>
      </w:r>
      <w:r w:rsidR="51E4FB42" w:rsidRPr="008704BD">
        <w:rPr>
          <w:rFonts w:ascii="Times New Roman" w:hAnsi="Times New Roman"/>
          <w:noProof/>
          <w:sz w:val="24"/>
          <w:lang w:val="en-GB"/>
        </w:rPr>
        <w:t xml:space="preserve">a study by </w:t>
      </w:r>
      <w:r w:rsidR="2BC18064" w:rsidRPr="008704BD">
        <w:rPr>
          <w:rFonts w:ascii="Times New Roman" w:hAnsi="Times New Roman"/>
          <w:noProof/>
          <w:sz w:val="24"/>
          <w:lang w:val="en-GB"/>
        </w:rPr>
        <w:t>Thiemann (2021)</w:t>
      </w:r>
      <w:r w:rsidR="0DBFCA95" w:rsidRPr="008704BD">
        <w:rPr>
          <w:rFonts w:ascii="Times New Roman" w:hAnsi="Times New Roman"/>
          <w:noProof/>
          <w:sz w:val="24"/>
          <w:lang w:val="en-GB"/>
        </w:rPr>
        <w:t>.</w:t>
      </w:r>
      <w:r w:rsidR="15ED8DC7" w:rsidRPr="008704BD">
        <w:rPr>
          <w:rFonts w:ascii="Times New Roman" w:hAnsi="Times New Roman"/>
          <w:noProof/>
          <w:sz w:val="24"/>
          <w:vertAlign w:val="superscript"/>
          <w:lang w:val="en-GB"/>
        </w:rPr>
        <w:footnoteReference w:id="17"/>
      </w:r>
      <w:r w:rsidR="051B28AF" w:rsidRPr="008704BD">
        <w:rPr>
          <w:rFonts w:ascii="Times New Roman" w:hAnsi="Times New Roman"/>
          <w:noProof/>
          <w:sz w:val="24"/>
          <w:lang w:val="en-GB"/>
        </w:rPr>
        <w:t xml:space="preserve"> </w:t>
      </w:r>
    </w:p>
    <w:p w14:paraId="7A9BC5FB" w14:textId="7493E8F6" w:rsidR="00BB26A3" w:rsidRPr="008704BD" w:rsidRDefault="6BF0055A" w:rsidP="00BB26A3">
      <w:pPr>
        <w:jc w:val="both"/>
        <w:rPr>
          <w:rFonts w:ascii="Times New Roman" w:hAnsi="Times New Roman"/>
          <w:noProof/>
          <w:sz w:val="24"/>
          <w:lang w:val="en-GB"/>
        </w:rPr>
      </w:pPr>
      <w:r w:rsidRPr="008704BD">
        <w:rPr>
          <w:rFonts w:ascii="Times New Roman" w:hAnsi="Times New Roman"/>
          <w:noProof/>
          <w:sz w:val="24"/>
          <w:lang w:val="en-GB"/>
        </w:rPr>
        <w:t xml:space="preserve">Assuming that </w:t>
      </w:r>
      <w:r w:rsidR="372903C4" w:rsidRPr="008704BD">
        <w:rPr>
          <w:rFonts w:ascii="Times New Roman" w:hAnsi="Times New Roman"/>
          <w:noProof/>
          <w:sz w:val="24"/>
          <w:lang w:val="en-GB"/>
        </w:rPr>
        <w:t xml:space="preserve">the realised capital gains </w:t>
      </w:r>
      <w:r w:rsidR="4C6EC6E2" w:rsidRPr="008704BD">
        <w:rPr>
          <w:rFonts w:ascii="Times New Roman" w:hAnsi="Times New Roman"/>
          <w:noProof/>
          <w:sz w:val="24"/>
          <w:lang w:val="en-GB"/>
        </w:rPr>
        <w:t>ha</w:t>
      </w:r>
      <w:r w:rsidR="3A564429" w:rsidRPr="008704BD">
        <w:rPr>
          <w:rFonts w:ascii="Times New Roman" w:hAnsi="Times New Roman"/>
          <w:noProof/>
          <w:sz w:val="24"/>
          <w:lang w:val="en-GB"/>
        </w:rPr>
        <w:t>d</w:t>
      </w:r>
      <w:r w:rsidR="372903C4" w:rsidRPr="008704BD">
        <w:rPr>
          <w:rFonts w:ascii="Times New Roman" w:hAnsi="Times New Roman"/>
          <w:noProof/>
          <w:sz w:val="24"/>
          <w:lang w:val="en-GB"/>
        </w:rPr>
        <w:t xml:space="preserve"> been reported by the taxp</w:t>
      </w:r>
      <w:r w:rsidR="03A3BCDF" w:rsidRPr="008704BD">
        <w:rPr>
          <w:rFonts w:ascii="Times New Roman" w:hAnsi="Times New Roman"/>
          <w:noProof/>
          <w:sz w:val="24"/>
          <w:lang w:val="en-GB"/>
        </w:rPr>
        <w:t>a</w:t>
      </w:r>
      <w:r w:rsidR="372903C4" w:rsidRPr="008704BD">
        <w:rPr>
          <w:rFonts w:ascii="Times New Roman" w:hAnsi="Times New Roman"/>
          <w:noProof/>
          <w:sz w:val="24"/>
          <w:lang w:val="en-GB"/>
        </w:rPr>
        <w:t>yers</w:t>
      </w:r>
      <w:r w:rsidR="0725763B" w:rsidRPr="008704BD">
        <w:rPr>
          <w:rFonts w:ascii="Times New Roman" w:hAnsi="Times New Roman"/>
          <w:noProof/>
          <w:sz w:val="24"/>
          <w:lang w:val="en-GB"/>
        </w:rPr>
        <w:t xml:space="preserve"> </w:t>
      </w:r>
      <w:r w:rsidR="291D4C81" w:rsidRPr="008704BD">
        <w:rPr>
          <w:rFonts w:ascii="Times New Roman" w:hAnsi="Times New Roman"/>
          <w:noProof/>
          <w:sz w:val="24"/>
          <w:lang w:val="en-GB"/>
        </w:rPr>
        <w:t xml:space="preserve">and </w:t>
      </w:r>
      <w:r w:rsidR="7B104BC5" w:rsidRPr="008704BD">
        <w:rPr>
          <w:rFonts w:ascii="Times New Roman" w:hAnsi="Times New Roman"/>
          <w:noProof/>
          <w:sz w:val="24"/>
          <w:lang w:val="en-GB"/>
        </w:rPr>
        <w:t>taxed at</w:t>
      </w:r>
      <w:r w:rsidR="0725763B" w:rsidRPr="008704BD">
        <w:rPr>
          <w:rFonts w:ascii="Times New Roman" w:hAnsi="Times New Roman"/>
          <w:noProof/>
          <w:sz w:val="24"/>
          <w:lang w:val="en-GB"/>
        </w:rPr>
        <w:t xml:space="preserve"> a rate of 25</w:t>
      </w:r>
      <w:r w:rsidR="4226E0E4" w:rsidRPr="008704BD">
        <w:rPr>
          <w:rFonts w:ascii="Times New Roman" w:hAnsi="Times New Roman"/>
          <w:noProof/>
          <w:sz w:val="24"/>
          <w:lang w:val="en-GB"/>
        </w:rPr>
        <w:t>%</w:t>
      </w:r>
      <w:r w:rsidR="394DBAF8" w:rsidRPr="008704BD">
        <w:rPr>
          <w:rFonts w:ascii="Times New Roman" w:hAnsi="Times New Roman"/>
          <w:noProof/>
          <w:sz w:val="24"/>
          <w:lang w:val="en-GB"/>
        </w:rPr>
        <w:t xml:space="preserve"> </w:t>
      </w:r>
      <w:r w:rsidR="66247FA2" w:rsidRPr="008704BD">
        <w:rPr>
          <w:rFonts w:ascii="Times New Roman" w:hAnsi="Times New Roman"/>
          <w:noProof/>
          <w:sz w:val="24"/>
          <w:lang w:val="en-GB"/>
        </w:rPr>
        <w:t xml:space="preserve">(without any </w:t>
      </w:r>
      <w:r w:rsidR="7D94CD8D" w:rsidRPr="008704BD">
        <w:rPr>
          <w:rFonts w:ascii="Times New Roman" w:hAnsi="Times New Roman"/>
          <w:noProof/>
          <w:sz w:val="24"/>
          <w:lang w:val="en-GB"/>
        </w:rPr>
        <w:t xml:space="preserve">tax </w:t>
      </w:r>
      <w:r w:rsidR="770E2235" w:rsidRPr="008704BD">
        <w:rPr>
          <w:rFonts w:ascii="Times New Roman" w:hAnsi="Times New Roman"/>
          <w:noProof/>
          <w:sz w:val="24"/>
          <w:lang w:val="en-GB"/>
        </w:rPr>
        <w:t>exe</w:t>
      </w:r>
      <w:r w:rsidR="429F4DB4" w:rsidRPr="008704BD">
        <w:rPr>
          <w:rFonts w:ascii="Times New Roman" w:hAnsi="Times New Roman"/>
          <w:noProof/>
          <w:sz w:val="24"/>
          <w:lang w:val="en-GB"/>
        </w:rPr>
        <w:t>m</w:t>
      </w:r>
      <w:r w:rsidR="770E2235" w:rsidRPr="008704BD">
        <w:rPr>
          <w:rFonts w:ascii="Times New Roman" w:hAnsi="Times New Roman"/>
          <w:noProof/>
          <w:sz w:val="24"/>
          <w:lang w:val="en-GB"/>
        </w:rPr>
        <w:t>ptions</w:t>
      </w:r>
      <w:r w:rsidR="66247FA2" w:rsidRPr="008704BD">
        <w:rPr>
          <w:rFonts w:ascii="Times New Roman" w:hAnsi="Times New Roman"/>
          <w:noProof/>
          <w:sz w:val="24"/>
          <w:lang w:val="en-GB"/>
        </w:rPr>
        <w:t>)</w:t>
      </w:r>
      <w:r w:rsidR="4D59BBF3" w:rsidRPr="008704BD">
        <w:rPr>
          <w:rFonts w:ascii="Times New Roman" w:hAnsi="Times New Roman"/>
          <w:noProof/>
          <w:sz w:val="24"/>
          <w:lang w:val="en-GB"/>
        </w:rPr>
        <w:t xml:space="preserve"> by the relevant Member State</w:t>
      </w:r>
      <w:r w:rsidR="0725763B" w:rsidRPr="008704BD">
        <w:rPr>
          <w:rFonts w:ascii="Times New Roman" w:hAnsi="Times New Roman"/>
          <w:noProof/>
          <w:sz w:val="24"/>
          <w:lang w:val="en-GB"/>
        </w:rPr>
        <w:t>,</w:t>
      </w:r>
      <w:r w:rsidR="486E52D8" w:rsidRPr="008704BD">
        <w:rPr>
          <w:rFonts w:ascii="Times New Roman" w:hAnsi="Times New Roman"/>
          <w:noProof/>
          <w:sz w:val="24"/>
          <w:lang w:val="en-GB"/>
        </w:rPr>
        <w:t xml:space="preserve"> tax revenues of </w:t>
      </w:r>
      <w:r w:rsidR="0725763B" w:rsidRPr="008704BD">
        <w:rPr>
          <w:rFonts w:ascii="Times New Roman" w:hAnsi="Times New Roman"/>
          <w:noProof/>
          <w:sz w:val="24"/>
          <w:lang w:val="en-GB"/>
        </w:rPr>
        <w:t xml:space="preserve">about </w:t>
      </w:r>
      <w:r w:rsidR="523A744A" w:rsidRPr="008704BD">
        <w:rPr>
          <w:rFonts w:ascii="Times New Roman" w:hAnsi="Times New Roman"/>
          <w:noProof/>
          <w:sz w:val="24"/>
          <w:lang w:val="en-GB"/>
        </w:rPr>
        <w:t xml:space="preserve">EUR </w:t>
      </w:r>
      <w:r w:rsidR="0725763B" w:rsidRPr="008704BD">
        <w:rPr>
          <w:rFonts w:ascii="Times New Roman" w:hAnsi="Times New Roman"/>
          <w:noProof/>
          <w:sz w:val="24"/>
          <w:lang w:val="en-GB"/>
        </w:rPr>
        <w:t>0.9 billion could have been collected in 2020</w:t>
      </w:r>
      <w:r w:rsidR="00751E11">
        <w:rPr>
          <w:rFonts w:ascii="Times New Roman" w:hAnsi="Times New Roman"/>
          <w:noProof/>
          <w:sz w:val="24"/>
          <w:lang w:val="en-GB"/>
        </w:rPr>
        <w:t>, taking only into consideration Bitcoin</w:t>
      </w:r>
      <w:r w:rsidR="0725763B" w:rsidRPr="008704BD">
        <w:rPr>
          <w:rFonts w:ascii="Times New Roman" w:hAnsi="Times New Roman"/>
          <w:noProof/>
          <w:sz w:val="24"/>
          <w:lang w:val="en-GB"/>
        </w:rPr>
        <w:t xml:space="preserve">. </w:t>
      </w:r>
      <w:r w:rsidR="753325E2" w:rsidRPr="008704BD">
        <w:rPr>
          <w:rFonts w:ascii="Times New Roman" w:hAnsi="Times New Roman"/>
          <w:noProof/>
          <w:sz w:val="24"/>
          <w:lang w:val="en-GB"/>
        </w:rPr>
        <w:t>The</w:t>
      </w:r>
      <w:r w:rsidR="35E82767" w:rsidRPr="008704BD">
        <w:rPr>
          <w:rFonts w:ascii="Times New Roman" w:hAnsi="Times New Roman"/>
          <w:noProof/>
          <w:sz w:val="24"/>
          <w:lang w:val="en-GB"/>
        </w:rPr>
        <w:t xml:space="preserve"> lack </w:t>
      </w:r>
      <w:r w:rsidR="3B4FE638" w:rsidRPr="008704BD">
        <w:rPr>
          <w:rFonts w:ascii="Times New Roman" w:hAnsi="Times New Roman"/>
          <w:noProof/>
          <w:sz w:val="24"/>
          <w:lang w:val="en-GB"/>
        </w:rPr>
        <w:t>of reporting rules at national level</w:t>
      </w:r>
      <w:r w:rsidR="453DEE42" w:rsidRPr="008704BD">
        <w:rPr>
          <w:rFonts w:ascii="Times New Roman" w:hAnsi="Times New Roman"/>
          <w:noProof/>
          <w:sz w:val="24"/>
          <w:lang w:val="en-GB"/>
        </w:rPr>
        <w:t>,</w:t>
      </w:r>
      <w:r w:rsidR="3B4FE638" w:rsidRPr="008704BD">
        <w:rPr>
          <w:rFonts w:ascii="Times New Roman" w:hAnsi="Times New Roman"/>
          <w:noProof/>
          <w:sz w:val="24"/>
          <w:lang w:val="en-GB"/>
        </w:rPr>
        <w:t xml:space="preserve"> as well as </w:t>
      </w:r>
      <w:r w:rsidR="260D974F" w:rsidRPr="008704BD">
        <w:rPr>
          <w:rFonts w:ascii="Times New Roman" w:hAnsi="Times New Roman"/>
          <w:noProof/>
          <w:sz w:val="24"/>
          <w:lang w:val="en-GB"/>
        </w:rPr>
        <w:t>the</w:t>
      </w:r>
      <w:r w:rsidR="1034AA2D" w:rsidRPr="008704BD">
        <w:rPr>
          <w:rFonts w:ascii="Times New Roman" w:hAnsi="Times New Roman"/>
          <w:noProof/>
          <w:sz w:val="24"/>
          <w:lang w:val="en-GB"/>
        </w:rPr>
        <w:t xml:space="preserve"> lack of exchange of information between </w:t>
      </w:r>
      <w:r w:rsidR="58FE2313" w:rsidRPr="008704BD">
        <w:rPr>
          <w:rFonts w:ascii="Times New Roman" w:hAnsi="Times New Roman"/>
          <w:noProof/>
          <w:sz w:val="24"/>
          <w:lang w:val="en-GB"/>
        </w:rPr>
        <w:t>M</w:t>
      </w:r>
      <w:r w:rsidR="1034AA2D" w:rsidRPr="008704BD">
        <w:rPr>
          <w:rFonts w:ascii="Times New Roman" w:hAnsi="Times New Roman"/>
          <w:noProof/>
          <w:sz w:val="24"/>
          <w:lang w:val="en-GB"/>
        </w:rPr>
        <w:t>ember States</w:t>
      </w:r>
      <w:r w:rsidR="631D5D65" w:rsidRPr="008704BD">
        <w:rPr>
          <w:rFonts w:ascii="Times New Roman" w:hAnsi="Times New Roman"/>
          <w:noProof/>
          <w:sz w:val="24"/>
          <w:lang w:val="en-GB"/>
        </w:rPr>
        <w:t xml:space="preserve"> means that non-compliant taxpayers are difficult to detect, which leads to revenue losses</w:t>
      </w:r>
      <w:r w:rsidR="65838C12" w:rsidRPr="008704BD">
        <w:rPr>
          <w:rFonts w:ascii="Times New Roman" w:hAnsi="Times New Roman"/>
          <w:noProof/>
          <w:sz w:val="24"/>
          <w:lang w:val="en-GB"/>
        </w:rPr>
        <w:t>.</w:t>
      </w:r>
      <w:r w:rsidR="5E04A14F" w:rsidRPr="008704BD">
        <w:rPr>
          <w:rFonts w:ascii="Times New Roman" w:hAnsi="Times New Roman"/>
          <w:noProof/>
          <w:sz w:val="24"/>
          <w:lang w:val="en-GB"/>
        </w:rPr>
        <w:t xml:space="preserve"> </w:t>
      </w:r>
      <w:r w:rsidR="394DBAF8" w:rsidRPr="008704BD">
        <w:rPr>
          <w:rFonts w:ascii="Times New Roman" w:hAnsi="Times New Roman"/>
          <w:noProof/>
          <w:sz w:val="24"/>
          <w:lang w:val="en-GB"/>
        </w:rPr>
        <w:t>At the same time</w:t>
      </w:r>
      <w:r w:rsidR="7F34A3C2" w:rsidRPr="008704BD">
        <w:rPr>
          <w:rFonts w:ascii="Times New Roman" w:hAnsi="Times New Roman"/>
          <w:noProof/>
          <w:sz w:val="24"/>
          <w:lang w:val="en-GB"/>
        </w:rPr>
        <w:t>,</w:t>
      </w:r>
      <w:r w:rsidR="394DBAF8" w:rsidRPr="008704BD">
        <w:rPr>
          <w:rFonts w:ascii="Times New Roman" w:hAnsi="Times New Roman"/>
          <w:noProof/>
          <w:sz w:val="24"/>
          <w:lang w:val="en-GB"/>
        </w:rPr>
        <w:t xml:space="preserve"> there is no information available about how much realised capital gains have actually been taxed by the Member States. This makes it challenging to </w:t>
      </w:r>
      <w:r w:rsidR="43E776F2" w:rsidRPr="008704BD">
        <w:rPr>
          <w:rFonts w:ascii="Times New Roman" w:hAnsi="Times New Roman"/>
          <w:noProof/>
          <w:sz w:val="24"/>
          <w:lang w:val="en-GB"/>
        </w:rPr>
        <w:t>determine</w:t>
      </w:r>
      <w:r w:rsidR="394DBAF8" w:rsidRPr="008704BD">
        <w:rPr>
          <w:rFonts w:ascii="Times New Roman" w:hAnsi="Times New Roman"/>
          <w:noProof/>
          <w:sz w:val="24"/>
          <w:lang w:val="en-GB"/>
        </w:rPr>
        <w:t xml:space="preserve"> the exact impact of the proposed initiative.</w:t>
      </w:r>
    </w:p>
    <w:p w14:paraId="450739C6" w14:textId="77777777" w:rsidR="00811206" w:rsidRPr="006E5F59" w:rsidRDefault="00811206" w:rsidP="00991FC5">
      <w:pPr>
        <w:jc w:val="both"/>
        <w:rPr>
          <w:rFonts w:ascii="Times New Roman" w:hAnsi="Times New Roman" w:cs="Times New Roman"/>
          <w:noProof/>
          <w:sz w:val="12"/>
          <w:lang w:val="en-GB"/>
        </w:rPr>
      </w:pPr>
    </w:p>
    <w:p w14:paraId="41404A0E" w14:textId="77777777" w:rsidR="00791141" w:rsidRPr="006E5F59" w:rsidRDefault="00791141" w:rsidP="00991FC5">
      <w:pPr>
        <w:jc w:val="both"/>
        <w:rPr>
          <w:rFonts w:ascii="Times New Roman" w:hAnsi="Times New Roman" w:cs="Times New Roman"/>
          <w:noProof/>
          <w:sz w:val="12"/>
          <w:lang w:val="en-GB"/>
        </w:rPr>
      </w:pPr>
    </w:p>
    <w:p w14:paraId="5A65CEDB" w14:textId="77777777" w:rsidR="00791141" w:rsidRDefault="00791141" w:rsidP="1314CC47">
      <w:pPr>
        <w:jc w:val="both"/>
        <w:rPr>
          <w:rFonts w:ascii="Times New Roman" w:hAnsi="Times New Roman" w:cs="Times New Roman"/>
          <w:noProof/>
          <w:sz w:val="12"/>
          <w:szCs w:val="12"/>
          <w:lang w:val="en-GB"/>
        </w:rPr>
      </w:pPr>
    </w:p>
    <w:p w14:paraId="0EBD8440" w14:textId="1AF405F2" w:rsidR="0006025D" w:rsidRDefault="0006025D">
      <w:pPr>
        <w:rPr>
          <w:rFonts w:ascii="Times New Roman" w:hAnsi="Times New Roman" w:cs="Times New Roman"/>
          <w:noProof/>
          <w:sz w:val="12"/>
          <w:lang w:val="en-GB"/>
        </w:rPr>
      </w:pPr>
      <w:r>
        <w:rPr>
          <w:rFonts w:ascii="Times New Roman" w:hAnsi="Times New Roman" w:cs="Times New Roman"/>
          <w:noProof/>
          <w:sz w:val="12"/>
          <w:lang w:val="en-GB"/>
        </w:rPr>
        <w:br w:type="page"/>
      </w:r>
    </w:p>
    <w:p w14:paraId="1E94CF36" w14:textId="77777777" w:rsidR="00AA14B6" w:rsidRPr="006E5F59" w:rsidRDefault="00AA14B6" w:rsidP="00991FC5">
      <w:pPr>
        <w:jc w:val="both"/>
        <w:rPr>
          <w:rFonts w:ascii="Times New Roman" w:hAnsi="Times New Roman" w:cs="Times New Roman"/>
          <w:noProof/>
          <w:sz w:val="12"/>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91FC5" w:rsidRPr="006E5F59" w14:paraId="195E5A4D" w14:textId="77777777" w:rsidTr="00BB26A3">
        <w:trPr>
          <w:jc w:val="center"/>
        </w:trPr>
        <w:tc>
          <w:tcPr>
            <w:tcW w:w="9242" w:type="dxa"/>
          </w:tcPr>
          <w:p w14:paraId="178732D1" w14:textId="77777777" w:rsidR="00991FC5" w:rsidRPr="008704BD" w:rsidRDefault="00991FC5" w:rsidP="000D352D">
            <w:pPr>
              <w:jc w:val="both"/>
              <w:rPr>
                <w:rFonts w:ascii="Times New Roman" w:hAnsi="Times New Roman"/>
                <w:i/>
                <w:noProof/>
                <w:color w:val="404040" w:themeColor="text1" w:themeTint="BF"/>
                <w:sz w:val="24"/>
              </w:rPr>
            </w:pPr>
            <w:r w:rsidRPr="008704BD">
              <w:rPr>
                <w:rFonts w:ascii="Times New Roman" w:hAnsi="Times New Roman"/>
                <w:i/>
                <w:noProof/>
                <w:color w:val="404040" w:themeColor="text1" w:themeTint="BF"/>
                <w:sz w:val="24"/>
              </w:rPr>
              <w:t>Figure 2 Estimated capital gains from Bitcoin in 2020 across EU countries, reali</w:t>
            </w:r>
            <w:r w:rsidR="66EAB0F9" w:rsidRPr="008704BD">
              <w:rPr>
                <w:rFonts w:ascii="Times New Roman" w:hAnsi="Times New Roman"/>
                <w:i/>
                <w:noProof/>
                <w:color w:val="404040" w:themeColor="text1" w:themeTint="BF"/>
                <w:sz w:val="24"/>
              </w:rPr>
              <w:t>s</w:t>
            </w:r>
            <w:r w:rsidRPr="008704BD">
              <w:rPr>
                <w:rFonts w:ascii="Times New Roman" w:hAnsi="Times New Roman"/>
                <w:i/>
                <w:noProof/>
                <w:color w:val="404040" w:themeColor="text1" w:themeTint="BF"/>
                <w:sz w:val="24"/>
              </w:rPr>
              <w:t>ed (green) and unreali</w:t>
            </w:r>
            <w:r w:rsidR="61F8FE52" w:rsidRPr="008704BD">
              <w:rPr>
                <w:rFonts w:ascii="Times New Roman" w:hAnsi="Times New Roman"/>
                <w:i/>
                <w:noProof/>
                <w:color w:val="404040" w:themeColor="text1" w:themeTint="BF"/>
                <w:sz w:val="24"/>
              </w:rPr>
              <w:t>s</w:t>
            </w:r>
            <w:r w:rsidRPr="008704BD">
              <w:rPr>
                <w:rFonts w:ascii="Times New Roman" w:hAnsi="Times New Roman"/>
                <w:i/>
                <w:noProof/>
                <w:color w:val="404040" w:themeColor="text1" w:themeTint="BF"/>
                <w:sz w:val="24"/>
              </w:rPr>
              <w:t>ed (red)</w:t>
            </w:r>
          </w:p>
          <w:p w14:paraId="38B52BCE" w14:textId="77777777" w:rsidR="00991FC5" w:rsidRPr="006E5F59" w:rsidRDefault="00991FC5" w:rsidP="000D352D">
            <w:pPr>
              <w:contextualSpacing/>
              <w:jc w:val="both"/>
              <w:rPr>
                <w:rFonts w:ascii="Times New Roman" w:hAnsi="Times New Roman" w:cs="Times New Roman"/>
                <w:noProof/>
              </w:rPr>
            </w:pPr>
            <w:r w:rsidRPr="006E5F59">
              <w:rPr>
                <w:rFonts w:ascii="Times New Roman" w:hAnsi="Times New Roman" w:cs="Times New Roman"/>
                <w:noProof/>
                <w:color w:val="2B579A"/>
                <w:shd w:val="clear" w:color="auto" w:fill="E6E6E6"/>
                <w:lang w:eastAsia="en-GB"/>
              </w:rPr>
              <w:drawing>
                <wp:inline distT="0" distB="0" distL="0" distR="0" wp14:anchorId="13B3413B" wp14:editId="5EDA41D5">
                  <wp:extent cx="5731927" cy="3763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418" t="1414" r="4267" b="1284"/>
                          <a:stretch/>
                        </pic:blipFill>
                        <pic:spPr bwMode="auto">
                          <a:xfrm>
                            <a:off x="0" y="0"/>
                            <a:ext cx="5731927" cy="3763645"/>
                          </a:xfrm>
                          <a:prstGeom prst="rect">
                            <a:avLst/>
                          </a:prstGeom>
                          <a:ln>
                            <a:noFill/>
                          </a:ln>
                          <a:extLst>
                            <a:ext uri="{53640926-AAD7-44D8-BBD7-CCE9431645EC}">
                              <a14:shadowObscured xmlns:a14="http://schemas.microsoft.com/office/drawing/2010/main"/>
                            </a:ext>
                          </a:extLst>
                        </pic:spPr>
                      </pic:pic>
                    </a:graphicData>
                  </a:graphic>
                </wp:inline>
              </w:drawing>
            </w:r>
          </w:p>
        </w:tc>
      </w:tr>
      <w:tr w:rsidR="00991FC5" w:rsidRPr="006E5F59" w14:paraId="37BDEFDA" w14:textId="77777777" w:rsidTr="00BB26A3">
        <w:trPr>
          <w:jc w:val="center"/>
        </w:trPr>
        <w:tc>
          <w:tcPr>
            <w:tcW w:w="9242" w:type="dxa"/>
          </w:tcPr>
          <w:p w14:paraId="53BAF4FE" w14:textId="77777777" w:rsidR="00991FC5" w:rsidRPr="00F42C0E" w:rsidRDefault="3147B0D9" w:rsidP="329EF9C1">
            <w:pPr>
              <w:contextualSpacing/>
              <w:jc w:val="both"/>
              <w:rPr>
                <w:rFonts w:ascii="Times New Roman" w:hAnsi="Times New Roman" w:cs="Times New Roman"/>
                <w:noProof/>
                <w:sz w:val="16"/>
                <w:szCs w:val="16"/>
              </w:rPr>
            </w:pPr>
            <w:r w:rsidRPr="005B0C83">
              <w:rPr>
                <w:rFonts w:ascii="Times New Roman" w:hAnsi="Times New Roman" w:cs="Times New Roman"/>
                <w:noProof/>
                <w:sz w:val="16"/>
                <w:szCs w:val="16"/>
              </w:rPr>
              <w:t xml:space="preserve">Source: </w:t>
            </w:r>
            <w:r w:rsidR="009C6C87" w:rsidRPr="00F42C0E">
              <w:rPr>
                <w:rFonts w:ascii="Times New Roman" w:hAnsi="Times New Roman" w:cs="Times New Roman"/>
                <w:noProof/>
                <w:sz w:val="16"/>
                <w:szCs w:val="16"/>
              </w:rPr>
              <w:t>Thiemann (2021)</w:t>
            </w:r>
            <w:r w:rsidRPr="00F42C0E">
              <w:rPr>
                <w:rFonts w:ascii="Times New Roman" w:hAnsi="Times New Roman" w:cs="Times New Roman"/>
                <w:noProof/>
                <w:sz w:val="16"/>
                <w:szCs w:val="16"/>
              </w:rPr>
              <w:t xml:space="preserve"> based on Chainalysis Inc.</w:t>
            </w:r>
          </w:p>
          <w:p w14:paraId="465596E1" w14:textId="77777777" w:rsidR="00991FC5" w:rsidRPr="00F42C0E" w:rsidRDefault="00991FC5" w:rsidP="000D352D">
            <w:pPr>
              <w:contextualSpacing/>
              <w:jc w:val="both"/>
              <w:rPr>
                <w:rFonts w:ascii="Times New Roman" w:hAnsi="Times New Roman" w:cs="Times New Roman"/>
                <w:noProof/>
                <w:sz w:val="16"/>
                <w:szCs w:val="16"/>
              </w:rPr>
            </w:pPr>
            <w:r w:rsidRPr="00F42C0E">
              <w:rPr>
                <w:rFonts w:ascii="Times New Roman" w:hAnsi="Times New Roman" w:cs="Times New Roman"/>
                <w:noProof/>
                <w:sz w:val="16"/>
                <w:szCs w:val="16"/>
              </w:rPr>
              <w:t xml:space="preserve">Note: Flows are attributed to individual countries relying on country-based web traffic statistics, time-zone analysis of </w:t>
            </w:r>
            <w:r w:rsidR="0524938E" w:rsidRPr="00F42C0E">
              <w:rPr>
                <w:rFonts w:ascii="Times New Roman" w:hAnsi="Times New Roman" w:cs="Times New Roman"/>
                <w:noProof/>
                <w:sz w:val="16"/>
                <w:szCs w:val="16"/>
              </w:rPr>
              <w:t>service provider</w:t>
            </w:r>
            <w:r w:rsidRPr="00F42C0E">
              <w:rPr>
                <w:rFonts w:ascii="Times New Roman" w:hAnsi="Times New Roman" w:cs="Times New Roman"/>
                <w:noProof/>
                <w:sz w:val="16"/>
                <w:szCs w:val="16"/>
              </w:rPr>
              <w:t xml:space="preserve">s’ cryptocurrency activity, most popular fiat currency pairs, and additional information (see Chainalysis, 2020); exchange rate to calculate EUR values from the original USD values, as of May, 25, 2021 (1 EUR = 1.2212 USD). </w:t>
            </w:r>
          </w:p>
          <w:p w14:paraId="5C8A1113" w14:textId="77777777" w:rsidR="00991FC5" w:rsidRPr="006E5F59" w:rsidRDefault="00991FC5" w:rsidP="000D352D">
            <w:pPr>
              <w:contextualSpacing/>
              <w:jc w:val="both"/>
              <w:rPr>
                <w:rFonts w:ascii="Times New Roman" w:hAnsi="Times New Roman" w:cs="Times New Roman"/>
                <w:noProof/>
              </w:rPr>
            </w:pPr>
          </w:p>
        </w:tc>
      </w:tr>
      <w:tr w:rsidR="0032114C" w:rsidRPr="006E5F59" w14:paraId="09FD6D8D" w14:textId="77777777" w:rsidTr="00BB26A3">
        <w:trPr>
          <w:jc w:val="center"/>
        </w:trPr>
        <w:tc>
          <w:tcPr>
            <w:tcW w:w="9242" w:type="dxa"/>
          </w:tcPr>
          <w:p w14:paraId="0CA751E5" w14:textId="77777777" w:rsidR="0032114C" w:rsidRPr="006E5F59" w:rsidRDefault="0032114C" w:rsidP="000D352D">
            <w:pPr>
              <w:contextualSpacing/>
              <w:jc w:val="both"/>
              <w:rPr>
                <w:rFonts w:ascii="Times New Roman" w:hAnsi="Times New Roman" w:cs="Times New Roman"/>
                <w:noProof/>
                <w:sz w:val="20"/>
              </w:rPr>
            </w:pPr>
          </w:p>
        </w:tc>
      </w:tr>
    </w:tbl>
    <w:p w14:paraId="5A6065E8" w14:textId="77777777" w:rsidR="00D51EAD" w:rsidRPr="008704BD" w:rsidRDefault="21F56B6A" w:rsidP="6161997B">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It is relevant for the assessment of the problem and</w:t>
      </w:r>
      <w:r w:rsidRPr="008704BD" w:rsidDel="00CD7D7A">
        <w:rPr>
          <w:rFonts w:ascii="Times New Roman" w:hAnsi="Times New Roman"/>
          <w:noProof/>
          <w:sz w:val="24"/>
          <w:lang w:val="en-GB"/>
        </w:rPr>
        <w:t xml:space="preserve"> </w:t>
      </w:r>
      <w:r w:rsidR="00CD7D7A" w:rsidRPr="008704BD">
        <w:rPr>
          <w:rFonts w:ascii="Times New Roman" w:hAnsi="Times New Roman"/>
          <w:noProof/>
          <w:sz w:val="24"/>
          <w:lang w:val="en-GB"/>
        </w:rPr>
        <w:t xml:space="preserve">its </w:t>
      </w:r>
      <w:r w:rsidRPr="008704BD">
        <w:rPr>
          <w:rFonts w:ascii="Times New Roman" w:hAnsi="Times New Roman"/>
          <w:noProof/>
          <w:sz w:val="24"/>
          <w:lang w:val="en-GB"/>
        </w:rPr>
        <w:t xml:space="preserve">impacts </w:t>
      </w:r>
      <w:r w:rsidR="6D5E6EA7" w:rsidRPr="008704BD">
        <w:rPr>
          <w:rFonts w:ascii="Times New Roman" w:hAnsi="Times New Roman"/>
          <w:noProof/>
          <w:sz w:val="24"/>
          <w:lang w:val="en-GB"/>
        </w:rPr>
        <w:t xml:space="preserve">to note </w:t>
      </w:r>
      <w:r w:rsidRPr="008704BD">
        <w:rPr>
          <w:rFonts w:ascii="Times New Roman" w:hAnsi="Times New Roman"/>
          <w:noProof/>
          <w:sz w:val="24"/>
          <w:lang w:val="en-GB"/>
        </w:rPr>
        <w:t xml:space="preserve">that there are already reporting </w:t>
      </w:r>
      <w:r w:rsidR="44D17378" w:rsidRPr="008704BD">
        <w:rPr>
          <w:rFonts w:ascii="Times New Roman" w:hAnsi="Times New Roman"/>
          <w:noProof/>
          <w:sz w:val="24"/>
          <w:lang w:val="en-GB"/>
        </w:rPr>
        <w:t>obligations</w:t>
      </w:r>
      <w:r w:rsidRPr="008704BD">
        <w:rPr>
          <w:rFonts w:ascii="Times New Roman" w:hAnsi="Times New Roman"/>
          <w:noProof/>
          <w:sz w:val="24"/>
          <w:lang w:val="en-GB"/>
        </w:rPr>
        <w:t xml:space="preserve"> </w:t>
      </w:r>
      <w:r w:rsidR="2D880A0C" w:rsidRPr="008704BD">
        <w:rPr>
          <w:rFonts w:ascii="Times New Roman" w:hAnsi="Times New Roman"/>
          <w:noProof/>
          <w:sz w:val="24"/>
          <w:lang w:val="en-GB"/>
        </w:rPr>
        <w:t xml:space="preserve">on financial </w:t>
      </w:r>
      <w:r w:rsidRPr="008704BD">
        <w:rPr>
          <w:rFonts w:ascii="Times New Roman" w:hAnsi="Times New Roman"/>
          <w:noProof/>
          <w:sz w:val="24"/>
          <w:lang w:val="en-GB"/>
        </w:rPr>
        <w:t xml:space="preserve">institutions and certain assets, but they are clearly not sufficient. </w:t>
      </w:r>
      <w:r w:rsidR="098E47FC" w:rsidRPr="008704BD">
        <w:rPr>
          <w:rFonts w:ascii="Times New Roman" w:hAnsi="Times New Roman"/>
          <w:noProof/>
          <w:sz w:val="24"/>
          <w:lang w:val="en-GB"/>
        </w:rPr>
        <w:t xml:space="preserve">The existing </w:t>
      </w:r>
      <w:r w:rsidR="098E47FC" w:rsidRPr="008704BD">
        <w:rPr>
          <w:rFonts w:ascii="Times New Roman" w:hAnsi="Times New Roman"/>
          <w:b/>
          <w:noProof/>
          <w:sz w:val="24"/>
          <w:lang w:val="en-GB"/>
        </w:rPr>
        <w:t>provisions of DAC</w:t>
      </w:r>
      <w:r w:rsidR="11ED4095" w:rsidRPr="008704BD">
        <w:rPr>
          <w:rFonts w:ascii="Times New Roman" w:hAnsi="Times New Roman"/>
          <w:b/>
          <w:noProof/>
          <w:sz w:val="24"/>
          <w:lang w:val="en-GB"/>
        </w:rPr>
        <w:t>2</w:t>
      </w:r>
      <w:r w:rsidR="098E47FC" w:rsidRPr="008704BD">
        <w:rPr>
          <w:rFonts w:ascii="Times New Roman" w:hAnsi="Times New Roman"/>
          <w:noProof/>
          <w:sz w:val="24"/>
          <w:lang w:val="en-GB"/>
        </w:rPr>
        <w:t xml:space="preserve"> </w:t>
      </w:r>
      <w:r w:rsidR="730B6974" w:rsidRPr="008704BD">
        <w:rPr>
          <w:rFonts w:ascii="Times New Roman" w:hAnsi="Times New Roman"/>
          <w:noProof/>
          <w:sz w:val="24"/>
          <w:lang w:val="en-GB"/>
        </w:rPr>
        <w:t>lay down</w:t>
      </w:r>
      <w:r w:rsidR="098E47FC" w:rsidRPr="008704BD">
        <w:rPr>
          <w:rFonts w:ascii="Times New Roman" w:hAnsi="Times New Roman"/>
          <w:noProof/>
          <w:sz w:val="24"/>
          <w:lang w:val="en-GB"/>
        </w:rPr>
        <w:t xml:space="preserve"> an obligation for financial intermediaries to report</w:t>
      </w:r>
      <w:r w:rsidR="363CBE43" w:rsidRPr="008704BD">
        <w:rPr>
          <w:rFonts w:ascii="Times New Roman" w:hAnsi="Times New Roman"/>
          <w:noProof/>
          <w:sz w:val="24"/>
          <w:lang w:val="en-GB"/>
        </w:rPr>
        <w:t xml:space="preserve"> financial account information</w:t>
      </w:r>
      <w:r w:rsidR="098E47FC" w:rsidRPr="008704BD">
        <w:rPr>
          <w:rFonts w:ascii="Times New Roman" w:hAnsi="Times New Roman"/>
          <w:noProof/>
          <w:sz w:val="24"/>
          <w:lang w:val="en-GB"/>
        </w:rPr>
        <w:t xml:space="preserve"> to tax administrations </w:t>
      </w:r>
      <w:r w:rsidR="78026052" w:rsidRPr="008704BD">
        <w:rPr>
          <w:rFonts w:ascii="Times New Roman" w:hAnsi="Times New Roman"/>
          <w:noProof/>
          <w:sz w:val="24"/>
          <w:lang w:val="en-GB"/>
        </w:rPr>
        <w:t xml:space="preserve">that </w:t>
      </w:r>
      <w:r w:rsidR="35402DEC" w:rsidRPr="008704BD">
        <w:rPr>
          <w:rFonts w:ascii="Times New Roman" w:hAnsi="Times New Roman"/>
          <w:noProof/>
          <w:sz w:val="24"/>
          <w:lang w:val="en-GB"/>
        </w:rPr>
        <w:t>are then required</w:t>
      </w:r>
      <w:r w:rsidR="363CBE43" w:rsidRPr="008704BD">
        <w:rPr>
          <w:rFonts w:ascii="Times New Roman" w:hAnsi="Times New Roman"/>
          <w:noProof/>
          <w:sz w:val="24"/>
          <w:lang w:val="en-GB"/>
        </w:rPr>
        <w:t xml:space="preserve"> to exchange</w:t>
      </w:r>
      <w:r w:rsidR="7FAF5175" w:rsidRPr="008704BD">
        <w:rPr>
          <w:rFonts w:ascii="Times New Roman" w:hAnsi="Times New Roman"/>
          <w:noProof/>
          <w:sz w:val="24"/>
          <w:lang w:val="en-GB"/>
        </w:rPr>
        <w:t xml:space="preserve"> this information</w:t>
      </w:r>
      <w:r w:rsidR="363CBE43" w:rsidRPr="008704BD">
        <w:rPr>
          <w:rFonts w:ascii="Times New Roman" w:hAnsi="Times New Roman"/>
          <w:noProof/>
          <w:sz w:val="24"/>
          <w:lang w:val="en-GB"/>
        </w:rPr>
        <w:t xml:space="preserve"> with other relevant</w:t>
      </w:r>
      <w:r w:rsidR="730B6974" w:rsidRPr="008704BD">
        <w:rPr>
          <w:rFonts w:ascii="Times New Roman" w:hAnsi="Times New Roman"/>
          <w:noProof/>
          <w:sz w:val="24"/>
          <w:lang w:val="en-GB"/>
        </w:rPr>
        <w:t xml:space="preserve"> Member States</w:t>
      </w:r>
      <w:r w:rsidR="098E47FC" w:rsidRPr="008704BD">
        <w:rPr>
          <w:rFonts w:ascii="Times New Roman" w:hAnsi="Times New Roman"/>
          <w:noProof/>
          <w:sz w:val="24"/>
          <w:lang w:val="en-GB"/>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F324B26" w14:textId="77777777" w:rsidR="00DD1A36" w:rsidRPr="008704BD" w:rsidRDefault="510B1C5E" w:rsidP="004944AB">
      <w:pPr>
        <w:spacing w:after="200" w:line="240" w:lineRule="auto"/>
        <w:jc w:val="both"/>
        <w:rPr>
          <w:rFonts w:ascii="Times New Roman" w:hAnsi="Times New Roman"/>
          <w:noProof/>
          <w:sz w:val="24"/>
          <w:lang w:val="en-GB"/>
        </w:rPr>
      </w:pPr>
      <w:r w:rsidRPr="008704BD">
        <w:rPr>
          <w:rFonts w:ascii="Times New Roman" w:hAnsi="Times New Roman"/>
          <w:noProof/>
          <w:sz w:val="24"/>
          <w:lang w:val="en-GB"/>
        </w:rPr>
        <w:t>Crypto</w:t>
      </w:r>
      <w:r w:rsidR="11ADE085" w:rsidRPr="008704BD">
        <w:rPr>
          <w:rFonts w:ascii="Times New Roman" w:hAnsi="Times New Roman"/>
          <w:noProof/>
          <w:sz w:val="24"/>
          <w:lang w:val="en-GB"/>
        </w:rPr>
        <w:t>-</w:t>
      </w:r>
      <w:r w:rsidRPr="008704BD">
        <w:rPr>
          <w:rFonts w:ascii="Times New Roman" w:hAnsi="Times New Roman"/>
          <w:noProof/>
          <w:sz w:val="24"/>
          <w:lang w:val="en-GB"/>
        </w:rPr>
        <w:t xml:space="preserve">assets are currently </w:t>
      </w:r>
      <w:r w:rsidR="10AD1623" w:rsidRPr="008704BD">
        <w:rPr>
          <w:rFonts w:ascii="Times New Roman" w:hAnsi="Times New Roman"/>
          <w:noProof/>
          <w:sz w:val="24"/>
          <w:lang w:val="en-GB"/>
        </w:rPr>
        <w:t xml:space="preserve">not </w:t>
      </w:r>
      <w:r w:rsidR="000E318E" w:rsidRPr="008704BD">
        <w:rPr>
          <w:rFonts w:ascii="Times New Roman" w:hAnsi="Times New Roman"/>
          <w:noProof/>
          <w:sz w:val="24"/>
          <w:lang w:val="en-GB"/>
        </w:rPr>
        <w:t xml:space="preserve">considered a reportable information under DAC2 and thus </w:t>
      </w:r>
      <w:r w:rsidRPr="008704BD">
        <w:rPr>
          <w:rFonts w:ascii="Times New Roman" w:hAnsi="Times New Roman"/>
          <w:noProof/>
          <w:sz w:val="24"/>
          <w:lang w:val="en-GB"/>
        </w:rPr>
        <w:t xml:space="preserve">within </w:t>
      </w:r>
      <w:r w:rsidR="000E318E" w:rsidRPr="008704BD">
        <w:rPr>
          <w:rFonts w:ascii="Times New Roman" w:hAnsi="Times New Roman"/>
          <w:noProof/>
          <w:sz w:val="24"/>
          <w:lang w:val="en-GB"/>
        </w:rPr>
        <w:t xml:space="preserve">its </w:t>
      </w:r>
      <w:r w:rsidRPr="008704BD">
        <w:rPr>
          <w:rFonts w:ascii="Times New Roman" w:hAnsi="Times New Roman"/>
          <w:noProof/>
          <w:sz w:val="24"/>
          <w:lang w:val="en-GB"/>
        </w:rPr>
        <w:t xml:space="preserve">scope </w:t>
      </w:r>
      <w:r w:rsidR="6CC52678" w:rsidRPr="008704BD">
        <w:rPr>
          <w:rFonts w:ascii="Times New Roman" w:hAnsi="Times New Roman"/>
          <w:noProof/>
          <w:sz w:val="24"/>
          <w:lang w:val="en-GB"/>
        </w:rPr>
        <w:t>(or its equivalent at the international level, the Common Reporting Standard</w:t>
      </w:r>
      <w:r w:rsidR="00DA743B" w:rsidRPr="008704BD">
        <w:rPr>
          <w:rFonts w:ascii="Times New Roman" w:hAnsi="Times New Roman"/>
          <w:noProof/>
          <w:sz w:val="24"/>
          <w:lang w:val="en-GB"/>
        </w:rPr>
        <w:t xml:space="preserve"> or</w:t>
      </w:r>
      <w:r w:rsidR="6CC52678" w:rsidRPr="008704BD" w:rsidDel="00DA743B">
        <w:rPr>
          <w:rFonts w:ascii="Times New Roman" w:hAnsi="Times New Roman"/>
          <w:noProof/>
          <w:sz w:val="24"/>
          <w:lang w:val="en-GB"/>
        </w:rPr>
        <w:t xml:space="preserve"> </w:t>
      </w:r>
      <w:r w:rsidR="10AD1623" w:rsidRPr="008704BD">
        <w:rPr>
          <w:rFonts w:ascii="Times New Roman" w:hAnsi="Times New Roman"/>
          <w:noProof/>
          <w:sz w:val="24"/>
          <w:lang w:val="en-GB"/>
        </w:rPr>
        <w:t>CRS</w:t>
      </w:r>
      <w:r w:rsidR="77F31775" w:rsidRPr="008704BD">
        <w:rPr>
          <w:rFonts w:ascii="Times New Roman" w:hAnsi="Times New Roman"/>
          <w:noProof/>
          <w:sz w:val="24"/>
          <w:lang w:val="en-GB"/>
        </w:rPr>
        <w:t>)</w:t>
      </w:r>
      <w:r w:rsidR="3AD0BAF3" w:rsidRPr="008704BD">
        <w:rPr>
          <w:rFonts w:ascii="Times New Roman" w:hAnsi="Times New Roman"/>
          <w:noProof/>
          <w:sz w:val="24"/>
          <w:lang w:val="en-GB"/>
        </w:rPr>
        <w:t>. The</w:t>
      </w:r>
      <w:r w:rsidR="1440C94A" w:rsidRPr="008704BD">
        <w:rPr>
          <w:rFonts w:ascii="Times New Roman" w:hAnsi="Times New Roman"/>
          <w:noProof/>
          <w:sz w:val="24"/>
          <w:lang w:val="en-GB"/>
        </w:rPr>
        <w:t>y</w:t>
      </w:r>
      <w:r w:rsidRPr="008704BD">
        <w:rPr>
          <w:rFonts w:ascii="Times New Roman" w:hAnsi="Times New Roman"/>
          <w:noProof/>
          <w:sz w:val="24"/>
          <w:lang w:val="en-GB"/>
        </w:rPr>
        <w:t xml:space="preserve"> nei</w:t>
      </w:r>
      <w:r w:rsidR="006D0EE0" w:rsidRPr="008704BD">
        <w:rPr>
          <w:rFonts w:ascii="Times New Roman" w:hAnsi="Times New Roman"/>
          <w:noProof/>
          <w:sz w:val="24"/>
          <w:lang w:val="en-GB"/>
        </w:rPr>
        <w:t>ther represent money held in a depository a</w:t>
      </w:r>
      <w:r w:rsidRPr="008704BD">
        <w:rPr>
          <w:rFonts w:ascii="Times New Roman" w:hAnsi="Times New Roman"/>
          <w:noProof/>
          <w:sz w:val="24"/>
          <w:lang w:val="en-GB"/>
        </w:rPr>
        <w:t>ccount</w:t>
      </w:r>
      <w:r w:rsidR="00FD3B6D" w:rsidRPr="008704BD">
        <w:rPr>
          <w:rFonts w:ascii="Times New Roman" w:hAnsi="Times New Roman"/>
          <w:noProof/>
          <w:sz w:val="24"/>
          <w:lang w:val="en-GB"/>
        </w:rPr>
        <w:t>s</w:t>
      </w:r>
      <w:r w:rsidR="006D0EE0" w:rsidRPr="008704BD">
        <w:rPr>
          <w:rFonts w:ascii="Times New Roman" w:hAnsi="Times New Roman"/>
          <w:noProof/>
          <w:sz w:val="24"/>
          <w:lang w:val="en-GB"/>
        </w:rPr>
        <w:t xml:space="preserve"> or in financial a</w:t>
      </w:r>
      <w:r w:rsidRPr="008704BD">
        <w:rPr>
          <w:rFonts w:ascii="Times New Roman" w:hAnsi="Times New Roman"/>
          <w:noProof/>
          <w:sz w:val="24"/>
          <w:lang w:val="en-GB"/>
        </w:rPr>
        <w:t>sset</w:t>
      </w:r>
      <w:r w:rsidR="00FD3B6D" w:rsidRPr="008704BD">
        <w:rPr>
          <w:rFonts w:ascii="Times New Roman" w:hAnsi="Times New Roman"/>
          <w:noProof/>
          <w:sz w:val="24"/>
          <w:lang w:val="en-GB"/>
        </w:rPr>
        <w:t>s</w:t>
      </w:r>
      <w:r w:rsidRPr="008704BD">
        <w:rPr>
          <w:rFonts w:ascii="Times New Roman" w:hAnsi="Times New Roman"/>
          <w:noProof/>
          <w:sz w:val="24"/>
          <w:lang w:val="en-GB"/>
        </w:rPr>
        <w:t xml:space="preserve"> as they are not considered </w:t>
      </w:r>
      <w:r w:rsidR="408F2EBC" w:rsidRPr="008704BD">
        <w:rPr>
          <w:rFonts w:ascii="Times New Roman" w:hAnsi="Times New Roman"/>
          <w:noProof/>
          <w:sz w:val="24"/>
          <w:lang w:val="en-GB"/>
        </w:rPr>
        <w:t xml:space="preserve">a </w:t>
      </w:r>
      <w:r w:rsidRPr="008704BD">
        <w:rPr>
          <w:rFonts w:ascii="Times New Roman" w:hAnsi="Times New Roman"/>
          <w:noProof/>
          <w:sz w:val="24"/>
          <w:lang w:val="en-GB"/>
        </w:rPr>
        <w:t xml:space="preserve">commodity or security under the domestic law of </w:t>
      </w:r>
      <w:r w:rsidR="10AD1623" w:rsidRPr="008704BD">
        <w:rPr>
          <w:rFonts w:ascii="Times New Roman" w:hAnsi="Times New Roman"/>
          <w:noProof/>
          <w:sz w:val="24"/>
          <w:lang w:val="en-GB"/>
        </w:rPr>
        <w:t>most</w:t>
      </w:r>
      <w:r w:rsidRPr="008704BD">
        <w:rPr>
          <w:rFonts w:ascii="Times New Roman" w:hAnsi="Times New Roman"/>
          <w:noProof/>
          <w:sz w:val="24"/>
          <w:lang w:val="en-GB"/>
        </w:rPr>
        <w:t xml:space="preserve"> Member</w:t>
      </w:r>
      <w:r w:rsidR="10AD1623" w:rsidRPr="008704BD">
        <w:rPr>
          <w:rFonts w:ascii="Times New Roman" w:hAnsi="Times New Roman"/>
          <w:noProof/>
          <w:sz w:val="24"/>
          <w:lang w:val="en-GB"/>
        </w:rPr>
        <w:t xml:space="preserve"> </w:t>
      </w:r>
      <w:r w:rsidRPr="008704BD">
        <w:rPr>
          <w:rFonts w:ascii="Times New Roman" w:hAnsi="Times New Roman"/>
          <w:noProof/>
          <w:sz w:val="24"/>
          <w:lang w:val="en-GB"/>
        </w:rPr>
        <w:t xml:space="preserve">States. </w:t>
      </w:r>
      <w:r w:rsidR="506FCE3D" w:rsidRPr="008704BD">
        <w:rPr>
          <w:rFonts w:ascii="Times New Roman" w:hAnsi="Times New Roman"/>
          <w:noProof/>
          <w:sz w:val="24"/>
          <w:lang w:val="en-GB"/>
        </w:rPr>
        <w:t xml:space="preserve">In addition, crypto-asset service providers are in most cases not considered to be covered by the existing definition of “financial institutions” </w:t>
      </w:r>
      <w:r w:rsidR="004A16F0" w:rsidRPr="008704BD">
        <w:rPr>
          <w:rFonts w:ascii="Times New Roman" w:hAnsi="Times New Roman"/>
          <w:noProof/>
          <w:sz w:val="24"/>
          <w:lang w:val="en-GB"/>
        </w:rPr>
        <w:t>under</w:t>
      </w:r>
      <w:r w:rsidR="506FCE3D" w:rsidRPr="008704BD">
        <w:rPr>
          <w:rFonts w:ascii="Times New Roman" w:hAnsi="Times New Roman"/>
          <w:noProof/>
          <w:sz w:val="24"/>
          <w:lang w:val="en-GB"/>
        </w:rPr>
        <w:t xml:space="preserve"> DAC</w:t>
      </w:r>
      <w:r w:rsidR="004A16F0" w:rsidRPr="008704BD">
        <w:rPr>
          <w:rFonts w:ascii="Times New Roman" w:hAnsi="Times New Roman"/>
          <w:noProof/>
          <w:sz w:val="24"/>
          <w:lang w:val="en-GB"/>
        </w:rPr>
        <w:t>2</w:t>
      </w:r>
      <w:r w:rsidR="506FCE3D" w:rsidRPr="008704BD">
        <w:rPr>
          <w:rFonts w:ascii="Times New Roman" w:hAnsi="Times New Roman"/>
          <w:noProof/>
          <w:sz w:val="24"/>
          <w:lang w:val="en-GB"/>
        </w:rPr>
        <w:t xml:space="preserve">. </w:t>
      </w:r>
      <w:r w:rsidRPr="008704BD">
        <w:rPr>
          <w:rFonts w:ascii="Times New Roman" w:hAnsi="Times New Roman"/>
          <w:noProof/>
          <w:sz w:val="24"/>
          <w:lang w:val="en-GB"/>
        </w:rPr>
        <w:t xml:space="preserve">Currently, </w:t>
      </w:r>
      <w:r w:rsidR="46A6E55C" w:rsidRPr="008704BD">
        <w:rPr>
          <w:rFonts w:ascii="Times New Roman" w:hAnsi="Times New Roman"/>
          <w:noProof/>
          <w:sz w:val="24"/>
          <w:lang w:val="en-GB"/>
        </w:rPr>
        <w:t>t</w:t>
      </w:r>
      <w:r w:rsidRPr="008704BD">
        <w:rPr>
          <w:rFonts w:ascii="Times New Roman" w:hAnsi="Times New Roman"/>
          <w:noProof/>
          <w:sz w:val="24"/>
          <w:lang w:val="en-GB"/>
        </w:rPr>
        <w:t xml:space="preserve">ax administrations have few </w:t>
      </w:r>
      <w:r w:rsidR="00FD3B6D" w:rsidRPr="008704BD">
        <w:rPr>
          <w:rFonts w:ascii="Times New Roman" w:hAnsi="Times New Roman"/>
          <w:noProof/>
          <w:sz w:val="24"/>
          <w:lang w:val="en-GB"/>
        </w:rPr>
        <w:t>tools</w:t>
      </w:r>
      <w:r w:rsidRPr="008704BD">
        <w:rPr>
          <w:rFonts w:ascii="Times New Roman" w:hAnsi="Times New Roman"/>
          <w:noProof/>
          <w:sz w:val="24"/>
          <w:lang w:val="en-GB"/>
        </w:rPr>
        <w:t xml:space="preserve"> available to verify whether the proceeds earned through </w:t>
      </w:r>
      <w:r w:rsidR="480703E7" w:rsidRPr="008704BD">
        <w:rPr>
          <w:rFonts w:ascii="Times New Roman" w:hAnsi="Times New Roman"/>
          <w:noProof/>
          <w:sz w:val="24"/>
          <w:lang w:val="en-GB"/>
        </w:rPr>
        <w:t xml:space="preserve">investments in </w:t>
      </w:r>
      <w:r w:rsidR="37D10057" w:rsidRPr="008704BD">
        <w:rPr>
          <w:rFonts w:ascii="Times New Roman" w:hAnsi="Times New Roman"/>
          <w:noProof/>
          <w:sz w:val="24"/>
          <w:lang w:val="en-GB"/>
        </w:rPr>
        <w:t>crypto-</w:t>
      </w:r>
      <w:r w:rsidRPr="008704BD">
        <w:rPr>
          <w:rFonts w:ascii="Times New Roman" w:hAnsi="Times New Roman"/>
          <w:noProof/>
          <w:sz w:val="24"/>
          <w:lang w:val="en-GB"/>
        </w:rPr>
        <w:t xml:space="preserve">assets are </w:t>
      </w:r>
      <w:r w:rsidR="002F39DF" w:rsidRPr="008704BD">
        <w:rPr>
          <w:rFonts w:ascii="Times New Roman" w:hAnsi="Times New Roman"/>
          <w:noProof/>
          <w:sz w:val="24"/>
          <w:lang w:val="en-GB"/>
        </w:rPr>
        <w:t xml:space="preserve">properly </w:t>
      </w:r>
      <w:r w:rsidRPr="008704BD">
        <w:rPr>
          <w:rFonts w:ascii="Times New Roman" w:hAnsi="Times New Roman"/>
          <w:noProof/>
          <w:sz w:val="24"/>
          <w:lang w:val="en-GB"/>
        </w:rPr>
        <w:t xml:space="preserve">declared and, if so, whether the </w:t>
      </w:r>
      <w:r w:rsidR="2D5E7E90" w:rsidRPr="008704BD">
        <w:rPr>
          <w:rFonts w:ascii="Times New Roman" w:hAnsi="Times New Roman"/>
          <w:noProof/>
          <w:sz w:val="24"/>
          <w:lang w:val="en-GB"/>
        </w:rPr>
        <w:t xml:space="preserve">correct </w:t>
      </w:r>
      <w:r w:rsidRPr="008704BD">
        <w:rPr>
          <w:rFonts w:ascii="Times New Roman" w:hAnsi="Times New Roman"/>
          <w:noProof/>
          <w:sz w:val="24"/>
          <w:lang w:val="en-GB"/>
        </w:rPr>
        <w:t xml:space="preserve">amount </w:t>
      </w:r>
      <w:r w:rsidR="57802D27" w:rsidRPr="008704BD">
        <w:rPr>
          <w:rFonts w:ascii="Times New Roman" w:hAnsi="Times New Roman"/>
          <w:noProof/>
          <w:sz w:val="24"/>
          <w:lang w:val="en-GB"/>
        </w:rPr>
        <w:t>has been declared</w:t>
      </w:r>
      <w:r w:rsidRPr="008704BD">
        <w:rPr>
          <w:rFonts w:ascii="Times New Roman" w:hAnsi="Times New Roman"/>
          <w:noProof/>
          <w:sz w:val="24"/>
          <w:lang w:val="en-GB"/>
        </w:rPr>
        <w:t>. As pointed out by the European Parliament, “defining tax bases requires being in possession of a full picture of a taxpayer’s situation”</w:t>
      </w:r>
      <w:r w:rsidR="00696792" w:rsidRPr="008704BD">
        <w:rPr>
          <w:rFonts w:ascii="Times New Roman" w:hAnsi="Times New Roman"/>
          <w:noProof/>
          <w:sz w:val="24"/>
          <w:lang w:val="en-GB"/>
        </w:rPr>
        <w:t>.</w:t>
      </w:r>
      <w:r w:rsidR="00DD1A36" w:rsidRPr="008704BD">
        <w:rPr>
          <w:rFonts w:ascii="Times New Roman" w:hAnsi="Times New Roman"/>
          <w:noProof/>
          <w:sz w:val="24"/>
          <w:vertAlign w:val="superscript"/>
          <w:lang w:val="en-GB"/>
        </w:rPr>
        <w:footnoteReference w:id="18"/>
      </w:r>
      <w:r w:rsidRPr="008704BD">
        <w:rPr>
          <w:rFonts w:ascii="Times New Roman" w:hAnsi="Times New Roman"/>
          <w:noProof/>
          <w:sz w:val="24"/>
          <w:lang w:val="en-GB"/>
        </w:rPr>
        <w:t xml:space="preserve"> </w:t>
      </w:r>
      <w:r w:rsidR="172EAD3E" w:rsidRPr="008704BD">
        <w:rPr>
          <w:rFonts w:ascii="Times New Roman" w:hAnsi="Times New Roman"/>
          <w:noProof/>
          <w:sz w:val="24"/>
          <w:lang w:val="en-GB"/>
        </w:rPr>
        <w:t xml:space="preserve">Consequently, </w:t>
      </w:r>
      <w:r w:rsidR="002F39DF" w:rsidRPr="008704BD">
        <w:rPr>
          <w:rFonts w:ascii="Times New Roman" w:hAnsi="Times New Roman"/>
          <w:noProof/>
          <w:sz w:val="24"/>
          <w:lang w:val="en-GB"/>
        </w:rPr>
        <w:t xml:space="preserve">there might be an incentive to </w:t>
      </w:r>
      <w:r w:rsidR="172EAD3E" w:rsidRPr="008704BD">
        <w:rPr>
          <w:rFonts w:ascii="Times New Roman" w:hAnsi="Times New Roman"/>
          <w:noProof/>
          <w:sz w:val="24"/>
          <w:lang w:val="en-GB"/>
        </w:rPr>
        <w:t xml:space="preserve">invest in crypto-assets rather than in traditional financial products </w:t>
      </w:r>
      <w:r w:rsidR="00FD3B6D" w:rsidRPr="008704BD">
        <w:rPr>
          <w:rFonts w:ascii="Times New Roman" w:hAnsi="Times New Roman"/>
          <w:noProof/>
          <w:sz w:val="24"/>
          <w:lang w:val="en-GB"/>
        </w:rPr>
        <w:t xml:space="preserve">with the aim </w:t>
      </w:r>
      <w:r w:rsidR="172EAD3E" w:rsidRPr="008704BD">
        <w:rPr>
          <w:rFonts w:ascii="Times New Roman" w:hAnsi="Times New Roman"/>
          <w:noProof/>
          <w:sz w:val="24"/>
          <w:lang w:val="en-GB"/>
        </w:rPr>
        <w:t xml:space="preserve">to avoid DAC2/CRS reporting. </w:t>
      </w:r>
    </w:p>
    <w:p w14:paraId="0779D0CB" w14:textId="77777777" w:rsidR="0034759C" w:rsidRPr="008704BD" w:rsidRDefault="0034759C" w:rsidP="007167E9">
      <w:pPr>
        <w:jc w:val="both"/>
        <w:rPr>
          <w:rFonts w:ascii="Times New Roman" w:hAnsi="Times New Roman"/>
          <w:noProof/>
          <w:sz w:val="24"/>
          <w:lang w:val="en-GB"/>
        </w:rPr>
      </w:pPr>
      <w:r w:rsidRPr="008704BD">
        <w:rPr>
          <w:rFonts w:ascii="Times New Roman" w:hAnsi="Times New Roman"/>
          <w:noProof/>
          <w:sz w:val="24"/>
          <w:lang w:val="en-GB"/>
        </w:rPr>
        <w:t xml:space="preserve">National tax administrations may use the information </w:t>
      </w:r>
      <w:r w:rsidR="00FD3B6D" w:rsidRPr="008704BD">
        <w:rPr>
          <w:rFonts w:ascii="Times New Roman" w:hAnsi="Times New Roman"/>
          <w:noProof/>
          <w:sz w:val="24"/>
          <w:lang w:val="en-GB"/>
        </w:rPr>
        <w:t xml:space="preserve">received </w:t>
      </w:r>
      <w:r w:rsidRPr="008704BD">
        <w:rPr>
          <w:rFonts w:ascii="Times New Roman" w:hAnsi="Times New Roman"/>
          <w:noProof/>
          <w:sz w:val="24"/>
          <w:lang w:val="en-GB"/>
        </w:rPr>
        <w:t xml:space="preserve">related to crypto-assets through the exchange of information </w:t>
      </w:r>
      <w:r w:rsidR="00CD7D7A" w:rsidRPr="008704BD">
        <w:rPr>
          <w:rFonts w:ascii="Times New Roman" w:hAnsi="Times New Roman"/>
          <w:noProof/>
          <w:sz w:val="24"/>
          <w:lang w:val="en-GB"/>
        </w:rPr>
        <w:t xml:space="preserve">proposed </w:t>
      </w:r>
      <w:r w:rsidRPr="008704BD">
        <w:rPr>
          <w:rFonts w:ascii="Times New Roman" w:hAnsi="Times New Roman"/>
          <w:noProof/>
          <w:sz w:val="24"/>
          <w:lang w:val="en-GB"/>
        </w:rPr>
        <w:t>under</w:t>
      </w:r>
      <w:r w:rsidR="00CD7D7A" w:rsidRPr="008704BD">
        <w:rPr>
          <w:rFonts w:ascii="Times New Roman" w:hAnsi="Times New Roman"/>
          <w:noProof/>
          <w:sz w:val="24"/>
          <w:lang w:val="en-GB"/>
        </w:rPr>
        <w:t xml:space="preserve"> this initiative</w:t>
      </w:r>
      <w:r w:rsidRPr="008704BD" w:rsidDel="00CD7D7A">
        <w:rPr>
          <w:rFonts w:ascii="Times New Roman" w:hAnsi="Times New Roman"/>
          <w:noProof/>
          <w:sz w:val="24"/>
          <w:lang w:val="en-GB"/>
        </w:rPr>
        <w:t xml:space="preserve"> </w:t>
      </w:r>
      <w:r w:rsidRPr="008704BD">
        <w:rPr>
          <w:rFonts w:ascii="Times New Roman" w:hAnsi="Times New Roman"/>
          <w:noProof/>
          <w:sz w:val="24"/>
          <w:lang w:val="en-GB"/>
        </w:rPr>
        <w:t xml:space="preserve">for </w:t>
      </w:r>
      <w:r w:rsidR="00FD3B6D" w:rsidRPr="008704BD">
        <w:rPr>
          <w:rFonts w:ascii="Times New Roman" w:hAnsi="Times New Roman"/>
          <w:noProof/>
          <w:sz w:val="24"/>
          <w:lang w:val="en-GB"/>
        </w:rPr>
        <w:t>a range of</w:t>
      </w:r>
      <w:r w:rsidR="413A661F" w:rsidRPr="008704BD">
        <w:rPr>
          <w:rFonts w:ascii="Times New Roman" w:hAnsi="Times New Roman"/>
          <w:noProof/>
          <w:sz w:val="24"/>
          <w:lang w:val="en-GB"/>
        </w:rPr>
        <w:t xml:space="preserve"> purposes, such as imposing taxes, </w:t>
      </w:r>
      <w:r w:rsidR="00FD3B6D" w:rsidRPr="008704BD">
        <w:rPr>
          <w:rFonts w:ascii="Times New Roman" w:hAnsi="Times New Roman"/>
          <w:noProof/>
          <w:sz w:val="24"/>
          <w:lang w:val="en-GB"/>
        </w:rPr>
        <w:t xml:space="preserve">conducting </w:t>
      </w:r>
      <w:r w:rsidR="413A661F" w:rsidRPr="008704BD">
        <w:rPr>
          <w:rFonts w:ascii="Times New Roman" w:hAnsi="Times New Roman"/>
          <w:noProof/>
          <w:sz w:val="24"/>
          <w:lang w:val="en-GB"/>
        </w:rPr>
        <w:t xml:space="preserve">risk-assessments and tax audits relating to different tax categories including indirect taxes like </w:t>
      </w:r>
      <w:r w:rsidR="00987F26" w:rsidRPr="008704BD">
        <w:rPr>
          <w:rFonts w:ascii="Times New Roman" w:hAnsi="Times New Roman"/>
          <w:noProof/>
          <w:sz w:val="24"/>
          <w:lang w:val="en-GB"/>
        </w:rPr>
        <w:t>Value Added Tax (</w:t>
      </w:r>
      <w:r w:rsidR="413A661F" w:rsidRPr="008704BD">
        <w:rPr>
          <w:rFonts w:ascii="Times New Roman" w:hAnsi="Times New Roman"/>
          <w:noProof/>
          <w:sz w:val="24"/>
          <w:lang w:val="en-GB"/>
        </w:rPr>
        <w:t>VAT</w:t>
      </w:r>
      <w:r w:rsidR="00987F26" w:rsidRPr="008704BD">
        <w:rPr>
          <w:rFonts w:ascii="Times New Roman" w:hAnsi="Times New Roman"/>
          <w:noProof/>
          <w:sz w:val="24"/>
          <w:lang w:val="en-GB"/>
        </w:rPr>
        <w:t>)</w:t>
      </w:r>
      <w:r w:rsidR="413A661F" w:rsidRPr="008704BD">
        <w:rPr>
          <w:rFonts w:ascii="Times New Roman" w:hAnsi="Times New Roman"/>
          <w:noProof/>
          <w:sz w:val="24"/>
          <w:lang w:val="en-GB"/>
        </w:rPr>
        <w:t>. The most relevant tax for the calculation of the benefits derived from this proposal are linked to income tax due to the potential capital gains that taxpayers may obtain.</w:t>
      </w:r>
    </w:p>
    <w:p w14:paraId="674BA302" w14:textId="77777777" w:rsidR="00974A94" w:rsidRPr="008704BD" w:rsidRDefault="0E3C90CD" w:rsidP="1314CC47">
      <w:pPr>
        <w:pStyle w:val="Default"/>
        <w:jc w:val="both"/>
        <w:rPr>
          <w:rFonts w:ascii="Times New Roman" w:eastAsiaTheme="minorEastAsia" w:hAnsi="Times New Roman"/>
          <w:noProof/>
          <w:color w:val="auto"/>
          <w:lang w:val="en-GB"/>
        </w:rPr>
      </w:pPr>
      <w:r w:rsidRPr="008704BD">
        <w:rPr>
          <w:rFonts w:ascii="Times New Roman" w:eastAsiaTheme="minorEastAsia" w:hAnsi="Times New Roman"/>
          <w:noProof/>
          <w:color w:val="auto"/>
          <w:lang w:val="en-GB"/>
        </w:rPr>
        <w:t xml:space="preserve">The consequences </w:t>
      </w:r>
      <w:r w:rsidR="278A7860" w:rsidRPr="008704BD">
        <w:rPr>
          <w:rFonts w:ascii="Times New Roman" w:eastAsiaTheme="minorEastAsia" w:hAnsi="Times New Roman"/>
          <w:noProof/>
          <w:color w:val="auto"/>
          <w:lang w:val="en-GB"/>
        </w:rPr>
        <w:t xml:space="preserve">of </w:t>
      </w:r>
      <w:r w:rsidRPr="008704BD">
        <w:rPr>
          <w:rFonts w:ascii="Times New Roman" w:eastAsiaTheme="minorEastAsia" w:hAnsi="Times New Roman"/>
          <w:noProof/>
          <w:color w:val="auto"/>
          <w:lang w:val="en-GB"/>
        </w:rPr>
        <w:t>t</w:t>
      </w:r>
      <w:r w:rsidR="5573E590" w:rsidRPr="008704BD">
        <w:rPr>
          <w:rFonts w:ascii="Times New Roman" w:eastAsiaTheme="minorEastAsia" w:hAnsi="Times New Roman"/>
          <w:noProof/>
          <w:color w:val="auto"/>
          <w:lang w:val="en-GB"/>
        </w:rPr>
        <w:t xml:space="preserve">he lack of reporting </w:t>
      </w:r>
      <w:r w:rsidR="371FF6ED" w:rsidRPr="008704BD">
        <w:rPr>
          <w:rFonts w:ascii="Times New Roman" w:eastAsiaTheme="minorEastAsia" w:hAnsi="Times New Roman"/>
          <w:noProof/>
          <w:color w:val="auto"/>
          <w:lang w:val="en-GB"/>
        </w:rPr>
        <w:t xml:space="preserve">and exchange </w:t>
      </w:r>
      <w:r w:rsidR="39C7AF0D" w:rsidRPr="008704BD">
        <w:rPr>
          <w:rFonts w:ascii="Times New Roman" w:eastAsiaTheme="minorEastAsia" w:hAnsi="Times New Roman"/>
          <w:noProof/>
          <w:color w:val="auto"/>
          <w:lang w:val="en-GB"/>
        </w:rPr>
        <w:t xml:space="preserve">of information </w:t>
      </w:r>
      <w:r w:rsidR="27A1F21B" w:rsidRPr="008704BD">
        <w:rPr>
          <w:rFonts w:ascii="Times New Roman" w:eastAsiaTheme="minorEastAsia" w:hAnsi="Times New Roman"/>
          <w:noProof/>
          <w:color w:val="auto"/>
          <w:lang w:val="en-GB"/>
        </w:rPr>
        <w:t>on</w:t>
      </w:r>
      <w:r w:rsidR="63E703DF" w:rsidRPr="008704BD">
        <w:rPr>
          <w:rFonts w:ascii="Times New Roman" w:eastAsiaTheme="minorEastAsia" w:hAnsi="Times New Roman"/>
          <w:noProof/>
          <w:color w:val="auto"/>
          <w:lang w:val="en-GB"/>
        </w:rPr>
        <w:t xml:space="preserve"> </w:t>
      </w:r>
      <w:r w:rsidR="678F3920" w:rsidRPr="008704BD">
        <w:rPr>
          <w:rFonts w:ascii="Times New Roman" w:eastAsiaTheme="minorEastAsia" w:hAnsi="Times New Roman"/>
          <w:noProof/>
          <w:color w:val="auto"/>
          <w:lang w:val="en-GB"/>
        </w:rPr>
        <w:t>crypto-</w:t>
      </w:r>
      <w:r w:rsidR="5573E590" w:rsidRPr="008704BD">
        <w:rPr>
          <w:rFonts w:ascii="Times New Roman" w:eastAsiaTheme="minorEastAsia" w:hAnsi="Times New Roman"/>
          <w:noProof/>
          <w:color w:val="auto"/>
          <w:lang w:val="en-GB"/>
        </w:rPr>
        <w:t>assets indirectly affects all EU citizens and businesses. Tax</w:t>
      </w:r>
      <w:r w:rsidR="255B7F1C" w:rsidRPr="008704BD">
        <w:rPr>
          <w:rFonts w:ascii="Times New Roman" w:eastAsiaTheme="minorEastAsia" w:hAnsi="Times New Roman"/>
          <w:noProof/>
          <w:color w:val="auto"/>
          <w:lang w:val="en-GB"/>
        </w:rPr>
        <w:t xml:space="preserve"> </w:t>
      </w:r>
      <w:r w:rsidR="07884C93" w:rsidRPr="008704BD">
        <w:rPr>
          <w:rFonts w:ascii="Times New Roman" w:eastAsiaTheme="minorEastAsia" w:hAnsi="Times New Roman"/>
          <w:noProof/>
          <w:color w:val="auto"/>
          <w:lang w:val="en-GB"/>
        </w:rPr>
        <w:t xml:space="preserve">fraud, </w:t>
      </w:r>
      <w:r w:rsidR="255B7F1C" w:rsidRPr="008704BD">
        <w:rPr>
          <w:rFonts w:ascii="Times New Roman" w:eastAsiaTheme="minorEastAsia" w:hAnsi="Times New Roman"/>
          <w:noProof/>
          <w:color w:val="auto"/>
          <w:lang w:val="en-GB"/>
        </w:rPr>
        <w:t>evasion</w:t>
      </w:r>
      <w:r w:rsidR="07884C93" w:rsidRPr="008704BD">
        <w:rPr>
          <w:rFonts w:ascii="Times New Roman" w:eastAsiaTheme="minorEastAsia" w:hAnsi="Times New Roman"/>
          <w:noProof/>
          <w:color w:val="auto"/>
          <w:lang w:val="en-GB"/>
        </w:rPr>
        <w:t xml:space="preserve"> </w:t>
      </w:r>
      <w:r w:rsidR="255B7F1C" w:rsidRPr="008704BD">
        <w:rPr>
          <w:rFonts w:ascii="Times New Roman" w:eastAsiaTheme="minorEastAsia" w:hAnsi="Times New Roman"/>
          <w:noProof/>
          <w:color w:val="auto"/>
          <w:lang w:val="en-GB"/>
        </w:rPr>
        <w:t xml:space="preserve">and </w:t>
      </w:r>
      <w:r w:rsidR="5573E590" w:rsidRPr="008704BD">
        <w:rPr>
          <w:rFonts w:ascii="Times New Roman" w:eastAsiaTheme="minorEastAsia" w:hAnsi="Times New Roman"/>
          <w:noProof/>
          <w:color w:val="auto"/>
          <w:lang w:val="en-GB"/>
        </w:rPr>
        <w:t xml:space="preserve">avoidance lead to fewer resources to fund </w:t>
      </w:r>
      <w:r w:rsidR="610AC282" w:rsidRPr="008704BD">
        <w:rPr>
          <w:rFonts w:ascii="Times New Roman" w:eastAsiaTheme="minorEastAsia" w:hAnsi="Times New Roman"/>
          <w:noProof/>
          <w:color w:val="auto"/>
          <w:lang w:val="en-GB"/>
        </w:rPr>
        <w:t>public</w:t>
      </w:r>
      <w:r w:rsidR="5573E590" w:rsidRPr="008704BD">
        <w:rPr>
          <w:rFonts w:ascii="Times New Roman" w:eastAsiaTheme="minorEastAsia" w:hAnsi="Times New Roman"/>
          <w:noProof/>
          <w:color w:val="auto"/>
          <w:lang w:val="en-GB"/>
        </w:rPr>
        <w:t xml:space="preserve"> services such as education, healthcare, pensions and infrastructure. </w:t>
      </w:r>
      <w:r w:rsidR="003D2013" w:rsidRPr="008704BD">
        <w:rPr>
          <w:rFonts w:ascii="Times New Roman" w:eastAsiaTheme="minorEastAsia" w:hAnsi="Times New Roman"/>
          <w:noProof/>
          <w:color w:val="auto"/>
          <w:lang w:val="en-GB"/>
        </w:rPr>
        <w:t xml:space="preserve">To maintain </w:t>
      </w:r>
      <w:r w:rsidR="65129520" w:rsidRPr="008704BD">
        <w:rPr>
          <w:rFonts w:ascii="Times New Roman" w:eastAsiaTheme="minorEastAsia" w:hAnsi="Times New Roman"/>
          <w:noProof/>
          <w:color w:val="auto"/>
          <w:lang w:val="en-GB"/>
        </w:rPr>
        <w:t>the level of public services</w:t>
      </w:r>
      <w:r w:rsidR="75C5A935" w:rsidRPr="008704BD">
        <w:rPr>
          <w:rFonts w:ascii="Times New Roman" w:eastAsiaTheme="minorEastAsia" w:hAnsi="Times New Roman"/>
          <w:noProof/>
          <w:color w:val="auto"/>
          <w:lang w:val="en-GB"/>
        </w:rPr>
        <w:t>, everybody</w:t>
      </w:r>
      <w:r w:rsidR="003D2013" w:rsidRPr="008704BD">
        <w:rPr>
          <w:rFonts w:ascii="Times New Roman" w:eastAsiaTheme="minorEastAsia" w:hAnsi="Times New Roman"/>
          <w:noProof/>
          <w:color w:val="auto"/>
          <w:lang w:val="en-GB"/>
        </w:rPr>
        <w:t xml:space="preserve"> must contribute according to the legal framework in force. </w:t>
      </w:r>
      <w:r w:rsidR="229B42A0" w:rsidRPr="008704BD">
        <w:rPr>
          <w:rFonts w:ascii="Times New Roman" w:eastAsiaTheme="minorEastAsia" w:hAnsi="Times New Roman"/>
          <w:noProof/>
          <w:color w:val="auto"/>
          <w:lang w:val="en-GB"/>
        </w:rPr>
        <w:t xml:space="preserve">To support and sustain the recovery from </w:t>
      </w:r>
      <w:r w:rsidR="79059C05" w:rsidRPr="008704BD">
        <w:rPr>
          <w:rFonts w:ascii="Times New Roman" w:eastAsiaTheme="minorEastAsia" w:hAnsi="Times New Roman"/>
          <w:noProof/>
          <w:color w:val="auto"/>
          <w:lang w:val="en-GB"/>
        </w:rPr>
        <w:t xml:space="preserve">the </w:t>
      </w:r>
      <w:r w:rsidR="003D2013" w:rsidRPr="008704BD">
        <w:rPr>
          <w:rFonts w:ascii="Times New Roman" w:eastAsiaTheme="minorEastAsia" w:hAnsi="Times New Roman"/>
          <w:noProof/>
          <w:color w:val="auto"/>
          <w:lang w:val="en-GB"/>
        </w:rPr>
        <w:t>deep economic crisis caused by COVID-19</w:t>
      </w:r>
      <w:r w:rsidR="58C2F48E" w:rsidRPr="008704BD">
        <w:rPr>
          <w:rFonts w:ascii="Times New Roman" w:eastAsiaTheme="minorEastAsia" w:hAnsi="Times New Roman"/>
          <w:noProof/>
          <w:color w:val="auto"/>
          <w:lang w:val="en-GB"/>
        </w:rPr>
        <w:t>,</w:t>
      </w:r>
      <w:r w:rsidR="003D2013" w:rsidRPr="008704BD">
        <w:rPr>
          <w:rFonts w:ascii="Times New Roman" w:eastAsiaTheme="minorEastAsia" w:hAnsi="Times New Roman"/>
          <w:noProof/>
          <w:color w:val="auto"/>
          <w:lang w:val="en-GB"/>
        </w:rPr>
        <w:t xml:space="preserve"> it is necessary to ensure </w:t>
      </w:r>
      <w:r w:rsidR="7B8BD1D3" w:rsidRPr="008704BD">
        <w:rPr>
          <w:rFonts w:ascii="Times New Roman" w:eastAsiaTheme="minorEastAsia" w:hAnsi="Times New Roman"/>
          <w:noProof/>
          <w:color w:val="auto"/>
          <w:lang w:val="en-GB"/>
        </w:rPr>
        <w:t xml:space="preserve">that </w:t>
      </w:r>
      <w:r w:rsidR="003D2013" w:rsidRPr="008704BD">
        <w:rPr>
          <w:rFonts w:ascii="Times New Roman" w:eastAsiaTheme="minorEastAsia" w:hAnsi="Times New Roman"/>
          <w:noProof/>
          <w:color w:val="auto"/>
          <w:lang w:val="en-GB"/>
        </w:rPr>
        <w:t>a fair taxation system</w:t>
      </w:r>
      <w:r w:rsidR="479A939A" w:rsidRPr="008704BD">
        <w:rPr>
          <w:rFonts w:ascii="Times New Roman" w:eastAsiaTheme="minorEastAsia" w:hAnsi="Times New Roman"/>
          <w:noProof/>
          <w:color w:val="auto"/>
          <w:lang w:val="en-GB"/>
        </w:rPr>
        <w:t xml:space="preserve"> contributes to this objective</w:t>
      </w:r>
      <w:r w:rsidR="003D2013" w:rsidRPr="008704BD">
        <w:rPr>
          <w:rFonts w:ascii="Times New Roman" w:eastAsiaTheme="minorEastAsia" w:hAnsi="Times New Roman"/>
          <w:noProof/>
          <w:color w:val="auto"/>
          <w:lang w:val="en-GB"/>
        </w:rPr>
        <w:t xml:space="preserve">. </w:t>
      </w:r>
      <w:r w:rsidR="36831DFE" w:rsidRPr="008704BD">
        <w:rPr>
          <w:rFonts w:ascii="Times New Roman" w:eastAsiaTheme="minorEastAsia" w:hAnsi="Times New Roman"/>
          <w:noProof/>
          <w:color w:val="auto"/>
          <w:lang w:val="en-GB"/>
        </w:rPr>
        <w:t>C</w:t>
      </w:r>
      <w:r w:rsidR="5573E590" w:rsidRPr="008704BD">
        <w:rPr>
          <w:rFonts w:ascii="Times New Roman" w:eastAsiaTheme="minorEastAsia" w:hAnsi="Times New Roman"/>
          <w:noProof/>
          <w:color w:val="auto"/>
          <w:lang w:val="en-GB"/>
        </w:rPr>
        <w:t>ompliant taxpayers</w:t>
      </w:r>
      <w:r w:rsidR="36831DFE" w:rsidRPr="008704BD">
        <w:rPr>
          <w:rFonts w:ascii="Times New Roman" w:eastAsiaTheme="minorEastAsia" w:hAnsi="Times New Roman"/>
          <w:noProof/>
          <w:color w:val="auto"/>
          <w:lang w:val="en-GB"/>
        </w:rPr>
        <w:t>,</w:t>
      </w:r>
      <w:r w:rsidR="5573E590" w:rsidRPr="008704BD">
        <w:rPr>
          <w:rFonts w:ascii="Times New Roman" w:eastAsiaTheme="minorEastAsia" w:hAnsi="Times New Roman"/>
          <w:noProof/>
          <w:color w:val="auto"/>
          <w:lang w:val="en-GB"/>
        </w:rPr>
        <w:t xml:space="preserve"> who pay their fair share of taxes</w:t>
      </w:r>
      <w:r w:rsidR="36831DFE" w:rsidRPr="008704BD">
        <w:rPr>
          <w:rFonts w:ascii="Times New Roman" w:eastAsiaTheme="minorEastAsia" w:hAnsi="Times New Roman"/>
          <w:noProof/>
          <w:color w:val="auto"/>
          <w:lang w:val="en-GB"/>
        </w:rPr>
        <w:t>,</w:t>
      </w:r>
      <w:r w:rsidR="65129520" w:rsidRPr="008704BD">
        <w:rPr>
          <w:rFonts w:ascii="Times New Roman" w:eastAsiaTheme="minorEastAsia" w:hAnsi="Times New Roman"/>
          <w:noProof/>
          <w:color w:val="auto"/>
          <w:lang w:val="en-GB"/>
        </w:rPr>
        <w:t xml:space="preserve"> </w:t>
      </w:r>
      <w:r w:rsidR="36831DFE" w:rsidRPr="008704BD">
        <w:rPr>
          <w:rFonts w:ascii="Times New Roman" w:eastAsiaTheme="minorEastAsia" w:hAnsi="Times New Roman"/>
          <w:noProof/>
          <w:color w:val="auto"/>
          <w:lang w:val="en-GB"/>
        </w:rPr>
        <w:t xml:space="preserve">are particularly affected as </w:t>
      </w:r>
      <w:r w:rsidR="65129520" w:rsidRPr="008704BD">
        <w:rPr>
          <w:rFonts w:ascii="Times New Roman" w:eastAsiaTheme="minorEastAsia" w:hAnsi="Times New Roman"/>
          <w:noProof/>
          <w:color w:val="auto"/>
          <w:lang w:val="en-GB"/>
        </w:rPr>
        <w:t>they may be asked to pay higher taxes and/or they may have to accept a lower level of public services</w:t>
      </w:r>
      <w:r w:rsidR="5573E590" w:rsidRPr="008704BD">
        <w:rPr>
          <w:rFonts w:ascii="Times New Roman" w:eastAsiaTheme="minorEastAsia" w:hAnsi="Times New Roman"/>
          <w:noProof/>
          <w:color w:val="auto"/>
          <w:lang w:val="en-GB"/>
        </w:rPr>
        <w:t xml:space="preserve">. Cost reduction achieved by not paying taxes is not an acceptable practice in the EU or elsewhere. </w:t>
      </w:r>
      <w:r w:rsidR="36831DFE" w:rsidRPr="008704BD">
        <w:rPr>
          <w:rFonts w:ascii="Times New Roman" w:eastAsiaTheme="minorEastAsia" w:hAnsi="Times New Roman"/>
          <w:noProof/>
          <w:color w:val="auto"/>
          <w:lang w:val="en-GB"/>
        </w:rPr>
        <w:t>Furthermore, t</w:t>
      </w:r>
      <w:r w:rsidR="5573E590" w:rsidRPr="008704BD">
        <w:rPr>
          <w:rFonts w:ascii="Times New Roman" w:eastAsiaTheme="minorEastAsia" w:hAnsi="Times New Roman"/>
          <w:noProof/>
          <w:color w:val="auto"/>
          <w:lang w:val="en-GB"/>
        </w:rPr>
        <w:t xml:space="preserve">he absence of </w:t>
      </w:r>
      <w:r w:rsidR="4D0492EE" w:rsidRPr="008704BD">
        <w:rPr>
          <w:rFonts w:ascii="Times New Roman" w:eastAsiaTheme="minorEastAsia" w:hAnsi="Times New Roman"/>
          <w:noProof/>
          <w:color w:val="auto"/>
          <w:lang w:val="en-GB"/>
        </w:rPr>
        <w:t>a reporting standard for crypto-</w:t>
      </w:r>
      <w:r w:rsidR="5573E590" w:rsidRPr="008704BD">
        <w:rPr>
          <w:rFonts w:ascii="Times New Roman" w:eastAsiaTheme="minorEastAsia" w:hAnsi="Times New Roman"/>
          <w:noProof/>
          <w:color w:val="auto"/>
          <w:lang w:val="en-GB"/>
        </w:rPr>
        <w:t xml:space="preserve">assets could be considered an incentive to invest </w:t>
      </w:r>
      <w:r w:rsidR="27C73DF1" w:rsidRPr="008704BD">
        <w:rPr>
          <w:rFonts w:ascii="Times New Roman" w:eastAsiaTheme="minorEastAsia" w:hAnsi="Times New Roman"/>
          <w:noProof/>
          <w:color w:val="auto"/>
          <w:lang w:val="en-GB"/>
        </w:rPr>
        <w:t>in such products</w:t>
      </w:r>
      <w:r w:rsidR="5573E590" w:rsidRPr="008704BD">
        <w:rPr>
          <w:rFonts w:ascii="Times New Roman" w:eastAsiaTheme="minorEastAsia" w:hAnsi="Times New Roman"/>
          <w:noProof/>
          <w:color w:val="auto"/>
          <w:lang w:val="en-GB"/>
        </w:rPr>
        <w:t xml:space="preserve"> since users/investors would not be subject to the same verification regime as other </w:t>
      </w:r>
      <w:r w:rsidR="261E4C6D" w:rsidRPr="008704BD">
        <w:rPr>
          <w:rFonts w:ascii="Times New Roman" w:eastAsiaTheme="minorEastAsia" w:hAnsi="Times New Roman"/>
          <w:noProof/>
          <w:color w:val="auto"/>
          <w:lang w:val="en-GB"/>
        </w:rPr>
        <w:t xml:space="preserve">traditional </w:t>
      </w:r>
      <w:r w:rsidR="5573E590" w:rsidRPr="008704BD">
        <w:rPr>
          <w:rFonts w:ascii="Times New Roman" w:eastAsiaTheme="minorEastAsia" w:hAnsi="Times New Roman"/>
          <w:noProof/>
          <w:color w:val="auto"/>
          <w:lang w:val="en-GB"/>
        </w:rPr>
        <w:t xml:space="preserve">financial assets. This may affect the </w:t>
      </w:r>
      <w:r w:rsidR="36831DFE" w:rsidRPr="008704BD">
        <w:rPr>
          <w:rFonts w:ascii="Times New Roman" w:eastAsiaTheme="minorEastAsia" w:hAnsi="Times New Roman"/>
          <w:noProof/>
          <w:color w:val="auto"/>
          <w:lang w:val="en-GB"/>
        </w:rPr>
        <w:t>level playing field</w:t>
      </w:r>
      <w:r w:rsidR="5573E590" w:rsidRPr="008704BD">
        <w:rPr>
          <w:rFonts w:ascii="Times New Roman" w:eastAsiaTheme="minorEastAsia" w:hAnsi="Times New Roman"/>
          <w:noProof/>
          <w:color w:val="auto"/>
          <w:lang w:val="en-GB"/>
        </w:rPr>
        <w:t xml:space="preserve">, fairness and integrity of the EU </w:t>
      </w:r>
      <w:r w:rsidR="119F611D" w:rsidRPr="008704BD">
        <w:rPr>
          <w:rFonts w:ascii="Times New Roman" w:eastAsiaTheme="minorEastAsia" w:hAnsi="Times New Roman"/>
          <w:noProof/>
          <w:color w:val="auto"/>
          <w:lang w:val="en-GB"/>
        </w:rPr>
        <w:t>I</w:t>
      </w:r>
      <w:r w:rsidR="383B2F47" w:rsidRPr="008704BD">
        <w:rPr>
          <w:rFonts w:ascii="Times New Roman" w:eastAsiaTheme="minorEastAsia" w:hAnsi="Times New Roman"/>
          <w:noProof/>
          <w:color w:val="auto"/>
          <w:lang w:val="en-GB"/>
        </w:rPr>
        <w:t xml:space="preserve">nternal </w:t>
      </w:r>
      <w:r w:rsidR="119F611D" w:rsidRPr="008704BD">
        <w:rPr>
          <w:rFonts w:ascii="Times New Roman" w:eastAsiaTheme="minorEastAsia" w:hAnsi="Times New Roman"/>
          <w:noProof/>
          <w:color w:val="auto"/>
          <w:lang w:val="en-GB"/>
        </w:rPr>
        <w:t>M</w:t>
      </w:r>
      <w:r w:rsidR="5573E590" w:rsidRPr="008704BD">
        <w:rPr>
          <w:rFonts w:ascii="Times New Roman" w:eastAsiaTheme="minorEastAsia" w:hAnsi="Times New Roman"/>
          <w:noProof/>
          <w:color w:val="auto"/>
          <w:lang w:val="en-GB"/>
        </w:rPr>
        <w:t>arket.</w:t>
      </w:r>
      <w:r w:rsidR="003D2013" w:rsidRPr="008704BD">
        <w:rPr>
          <w:rFonts w:ascii="Times New Roman" w:eastAsiaTheme="minorEastAsia" w:hAnsi="Times New Roman"/>
          <w:noProof/>
          <w:color w:val="auto"/>
          <w:lang w:val="en-GB"/>
        </w:rPr>
        <w:t xml:space="preserve"> </w:t>
      </w:r>
    </w:p>
    <w:p w14:paraId="5BB96475" w14:textId="77777777" w:rsidR="00DD1A36" w:rsidRPr="006E5F59" w:rsidRDefault="00DD1A36" w:rsidP="00DD1A36">
      <w:pPr>
        <w:pStyle w:val="Default"/>
        <w:jc w:val="both"/>
        <w:rPr>
          <w:rFonts w:ascii="Times New Roman" w:eastAsiaTheme="minorEastAsia" w:hAnsi="Times New Roman" w:cs="Times New Roman"/>
          <w:noProof/>
          <w:color w:val="auto"/>
          <w:sz w:val="22"/>
          <w:szCs w:val="22"/>
          <w:lang w:val="en-GB" w:eastAsia="en-US"/>
        </w:rPr>
      </w:pPr>
    </w:p>
    <w:p w14:paraId="724FC972" w14:textId="77777777" w:rsidR="000F6021" w:rsidRPr="006E5F59" w:rsidRDefault="7FDA219A" w:rsidP="00026A5D">
      <w:pPr>
        <w:pStyle w:val="Heading2"/>
        <w:rPr>
          <w:rFonts w:cs="Times New Roman"/>
          <w:noProof/>
          <w:lang w:val="en-GB"/>
        </w:rPr>
      </w:pPr>
      <w:bookmarkStart w:id="51" w:name="_Toc84338453"/>
      <w:bookmarkStart w:id="52" w:name="_Toc84520031"/>
      <w:bookmarkStart w:id="53" w:name="_Toc84579895"/>
      <w:bookmarkStart w:id="54" w:name="_Toc85052188"/>
      <w:bookmarkStart w:id="55" w:name="_Toc1984039329"/>
      <w:bookmarkStart w:id="56" w:name="_Toc1202919214"/>
      <w:bookmarkStart w:id="57" w:name="_Toc17453557"/>
      <w:bookmarkStart w:id="58" w:name="_Toc93306866"/>
      <w:r w:rsidRPr="41BAA3BB">
        <w:rPr>
          <w:rFonts w:cs="Times New Roman"/>
          <w:noProof/>
          <w:lang w:val="en-GB"/>
        </w:rPr>
        <w:t>2.2 What are the problem drivers</w:t>
      </w:r>
      <w:bookmarkEnd w:id="51"/>
      <w:r w:rsidR="00AA4FDA" w:rsidRPr="41BAA3BB">
        <w:rPr>
          <w:rFonts w:cs="Times New Roman"/>
          <w:noProof/>
          <w:lang w:val="en-GB"/>
        </w:rPr>
        <w:t>?</w:t>
      </w:r>
      <w:bookmarkEnd w:id="52"/>
      <w:bookmarkEnd w:id="53"/>
      <w:bookmarkEnd w:id="54"/>
      <w:bookmarkEnd w:id="55"/>
      <w:bookmarkEnd w:id="56"/>
      <w:bookmarkEnd w:id="57"/>
      <w:bookmarkEnd w:id="58"/>
    </w:p>
    <w:p w14:paraId="79F01EA9" w14:textId="77777777" w:rsidR="5710FC18" w:rsidRPr="008704BD" w:rsidRDefault="7E4502FA" w:rsidP="00E948D9">
      <w:pPr>
        <w:jc w:val="both"/>
        <w:rPr>
          <w:rFonts w:ascii="Times New Roman" w:hAnsi="Times New Roman"/>
          <w:noProof/>
          <w:sz w:val="24"/>
          <w:lang w:val="en-GB"/>
        </w:rPr>
      </w:pPr>
      <w:r w:rsidRPr="008704BD">
        <w:rPr>
          <w:rFonts w:ascii="Times New Roman" w:hAnsi="Times New Roman"/>
          <w:noProof/>
          <w:sz w:val="24"/>
          <w:lang w:val="en-GB"/>
        </w:rPr>
        <w:t xml:space="preserve">The problem </w:t>
      </w:r>
      <w:r w:rsidR="64BA8978" w:rsidRPr="008704BD">
        <w:rPr>
          <w:rFonts w:ascii="Times New Roman" w:hAnsi="Times New Roman"/>
          <w:noProof/>
          <w:sz w:val="24"/>
          <w:lang w:val="en-GB"/>
        </w:rPr>
        <w:t xml:space="preserve">related to the lack </w:t>
      </w:r>
      <w:r w:rsidR="18AE0A5B" w:rsidRPr="008704BD">
        <w:rPr>
          <w:rFonts w:ascii="Times New Roman" w:hAnsi="Times New Roman"/>
          <w:noProof/>
          <w:sz w:val="24"/>
          <w:lang w:val="en-GB"/>
        </w:rPr>
        <w:t xml:space="preserve">of </w:t>
      </w:r>
      <w:r w:rsidR="64BA8978" w:rsidRPr="008704BD">
        <w:rPr>
          <w:rFonts w:ascii="Times New Roman" w:hAnsi="Times New Roman"/>
          <w:noProof/>
          <w:sz w:val="24"/>
          <w:lang w:val="en-GB"/>
        </w:rPr>
        <w:t xml:space="preserve">information available to tax authorities regarding the proceeds obtained using crypto-assets </w:t>
      </w:r>
      <w:r w:rsidR="0082384B" w:rsidRPr="008704BD">
        <w:rPr>
          <w:rFonts w:ascii="Times New Roman" w:hAnsi="Times New Roman"/>
          <w:noProof/>
          <w:sz w:val="24"/>
          <w:lang w:val="en-GB"/>
        </w:rPr>
        <w:t xml:space="preserve">has </w:t>
      </w:r>
      <w:r w:rsidRPr="008704BD">
        <w:rPr>
          <w:rFonts w:ascii="Times New Roman" w:hAnsi="Times New Roman"/>
          <w:noProof/>
          <w:sz w:val="24"/>
          <w:lang w:val="en-GB"/>
        </w:rPr>
        <w:t>various drivers and causes</w:t>
      </w:r>
      <w:r w:rsidR="00054DD8" w:rsidRPr="008704BD">
        <w:rPr>
          <w:rFonts w:ascii="Times New Roman" w:hAnsi="Times New Roman"/>
          <w:noProof/>
          <w:sz w:val="24"/>
          <w:lang w:val="en-GB"/>
        </w:rPr>
        <w:t>:</w:t>
      </w:r>
      <w:r w:rsidRPr="008704BD">
        <w:rPr>
          <w:rFonts w:ascii="Times New Roman" w:hAnsi="Times New Roman"/>
          <w:noProof/>
          <w:sz w:val="24"/>
          <w:lang w:val="en-GB"/>
        </w:rPr>
        <w:t xml:space="preserve"> </w:t>
      </w:r>
    </w:p>
    <w:p w14:paraId="0BD52A2A" w14:textId="1A1E6E81" w:rsidR="00E97633" w:rsidRPr="008704BD" w:rsidRDefault="71B5ED26" w:rsidP="007167E9">
      <w:pPr>
        <w:jc w:val="both"/>
        <w:rPr>
          <w:rFonts w:ascii="Times New Roman" w:hAnsi="Times New Roman"/>
          <w:noProof/>
          <w:sz w:val="24"/>
          <w:lang w:val="en-GB"/>
        </w:rPr>
      </w:pPr>
      <w:r w:rsidRPr="008704BD">
        <w:rPr>
          <w:rFonts w:ascii="Times New Roman" w:hAnsi="Times New Roman"/>
          <w:b/>
          <w:noProof/>
          <w:sz w:val="24"/>
          <w:lang w:val="en-GB"/>
        </w:rPr>
        <w:t>The lack of centralized control for crypto-assets, hybrid characteristics, and the rapid evolution of the underlying technology</w:t>
      </w:r>
      <w:r w:rsidRPr="008704BD">
        <w:rPr>
          <w:rFonts w:ascii="Times New Roman" w:hAnsi="Times New Roman"/>
          <w:noProof/>
          <w:sz w:val="24"/>
          <w:lang w:val="en-GB"/>
        </w:rPr>
        <w:t xml:space="preserve"> </w:t>
      </w:r>
      <w:r w:rsidRPr="008704BD">
        <w:rPr>
          <w:rFonts w:ascii="Times New Roman" w:hAnsi="Times New Roman"/>
          <w:b/>
          <w:noProof/>
          <w:sz w:val="24"/>
          <w:lang w:val="en-GB"/>
        </w:rPr>
        <w:t>and its form</w:t>
      </w:r>
      <w:r w:rsidRPr="008704BD">
        <w:rPr>
          <w:rFonts w:ascii="Times New Roman" w:hAnsi="Times New Roman"/>
          <w:noProof/>
          <w:sz w:val="24"/>
          <w:lang w:val="en-GB"/>
        </w:rPr>
        <w:t xml:space="preserve"> </w:t>
      </w:r>
      <w:r w:rsidR="368652EF" w:rsidRPr="008704BD">
        <w:rPr>
          <w:rFonts w:ascii="Times New Roman" w:hAnsi="Times New Roman"/>
          <w:noProof/>
          <w:sz w:val="24"/>
          <w:lang w:val="en-GB"/>
        </w:rPr>
        <w:t xml:space="preserve">present </w:t>
      </w:r>
      <w:r w:rsidRPr="008704BD">
        <w:rPr>
          <w:rFonts w:ascii="Times New Roman" w:hAnsi="Times New Roman"/>
          <w:noProof/>
          <w:sz w:val="24"/>
          <w:lang w:val="en-GB"/>
        </w:rPr>
        <w:t>challeng</w:t>
      </w:r>
      <w:r w:rsidR="368652EF" w:rsidRPr="008704BD">
        <w:rPr>
          <w:rFonts w:ascii="Times New Roman" w:hAnsi="Times New Roman"/>
          <w:noProof/>
          <w:sz w:val="24"/>
          <w:lang w:val="en-GB"/>
        </w:rPr>
        <w:t>es from a</w:t>
      </w:r>
      <w:r w:rsidRPr="008704BD">
        <w:rPr>
          <w:rFonts w:ascii="Times New Roman" w:hAnsi="Times New Roman"/>
          <w:noProof/>
          <w:sz w:val="24"/>
          <w:lang w:val="en-GB"/>
        </w:rPr>
        <w:t xml:space="preserve"> tax</w:t>
      </w:r>
      <w:r w:rsidR="368652EF" w:rsidRPr="008704BD">
        <w:rPr>
          <w:rFonts w:ascii="Times New Roman" w:hAnsi="Times New Roman"/>
          <w:noProof/>
          <w:sz w:val="24"/>
          <w:lang w:val="en-GB"/>
        </w:rPr>
        <w:t>ation</w:t>
      </w:r>
      <w:r w:rsidRPr="008704BD">
        <w:rPr>
          <w:rFonts w:ascii="Times New Roman" w:hAnsi="Times New Roman"/>
          <w:noProof/>
          <w:sz w:val="24"/>
          <w:lang w:val="en-GB"/>
        </w:rPr>
        <w:t xml:space="preserve"> </w:t>
      </w:r>
      <w:r w:rsidR="368652EF" w:rsidRPr="008704BD">
        <w:rPr>
          <w:rFonts w:ascii="Times New Roman" w:hAnsi="Times New Roman"/>
          <w:noProof/>
          <w:sz w:val="24"/>
          <w:lang w:val="en-GB"/>
        </w:rPr>
        <w:t>perspective</w:t>
      </w:r>
      <w:r w:rsidRPr="008704BD">
        <w:rPr>
          <w:rFonts w:ascii="Times New Roman" w:hAnsi="Times New Roman"/>
          <w:noProof/>
          <w:sz w:val="24"/>
          <w:lang w:val="en-GB"/>
        </w:rPr>
        <w:t xml:space="preserve">. </w:t>
      </w:r>
      <w:r w:rsidR="6BFCCC4C" w:rsidRPr="008704BD">
        <w:rPr>
          <w:rFonts w:ascii="Times New Roman" w:hAnsi="Times New Roman"/>
          <w:noProof/>
          <w:sz w:val="24"/>
          <w:lang w:val="en-GB"/>
        </w:rPr>
        <w:t xml:space="preserve">The said characteristics mean that </w:t>
      </w:r>
      <w:r w:rsidR="5125CE5F" w:rsidRPr="008704BD">
        <w:rPr>
          <w:rFonts w:ascii="Times New Roman" w:hAnsi="Times New Roman"/>
          <w:noProof/>
          <w:sz w:val="24"/>
          <w:lang w:val="en-GB"/>
        </w:rPr>
        <w:t xml:space="preserve">reporting </w:t>
      </w:r>
      <w:r w:rsidR="15EAC8AB" w:rsidRPr="008704BD">
        <w:rPr>
          <w:rFonts w:ascii="Times New Roman" w:hAnsi="Times New Roman"/>
          <w:noProof/>
          <w:sz w:val="24"/>
          <w:lang w:val="en-GB"/>
        </w:rPr>
        <w:t xml:space="preserve">and taxation </w:t>
      </w:r>
      <w:r w:rsidR="5125CE5F" w:rsidRPr="008704BD">
        <w:rPr>
          <w:rFonts w:ascii="Times New Roman" w:hAnsi="Times New Roman"/>
          <w:noProof/>
          <w:sz w:val="24"/>
          <w:lang w:val="en-GB"/>
        </w:rPr>
        <w:t>obligations are unclear and can be easily avoided</w:t>
      </w:r>
      <w:r w:rsidR="0DAC5AE4" w:rsidRPr="008704BD">
        <w:rPr>
          <w:rFonts w:ascii="Times New Roman" w:hAnsi="Times New Roman"/>
          <w:noProof/>
          <w:sz w:val="24"/>
          <w:lang w:val="en-GB"/>
        </w:rPr>
        <w:t>.</w:t>
      </w:r>
      <w:r w:rsidR="1BD3DFFD" w:rsidRPr="008704BD">
        <w:rPr>
          <w:rFonts w:ascii="Times New Roman" w:hAnsi="Times New Roman"/>
          <w:noProof/>
          <w:sz w:val="24"/>
          <w:lang w:val="en-GB"/>
        </w:rPr>
        <w:t xml:space="preserve"> </w:t>
      </w:r>
      <w:r w:rsidR="0DAC5AE4" w:rsidRPr="008704BD">
        <w:rPr>
          <w:rFonts w:ascii="Times New Roman" w:hAnsi="Times New Roman"/>
          <w:noProof/>
          <w:sz w:val="24"/>
          <w:lang w:val="en-GB"/>
        </w:rPr>
        <w:t>T</w:t>
      </w:r>
      <w:r w:rsidR="6BFCCC4C" w:rsidRPr="008704BD">
        <w:rPr>
          <w:rFonts w:ascii="Times New Roman" w:hAnsi="Times New Roman"/>
          <w:noProof/>
          <w:sz w:val="24"/>
          <w:lang w:val="en-GB"/>
        </w:rPr>
        <w:t xml:space="preserve">hese assets escape current </w:t>
      </w:r>
      <w:r w:rsidR="5EEE15F7" w:rsidRPr="008704BD">
        <w:rPr>
          <w:rFonts w:ascii="Times New Roman" w:hAnsi="Times New Roman"/>
          <w:noProof/>
          <w:sz w:val="24"/>
          <w:lang w:val="en-GB"/>
        </w:rPr>
        <w:t>definitions</w:t>
      </w:r>
      <w:r w:rsidR="1EB37B19" w:rsidRPr="008704BD">
        <w:rPr>
          <w:rFonts w:ascii="Times New Roman" w:hAnsi="Times New Roman"/>
          <w:noProof/>
          <w:sz w:val="24"/>
          <w:lang w:val="en-GB"/>
        </w:rPr>
        <w:t xml:space="preserve"> </w:t>
      </w:r>
      <w:r w:rsidR="0DAC5AE4" w:rsidRPr="008704BD">
        <w:rPr>
          <w:rFonts w:ascii="Times New Roman" w:hAnsi="Times New Roman"/>
          <w:noProof/>
          <w:sz w:val="24"/>
          <w:lang w:val="en-GB"/>
        </w:rPr>
        <w:t xml:space="preserve">in tax law </w:t>
      </w:r>
      <w:r w:rsidR="1EB37B19" w:rsidRPr="008704BD">
        <w:rPr>
          <w:rFonts w:ascii="Times New Roman" w:hAnsi="Times New Roman"/>
          <w:noProof/>
          <w:sz w:val="24"/>
          <w:lang w:val="en-GB"/>
        </w:rPr>
        <w:t>in part due to the targeted nature of those definitions.</w:t>
      </w:r>
      <w:r w:rsidR="716BBA37" w:rsidRPr="008704BD">
        <w:rPr>
          <w:rFonts w:ascii="Times New Roman" w:hAnsi="Times New Roman"/>
          <w:noProof/>
          <w:sz w:val="24"/>
          <w:lang w:val="en-GB"/>
        </w:rPr>
        <w:t xml:space="preserve"> </w:t>
      </w:r>
      <w:r w:rsidRPr="008704BD">
        <w:rPr>
          <w:rFonts w:ascii="Times New Roman" w:hAnsi="Times New Roman"/>
          <w:noProof/>
          <w:sz w:val="24"/>
          <w:lang w:val="en-GB"/>
        </w:rPr>
        <w:t xml:space="preserve">Furthermore, users or investors can use this form of assets for payment </w:t>
      </w:r>
      <w:r w:rsidR="0BF14486" w:rsidRPr="008704BD">
        <w:rPr>
          <w:rFonts w:ascii="Times New Roman" w:hAnsi="Times New Roman"/>
          <w:noProof/>
          <w:sz w:val="24"/>
          <w:lang w:val="en-GB"/>
        </w:rPr>
        <w:t xml:space="preserve">as well </w:t>
      </w:r>
      <w:r w:rsidR="15EAC8AB" w:rsidRPr="008704BD">
        <w:rPr>
          <w:rFonts w:ascii="Times New Roman" w:hAnsi="Times New Roman"/>
          <w:noProof/>
          <w:sz w:val="24"/>
          <w:lang w:val="en-GB"/>
        </w:rPr>
        <w:t xml:space="preserve">as </w:t>
      </w:r>
      <w:r w:rsidR="6783EA11" w:rsidRPr="008704BD">
        <w:rPr>
          <w:rFonts w:ascii="Times New Roman" w:hAnsi="Times New Roman"/>
          <w:noProof/>
          <w:sz w:val="24"/>
          <w:lang w:val="en-GB"/>
        </w:rPr>
        <w:t xml:space="preserve">trading </w:t>
      </w:r>
      <w:r w:rsidRPr="008704BD">
        <w:rPr>
          <w:rFonts w:ascii="Times New Roman" w:hAnsi="Times New Roman"/>
          <w:noProof/>
          <w:sz w:val="24"/>
          <w:lang w:val="en-GB"/>
        </w:rPr>
        <w:t xml:space="preserve">purposes, which </w:t>
      </w:r>
      <w:r w:rsidR="59B9DD81" w:rsidRPr="008704BD">
        <w:rPr>
          <w:rFonts w:ascii="Times New Roman" w:hAnsi="Times New Roman"/>
          <w:noProof/>
          <w:sz w:val="24"/>
          <w:lang w:val="en-GB"/>
        </w:rPr>
        <w:t xml:space="preserve">is different from </w:t>
      </w:r>
      <w:r w:rsidR="6783EA11" w:rsidRPr="008704BD">
        <w:rPr>
          <w:rFonts w:ascii="Times New Roman" w:hAnsi="Times New Roman"/>
          <w:noProof/>
          <w:sz w:val="24"/>
          <w:lang w:val="en-GB"/>
        </w:rPr>
        <w:t xml:space="preserve">how </w:t>
      </w:r>
      <w:r w:rsidR="59B9DD81" w:rsidRPr="008704BD">
        <w:rPr>
          <w:rFonts w:ascii="Times New Roman" w:hAnsi="Times New Roman"/>
          <w:noProof/>
          <w:sz w:val="24"/>
          <w:lang w:val="en-GB"/>
        </w:rPr>
        <w:t xml:space="preserve">traditional assets </w:t>
      </w:r>
      <w:r w:rsidR="6783EA11" w:rsidRPr="008704BD">
        <w:rPr>
          <w:rFonts w:ascii="Times New Roman" w:hAnsi="Times New Roman"/>
          <w:noProof/>
          <w:sz w:val="24"/>
        </w:rPr>
        <w:t xml:space="preserve">are traded and invested </w:t>
      </w:r>
      <w:r w:rsidR="59B9DD81" w:rsidRPr="008704BD">
        <w:rPr>
          <w:rFonts w:ascii="Times New Roman" w:hAnsi="Times New Roman"/>
          <w:noProof/>
          <w:sz w:val="24"/>
          <w:lang w:val="en-GB"/>
        </w:rPr>
        <w:t xml:space="preserve">and which </w:t>
      </w:r>
      <w:r w:rsidRPr="008704BD">
        <w:rPr>
          <w:rFonts w:ascii="Times New Roman" w:hAnsi="Times New Roman"/>
          <w:noProof/>
          <w:sz w:val="24"/>
          <w:lang w:val="en-GB"/>
        </w:rPr>
        <w:t xml:space="preserve">makes its taxonomy and the potential tax compliance framework more complex to design. These difficulties follow from the need to identify the relevant intermediaries, the reportable event, the valuation of </w:t>
      </w:r>
      <w:r w:rsidR="1DA9E683" w:rsidRPr="008704BD">
        <w:rPr>
          <w:rFonts w:ascii="Times New Roman" w:hAnsi="Times New Roman"/>
          <w:noProof/>
          <w:sz w:val="24"/>
          <w:lang w:val="en-GB"/>
        </w:rPr>
        <w:t>crypto-</w:t>
      </w:r>
      <w:r w:rsidRPr="008704BD">
        <w:rPr>
          <w:rFonts w:ascii="Times New Roman" w:hAnsi="Times New Roman"/>
          <w:noProof/>
          <w:sz w:val="24"/>
          <w:lang w:val="en-GB"/>
        </w:rPr>
        <w:t xml:space="preserve">assets and the available information, among other things. Like traditional financial </w:t>
      </w:r>
      <w:r w:rsidR="3A1E8125" w:rsidRPr="008704BD">
        <w:rPr>
          <w:rFonts w:ascii="Times New Roman" w:hAnsi="Times New Roman"/>
          <w:noProof/>
          <w:sz w:val="24"/>
          <w:lang w:val="en-GB"/>
        </w:rPr>
        <w:t>assets</w:t>
      </w:r>
      <w:r w:rsidRPr="008704BD">
        <w:rPr>
          <w:rFonts w:ascii="Times New Roman" w:hAnsi="Times New Roman"/>
          <w:noProof/>
          <w:sz w:val="24"/>
          <w:lang w:val="en-GB"/>
        </w:rPr>
        <w:t>, income</w:t>
      </w:r>
      <w:r w:rsidR="6707AB70" w:rsidRPr="008704BD">
        <w:rPr>
          <w:rFonts w:ascii="Times New Roman" w:hAnsi="Times New Roman"/>
          <w:noProof/>
          <w:sz w:val="24"/>
          <w:lang w:val="en-GB"/>
        </w:rPr>
        <w:t xml:space="preserve"> or capital gain</w:t>
      </w:r>
      <w:r w:rsidR="06E8611E" w:rsidRPr="008704BD">
        <w:rPr>
          <w:rFonts w:ascii="Times New Roman" w:hAnsi="Times New Roman"/>
          <w:noProof/>
          <w:sz w:val="24"/>
          <w:lang w:val="en-GB"/>
        </w:rPr>
        <w:t>s</w:t>
      </w:r>
      <w:r w:rsidRPr="008704BD">
        <w:rPr>
          <w:rFonts w:ascii="Times New Roman" w:hAnsi="Times New Roman"/>
          <w:noProof/>
          <w:sz w:val="24"/>
          <w:lang w:val="en-GB"/>
        </w:rPr>
        <w:t xml:space="preserve"> derived from crypto-assets may be subject to taxation depending on each Member </w:t>
      </w:r>
      <w:r w:rsidR="030AC86A" w:rsidRPr="008704BD">
        <w:rPr>
          <w:rFonts w:ascii="Times New Roman" w:hAnsi="Times New Roman"/>
          <w:noProof/>
          <w:sz w:val="24"/>
          <w:lang w:val="en-GB"/>
        </w:rPr>
        <w:t>State</w:t>
      </w:r>
      <w:r w:rsidR="3C50B480" w:rsidRPr="008704BD">
        <w:rPr>
          <w:rFonts w:ascii="Times New Roman" w:hAnsi="Times New Roman"/>
          <w:noProof/>
          <w:sz w:val="24"/>
          <w:lang w:val="en-GB"/>
        </w:rPr>
        <w:t>’</w:t>
      </w:r>
      <w:r w:rsidR="030AC86A" w:rsidRPr="008704BD">
        <w:rPr>
          <w:rFonts w:ascii="Times New Roman" w:hAnsi="Times New Roman"/>
          <w:noProof/>
          <w:sz w:val="24"/>
          <w:lang w:val="en-GB"/>
        </w:rPr>
        <w:t>s</w:t>
      </w:r>
      <w:r w:rsidRPr="008704BD">
        <w:rPr>
          <w:rFonts w:ascii="Times New Roman" w:hAnsi="Times New Roman"/>
          <w:noProof/>
          <w:sz w:val="24"/>
          <w:lang w:val="en-GB"/>
        </w:rPr>
        <w:t xml:space="preserve"> legal framework. However, proper </w:t>
      </w:r>
      <w:r w:rsidR="6EE849F8" w:rsidRPr="008704BD">
        <w:rPr>
          <w:rFonts w:ascii="Times New Roman" w:hAnsi="Times New Roman"/>
          <w:noProof/>
          <w:sz w:val="24"/>
          <w:lang w:val="en-GB"/>
        </w:rPr>
        <w:t xml:space="preserve">enforcement </w:t>
      </w:r>
      <w:r w:rsidRPr="008704BD">
        <w:rPr>
          <w:rFonts w:ascii="Times New Roman" w:hAnsi="Times New Roman"/>
          <w:noProof/>
          <w:sz w:val="24"/>
          <w:lang w:val="en-GB"/>
        </w:rPr>
        <w:t>of tax obligations relies on high-quality reporting and the ability of tax administrations to have access to the information.</w:t>
      </w:r>
    </w:p>
    <w:p w14:paraId="0BBF4EF9" w14:textId="77777777" w:rsidR="004415A0" w:rsidRPr="008704BD" w:rsidRDefault="1EF68A94" w:rsidP="715AE3ED">
      <w:pPr>
        <w:jc w:val="both"/>
        <w:rPr>
          <w:rFonts w:ascii="Times New Roman" w:hAnsi="Times New Roman"/>
          <w:noProof/>
          <w:sz w:val="24"/>
          <w:lang w:val="en-GB"/>
        </w:rPr>
      </w:pPr>
      <w:r w:rsidRPr="008704BD">
        <w:rPr>
          <w:rFonts w:ascii="Times New Roman" w:hAnsi="Times New Roman"/>
          <w:noProof/>
          <w:sz w:val="24"/>
          <w:lang w:val="en-GB"/>
        </w:rPr>
        <w:t>The crypto</w:t>
      </w:r>
      <w:r w:rsidR="5D82274C" w:rsidRPr="008704BD">
        <w:rPr>
          <w:rFonts w:ascii="Times New Roman" w:hAnsi="Times New Roman"/>
          <w:noProof/>
          <w:sz w:val="24"/>
          <w:lang w:val="en-GB"/>
        </w:rPr>
        <w:t>-</w:t>
      </w:r>
      <w:r w:rsidRPr="008704BD">
        <w:rPr>
          <w:rFonts w:ascii="Times New Roman" w:hAnsi="Times New Roman"/>
          <w:noProof/>
          <w:sz w:val="24"/>
          <w:lang w:val="en-GB"/>
        </w:rPr>
        <w:t xml:space="preserve">asset market is </w:t>
      </w:r>
      <w:r w:rsidR="3A3AE77A" w:rsidRPr="008704BD">
        <w:rPr>
          <w:rFonts w:ascii="Times New Roman" w:hAnsi="Times New Roman"/>
          <w:b/>
          <w:noProof/>
          <w:sz w:val="24"/>
          <w:lang w:val="en-GB"/>
        </w:rPr>
        <w:t xml:space="preserve">highly mobile and </w:t>
      </w:r>
      <w:r w:rsidR="7FB55BC1" w:rsidRPr="008704BD">
        <w:rPr>
          <w:rFonts w:ascii="Times New Roman" w:hAnsi="Times New Roman"/>
          <w:b/>
          <w:noProof/>
          <w:sz w:val="24"/>
          <w:lang w:val="en-GB"/>
        </w:rPr>
        <w:t>digitalised</w:t>
      </w:r>
      <w:r w:rsidRPr="008704BD">
        <w:rPr>
          <w:rFonts w:ascii="Times New Roman" w:hAnsi="Times New Roman"/>
          <w:noProof/>
          <w:sz w:val="24"/>
          <w:lang w:val="en-GB"/>
        </w:rPr>
        <w:t>. Crypto</w:t>
      </w:r>
      <w:r w:rsidR="27497DAE" w:rsidRPr="008704BD">
        <w:rPr>
          <w:rFonts w:ascii="Times New Roman" w:hAnsi="Times New Roman"/>
          <w:noProof/>
          <w:sz w:val="24"/>
          <w:lang w:val="en-GB"/>
        </w:rPr>
        <w:t>-assets</w:t>
      </w:r>
      <w:r w:rsidRPr="008704BD">
        <w:rPr>
          <w:rFonts w:ascii="Times New Roman" w:hAnsi="Times New Roman"/>
          <w:noProof/>
          <w:sz w:val="24"/>
          <w:lang w:val="en-GB"/>
        </w:rPr>
        <w:t xml:space="preserve"> are traded all over the world through </w:t>
      </w:r>
      <w:r w:rsidR="5B16969C" w:rsidRPr="008704BD">
        <w:rPr>
          <w:rFonts w:ascii="Times New Roman" w:hAnsi="Times New Roman"/>
          <w:noProof/>
          <w:sz w:val="24"/>
          <w:lang w:val="en-GB"/>
        </w:rPr>
        <w:t>service provider</w:t>
      </w:r>
      <w:r w:rsidRPr="008704BD">
        <w:rPr>
          <w:rFonts w:ascii="Times New Roman" w:hAnsi="Times New Roman"/>
          <w:noProof/>
          <w:sz w:val="24"/>
          <w:lang w:val="en-GB"/>
        </w:rPr>
        <w:t>s that, in turn, have great mobility since they can be located anywhere in the world. The cross-border nature of crypto</w:t>
      </w:r>
      <w:r w:rsidR="5D82274C" w:rsidRPr="008704BD">
        <w:rPr>
          <w:rFonts w:ascii="Times New Roman" w:hAnsi="Times New Roman"/>
          <w:noProof/>
          <w:sz w:val="24"/>
          <w:lang w:val="en-GB"/>
        </w:rPr>
        <w:t>-</w:t>
      </w:r>
      <w:r w:rsidRPr="008704BD">
        <w:rPr>
          <w:rFonts w:ascii="Times New Roman" w:hAnsi="Times New Roman"/>
          <w:noProof/>
          <w:sz w:val="24"/>
          <w:lang w:val="en-GB"/>
        </w:rPr>
        <w:t>asset</w:t>
      </w:r>
      <w:r w:rsidR="00F38729" w:rsidRPr="008704BD">
        <w:rPr>
          <w:rFonts w:ascii="Times New Roman" w:hAnsi="Times New Roman"/>
          <w:noProof/>
          <w:sz w:val="24"/>
          <w:lang w:val="en-GB"/>
        </w:rPr>
        <w:t>s</w:t>
      </w:r>
      <w:r w:rsidRPr="008704BD">
        <w:rPr>
          <w:rFonts w:ascii="Times New Roman" w:hAnsi="Times New Roman"/>
          <w:noProof/>
          <w:sz w:val="24"/>
          <w:lang w:val="en-GB"/>
        </w:rPr>
        <w:t xml:space="preserve"> mean</w:t>
      </w:r>
      <w:r w:rsidR="0DE03C9F" w:rsidRPr="008704BD">
        <w:rPr>
          <w:rFonts w:ascii="Times New Roman" w:hAnsi="Times New Roman"/>
          <w:noProof/>
          <w:sz w:val="24"/>
          <w:lang w:val="en-GB"/>
        </w:rPr>
        <w:t>s</w:t>
      </w:r>
      <w:r w:rsidRPr="008704BD">
        <w:rPr>
          <w:rFonts w:ascii="Times New Roman" w:hAnsi="Times New Roman"/>
          <w:noProof/>
          <w:sz w:val="24"/>
          <w:lang w:val="en-GB"/>
        </w:rPr>
        <w:t xml:space="preserve"> that </w:t>
      </w:r>
      <w:r w:rsidR="18F5D8A5" w:rsidRPr="008704BD">
        <w:rPr>
          <w:rFonts w:ascii="Times New Roman" w:hAnsi="Times New Roman"/>
          <w:noProof/>
          <w:sz w:val="24"/>
          <w:lang w:val="en-GB"/>
        </w:rPr>
        <w:t xml:space="preserve">reporting </w:t>
      </w:r>
      <w:r w:rsidRPr="008704BD">
        <w:rPr>
          <w:rFonts w:ascii="Times New Roman" w:hAnsi="Times New Roman"/>
          <w:noProof/>
          <w:sz w:val="24"/>
          <w:lang w:val="en-GB"/>
        </w:rPr>
        <w:t xml:space="preserve">rules at national level are unlikely to adequately capture all necessary information. </w:t>
      </w:r>
    </w:p>
    <w:p w14:paraId="45456566" w14:textId="77777777" w:rsidR="00B03F9B" w:rsidRPr="008704BD" w:rsidRDefault="738CCA32" w:rsidP="1314CC47">
      <w:pPr>
        <w:jc w:val="both"/>
        <w:rPr>
          <w:rFonts w:ascii="Times New Roman" w:hAnsi="Times New Roman"/>
          <w:noProof/>
          <w:sz w:val="24"/>
          <w:lang w:val="en-GB"/>
        </w:rPr>
      </w:pPr>
      <w:r w:rsidRPr="008704BD">
        <w:rPr>
          <w:rFonts w:ascii="Times New Roman" w:hAnsi="Times New Roman"/>
          <w:b/>
          <w:noProof/>
          <w:sz w:val="24"/>
          <w:lang w:val="en-GB"/>
        </w:rPr>
        <w:t xml:space="preserve">It represents </w:t>
      </w:r>
      <w:r w:rsidR="1695150A" w:rsidRPr="008704BD">
        <w:rPr>
          <w:rFonts w:ascii="Times New Roman" w:hAnsi="Times New Roman"/>
          <w:b/>
          <w:noProof/>
          <w:sz w:val="24"/>
          <w:lang w:val="en-GB"/>
        </w:rPr>
        <w:t xml:space="preserve">overall </w:t>
      </w:r>
      <w:r w:rsidRPr="008704BD">
        <w:rPr>
          <w:rFonts w:ascii="Times New Roman" w:hAnsi="Times New Roman"/>
          <w:b/>
          <w:noProof/>
          <w:sz w:val="24"/>
          <w:lang w:val="en-GB"/>
        </w:rPr>
        <w:t xml:space="preserve">an </w:t>
      </w:r>
      <w:r w:rsidR="66839221" w:rsidRPr="008704BD">
        <w:rPr>
          <w:rFonts w:ascii="Times New Roman" w:hAnsi="Times New Roman"/>
          <w:b/>
          <w:noProof/>
          <w:sz w:val="24"/>
          <w:lang w:val="en-GB"/>
        </w:rPr>
        <w:t>e</w:t>
      </w:r>
      <w:r w:rsidR="5F0D915F" w:rsidRPr="008704BD">
        <w:rPr>
          <w:rFonts w:ascii="Times New Roman" w:hAnsi="Times New Roman"/>
          <w:b/>
          <w:noProof/>
          <w:sz w:val="24"/>
          <w:lang w:val="en-GB"/>
        </w:rPr>
        <w:t>merging market.</w:t>
      </w:r>
      <w:r w:rsidR="5F0D915F" w:rsidRPr="008704BD">
        <w:rPr>
          <w:rFonts w:ascii="Times New Roman" w:hAnsi="Times New Roman"/>
          <w:noProof/>
          <w:sz w:val="24"/>
          <w:lang w:val="en-GB"/>
        </w:rPr>
        <w:t xml:space="preserve"> </w:t>
      </w:r>
      <w:r w:rsidR="5BBB5B2D" w:rsidRPr="008704BD">
        <w:rPr>
          <w:rFonts w:ascii="Times New Roman" w:hAnsi="Times New Roman"/>
          <w:noProof/>
          <w:sz w:val="24"/>
          <w:lang w:val="en-GB"/>
        </w:rPr>
        <w:t xml:space="preserve">The first cryptocurrency, Bitcoin, was launched in </w:t>
      </w:r>
      <w:r w:rsidR="5E2AE0B0" w:rsidRPr="008704BD">
        <w:rPr>
          <w:rFonts w:ascii="Times New Roman" w:hAnsi="Times New Roman"/>
          <w:noProof/>
          <w:sz w:val="24"/>
          <w:lang w:val="en-GB"/>
        </w:rPr>
        <w:t>2009</w:t>
      </w:r>
      <w:r w:rsidR="5BBB5B2D" w:rsidRPr="008704BD">
        <w:rPr>
          <w:rFonts w:ascii="Times New Roman" w:hAnsi="Times New Roman"/>
          <w:noProof/>
          <w:sz w:val="24"/>
          <w:lang w:val="en-GB"/>
        </w:rPr>
        <w:t xml:space="preserve">. </w:t>
      </w:r>
      <w:r w:rsidR="6951697C" w:rsidRPr="008704BD">
        <w:rPr>
          <w:rFonts w:ascii="Times New Roman" w:hAnsi="Times New Roman"/>
          <w:noProof/>
          <w:sz w:val="24"/>
          <w:lang w:val="en-GB"/>
        </w:rPr>
        <w:t>As of today</w:t>
      </w:r>
      <w:r w:rsidR="54D2B816" w:rsidRPr="008704BD">
        <w:rPr>
          <w:rFonts w:ascii="Times New Roman" w:hAnsi="Times New Roman"/>
          <w:noProof/>
          <w:sz w:val="24"/>
          <w:lang w:val="en-GB"/>
        </w:rPr>
        <w:t>,</w:t>
      </w:r>
      <w:r w:rsidR="5BBB5B2D" w:rsidRPr="008704BD">
        <w:rPr>
          <w:rFonts w:ascii="Times New Roman" w:hAnsi="Times New Roman"/>
          <w:noProof/>
          <w:sz w:val="24"/>
          <w:lang w:val="en-GB"/>
        </w:rPr>
        <w:t xml:space="preserve"> there is a huge number of </w:t>
      </w:r>
      <w:r w:rsidR="259F1B8F" w:rsidRPr="008704BD">
        <w:rPr>
          <w:rFonts w:ascii="Times New Roman" w:hAnsi="Times New Roman"/>
          <w:noProof/>
          <w:sz w:val="24"/>
          <w:lang w:val="en-GB"/>
        </w:rPr>
        <w:t xml:space="preserve">crypto-assets and </w:t>
      </w:r>
      <w:r w:rsidR="78E8E56D" w:rsidRPr="008704BD">
        <w:rPr>
          <w:rFonts w:ascii="Times New Roman" w:hAnsi="Times New Roman"/>
          <w:noProof/>
          <w:sz w:val="24"/>
          <w:lang w:val="en-GB"/>
        </w:rPr>
        <w:t xml:space="preserve">CASPs </w:t>
      </w:r>
      <w:r w:rsidR="259F1B8F" w:rsidRPr="008704BD">
        <w:rPr>
          <w:rFonts w:ascii="Times New Roman" w:hAnsi="Times New Roman"/>
          <w:noProof/>
          <w:sz w:val="24"/>
          <w:lang w:val="en-GB"/>
        </w:rPr>
        <w:t>and t</w:t>
      </w:r>
      <w:r w:rsidR="5BBB5B2D" w:rsidRPr="008704BD">
        <w:rPr>
          <w:rFonts w:ascii="Times New Roman" w:hAnsi="Times New Roman"/>
          <w:noProof/>
          <w:sz w:val="24"/>
          <w:lang w:val="en-GB"/>
        </w:rPr>
        <w:t>otal crypto</w:t>
      </w:r>
      <w:r w:rsidR="0192D421" w:rsidRPr="008704BD">
        <w:rPr>
          <w:rFonts w:ascii="Times New Roman" w:hAnsi="Times New Roman"/>
          <w:noProof/>
          <w:sz w:val="24"/>
          <w:lang w:val="en-GB"/>
        </w:rPr>
        <w:t>-asset</w:t>
      </w:r>
      <w:r w:rsidR="5BBB5B2D" w:rsidRPr="008704BD">
        <w:rPr>
          <w:rFonts w:ascii="Times New Roman" w:hAnsi="Times New Roman"/>
          <w:noProof/>
          <w:sz w:val="24"/>
          <w:lang w:val="en-GB"/>
        </w:rPr>
        <w:t xml:space="preserve"> users have increased from 5 million in 2016 to at least 100 million in 2020</w:t>
      </w:r>
      <w:r w:rsidR="259C6635" w:rsidRPr="008704BD">
        <w:rPr>
          <w:rFonts w:ascii="Times New Roman" w:hAnsi="Times New Roman"/>
          <w:noProof/>
          <w:sz w:val="24"/>
          <w:lang w:val="en-GB"/>
        </w:rPr>
        <w:t xml:space="preserve"> with a market capitalization of total cryptocurrencies reaching </w:t>
      </w:r>
      <w:r w:rsidR="0B06E9F7" w:rsidRPr="008704BD">
        <w:rPr>
          <w:rFonts w:ascii="Times New Roman" w:hAnsi="Times New Roman"/>
          <w:noProof/>
          <w:sz w:val="24"/>
          <w:lang w:val="en-GB"/>
        </w:rPr>
        <w:t xml:space="preserve">EUR </w:t>
      </w:r>
      <w:r w:rsidR="2C5CD095" w:rsidRPr="008704BD">
        <w:rPr>
          <w:rFonts w:ascii="Times New Roman" w:hAnsi="Times New Roman"/>
          <w:noProof/>
          <w:sz w:val="24"/>
          <w:lang w:val="en-GB"/>
        </w:rPr>
        <w:t xml:space="preserve">1.8 </w:t>
      </w:r>
      <w:r w:rsidR="259C6635" w:rsidRPr="008704BD">
        <w:rPr>
          <w:rFonts w:ascii="Times New Roman" w:hAnsi="Times New Roman"/>
          <w:noProof/>
          <w:sz w:val="24"/>
          <w:lang w:val="en-GB"/>
        </w:rPr>
        <w:t xml:space="preserve">trillion in </w:t>
      </w:r>
      <w:r w:rsidR="2C5CD095" w:rsidRPr="008704BD">
        <w:rPr>
          <w:rFonts w:ascii="Times New Roman" w:hAnsi="Times New Roman"/>
          <w:noProof/>
          <w:sz w:val="24"/>
          <w:lang w:val="en-GB"/>
        </w:rPr>
        <w:t xml:space="preserve">September </w:t>
      </w:r>
      <w:r w:rsidR="259C6635" w:rsidRPr="008704BD">
        <w:rPr>
          <w:rFonts w:ascii="Times New Roman" w:hAnsi="Times New Roman"/>
          <w:noProof/>
          <w:sz w:val="24"/>
          <w:lang w:val="en-GB"/>
        </w:rPr>
        <w:t>2021.</w:t>
      </w:r>
      <w:r w:rsidR="55F2DB72" w:rsidRPr="008704BD">
        <w:rPr>
          <w:rFonts w:ascii="Times New Roman" w:hAnsi="Times New Roman"/>
          <w:noProof/>
          <w:sz w:val="24"/>
          <w:lang w:val="en-GB"/>
        </w:rPr>
        <w:t xml:space="preserve"> </w:t>
      </w:r>
      <w:r w:rsidR="5F0D915F" w:rsidRPr="008704BD">
        <w:rPr>
          <w:rFonts w:ascii="Times New Roman" w:hAnsi="Times New Roman"/>
          <w:noProof/>
          <w:sz w:val="24"/>
          <w:lang w:val="en-GB"/>
        </w:rPr>
        <w:t>The crypto-asset market</w:t>
      </w:r>
      <w:r w:rsidR="13271E56" w:rsidRPr="008704BD">
        <w:rPr>
          <w:rFonts w:ascii="Times New Roman" w:hAnsi="Times New Roman"/>
          <w:noProof/>
          <w:sz w:val="24"/>
          <w:lang w:val="en-GB"/>
        </w:rPr>
        <w:t>s</w:t>
      </w:r>
      <w:r w:rsidR="5F0D915F" w:rsidRPr="008704BD">
        <w:rPr>
          <w:rFonts w:ascii="Times New Roman" w:hAnsi="Times New Roman"/>
          <w:noProof/>
          <w:sz w:val="24"/>
          <w:lang w:val="en-GB"/>
        </w:rPr>
        <w:t xml:space="preserve"> </w:t>
      </w:r>
      <w:r w:rsidR="13271E56" w:rsidRPr="008704BD">
        <w:rPr>
          <w:rFonts w:ascii="Times New Roman" w:hAnsi="Times New Roman"/>
          <w:noProof/>
          <w:sz w:val="24"/>
          <w:lang w:val="en-GB"/>
        </w:rPr>
        <w:t>are</w:t>
      </w:r>
      <w:r w:rsidR="5F0D915F" w:rsidRPr="008704BD">
        <w:rPr>
          <w:rFonts w:ascii="Times New Roman" w:hAnsi="Times New Roman"/>
          <w:noProof/>
          <w:sz w:val="24"/>
          <w:lang w:val="en-GB"/>
        </w:rPr>
        <w:t xml:space="preserve"> very dynamic. New crypto</w:t>
      </w:r>
      <w:r w:rsidR="13271E56" w:rsidRPr="008704BD">
        <w:rPr>
          <w:rFonts w:ascii="Times New Roman" w:hAnsi="Times New Roman"/>
          <w:noProof/>
          <w:sz w:val="24"/>
          <w:lang w:val="en-GB"/>
        </w:rPr>
        <w:t>-</w:t>
      </w:r>
      <w:r w:rsidR="5F0D915F" w:rsidRPr="008704BD">
        <w:rPr>
          <w:rFonts w:ascii="Times New Roman" w:hAnsi="Times New Roman"/>
          <w:noProof/>
          <w:sz w:val="24"/>
          <w:lang w:val="en-GB"/>
        </w:rPr>
        <w:t xml:space="preserve">assets with new features appear </w:t>
      </w:r>
      <w:r w:rsidR="6951697C" w:rsidRPr="008704BD">
        <w:rPr>
          <w:rFonts w:ascii="Times New Roman" w:hAnsi="Times New Roman"/>
          <w:noProof/>
          <w:sz w:val="24"/>
          <w:lang w:val="en-GB"/>
        </w:rPr>
        <w:t xml:space="preserve">almost </w:t>
      </w:r>
      <w:r w:rsidR="5F0D915F" w:rsidRPr="008704BD">
        <w:rPr>
          <w:rFonts w:ascii="Times New Roman" w:hAnsi="Times New Roman"/>
          <w:noProof/>
          <w:sz w:val="24"/>
          <w:lang w:val="en-GB"/>
        </w:rPr>
        <w:t xml:space="preserve">every day all over the world. There are more than 9,000 different </w:t>
      </w:r>
      <w:r w:rsidR="5B101493" w:rsidRPr="008704BD">
        <w:rPr>
          <w:rFonts w:ascii="Times New Roman" w:hAnsi="Times New Roman"/>
          <w:noProof/>
          <w:sz w:val="24"/>
          <w:lang w:val="en-GB"/>
        </w:rPr>
        <w:t xml:space="preserve">crypto-assets </w:t>
      </w:r>
      <w:r w:rsidR="5F0D915F" w:rsidRPr="008704BD">
        <w:rPr>
          <w:rFonts w:ascii="Times New Roman" w:hAnsi="Times New Roman"/>
          <w:noProof/>
          <w:sz w:val="24"/>
          <w:lang w:val="en-GB"/>
        </w:rPr>
        <w:t xml:space="preserve">currently available. </w:t>
      </w:r>
      <w:r w:rsidR="27FE3CD7" w:rsidRPr="008704BD">
        <w:rPr>
          <w:rFonts w:ascii="Times New Roman" w:hAnsi="Times New Roman"/>
          <w:noProof/>
          <w:sz w:val="24"/>
          <w:lang w:val="en-GB"/>
        </w:rPr>
        <w:t xml:space="preserve">Although this is </w:t>
      </w:r>
      <w:r w:rsidR="40E60645" w:rsidRPr="008704BD">
        <w:rPr>
          <w:rFonts w:ascii="Times New Roman" w:hAnsi="Times New Roman"/>
          <w:noProof/>
          <w:sz w:val="24"/>
          <w:lang w:val="en-GB"/>
        </w:rPr>
        <w:t xml:space="preserve">both an emerging </w:t>
      </w:r>
      <w:r w:rsidR="712FB1C7" w:rsidRPr="008704BD">
        <w:rPr>
          <w:rFonts w:ascii="Times New Roman" w:hAnsi="Times New Roman"/>
          <w:noProof/>
          <w:sz w:val="24"/>
          <w:lang w:val="en-GB"/>
        </w:rPr>
        <w:t>a</w:t>
      </w:r>
      <w:r w:rsidR="74F605CF" w:rsidRPr="008704BD">
        <w:rPr>
          <w:rFonts w:ascii="Times New Roman" w:hAnsi="Times New Roman"/>
          <w:noProof/>
          <w:sz w:val="24"/>
          <w:lang w:val="en-GB"/>
        </w:rPr>
        <w:t>nd</w:t>
      </w:r>
      <w:r w:rsidR="27FE3CD7" w:rsidRPr="008704BD">
        <w:rPr>
          <w:rFonts w:ascii="Times New Roman" w:hAnsi="Times New Roman"/>
          <w:noProof/>
          <w:sz w:val="24"/>
          <w:lang w:val="en-GB"/>
        </w:rPr>
        <w:t xml:space="preserve"> rapidly evolving </w:t>
      </w:r>
      <w:r w:rsidR="0B06E9F7" w:rsidRPr="008704BD">
        <w:rPr>
          <w:rFonts w:ascii="Times New Roman" w:hAnsi="Times New Roman"/>
          <w:noProof/>
          <w:sz w:val="24"/>
          <w:lang w:val="en-GB"/>
        </w:rPr>
        <w:t>market</w:t>
      </w:r>
      <w:r w:rsidR="78E8E56D" w:rsidRPr="008704BD">
        <w:rPr>
          <w:rFonts w:ascii="Times New Roman" w:hAnsi="Times New Roman"/>
          <w:noProof/>
          <w:sz w:val="24"/>
          <w:lang w:val="en-GB"/>
        </w:rPr>
        <w:t>,</w:t>
      </w:r>
      <w:r w:rsidR="50D59246" w:rsidRPr="008704BD">
        <w:rPr>
          <w:rFonts w:ascii="Times New Roman" w:hAnsi="Times New Roman"/>
          <w:noProof/>
          <w:sz w:val="24"/>
          <w:lang w:val="en-GB"/>
        </w:rPr>
        <w:t xml:space="preserve"> </w:t>
      </w:r>
      <w:r w:rsidR="458A3D02" w:rsidRPr="008704BD">
        <w:rPr>
          <w:rFonts w:ascii="Times New Roman" w:hAnsi="Times New Roman"/>
          <w:noProof/>
          <w:sz w:val="24"/>
          <w:lang w:val="en-GB"/>
        </w:rPr>
        <w:t xml:space="preserve">the </w:t>
      </w:r>
      <w:r w:rsidR="22A2ABA2" w:rsidRPr="008704BD">
        <w:rPr>
          <w:rFonts w:ascii="Times New Roman" w:hAnsi="Times New Roman"/>
          <w:noProof/>
          <w:sz w:val="24"/>
          <w:lang w:val="en-GB"/>
        </w:rPr>
        <w:t>Commission</w:t>
      </w:r>
      <w:r w:rsidR="27FE3CD7" w:rsidRPr="008704BD">
        <w:rPr>
          <w:rFonts w:ascii="Times New Roman" w:hAnsi="Times New Roman"/>
          <w:noProof/>
          <w:sz w:val="24"/>
          <w:lang w:val="en-GB"/>
        </w:rPr>
        <w:t xml:space="preserve"> </w:t>
      </w:r>
      <w:r w:rsidR="0B06E9F7" w:rsidRPr="008704BD">
        <w:rPr>
          <w:rFonts w:ascii="Times New Roman" w:hAnsi="Times New Roman"/>
          <w:noProof/>
          <w:sz w:val="24"/>
          <w:lang w:val="en-GB"/>
        </w:rPr>
        <w:t>p</w:t>
      </w:r>
      <w:r w:rsidR="2D07FB49" w:rsidRPr="008704BD">
        <w:rPr>
          <w:rFonts w:ascii="Times New Roman" w:hAnsi="Times New Roman"/>
          <w:noProof/>
          <w:sz w:val="24"/>
          <w:lang w:val="en-GB"/>
        </w:rPr>
        <w:t xml:space="preserve">roposals </w:t>
      </w:r>
      <w:r w:rsidR="27FE3CD7" w:rsidRPr="008704BD">
        <w:rPr>
          <w:rFonts w:ascii="Times New Roman" w:hAnsi="Times New Roman"/>
          <w:noProof/>
          <w:sz w:val="24"/>
          <w:lang w:val="en-GB"/>
        </w:rPr>
        <w:t xml:space="preserve">such as MiCA </w:t>
      </w:r>
      <w:r w:rsidR="3771B59E" w:rsidRPr="008704BD">
        <w:rPr>
          <w:rFonts w:ascii="Times New Roman" w:hAnsi="Times New Roman"/>
          <w:noProof/>
          <w:sz w:val="24"/>
          <w:lang w:val="en-GB"/>
        </w:rPr>
        <w:t xml:space="preserve">provide for </w:t>
      </w:r>
      <w:r w:rsidR="6951697C" w:rsidRPr="008704BD">
        <w:rPr>
          <w:rFonts w:ascii="Times New Roman" w:hAnsi="Times New Roman"/>
          <w:noProof/>
          <w:sz w:val="24"/>
          <w:lang w:val="en-GB"/>
        </w:rPr>
        <w:t xml:space="preserve">the necessary level of </w:t>
      </w:r>
      <w:r w:rsidR="27FE3CD7" w:rsidRPr="008704BD">
        <w:rPr>
          <w:rFonts w:ascii="Times New Roman" w:hAnsi="Times New Roman"/>
          <w:noProof/>
          <w:sz w:val="24"/>
          <w:lang w:val="en-GB"/>
        </w:rPr>
        <w:t xml:space="preserve">consistency and clarity </w:t>
      </w:r>
      <w:r w:rsidR="5D72513F" w:rsidRPr="008704BD">
        <w:rPr>
          <w:rFonts w:ascii="Times New Roman" w:hAnsi="Times New Roman"/>
          <w:noProof/>
          <w:sz w:val="24"/>
          <w:lang w:val="en-GB"/>
        </w:rPr>
        <w:t>by defining what crypto-asset service providers and crypto-assets are.</w:t>
      </w:r>
      <w:r w:rsidR="1B82C9CB" w:rsidRPr="008704BD">
        <w:rPr>
          <w:rFonts w:ascii="Times New Roman" w:hAnsi="Times New Roman"/>
          <w:noProof/>
          <w:sz w:val="24"/>
          <w:lang w:val="en-GB"/>
        </w:rPr>
        <w:t xml:space="preserve"> </w:t>
      </w:r>
      <w:r w:rsidR="5F0D915F" w:rsidRPr="008704BD">
        <w:rPr>
          <w:rFonts w:ascii="Times New Roman" w:hAnsi="Times New Roman"/>
          <w:noProof/>
          <w:sz w:val="24"/>
          <w:lang w:val="en-GB"/>
        </w:rPr>
        <w:t xml:space="preserve"> </w:t>
      </w:r>
    </w:p>
    <w:p w14:paraId="124FC3B6" w14:textId="77777777" w:rsidR="002F5AA9" w:rsidRPr="008704BD" w:rsidRDefault="0DE03C9F" w:rsidP="715AE3ED">
      <w:pPr>
        <w:jc w:val="both"/>
        <w:rPr>
          <w:rFonts w:ascii="Times New Roman" w:hAnsi="Times New Roman"/>
          <w:noProof/>
          <w:sz w:val="24"/>
          <w:lang w:val="en-GB"/>
        </w:rPr>
      </w:pPr>
      <w:r w:rsidRPr="008704BD" w:rsidDel="63519872">
        <w:rPr>
          <w:rFonts w:ascii="Times New Roman" w:hAnsi="Times New Roman"/>
          <w:b/>
          <w:noProof/>
          <w:sz w:val="24"/>
          <w:lang w:val="en-GB"/>
        </w:rPr>
        <w:t>Pseudo</w:t>
      </w:r>
      <w:r w:rsidRPr="008704BD">
        <w:rPr>
          <w:rFonts w:ascii="Times New Roman" w:hAnsi="Times New Roman"/>
          <w:b/>
          <w:noProof/>
          <w:sz w:val="24"/>
          <w:lang w:val="en-GB"/>
        </w:rPr>
        <w:t>-anonymity</w:t>
      </w:r>
      <w:r w:rsidRPr="008704BD">
        <w:rPr>
          <w:rFonts w:ascii="Times New Roman" w:hAnsi="Times New Roman"/>
          <w:noProof/>
          <w:sz w:val="24"/>
          <w:lang w:val="en-GB"/>
        </w:rPr>
        <w:t xml:space="preserve">. </w:t>
      </w:r>
      <w:r w:rsidR="6C47708A" w:rsidRPr="008704BD">
        <w:rPr>
          <w:rFonts w:ascii="Times New Roman" w:hAnsi="Times New Roman"/>
          <w:noProof/>
          <w:sz w:val="24"/>
          <w:lang w:val="en-GB"/>
        </w:rPr>
        <w:t xml:space="preserve">Overall, in the </w:t>
      </w:r>
      <w:r w:rsidR="29DC50B1" w:rsidRPr="008704BD">
        <w:rPr>
          <w:rFonts w:ascii="Times New Roman" w:hAnsi="Times New Roman"/>
          <w:noProof/>
          <w:sz w:val="24"/>
          <w:lang w:val="en-GB"/>
        </w:rPr>
        <w:t>c</w:t>
      </w:r>
      <w:r w:rsidR="3AD4320E" w:rsidRPr="008704BD">
        <w:rPr>
          <w:rFonts w:ascii="Times New Roman" w:hAnsi="Times New Roman"/>
          <w:noProof/>
          <w:sz w:val="24"/>
          <w:lang w:val="en-GB"/>
        </w:rPr>
        <w:t>rypto-</w:t>
      </w:r>
      <w:r w:rsidR="6C47708A" w:rsidRPr="008704BD">
        <w:rPr>
          <w:rFonts w:ascii="Times New Roman" w:hAnsi="Times New Roman"/>
          <w:noProof/>
          <w:sz w:val="24"/>
          <w:lang w:val="en-GB"/>
        </w:rPr>
        <w:t>asset market</w:t>
      </w:r>
      <w:r w:rsidR="0F2F1A7D" w:rsidRPr="008704BD">
        <w:rPr>
          <w:rFonts w:ascii="Times New Roman" w:hAnsi="Times New Roman"/>
          <w:noProof/>
          <w:sz w:val="24"/>
          <w:lang w:val="en-GB"/>
        </w:rPr>
        <w:t>s</w:t>
      </w:r>
      <w:r w:rsidR="6C47708A" w:rsidRPr="008704BD">
        <w:rPr>
          <w:rFonts w:ascii="Times New Roman" w:hAnsi="Times New Roman"/>
          <w:noProof/>
          <w:sz w:val="24"/>
          <w:lang w:val="en-GB"/>
        </w:rPr>
        <w:t xml:space="preserve">, the level of transparency </w:t>
      </w:r>
      <w:r w:rsidR="0CB8D3BB" w:rsidRPr="008704BD">
        <w:rPr>
          <w:rFonts w:ascii="Times New Roman" w:hAnsi="Times New Roman"/>
          <w:noProof/>
          <w:sz w:val="24"/>
          <w:lang w:val="en-GB"/>
        </w:rPr>
        <w:t xml:space="preserve">for tax purposes </w:t>
      </w:r>
      <w:r w:rsidR="6C47708A" w:rsidRPr="008704BD">
        <w:rPr>
          <w:rFonts w:ascii="Times New Roman" w:hAnsi="Times New Roman"/>
          <w:noProof/>
          <w:sz w:val="24"/>
          <w:lang w:val="en-GB"/>
        </w:rPr>
        <w:t xml:space="preserve">is deficient. This new technology is used to create, hold and transfer </w:t>
      </w:r>
      <w:r w:rsidR="0DF3A35E" w:rsidRPr="008704BD">
        <w:rPr>
          <w:rFonts w:ascii="Times New Roman" w:hAnsi="Times New Roman"/>
          <w:noProof/>
          <w:sz w:val="24"/>
          <w:lang w:val="en-GB"/>
        </w:rPr>
        <w:t>crypto-</w:t>
      </w:r>
      <w:r w:rsidR="6C47708A" w:rsidRPr="008704BD">
        <w:rPr>
          <w:rFonts w:ascii="Times New Roman" w:hAnsi="Times New Roman"/>
          <w:noProof/>
          <w:sz w:val="24"/>
          <w:lang w:val="en-GB"/>
        </w:rPr>
        <w:t xml:space="preserve">assets without traditional third-party intermediaries clearly covered by existing legislation. The lack of </w:t>
      </w:r>
      <w:r w:rsidR="45F83D52" w:rsidRPr="008704BD">
        <w:rPr>
          <w:rFonts w:ascii="Times New Roman" w:hAnsi="Times New Roman"/>
          <w:noProof/>
          <w:sz w:val="24"/>
          <w:lang w:val="en-GB"/>
        </w:rPr>
        <w:t xml:space="preserve">a </w:t>
      </w:r>
      <w:r w:rsidR="6C47708A" w:rsidRPr="008704BD">
        <w:rPr>
          <w:rFonts w:ascii="Times New Roman" w:hAnsi="Times New Roman"/>
          <w:noProof/>
          <w:sz w:val="24"/>
          <w:lang w:val="en-GB"/>
        </w:rPr>
        <w:t xml:space="preserve">central authority, combined with </w:t>
      </w:r>
      <w:r w:rsidR="3AD4320E" w:rsidRPr="008704BD">
        <w:rPr>
          <w:rFonts w:ascii="Times New Roman" w:hAnsi="Times New Roman"/>
          <w:noProof/>
          <w:sz w:val="24"/>
          <w:lang w:val="en-GB"/>
        </w:rPr>
        <w:t>pseudo-anonymity applying in some cases,</w:t>
      </w:r>
      <w:r w:rsidR="6C47708A" w:rsidRPr="008704BD">
        <w:rPr>
          <w:rFonts w:ascii="Times New Roman" w:hAnsi="Times New Roman"/>
          <w:noProof/>
          <w:sz w:val="24"/>
          <w:lang w:val="en-GB"/>
        </w:rPr>
        <w:t xml:space="preserve"> may </w:t>
      </w:r>
      <w:r w:rsidR="4706C6CA" w:rsidRPr="008704BD">
        <w:rPr>
          <w:rFonts w:ascii="Times New Roman" w:hAnsi="Times New Roman"/>
          <w:noProof/>
          <w:sz w:val="24"/>
          <w:lang w:val="en-GB"/>
        </w:rPr>
        <w:t>lead to</w:t>
      </w:r>
      <w:r w:rsidR="72CF479A" w:rsidRPr="008704BD">
        <w:rPr>
          <w:rFonts w:ascii="Times New Roman" w:hAnsi="Times New Roman"/>
          <w:noProof/>
          <w:sz w:val="24"/>
          <w:lang w:val="en-GB"/>
        </w:rPr>
        <w:t xml:space="preserve"> </w:t>
      </w:r>
      <w:r w:rsidR="6C47708A" w:rsidRPr="008704BD">
        <w:rPr>
          <w:rFonts w:ascii="Times New Roman" w:hAnsi="Times New Roman"/>
          <w:noProof/>
          <w:sz w:val="24"/>
          <w:lang w:val="en-GB"/>
        </w:rPr>
        <w:t xml:space="preserve">risks of tax </w:t>
      </w:r>
      <w:r w:rsidR="726B69B9" w:rsidRPr="008704BD">
        <w:rPr>
          <w:rFonts w:ascii="Times New Roman" w:hAnsi="Times New Roman"/>
          <w:noProof/>
          <w:sz w:val="24"/>
          <w:lang w:val="en-GB"/>
        </w:rPr>
        <w:t>fraud</w:t>
      </w:r>
      <w:r w:rsidR="1A31CC51" w:rsidRPr="008704BD">
        <w:rPr>
          <w:rFonts w:ascii="Times New Roman" w:hAnsi="Times New Roman"/>
          <w:noProof/>
          <w:sz w:val="24"/>
          <w:lang w:val="en-GB"/>
        </w:rPr>
        <w:t>,</w:t>
      </w:r>
      <w:r w:rsidR="72CF479A" w:rsidRPr="008704BD">
        <w:rPr>
          <w:rFonts w:ascii="Times New Roman" w:hAnsi="Times New Roman"/>
          <w:noProof/>
          <w:sz w:val="24"/>
          <w:lang w:val="en-GB"/>
        </w:rPr>
        <w:t xml:space="preserve"> </w:t>
      </w:r>
      <w:r w:rsidR="6C47708A" w:rsidRPr="008704BD">
        <w:rPr>
          <w:rFonts w:ascii="Times New Roman" w:hAnsi="Times New Roman"/>
          <w:noProof/>
          <w:sz w:val="24"/>
          <w:lang w:val="en-GB"/>
        </w:rPr>
        <w:t>evasion</w:t>
      </w:r>
      <w:r w:rsidR="3914C666" w:rsidRPr="008704BD">
        <w:rPr>
          <w:rFonts w:ascii="Times New Roman" w:hAnsi="Times New Roman"/>
          <w:noProof/>
          <w:sz w:val="24"/>
          <w:lang w:val="en-GB"/>
        </w:rPr>
        <w:t xml:space="preserve"> </w:t>
      </w:r>
      <w:r w:rsidR="6783EA11" w:rsidRPr="008704BD">
        <w:rPr>
          <w:rFonts w:ascii="Times New Roman" w:hAnsi="Times New Roman"/>
          <w:noProof/>
          <w:sz w:val="24"/>
          <w:lang w:val="en-GB"/>
        </w:rPr>
        <w:t xml:space="preserve">and </w:t>
      </w:r>
      <w:r w:rsidR="6C47708A" w:rsidRPr="008704BD">
        <w:rPr>
          <w:rFonts w:ascii="Times New Roman" w:hAnsi="Times New Roman"/>
          <w:noProof/>
          <w:sz w:val="24"/>
          <w:lang w:val="en-GB"/>
        </w:rPr>
        <w:t xml:space="preserve">avoidance. The </w:t>
      </w:r>
      <w:r w:rsidR="31ABE1DD" w:rsidRPr="008704BD">
        <w:rPr>
          <w:rFonts w:ascii="Times New Roman" w:hAnsi="Times New Roman"/>
          <w:noProof/>
          <w:sz w:val="24"/>
          <w:lang w:val="en-GB"/>
        </w:rPr>
        <w:t>Commission proposal for a</w:t>
      </w:r>
      <w:r w:rsidR="015861E3" w:rsidRPr="008704BD">
        <w:rPr>
          <w:rFonts w:ascii="Times New Roman" w:hAnsi="Times New Roman"/>
          <w:noProof/>
          <w:sz w:val="24"/>
          <w:lang w:val="en-GB"/>
        </w:rPr>
        <w:t xml:space="preserve"> </w:t>
      </w:r>
      <w:r w:rsidR="6C47708A" w:rsidRPr="008704BD">
        <w:rPr>
          <w:rFonts w:ascii="Times New Roman" w:hAnsi="Times New Roman"/>
          <w:noProof/>
          <w:sz w:val="24"/>
          <w:lang w:val="en-GB"/>
        </w:rPr>
        <w:t xml:space="preserve">Regulation on </w:t>
      </w:r>
      <w:r w:rsidR="0F2F1A7D" w:rsidRPr="008704BD">
        <w:rPr>
          <w:rFonts w:ascii="Times New Roman" w:hAnsi="Times New Roman"/>
          <w:noProof/>
          <w:sz w:val="24"/>
          <w:lang w:val="en-GB"/>
        </w:rPr>
        <w:t>MiCA</w:t>
      </w:r>
      <w:r w:rsidR="6C47708A" w:rsidRPr="008704BD">
        <w:rPr>
          <w:rFonts w:ascii="Times New Roman" w:hAnsi="Times New Roman"/>
          <w:noProof/>
          <w:sz w:val="24"/>
          <w:lang w:val="en-GB"/>
        </w:rPr>
        <w:t xml:space="preserve"> establishes uniform requirements for transparency and disclosure for crypto</w:t>
      </w:r>
      <w:r w:rsidR="573889A4" w:rsidRPr="008704BD">
        <w:rPr>
          <w:rFonts w:ascii="Times New Roman" w:hAnsi="Times New Roman"/>
          <w:noProof/>
          <w:sz w:val="24"/>
          <w:lang w:val="en-GB"/>
        </w:rPr>
        <w:t>-</w:t>
      </w:r>
      <w:r w:rsidR="6C47708A" w:rsidRPr="008704BD">
        <w:rPr>
          <w:rFonts w:ascii="Times New Roman" w:hAnsi="Times New Roman"/>
          <w:noProof/>
          <w:sz w:val="24"/>
          <w:lang w:val="en-GB"/>
        </w:rPr>
        <w:t xml:space="preserve">asset </w:t>
      </w:r>
      <w:r w:rsidR="0F2F1A7D" w:rsidRPr="008704BD">
        <w:rPr>
          <w:rFonts w:ascii="Times New Roman" w:hAnsi="Times New Roman"/>
          <w:noProof/>
          <w:sz w:val="24"/>
          <w:lang w:val="en-GB"/>
        </w:rPr>
        <w:t xml:space="preserve">service </w:t>
      </w:r>
      <w:r w:rsidR="6C47708A" w:rsidRPr="008704BD">
        <w:rPr>
          <w:rFonts w:ascii="Times New Roman" w:hAnsi="Times New Roman"/>
          <w:noProof/>
          <w:sz w:val="24"/>
          <w:lang w:val="en-GB"/>
        </w:rPr>
        <w:t xml:space="preserve">providers and issuers. </w:t>
      </w:r>
      <w:r w:rsidR="0388205B" w:rsidRPr="008704BD">
        <w:rPr>
          <w:rFonts w:ascii="Times New Roman" w:hAnsi="Times New Roman"/>
          <w:noProof/>
          <w:sz w:val="24"/>
          <w:lang w:val="en-GB"/>
        </w:rPr>
        <w:t xml:space="preserve">The proposed new AML rules will also require </w:t>
      </w:r>
      <w:r w:rsidR="0DAC5AE4" w:rsidRPr="008704BD">
        <w:rPr>
          <w:rFonts w:ascii="Times New Roman" w:hAnsi="Times New Roman"/>
          <w:noProof/>
          <w:sz w:val="24"/>
          <w:lang w:val="en-GB"/>
        </w:rPr>
        <w:t>CASPs</w:t>
      </w:r>
      <w:r w:rsidR="0388205B" w:rsidRPr="008704BD">
        <w:rPr>
          <w:rFonts w:ascii="Times New Roman" w:hAnsi="Times New Roman"/>
          <w:noProof/>
          <w:sz w:val="24"/>
          <w:lang w:val="en-GB"/>
        </w:rPr>
        <w:t xml:space="preserve"> to identify their customers through customer due diligence measures, to comply with new information obligations linked to crypto-assets transfers and to report possible suspicious transactions involving crypto-assets.</w:t>
      </w:r>
      <w:r w:rsidR="002F5AA9" w:rsidRPr="008704BD">
        <w:rPr>
          <w:rFonts w:ascii="Times New Roman" w:hAnsi="Times New Roman"/>
          <w:noProof/>
          <w:sz w:val="24"/>
          <w:vertAlign w:val="superscript"/>
          <w:lang w:val="en-GB"/>
        </w:rPr>
        <w:footnoteReference w:id="19"/>
      </w:r>
      <w:r w:rsidR="573889A4" w:rsidRPr="008704BD">
        <w:rPr>
          <w:rFonts w:ascii="Times New Roman" w:hAnsi="Times New Roman"/>
          <w:noProof/>
          <w:sz w:val="24"/>
          <w:lang w:val="en-GB"/>
        </w:rPr>
        <w:t xml:space="preserve"> </w:t>
      </w:r>
      <w:r w:rsidR="17AACD4F" w:rsidRPr="008704BD">
        <w:rPr>
          <w:rFonts w:ascii="Times New Roman" w:hAnsi="Times New Roman"/>
          <w:noProof/>
          <w:sz w:val="24"/>
          <w:lang w:val="en-GB"/>
        </w:rPr>
        <w:t>T</w:t>
      </w:r>
      <w:r w:rsidR="6EE90B16" w:rsidRPr="008704BD">
        <w:rPr>
          <w:rFonts w:ascii="Times New Roman" w:hAnsi="Times New Roman"/>
          <w:noProof/>
          <w:sz w:val="24"/>
          <w:lang w:val="en-GB"/>
        </w:rPr>
        <w:t>he DAC8</w:t>
      </w:r>
      <w:r w:rsidR="0DF3A35E" w:rsidRPr="008704BD">
        <w:rPr>
          <w:rFonts w:ascii="Times New Roman" w:hAnsi="Times New Roman"/>
          <w:noProof/>
          <w:sz w:val="24"/>
          <w:lang w:val="en-GB"/>
        </w:rPr>
        <w:t xml:space="preserve"> proposal inten</w:t>
      </w:r>
      <w:r w:rsidR="00566381" w:rsidRPr="008704BD">
        <w:rPr>
          <w:rFonts w:ascii="Times New Roman" w:hAnsi="Times New Roman"/>
          <w:noProof/>
          <w:sz w:val="24"/>
          <w:lang w:val="en-GB"/>
        </w:rPr>
        <w:t>d</w:t>
      </w:r>
      <w:r w:rsidR="0DF3A35E" w:rsidRPr="008704BD">
        <w:rPr>
          <w:rFonts w:ascii="Times New Roman" w:hAnsi="Times New Roman"/>
          <w:noProof/>
          <w:sz w:val="24"/>
          <w:lang w:val="en-GB"/>
        </w:rPr>
        <w:t xml:space="preserve">s to solve the pseudo-anonymity feature from </w:t>
      </w:r>
      <w:r w:rsidR="0FC77017" w:rsidRPr="008704BD">
        <w:rPr>
          <w:rFonts w:ascii="Times New Roman" w:hAnsi="Times New Roman"/>
          <w:noProof/>
          <w:sz w:val="24"/>
          <w:lang w:val="en-GB"/>
        </w:rPr>
        <w:t xml:space="preserve">a </w:t>
      </w:r>
      <w:r w:rsidR="0DF3A35E" w:rsidRPr="008704BD">
        <w:rPr>
          <w:rFonts w:ascii="Times New Roman" w:hAnsi="Times New Roman"/>
          <w:noProof/>
          <w:sz w:val="24"/>
          <w:lang w:val="en-GB"/>
        </w:rPr>
        <w:t>tax perspective.</w:t>
      </w:r>
      <w:r w:rsidR="3CE5ECA8" w:rsidRPr="008704BD">
        <w:rPr>
          <w:rFonts w:ascii="Times New Roman" w:hAnsi="Times New Roman"/>
          <w:noProof/>
          <w:sz w:val="24"/>
          <w:lang w:val="en-GB"/>
        </w:rPr>
        <w:t xml:space="preserve"> </w:t>
      </w:r>
    </w:p>
    <w:p w14:paraId="1913E5CD" w14:textId="77777777" w:rsidR="63519872" w:rsidRPr="008704BD" w:rsidRDefault="76D88490" w:rsidP="3AD302C7">
      <w:pPr>
        <w:pStyle w:val="ListParagraph"/>
        <w:ind w:left="0"/>
        <w:jc w:val="both"/>
        <w:rPr>
          <w:rFonts w:ascii="Times New Roman" w:hAnsi="Times New Roman"/>
          <w:noProof/>
          <w:sz w:val="24"/>
          <w:lang w:val="en-GB"/>
        </w:rPr>
      </w:pPr>
      <w:r w:rsidRPr="008704BD">
        <w:rPr>
          <w:rFonts w:ascii="Times New Roman" w:hAnsi="Times New Roman"/>
          <w:noProof/>
          <w:sz w:val="24"/>
          <w:lang w:val="en-GB"/>
        </w:rPr>
        <w:t>In addition</w:t>
      </w:r>
      <w:r w:rsidR="00987F26" w:rsidRPr="008704BD">
        <w:rPr>
          <w:rFonts w:ascii="Times New Roman" w:hAnsi="Times New Roman"/>
          <w:noProof/>
          <w:sz w:val="24"/>
          <w:lang w:val="en-GB"/>
        </w:rPr>
        <w:t>,</w:t>
      </w:r>
      <w:r w:rsidR="091142EF" w:rsidRPr="008704BD">
        <w:rPr>
          <w:rFonts w:ascii="Times New Roman" w:hAnsi="Times New Roman"/>
          <w:noProof/>
          <w:sz w:val="24"/>
          <w:lang w:val="en-GB"/>
        </w:rPr>
        <w:t xml:space="preserve"> there are </w:t>
      </w:r>
      <w:r w:rsidR="00987F26" w:rsidRPr="008704BD">
        <w:rPr>
          <w:rFonts w:ascii="Times New Roman" w:hAnsi="Times New Roman"/>
          <w:noProof/>
          <w:sz w:val="24"/>
          <w:lang w:val="en-GB"/>
        </w:rPr>
        <w:t xml:space="preserve">substantial </w:t>
      </w:r>
      <w:r w:rsidR="091142EF" w:rsidRPr="008704BD">
        <w:rPr>
          <w:rFonts w:ascii="Times New Roman" w:hAnsi="Times New Roman"/>
          <w:b/>
          <w:noProof/>
          <w:sz w:val="24"/>
          <w:lang w:val="en-GB"/>
        </w:rPr>
        <w:t>v</w:t>
      </w:r>
      <w:r w:rsidR="0DE03C9F" w:rsidRPr="008704BD">
        <w:rPr>
          <w:rFonts w:ascii="Times New Roman" w:hAnsi="Times New Roman"/>
          <w:b/>
          <w:noProof/>
          <w:sz w:val="24"/>
          <w:lang w:val="en-GB"/>
        </w:rPr>
        <w:t>aluation difficulties</w:t>
      </w:r>
      <w:r w:rsidR="560BC597" w:rsidRPr="008704BD">
        <w:rPr>
          <w:rFonts w:ascii="Times New Roman" w:hAnsi="Times New Roman"/>
          <w:b/>
          <w:noProof/>
          <w:sz w:val="24"/>
          <w:lang w:val="en-GB"/>
        </w:rPr>
        <w:t xml:space="preserve"> </w:t>
      </w:r>
      <w:r w:rsidR="560BC597" w:rsidRPr="008704BD">
        <w:rPr>
          <w:rFonts w:ascii="Times New Roman" w:hAnsi="Times New Roman"/>
          <w:noProof/>
          <w:sz w:val="24"/>
          <w:lang w:val="en-GB"/>
        </w:rPr>
        <w:t>due to the</w:t>
      </w:r>
      <w:r w:rsidR="560BC597" w:rsidRPr="008704BD">
        <w:rPr>
          <w:rFonts w:ascii="Times New Roman" w:hAnsi="Times New Roman"/>
          <w:b/>
          <w:noProof/>
          <w:sz w:val="24"/>
          <w:lang w:val="en-GB"/>
        </w:rPr>
        <w:t xml:space="preserve"> </w:t>
      </w:r>
      <w:r w:rsidR="6C47708A" w:rsidRPr="008704BD">
        <w:rPr>
          <w:rFonts w:ascii="Times New Roman" w:hAnsi="Times New Roman"/>
          <w:noProof/>
          <w:sz w:val="24"/>
          <w:lang w:val="en-GB"/>
        </w:rPr>
        <w:t>high level of price fluctuations</w:t>
      </w:r>
      <w:r w:rsidR="00987F26" w:rsidRPr="008704BD">
        <w:rPr>
          <w:rFonts w:ascii="Times New Roman" w:hAnsi="Times New Roman"/>
          <w:noProof/>
          <w:sz w:val="24"/>
          <w:lang w:val="en-GB"/>
        </w:rPr>
        <w:t>, which poses a major problem to</w:t>
      </w:r>
      <w:r w:rsidR="6C47708A" w:rsidRPr="008704BD">
        <w:rPr>
          <w:rFonts w:ascii="Times New Roman" w:hAnsi="Times New Roman"/>
          <w:noProof/>
          <w:sz w:val="24"/>
          <w:lang w:val="en-GB"/>
        </w:rPr>
        <w:t xml:space="preserve"> the computation of the overall </w:t>
      </w:r>
      <w:r w:rsidR="71BF7834" w:rsidRPr="008704BD">
        <w:rPr>
          <w:rFonts w:ascii="Times New Roman" w:hAnsi="Times New Roman"/>
          <w:noProof/>
          <w:sz w:val="24"/>
          <w:lang w:val="en-GB"/>
        </w:rPr>
        <w:t>holdings</w:t>
      </w:r>
      <w:r w:rsidR="6C47708A" w:rsidRPr="008704BD">
        <w:rPr>
          <w:rFonts w:ascii="Times New Roman" w:hAnsi="Times New Roman"/>
          <w:noProof/>
          <w:sz w:val="24"/>
          <w:lang w:val="en-GB"/>
        </w:rPr>
        <w:t xml:space="preserve"> and capital gains for tax purposes. For instance, Bitcoin investors have </w:t>
      </w:r>
      <w:r w:rsidR="39B4B450" w:rsidRPr="008704BD">
        <w:rPr>
          <w:rFonts w:ascii="Times New Roman" w:hAnsi="Times New Roman"/>
          <w:noProof/>
          <w:sz w:val="24"/>
          <w:lang w:val="en-GB"/>
        </w:rPr>
        <w:t xml:space="preserve">experienced </w:t>
      </w:r>
      <w:r w:rsidR="06EC5334" w:rsidRPr="008704BD">
        <w:rPr>
          <w:rFonts w:ascii="Times New Roman" w:hAnsi="Times New Roman"/>
          <w:noProof/>
          <w:sz w:val="24"/>
          <w:lang w:val="en-GB"/>
        </w:rPr>
        <w:t xml:space="preserve">considerable </w:t>
      </w:r>
      <w:r w:rsidR="406F5CC4" w:rsidRPr="008704BD">
        <w:rPr>
          <w:rFonts w:ascii="Times New Roman" w:hAnsi="Times New Roman"/>
          <w:noProof/>
          <w:sz w:val="24"/>
          <w:lang w:val="en-GB"/>
        </w:rPr>
        <w:t>volatil</w:t>
      </w:r>
      <w:r w:rsidR="20CA4A42" w:rsidRPr="008704BD">
        <w:rPr>
          <w:rFonts w:ascii="Times New Roman" w:hAnsi="Times New Roman"/>
          <w:noProof/>
          <w:sz w:val="24"/>
          <w:lang w:val="en-GB"/>
        </w:rPr>
        <w:t>ity</w:t>
      </w:r>
      <w:r w:rsidR="6C47708A" w:rsidRPr="008704BD">
        <w:rPr>
          <w:rFonts w:ascii="Times New Roman" w:hAnsi="Times New Roman"/>
          <w:noProof/>
          <w:sz w:val="24"/>
          <w:lang w:val="en-GB"/>
        </w:rPr>
        <w:t xml:space="preserve"> </w:t>
      </w:r>
      <w:r w:rsidR="344208D5" w:rsidRPr="008704BD">
        <w:rPr>
          <w:rFonts w:ascii="Times New Roman" w:hAnsi="Times New Roman"/>
          <w:noProof/>
          <w:sz w:val="24"/>
          <w:lang w:val="en-GB"/>
        </w:rPr>
        <w:t xml:space="preserve">over the </w:t>
      </w:r>
      <w:r w:rsidR="6C47708A" w:rsidRPr="008704BD">
        <w:rPr>
          <w:rFonts w:ascii="Times New Roman" w:hAnsi="Times New Roman"/>
          <w:noProof/>
          <w:sz w:val="24"/>
          <w:lang w:val="en-GB"/>
        </w:rPr>
        <w:t>last ten years.</w:t>
      </w:r>
      <w:r w:rsidR="6C47708A" w:rsidRPr="00A67E41">
        <w:rPr>
          <w:rFonts w:ascii="Times New Roman" w:eastAsiaTheme="minorEastAsia" w:hAnsi="Times New Roman" w:cs="Times New Roman"/>
          <w:noProof/>
          <w:sz w:val="24"/>
          <w:szCs w:val="24"/>
          <w:lang w:val="en-GB"/>
        </w:rPr>
        <w:t xml:space="preserve"> </w:t>
      </w:r>
      <w:r w:rsidR="0DE03C9F" w:rsidRPr="008704BD">
        <w:rPr>
          <w:rFonts w:ascii="Times New Roman" w:hAnsi="Times New Roman"/>
          <w:noProof/>
          <w:sz w:val="24"/>
          <w:lang w:val="en-GB"/>
        </w:rPr>
        <w:t xml:space="preserve">The </w:t>
      </w:r>
      <w:r w:rsidR="026E0787" w:rsidRPr="008704BD">
        <w:rPr>
          <w:rFonts w:ascii="Times New Roman" w:hAnsi="Times New Roman"/>
          <w:noProof/>
          <w:sz w:val="24"/>
          <w:lang w:val="en-GB"/>
        </w:rPr>
        <w:t xml:space="preserve">current </w:t>
      </w:r>
      <w:r w:rsidR="0DE03C9F" w:rsidRPr="008704BD">
        <w:rPr>
          <w:rFonts w:ascii="Times New Roman" w:hAnsi="Times New Roman"/>
          <w:noProof/>
          <w:sz w:val="24"/>
          <w:lang w:val="en-GB"/>
        </w:rPr>
        <w:t>absence of financial markets regulation for crypto-assets</w:t>
      </w:r>
      <w:r w:rsidR="1C9D677E" w:rsidRPr="008704BD">
        <w:rPr>
          <w:rFonts w:ascii="Times New Roman" w:hAnsi="Times New Roman"/>
          <w:noProof/>
          <w:sz w:val="24"/>
          <w:lang w:val="en-GB"/>
        </w:rPr>
        <w:t>, pending adoption of the Regulation on MiCA,</w:t>
      </w:r>
      <w:r w:rsidR="0DE03C9F" w:rsidRPr="008704BD">
        <w:rPr>
          <w:rFonts w:ascii="Times New Roman" w:hAnsi="Times New Roman"/>
          <w:noProof/>
          <w:sz w:val="24"/>
          <w:lang w:val="en-GB"/>
        </w:rPr>
        <w:t xml:space="preserve"> feeds into its volatility. </w:t>
      </w:r>
      <w:r w:rsidR="4B1F4F95" w:rsidRPr="008704BD">
        <w:rPr>
          <w:rFonts w:ascii="Times New Roman" w:hAnsi="Times New Roman"/>
          <w:noProof/>
          <w:sz w:val="24"/>
          <w:lang w:val="en-GB"/>
        </w:rPr>
        <w:t xml:space="preserve">This volatility may have been curbed to some extent as a result of the implementation by Member States of the Fourth </w:t>
      </w:r>
      <w:r w:rsidR="00434311" w:rsidRPr="008704BD">
        <w:rPr>
          <w:rFonts w:ascii="Times New Roman" w:hAnsi="Times New Roman"/>
          <w:noProof/>
          <w:sz w:val="24"/>
          <w:lang w:val="en-GB"/>
        </w:rPr>
        <w:t xml:space="preserve">and Fifth </w:t>
      </w:r>
      <w:r w:rsidR="4B1F4F95" w:rsidRPr="008704BD">
        <w:rPr>
          <w:rFonts w:ascii="Times New Roman" w:hAnsi="Times New Roman"/>
          <w:noProof/>
          <w:sz w:val="24"/>
          <w:lang w:val="en-GB"/>
        </w:rPr>
        <w:t>Anti-Money Laundering Directive</w:t>
      </w:r>
      <w:r w:rsidR="00434311" w:rsidRPr="008704BD">
        <w:rPr>
          <w:rStyle w:val="FootnoteReference"/>
          <w:rFonts w:ascii="Times New Roman" w:hAnsi="Times New Roman"/>
          <w:noProof/>
          <w:sz w:val="24"/>
          <w:lang w:val="en-GB"/>
        </w:rPr>
        <w:footnoteReference w:id="20"/>
      </w:r>
      <w:r w:rsidR="4B1F4F95" w:rsidRPr="008704BD">
        <w:rPr>
          <w:rFonts w:ascii="Times New Roman" w:hAnsi="Times New Roman"/>
          <w:noProof/>
          <w:sz w:val="24"/>
          <w:lang w:val="en-GB"/>
        </w:rPr>
        <w:t xml:space="preserve">, but is still significant. </w:t>
      </w:r>
      <w:r w:rsidR="6C47708A" w:rsidRPr="008704BD">
        <w:rPr>
          <w:rFonts w:ascii="Times New Roman" w:hAnsi="Times New Roman"/>
          <w:noProof/>
          <w:sz w:val="24"/>
          <w:lang w:val="en-GB"/>
        </w:rPr>
        <w:t>Apart from daily volatility, in which double-digit inc</w:t>
      </w:r>
      <w:r w:rsidR="13DA35CA" w:rsidRPr="008704BD">
        <w:rPr>
          <w:rFonts w:ascii="Times New Roman" w:hAnsi="Times New Roman"/>
          <w:noProof/>
          <w:sz w:val="24"/>
          <w:lang w:val="en-GB"/>
        </w:rPr>
        <w:t>reases</w:t>
      </w:r>
      <w:r w:rsidR="6C47708A" w:rsidRPr="008704BD">
        <w:rPr>
          <w:rFonts w:ascii="Times New Roman" w:hAnsi="Times New Roman"/>
          <w:noProof/>
          <w:sz w:val="24"/>
          <w:lang w:val="en-GB"/>
        </w:rPr>
        <w:t xml:space="preserve"> and de</w:t>
      </w:r>
      <w:r w:rsidR="2006192B" w:rsidRPr="008704BD">
        <w:rPr>
          <w:rFonts w:ascii="Times New Roman" w:hAnsi="Times New Roman"/>
          <w:noProof/>
          <w:sz w:val="24"/>
          <w:lang w:val="en-GB"/>
        </w:rPr>
        <w:t>creases</w:t>
      </w:r>
      <w:r w:rsidR="6C47708A" w:rsidRPr="008704BD">
        <w:rPr>
          <w:rFonts w:ascii="Times New Roman" w:hAnsi="Times New Roman"/>
          <w:noProof/>
          <w:sz w:val="24"/>
          <w:lang w:val="en-GB"/>
        </w:rPr>
        <w:t xml:space="preserve"> of its price are common, there </w:t>
      </w:r>
      <w:r w:rsidR="06EC5334" w:rsidRPr="008704BD">
        <w:rPr>
          <w:rFonts w:ascii="Times New Roman" w:hAnsi="Times New Roman"/>
          <w:noProof/>
          <w:sz w:val="24"/>
          <w:lang w:val="en-GB"/>
        </w:rPr>
        <w:t xml:space="preserve">were </w:t>
      </w:r>
      <w:r w:rsidR="6C47708A" w:rsidRPr="008704BD">
        <w:rPr>
          <w:rFonts w:ascii="Times New Roman" w:hAnsi="Times New Roman"/>
          <w:noProof/>
          <w:sz w:val="24"/>
          <w:lang w:val="en-GB"/>
        </w:rPr>
        <w:t xml:space="preserve">periods when the </w:t>
      </w:r>
      <w:r w:rsidR="769E86F5" w:rsidRPr="008704BD">
        <w:rPr>
          <w:rFonts w:ascii="Times New Roman" w:hAnsi="Times New Roman"/>
          <w:noProof/>
          <w:sz w:val="24"/>
          <w:lang w:val="en-GB"/>
        </w:rPr>
        <w:t>crypto-assets</w:t>
      </w:r>
      <w:r w:rsidR="6C47708A" w:rsidRPr="008704BD">
        <w:rPr>
          <w:rFonts w:ascii="Times New Roman" w:hAnsi="Times New Roman"/>
          <w:noProof/>
          <w:sz w:val="24"/>
          <w:lang w:val="en-GB"/>
        </w:rPr>
        <w:t>’</w:t>
      </w:r>
      <w:r w:rsidR="769E86F5" w:rsidRPr="008704BD">
        <w:rPr>
          <w:rFonts w:ascii="Times New Roman" w:hAnsi="Times New Roman"/>
          <w:noProof/>
          <w:sz w:val="24"/>
          <w:lang w:val="en-GB"/>
        </w:rPr>
        <w:t xml:space="preserve"> </w:t>
      </w:r>
      <w:r w:rsidR="6C47708A" w:rsidRPr="008704BD">
        <w:rPr>
          <w:rFonts w:ascii="Times New Roman" w:hAnsi="Times New Roman"/>
          <w:noProof/>
          <w:sz w:val="24"/>
          <w:lang w:val="en-GB"/>
        </w:rPr>
        <w:t>price changes have outpaced even their usually volatile swings, resulting in massive price bubbles. The unstable value of crypto</w:t>
      </w:r>
      <w:r w:rsidR="0F2F1A7D" w:rsidRPr="008704BD">
        <w:rPr>
          <w:rFonts w:ascii="Times New Roman" w:hAnsi="Times New Roman"/>
          <w:noProof/>
          <w:sz w:val="24"/>
          <w:lang w:val="en-GB"/>
        </w:rPr>
        <w:t>-</w:t>
      </w:r>
      <w:r w:rsidR="6C47708A" w:rsidRPr="008704BD">
        <w:rPr>
          <w:rFonts w:ascii="Times New Roman" w:hAnsi="Times New Roman"/>
          <w:noProof/>
          <w:sz w:val="24"/>
          <w:lang w:val="en-GB"/>
        </w:rPr>
        <w:t xml:space="preserve">assets </w:t>
      </w:r>
      <w:r w:rsidR="39A33A64" w:rsidRPr="008704BD">
        <w:rPr>
          <w:rFonts w:ascii="Times New Roman" w:hAnsi="Times New Roman"/>
          <w:noProof/>
          <w:sz w:val="24"/>
          <w:lang w:val="en-GB"/>
        </w:rPr>
        <w:t xml:space="preserve">makes it difficult for tax administration to carry out their </w:t>
      </w:r>
      <w:r w:rsidR="0FC77017" w:rsidRPr="008704BD">
        <w:rPr>
          <w:rFonts w:ascii="Times New Roman" w:hAnsi="Times New Roman"/>
          <w:noProof/>
          <w:sz w:val="24"/>
          <w:lang w:val="en-GB"/>
        </w:rPr>
        <w:t xml:space="preserve">core </w:t>
      </w:r>
      <w:r w:rsidR="39A33A64" w:rsidRPr="008704BD">
        <w:rPr>
          <w:rFonts w:ascii="Times New Roman" w:hAnsi="Times New Roman"/>
          <w:noProof/>
          <w:sz w:val="24"/>
          <w:lang w:val="en-GB"/>
        </w:rPr>
        <w:t xml:space="preserve">tasks. </w:t>
      </w:r>
      <w:r w:rsidR="6C47708A" w:rsidRPr="008704BD">
        <w:rPr>
          <w:rFonts w:ascii="Times New Roman" w:hAnsi="Times New Roman"/>
          <w:noProof/>
          <w:sz w:val="24"/>
          <w:lang w:val="en-GB"/>
        </w:rPr>
        <w:t xml:space="preserve">The value is one of the essential data </w:t>
      </w:r>
      <w:r w:rsidR="346961C0" w:rsidRPr="008704BD">
        <w:rPr>
          <w:rFonts w:ascii="Times New Roman" w:hAnsi="Times New Roman"/>
          <w:noProof/>
          <w:sz w:val="24"/>
          <w:lang w:val="en-GB"/>
        </w:rPr>
        <w:t>components that</w:t>
      </w:r>
      <w:r w:rsidR="6C47708A" w:rsidRPr="008704BD">
        <w:rPr>
          <w:rFonts w:ascii="Times New Roman" w:hAnsi="Times New Roman"/>
          <w:noProof/>
          <w:sz w:val="24"/>
          <w:lang w:val="en-GB"/>
        </w:rPr>
        <w:t xml:space="preserve"> tax administrations need to </w:t>
      </w:r>
      <w:r w:rsidR="40AED5AE" w:rsidRPr="008704BD">
        <w:rPr>
          <w:rFonts w:ascii="Times New Roman" w:hAnsi="Times New Roman"/>
          <w:noProof/>
          <w:sz w:val="24"/>
          <w:lang w:val="en-GB"/>
        </w:rPr>
        <w:t xml:space="preserve">be able to </w:t>
      </w:r>
      <w:r w:rsidR="6C47708A" w:rsidRPr="008704BD">
        <w:rPr>
          <w:rFonts w:ascii="Times New Roman" w:hAnsi="Times New Roman"/>
          <w:noProof/>
          <w:sz w:val="24"/>
          <w:lang w:val="en-GB"/>
        </w:rPr>
        <w:t xml:space="preserve">perform </w:t>
      </w:r>
      <w:r w:rsidR="609E4319" w:rsidRPr="008704BD">
        <w:rPr>
          <w:rFonts w:ascii="Times New Roman" w:hAnsi="Times New Roman"/>
          <w:noProof/>
          <w:sz w:val="24"/>
          <w:lang w:val="en-GB"/>
        </w:rPr>
        <w:t xml:space="preserve">a </w:t>
      </w:r>
      <w:r w:rsidR="4936DD2A" w:rsidRPr="008704BD">
        <w:rPr>
          <w:rFonts w:ascii="Times New Roman" w:hAnsi="Times New Roman"/>
          <w:noProof/>
          <w:sz w:val="24"/>
          <w:lang w:val="en-GB"/>
        </w:rPr>
        <w:t>high-level</w:t>
      </w:r>
      <w:r w:rsidR="609E4319" w:rsidRPr="008704BD">
        <w:rPr>
          <w:rFonts w:ascii="Times New Roman" w:hAnsi="Times New Roman"/>
          <w:noProof/>
          <w:sz w:val="24"/>
          <w:lang w:val="en-GB"/>
        </w:rPr>
        <w:t xml:space="preserve"> risk assessment.</w:t>
      </w:r>
      <w:r w:rsidR="6C47708A" w:rsidRPr="008704BD">
        <w:rPr>
          <w:rFonts w:ascii="Times New Roman" w:hAnsi="Times New Roman"/>
          <w:noProof/>
          <w:sz w:val="24"/>
          <w:lang w:val="en-GB"/>
        </w:rPr>
        <w:t xml:space="preserve"> </w:t>
      </w:r>
    </w:p>
    <w:p w14:paraId="2B63A44B" w14:textId="77777777" w:rsidR="750E9C75" w:rsidRPr="006E5F59" w:rsidRDefault="750E9C75" w:rsidP="715AE3ED">
      <w:pPr>
        <w:spacing w:after="200" w:line="240" w:lineRule="auto"/>
        <w:jc w:val="both"/>
        <w:rPr>
          <w:rFonts w:ascii="Times New Roman" w:eastAsiaTheme="minorEastAsia" w:hAnsi="Times New Roman" w:cs="Times New Roman"/>
          <w:noProof/>
          <w:lang w:val="en-GB"/>
        </w:rPr>
      </w:pPr>
    </w:p>
    <w:p w14:paraId="28A29B47" w14:textId="77777777" w:rsidR="33F5C6B5" w:rsidRPr="006E5F59" w:rsidRDefault="31FC694A" w:rsidP="41BAA3BB">
      <w:pPr>
        <w:pStyle w:val="Heading2"/>
        <w:rPr>
          <w:rFonts w:cs="Times New Roman"/>
          <w:i/>
          <w:iCs/>
          <w:noProof/>
          <w:lang w:val="en-GB"/>
        </w:rPr>
      </w:pPr>
      <w:bookmarkStart w:id="59" w:name="_Toc83741994"/>
      <w:bookmarkStart w:id="60" w:name="_Toc83824370"/>
      <w:bookmarkStart w:id="61" w:name="_Toc84338454"/>
      <w:bookmarkStart w:id="62" w:name="_Toc84520032"/>
      <w:bookmarkStart w:id="63" w:name="_Toc84579896"/>
      <w:bookmarkStart w:id="64" w:name="_Toc85052189"/>
      <w:bookmarkStart w:id="65" w:name="_Toc1837627142"/>
      <w:bookmarkStart w:id="66" w:name="_Toc666732943"/>
      <w:bookmarkStart w:id="67" w:name="_Toc486088265"/>
      <w:bookmarkStart w:id="68" w:name="_Toc93306867"/>
      <w:r w:rsidRPr="41BAA3BB">
        <w:rPr>
          <w:rFonts w:cs="Times New Roman"/>
          <w:noProof/>
        </w:rPr>
        <w:t xml:space="preserve">2.3 </w:t>
      </w:r>
      <w:r w:rsidR="33F5C6B5" w:rsidRPr="41BAA3BB">
        <w:rPr>
          <w:rFonts w:cs="Times New Roman"/>
          <w:noProof/>
          <w:lang w:val="en-GB"/>
        </w:rPr>
        <w:t>How will t</w:t>
      </w:r>
      <w:r w:rsidR="33F5C6B5" w:rsidRPr="41BAA3BB">
        <w:rPr>
          <w:rFonts w:cs="Times New Roman"/>
          <w:noProof/>
          <w:lang w:val="en-GB" w:eastAsia="en-GB"/>
        </w:rPr>
        <w:t>he problem evolve in the absence of an EU policy initiative?</w:t>
      </w:r>
      <w:bookmarkEnd w:id="59"/>
      <w:bookmarkEnd w:id="60"/>
      <w:bookmarkEnd w:id="61"/>
      <w:bookmarkEnd w:id="62"/>
      <w:bookmarkEnd w:id="63"/>
      <w:bookmarkEnd w:id="64"/>
      <w:bookmarkEnd w:id="65"/>
      <w:bookmarkEnd w:id="66"/>
      <w:bookmarkEnd w:id="67"/>
      <w:bookmarkEnd w:id="68"/>
    </w:p>
    <w:p w14:paraId="012BB7F5" w14:textId="77777777" w:rsidR="395B2933" w:rsidRPr="008704BD" w:rsidRDefault="56A555F9" w:rsidP="232FE52E">
      <w:pPr>
        <w:pStyle w:val="NormalWeb"/>
        <w:jc w:val="both"/>
        <w:rPr>
          <w:noProof/>
          <w:lang w:val="en-GB"/>
        </w:rPr>
      </w:pPr>
      <w:r w:rsidRPr="008704BD">
        <w:rPr>
          <w:noProof/>
          <w:lang w:val="en-GB"/>
        </w:rPr>
        <w:t xml:space="preserve">In the absence of an EU policy initiative, the underreporting of income and revenues will increase in proportion to the growth of the crypto-asset market. Bearing in mind that this market is growing at a double-digit annual pace, the relevance of this proposal </w:t>
      </w:r>
      <w:r w:rsidR="23010BBB" w:rsidRPr="008704BD">
        <w:rPr>
          <w:noProof/>
          <w:lang w:val="en-GB"/>
        </w:rPr>
        <w:t xml:space="preserve">is </w:t>
      </w:r>
      <w:r w:rsidRPr="008704BD">
        <w:rPr>
          <w:noProof/>
          <w:lang w:val="en-GB"/>
        </w:rPr>
        <w:t>clear. Tax fraud, evasion and avoidance and the associated loss of tax revenues affect Member States</w:t>
      </w:r>
      <w:r w:rsidR="52D3266B" w:rsidRPr="008704BD">
        <w:rPr>
          <w:noProof/>
          <w:lang w:val="en-GB"/>
        </w:rPr>
        <w:t>’</w:t>
      </w:r>
      <w:r w:rsidRPr="008704BD">
        <w:rPr>
          <w:noProof/>
          <w:lang w:val="en-GB"/>
        </w:rPr>
        <w:t xml:space="preserve"> resources and therefore their capacity to develop their policies</w:t>
      </w:r>
      <w:r w:rsidR="52D3266B" w:rsidRPr="008704BD">
        <w:rPr>
          <w:noProof/>
          <w:lang w:val="en-GB"/>
        </w:rPr>
        <w:t>.</w:t>
      </w:r>
      <w:r w:rsidRPr="008704BD">
        <w:rPr>
          <w:noProof/>
          <w:lang w:val="en-GB"/>
        </w:rPr>
        <w:t xml:space="preserve"> </w:t>
      </w:r>
      <w:r w:rsidR="52D3266B" w:rsidRPr="008704BD">
        <w:rPr>
          <w:noProof/>
          <w:lang w:val="en-GB"/>
        </w:rPr>
        <w:t>I</w:t>
      </w:r>
      <w:r w:rsidRPr="008704BD">
        <w:rPr>
          <w:noProof/>
          <w:lang w:val="en-GB"/>
        </w:rPr>
        <w:t>ndirectly all citizens are impacted.</w:t>
      </w:r>
    </w:p>
    <w:p w14:paraId="053CD839" w14:textId="77777777" w:rsidR="395B2933" w:rsidRPr="00A67E41" w:rsidRDefault="56A555F9" w:rsidP="232FE52E">
      <w:pPr>
        <w:pStyle w:val="NormalWeb"/>
        <w:jc w:val="both"/>
        <w:rPr>
          <w:noProof/>
          <w:lang w:val="en-GB"/>
        </w:rPr>
      </w:pPr>
      <w:r w:rsidRPr="008704BD">
        <w:rPr>
          <w:b/>
          <w:noProof/>
          <w:lang w:val="en-GB"/>
        </w:rPr>
        <w:t xml:space="preserve">In the absence of a European framework for the reporting and exchange of information </w:t>
      </w:r>
      <w:r w:rsidR="370BEBC5" w:rsidRPr="008704BD">
        <w:rPr>
          <w:b/>
          <w:noProof/>
          <w:lang w:val="en-GB"/>
        </w:rPr>
        <w:t xml:space="preserve">on crypto-assets </w:t>
      </w:r>
      <w:r w:rsidRPr="008704BD">
        <w:rPr>
          <w:b/>
          <w:noProof/>
          <w:lang w:val="en-GB"/>
        </w:rPr>
        <w:t>for tax purposes</w:t>
      </w:r>
      <w:r w:rsidRPr="008704BD">
        <w:rPr>
          <w:noProof/>
          <w:lang w:val="en-GB"/>
        </w:rPr>
        <w:t xml:space="preserve">, some Member States may </w:t>
      </w:r>
      <w:r w:rsidR="3AD0FBCC" w:rsidRPr="008704BD">
        <w:rPr>
          <w:noProof/>
          <w:lang w:val="en-GB"/>
        </w:rPr>
        <w:t>decide to</w:t>
      </w:r>
      <w:r w:rsidRPr="008704BD">
        <w:rPr>
          <w:noProof/>
          <w:lang w:val="en-GB"/>
        </w:rPr>
        <w:t xml:space="preserve"> implement a domestic reporting framework for crypto-asset transactions. However, such domestic reporting framework would not be sufficient given the international and highly mobile character of the market. Furthermore, Member States are likely to take different approaches to reporting and there will be no efficient exchange of such information amongst them. This would increase the risk of tax fraud, </w:t>
      </w:r>
      <w:r w:rsidR="52D3266B" w:rsidRPr="008704BD">
        <w:rPr>
          <w:noProof/>
          <w:lang w:val="en-GB"/>
        </w:rPr>
        <w:t xml:space="preserve">evasion and </w:t>
      </w:r>
      <w:r w:rsidRPr="008704BD">
        <w:rPr>
          <w:noProof/>
          <w:lang w:val="en-GB"/>
        </w:rPr>
        <w:t xml:space="preserve">avoidance.   </w:t>
      </w:r>
    </w:p>
    <w:p w14:paraId="0A3FA840" w14:textId="77777777" w:rsidR="00371EBA" w:rsidRPr="008704BD" w:rsidRDefault="00371EBA" w:rsidP="00D312CE">
      <w:pPr>
        <w:jc w:val="both"/>
        <w:rPr>
          <w:rFonts w:ascii="Times New Roman" w:hAnsi="Times New Roman"/>
          <w:noProof/>
          <w:sz w:val="24"/>
          <w:lang w:val="en-GB"/>
        </w:rPr>
      </w:pPr>
      <w:r w:rsidRPr="008704BD">
        <w:rPr>
          <w:rFonts w:ascii="Times New Roman" w:hAnsi="Times New Roman"/>
          <w:noProof/>
          <w:sz w:val="24"/>
          <w:lang w:val="en-GB"/>
        </w:rPr>
        <w:t xml:space="preserve">With regard to peer-to-peer transactions, the risk of tax fraud, evasion and avoidance is even higher given that these transactions cannot be traced. The risk is that crypto-asset users could decide to change to peer-to-peer transaction in order to evade reporting. Consequently, the main difficulty stems from the fact that no CASPs are in-between and therefore, no reporting is possible. </w:t>
      </w:r>
    </w:p>
    <w:p w14:paraId="47265E4C" w14:textId="77777777" w:rsidR="395B2933" w:rsidRPr="008704BD" w:rsidRDefault="56A555F9" w:rsidP="008E2DB3">
      <w:pPr>
        <w:jc w:val="both"/>
        <w:rPr>
          <w:rFonts w:ascii="Times New Roman" w:hAnsi="Times New Roman"/>
          <w:noProof/>
          <w:sz w:val="24"/>
          <w:lang w:val="en-GB"/>
        </w:rPr>
      </w:pPr>
      <w:r w:rsidRPr="008704BD">
        <w:rPr>
          <w:rFonts w:ascii="Times New Roman" w:hAnsi="Times New Roman"/>
          <w:noProof/>
          <w:sz w:val="24"/>
          <w:lang w:val="en-GB"/>
        </w:rPr>
        <w:t xml:space="preserve">According to the targeted consultation of the Member States, most Member States have not </w:t>
      </w:r>
      <w:r w:rsidR="0FC77017" w:rsidRPr="008704BD">
        <w:rPr>
          <w:rFonts w:ascii="Times New Roman" w:hAnsi="Times New Roman"/>
          <w:noProof/>
          <w:sz w:val="24"/>
          <w:lang w:val="en-GB"/>
        </w:rPr>
        <w:t>yet</w:t>
      </w:r>
      <w:r w:rsidRPr="008704BD">
        <w:rPr>
          <w:rFonts w:ascii="Times New Roman" w:hAnsi="Times New Roman"/>
          <w:noProof/>
          <w:sz w:val="24"/>
          <w:lang w:val="en-GB"/>
        </w:rPr>
        <w:t xml:space="preserve"> introduced any tax provisions or guidance at national level concerning the reporting of crypto-assets for tax purposes. The introduction of divergent reporting requirements would result in a more complex business environment: for a hypothetical CASP operating across 27 Member States</w:t>
      </w:r>
      <w:r w:rsidR="0FC77017" w:rsidRPr="008704BD">
        <w:rPr>
          <w:rFonts w:ascii="Times New Roman" w:hAnsi="Times New Roman"/>
          <w:noProof/>
          <w:sz w:val="24"/>
          <w:lang w:val="en-GB"/>
        </w:rPr>
        <w:t>.</w:t>
      </w:r>
      <w:r w:rsidRPr="008704BD">
        <w:rPr>
          <w:rFonts w:ascii="Times New Roman" w:hAnsi="Times New Roman"/>
          <w:noProof/>
          <w:sz w:val="24"/>
          <w:lang w:val="en-GB"/>
        </w:rPr>
        <w:t xml:space="preserve"> </w:t>
      </w:r>
      <w:r w:rsidR="0FC77017" w:rsidRPr="008704BD">
        <w:rPr>
          <w:rFonts w:ascii="Times New Roman" w:hAnsi="Times New Roman"/>
          <w:noProof/>
          <w:sz w:val="24"/>
          <w:lang w:val="en-GB"/>
        </w:rPr>
        <w:t>C</w:t>
      </w:r>
      <w:r w:rsidRPr="008704BD">
        <w:rPr>
          <w:rFonts w:ascii="Times New Roman" w:hAnsi="Times New Roman"/>
          <w:noProof/>
          <w:sz w:val="24"/>
          <w:lang w:val="en-GB"/>
        </w:rPr>
        <w:t>osts of compliance with 27 different requirements would be higher than having to deal with one standard for reporting. Eventually, this w</w:t>
      </w:r>
      <w:r w:rsidR="13B5372F" w:rsidRPr="008704BD">
        <w:rPr>
          <w:rFonts w:ascii="Times New Roman" w:hAnsi="Times New Roman"/>
          <w:noProof/>
          <w:sz w:val="24"/>
          <w:lang w:val="en-GB"/>
        </w:rPr>
        <w:t>ould</w:t>
      </w:r>
      <w:r w:rsidRPr="008704BD">
        <w:rPr>
          <w:rFonts w:ascii="Times New Roman" w:hAnsi="Times New Roman"/>
          <w:noProof/>
          <w:sz w:val="24"/>
          <w:lang w:val="en-GB"/>
        </w:rPr>
        <w:t xml:space="preserve"> also create distortions in the </w:t>
      </w:r>
      <w:r w:rsidR="0FC77017" w:rsidRPr="008704BD">
        <w:rPr>
          <w:rFonts w:ascii="Times New Roman" w:hAnsi="Times New Roman"/>
          <w:noProof/>
          <w:sz w:val="24"/>
          <w:lang w:val="en-GB"/>
        </w:rPr>
        <w:t>I</w:t>
      </w:r>
      <w:r w:rsidRPr="008704BD">
        <w:rPr>
          <w:rFonts w:ascii="Times New Roman" w:hAnsi="Times New Roman"/>
          <w:noProof/>
          <w:sz w:val="24"/>
          <w:lang w:val="en-GB"/>
        </w:rPr>
        <w:t xml:space="preserve">nternal </w:t>
      </w:r>
      <w:r w:rsidR="0FC77017" w:rsidRPr="008704BD">
        <w:rPr>
          <w:rFonts w:ascii="Times New Roman" w:hAnsi="Times New Roman"/>
          <w:noProof/>
          <w:sz w:val="24"/>
          <w:lang w:val="en-GB"/>
        </w:rPr>
        <w:t>M</w:t>
      </w:r>
      <w:r w:rsidRPr="008704BD">
        <w:rPr>
          <w:rFonts w:ascii="Times New Roman" w:hAnsi="Times New Roman"/>
          <w:noProof/>
          <w:sz w:val="24"/>
          <w:lang w:val="en-GB"/>
        </w:rPr>
        <w:t>arket. If a CASP is based in a Member State without any requirement for reporting, yet operat</w:t>
      </w:r>
      <w:r w:rsidR="0FC77017" w:rsidRPr="008704BD">
        <w:rPr>
          <w:rFonts w:ascii="Times New Roman" w:hAnsi="Times New Roman"/>
          <w:noProof/>
          <w:sz w:val="24"/>
          <w:lang w:val="en-GB"/>
        </w:rPr>
        <w:t>ing</w:t>
      </w:r>
      <w:r w:rsidRPr="008704BD">
        <w:rPr>
          <w:rFonts w:ascii="Times New Roman" w:hAnsi="Times New Roman"/>
          <w:noProof/>
          <w:sz w:val="24"/>
          <w:lang w:val="en-GB"/>
        </w:rPr>
        <w:t xml:space="preserve"> in several Member States, it may have a competitive advantage vis-à-vis a CASP that provides the same </w:t>
      </w:r>
      <w:r w:rsidR="46275B0B" w:rsidRPr="008704BD">
        <w:rPr>
          <w:rFonts w:ascii="Times New Roman" w:hAnsi="Times New Roman"/>
          <w:noProof/>
          <w:sz w:val="24"/>
          <w:lang w:val="en-GB"/>
        </w:rPr>
        <w:t>services but</w:t>
      </w:r>
      <w:r w:rsidRPr="008704BD">
        <w:rPr>
          <w:rFonts w:ascii="Times New Roman" w:hAnsi="Times New Roman"/>
          <w:noProof/>
          <w:sz w:val="24"/>
          <w:lang w:val="en-GB"/>
        </w:rPr>
        <w:t xml:space="preserve"> is based in a Member State with a reporting requirement. More subtly, distortions may </w:t>
      </w:r>
      <w:r w:rsidR="0FC77017" w:rsidRPr="008704BD">
        <w:rPr>
          <w:rFonts w:ascii="Times New Roman" w:hAnsi="Times New Roman"/>
          <w:noProof/>
          <w:sz w:val="24"/>
          <w:lang w:val="en-GB"/>
        </w:rPr>
        <w:t>be created by differences between</w:t>
      </w:r>
      <w:r w:rsidRPr="008704BD">
        <w:rPr>
          <w:rFonts w:ascii="Times New Roman" w:hAnsi="Times New Roman"/>
          <w:noProof/>
          <w:sz w:val="24"/>
          <w:lang w:val="en-GB"/>
        </w:rPr>
        <w:t xml:space="preserve"> regulatory </w:t>
      </w:r>
      <w:r w:rsidR="6D744AC3" w:rsidRPr="008704BD">
        <w:rPr>
          <w:rFonts w:ascii="Times New Roman" w:hAnsi="Times New Roman"/>
          <w:noProof/>
          <w:sz w:val="24"/>
          <w:lang w:val="en-GB"/>
        </w:rPr>
        <w:t>frameworks leading</w:t>
      </w:r>
      <w:r w:rsidRPr="008704BD">
        <w:rPr>
          <w:rFonts w:ascii="Times New Roman" w:hAnsi="Times New Roman"/>
          <w:noProof/>
          <w:sz w:val="24"/>
          <w:lang w:val="en-GB"/>
        </w:rPr>
        <w:t xml:space="preserve"> to a different compliance burden depending on the Member State.</w:t>
      </w:r>
    </w:p>
    <w:p w14:paraId="25FC6947" w14:textId="77777777" w:rsidR="00FA2ECF" w:rsidRPr="006E5F59" w:rsidRDefault="00FA2ECF" w:rsidP="00D738E7">
      <w:pPr>
        <w:pStyle w:val="Default"/>
        <w:rPr>
          <w:rFonts w:ascii="Times New Roman" w:hAnsi="Times New Roman" w:cs="Times New Roman"/>
          <w:noProof/>
          <w:color w:val="000000" w:themeColor="text1"/>
          <w:lang w:val="en-GB"/>
        </w:rPr>
      </w:pPr>
    </w:p>
    <w:p w14:paraId="5F5F8269" w14:textId="77777777" w:rsidR="000E01B6" w:rsidRPr="006E5F59" w:rsidRDefault="000E01B6" w:rsidP="00D738E7">
      <w:pPr>
        <w:spacing w:after="200" w:line="240" w:lineRule="auto"/>
        <w:contextualSpacing/>
        <w:jc w:val="both"/>
        <w:rPr>
          <w:rFonts w:ascii="Times New Roman" w:hAnsi="Times New Roman" w:cs="Times New Roman"/>
          <w:noProof/>
          <w:lang w:val="en-GB"/>
        </w:rPr>
      </w:pPr>
    </w:p>
    <w:p w14:paraId="6E1AEA22" w14:textId="77777777" w:rsidR="003010AC" w:rsidRPr="006E5F59" w:rsidRDefault="003010AC" w:rsidP="00D738E7">
      <w:pPr>
        <w:pStyle w:val="Default"/>
        <w:spacing w:after="200"/>
        <w:jc w:val="both"/>
        <w:rPr>
          <w:rFonts w:ascii="Times New Roman" w:hAnsi="Times New Roman" w:cs="Times New Roman"/>
          <w:noProof/>
          <w:color w:val="000000" w:themeColor="text1"/>
          <w:lang w:val="en-GB"/>
        </w:rPr>
      </w:pPr>
      <w:bookmarkStart w:id="69" w:name="_Toc81582141"/>
      <w:bookmarkEnd w:id="69"/>
    </w:p>
    <w:p w14:paraId="1994FB16" w14:textId="77777777" w:rsidR="10DD0B84" w:rsidRPr="006E5F59" w:rsidRDefault="10DD0B84" w:rsidP="715AE3ED">
      <w:pPr>
        <w:pStyle w:val="Default"/>
        <w:jc w:val="both"/>
        <w:rPr>
          <w:rFonts w:ascii="Times New Roman" w:hAnsi="Times New Roman" w:cs="Times New Roman"/>
          <w:noProof/>
          <w:color w:val="000000" w:themeColor="text1"/>
          <w:lang w:val="en-GB" w:eastAsia="en-US"/>
        </w:rPr>
      </w:pPr>
    </w:p>
    <w:p w14:paraId="037141A7" w14:textId="77777777" w:rsidR="0005511F" w:rsidRPr="006E5F59" w:rsidRDefault="0005511F" w:rsidP="00D738E7">
      <w:pPr>
        <w:jc w:val="both"/>
        <w:rPr>
          <w:rFonts w:ascii="Times New Roman" w:hAnsi="Times New Roman" w:cs="Times New Roman"/>
          <w:noProof/>
          <w:lang w:val="en-GB"/>
        </w:rPr>
      </w:pPr>
      <w:r w:rsidRPr="006E5F59">
        <w:rPr>
          <w:rFonts w:ascii="Times New Roman" w:hAnsi="Times New Roman" w:cs="Times New Roman"/>
          <w:noProof/>
          <w:lang w:val="en-GB"/>
        </w:rPr>
        <w:br w:type="page"/>
      </w:r>
    </w:p>
    <w:p w14:paraId="2AF06229" w14:textId="77777777" w:rsidR="00DD1A36" w:rsidRPr="006E5F59" w:rsidRDefault="00DD1A36" w:rsidP="00811206">
      <w:pPr>
        <w:pStyle w:val="Heading1"/>
        <w:rPr>
          <w:rFonts w:ascii="Times New Roman" w:eastAsia="Times New Roman" w:hAnsi="Times New Roman" w:cs="Times New Roman"/>
          <w:noProof/>
          <w:lang w:val="en-GB"/>
        </w:rPr>
      </w:pPr>
      <w:bookmarkStart w:id="70" w:name="_Toc33455603"/>
      <w:bookmarkStart w:id="71" w:name="_Toc33716781"/>
      <w:bookmarkStart w:id="72" w:name="_Toc34659431"/>
      <w:bookmarkStart w:id="73" w:name="_Toc34734750"/>
      <w:bookmarkStart w:id="74" w:name="_Toc35354013"/>
      <w:bookmarkStart w:id="75" w:name="_Toc35939942"/>
      <w:bookmarkStart w:id="76" w:name="_Toc35940040"/>
      <w:bookmarkStart w:id="77" w:name="_Toc36114256"/>
      <w:bookmarkStart w:id="78" w:name="_Toc36114306"/>
      <w:bookmarkStart w:id="79" w:name="_Toc36215602"/>
      <w:bookmarkStart w:id="80" w:name="_Toc36627007"/>
      <w:bookmarkStart w:id="81" w:name="_Toc36630053"/>
      <w:bookmarkStart w:id="82" w:name="_Toc36630941"/>
      <w:bookmarkStart w:id="83" w:name="_Toc36634639"/>
      <w:bookmarkStart w:id="84" w:name="_Toc36636998"/>
      <w:bookmarkStart w:id="85" w:name="_Toc39309847"/>
      <w:bookmarkStart w:id="86" w:name="_Toc81582145"/>
      <w:bookmarkStart w:id="87" w:name="_Toc83742004"/>
      <w:bookmarkStart w:id="88" w:name="_Toc83824379"/>
      <w:bookmarkStart w:id="89" w:name="_Toc84338455"/>
      <w:bookmarkStart w:id="90" w:name="_Toc84520033"/>
      <w:bookmarkStart w:id="91" w:name="_Toc84579897"/>
      <w:bookmarkStart w:id="92" w:name="_Toc85052190"/>
      <w:bookmarkStart w:id="93" w:name="_Toc782864624"/>
      <w:bookmarkStart w:id="94" w:name="_Toc1223366734"/>
      <w:bookmarkStart w:id="95" w:name="_Toc2104549580"/>
      <w:bookmarkStart w:id="96" w:name="_Toc93306868"/>
      <w:r w:rsidRPr="41BAA3BB">
        <w:rPr>
          <w:rFonts w:ascii="Times New Roman" w:eastAsia="Times New Roman" w:hAnsi="Times New Roman" w:cs="Times New Roman"/>
          <w:noProof/>
          <w:lang w:val="en-GB"/>
        </w:rPr>
        <w:t>3</w:t>
      </w:r>
      <w:r w:rsidR="00002D8F" w:rsidRPr="41BAA3BB">
        <w:rPr>
          <w:rFonts w:ascii="Times New Roman" w:eastAsia="Times New Roman" w:hAnsi="Times New Roman" w:cs="Times New Roman"/>
          <w:noProof/>
          <w:lang w:val="en-GB"/>
        </w:rPr>
        <w:t>.</w:t>
      </w:r>
      <w:r w:rsidRPr="41BAA3BB">
        <w:rPr>
          <w:rFonts w:ascii="Times New Roman" w:eastAsia="Times New Roman" w:hAnsi="Times New Roman" w:cs="Times New Roman"/>
          <w:noProof/>
          <w:lang w:val="en-GB"/>
        </w:rPr>
        <w:t xml:space="preserve"> </w:t>
      </w:r>
      <w:r w:rsidR="006652BB" w:rsidRPr="41BAA3BB">
        <w:rPr>
          <w:rFonts w:ascii="Times New Roman" w:eastAsia="Times New Roman" w:hAnsi="Times New Roman" w:cs="Times New Roman"/>
          <w:noProof/>
          <w:lang w:val="en-GB"/>
        </w:rPr>
        <w:t>WHY SHOULD THE EU ACT</w:t>
      </w:r>
      <w:r w:rsidRPr="41BAA3BB">
        <w:rPr>
          <w:rFonts w:ascii="Times New Roman" w:eastAsia="Times New Roman" w:hAnsi="Times New Roman" w:cs="Times New Roman"/>
          <w:noProof/>
          <w:lang w:val="en-GB"/>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2F2851A" w14:textId="77777777" w:rsidR="00DD1A36" w:rsidRPr="006E5F59" w:rsidRDefault="00DD1A36" w:rsidP="00811206">
      <w:pPr>
        <w:pStyle w:val="Heading2"/>
        <w:rPr>
          <w:rFonts w:eastAsia="Times New Roman" w:cs="Times New Roman"/>
          <w:noProof/>
          <w:lang w:val="en-GB"/>
        </w:rPr>
      </w:pPr>
      <w:bookmarkStart w:id="97" w:name="_Toc33455604"/>
      <w:bookmarkStart w:id="98" w:name="_Toc33716782"/>
      <w:bookmarkStart w:id="99" w:name="_Toc34659432"/>
      <w:bookmarkStart w:id="100" w:name="_Toc34734751"/>
      <w:bookmarkStart w:id="101" w:name="_Toc35354014"/>
      <w:bookmarkStart w:id="102" w:name="_Toc35940041"/>
      <w:bookmarkStart w:id="103" w:name="_Toc36215603"/>
      <w:bookmarkStart w:id="104" w:name="_Toc36630054"/>
      <w:bookmarkStart w:id="105" w:name="_Toc36634640"/>
      <w:bookmarkStart w:id="106" w:name="_Toc36636999"/>
      <w:bookmarkStart w:id="107" w:name="_Toc39309848"/>
      <w:bookmarkStart w:id="108" w:name="_Toc81582146"/>
      <w:bookmarkStart w:id="109" w:name="_Toc83742005"/>
      <w:bookmarkStart w:id="110" w:name="_Toc83824380"/>
      <w:bookmarkStart w:id="111" w:name="_Toc84338456"/>
      <w:bookmarkStart w:id="112" w:name="_Toc84520034"/>
      <w:bookmarkStart w:id="113" w:name="_Toc84579898"/>
      <w:bookmarkStart w:id="114" w:name="_Toc85052191"/>
      <w:bookmarkStart w:id="115" w:name="_Toc163017661"/>
      <w:bookmarkStart w:id="116" w:name="_Toc689600309"/>
      <w:bookmarkStart w:id="117" w:name="_Toc893432753"/>
      <w:bookmarkStart w:id="118" w:name="_Toc93306869"/>
      <w:r w:rsidRPr="41BAA3BB">
        <w:rPr>
          <w:rFonts w:eastAsia="Times New Roman" w:cs="Times New Roman"/>
          <w:noProof/>
          <w:lang w:val="en-GB"/>
        </w:rPr>
        <w:t>3.1 Legal basis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CE917DB" w14:textId="77777777" w:rsidR="005C79DF" w:rsidRPr="008704BD" w:rsidRDefault="005C79DF" w:rsidP="005C79DF">
      <w:pPr>
        <w:pStyle w:val="NormalWeb"/>
        <w:jc w:val="both"/>
        <w:rPr>
          <w:noProof/>
          <w:lang w:val="en-GB"/>
        </w:rPr>
      </w:pPr>
      <w:r w:rsidRPr="008704BD">
        <w:rPr>
          <w:noProof/>
          <w:lang w:val="en-GB"/>
        </w:rPr>
        <w:t xml:space="preserve">The legal basis of DAC relies on Articles 113 and 115 of the Treaty on the Functioning of the European Union (TFEU), which aim at ensuring the proper functioning of the </w:t>
      </w:r>
      <w:r w:rsidR="00B01806" w:rsidRPr="008704BD">
        <w:rPr>
          <w:noProof/>
          <w:lang w:val="en-GB"/>
        </w:rPr>
        <w:t>I</w:t>
      </w:r>
      <w:r w:rsidRPr="008704BD">
        <w:rPr>
          <w:noProof/>
          <w:lang w:val="en-GB"/>
        </w:rPr>
        <w:t xml:space="preserve">nternal </w:t>
      </w:r>
      <w:r w:rsidR="00B01806" w:rsidRPr="008704BD">
        <w:rPr>
          <w:noProof/>
          <w:lang w:val="en-GB"/>
        </w:rPr>
        <w:t>M</w:t>
      </w:r>
      <w:r w:rsidRPr="008704BD">
        <w:rPr>
          <w:noProof/>
          <w:lang w:val="en-GB"/>
        </w:rPr>
        <w:t xml:space="preserve">arket. Article 113 of the TFEU provides a legal basis for the harmonisation of indirect tax systems of Member States, as far as needed to ensure the functioning of the Internal Market and to avoid distortion of competition. Article 115 of the TFEU provides for the approximation of such laws, regulations or administrative provisions of the Member States, which directly affect the establishment or functioning of the Internal Market and make the approximation of laws necessary. </w:t>
      </w:r>
    </w:p>
    <w:p w14:paraId="6544E521" w14:textId="77777777" w:rsidR="005C79DF" w:rsidRPr="008704BD" w:rsidRDefault="005C79DF" w:rsidP="005C79DF">
      <w:pPr>
        <w:pStyle w:val="NormalWeb"/>
        <w:jc w:val="both"/>
        <w:rPr>
          <w:noProof/>
          <w:lang w:val="en-GB"/>
        </w:rPr>
      </w:pPr>
      <w:r w:rsidRPr="008704BD">
        <w:rPr>
          <w:noProof/>
          <w:lang w:val="en-GB"/>
        </w:rPr>
        <w:t xml:space="preserve">The aim of the DAC is to ensure a legal instrument of high quality for enhancing administrative cooperation in the field of direct taxation, in order to allow functioning of the </w:t>
      </w:r>
      <w:r w:rsidR="3AD0FBCC" w:rsidRPr="008704BD">
        <w:rPr>
          <w:noProof/>
          <w:lang w:val="en-GB"/>
        </w:rPr>
        <w:t>I</w:t>
      </w:r>
      <w:r w:rsidRPr="008704BD">
        <w:rPr>
          <w:noProof/>
          <w:lang w:val="en-GB"/>
        </w:rPr>
        <w:t xml:space="preserve">nternal </w:t>
      </w:r>
      <w:r w:rsidR="3AD0FBCC" w:rsidRPr="008704BD">
        <w:rPr>
          <w:noProof/>
          <w:lang w:val="en-GB"/>
        </w:rPr>
        <w:t>M</w:t>
      </w:r>
      <w:r w:rsidRPr="008704BD">
        <w:rPr>
          <w:noProof/>
          <w:lang w:val="en-GB"/>
        </w:rPr>
        <w:t>arket by reducing the negative effects of tax avoidance and evasion. Applying the same conditions, the same methods and the same practices for administrative cooperation facilitates the work and efficiency of the authorities in the fight against tax fraud, evasion and avoidance in the European Union.</w:t>
      </w:r>
    </w:p>
    <w:p w14:paraId="1F170226" w14:textId="77777777" w:rsidR="00DD1A36" w:rsidRPr="006E5F59" w:rsidRDefault="00DD1A36" w:rsidP="00811206">
      <w:pPr>
        <w:pStyle w:val="Heading2"/>
        <w:rPr>
          <w:rFonts w:eastAsia="Times New Roman" w:cs="Times New Roman"/>
          <w:noProof/>
          <w:lang w:val="en-GB"/>
        </w:rPr>
      </w:pPr>
      <w:bookmarkStart w:id="119" w:name="_Toc33455605"/>
      <w:bookmarkStart w:id="120" w:name="_Toc33716783"/>
      <w:bookmarkStart w:id="121" w:name="_Toc34659433"/>
      <w:bookmarkStart w:id="122" w:name="_Toc34734752"/>
      <w:bookmarkStart w:id="123" w:name="_Toc35354015"/>
      <w:bookmarkStart w:id="124" w:name="_Toc35940042"/>
      <w:bookmarkStart w:id="125" w:name="_Toc36215604"/>
      <w:bookmarkStart w:id="126" w:name="_Toc36630055"/>
      <w:bookmarkStart w:id="127" w:name="_Toc36634641"/>
      <w:bookmarkStart w:id="128" w:name="_Toc36637000"/>
      <w:bookmarkStart w:id="129" w:name="_Toc39309849"/>
      <w:bookmarkStart w:id="130" w:name="_Toc81582147"/>
      <w:bookmarkStart w:id="131" w:name="_Toc83742006"/>
      <w:bookmarkStart w:id="132" w:name="_Toc83824381"/>
      <w:bookmarkStart w:id="133" w:name="_Toc84338457"/>
      <w:bookmarkStart w:id="134" w:name="_Toc84520035"/>
      <w:bookmarkStart w:id="135" w:name="_Toc84579899"/>
      <w:bookmarkStart w:id="136" w:name="_Toc85052192"/>
      <w:bookmarkStart w:id="137" w:name="_Toc1797356184"/>
      <w:bookmarkStart w:id="138" w:name="_Toc663638409"/>
      <w:bookmarkStart w:id="139" w:name="_Toc1911093652"/>
      <w:bookmarkStart w:id="140" w:name="_Toc93306870"/>
      <w:r w:rsidRPr="41BAA3BB">
        <w:rPr>
          <w:rFonts w:eastAsia="Times New Roman" w:cs="Times New Roman"/>
          <w:noProof/>
          <w:lang w:val="en-GB"/>
        </w:rPr>
        <w:t>3.2 Subsidiarity: Necessity of EU action</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0BA3981" w14:textId="77777777" w:rsidR="00DD1A36" w:rsidRPr="008704BD" w:rsidRDefault="2F006E14" w:rsidP="2E51F607">
      <w:pPr>
        <w:pStyle w:val="NormalWeb"/>
        <w:jc w:val="both"/>
        <w:rPr>
          <w:noProof/>
          <w:lang w:val="en-GB"/>
        </w:rPr>
      </w:pPr>
      <w:r w:rsidRPr="008704BD">
        <w:rPr>
          <w:noProof/>
          <w:lang w:val="en-GB"/>
        </w:rPr>
        <w:t xml:space="preserve">Based on their current national legislations, </w:t>
      </w:r>
      <w:r w:rsidR="11000E61" w:rsidRPr="008704BD">
        <w:rPr>
          <w:noProof/>
          <w:lang w:val="en-GB"/>
        </w:rPr>
        <w:t xml:space="preserve">most </w:t>
      </w:r>
      <w:r w:rsidRPr="008704BD">
        <w:rPr>
          <w:noProof/>
          <w:lang w:val="en-GB"/>
        </w:rPr>
        <w:t xml:space="preserve">Member States may not be able to </w:t>
      </w:r>
      <w:r w:rsidR="667552DB" w:rsidRPr="008704BD">
        <w:rPr>
          <w:noProof/>
          <w:lang w:val="en-GB"/>
        </w:rPr>
        <w:t xml:space="preserve">access </w:t>
      </w:r>
      <w:r w:rsidRPr="008704BD">
        <w:rPr>
          <w:noProof/>
          <w:lang w:val="en-GB"/>
        </w:rPr>
        <w:t>information abou</w:t>
      </w:r>
      <w:r w:rsidR="016C2BF3" w:rsidRPr="008704BD">
        <w:rPr>
          <w:noProof/>
          <w:lang w:val="en-GB"/>
        </w:rPr>
        <w:t>t crypto-</w:t>
      </w:r>
      <w:r w:rsidRPr="008704BD">
        <w:rPr>
          <w:noProof/>
          <w:lang w:val="en-GB"/>
        </w:rPr>
        <w:t xml:space="preserve">asset users that are not resident in </w:t>
      </w:r>
      <w:r w:rsidR="016C2BF3" w:rsidRPr="008704BD">
        <w:rPr>
          <w:noProof/>
          <w:lang w:val="en-GB"/>
        </w:rPr>
        <w:t>that</w:t>
      </w:r>
      <w:r w:rsidRPr="008704BD">
        <w:rPr>
          <w:noProof/>
          <w:lang w:val="en-GB"/>
        </w:rPr>
        <w:t xml:space="preserve"> Member State. This is relevant for the taxation of the capita</w:t>
      </w:r>
      <w:r w:rsidR="43D48473" w:rsidRPr="008704BD">
        <w:rPr>
          <w:noProof/>
          <w:lang w:val="en-GB"/>
        </w:rPr>
        <w:t xml:space="preserve">l gains </w:t>
      </w:r>
      <w:r w:rsidR="7EE4C7A5" w:rsidRPr="008704BD">
        <w:rPr>
          <w:noProof/>
          <w:lang w:val="en-GB"/>
        </w:rPr>
        <w:t>from</w:t>
      </w:r>
      <w:r w:rsidR="43D48473" w:rsidRPr="008704BD">
        <w:rPr>
          <w:noProof/>
          <w:lang w:val="en-GB"/>
        </w:rPr>
        <w:t xml:space="preserve"> crypto-</w:t>
      </w:r>
      <w:r w:rsidRPr="008704BD">
        <w:rPr>
          <w:noProof/>
          <w:lang w:val="en-GB"/>
        </w:rPr>
        <w:t xml:space="preserve">assets, where taxation rights are usually based on the users' tax residency. </w:t>
      </w:r>
    </w:p>
    <w:p w14:paraId="133CF191" w14:textId="77777777" w:rsidR="00DD1A36" w:rsidRPr="008704BD" w:rsidRDefault="00DD1A36" w:rsidP="58C1C011">
      <w:pPr>
        <w:pStyle w:val="NormalWeb"/>
        <w:jc w:val="both"/>
        <w:rPr>
          <w:noProof/>
          <w:lang w:val="en-GB"/>
        </w:rPr>
      </w:pPr>
      <w:r w:rsidRPr="008704BD">
        <w:rPr>
          <w:noProof/>
          <w:lang w:val="en-GB"/>
        </w:rPr>
        <w:t>According to the current state of play of the Member States</w:t>
      </w:r>
      <w:r w:rsidR="005C79DF" w:rsidRPr="008704BD">
        <w:rPr>
          <w:noProof/>
          <w:lang w:val="en-GB"/>
        </w:rPr>
        <w:t>’</w:t>
      </w:r>
      <w:r w:rsidRPr="008704BD">
        <w:rPr>
          <w:noProof/>
          <w:lang w:val="en-GB"/>
        </w:rPr>
        <w:t xml:space="preserve"> legislation, the national legal basis is insufficient for effectively collecting information from CASPs. In some countries, there is no legislation for </w:t>
      </w:r>
      <w:r w:rsidR="0058798B" w:rsidRPr="008704BD">
        <w:rPr>
          <w:noProof/>
          <w:lang w:val="en-GB"/>
        </w:rPr>
        <w:t>third party</w:t>
      </w:r>
      <w:r w:rsidRPr="008704BD">
        <w:rPr>
          <w:noProof/>
          <w:lang w:val="en-GB"/>
        </w:rPr>
        <w:t xml:space="preserve"> reporting. In</w:t>
      </w:r>
      <w:r w:rsidR="00F60FB7" w:rsidRPr="008704BD" w:rsidDel="00D453AC">
        <w:rPr>
          <w:noProof/>
          <w:lang w:val="en-GB"/>
        </w:rPr>
        <w:t xml:space="preserve"> </w:t>
      </w:r>
      <w:r w:rsidR="00D453AC" w:rsidRPr="008704BD">
        <w:rPr>
          <w:noProof/>
          <w:lang w:val="en-GB"/>
        </w:rPr>
        <w:t xml:space="preserve">other </w:t>
      </w:r>
      <w:r w:rsidR="007D3A70" w:rsidRPr="008704BD">
        <w:rPr>
          <w:noProof/>
          <w:lang w:val="en-GB"/>
        </w:rPr>
        <w:t>countries</w:t>
      </w:r>
      <w:r w:rsidRPr="008704BD">
        <w:rPr>
          <w:noProof/>
          <w:lang w:val="en-GB"/>
        </w:rPr>
        <w:t xml:space="preserve">, the current state of legislation does not cover CASPs residing in </w:t>
      </w:r>
      <w:r w:rsidR="005668AA" w:rsidRPr="008704BD">
        <w:rPr>
          <w:noProof/>
          <w:lang w:val="en-GB"/>
        </w:rPr>
        <w:t>other</w:t>
      </w:r>
      <w:r w:rsidRPr="008704BD">
        <w:rPr>
          <w:noProof/>
          <w:lang w:val="en-GB"/>
        </w:rPr>
        <w:t xml:space="preserve"> countries </w:t>
      </w:r>
      <w:r w:rsidR="00D453AC" w:rsidRPr="008704BD">
        <w:rPr>
          <w:noProof/>
          <w:lang w:val="en-GB"/>
        </w:rPr>
        <w:t xml:space="preserve">and </w:t>
      </w:r>
      <w:r w:rsidRPr="008704BD">
        <w:rPr>
          <w:noProof/>
          <w:lang w:val="en-GB"/>
        </w:rPr>
        <w:t xml:space="preserve">through which their residents </w:t>
      </w:r>
      <w:r w:rsidR="00D453AC" w:rsidRPr="008704BD">
        <w:rPr>
          <w:noProof/>
          <w:lang w:val="en-GB"/>
        </w:rPr>
        <w:t>engage in</w:t>
      </w:r>
      <w:r w:rsidR="007D3A70" w:rsidRPr="008704BD" w:rsidDel="00D453AC">
        <w:rPr>
          <w:noProof/>
          <w:lang w:val="en-GB"/>
        </w:rPr>
        <w:t xml:space="preserve"> </w:t>
      </w:r>
      <w:r w:rsidR="007D3A70" w:rsidRPr="008704BD">
        <w:rPr>
          <w:noProof/>
          <w:lang w:val="en-GB"/>
        </w:rPr>
        <w:t>crypto-</w:t>
      </w:r>
      <w:r w:rsidRPr="008704BD">
        <w:rPr>
          <w:noProof/>
          <w:lang w:val="en-GB"/>
        </w:rPr>
        <w:t xml:space="preserve">asset transactions. </w:t>
      </w:r>
    </w:p>
    <w:p w14:paraId="240C0A24" w14:textId="77777777" w:rsidR="007D3A70" w:rsidRPr="008704BD" w:rsidRDefault="007D3A70" w:rsidP="007D3A70">
      <w:pPr>
        <w:pStyle w:val="NormalWeb"/>
        <w:jc w:val="both"/>
        <w:rPr>
          <w:noProof/>
          <w:lang w:val="en-GB"/>
        </w:rPr>
      </w:pPr>
      <w:r w:rsidRPr="008704BD">
        <w:rPr>
          <w:noProof/>
          <w:lang w:val="en-GB"/>
        </w:rPr>
        <w:t>Furthermore, there are uncertainties as to whether domestic legislation applies to</w:t>
      </w:r>
      <w:r w:rsidR="005C79DF" w:rsidRPr="008704BD">
        <w:rPr>
          <w:noProof/>
          <w:lang w:val="en-GB"/>
        </w:rPr>
        <w:t xml:space="preserve"> </w:t>
      </w:r>
      <w:r w:rsidRPr="008704BD">
        <w:rPr>
          <w:noProof/>
          <w:lang w:val="en-GB"/>
        </w:rPr>
        <w:t>and can be enforced upon CASPs resident outside the jurisdiction</w:t>
      </w:r>
      <w:r w:rsidR="00D453AC" w:rsidRPr="008704BD">
        <w:rPr>
          <w:noProof/>
          <w:lang w:val="en-GB"/>
        </w:rPr>
        <w:t xml:space="preserve">. Given that crypto-assets markets are internationalised and that CASPs can easily operate remotely, this calls for a coordinated EU action. There is a need to act at the EU level to ensure that Member States can effectively access information on their tax residents, irrespective of the location of the service provider.   </w:t>
      </w:r>
    </w:p>
    <w:p w14:paraId="7CEDBEF9" w14:textId="77777777" w:rsidR="00DD1A36" w:rsidRPr="006E5F59" w:rsidRDefault="3F0BEA1E" w:rsidP="00D738E7">
      <w:pPr>
        <w:pStyle w:val="Heading2"/>
        <w:jc w:val="both"/>
        <w:rPr>
          <w:rFonts w:eastAsia="Times New Roman" w:cs="Times New Roman"/>
          <w:noProof/>
          <w:lang w:val="en-GB"/>
        </w:rPr>
      </w:pPr>
      <w:bookmarkStart w:id="141" w:name="_Toc33455606"/>
      <w:bookmarkStart w:id="142" w:name="_Toc33716784"/>
      <w:bookmarkStart w:id="143" w:name="_Toc34659434"/>
      <w:bookmarkStart w:id="144" w:name="_Toc34734753"/>
      <w:bookmarkStart w:id="145" w:name="_Toc35354016"/>
      <w:bookmarkStart w:id="146" w:name="_Toc35940043"/>
      <w:bookmarkStart w:id="147" w:name="_Toc36215605"/>
      <w:bookmarkStart w:id="148" w:name="_Toc36630056"/>
      <w:bookmarkStart w:id="149" w:name="_Toc36634701"/>
      <w:bookmarkStart w:id="150" w:name="_Toc36637001"/>
      <w:bookmarkStart w:id="151" w:name="_Toc39309850"/>
      <w:bookmarkStart w:id="152" w:name="_Toc81582148"/>
      <w:bookmarkStart w:id="153" w:name="_Toc83742007"/>
      <w:bookmarkStart w:id="154" w:name="_Toc83824382"/>
      <w:bookmarkStart w:id="155" w:name="_Toc84338459"/>
      <w:bookmarkStart w:id="156" w:name="_Toc84520036"/>
      <w:bookmarkStart w:id="157" w:name="_Toc84579900"/>
      <w:bookmarkStart w:id="158" w:name="_Toc85052193"/>
      <w:bookmarkStart w:id="159" w:name="_Toc1484932644"/>
      <w:bookmarkStart w:id="160" w:name="_Toc691589488"/>
      <w:bookmarkStart w:id="161" w:name="_Toc1134324143"/>
      <w:bookmarkStart w:id="162" w:name="_Toc93306871"/>
      <w:r w:rsidRPr="41BAA3BB">
        <w:rPr>
          <w:rFonts w:eastAsia="Times New Roman" w:cs="Times New Roman"/>
          <w:noProof/>
          <w:lang w:val="en-GB"/>
        </w:rPr>
        <w:t xml:space="preserve">3.3 Proportionality: </w:t>
      </w:r>
      <w:r w:rsidR="06976A06" w:rsidRPr="41BAA3BB">
        <w:rPr>
          <w:rFonts w:eastAsia="Times New Roman" w:cs="Times New Roman"/>
          <w:noProof/>
          <w:lang w:val="en-GB"/>
        </w:rPr>
        <w:t>The a</w:t>
      </w:r>
      <w:r w:rsidRPr="41BAA3BB">
        <w:rPr>
          <w:rFonts w:eastAsia="Times New Roman" w:cs="Times New Roman"/>
          <w:noProof/>
          <w:lang w:val="en-GB"/>
        </w:rPr>
        <w:t>dded value of EU action</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7C443A1" w14:textId="77777777" w:rsidR="00CD102E" w:rsidRPr="008704BD" w:rsidRDefault="3F0BEA1E" w:rsidP="00742F58">
      <w:pPr>
        <w:pStyle w:val="NormalWeb"/>
        <w:jc w:val="both"/>
        <w:rPr>
          <w:noProof/>
          <w:lang w:val="en-GB"/>
        </w:rPr>
      </w:pPr>
      <w:r w:rsidRPr="008704BD">
        <w:rPr>
          <w:noProof/>
          <w:lang w:val="en-GB"/>
        </w:rPr>
        <w:t xml:space="preserve">Given the </w:t>
      </w:r>
      <w:r w:rsidR="5204FD58" w:rsidRPr="008704BD">
        <w:rPr>
          <w:noProof/>
          <w:lang w:val="en-GB"/>
        </w:rPr>
        <w:t xml:space="preserve">need to act and the </w:t>
      </w:r>
      <w:r w:rsidR="3E2960E4" w:rsidRPr="008704BD">
        <w:rPr>
          <w:noProof/>
          <w:lang w:val="en-GB"/>
        </w:rPr>
        <w:t xml:space="preserve">nature </w:t>
      </w:r>
      <w:r w:rsidR="17C3C4CA" w:rsidRPr="008704BD">
        <w:rPr>
          <w:noProof/>
          <w:lang w:val="en-GB"/>
        </w:rPr>
        <w:t xml:space="preserve">and </w:t>
      </w:r>
      <w:r w:rsidR="3E2960E4" w:rsidRPr="008704BD">
        <w:rPr>
          <w:noProof/>
          <w:lang w:val="en-GB"/>
        </w:rPr>
        <w:t>extent of the</w:t>
      </w:r>
      <w:r w:rsidR="17C3C4CA" w:rsidRPr="008704BD">
        <w:rPr>
          <w:noProof/>
          <w:lang w:val="en-GB"/>
        </w:rPr>
        <w:t xml:space="preserve"> </w:t>
      </w:r>
      <w:r w:rsidRPr="008704BD">
        <w:rPr>
          <w:noProof/>
          <w:lang w:val="en-GB"/>
        </w:rPr>
        <w:t xml:space="preserve">problem set out in chapter 2, </w:t>
      </w:r>
      <w:r w:rsidR="5204FD58" w:rsidRPr="008704BD">
        <w:rPr>
          <w:noProof/>
          <w:lang w:val="en-GB"/>
        </w:rPr>
        <w:t xml:space="preserve">an EU approach </w:t>
      </w:r>
      <w:r w:rsidR="60723A2A" w:rsidRPr="008704BD">
        <w:rPr>
          <w:noProof/>
          <w:lang w:val="en-GB"/>
        </w:rPr>
        <w:t xml:space="preserve">to tax transparency on crypto-assets </w:t>
      </w:r>
      <w:r w:rsidRPr="008704BD">
        <w:rPr>
          <w:noProof/>
          <w:lang w:val="en-GB"/>
        </w:rPr>
        <w:t xml:space="preserve">appears </w:t>
      </w:r>
      <w:r w:rsidR="00893402" w:rsidRPr="008704BD">
        <w:rPr>
          <w:noProof/>
          <w:lang w:val="en-GB"/>
        </w:rPr>
        <w:t xml:space="preserve">to be the best solution in order </w:t>
      </w:r>
      <w:r w:rsidRPr="008704BD">
        <w:rPr>
          <w:noProof/>
          <w:lang w:val="en-GB"/>
        </w:rPr>
        <w:t xml:space="preserve">to avoid a patchwork of reporting requirements unilaterally implemented by some or all Member States. The information needs to reach the </w:t>
      </w:r>
      <w:r w:rsidR="1C775EE8" w:rsidRPr="008704BD">
        <w:rPr>
          <w:noProof/>
          <w:lang w:val="en-GB"/>
        </w:rPr>
        <w:t xml:space="preserve">Member State </w:t>
      </w:r>
      <w:r w:rsidRPr="008704BD">
        <w:rPr>
          <w:noProof/>
          <w:lang w:val="en-GB"/>
        </w:rPr>
        <w:t>where the income and revenues are due to be taxed</w:t>
      </w:r>
      <w:r w:rsidR="1DD1AC13" w:rsidRPr="008704BD">
        <w:rPr>
          <w:noProof/>
          <w:lang w:val="en-GB"/>
        </w:rPr>
        <w:t>.</w:t>
      </w:r>
      <w:r w:rsidR="5204FD58" w:rsidRPr="008704BD">
        <w:rPr>
          <w:noProof/>
          <w:lang w:val="en-GB"/>
        </w:rPr>
        <w:t xml:space="preserve"> </w:t>
      </w:r>
      <w:r w:rsidR="1DD1AC13" w:rsidRPr="008704BD">
        <w:rPr>
          <w:noProof/>
          <w:lang w:val="en-GB"/>
        </w:rPr>
        <w:t xml:space="preserve">Still, it </w:t>
      </w:r>
      <w:r w:rsidR="5204FD58" w:rsidRPr="008704BD">
        <w:rPr>
          <w:noProof/>
          <w:lang w:val="en-GB"/>
        </w:rPr>
        <w:t>is often likely to be held by intermediaries located in another Member State</w:t>
      </w:r>
      <w:r w:rsidR="1DD1AC13" w:rsidRPr="008704BD">
        <w:rPr>
          <w:noProof/>
          <w:lang w:val="en-GB"/>
        </w:rPr>
        <w:t xml:space="preserve"> or even in third countries.</w:t>
      </w:r>
      <w:r w:rsidRPr="008704BD">
        <w:rPr>
          <w:noProof/>
          <w:lang w:val="en-GB"/>
        </w:rPr>
        <w:t xml:space="preserve"> </w:t>
      </w:r>
    </w:p>
    <w:p w14:paraId="4F6343FD" w14:textId="77777777" w:rsidR="000E530C" w:rsidRPr="008704BD" w:rsidRDefault="615248B7" w:rsidP="000E530C">
      <w:pPr>
        <w:pStyle w:val="NormalWeb"/>
        <w:jc w:val="both"/>
        <w:rPr>
          <w:noProof/>
          <w:lang w:val="en-GB"/>
        </w:rPr>
      </w:pPr>
      <w:r w:rsidRPr="008704BD">
        <w:rPr>
          <w:noProof/>
          <w:lang w:val="en-GB"/>
        </w:rPr>
        <w:t xml:space="preserve">Since the scope of a new reporting framework should </w:t>
      </w:r>
      <w:r w:rsidR="00C32D74" w:rsidRPr="008704BD">
        <w:rPr>
          <w:noProof/>
          <w:lang w:val="en-GB"/>
        </w:rPr>
        <w:t xml:space="preserve">define </w:t>
      </w:r>
      <w:r w:rsidRPr="008704BD">
        <w:rPr>
          <w:noProof/>
          <w:lang w:val="en-GB"/>
        </w:rPr>
        <w:t xml:space="preserve">the (i) </w:t>
      </w:r>
      <w:r w:rsidR="00C32D74" w:rsidRPr="008704BD">
        <w:rPr>
          <w:noProof/>
          <w:lang w:val="en-GB"/>
        </w:rPr>
        <w:t>type of</w:t>
      </w:r>
      <w:r w:rsidRPr="008704BD">
        <w:rPr>
          <w:noProof/>
          <w:lang w:val="en-GB"/>
        </w:rPr>
        <w:t xml:space="preserve"> CASPs</w:t>
      </w:r>
      <w:r w:rsidR="00C32D74" w:rsidRPr="008704BD">
        <w:rPr>
          <w:noProof/>
          <w:lang w:val="en-GB"/>
        </w:rPr>
        <w:t xml:space="preserve"> in scope</w:t>
      </w:r>
      <w:r w:rsidR="609A02AE" w:rsidRPr="008704BD">
        <w:rPr>
          <w:noProof/>
          <w:lang w:val="en-GB"/>
        </w:rPr>
        <w:t>,</w:t>
      </w:r>
      <w:r w:rsidRPr="008704BD">
        <w:rPr>
          <w:noProof/>
          <w:lang w:val="en-GB"/>
        </w:rPr>
        <w:t xml:space="preserve"> (ii) </w:t>
      </w:r>
      <w:r w:rsidR="00C32D74" w:rsidRPr="008704BD">
        <w:rPr>
          <w:noProof/>
          <w:lang w:val="en-GB"/>
        </w:rPr>
        <w:t>the</w:t>
      </w:r>
      <w:r w:rsidRPr="008704BD">
        <w:rPr>
          <w:noProof/>
          <w:lang w:val="en-GB"/>
        </w:rPr>
        <w:t xml:space="preserve"> crypto-asset users</w:t>
      </w:r>
      <w:r w:rsidR="00C32D74" w:rsidRPr="008704BD">
        <w:rPr>
          <w:noProof/>
          <w:lang w:val="en-GB"/>
        </w:rPr>
        <w:t xml:space="preserve"> in scope</w:t>
      </w:r>
      <w:r w:rsidRPr="008704BD">
        <w:rPr>
          <w:noProof/>
          <w:lang w:val="en-GB"/>
        </w:rPr>
        <w:t>, (iii) content of the information and (iv) timing of collection of the data, a coherent and comprehensive solution at EU level would result in a relatively lower administrative burden for both tax administrations, reporters and taxpayers. Furthermore, to ensure coherence, to reduce administrative burden for reporting entities and administrations and in order to close potential loopholes considering the volatile nature of the assets in question it appears justified to also include domestic CASPs and users in the scope.</w:t>
      </w:r>
    </w:p>
    <w:p w14:paraId="2E342C35" w14:textId="77777777" w:rsidR="000E530C" w:rsidRPr="00A67E41" w:rsidRDefault="463AE4DA" w:rsidP="00C32D74">
      <w:pPr>
        <w:spacing w:after="0" w:line="240" w:lineRule="auto"/>
        <w:jc w:val="both"/>
        <w:rPr>
          <w:rFonts w:ascii="Times New Roman" w:hAnsi="Times New Roman" w:cs="Times New Roman"/>
          <w:noProof/>
          <w:sz w:val="24"/>
          <w:szCs w:val="24"/>
        </w:rPr>
      </w:pPr>
      <w:r w:rsidRPr="008704BD">
        <w:rPr>
          <w:rFonts w:ascii="Times New Roman" w:hAnsi="Times New Roman"/>
          <w:noProof/>
          <w:sz w:val="24"/>
          <w:lang w:val="en-GB"/>
        </w:rPr>
        <w:t>Given the developments at the international level</w:t>
      </w:r>
      <w:r w:rsidR="667552DB" w:rsidRPr="008704BD">
        <w:rPr>
          <w:rFonts w:ascii="Times New Roman" w:hAnsi="Times New Roman"/>
          <w:noProof/>
          <w:sz w:val="24"/>
          <w:lang w:val="en-GB"/>
        </w:rPr>
        <w:t>, in particular work led by the OECD</w:t>
      </w:r>
      <w:r w:rsidRPr="008704BD">
        <w:rPr>
          <w:rFonts w:ascii="Times New Roman" w:hAnsi="Times New Roman"/>
          <w:noProof/>
          <w:sz w:val="24"/>
          <w:lang w:val="en-GB"/>
        </w:rPr>
        <w:t xml:space="preserve">, some form of regulation is likely to be introduced by Member States at a certain stage. The fact that today there might be a lack of regulation in certain Member States </w:t>
      </w:r>
      <w:r w:rsidR="54D2B816" w:rsidRPr="008704BD">
        <w:rPr>
          <w:rFonts w:ascii="Times New Roman" w:hAnsi="Times New Roman"/>
          <w:noProof/>
          <w:sz w:val="24"/>
          <w:lang w:val="en-GB"/>
        </w:rPr>
        <w:t xml:space="preserve">does not </w:t>
      </w:r>
      <w:r w:rsidRPr="008704BD">
        <w:rPr>
          <w:rFonts w:ascii="Times New Roman" w:hAnsi="Times New Roman"/>
          <w:noProof/>
          <w:sz w:val="24"/>
          <w:lang w:val="en-GB"/>
        </w:rPr>
        <w:t>impl</w:t>
      </w:r>
      <w:r w:rsidR="54D2B816" w:rsidRPr="008704BD">
        <w:rPr>
          <w:rFonts w:ascii="Times New Roman" w:hAnsi="Times New Roman"/>
          <w:noProof/>
          <w:sz w:val="24"/>
          <w:lang w:val="en-GB"/>
        </w:rPr>
        <w:t>y</w:t>
      </w:r>
      <w:r w:rsidRPr="008704BD">
        <w:rPr>
          <w:rFonts w:ascii="Times New Roman" w:hAnsi="Times New Roman"/>
          <w:noProof/>
          <w:sz w:val="24"/>
          <w:lang w:val="en-GB"/>
        </w:rPr>
        <w:t xml:space="preserve"> that an EU initiative would cause disproportionate burden for administrations or reporting entities. Quite</w:t>
      </w:r>
      <w:r w:rsidR="54D2B816" w:rsidRPr="008704BD">
        <w:rPr>
          <w:rFonts w:ascii="Times New Roman" w:hAnsi="Times New Roman"/>
          <w:noProof/>
          <w:sz w:val="24"/>
          <w:lang w:val="en-GB"/>
        </w:rPr>
        <w:t xml:space="preserve"> the</w:t>
      </w:r>
      <w:r w:rsidRPr="008704BD">
        <w:rPr>
          <w:rFonts w:ascii="Times New Roman" w:hAnsi="Times New Roman"/>
          <w:noProof/>
          <w:sz w:val="24"/>
          <w:lang w:val="en-GB"/>
        </w:rPr>
        <w:t xml:space="preserve"> contrary, the introduction of new EU provisions and procedures is expected to be less burdensome overall than</w:t>
      </w:r>
      <w:r w:rsidR="110CDD11" w:rsidRPr="008704BD">
        <w:rPr>
          <w:rFonts w:ascii="Times New Roman" w:hAnsi="Times New Roman"/>
          <w:noProof/>
          <w:sz w:val="24"/>
          <w:lang w:val="en-GB"/>
        </w:rPr>
        <w:t xml:space="preserve"> the</w:t>
      </w:r>
      <w:r w:rsidRPr="008704BD">
        <w:rPr>
          <w:rFonts w:ascii="Times New Roman" w:hAnsi="Times New Roman"/>
          <w:noProof/>
          <w:sz w:val="24"/>
          <w:lang w:val="en-GB"/>
        </w:rPr>
        <w:t xml:space="preserve"> introduction of 27 different frameworks.</w:t>
      </w:r>
      <w:r w:rsidRPr="00A67E41">
        <w:rPr>
          <w:rFonts w:ascii="Times New Roman" w:hAnsi="Times New Roman" w:cs="Times New Roman"/>
          <w:noProof/>
          <w:sz w:val="24"/>
          <w:szCs w:val="24"/>
        </w:rPr>
        <w:t xml:space="preserve"> </w:t>
      </w:r>
    </w:p>
    <w:p w14:paraId="2290CB4B" w14:textId="77777777" w:rsidR="00C32D74" w:rsidRPr="00D312CE" w:rsidRDefault="00C32D74" w:rsidP="00C32D74">
      <w:pPr>
        <w:spacing w:after="0" w:line="240" w:lineRule="auto"/>
        <w:jc w:val="both"/>
        <w:rPr>
          <w:rFonts w:ascii="Times New Roman" w:hAnsi="Times New Roman" w:cs="Times New Roman"/>
          <w:noProof/>
          <w:sz w:val="24"/>
          <w:szCs w:val="24"/>
        </w:rPr>
      </w:pPr>
    </w:p>
    <w:p w14:paraId="27D3AE26" w14:textId="77777777" w:rsidR="00FF69C7" w:rsidRPr="008704BD" w:rsidRDefault="49E4E5F6" w:rsidP="1899D822">
      <w:pPr>
        <w:jc w:val="both"/>
        <w:rPr>
          <w:rFonts w:ascii="Times New Roman" w:hAnsi="Times New Roman"/>
          <w:noProof/>
          <w:sz w:val="24"/>
          <w:lang w:val="en-GB"/>
        </w:rPr>
      </w:pPr>
      <w:r w:rsidRPr="008704BD">
        <w:rPr>
          <w:rFonts w:ascii="Times New Roman" w:hAnsi="Times New Roman"/>
          <w:noProof/>
          <w:sz w:val="24"/>
          <w:lang w:val="en-GB"/>
        </w:rPr>
        <w:t xml:space="preserve">The added value of EU action is broadly confirmed in the public consultation where the vast majority of respondents </w:t>
      </w:r>
      <w:r w:rsidR="00B32132">
        <w:rPr>
          <w:rFonts w:ascii="Times New Roman" w:hAnsi="Times New Roman"/>
          <w:noProof/>
          <w:sz w:val="24"/>
          <w:lang w:val="en-GB"/>
        </w:rPr>
        <w:t xml:space="preserve">from different categories and sizes </w:t>
      </w:r>
      <w:r w:rsidRPr="008704BD">
        <w:rPr>
          <w:rFonts w:ascii="Times New Roman" w:hAnsi="Times New Roman"/>
          <w:noProof/>
          <w:sz w:val="24"/>
          <w:lang w:val="en-GB"/>
        </w:rPr>
        <w:t xml:space="preserve">stated that </w:t>
      </w:r>
      <w:r w:rsidR="00C32D74" w:rsidRPr="008704BD">
        <w:rPr>
          <w:rFonts w:ascii="Times New Roman" w:hAnsi="Times New Roman"/>
          <w:noProof/>
          <w:sz w:val="24"/>
          <w:lang w:val="en-GB"/>
        </w:rPr>
        <w:t>CASPs</w:t>
      </w:r>
      <w:r w:rsidRPr="008704BD">
        <w:rPr>
          <w:rFonts w:ascii="Times New Roman" w:hAnsi="Times New Roman"/>
          <w:noProof/>
          <w:sz w:val="24"/>
          <w:lang w:val="en-GB"/>
        </w:rPr>
        <w:t xml:space="preserve"> should have the same reporting obligations for tax purposes throughout the EU in terms of laying down a single set of rules.</w:t>
      </w:r>
    </w:p>
    <w:p w14:paraId="7ECCC097" w14:textId="77777777" w:rsidR="00FF69C7" w:rsidRPr="006E5F59" w:rsidRDefault="00FF69C7" w:rsidP="6E8C644F">
      <w:pPr>
        <w:rPr>
          <w:rFonts w:ascii="Times New Roman" w:hAnsi="Times New Roman" w:cs="Times New Roman"/>
          <w:noProof/>
          <w:highlight w:val="yellow"/>
          <w:lang w:val="en-GB"/>
        </w:rPr>
      </w:pPr>
    </w:p>
    <w:p w14:paraId="10056A6D" w14:textId="77777777" w:rsidR="00FF69C7" w:rsidRPr="006E5F59" w:rsidRDefault="00FF69C7" w:rsidP="6E8C644F">
      <w:pPr>
        <w:rPr>
          <w:rFonts w:ascii="Times New Roman" w:hAnsi="Times New Roman" w:cs="Times New Roman"/>
          <w:noProof/>
          <w:highlight w:val="yellow"/>
          <w:lang w:val="en-GB"/>
        </w:rPr>
      </w:pPr>
    </w:p>
    <w:p w14:paraId="3AD09DF5" w14:textId="77777777" w:rsidR="00252505" w:rsidRPr="006E5F59" w:rsidRDefault="00252505">
      <w:pPr>
        <w:rPr>
          <w:rFonts w:ascii="Times New Roman" w:eastAsiaTheme="majorEastAsia" w:hAnsi="Times New Roman" w:cs="Times New Roman"/>
          <w:b/>
          <w:noProof/>
          <w:sz w:val="28"/>
          <w:szCs w:val="32"/>
          <w:lang w:val="en-GB"/>
        </w:rPr>
      </w:pPr>
      <w:bookmarkStart w:id="163" w:name="_Toc83742008"/>
      <w:bookmarkStart w:id="164" w:name="_Toc83824383"/>
      <w:bookmarkStart w:id="165" w:name="_Toc81582149"/>
      <w:r w:rsidRPr="006E5F59">
        <w:rPr>
          <w:rFonts w:ascii="Times New Roman" w:hAnsi="Times New Roman" w:cs="Times New Roman"/>
          <w:noProof/>
          <w:lang w:val="en-GB"/>
        </w:rPr>
        <w:br w:type="page"/>
      </w:r>
    </w:p>
    <w:p w14:paraId="704888FB" w14:textId="77777777" w:rsidR="001F1AAE" w:rsidRPr="006E5F59" w:rsidRDefault="3BC0AA8B" w:rsidP="41BAA3BB">
      <w:pPr>
        <w:pStyle w:val="Heading1"/>
        <w:rPr>
          <w:rFonts w:ascii="Times New Roman" w:hAnsi="Times New Roman" w:cs="Times New Roman"/>
          <w:i/>
          <w:iCs/>
          <w:noProof/>
          <w:highlight w:val="yellow"/>
          <w:lang w:val="en-GB"/>
        </w:rPr>
      </w:pPr>
      <w:bookmarkStart w:id="166" w:name="_Toc84338460"/>
      <w:bookmarkStart w:id="167" w:name="_Toc84520037"/>
      <w:bookmarkStart w:id="168" w:name="_Toc84579901"/>
      <w:bookmarkStart w:id="169" w:name="_Toc85052194"/>
      <w:bookmarkStart w:id="170" w:name="_Toc93306872"/>
      <w:bookmarkStart w:id="171" w:name="_Toc1115386785"/>
      <w:bookmarkStart w:id="172" w:name="_Toc767448436"/>
      <w:bookmarkStart w:id="173" w:name="_Toc626356877"/>
      <w:r w:rsidRPr="41BAA3BB">
        <w:rPr>
          <w:rFonts w:ascii="Times New Roman" w:hAnsi="Times New Roman" w:cs="Times New Roman"/>
          <w:noProof/>
          <w:lang w:val="en-GB"/>
        </w:rPr>
        <w:t>4. OBJECTIVES: WHAT IS TO BE ACHIEVED?</w:t>
      </w:r>
      <w:bookmarkEnd w:id="163"/>
      <w:bookmarkEnd w:id="164"/>
      <w:bookmarkEnd w:id="166"/>
      <w:bookmarkEnd w:id="167"/>
      <w:bookmarkEnd w:id="168"/>
      <w:bookmarkEnd w:id="169"/>
      <w:bookmarkEnd w:id="170"/>
      <w:r w:rsidR="04E97E92" w:rsidRPr="41BAA3BB">
        <w:rPr>
          <w:rFonts w:ascii="Times New Roman" w:hAnsi="Times New Roman" w:cs="Times New Roman"/>
          <w:noProof/>
          <w:lang w:val="en-GB"/>
        </w:rPr>
        <w:t xml:space="preserve"> </w:t>
      </w:r>
      <w:bookmarkEnd w:id="165"/>
      <w:bookmarkEnd w:id="171"/>
      <w:bookmarkEnd w:id="172"/>
      <w:bookmarkEnd w:id="173"/>
    </w:p>
    <w:p w14:paraId="29BC023E" w14:textId="77777777" w:rsidR="001F1AAE" w:rsidRPr="006E5F59" w:rsidRDefault="001F1AAE" w:rsidP="00811206">
      <w:pPr>
        <w:pStyle w:val="Heading2"/>
        <w:rPr>
          <w:rFonts w:cs="Times New Roman"/>
          <w:noProof/>
          <w:lang w:val="en-GB"/>
        </w:rPr>
      </w:pPr>
      <w:bookmarkStart w:id="174" w:name="_Toc81582150"/>
      <w:bookmarkStart w:id="175" w:name="_Toc83742009"/>
      <w:bookmarkStart w:id="176" w:name="_Toc83824384"/>
      <w:bookmarkStart w:id="177" w:name="_Toc84338461"/>
      <w:bookmarkStart w:id="178" w:name="_Toc84520038"/>
      <w:bookmarkStart w:id="179" w:name="_Toc84579902"/>
      <w:bookmarkStart w:id="180" w:name="_Toc85052195"/>
      <w:bookmarkStart w:id="181" w:name="_Toc93306873"/>
      <w:bookmarkStart w:id="182" w:name="_Toc710301975"/>
      <w:bookmarkStart w:id="183" w:name="_Toc137834153"/>
      <w:bookmarkStart w:id="184" w:name="_Toc1244698744"/>
      <w:r w:rsidRPr="41BAA3BB">
        <w:rPr>
          <w:rFonts w:cs="Times New Roman"/>
          <w:noProof/>
          <w:lang w:val="en-GB"/>
        </w:rPr>
        <w:t>4.1 General objectives</w:t>
      </w:r>
      <w:bookmarkEnd w:id="174"/>
      <w:bookmarkEnd w:id="175"/>
      <w:bookmarkEnd w:id="176"/>
      <w:bookmarkEnd w:id="177"/>
      <w:bookmarkEnd w:id="178"/>
      <w:bookmarkEnd w:id="179"/>
      <w:bookmarkEnd w:id="180"/>
      <w:bookmarkEnd w:id="181"/>
      <w:r w:rsidRPr="41BAA3BB">
        <w:rPr>
          <w:rFonts w:cs="Times New Roman"/>
          <w:noProof/>
          <w:lang w:val="en-GB"/>
        </w:rPr>
        <w:t xml:space="preserve"> </w:t>
      </w:r>
      <w:bookmarkEnd w:id="182"/>
      <w:bookmarkEnd w:id="183"/>
      <w:bookmarkEnd w:id="184"/>
    </w:p>
    <w:p w14:paraId="2CAEBE25" w14:textId="77777777" w:rsidR="000E530C" w:rsidRPr="008704BD" w:rsidRDefault="000E530C" w:rsidP="001F1AAE">
      <w:pPr>
        <w:jc w:val="both"/>
        <w:rPr>
          <w:rFonts w:ascii="Times New Roman" w:hAnsi="Times New Roman"/>
          <w:noProof/>
          <w:sz w:val="24"/>
          <w:lang w:val="en-GB"/>
        </w:rPr>
      </w:pPr>
      <w:r w:rsidRPr="008704BD">
        <w:rPr>
          <w:rFonts w:ascii="Times New Roman" w:hAnsi="Times New Roman"/>
          <w:noProof/>
          <w:sz w:val="24"/>
          <w:lang w:val="en-GB"/>
        </w:rPr>
        <w:t xml:space="preserve">The general objective is to ensure a </w:t>
      </w:r>
      <w:r w:rsidRPr="008704BD">
        <w:rPr>
          <w:rFonts w:ascii="Times New Roman" w:hAnsi="Times New Roman"/>
          <w:b/>
          <w:noProof/>
          <w:sz w:val="24"/>
          <w:lang w:val="en-GB"/>
        </w:rPr>
        <w:t>fair and efficient functioning of the Internal Market</w:t>
      </w:r>
      <w:r w:rsidRPr="008704BD">
        <w:rPr>
          <w:rFonts w:ascii="Times New Roman" w:hAnsi="Times New Roman"/>
          <w:noProof/>
          <w:sz w:val="24"/>
          <w:lang w:val="en-GB"/>
        </w:rPr>
        <w:t xml:space="preserve"> where all taxpayers pay their fair share</w:t>
      </w:r>
      <w:r w:rsidR="00252505" w:rsidRPr="008704BD">
        <w:rPr>
          <w:rFonts w:ascii="Times New Roman" w:hAnsi="Times New Roman"/>
          <w:noProof/>
          <w:sz w:val="24"/>
          <w:lang w:val="en-GB"/>
        </w:rPr>
        <w:t xml:space="preserve"> of taxes</w:t>
      </w:r>
      <w:r w:rsidRPr="008704BD">
        <w:rPr>
          <w:rFonts w:ascii="Times New Roman" w:hAnsi="Times New Roman"/>
          <w:noProof/>
          <w:sz w:val="24"/>
          <w:lang w:val="en-GB"/>
        </w:rPr>
        <w:t xml:space="preserve">. </w:t>
      </w:r>
    </w:p>
    <w:p w14:paraId="46C15F11" w14:textId="77777777" w:rsidR="001F1AAE" w:rsidRPr="008704BD" w:rsidRDefault="6F89F9CD" w:rsidP="001F1AAE">
      <w:pPr>
        <w:jc w:val="both"/>
        <w:rPr>
          <w:rFonts w:ascii="Times New Roman" w:hAnsi="Times New Roman"/>
          <w:noProof/>
          <w:sz w:val="24"/>
          <w:lang w:val="en-GB"/>
        </w:rPr>
      </w:pPr>
      <w:r w:rsidRPr="008704BD">
        <w:rPr>
          <w:rFonts w:ascii="Times New Roman" w:hAnsi="Times New Roman"/>
          <w:noProof/>
          <w:sz w:val="24"/>
          <w:lang w:val="en-GB"/>
        </w:rPr>
        <w:t xml:space="preserve">In general, </w:t>
      </w:r>
      <w:r w:rsidR="000E530C" w:rsidRPr="008704BD">
        <w:rPr>
          <w:rFonts w:ascii="Times New Roman" w:hAnsi="Times New Roman"/>
          <w:noProof/>
          <w:sz w:val="24"/>
          <w:lang w:val="en-GB"/>
        </w:rPr>
        <w:t xml:space="preserve">it can be observed that </w:t>
      </w:r>
      <w:r w:rsidRPr="008704BD">
        <w:rPr>
          <w:rFonts w:ascii="Times New Roman" w:hAnsi="Times New Roman"/>
          <w:noProof/>
          <w:sz w:val="24"/>
          <w:lang w:val="en-GB"/>
        </w:rPr>
        <w:t xml:space="preserve">tax authorities characterise the crypto-assets market as a tax opaque market. </w:t>
      </w:r>
      <w:r w:rsidR="000E530C" w:rsidRPr="008704BD">
        <w:rPr>
          <w:rFonts w:ascii="Times New Roman" w:hAnsi="Times New Roman"/>
          <w:noProof/>
          <w:sz w:val="24"/>
          <w:lang w:val="en-GB"/>
        </w:rPr>
        <w:t>This</w:t>
      </w:r>
      <w:r w:rsidRPr="008704BD">
        <w:rPr>
          <w:rFonts w:ascii="Times New Roman" w:hAnsi="Times New Roman"/>
          <w:noProof/>
          <w:sz w:val="24"/>
          <w:lang w:val="en-GB"/>
        </w:rPr>
        <w:t xml:space="preserve"> initiative will increase the transparency of the crypto-asset market by providing tax administrations with information that can reduce tax fraud</w:t>
      </w:r>
      <w:r w:rsidR="3507C692" w:rsidRPr="008704BD">
        <w:rPr>
          <w:rFonts w:ascii="Times New Roman" w:hAnsi="Times New Roman"/>
          <w:noProof/>
          <w:sz w:val="24"/>
          <w:lang w:val="en-GB"/>
        </w:rPr>
        <w:t>,</w:t>
      </w:r>
      <w:r w:rsidRPr="008704BD">
        <w:rPr>
          <w:rFonts w:ascii="Times New Roman" w:hAnsi="Times New Roman"/>
          <w:noProof/>
          <w:sz w:val="24"/>
          <w:lang w:val="en-GB"/>
        </w:rPr>
        <w:t xml:space="preserve"> </w:t>
      </w:r>
      <w:r w:rsidR="003C7358" w:rsidRPr="008704BD">
        <w:rPr>
          <w:rFonts w:ascii="Times New Roman" w:hAnsi="Times New Roman"/>
          <w:noProof/>
          <w:sz w:val="24"/>
          <w:lang w:val="en-GB"/>
        </w:rPr>
        <w:t xml:space="preserve">evasion and </w:t>
      </w:r>
      <w:r w:rsidR="30327170" w:rsidRPr="008704BD">
        <w:rPr>
          <w:rFonts w:ascii="Times New Roman" w:hAnsi="Times New Roman"/>
          <w:noProof/>
          <w:sz w:val="24"/>
          <w:lang w:val="en-GB"/>
        </w:rPr>
        <w:t xml:space="preserve">avoidance </w:t>
      </w:r>
      <w:r w:rsidRPr="008704BD" w:rsidDel="003C7358">
        <w:rPr>
          <w:rFonts w:ascii="Times New Roman" w:hAnsi="Times New Roman"/>
          <w:noProof/>
          <w:sz w:val="24"/>
          <w:lang w:val="en-GB"/>
        </w:rPr>
        <w:t xml:space="preserve">and </w:t>
      </w:r>
      <w:r w:rsidRPr="008704BD">
        <w:rPr>
          <w:rFonts w:ascii="Times New Roman" w:hAnsi="Times New Roman"/>
          <w:noProof/>
          <w:sz w:val="24"/>
          <w:lang w:val="en-GB"/>
        </w:rPr>
        <w:t>better ensure a level playing field with the more traditional financial markets.</w:t>
      </w:r>
    </w:p>
    <w:p w14:paraId="0368EFEA" w14:textId="77777777" w:rsidR="001F1AAE" w:rsidRPr="008704BD" w:rsidRDefault="001F1AAE" w:rsidP="001F1AAE">
      <w:pPr>
        <w:jc w:val="both"/>
        <w:rPr>
          <w:rFonts w:ascii="Times New Roman" w:hAnsi="Times New Roman"/>
          <w:noProof/>
          <w:sz w:val="24"/>
          <w:lang w:val="en-GB"/>
        </w:rPr>
      </w:pPr>
      <w:r w:rsidRPr="008704BD">
        <w:rPr>
          <w:rFonts w:ascii="Times New Roman" w:hAnsi="Times New Roman"/>
          <w:noProof/>
          <w:sz w:val="24"/>
          <w:lang w:val="en-GB"/>
        </w:rPr>
        <w:t xml:space="preserve">The crypto-asset market </w:t>
      </w:r>
      <w:r w:rsidR="59C57A51" w:rsidRPr="008704BD">
        <w:rPr>
          <w:rFonts w:ascii="Times New Roman" w:hAnsi="Times New Roman"/>
          <w:noProof/>
          <w:sz w:val="24"/>
          <w:lang w:val="en-GB"/>
        </w:rPr>
        <w:t>continue</w:t>
      </w:r>
      <w:r w:rsidR="4978E0A3" w:rsidRPr="008704BD">
        <w:rPr>
          <w:rFonts w:ascii="Times New Roman" w:hAnsi="Times New Roman"/>
          <w:noProof/>
          <w:sz w:val="24"/>
          <w:lang w:val="en-GB"/>
        </w:rPr>
        <w:t>s</w:t>
      </w:r>
      <w:r w:rsidRPr="008704BD">
        <w:rPr>
          <w:rFonts w:ascii="Times New Roman" w:hAnsi="Times New Roman"/>
          <w:noProof/>
          <w:sz w:val="24"/>
          <w:lang w:val="en-GB"/>
        </w:rPr>
        <w:t xml:space="preserve"> to increase in popularity</w:t>
      </w:r>
      <w:r w:rsidR="003975C1" w:rsidRPr="008704BD">
        <w:rPr>
          <w:rFonts w:ascii="Times New Roman" w:hAnsi="Times New Roman"/>
          <w:noProof/>
          <w:sz w:val="24"/>
          <w:lang w:val="en-GB"/>
        </w:rPr>
        <w:t>.</w:t>
      </w:r>
      <w:r w:rsidR="0CD138AB" w:rsidRPr="008704BD">
        <w:rPr>
          <w:rFonts w:ascii="Times New Roman" w:hAnsi="Times New Roman"/>
          <w:noProof/>
          <w:sz w:val="24"/>
          <w:lang w:val="en-GB"/>
        </w:rPr>
        <w:t xml:space="preserve"> </w:t>
      </w:r>
      <w:r w:rsidR="59C57A51" w:rsidRPr="008704BD">
        <w:rPr>
          <w:rFonts w:ascii="Times New Roman" w:hAnsi="Times New Roman"/>
          <w:noProof/>
          <w:sz w:val="24"/>
          <w:lang w:val="en-GB"/>
        </w:rPr>
        <w:t>Th</w:t>
      </w:r>
      <w:r w:rsidR="52830C29" w:rsidRPr="008704BD">
        <w:rPr>
          <w:rFonts w:ascii="Times New Roman" w:hAnsi="Times New Roman"/>
          <w:noProof/>
          <w:sz w:val="24"/>
          <w:lang w:val="en-GB"/>
        </w:rPr>
        <w:t>is</w:t>
      </w:r>
      <w:r w:rsidRPr="008704BD">
        <w:rPr>
          <w:rFonts w:ascii="Times New Roman" w:hAnsi="Times New Roman"/>
          <w:noProof/>
          <w:sz w:val="24"/>
          <w:lang w:val="en-GB"/>
        </w:rPr>
        <w:t xml:space="preserve"> new market </w:t>
      </w:r>
      <w:r w:rsidR="59C57A51" w:rsidRPr="008704BD">
        <w:rPr>
          <w:rFonts w:ascii="Times New Roman" w:hAnsi="Times New Roman"/>
          <w:noProof/>
          <w:sz w:val="24"/>
          <w:lang w:val="en-GB"/>
        </w:rPr>
        <w:t>bring</w:t>
      </w:r>
      <w:r w:rsidR="759684E5" w:rsidRPr="008704BD">
        <w:rPr>
          <w:rFonts w:ascii="Times New Roman" w:hAnsi="Times New Roman"/>
          <w:noProof/>
          <w:sz w:val="24"/>
          <w:lang w:val="en-GB"/>
        </w:rPr>
        <w:t>s</w:t>
      </w:r>
      <w:r w:rsidRPr="008704BD">
        <w:rPr>
          <w:rFonts w:ascii="Times New Roman" w:hAnsi="Times New Roman"/>
          <w:noProof/>
          <w:sz w:val="24"/>
          <w:lang w:val="en-GB"/>
        </w:rPr>
        <w:t xml:space="preserve"> with </w:t>
      </w:r>
      <w:r w:rsidR="10DCFDF8" w:rsidRPr="008704BD">
        <w:rPr>
          <w:rFonts w:ascii="Times New Roman" w:hAnsi="Times New Roman"/>
          <w:noProof/>
          <w:sz w:val="24"/>
          <w:lang w:val="en-GB"/>
        </w:rPr>
        <w:t>it</w:t>
      </w:r>
      <w:r w:rsidRPr="008704BD">
        <w:rPr>
          <w:rFonts w:ascii="Times New Roman" w:hAnsi="Times New Roman"/>
          <w:noProof/>
          <w:sz w:val="24"/>
          <w:lang w:val="en-GB"/>
        </w:rPr>
        <w:t xml:space="preserve"> benefits </w:t>
      </w:r>
      <w:r w:rsidR="003975C1" w:rsidRPr="008704BD">
        <w:rPr>
          <w:rFonts w:ascii="Times New Roman" w:hAnsi="Times New Roman"/>
          <w:noProof/>
          <w:sz w:val="24"/>
          <w:lang w:val="en-GB"/>
        </w:rPr>
        <w:t>but also</w:t>
      </w:r>
      <w:r w:rsidRPr="008704BD">
        <w:rPr>
          <w:rFonts w:ascii="Times New Roman" w:hAnsi="Times New Roman"/>
          <w:noProof/>
          <w:sz w:val="24"/>
          <w:lang w:val="en-GB"/>
        </w:rPr>
        <w:t xml:space="preserve"> challenges, particularly when it comes to taxation and the risk of non-compliance</w:t>
      </w:r>
      <w:r w:rsidR="003975C1" w:rsidRPr="008704BD">
        <w:rPr>
          <w:rFonts w:ascii="Times New Roman" w:hAnsi="Times New Roman"/>
          <w:noProof/>
          <w:sz w:val="24"/>
          <w:lang w:val="en-GB"/>
        </w:rPr>
        <w:t xml:space="preserve"> </w:t>
      </w:r>
      <w:r w:rsidRPr="008704BD">
        <w:rPr>
          <w:rFonts w:ascii="Times New Roman" w:hAnsi="Times New Roman"/>
          <w:noProof/>
          <w:sz w:val="24"/>
          <w:lang w:val="en-GB"/>
        </w:rPr>
        <w:t>with tax obligations</w:t>
      </w:r>
      <w:r w:rsidR="003975C1" w:rsidRPr="008704BD">
        <w:rPr>
          <w:rFonts w:ascii="Times New Roman" w:hAnsi="Times New Roman"/>
          <w:noProof/>
          <w:sz w:val="24"/>
          <w:lang w:val="en-GB"/>
        </w:rPr>
        <w:t>.</w:t>
      </w:r>
      <w:r w:rsidRPr="008704BD">
        <w:rPr>
          <w:rFonts w:ascii="Times New Roman" w:hAnsi="Times New Roman"/>
          <w:noProof/>
          <w:sz w:val="24"/>
          <w:lang w:val="en-GB"/>
        </w:rPr>
        <w:t xml:space="preserve"> </w:t>
      </w:r>
    </w:p>
    <w:p w14:paraId="6BC8843A" w14:textId="77777777" w:rsidR="001F1AAE" w:rsidRPr="008704BD" w:rsidRDefault="001F1AAE" w:rsidP="001F1AAE">
      <w:pPr>
        <w:jc w:val="both"/>
        <w:rPr>
          <w:rFonts w:ascii="Times New Roman" w:hAnsi="Times New Roman"/>
          <w:noProof/>
          <w:sz w:val="24"/>
          <w:lang w:val="en-GB"/>
        </w:rPr>
      </w:pPr>
      <w:r w:rsidRPr="008704BD">
        <w:rPr>
          <w:rFonts w:ascii="Times New Roman" w:hAnsi="Times New Roman"/>
          <w:noProof/>
          <w:sz w:val="24"/>
          <w:lang w:val="en-GB"/>
        </w:rPr>
        <w:t xml:space="preserve">The crypto-asset market is an international market where users worldwide invest through different </w:t>
      </w:r>
      <w:r w:rsidR="3741FCEA" w:rsidRPr="008704BD">
        <w:rPr>
          <w:rFonts w:ascii="Times New Roman" w:hAnsi="Times New Roman"/>
          <w:noProof/>
          <w:sz w:val="24"/>
          <w:lang w:val="en-GB"/>
        </w:rPr>
        <w:t>CASPs</w:t>
      </w:r>
      <w:r w:rsidRPr="008704BD">
        <w:rPr>
          <w:rFonts w:ascii="Times New Roman" w:hAnsi="Times New Roman"/>
          <w:noProof/>
          <w:sz w:val="24"/>
          <w:lang w:val="en-GB"/>
        </w:rPr>
        <w:t xml:space="preserve"> established in or outside the European Union. Its international nature leads to cross-border transactions, which makes it difficult for tax administrations to </w:t>
      </w:r>
      <w:r w:rsidR="00C11C11" w:rsidRPr="008704BD">
        <w:rPr>
          <w:rFonts w:ascii="Times New Roman" w:hAnsi="Times New Roman"/>
          <w:noProof/>
          <w:sz w:val="24"/>
          <w:lang w:val="en-GB"/>
        </w:rPr>
        <w:t>access tax-</w:t>
      </w:r>
      <w:r w:rsidRPr="008704BD">
        <w:rPr>
          <w:rFonts w:ascii="Times New Roman" w:hAnsi="Times New Roman"/>
          <w:noProof/>
          <w:sz w:val="24"/>
          <w:lang w:val="en-GB"/>
        </w:rPr>
        <w:t xml:space="preserve">relevant information without an exchange of information. </w:t>
      </w:r>
    </w:p>
    <w:p w14:paraId="068582F6" w14:textId="77777777" w:rsidR="00536FEE" w:rsidRPr="008704BD" w:rsidRDefault="00536FEE" w:rsidP="001F1AAE">
      <w:pPr>
        <w:jc w:val="both"/>
        <w:rPr>
          <w:rFonts w:ascii="Times New Roman" w:hAnsi="Times New Roman"/>
          <w:noProof/>
          <w:sz w:val="24"/>
          <w:lang w:val="en-GB"/>
        </w:rPr>
      </w:pPr>
      <w:r w:rsidRPr="008704BD">
        <w:rPr>
          <w:rFonts w:ascii="Times New Roman" w:hAnsi="Times New Roman"/>
          <w:noProof/>
          <w:sz w:val="24"/>
          <w:lang w:val="en-GB"/>
        </w:rPr>
        <w:t>Extending and clarifying the reporting obligations concerning the creation, transactions and holdings of crypto-assets will provide legal certainty and increased transparency for the crypto-assets market, in a manner that enables tax administrations to reduce tax evasion, avoidance and fraud.</w:t>
      </w:r>
      <w:r w:rsidR="00654E9D" w:rsidRPr="008704BD">
        <w:rPr>
          <w:rFonts w:ascii="Times New Roman" w:hAnsi="Times New Roman"/>
          <w:noProof/>
          <w:sz w:val="24"/>
          <w:lang w:val="en-GB"/>
        </w:rPr>
        <w:t xml:space="preserve"> This initiative therefore also aims at </w:t>
      </w:r>
      <w:r w:rsidR="00654E9D" w:rsidRPr="008704BD">
        <w:rPr>
          <w:rFonts w:ascii="Times New Roman" w:hAnsi="Times New Roman"/>
          <w:b/>
          <w:noProof/>
          <w:sz w:val="24"/>
          <w:lang w:val="en-GB"/>
        </w:rPr>
        <w:t>safeguarding Member States’ revenues</w:t>
      </w:r>
      <w:r w:rsidR="00654E9D" w:rsidRPr="008704BD">
        <w:rPr>
          <w:rFonts w:ascii="Times New Roman" w:hAnsi="Times New Roman"/>
          <w:noProof/>
          <w:sz w:val="24"/>
          <w:lang w:val="en-GB"/>
        </w:rPr>
        <w:t>.</w:t>
      </w:r>
    </w:p>
    <w:p w14:paraId="4AFDBB68" w14:textId="77777777" w:rsidR="0069EA0C" w:rsidRDefault="000E530C" w:rsidP="53EAB912">
      <w:pPr>
        <w:jc w:val="both"/>
        <w:rPr>
          <w:rFonts w:ascii="Times New Roman" w:hAnsi="Times New Roman"/>
          <w:noProof/>
          <w:sz w:val="24"/>
          <w:lang w:val="en-GB"/>
        </w:rPr>
      </w:pPr>
      <w:r w:rsidRPr="008704BD">
        <w:rPr>
          <w:rFonts w:ascii="Times New Roman" w:hAnsi="Times New Roman"/>
          <w:noProof/>
          <w:sz w:val="24"/>
          <w:lang w:val="en-GB"/>
        </w:rPr>
        <w:t>This initiative should therefore benefit</w:t>
      </w:r>
      <w:r w:rsidR="00654E9D" w:rsidRPr="008704BD">
        <w:rPr>
          <w:rFonts w:ascii="Times New Roman" w:hAnsi="Times New Roman"/>
          <w:noProof/>
          <w:sz w:val="24"/>
          <w:lang w:val="en-GB"/>
        </w:rPr>
        <w:t xml:space="preserve"> national treasuries and</w:t>
      </w:r>
      <w:r w:rsidRPr="008704BD">
        <w:rPr>
          <w:rFonts w:ascii="Times New Roman" w:hAnsi="Times New Roman"/>
          <w:noProof/>
          <w:sz w:val="24"/>
          <w:lang w:val="en-GB"/>
        </w:rPr>
        <w:t xml:space="preserve"> tax administrations. </w:t>
      </w:r>
      <w:r w:rsidR="0069EA0C" w:rsidRPr="008704BD">
        <w:rPr>
          <w:rFonts w:ascii="Times New Roman" w:hAnsi="Times New Roman"/>
          <w:noProof/>
          <w:sz w:val="24"/>
          <w:lang w:val="en-GB"/>
        </w:rPr>
        <w:t>At the same time</w:t>
      </w:r>
      <w:r w:rsidR="00957485" w:rsidRPr="008704BD">
        <w:rPr>
          <w:rFonts w:ascii="Times New Roman" w:hAnsi="Times New Roman"/>
          <w:noProof/>
          <w:sz w:val="24"/>
          <w:lang w:val="en-GB"/>
        </w:rPr>
        <w:t>,</w:t>
      </w:r>
      <w:r w:rsidR="0069EA0C" w:rsidRPr="008704BD">
        <w:rPr>
          <w:rFonts w:ascii="Times New Roman" w:hAnsi="Times New Roman"/>
          <w:noProof/>
          <w:sz w:val="24"/>
          <w:lang w:val="en-GB"/>
        </w:rPr>
        <w:t xml:space="preserve"> users and service providers will benefit from such an initiative because of the harmonised reporting framework across the EU. This will </w:t>
      </w:r>
      <w:r w:rsidR="0CAD3A02" w:rsidRPr="008704BD">
        <w:rPr>
          <w:rFonts w:ascii="Times New Roman" w:hAnsi="Times New Roman"/>
          <w:noProof/>
          <w:sz w:val="24"/>
          <w:lang w:val="en-GB"/>
        </w:rPr>
        <w:t>avoid a situation where individual Member States put in place national reporting frameworks</w:t>
      </w:r>
      <w:r w:rsidR="00957485" w:rsidRPr="008704BD">
        <w:rPr>
          <w:rFonts w:ascii="Times New Roman" w:hAnsi="Times New Roman"/>
          <w:noProof/>
          <w:sz w:val="24"/>
          <w:lang w:val="en-GB"/>
        </w:rPr>
        <w:t>,</w:t>
      </w:r>
      <w:r w:rsidR="0CAD3A02" w:rsidRPr="008704BD">
        <w:rPr>
          <w:rFonts w:ascii="Times New Roman" w:hAnsi="Times New Roman"/>
          <w:noProof/>
          <w:sz w:val="24"/>
          <w:lang w:val="en-GB"/>
        </w:rPr>
        <w:t xml:space="preserve"> which may differ from jurisdiction to </w:t>
      </w:r>
      <w:r w:rsidR="271BF24D" w:rsidRPr="008704BD">
        <w:rPr>
          <w:rFonts w:ascii="Times New Roman" w:hAnsi="Times New Roman"/>
          <w:noProof/>
          <w:sz w:val="24"/>
          <w:lang w:val="en-GB"/>
        </w:rPr>
        <w:t>jurisdiction</w:t>
      </w:r>
      <w:r w:rsidR="0CAD3A02" w:rsidRPr="008704BD">
        <w:rPr>
          <w:rFonts w:ascii="Times New Roman" w:hAnsi="Times New Roman"/>
          <w:noProof/>
          <w:sz w:val="24"/>
          <w:lang w:val="en-GB"/>
        </w:rPr>
        <w:t xml:space="preserve"> and would make it hard </w:t>
      </w:r>
      <w:r w:rsidR="7902B72E" w:rsidRPr="008704BD">
        <w:rPr>
          <w:rFonts w:ascii="Times New Roman" w:hAnsi="Times New Roman"/>
          <w:noProof/>
          <w:sz w:val="24"/>
          <w:lang w:val="en-GB"/>
        </w:rPr>
        <w:t>and more burdensome</w:t>
      </w:r>
      <w:r w:rsidR="4871B50F" w:rsidRPr="008704BD">
        <w:rPr>
          <w:rFonts w:ascii="Times New Roman" w:hAnsi="Times New Roman"/>
          <w:noProof/>
          <w:sz w:val="24"/>
          <w:lang w:val="en-GB"/>
        </w:rPr>
        <w:t xml:space="preserve"> for </w:t>
      </w:r>
      <w:r w:rsidR="4E658DEF" w:rsidRPr="008704BD">
        <w:rPr>
          <w:rFonts w:ascii="Times New Roman" w:hAnsi="Times New Roman"/>
          <w:noProof/>
          <w:sz w:val="24"/>
          <w:lang w:val="en-GB"/>
        </w:rPr>
        <w:t>service providers</w:t>
      </w:r>
      <w:r w:rsidR="0CAD3A02" w:rsidRPr="008704BD">
        <w:rPr>
          <w:rFonts w:ascii="Times New Roman" w:hAnsi="Times New Roman"/>
          <w:noProof/>
          <w:sz w:val="24"/>
          <w:lang w:val="en-GB"/>
        </w:rPr>
        <w:t xml:space="preserve"> to comply.</w:t>
      </w:r>
      <w:r w:rsidR="374A2B46" w:rsidRPr="008704BD">
        <w:rPr>
          <w:rFonts w:ascii="Times New Roman" w:hAnsi="Times New Roman"/>
          <w:noProof/>
          <w:sz w:val="24"/>
          <w:lang w:val="en-GB"/>
        </w:rPr>
        <w:t xml:space="preserve"> This element is one that applied equally to previous DAC amendments.</w:t>
      </w:r>
    </w:p>
    <w:p w14:paraId="030B6CC9" w14:textId="77777777" w:rsidR="00357157" w:rsidRPr="0097262B" w:rsidRDefault="00357157" w:rsidP="0097262B">
      <w:pPr>
        <w:jc w:val="both"/>
        <w:rPr>
          <w:noProof/>
          <w:sz w:val="24"/>
        </w:rPr>
      </w:pPr>
      <w:r w:rsidRPr="0097262B">
        <w:rPr>
          <w:rFonts w:ascii="Times New Roman" w:hAnsi="Times New Roman"/>
          <w:noProof/>
          <w:sz w:val="24"/>
          <w:lang w:val="en-GB"/>
        </w:rPr>
        <w:t>This proposal intends to set a reporting framework regarding crypto-assets exchanges. The proposal does not regulate how Member States tax the users’ capital gains, the holdings or any other direct or indirect tax related to crypto-assets.</w:t>
      </w:r>
    </w:p>
    <w:p w14:paraId="3C3A680D" w14:textId="334B2015" w:rsidR="00357157" w:rsidRPr="008704BD" w:rsidRDefault="00357157" w:rsidP="00357157">
      <w:pPr>
        <w:jc w:val="both"/>
        <w:rPr>
          <w:rFonts w:ascii="Times New Roman" w:hAnsi="Times New Roman"/>
          <w:noProof/>
          <w:sz w:val="24"/>
          <w:lang w:val="en-GB"/>
        </w:rPr>
      </w:pPr>
      <w:r w:rsidRPr="0097262B">
        <w:rPr>
          <w:rFonts w:ascii="Times New Roman" w:hAnsi="Times New Roman"/>
          <w:noProof/>
          <w:sz w:val="24"/>
          <w:lang w:val="en-GB"/>
        </w:rPr>
        <w:t xml:space="preserve">A CASP may be established in a jurisdiction that is not currently taxing any income derived from crypto-asset transactions, but its users might be tax resident in a different jurisdiction that taxes income derived from crypto-assets transactions.       </w:t>
      </w:r>
    </w:p>
    <w:p w14:paraId="27B69A09" w14:textId="77777777" w:rsidR="001F1AAE" w:rsidRPr="006E5F59" w:rsidRDefault="001F1AAE" w:rsidP="00811206">
      <w:pPr>
        <w:pStyle w:val="Heading2"/>
        <w:rPr>
          <w:rFonts w:cs="Times New Roman"/>
          <w:noProof/>
          <w:lang w:val="en-GB"/>
        </w:rPr>
      </w:pPr>
      <w:bookmarkStart w:id="185" w:name="_Toc81582151"/>
      <w:bookmarkStart w:id="186" w:name="_Toc83742010"/>
      <w:bookmarkStart w:id="187" w:name="_Toc83824385"/>
      <w:bookmarkStart w:id="188" w:name="_Toc84338462"/>
      <w:bookmarkStart w:id="189" w:name="_Toc84520039"/>
      <w:bookmarkStart w:id="190" w:name="_Toc84579903"/>
      <w:bookmarkStart w:id="191" w:name="_Toc85052196"/>
      <w:bookmarkStart w:id="192" w:name="_Toc1928746352"/>
      <w:bookmarkStart w:id="193" w:name="_Toc1293701057"/>
      <w:bookmarkStart w:id="194" w:name="_Toc1641514707"/>
      <w:bookmarkStart w:id="195" w:name="_Toc93306874"/>
      <w:r w:rsidRPr="41BAA3BB">
        <w:rPr>
          <w:rFonts w:cs="Times New Roman"/>
          <w:noProof/>
          <w:lang w:val="en-GB"/>
        </w:rPr>
        <w:t>4.2 Specific objectives</w:t>
      </w:r>
      <w:bookmarkEnd w:id="185"/>
      <w:bookmarkEnd w:id="186"/>
      <w:bookmarkEnd w:id="187"/>
      <w:bookmarkEnd w:id="188"/>
      <w:bookmarkEnd w:id="189"/>
      <w:bookmarkEnd w:id="190"/>
      <w:bookmarkEnd w:id="191"/>
      <w:bookmarkEnd w:id="192"/>
      <w:bookmarkEnd w:id="193"/>
      <w:bookmarkEnd w:id="194"/>
      <w:bookmarkEnd w:id="195"/>
    </w:p>
    <w:p w14:paraId="2340008C" w14:textId="77777777" w:rsidR="00764BF9" w:rsidRPr="008704BD" w:rsidRDefault="00E264F0" w:rsidP="00E264F0">
      <w:pPr>
        <w:jc w:val="both"/>
        <w:rPr>
          <w:rFonts w:ascii="Times New Roman" w:hAnsi="Times New Roman"/>
          <w:noProof/>
          <w:sz w:val="24"/>
          <w:lang w:val="en-GB"/>
        </w:rPr>
      </w:pPr>
      <w:r w:rsidRPr="008704BD">
        <w:rPr>
          <w:rFonts w:ascii="Times New Roman" w:hAnsi="Times New Roman"/>
          <w:noProof/>
          <w:sz w:val="24"/>
          <w:lang w:val="en-GB"/>
        </w:rPr>
        <w:t xml:space="preserve">Specific objectives are to enhance the relevant information available to tax administrations to perform their duties more effectively and to reinforce the general compliance with the provisions of the DAC. This would allow tax administrations to monitor the risk of non-compliance with tax rules and ensure proper tax collection. More specifically, </w:t>
      </w:r>
      <w:r w:rsidRPr="008704BD">
        <w:rPr>
          <w:rFonts w:ascii="Times New Roman" w:hAnsi="Times New Roman"/>
          <w:b/>
          <w:noProof/>
          <w:sz w:val="24"/>
          <w:lang w:val="en-GB"/>
        </w:rPr>
        <w:t xml:space="preserve">the initiative will improve the ability of Member States to detect and counter tax fraud, </w:t>
      </w:r>
      <w:r w:rsidR="00EF5D49" w:rsidRPr="008704BD">
        <w:rPr>
          <w:rFonts w:ascii="Times New Roman" w:hAnsi="Times New Roman"/>
          <w:b/>
          <w:noProof/>
          <w:sz w:val="24"/>
          <w:lang w:val="en-GB"/>
        </w:rPr>
        <w:t xml:space="preserve">evasion and </w:t>
      </w:r>
      <w:r w:rsidRPr="008704BD">
        <w:rPr>
          <w:rFonts w:ascii="Times New Roman" w:hAnsi="Times New Roman"/>
          <w:b/>
          <w:noProof/>
          <w:sz w:val="24"/>
          <w:lang w:val="en-GB"/>
        </w:rPr>
        <w:t>avoidance</w:t>
      </w:r>
      <w:r w:rsidRPr="008704BD">
        <w:rPr>
          <w:rFonts w:ascii="Times New Roman" w:hAnsi="Times New Roman"/>
          <w:noProof/>
          <w:sz w:val="24"/>
          <w:lang w:val="en-GB"/>
        </w:rPr>
        <w:t xml:space="preserve">. </w:t>
      </w:r>
    </w:p>
    <w:p w14:paraId="6961B3F4" w14:textId="77777777" w:rsidR="00E264F0" w:rsidRPr="008704BD" w:rsidRDefault="00E264F0" w:rsidP="00E264F0">
      <w:pPr>
        <w:jc w:val="both"/>
        <w:rPr>
          <w:rFonts w:ascii="Times New Roman" w:hAnsi="Times New Roman"/>
          <w:noProof/>
          <w:sz w:val="24"/>
          <w:lang w:val="en-GB"/>
        </w:rPr>
      </w:pPr>
      <w:r w:rsidRPr="008704BD">
        <w:rPr>
          <w:rFonts w:ascii="Times New Roman" w:hAnsi="Times New Roman"/>
          <w:noProof/>
          <w:sz w:val="24"/>
          <w:lang w:val="en-GB"/>
        </w:rPr>
        <w:t xml:space="preserve">The initiative would require CASPs to report relevant information to tax administrations across the EU thereby ensuring a level playing field across the Union. </w:t>
      </w:r>
    </w:p>
    <w:p w14:paraId="64418136" w14:textId="77777777" w:rsidR="00E264F0" w:rsidRPr="008704BD" w:rsidRDefault="00E264F0" w:rsidP="00E264F0">
      <w:pPr>
        <w:jc w:val="both"/>
        <w:rPr>
          <w:rFonts w:ascii="Times New Roman" w:hAnsi="Times New Roman"/>
          <w:noProof/>
          <w:sz w:val="24"/>
          <w:lang w:val="en-GB"/>
        </w:rPr>
      </w:pPr>
      <w:bookmarkStart w:id="196" w:name="_Toc33455610"/>
      <w:bookmarkStart w:id="197" w:name="_Toc33716788"/>
      <w:bookmarkStart w:id="198" w:name="_Toc34659438"/>
      <w:bookmarkStart w:id="199" w:name="_Toc34734757"/>
      <w:bookmarkStart w:id="200" w:name="_Toc35354020"/>
      <w:bookmarkStart w:id="201" w:name="_Toc35939944"/>
      <w:bookmarkStart w:id="202" w:name="_Toc35940047"/>
      <w:bookmarkStart w:id="203" w:name="_Toc36114258"/>
      <w:bookmarkStart w:id="204" w:name="_Toc36114308"/>
      <w:bookmarkStart w:id="205" w:name="_Toc36215609"/>
      <w:bookmarkStart w:id="206" w:name="_Toc36627009"/>
      <w:bookmarkStart w:id="207" w:name="_Toc36630060"/>
      <w:bookmarkStart w:id="208" w:name="_Toc36630943"/>
      <w:bookmarkStart w:id="209" w:name="_Toc36634705"/>
      <w:bookmarkStart w:id="210" w:name="_Toc36637005"/>
      <w:bookmarkStart w:id="211" w:name="_Toc39309854"/>
      <w:r w:rsidRPr="008704BD">
        <w:rPr>
          <w:rFonts w:ascii="Times New Roman" w:hAnsi="Times New Roman"/>
          <w:noProof/>
          <w:sz w:val="24"/>
          <w:lang w:val="en-GB"/>
        </w:rPr>
        <w:t xml:space="preserve">Tax authorities' tasks to ensure the correctness of tax returns and to counter tax </w:t>
      </w:r>
      <w:r w:rsidR="00654E9D" w:rsidRPr="008704BD">
        <w:rPr>
          <w:rFonts w:ascii="Times New Roman" w:hAnsi="Times New Roman"/>
          <w:noProof/>
          <w:sz w:val="24"/>
          <w:lang w:val="en-GB"/>
        </w:rPr>
        <w:t xml:space="preserve">fraud, </w:t>
      </w:r>
      <w:r w:rsidRPr="008704BD">
        <w:rPr>
          <w:rFonts w:ascii="Times New Roman" w:hAnsi="Times New Roman"/>
          <w:noProof/>
          <w:sz w:val="24"/>
          <w:lang w:val="en-GB"/>
        </w:rPr>
        <w:t xml:space="preserve">evasion and </w:t>
      </w:r>
      <w:r w:rsidR="00654E9D" w:rsidRPr="008704BD">
        <w:rPr>
          <w:rFonts w:ascii="Times New Roman" w:hAnsi="Times New Roman"/>
          <w:noProof/>
          <w:sz w:val="24"/>
          <w:lang w:val="en-GB"/>
        </w:rPr>
        <w:t>avoidance</w:t>
      </w:r>
      <w:r w:rsidRPr="008704BD">
        <w:rPr>
          <w:rFonts w:ascii="Times New Roman" w:hAnsi="Times New Roman"/>
          <w:noProof/>
          <w:sz w:val="24"/>
          <w:lang w:val="en-GB"/>
        </w:rPr>
        <w:t xml:space="preserve"> relies upon good quality and relevant information. If tax officers have the information they need, at the right time, to check that crypto-asset users declare what they obtained, it will be possible for them to better assess the tax due and ensure that tax is paid.  </w:t>
      </w:r>
    </w:p>
    <w:p w14:paraId="4006F233" w14:textId="77777777" w:rsidR="00E97117" w:rsidRDefault="00E264F0" w:rsidP="00E264F0">
      <w:pPr>
        <w:jc w:val="both"/>
        <w:rPr>
          <w:rFonts w:ascii="Times New Roman" w:hAnsi="Times New Roman"/>
          <w:noProof/>
          <w:sz w:val="24"/>
          <w:lang w:val="en-GB"/>
        </w:rPr>
      </w:pPr>
      <w:r w:rsidRPr="008704BD">
        <w:rPr>
          <w:rFonts w:ascii="Times New Roman" w:hAnsi="Times New Roman"/>
          <w:noProof/>
          <w:sz w:val="24"/>
          <w:lang w:val="en-GB"/>
        </w:rPr>
        <w:t xml:space="preserve">In addition to the ability to actively detect and counter tax </w:t>
      </w:r>
      <w:r w:rsidR="00654E9D" w:rsidRPr="008704BD">
        <w:rPr>
          <w:rFonts w:ascii="Times New Roman" w:hAnsi="Times New Roman"/>
          <w:noProof/>
          <w:sz w:val="24"/>
          <w:lang w:val="en-GB"/>
        </w:rPr>
        <w:t xml:space="preserve">fraud, </w:t>
      </w:r>
      <w:r w:rsidRPr="008704BD">
        <w:rPr>
          <w:rFonts w:ascii="Times New Roman" w:hAnsi="Times New Roman"/>
          <w:noProof/>
          <w:sz w:val="24"/>
          <w:lang w:val="en-GB"/>
        </w:rPr>
        <w:t>evasion</w:t>
      </w:r>
      <w:r w:rsidR="007A43E2" w:rsidRPr="008704BD">
        <w:rPr>
          <w:rFonts w:ascii="Times New Roman" w:hAnsi="Times New Roman"/>
          <w:noProof/>
          <w:sz w:val="24"/>
          <w:lang w:val="en-GB"/>
        </w:rPr>
        <w:t xml:space="preserve"> and </w:t>
      </w:r>
      <w:r w:rsidRPr="008704BD">
        <w:rPr>
          <w:rFonts w:ascii="Times New Roman" w:hAnsi="Times New Roman"/>
          <w:noProof/>
          <w:sz w:val="24"/>
          <w:lang w:val="en-GB"/>
        </w:rPr>
        <w:t>avoidance, this initiative, once adopted, would also have deterrent effects. There is evidence that taxpayers are aware of a higher probability of being caught for avoiding and evading taxes</w:t>
      </w:r>
      <w:r w:rsidRPr="008704BD">
        <w:rPr>
          <w:rStyle w:val="FootnoteReference"/>
          <w:rFonts w:ascii="Times New Roman" w:hAnsi="Times New Roman"/>
          <w:noProof/>
          <w:sz w:val="24"/>
          <w:lang w:val="en-GB"/>
        </w:rPr>
        <w:footnoteReference w:id="21"/>
      </w:r>
      <w:r w:rsidRPr="008704BD">
        <w:rPr>
          <w:rFonts w:ascii="Times New Roman" w:hAnsi="Times New Roman"/>
          <w:noProof/>
          <w:sz w:val="24"/>
          <w:lang w:val="en-GB"/>
        </w:rPr>
        <w:t xml:space="preserve"> with automatic exchange of information measures in place</w:t>
      </w:r>
      <w:r w:rsidR="007A43E2" w:rsidRPr="008704BD">
        <w:rPr>
          <w:rFonts w:ascii="Times New Roman" w:hAnsi="Times New Roman"/>
          <w:noProof/>
          <w:sz w:val="24"/>
          <w:lang w:val="en-GB"/>
        </w:rPr>
        <w:t>. Automatic exchange of information is a</w:t>
      </w:r>
      <w:r w:rsidRPr="008704BD">
        <w:rPr>
          <w:rFonts w:ascii="Times New Roman" w:hAnsi="Times New Roman"/>
          <w:noProof/>
          <w:sz w:val="24"/>
          <w:lang w:val="en-GB"/>
        </w:rPr>
        <w:t xml:space="preserve"> most effective tool to foster voluntary compliance</w:t>
      </w:r>
      <w:r w:rsidR="00696792" w:rsidRPr="008704BD">
        <w:rPr>
          <w:rFonts w:ascii="Times New Roman" w:hAnsi="Times New Roman"/>
          <w:noProof/>
          <w:sz w:val="24"/>
          <w:lang w:val="en-GB"/>
        </w:rPr>
        <w:t>.</w:t>
      </w:r>
      <w:r w:rsidRPr="008704BD">
        <w:rPr>
          <w:rStyle w:val="FootnoteReference"/>
          <w:rFonts w:ascii="Times New Roman" w:hAnsi="Times New Roman"/>
          <w:noProof/>
          <w:sz w:val="24"/>
          <w:lang w:val="en-GB"/>
        </w:rPr>
        <w:footnoteReference w:id="22"/>
      </w:r>
      <w:r w:rsidRPr="008704BD">
        <w:rPr>
          <w:rFonts w:ascii="Times New Roman" w:hAnsi="Times New Roman"/>
          <w:noProof/>
          <w:sz w:val="24"/>
          <w:lang w:val="en-GB"/>
        </w:rPr>
        <w:t xml:space="preserve"> </w:t>
      </w:r>
      <w:r w:rsidR="007A43E2" w:rsidRPr="008704BD">
        <w:rPr>
          <w:rFonts w:ascii="Times New Roman" w:hAnsi="Times New Roman"/>
          <w:noProof/>
          <w:sz w:val="24"/>
          <w:lang w:val="en-GB"/>
        </w:rPr>
        <w:t>In other words, b</w:t>
      </w:r>
      <w:r w:rsidRPr="008704BD">
        <w:rPr>
          <w:rFonts w:ascii="Times New Roman" w:hAnsi="Times New Roman"/>
          <w:noProof/>
          <w:sz w:val="24"/>
          <w:lang w:val="en-GB"/>
        </w:rPr>
        <w:t>y increasing the probability of detecting non-compliance, the initiative is</w:t>
      </w:r>
      <w:r w:rsidR="00995C6A" w:rsidRPr="008704BD">
        <w:rPr>
          <w:rFonts w:ascii="Times New Roman" w:hAnsi="Times New Roman"/>
          <w:noProof/>
          <w:sz w:val="24"/>
          <w:lang w:val="en-GB"/>
        </w:rPr>
        <w:t xml:space="preserve"> </w:t>
      </w:r>
      <w:r w:rsidRPr="008704BD">
        <w:rPr>
          <w:rFonts w:ascii="Times New Roman" w:hAnsi="Times New Roman"/>
          <w:noProof/>
          <w:sz w:val="24"/>
          <w:lang w:val="en-GB"/>
        </w:rPr>
        <w:t>expected to provide an incentive to declare and pay taxes owed.</w:t>
      </w:r>
    </w:p>
    <w:p w14:paraId="6586527C" w14:textId="77777777" w:rsidR="007A43E2" w:rsidRPr="008704BD" w:rsidRDefault="00E97117" w:rsidP="00E264F0">
      <w:pPr>
        <w:jc w:val="both"/>
        <w:rPr>
          <w:rFonts w:ascii="Times New Roman" w:hAnsi="Times New Roman"/>
          <w:noProof/>
          <w:sz w:val="24"/>
          <w:lang w:val="en-GB"/>
        </w:rPr>
      </w:pPr>
      <w:r>
        <w:rPr>
          <w:rFonts w:ascii="Times New Roman" w:hAnsi="Times New Roman"/>
          <w:noProof/>
          <w:sz w:val="24"/>
          <w:lang w:val="en-GB"/>
        </w:rPr>
        <w:t>The monitoring of the implementation and the effects of the initiative will be carried out through yearly assessments</w:t>
      </w:r>
      <w:r w:rsidR="00D15E4F">
        <w:rPr>
          <w:rFonts w:ascii="Times New Roman" w:hAnsi="Times New Roman"/>
          <w:noProof/>
          <w:sz w:val="24"/>
          <w:lang w:val="en-GB"/>
        </w:rPr>
        <w:t xml:space="preserve"> where Member States provide quantitative and qualitative information to the Commission</w:t>
      </w:r>
      <w:r>
        <w:rPr>
          <w:rFonts w:ascii="Times New Roman" w:hAnsi="Times New Roman"/>
          <w:noProof/>
          <w:sz w:val="24"/>
          <w:lang w:val="en-GB"/>
        </w:rPr>
        <w:t xml:space="preserve">, including </w:t>
      </w:r>
      <w:r w:rsidR="00A25ECA">
        <w:rPr>
          <w:rFonts w:ascii="Times New Roman" w:hAnsi="Times New Roman"/>
          <w:noProof/>
          <w:sz w:val="24"/>
          <w:lang w:val="en-GB"/>
        </w:rPr>
        <w:t>references to key performance indicators.</w:t>
      </w:r>
    </w:p>
    <w:p w14:paraId="6D175595" w14:textId="77777777" w:rsidR="0005511F" w:rsidRPr="006E5F59" w:rsidRDefault="0005511F">
      <w:pPr>
        <w:rPr>
          <w:rFonts w:ascii="Times New Roman" w:eastAsiaTheme="majorEastAsia" w:hAnsi="Times New Roman" w:cs="Times New Roman"/>
          <w:b/>
          <w:noProof/>
          <w:sz w:val="28"/>
          <w:szCs w:val="28"/>
          <w:lang w:val="en-GB"/>
        </w:rPr>
      </w:pPr>
      <w:r w:rsidRPr="006E5F59">
        <w:rPr>
          <w:rFonts w:ascii="Times New Roman" w:hAnsi="Times New Roman" w:cs="Times New Roman"/>
          <w:noProof/>
          <w:lang w:val="en-GB"/>
        </w:rPr>
        <w:br w:type="page"/>
      </w:r>
    </w:p>
    <w:p w14:paraId="333B1C9B" w14:textId="77777777" w:rsidR="00572424" w:rsidRPr="006E5F59" w:rsidRDefault="00572424" w:rsidP="00572424">
      <w:pPr>
        <w:pStyle w:val="Heading1"/>
        <w:rPr>
          <w:rFonts w:ascii="Times New Roman" w:hAnsi="Times New Roman" w:cs="Times New Roman"/>
          <w:noProof/>
          <w:lang w:val="en-GB"/>
        </w:rPr>
      </w:pPr>
      <w:bookmarkStart w:id="212" w:name="_Toc81582152"/>
      <w:bookmarkStart w:id="213" w:name="_Toc83742011"/>
      <w:bookmarkStart w:id="214" w:name="_Toc83824386"/>
      <w:bookmarkStart w:id="215" w:name="_Toc84338463"/>
      <w:bookmarkStart w:id="216" w:name="_Toc84520040"/>
      <w:bookmarkStart w:id="217" w:name="_Toc84579904"/>
      <w:bookmarkStart w:id="218" w:name="_Toc85052197"/>
      <w:bookmarkStart w:id="219" w:name="_Toc93306875"/>
      <w:bookmarkStart w:id="220" w:name="_Toc2068284887"/>
      <w:bookmarkStart w:id="221" w:name="_Toc1302561713"/>
      <w:bookmarkStart w:id="222" w:name="_Toc304624713"/>
      <w:r w:rsidRPr="41BAA3BB">
        <w:rPr>
          <w:rFonts w:ascii="Times New Roman" w:hAnsi="Times New Roman" w:cs="Times New Roman"/>
          <w:noProof/>
          <w:lang w:val="en-GB"/>
        </w:rPr>
        <w:t xml:space="preserve">5. </w:t>
      </w:r>
      <w:r w:rsidR="006652BB" w:rsidRPr="41BAA3BB">
        <w:rPr>
          <w:rFonts w:ascii="Times New Roman" w:hAnsi="Times New Roman" w:cs="Times New Roman"/>
          <w:noProof/>
          <w:lang w:val="en-GB"/>
        </w:rPr>
        <w:t>WHAT ARE THE AVAILABLE POLICY OPTIONS</w:t>
      </w:r>
      <w:r w:rsidRPr="41BAA3BB">
        <w:rPr>
          <w:rFonts w:ascii="Times New Roman" w:hAnsi="Times New Roman" w:cs="Times New Roman"/>
          <w:noProof/>
          <w:lang w:val="en-GB"/>
        </w:rPr>
        <w: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41BAA3BB">
        <w:rPr>
          <w:rFonts w:ascii="Times New Roman" w:hAnsi="Times New Roman" w:cs="Times New Roman"/>
          <w:noProof/>
          <w:lang w:val="en-GB"/>
        </w:rPr>
        <w:t xml:space="preserve">  </w:t>
      </w:r>
      <w:bookmarkEnd w:id="220"/>
      <w:bookmarkEnd w:id="221"/>
      <w:bookmarkEnd w:id="222"/>
    </w:p>
    <w:p w14:paraId="7DC53A4D" w14:textId="4D3B6EEE" w:rsidR="00944664" w:rsidRPr="008704BD" w:rsidRDefault="00A73CCF" w:rsidP="00944664">
      <w:pPr>
        <w:jc w:val="both"/>
        <w:rPr>
          <w:rFonts w:ascii="Times New Roman" w:hAnsi="Times New Roman"/>
          <w:noProof/>
          <w:sz w:val="24"/>
          <w:lang w:val="en-GB"/>
        </w:rPr>
      </w:pPr>
      <w:r w:rsidRPr="008704BD">
        <w:rPr>
          <w:rFonts w:ascii="Times New Roman" w:hAnsi="Times New Roman"/>
          <w:noProof/>
          <w:sz w:val="24"/>
          <w:lang w:val="en-GB"/>
        </w:rPr>
        <w:t>The starting point is the</w:t>
      </w:r>
      <w:r w:rsidR="00735BAB" w:rsidRPr="008704BD">
        <w:rPr>
          <w:rFonts w:ascii="Times New Roman" w:hAnsi="Times New Roman"/>
          <w:noProof/>
          <w:sz w:val="24"/>
          <w:lang w:val="en-GB"/>
        </w:rPr>
        <w:t xml:space="preserve"> baseline</w:t>
      </w:r>
      <w:r w:rsidR="00864E98" w:rsidRPr="008704BD">
        <w:rPr>
          <w:rFonts w:ascii="Times New Roman" w:hAnsi="Times New Roman"/>
          <w:noProof/>
          <w:sz w:val="24"/>
          <w:lang w:val="en-GB"/>
        </w:rPr>
        <w:t xml:space="preserve"> scenario</w:t>
      </w:r>
      <w:r w:rsidR="00A63E7A">
        <w:rPr>
          <w:rFonts w:ascii="Times New Roman" w:hAnsi="Times New Roman"/>
          <w:noProof/>
          <w:sz w:val="24"/>
          <w:lang w:val="en-GB"/>
        </w:rPr>
        <w:t>, against which various options are assessed</w:t>
      </w:r>
      <w:r w:rsidRPr="008704BD">
        <w:rPr>
          <w:rFonts w:ascii="Times New Roman" w:hAnsi="Times New Roman"/>
          <w:noProof/>
          <w:sz w:val="24"/>
          <w:lang w:val="en-GB"/>
        </w:rPr>
        <w:t xml:space="preserve">. </w:t>
      </w:r>
      <w:r w:rsidR="00572424" w:rsidRPr="008704BD">
        <w:rPr>
          <w:rFonts w:ascii="Times New Roman" w:hAnsi="Times New Roman"/>
          <w:noProof/>
          <w:sz w:val="24"/>
          <w:lang w:val="en-GB"/>
        </w:rPr>
        <w:t xml:space="preserve">This chapter describes the options identified. </w:t>
      </w:r>
    </w:p>
    <w:p w14:paraId="125A8D91" w14:textId="77777777" w:rsidR="00944664" w:rsidRPr="008704BD" w:rsidRDefault="00944664" w:rsidP="00944664">
      <w:pPr>
        <w:jc w:val="both"/>
        <w:rPr>
          <w:rFonts w:ascii="Times New Roman" w:hAnsi="Times New Roman"/>
          <w:noProof/>
          <w:sz w:val="24"/>
          <w:lang w:val="en-GB"/>
        </w:rPr>
      </w:pPr>
      <w:r w:rsidRPr="008704BD">
        <w:rPr>
          <w:rFonts w:ascii="Times New Roman" w:hAnsi="Times New Roman"/>
          <w:noProof/>
          <w:sz w:val="24"/>
          <w:lang w:val="en-GB"/>
        </w:rPr>
        <w:t>The baseline scenario is based on the assumption that the EU level would not act and would leave any potential action or non-action to the Member States.</w:t>
      </w:r>
    </w:p>
    <w:p w14:paraId="36F5B53D" w14:textId="77777777" w:rsidR="00944664" w:rsidRPr="008704BD" w:rsidRDefault="00944664" w:rsidP="00944664">
      <w:pPr>
        <w:jc w:val="both"/>
        <w:rPr>
          <w:rFonts w:ascii="Times New Roman" w:hAnsi="Times New Roman"/>
          <w:noProof/>
          <w:sz w:val="24"/>
          <w:lang w:val="en-GB"/>
        </w:rPr>
      </w:pPr>
      <w:r w:rsidRPr="008704BD">
        <w:rPr>
          <w:rFonts w:ascii="Times New Roman" w:hAnsi="Times New Roman"/>
          <w:noProof/>
          <w:sz w:val="24"/>
          <w:lang w:val="en-GB"/>
        </w:rPr>
        <w:t xml:space="preserve">A soft-law approach would </w:t>
      </w:r>
      <w:r w:rsidR="00B32D06" w:rsidRPr="008704BD">
        <w:rPr>
          <w:rFonts w:ascii="Times New Roman" w:hAnsi="Times New Roman"/>
          <w:noProof/>
          <w:sz w:val="24"/>
          <w:lang w:val="en-GB"/>
        </w:rPr>
        <w:t>establish</w:t>
      </w:r>
      <w:r w:rsidRPr="008704BD">
        <w:rPr>
          <w:rFonts w:ascii="Times New Roman" w:hAnsi="Times New Roman"/>
          <w:noProof/>
          <w:sz w:val="24"/>
          <w:lang w:val="en-GB"/>
        </w:rPr>
        <w:t xml:space="preserve"> some requirements for Member States to act but would </w:t>
      </w:r>
      <w:r w:rsidR="007B4B68" w:rsidRPr="008704BD">
        <w:rPr>
          <w:rFonts w:ascii="Times New Roman" w:hAnsi="Times New Roman"/>
          <w:noProof/>
          <w:sz w:val="24"/>
          <w:lang w:val="en-GB"/>
        </w:rPr>
        <w:t>not be legally</w:t>
      </w:r>
      <w:r w:rsidR="00995C6A" w:rsidRPr="008704BD">
        <w:rPr>
          <w:rFonts w:ascii="Times New Roman" w:hAnsi="Times New Roman"/>
          <w:noProof/>
          <w:sz w:val="24"/>
          <w:lang w:val="en-GB"/>
        </w:rPr>
        <w:t xml:space="preserve"> </w:t>
      </w:r>
      <w:r w:rsidR="007B4B68" w:rsidRPr="008704BD">
        <w:rPr>
          <w:rFonts w:ascii="Times New Roman" w:hAnsi="Times New Roman"/>
          <w:noProof/>
          <w:sz w:val="24"/>
          <w:lang w:val="en-GB"/>
        </w:rPr>
        <w:t xml:space="preserve">binding, thereby </w:t>
      </w:r>
      <w:r w:rsidRPr="008704BD">
        <w:rPr>
          <w:rFonts w:ascii="Times New Roman" w:hAnsi="Times New Roman"/>
          <w:noProof/>
          <w:sz w:val="24"/>
          <w:lang w:val="en-GB"/>
        </w:rPr>
        <w:t>provid</w:t>
      </w:r>
      <w:r w:rsidR="007B4B68" w:rsidRPr="008704BD">
        <w:rPr>
          <w:rFonts w:ascii="Times New Roman" w:hAnsi="Times New Roman"/>
          <w:noProof/>
          <w:sz w:val="24"/>
          <w:lang w:val="en-GB"/>
        </w:rPr>
        <w:t>ing</w:t>
      </w:r>
      <w:r w:rsidRPr="008704BD">
        <w:rPr>
          <w:rFonts w:ascii="Times New Roman" w:hAnsi="Times New Roman"/>
          <w:noProof/>
          <w:sz w:val="24"/>
          <w:lang w:val="en-GB"/>
        </w:rPr>
        <w:t xml:space="preserve"> them with some leeway to design an appropriate solution for the existing problem. </w:t>
      </w:r>
    </w:p>
    <w:p w14:paraId="0B36BC88" w14:textId="77777777" w:rsidR="00944664" w:rsidRPr="008704BD" w:rsidRDefault="00944664" w:rsidP="00944664">
      <w:pPr>
        <w:jc w:val="both"/>
        <w:rPr>
          <w:rFonts w:ascii="Times New Roman" w:hAnsi="Times New Roman"/>
          <w:noProof/>
          <w:sz w:val="24"/>
          <w:lang w:val="en-GB"/>
        </w:rPr>
      </w:pPr>
      <w:r w:rsidRPr="008704BD">
        <w:rPr>
          <w:rFonts w:ascii="Times New Roman" w:hAnsi="Times New Roman"/>
          <w:noProof/>
          <w:sz w:val="24"/>
          <w:lang w:val="en-GB"/>
        </w:rPr>
        <w:t xml:space="preserve">A legislative option would imply a legally binding framework to encompass reporting by CASPs </w:t>
      </w:r>
      <w:r w:rsidRPr="008704BD" w:rsidDel="00B32B5D">
        <w:rPr>
          <w:rFonts w:ascii="Times New Roman" w:hAnsi="Times New Roman"/>
          <w:noProof/>
          <w:sz w:val="24"/>
          <w:lang w:val="en-GB"/>
        </w:rPr>
        <w:t xml:space="preserve">and </w:t>
      </w:r>
      <w:r w:rsidRPr="008704BD">
        <w:rPr>
          <w:rFonts w:ascii="Times New Roman" w:hAnsi="Times New Roman"/>
          <w:noProof/>
          <w:sz w:val="24"/>
          <w:lang w:val="en-GB"/>
        </w:rPr>
        <w:t>the relevant exchange of information. Concerning the expansion of the scope of DAC to crypto-assets, the EU would intervene to regulate the adoption of reporting and exchange of information obligations, building on the work of the OECD and existing EU proposals.</w:t>
      </w:r>
      <w:r w:rsidRPr="008704BD">
        <w:rPr>
          <w:rStyle w:val="FootnoteReference"/>
          <w:rFonts w:ascii="Times New Roman" w:hAnsi="Times New Roman"/>
          <w:noProof/>
          <w:sz w:val="24"/>
          <w:lang w:val="en-GB"/>
        </w:rPr>
        <w:footnoteReference w:id="23"/>
      </w:r>
      <w:r w:rsidRPr="008704BD">
        <w:rPr>
          <w:rFonts w:ascii="Times New Roman" w:hAnsi="Times New Roman"/>
          <w:noProof/>
          <w:sz w:val="24"/>
          <w:lang w:val="en-GB"/>
        </w:rPr>
        <w:t xml:space="preserve"> In the broad lines, CASPs would be subject to reporting obligations under the DAC, and would therefore be required to collect information on users and report such information to the tax authority. Tax authorities would then be required to exchange this information with the relevant </w:t>
      </w:r>
      <w:r w:rsidR="001D5F32">
        <w:rPr>
          <w:rFonts w:ascii="Times New Roman" w:hAnsi="Times New Roman"/>
          <w:noProof/>
          <w:sz w:val="24"/>
          <w:lang w:val="en-GB"/>
        </w:rPr>
        <w:t xml:space="preserve">other </w:t>
      </w:r>
      <w:r w:rsidRPr="008704BD">
        <w:rPr>
          <w:rFonts w:ascii="Times New Roman" w:hAnsi="Times New Roman"/>
          <w:noProof/>
          <w:sz w:val="24"/>
          <w:lang w:val="en-GB"/>
        </w:rPr>
        <w:t>Member State(s).</w:t>
      </w:r>
    </w:p>
    <w:p w14:paraId="4DEB58F0" w14:textId="77777777" w:rsidR="00944664" w:rsidRPr="008704BD" w:rsidRDefault="00944664" w:rsidP="00944664">
      <w:pPr>
        <w:jc w:val="both"/>
        <w:rPr>
          <w:rFonts w:ascii="Times New Roman" w:hAnsi="Times New Roman"/>
          <w:noProof/>
          <w:sz w:val="24"/>
          <w:lang w:val="en-GB"/>
        </w:rPr>
      </w:pPr>
      <w:r w:rsidRPr="008704BD">
        <w:rPr>
          <w:rFonts w:ascii="Times New Roman" w:hAnsi="Times New Roman"/>
          <w:noProof/>
          <w:sz w:val="24"/>
          <w:lang w:val="en-GB"/>
        </w:rPr>
        <w:t xml:space="preserve">In practice, the obligations that would fall on CASPs under the DAC would be largely equivalent to the ones already imposed on reporting subjects under DAC, such as financial institutions under DAC2 or digital platform operators under DAC7. Those </w:t>
      </w:r>
      <w:r w:rsidR="001D5F32">
        <w:rPr>
          <w:rFonts w:ascii="Times New Roman" w:hAnsi="Times New Roman"/>
          <w:noProof/>
          <w:sz w:val="24"/>
          <w:lang w:val="en-GB"/>
        </w:rPr>
        <w:t xml:space="preserve">obligations </w:t>
      </w:r>
      <w:r w:rsidRPr="008704BD">
        <w:rPr>
          <w:rFonts w:ascii="Times New Roman" w:hAnsi="Times New Roman"/>
          <w:noProof/>
          <w:sz w:val="24"/>
          <w:lang w:val="en-GB"/>
        </w:rPr>
        <w:t xml:space="preserve">would mainly consist of collecting and verifying relevant data to identify taxpayers and their respective Member State of residence and reporting information relative to the proceeds and holding of crypto-assets.  </w:t>
      </w:r>
    </w:p>
    <w:p w14:paraId="58BFDD7B" w14:textId="77777777" w:rsidR="00944664" w:rsidRPr="008704BD" w:rsidRDefault="00944664" w:rsidP="00944664">
      <w:pPr>
        <w:pStyle w:val="Caption"/>
        <w:rPr>
          <w:noProof/>
          <w:sz w:val="24"/>
          <w:highlight w:val="yellow"/>
        </w:rPr>
      </w:pPr>
      <w:r w:rsidRPr="008704BD">
        <w:rPr>
          <w:noProof/>
          <w:sz w:val="24"/>
        </w:rPr>
        <w:t>Figure 3. Overview of Reporting and Exchange Mechanism</w:t>
      </w:r>
    </w:p>
    <w:p w14:paraId="53A09FE8" w14:textId="77777777" w:rsidR="00944664" w:rsidRPr="006E5F59" w:rsidRDefault="00944664" w:rsidP="00944664">
      <w:pPr>
        <w:rPr>
          <w:rFonts w:ascii="Times New Roman" w:hAnsi="Times New Roman" w:cs="Times New Roman"/>
          <w:noProof/>
          <w:lang w:val="en-GB"/>
        </w:rPr>
      </w:pPr>
      <w:r w:rsidRPr="006E5F59">
        <w:rPr>
          <w:rFonts w:ascii="Times New Roman" w:hAnsi="Times New Roman" w:cs="Times New Roman"/>
          <w:noProof/>
          <w:color w:val="2B579A"/>
          <w:shd w:val="clear" w:color="auto" w:fill="E6E6E6"/>
          <w:lang w:val="en-GB" w:eastAsia="en-GB"/>
        </w:rPr>
        <w:drawing>
          <wp:inline distT="0" distB="0" distL="0" distR="0" wp14:anchorId="761C7A91" wp14:editId="3D9705FC">
            <wp:extent cx="5194300" cy="958850"/>
            <wp:effectExtent l="38100" t="38100" r="444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4237A85" w14:textId="77777777" w:rsidR="00944664" w:rsidRPr="008704BD" w:rsidRDefault="00944664" w:rsidP="00944664">
      <w:pPr>
        <w:jc w:val="both"/>
        <w:rPr>
          <w:rFonts w:ascii="Times New Roman" w:hAnsi="Times New Roman"/>
          <w:noProof/>
          <w:sz w:val="24"/>
          <w:lang w:val="en-GB"/>
        </w:rPr>
      </w:pPr>
      <w:r w:rsidRPr="008704BD">
        <w:rPr>
          <w:rFonts w:ascii="Times New Roman" w:hAnsi="Times New Roman"/>
          <w:noProof/>
          <w:sz w:val="24"/>
          <w:lang w:val="en-GB"/>
        </w:rPr>
        <w:t>The design of the legislative option</w:t>
      </w:r>
      <w:r w:rsidR="00215724" w:rsidRPr="008704BD">
        <w:rPr>
          <w:rFonts w:ascii="Times New Roman" w:hAnsi="Times New Roman"/>
          <w:noProof/>
          <w:sz w:val="24"/>
          <w:lang w:val="en-GB"/>
        </w:rPr>
        <w:t>s</w:t>
      </w:r>
      <w:r w:rsidRPr="008704BD">
        <w:rPr>
          <w:rFonts w:ascii="Times New Roman" w:hAnsi="Times New Roman"/>
          <w:noProof/>
          <w:sz w:val="24"/>
          <w:lang w:val="en-GB"/>
        </w:rPr>
        <w:t xml:space="preserve"> is influenced by the following building blocks:</w:t>
      </w:r>
    </w:p>
    <w:p w14:paraId="70202817" w14:textId="77777777" w:rsidR="0097052A" w:rsidRPr="008704BD" w:rsidRDefault="0097052A" w:rsidP="00944664">
      <w:pPr>
        <w:jc w:val="both"/>
        <w:rPr>
          <w:rFonts w:ascii="Times New Roman" w:hAnsi="Times New Roman"/>
          <w:noProof/>
          <w:sz w:val="24"/>
          <w:lang w:val="en-GB"/>
        </w:rPr>
      </w:pPr>
    </w:p>
    <w:p w14:paraId="1CAEEA27" w14:textId="77777777" w:rsidR="00944664" w:rsidRPr="008704BD" w:rsidRDefault="6F639065" w:rsidP="6D0B1F45">
      <w:pPr>
        <w:pStyle w:val="ListParagraph"/>
        <w:numPr>
          <w:ilvl w:val="0"/>
          <w:numId w:val="88"/>
        </w:numPr>
        <w:jc w:val="both"/>
        <w:rPr>
          <w:rFonts w:ascii="Times New Roman" w:hAnsi="Times New Roman"/>
          <w:b/>
          <w:noProof/>
          <w:sz w:val="24"/>
          <w:lang w:val="en-GB"/>
        </w:rPr>
      </w:pPr>
      <w:r w:rsidRPr="008704BD">
        <w:rPr>
          <w:rFonts w:ascii="Times New Roman" w:hAnsi="Times New Roman"/>
          <w:b/>
          <w:noProof/>
          <w:sz w:val="24"/>
          <w:lang w:val="en-GB"/>
        </w:rPr>
        <w:t xml:space="preserve">Which crypto-assets are in scope? </w:t>
      </w:r>
    </w:p>
    <w:p w14:paraId="7D598DF1" w14:textId="77777777" w:rsidR="7512DA28" w:rsidRPr="008704BD" w:rsidRDefault="7512DA28" w:rsidP="10C510F9">
      <w:pPr>
        <w:jc w:val="both"/>
        <w:rPr>
          <w:rFonts w:ascii="Times New Roman" w:hAnsi="Times New Roman"/>
          <w:noProof/>
          <w:sz w:val="24"/>
          <w:lang w:val="en-GB"/>
        </w:rPr>
      </w:pPr>
      <w:r w:rsidRPr="008704BD">
        <w:rPr>
          <w:rFonts w:ascii="Times New Roman" w:hAnsi="Times New Roman"/>
          <w:noProof/>
          <w:sz w:val="24"/>
          <w:lang w:val="en-GB"/>
        </w:rPr>
        <w:t xml:space="preserve">Crypto-asset definitions commonly refer to digital or virtual assets based on distributed ledger technology (DLT) and cryptography as part of their perceived or inherent value. Additionally, these assets can be held and transferred in a decentralised manner without the intervention of traditional financial intermediaries. These two key elements distinguish crypto-assets from traditional financial assets already covered under DAC2. </w:t>
      </w:r>
    </w:p>
    <w:p w14:paraId="6FA74418" w14:textId="77777777" w:rsidR="7512DA28" w:rsidRPr="008704BD" w:rsidRDefault="7512DA28" w:rsidP="10C510F9">
      <w:pPr>
        <w:jc w:val="both"/>
        <w:rPr>
          <w:rStyle w:val="FootnoteReference"/>
          <w:rFonts w:ascii="Times New Roman" w:hAnsi="Times New Roman"/>
          <w:i/>
          <w:noProof/>
          <w:sz w:val="24"/>
          <w:lang w:val="en-GB"/>
        </w:rPr>
      </w:pPr>
      <w:r w:rsidRPr="008704BD">
        <w:rPr>
          <w:rFonts w:ascii="Times New Roman" w:hAnsi="Times New Roman"/>
          <w:noProof/>
          <w:sz w:val="24"/>
          <w:lang w:val="en-GB"/>
        </w:rPr>
        <w:t xml:space="preserve">The proposal for a Regulation on MiCA defines crypto-assets as </w:t>
      </w:r>
      <w:r w:rsidRPr="008704BD">
        <w:rPr>
          <w:rFonts w:ascii="Times New Roman" w:hAnsi="Times New Roman"/>
          <w:i/>
          <w:noProof/>
          <w:sz w:val="24"/>
          <w:lang w:val="en-GB"/>
        </w:rPr>
        <w:t>“a digital representation of value or rights which may be transferred and stored electronically, using distributed ledger technology or similar technology.”</w:t>
      </w:r>
      <w:r w:rsidRPr="008704BD">
        <w:rPr>
          <w:rStyle w:val="FootnoteReference"/>
          <w:rFonts w:ascii="Times New Roman" w:hAnsi="Times New Roman"/>
          <w:i/>
          <w:noProof/>
          <w:sz w:val="24"/>
          <w:lang w:val="en-GB"/>
        </w:rPr>
        <w:footnoteReference w:id="24"/>
      </w:r>
      <w:r w:rsidRPr="008704BD">
        <w:rPr>
          <w:rStyle w:val="FootnoteReference"/>
          <w:rFonts w:ascii="Times New Roman" w:hAnsi="Times New Roman"/>
          <w:i/>
          <w:noProof/>
          <w:sz w:val="24"/>
          <w:lang w:val="en-GB"/>
        </w:rPr>
        <w:t xml:space="preserve"> </w:t>
      </w:r>
    </w:p>
    <w:p w14:paraId="7EEC3C22" w14:textId="77777777" w:rsidR="000D484B" w:rsidRPr="009A4348" w:rsidRDefault="000D484B" w:rsidP="0097262B">
      <w:p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The group of crypto-assets covered by the scope of the initiative is to a great extent similar to that of the proposal for the Markets in Crypto-Assets (MiCA) Regulation. The general definition used is the same and includes payment tokens, asset-referenced tokens and e-money tokens defined as follows:</w:t>
      </w:r>
    </w:p>
    <w:p w14:paraId="47CBE873" w14:textId="77777777" w:rsidR="000D484B" w:rsidRPr="009A4348" w:rsidRDefault="000D484B" w:rsidP="0097262B">
      <w:pPr>
        <w:pStyle w:val="ListParagraph"/>
        <w:numPr>
          <w:ilvl w:val="0"/>
          <w:numId w:val="97"/>
        </w:num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 xml:space="preserve">The most well-known crypto-assets covered by the suggested definition, such as Bitcoin or Ethereum and Litecoin, are designed to serve as a general purpose store of value, medium of exchange or means of payment, and/or unit of account. They are sometimes referred to as “crypto currencies” or “payment tokens”. </w:t>
      </w:r>
    </w:p>
    <w:p w14:paraId="74A1669B" w14:textId="77777777" w:rsidR="000D484B" w:rsidRPr="009A4348" w:rsidRDefault="000D484B" w:rsidP="0097262B">
      <w:pPr>
        <w:pStyle w:val="ListParagraph"/>
        <w:numPr>
          <w:ilvl w:val="0"/>
          <w:numId w:val="97"/>
        </w:num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“Asset-referenced tokens” aim to maintain a stable value by referencing several currencies that are legal tender, one or several commodities, one or several crypto-assets, or a basket of such assets and subsequently act as a means of payment to buy goods and services and as a store of value. It is suggested to report and exchange information on these crypto-assets under the new regime for crypto-assets. Examples are LAToken, Salt and Tether.</w:t>
      </w:r>
      <w:r w:rsidR="00911E9F" w:rsidRPr="009A4348">
        <w:rPr>
          <w:rFonts w:ascii="Times New Roman" w:hAnsi="Times New Roman" w:cs="Times New Roman"/>
          <w:noProof/>
          <w:sz w:val="24"/>
          <w:szCs w:val="24"/>
          <w:lang w:val="en-GB"/>
        </w:rPr>
        <w:t xml:space="preserve"> Asset-reference tokens together with e-money tokens make up what is called </w:t>
      </w:r>
      <w:r w:rsidR="00B32D06" w:rsidRPr="009A4348">
        <w:rPr>
          <w:rFonts w:ascii="Times New Roman" w:hAnsi="Times New Roman" w:cs="Times New Roman"/>
          <w:noProof/>
          <w:sz w:val="24"/>
          <w:szCs w:val="24"/>
          <w:lang w:val="en-GB"/>
        </w:rPr>
        <w:t>“s</w:t>
      </w:r>
      <w:r w:rsidR="00911E9F" w:rsidRPr="009A4348">
        <w:rPr>
          <w:rFonts w:ascii="Times New Roman" w:hAnsi="Times New Roman" w:cs="Times New Roman"/>
          <w:noProof/>
          <w:sz w:val="24"/>
          <w:szCs w:val="24"/>
          <w:lang w:val="en-GB"/>
        </w:rPr>
        <w:t>tablecoins</w:t>
      </w:r>
      <w:r w:rsidR="00B32D06" w:rsidRPr="009A4348">
        <w:rPr>
          <w:rFonts w:ascii="Times New Roman" w:hAnsi="Times New Roman" w:cs="Times New Roman"/>
          <w:noProof/>
          <w:sz w:val="24"/>
          <w:szCs w:val="24"/>
          <w:lang w:val="en-GB"/>
        </w:rPr>
        <w:t>”</w:t>
      </w:r>
      <w:r w:rsidR="00911E9F" w:rsidRPr="009A4348">
        <w:rPr>
          <w:rFonts w:ascii="Times New Roman" w:hAnsi="Times New Roman" w:cs="Times New Roman"/>
          <w:noProof/>
          <w:sz w:val="24"/>
          <w:szCs w:val="24"/>
          <w:lang w:val="en-GB"/>
        </w:rPr>
        <w:t>.</w:t>
      </w:r>
    </w:p>
    <w:p w14:paraId="6EEA388C" w14:textId="120B2489" w:rsidR="000D484B" w:rsidRPr="001D5F32" w:rsidRDefault="000D484B" w:rsidP="0097262B">
      <w:pPr>
        <w:pStyle w:val="ListParagraph"/>
        <w:numPr>
          <w:ilvl w:val="0"/>
          <w:numId w:val="97"/>
        </w:num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“E-money tokens” are crypto-assets with a stable value based on only one fiat currency that aims to function in a similar way to electronic money. However, different from e-money, e-money tokens referencing one fiat currency which is legal tender do not provide their holders with a claim on the issuers of such assets. </w:t>
      </w:r>
    </w:p>
    <w:p w14:paraId="2A8856F6" w14:textId="2808A796" w:rsidR="000D484B" w:rsidRPr="001D5F32" w:rsidRDefault="000D484B" w:rsidP="0097262B">
      <w:pPr>
        <w:pStyle w:val="ListParagraph"/>
        <w:numPr>
          <w:ilvl w:val="0"/>
          <w:numId w:val="97"/>
        </w:num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“Central bank digital currencies” </w:t>
      </w:r>
      <w:r w:rsidR="00B90867" w:rsidRPr="009A4348">
        <w:rPr>
          <w:rFonts w:ascii="Times New Roman" w:hAnsi="Times New Roman" w:cs="Times New Roman"/>
          <w:noProof/>
          <w:sz w:val="24"/>
          <w:szCs w:val="24"/>
          <w:lang w:val="en-GB"/>
        </w:rPr>
        <w:t>refers to digital currencies representing a claim on an issuing Central Bank.</w:t>
      </w:r>
      <w:r w:rsidRPr="009A4348">
        <w:rPr>
          <w:rFonts w:ascii="Times New Roman" w:hAnsi="Times New Roman" w:cs="Times New Roman"/>
          <w:noProof/>
          <w:sz w:val="24"/>
          <w:szCs w:val="24"/>
          <w:lang w:val="en-GB"/>
        </w:rPr>
        <w:t xml:space="preserve"> </w:t>
      </w:r>
    </w:p>
    <w:p w14:paraId="4B7CD7D5" w14:textId="77777777" w:rsidR="0027286C" w:rsidRPr="009A4348" w:rsidRDefault="00B90867" w:rsidP="0097262B">
      <w:pPr>
        <w:pStyle w:val="ListParagraph"/>
        <w:numPr>
          <w:ilvl w:val="0"/>
          <w:numId w:val="97"/>
        </w:num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 xml:space="preserve">Equity </w:t>
      </w:r>
      <w:r w:rsidR="0027286C" w:rsidRPr="009A4348">
        <w:rPr>
          <w:rFonts w:ascii="Times New Roman" w:hAnsi="Times New Roman" w:cs="Times New Roman"/>
          <w:noProof/>
          <w:sz w:val="24"/>
          <w:szCs w:val="24"/>
          <w:lang w:val="en-GB"/>
        </w:rPr>
        <w:t>tokens</w:t>
      </w:r>
      <w:r w:rsidR="00FF3F18" w:rsidRPr="009A4348">
        <w:rPr>
          <w:rFonts w:ascii="Times New Roman" w:hAnsi="Times New Roman" w:cs="Times New Roman"/>
          <w:noProof/>
          <w:sz w:val="24"/>
          <w:szCs w:val="24"/>
          <w:lang w:val="en-GB"/>
        </w:rPr>
        <w:t xml:space="preserve"> are digital tokens or "coins" that represent </w:t>
      </w:r>
      <w:hyperlink r:id="rId25" w:history="1">
        <w:r w:rsidR="00FF3F18" w:rsidRPr="009A4348">
          <w:rPr>
            <w:rFonts w:ascii="Times New Roman" w:hAnsi="Times New Roman" w:cs="Times New Roman"/>
            <w:noProof/>
            <w:sz w:val="24"/>
            <w:szCs w:val="24"/>
            <w:lang w:val="en-GB"/>
          </w:rPr>
          <w:t>equity</w:t>
        </w:r>
      </w:hyperlink>
      <w:r w:rsidR="00FF3F18" w:rsidRPr="009A4348">
        <w:rPr>
          <w:rFonts w:ascii="Times New Roman" w:hAnsi="Times New Roman" w:cs="Times New Roman"/>
          <w:noProof/>
          <w:sz w:val="24"/>
          <w:szCs w:val="24"/>
          <w:lang w:val="en-GB"/>
        </w:rPr>
        <w:t> shares in a corporation or organization. Debt tokens are tokenized assets that represent debt instruments such as real estate mortgages or corporate bonds.</w:t>
      </w:r>
    </w:p>
    <w:p w14:paraId="0F70F6A0" w14:textId="77777777" w:rsidR="0027286C" w:rsidRPr="009A4348" w:rsidRDefault="0027286C" w:rsidP="0097262B">
      <w:pPr>
        <w:pStyle w:val="ListParagraph"/>
        <w:numPr>
          <w:ilvl w:val="0"/>
          <w:numId w:val="97"/>
        </w:num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 xml:space="preserve">Non-fungible tokens: </w:t>
      </w:r>
      <w:r w:rsidR="00FF3F18" w:rsidRPr="009A4348">
        <w:rPr>
          <w:rFonts w:ascii="Times New Roman" w:hAnsi="Times New Roman" w:cs="Times New Roman"/>
          <w:noProof/>
          <w:sz w:val="24"/>
          <w:szCs w:val="24"/>
          <w:lang w:val="en-GB"/>
        </w:rPr>
        <w:t>A non-fungible token (NFT) is a unique and non-interchangeable unit of data stored on a digital </w:t>
      </w:r>
      <w:hyperlink r:id="rId26" w:tooltip="Ledger" w:history="1">
        <w:r w:rsidR="00FF3F18" w:rsidRPr="009A4348">
          <w:rPr>
            <w:rFonts w:ascii="Times New Roman" w:hAnsi="Times New Roman" w:cs="Times New Roman"/>
            <w:noProof/>
            <w:sz w:val="24"/>
            <w:szCs w:val="24"/>
            <w:lang w:val="en-GB"/>
          </w:rPr>
          <w:t>ledger</w:t>
        </w:r>
      </w:hyperlink>
      <w:r w:rsidR="00FF3F18" w:rsidRPr="009A4348">
        <w:rPr>
          <w:rFonts w:ascii="Times New Roman" w:hAnsi="Times New Roman" w:cs="Times New Roman"/>
          <w:noProof/>
          <w:sz w:val="24"/>
          <w:szCs w:val="24"/>
          <w:lang w:val="en-GB"/>
        </w:rPr>
        <w:t> (</w:t>
      </w:r>
      <w:hyperlink r:id="rId27" w:tooltip="Blockchain" w:history="1">
        <w:r w:rsidR="00FF3F18" w:rsidRPr="009A4348">
          <w:rPr>
            <w:rFonts w:ascii="Times New Roman" w:hAnsi="Times New Roman" w:cs="Times New Roman"/>
            <w:noProof/>
            <w:sz w:val="24"/>
            <w:szCs w:val="24"/>
            <w:lang w:val="en-GB"/>
          </w:rPr>
          <w:t>blockchain</w:t>
        </w:r>
      </w:hyperlink>
      <w:r w:rsidR="00FF3F18" w:rsidRPr="009A4348">
        <w:rPr>
          <w:rFonts w:ascii="Times New Roman" w:hAnsi="Times New Roman" w:cs="Times New Roman"/>
          <w:noProof/>
          <w:sz w:val="24"/>
          <w:szCs w:val="24"/>
          <w:lang w:val="en-GB"/>
        </w:rPr>
        <w:t>). NFTs can be associated with reproducible digital files such</w:t>
      </w:r>
      <w:r w:rsidR="00FF3F18" w:rsidRPr="009A4348">
        <w:rPr>
          <w:noProof/>
          <w:sz w:val="24"/>
          <w:szCs w:val="24"/>
          <w:lang w:val="en-GB"/>
        </w:rPr>
        <w:t xml:space="preserve"> </w:t>
      </w:r>
      <w:r w:rsidR="00FF3F18" w:rsidRPr="009A4348">
        <w:rPr>
          <w:rFonts w:ascii="Times New Roman" w:hAnsi="Times New Roman" w:cs="Times New Roman"/>
          <w:noProof/>
          <w:sz w:val="24"/>
          <w:szCs w:val="24"/>
          <w:lang w:val="en-GB"/>
        </w:rPr>
        <w:t>as photos, videos, and audio. NFTs use a digital ledger to provide a public </w:t>
      </w:r>
      <w:hyperlink r:id="rId28" w:tooltip="Certificate of authenticity" w:history="1">
        <w:r w:rsidR="00FF3F18" w:rsidRPr="009A4348">
          <w:rPr>
            <w:rFonts w:ascii="Times New Roman" w:hAnsi="Times New Roman" w:cs="Times New Roman"/>
            <w:noProof/>
            <w:sz w:val="24"/>
            <w:szCs w:val="24"/>
            <w:lang w:val="en-GB"/>
          </w:rPr>
          <w:t>certificate of authenticity</w:t>
        </w:r>
      </w:hyperlink>
      <w:r w:rsidR="00FF3F18" w:rsidRPr="009A4348">
        <w:rPr>
          <w:rFonts w:ascii="Times New Roman" w:hAnsi="Times New Roman" w:cs="Times New Roman"/>
          <w:noProof/>
          <w:sz w:val="24"/>
          <w:szCs w:val="24"/>
          <w:lang w:val="en-GB"/>
        </w:rPr>
        <w:t> or </w:t>
      </w:r>
      <w:hyperlink r:id="rId29" w:tooltip="Title (property)" w:history="1">
        <w:r w:rsidR="00FF3F18" w:rsidRPr="009A4348">
          <w:rPr>
            <w:rFonts w:ascii="Times New Roman" w:hAnsi="Times New Roman" w:cs="Times New Roman"/>
            <w:noProof/>
            <w:sz w:val="24"/>
            <w:szCs w:val="24"/>
            <w:lang w:val="en-GB"/>
          </w:rPr>
          <w:t>proof of ownership</w:t>
        </w:r>
      </w:hyperlink>
      <w:r w:rsidR="00FF3F18" w:rsidRPr="009A4348">
        <w:rPr>
          <w:rFonts w:ascii="Times New Roman" w:hAnsi="Times New Roman" w:cs="Times New Roman"/>
          <w:noProof/>
          <w:sz w:val="24"/>
          <w:szCs w:val="24"/>
          <w:lang w:val="en-GB"/>
        </w:rPr>
        <w:t>, but it does not restrict the sharing or copying of the underlying digital file. The lack of interchangeability (</w:t>
      </w:r>
      <w:hyperlink r:id="rId30" w:tooltip="Fungibility" w:history="1">
        <w:r w:rsidR="00FF3F18" w:rsidRPr="009A4348">
          <w:rPr>
            <w:rFonts w:ascii="Times New Roman" w:hAnsi="Times New Roman" w:cs="Times New Roman"/>
            <w:noProof/>
            <w:sz w:val="24"/>
            <w:szCs w:val="24"/>
            <w:lang w:val="en-GB"/>
          </w:rPr>
          <w:t>fungibility</w:t>
        </w:r>
      </w:hyperlink>
      <w:r w:rsidR="00FF3F18" w:rsidRPr="009A4348">
        <w:rPr>
          <w:rFonts w:ascii="Times New Roman" w:hAnsi="Times New Roman" w:cs="Times New Roman"/>
          <w:noProof/>
          <w:sz w:val="24"/>
          <w:szCs w:val="24"/>
          <w:lang w:val="en-GB"/>
        </w:rPr>
        <w:t>) distinguishes NFTs from blockchain </w:t>
      </w:r>
      <w:hyperlink r:id="rId31" w:tooltip="Cryptocurrencies" w:history="1">
        <w:r w:rsidR="00FF3F18" w:rsidRPr="009A4348">
          <w:rPr>
            <w:rFonts w:ascii="Times New Roman" w:hAnsi="Times New Roman" w:cs="Times New Roman"/>
            <w:noProof/>
            <w:sz w:val="24"/>
            <w:szCs w:val="24"/>
            <w:lang w:val="en-GB"/>
          </w:rPr>
          <w:t>cryptocurrencies</w:t>
        </w:r>
      </w:hyperlink>
      <w:r w:rsidR="00FF3F18" w:rsidRPr="009A4348">
        <w:rPr>
          <w:rFonts w:ascii="Times New Roman" w:hAnsi="Times New Roman" w:cs="Times New Roman"/>
          <w:noProof/>
          <w:sz w:val="24"/>
          <w:szCs w:val="24"/>
          <w:lang w:val="en-GB"/>
        </w:rPr>
        <w:t>, such as </w:t>
      </w:r>
      <w:hyperlink r:id="rId32" w:tooltip="Bitcoin" w:history="1">
        <w:r w:rsidR="00FF3F18" w:rsidRPr="009A4348">
          <w:rPr>
            <w:rFonts w:ascii="Times New Roman" w:hAnsi="Times New Roman" w:cs="Times New Roman"/>
            <w:noProof/>
            <w:sz w:val="24"/>
            <w:szCs w:val="24"/>
            <w:lang w:val="en-GB"/>
          </w:rPr>
          <w:t>Bitcoin</w:t>
        </w:r>
      </w:hyperlink>
      <w:r w:rsidR="00FF3F18" w:rsidRPr="009A4348">
        <w:rPr>
          <w:rFonts w:ascii="Times New Roman" w:hAnsi="Times New Roman" w:cs="Times New Roman"/>
          <w:noProof/>
          <w:sz w:val="24"/>
          <w:szCs w:val="24"/>
          <w:lang w:val="en-GB"/>
        </w:rPr>
        <w:t>.</w:t>
      </w:r>
    </w:p>
    <w:p w14:paraId="7BB20F58" w14:textId="77777777" w:rsidR="000D484B" w:rsidRPr="0097262B" w:rsidRDefault="000D484B" w:rsidP="0097262B">
      <w:pPr>
        <w:jc w:val="both"/>
        <w:rPr>
          <w:noProof/>
          <w:sz w:val="24"/>
          <w:lang w:val="en-GB"/>
        </w:rPr>
      </w:pPr>
    </w:p>
    <w:p w14:paraId="79039E26" w14:textId="2A88AC8D" w:rsidR="000D484B" w:rsidRPr="00EF4D62" w:rsidRDefault="0B401F55" w:rsidP="0097262B">
      <w:pPr>
        <w:jc w:val="both"/>
        <w:rPr>
          <w:rFonts w:ascii="Times New Roman" w:hAnsi="Times New Roman" w:cs="Times New Roman"/>
          <w:noProof/>
          <w:sz w:val="24"/>
          <w:szCs w:val="24"/>
          <w:lang w:val="en-GB"/>
        </w:rPr>
      </w:pPr>
      <w:r w:rsidRPr="23530975">
        <w:rPr>
          <w:rFonts w:ascii="Times New Roman" w:hAnsi="Times New Roman" w:cs="Times New Roman"/>
          <w:noProof/>
          <w:sz w:val="24"/>
          <w:szCs w:val="24"/>
          <w:lang w:val="en-GB"/>
        </w:rPr>
        <w:t xml:space="preserve">Two types </w:t>
      </w:r>
      <w:r w:rsidR="25C75BB7" w:rsidRPr="23530975">
        <w:rPr>
          <w:rFonts w:ascii="Times New Roman" w:hAnsi="Times New Roman" w:cs="Times New Roman"/>
          <w:noProof/>
          <w:sz w:val="24"/>
          <w:szCs w:val="24"/>
          <w:lang w:val="en-GB"/>
        </w:rPr>
        <w:t xml:space="preserve">of </w:t>
      </w:r>
      <w:r w:rsidR="34BF2569" w:rsidRPr="23530975">
        <w:rPr>
          <w:rFonts w:ascii="Times New Roman" w:hAnsi="Times New Roman" w:cs="Times New Roman"/>
          <w:noProof/>
          <w:sz w:val="24"/>
          <w:szCs w:val="24"/>
          <w:lang w:val="en-GB"/>
        </w:rPr>
        <w:t xml:space="preserve">assets </w:t>
      </w:r>
      <w:r w:rsidR="4D97E5EA" w:rsidRPr="23530975">
        <w:rPr>
          <w:rFonts w:ascii="Times New Roman" w:hAnsi="Times New Roman" w:cs="Times New Roman"/>
          <w:noProof/>
          <w:sz w:val="24"/>
          <w:szCs w:val="24"/>
          <w:lang w:val="en-GB"/>
        </w:rPr>
        <w:t>would not be reported under the crypto-asset reporting obligation framework</w:t>
      </w:r>
      <w:r w:rsidRPr="23530975">
        <w:rPr>
          <w:rFonts w:ascii="Times New Roman" w:hAnsi="Times New Roman" w:cs="Times New Roman"/>
          <w:noProof/>
          <w:sz w:val="24"/>
          <w:szCs w:val="24"/>
          <w:lang w:val="en-GB"/>
        </w:rPr>
        <w:t>, given their features</w:t>
      </w:r>
      <w:r w:rsidR="34BF2569" w:rsidRPr="23530975">
        <w:rPr>
          <w:rFonts w:ascii="Times New Roman" w:hAnsi="Times New Roman" w:cs="Times New Roman"/>
          <w:noProof/>
          <w:sz w:val="24"/>
          <w:szCs w:val="24"/>
          <w:lang w:val="en-GB"/>
        </w:rPr>
        <w:t>: </w:t>
      </w:r>
    </w:p>
    <w:p w14:paraId="1AD70953" w14:textId="72C9A738" w:rsidR="000D484B" w:rsidRPr="009A4348" w:rsidRDefault="0014712A" w:rsidP="009A4348">
      <w:pPr>
        <w:pStyle w:val="ListParagraph"/>
        <w:numPr>
          <w:ilvl w:val="1"/>
          <w:numId w:val="98"/>
        </w:numPr>
        <w:jc w:val="both"/>
        <w:rPr>
          <w:rFonts w:ascii="Times New Roman" w:hAnsi="Times New Roman" w:cs="Times New Roman"/>
          <w:noProof/>
          <w:sz w:val="24"/>
          <w:szCs w:val="24"/>
          <w:lang w:val="en-GB"/>
        </w:rPr>
      </w:pPr>
      <w:r w:rsidRPr="009A4348">
        <w:rPr>
          <w:rFonts w:ascii="Times New Roman" w:hAnsi="Times New Roman" w:cs="Times New Roman"/>
          <w:noProof/>
          <w:sz w:val="24"/>
          <w:szCs w:val="24"/>
          <w:lang w:val="en-GB"/>
        </w:rPr>
        <w:t>“Utility tokens” are intended to provide digital access to a good or service, available on DLT, and are only accepted by the issuer of that token.</w:t>
      </w:r>
      <w:r w:rsidRPr="009A4348">
        <w:rPr>
          <w:rFonts w:ascii="Times New Roman" w:hAnsi="Times New Roman" w:cs="Times New Roman"/>
          <w:noProof/>
          <w:sz w:val="24"/>
          <w:szCs w:val="24"/>
          <w:vertAlign w:val="superscript"/>
          <w:lang w:val="en-GB"/>
        </w:rPr>
        <w:footnoteReference w:id="25"/>
      </w:r>
      <w:r w:rsidR="009A4348">
        <w:rPr>
          <w:rFonts w:ascii="Times New Roman" w:hAnsi="Times New Roman" w:cs="Times New Roman"/>
          <w:noProof/>
          <w:sz w:val="24"/>
          <w:szCs w:val="24"/>
          <w:lang w:val="en-GB"/>
        </w:rPr>
        <w:t xml:space="preserve"> </w:t>
      </w:r>
      <w:r w:rsidRPr="009A4348">
        <w:rPr>
          <w:rFonts w:ascii="Times New Roman" w:hAnsi="Times New Roman" w:cs="Times New Roman"/>
          <w:noProof/>
          <w:sz w:val="24"/>
          <w:szCs w:val="24"/>
          <w:lang w:val="en-GB"/>
        </w:rPr>
        <w:t>Utility tokens</w:t>
      </w:r>
      <w:r w:rsidR="000D484B" w:rsidRPr="009A4348">
        <w:rPr>
          <w:rFonts w:ascii="Times New Roman" w:hAnsi="Times New Roman" w:cs="Times New Roman"/>
          <w:noProof/>
          <w:sz w:val="24"/>
          <w:szCs w:val="24"/>
          <w:lang w:val="en-GB"/>
        </w:rPr>
        <w:t xml:space="preserve"> are issued with non-financial purposes to digitally provide access to an application, services or resources available </w:t>
      </w:r>
      <w:r w:rsidR="003016F3">
        <w:rPr>
          <w:rFonts w:ascii="Times New Roman" w:hAnsi="Times New Roman" w:cs="Times New Roman"/>
          <w:noProof/>
          <w:sz w:val="24"/>
          <w:szCs w:val="24"/>
          <w:lang w:val="en-GB"/>
        </w:rPr>
        <w:t xml:space="preserve">on distributed ledger networks. </w:t>
      </w:r>
      <w:r w:rsidR="000D484B" w:rsidRPr="009A4348">
        <w:rPr>
          <w:rFonts w:ascii="Times New Roman" w:hAnsi="Times New Roman" w:cs="Times New Roman"/>
          <w:noProof/>
          <w:sz w:val="24"/>
          <w:szCs w:val="24"/>
          <w:lang w:val="en-GB"/>
        </w:rPr>
        <w:t>Due to the</w:t>
      </w:r>
      <w:r w:rsidR="003016F3">
        <w:rPr>
          <w:rFonts w:ascii="Times New Roman" w:hAnsi="Times New Roman" w:cs="Times New Roman"/>
          <w:noProof/>
          <w:sz w:val="24"/>
          <w:szCs w:val="24"/>
          <w:lang w:val="en-GB"/>
        </w:rPr>
        <w:t xml:space="preserve"> </w:t>
      </w:r>
      <w:r w:rsidR="000D484B" w:rsidRPr="009A4348">
        <w:rPr>
          <w:rFonts w:ascii="Times New Roman" w:hAnsi="Times New Roman" w:cs="Times New Roman"/>
          <w:noProof/>
          <w:sz w:val="24"/>
          <w:szCs w:val="24"/>
          <w:lang w:val="en-GB"/>
        </w:rPr>
        <w:t>absence of financial purposes these assets are rarely relevant for tax purposes.</w:t>
      </w:r>
      <w:r w:rsidR="003016F3">
        <w:rPr>
          <w:rFonts w:ascii="Times New Roman" w:hAnsi="Times New Roman" w:cs="Times New Roman"/>
          <w:noProof/>
          <w:sz w:val="24"/>
          <w:szCs w:val="24"/>
          <w:lang w:val="en-GB"/>
        </w:rPr>
        <w:t xml:space="preserve"> </w:t>
      </w:r>
      <w:r w:rsidR="000D484B" w:rsidRPr="009A4348">
        <w:rPr>
          <w:rFonts w:ascii="Times New Roman" w:hAnsi="Times New Roman" w:cs="Times New Roman"/>
          <w:noProof/>
          <w:sz w:val="24"/>
          <w:szCs w:val="24"/>
          <w:lang w:val="en-GB"/>
        </w:rPr>
        <w:t>A start-up can create utility tokens for access to the service</w:t>
      </w:r>
      <w:r w:rsidR="003016F3">
        <w:rPr>
          <w:rFonts w:ascii="Times New Roman" w:hAnsi="Times New Roman" w:cs="Times New Roman"/>
          <w:noProof/>
          <w:sz w:val="24"/>
          <w:szCs w:val="24"/>
          <w:lang w:val="en-GB"/>
        </w:rPr>
        <w:t xml:space="preserve">s or products it is developing. </w:t>
      </w:r>
      <w:r w:rsidR="000D484B" w:rsidRPr="009A4348">
        <w:rPr>
          <w:rFonts w:ascii="Times New Roman" w:hAnsi="Times New Roman" w:cs="Times New Roman"/>
          <w:noProof/>
          <w:sz w:val="24"/>
          <w:szCs w:val="24"/>
          <w:lang w:val="en-GB"/>
        </w:rPr>
        <w:t>Filecoin (FIL) is an example of a utility token. FIL holders gain access to the platform’s decentralized cloud storage services.</w:t>
      </w:r>
    </w:p>
    <w:p w14:paraId="468D6FD2" w14:textId="55AF480E" w:rsidR="000D484B" w:rsidRPr="009A4348" w:rsidRDefault="003016F3" w:rsidP="009A4348">
      <w:pPr>
        <w:pStyle w:val="ListParagraph"/>
        <w:numPr>
          <w:ilvl w:val="1"/>
          <w:numId w:val="98"/>
        </w:num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“Non-marketable crypto-assets" </w:t>
      </w:r>
      <w:r w:rsidR="000D484B" w:rsidRPr="009A4348">
        <w:rPr>
          <w:rFonts w:ascii="Times New Roman" w:hAnsi="Times New Roman" w:cs="Times New Roman"/>
          <w:noProof/>
          <w:sz w:val="24"/>
          <w:szCs w:val="24"/>
          <w:lang w:val="en-GB"/>
        </w:rPr>
        <w:t>are not traded in a publicly available market or do not require intervention by a CASP.</w:t>
      </w:r>
      <w:r>
        <w:rPr>
          <w:rFonts w:ascii="Times New Roman" w:hAnsi="Times New Roman" w:cs="Times New Roman"/>
          <w:noProof/>
          <w:sz w:val="24"/>
          <w:szCs w:val="24"/>
          <w:lang w:val="en-GB"/>
        </w:rPr>
        <w:t xml:space="preserve"> </w:t>
      </w:r>
      <w:r w:rsidR="000D484B" w:rsidRPr="009A4348">
        <w:rPr>
          <w:rFonts w:ascii="Times New Roman" w:hAnsi="Times New Roman" w:cs="Times New Roman"/>
          <w:noProof/>
          <w:sz w:val="24"/>
          <w:szCs w:val="24"/>
          <w:lang w:val="en-GB"/>
        </w:rPr>
        <w:t>These assets are not covered by the initiative</w:t>
      </w:r>
      <w:r>
        <w:rPr>
          <w:rFonts w:ascii="Times New Roman" w:hAnsi="Times New Roman" w:cs="Times New Roman"/>
          <w:noProof/>
          <w:sz w:val="24"/>
          <w:szCs w:val="24"/>
          <w:lang w:val="en-GB"/>
        </w:rPr>
        <w:t xml:space="preserve"> </w:t>
      </w:r>
      <w:r w:rsidR="000D484B" w:rsidRPr="009A4348">
        <w:rPr>
          <w:rFonts w:ascii="Times New Roman" w:hAnsi="Times New Roman" w:cs="Times New Roman"/>
          <w:noProof/>
          <w:sz w:val="24"/>
          <w:szCs w:val="24"/>
          <w:lang w:val="en-GB"/>
        </w:rPr>
        <w:t>due to the fact that</w:t>
      </w:r>
      <w:r>
        <w:rPr>
          <w:rFonts w:ascii="Times New Roman" w:hAnsi="Times New Roman" w:cs="Times New Roman"/>
          <w:noProof/>
          <w:sz w:val="24"/>
          <w:szCs w:val="24"/>
          <w:lang w:val="en-GB"/>
        </w:rPr>
        <w:t xml:space="preserve"> </w:t>
      </w:r>
      <w:r w:rsidR="000D484B" w:rsidRPr="009A4348">
        <w:rPr>
          <w:rFonts w:ascii="Times New Roman" w:hAnsi="Times New Roman" w:cs="Times New Roman"/>
          <w:noProof/>
          <w:sz w:val="24"/>
          <w:szCs w:val="24"/>
          <w:lang w:val="en-GB"/>
        </w:rPr>
        <w:t>they are not usually subject to trading.</w:t>
      </w:r>
      <w:r>
        <w:rPr>
          <w:rFonts w:ascii="Times New Roman" w:hAnsi="Times New Roman" w:cs="Times New Roman"/>
          <w:noProof/>
          <w:sz w:val="24"/>
          <w:szCs w:val="24"/>
          <w:lang w:val="en-GB"/>
        </w:rPr>
        <w:t xml:space="preserve"> </w:t>
      </w:r>
      <w:r w:rsidR="000D484B" w:rsidRPr="009A4348">
        <w:rPr>
          <w:rFonts w:ascii="Times New Roman" w:hAnsi="Times New Roman" w:cs="Times New Roman"/>
          <w:noProof/>
          <w:sz w:val="24"/>
          <w:szCs w:val="24"/>
          <w:lang w:val="en-GB"/>
        </w:rPr>
        <w:t xml:space="preserve">An example is Sorare, a fantasy football trading card game, where users can </w:t>
      </w:r>
      <w:r w:rsidR="00D505FB">
        <w:rPr>
          <w:rFonts w:ascii="Times New Roman" w:hAnsi="Times New Roman" w:cs="Times New Roman"/>
          <w:noProof/>
          <w:sz w:val="24"/>
          <w:szCs w:val="24"/>
          <w:lang w:val="en-GB"/>
        </w:rPr>
        <w:t>exchange</w:t>
      </w:r>
      <w:r w:rsidR="00D505FB" w:rsidRPr="009A4348">
        <w:rPr>
          <w:rFonts w:ascii="Times New Roman" w:hAnsi="Times New Roman" w:cs="Times New Roman"/>
          <w:noProof/>
          <w:sz w:val="24"/>
          <w:szCs w:val="24"/>
          <w:lang w:val="en-GB"/>
        </w:rPr>
        <w:t xml:space="preserve"> </w:t>
      </w:r>
      <w:r w:rsidR="000D484B" w:rsidRPr="009A4348">
        <w:rPr>
          <w:rFonts w:ascii="Times New Roman" w:hAnsi="Times New Roman" w:cs="Times New Roman"/>
          <w:noProof/>
          <w:sz w:val="24"/>
          <w:szCs w:val="24"/>
          <w:lang w:val="en-GB"/>
        </w:rPr>
        <w:t xml:space="preserve">the cards of real players and manage their team to win prizes every week. The cards are all non-marketable and are stored on blockchain. </w:t>
      </w:r>
    </w:p>
    <w:p w14:paraId="3B07ADBF" w14:textId="77777777" w:rsidR="000D484B" w:rsidRPr="00EF4D62" w:rsidRDefault="000D484B" w:rsidP="000D484B">
      <w:pPr>
        <w:pStyle w:val="paragraph"/>
        <w:spacing w:before="0" w:beforeAutospacing="0" w:after="0" w:afterAutospacing="0"/>
        <w:ind w:left="360"/>
        <w:jc w:val="both"/>
        <w:textAlignment w:val="baseline"/>
        <w:rPr>
          <w:rFonts w:eastAsiaTheme="minorHAnsi"/>
          <w:noProof/>
          <w:szCs w:val="22"/>
          <w:lang w:val="en-GB"/>
        </w:rPr>
      </w:pPr>
    </w:p>
    <w:tbl>
      <w:tblPr>
        <w:tblStyle w:val="TableGrid"/>
        <w:tblW w:w="9362" w:type="dxa"/>
        <w:tblLook w:val="04A0" w:firstRow="1" w:lastRow="0" w:firstColumn="1" w:lastColumn="0" w:noHBand="0" w:noVBand="1"/>
      </w:tblPr>
      <w:tblGrid>
        <w:gridCol w:w="3122"/>
        <w:gridCol w:w="3117"/>
        <w:gridCol w:w="3123"/>
      </w:tblGrid>
      <w:tr w:rsidR="000D484B" w:rsidRPr="001D5F32" w14:paraId="35FF2236" w14:textId="77777777" w:rsidTr="00EF4D62">
        <w:trPr>
          <w:trHeight w:val="223"/>
        </w:trPr>
        <w:tc>
          <w:tcPr>
            <w:tcW w:w="9362" w:type="dxa"/>
            <w:gridSpan w:val="3"/>
          </w:tcPr>
          <w:p w14:paraId="30A145CA" w14:textId="77777777" w:rsidR="000D484B" w:rsidRPr="001D5F32" w:rsidRDefault="000D484B" w:rsidP="006441AA">
            <w:pPr>
              <w:jc w:val="center"/>
              <w:rPr>
                <w:rFonts w:ascii="Times New Roman" w:hAnsi="Times New Roman" w:cs="Times New Roman"/>
                <w:noProof/>
                <w:sz w:val="18"/>
                <w:szCs w:val="18"/>
              </w:rPr>
            </w:pPr>
            <w:r w:rsidRPr="001D5F32">
              <w:rPr>
                <w:rFonts w:ascii="Times New Roman" w:hAnsi="Times New Roman" w:cs="Times New Roman"/>
                <w:noProof/>
                <w:sz w:val="18"/>
                <w:szCs w:val="18"/>
              </w:rPr>
              <w:t>CRYPTO-ASSETS TAXONOMY</w:t>
            </w:r>
          </w:p>
        </w:tc>
      </w:tr>
      <w:tr w:rsidR="000D484B" w:rsidRPr="001D5F32" w14:paraId="06344A3C" w14:textId="77777777" w:rsidTr="00EF4D62">
        <w:trPr>
          <w:trHeight w:val="223"/>
        </w:trPr>
        <w:tc>
          <w:tcPr>
            <w:tcW w:w="3122" w:type="dxa"/>
          </w:tcPr>
          <w:p w14:paraId="17D04491" w14:textId="77777777" w:rsidR="000D484B" w:rsidRPr="001D5F32" w:rsidRDefault="004F688F" w:rsidP="00F14BA3">
            <w:pPr>
              <w:jc w:val="center"/>
              <w:rPr>
                <w:rFonts w:ascii="Times New Roman" w:hAnsi="Times New Roman" w:cs="Times New Roman"/>
                <w:noProof/>
                <w:sz w:val="18"/>
                <w:szCs w:val="18"/>
              </w:rPr>
            </w:pPr>
            <w:r w:rsidRPr="001D5F32">
              <w:rPr>
                <w:rFonts w:ascii="Times New Roman" w:hAnsi="Times New Roman" w:cs="Times New Roman"/>
                <w:noProof/>
                <w:sz w:val="18"/>
                <w:szCs w:val="18"/>
              </w:rPr>
              <w:t>New Crypto-assets reporting framework (CARF)</w:t>
            </w:r>
          </w:p>
        </w:tc>
        <w:tc>
          <w:tcPr>
            <w:tcW w:w="3117" w:type="dxa"/>
          </w:tcPr>
          <w:p w14:paraId="2BE32513" w14:textId="77777777" w:rsidR="000D484B" w:rsidRPr="001D5F32" w:rsidRDefault="000D484B" w:rsidP="00F14BA3">
            <w:pPr>
              <w:jc w:val="center"/>
              <w:rPr>
                <w:rFonts w:ascii="Times New Roman" w:hAnsi="Times New Roman" w:cs="Times New Roman"/>
                <w:noProof/>
                <w:sz w:val="18"/>
                <w:szCs w:val="18"/>
              </w:rPr>
            </w:pPr>
            <w:r w:rsidRPr="001D5F32">
              <w:rPr>
                <w:rFonts w:ascii="Times New Roman" w:hAnsi="Times New Roman" w:cs="Times New Roman"/>
                <w:noProof/>
                <w:sz w:val="18"/>
                <w:szCs w:val="18"/>
              </w:rPr>
              <w:t>DAC2</w:t>
            </w:r>
          </w:p>
        </w:tc>
        <w:tc>
          <w:tcPr>
            <w:tcW w:w="3123" w:type="dxa"/>
          </w:tcPr>
          <w:p w14:paraId="44121ECC" w14:textId="01839D4D" w:rsidR="000D484B" w:rsidRPr="001D5F32" w:rsidRDefault="00873F6F" w:rsidP="006441AA">
            <w:pPr>
              <w:jc w:val="center"/>
              <w:rPr>
                <w:rFonts w:ascii="Times New Roman" w:hAnsi="Times New Roman" w:cs="Times New Roman"/>
                <w:noProof/>
                <w:sz w:val="18"/>
                <w:szCs w:val="18"/>
              </w:rPr>
            </w:pPr>
            <w:r>
              <w:rPr>
                <w:rFonts w:ascii="Times New Roman" w:hAnsi="Times New Roman" w:cs="Times New Roman"/>
                <w:noProof/>
                <w:sz w:val="18"/>
                <w:szCs w:val="18"/>
              </w:rPr>
              <w:t>Not covered by the crypto-assets reporting obligation</w:t>
            </w:r>
          </w:p>
        </w:tc>
      </w:tr>
      <w:tr w:rsidR="000D484B" w:rsidRPr="001D5F32" w14:paraId="132D5415" w14:textId="77777777" w:rsidTr="00EF4D62">
        <w:trPr>
          <w:trHeight w:val="456"/>
        </w:trPr>
        <w:tc>
          <w:tcPr>
            <w:tcW w:w="3122" w:type="dxa"/>
          </w:tcPr>
          <w:p w14:paraId="1F109646" w14:textId="77777777" w:rsidR="000D484B" w:rsidRPr="001D5F32" w:rsidRDefault="000D484B" w:rsidP="006441AA">
            <w:pPr>
              <w:rPr>
                <w:rFonts w:ascii="Times New Roman" w:hAnsi="Times New Roman" w:cs="Times New Roman"/>
                <w:noProof/>
                <w:sz w:val="18"/>
                <w:szCs w:val="18"/>
              </w:rPr>
            </w:pPr>
            <w:r w:rsidRPr="001D5F32">
              <w:rPr>
                <w:rFonts w:ascii="Times New Roman" w:hAnsi="Times New Roman" w:cs="Times New Roman"/>
                <w:noProof/>
                <w:sz w:val="18"/>
                <w:szCs w:val="18"/>
              </w:rPr>
              <w:t>Payment tokens or exchange tokens (Bitcoin, Ethereum)</w:t>
            </w:r>
          </w:p>
        </w:tc>
        <w:tc>
          <w:tcPr>
            <w:tcW w:w="3117" w:type="dxa"/>
          </w:tcPr>
          <w:p w14:paraId="5A61B0ED" w14:textId="652AB8A5" w:rsidR="000D484B" w:rsidRPr="001D5F32" w:rsidRDefault="000D484B" w:rsidP="00F14BA3">
            <w:pPr>
              <w:rPr>
                <w:rFonts w:ascii="Times New Roman" w:hAnsi="Times New Roman" w:cs="Times New Roman"/>
                <w:noProof/>
                <w:sz w:val="18"/>
                <w:szCs w:val="18"/>
              </w:rPr>
            </w:pPr>
            <w:r w:rsidRPr="001D5F32">
              <w:rPr>
                <w:rFonts w:ascii="Times New Roman" w:hAnsi="Times New Roman" w:cs="Times New Roman"/>
                <w:noProof/>
                <w:sz w:val="18"/>
                <w:szCs w:val="18"/>
              </w:rPr>
              <w:t>E-money token</w:t>
            </w:r>
            <w:r w:rsidR="00372A97">
              <w:rPr>
                <w:rFonts w:ascii="Times New Roman" w:hAnsi="Times New Roman" w:cs="Times New Roman"/>
                <w:noProof/>
                <w:sz w:val="18"/>
                <w:szCs w:val="18"/>
              </w:rPr>
              <w:t>s</w:t>
            </w:r>
          </w:p>
        </w:tc>
        <w:tc>
          <w:tcPr>
            <w:tcW w:w="3123" w:type="dxa"/>
          </w:tcPr>
          <w:p w14:paraId="70CD6875" w14:textId="77777777" w:rsidR="000D484B" w:rsidRPr="001D5F32" w:rsidRDefault="000D484B" w:rsidP="006441AA">
            <w:pPr>
              <w:rPr>
                <w:rFonts w:ascii="Times New Roman" w:hAnsi="Times New Roman" w:cs="Times New Roman"/>
                <w:noProof/>
                <w:sz w:val="18"/>
                <w:szCs w:val="18"/>
              </w:rPr>
            </w:pPr>
            <w:r w:rsidRPr="001D5F32">
              <w:rPr>
                <w:rFonts w:ascii="Times New Roman" w:hAnsi="Times New Roman" w:cs="Times New Roman"/>
                <w:noProof/>
                <w:sz w:val="18"/>
                <w:szCs w:val="18"/>
              </w:rPr>
              <w:t>Utility tokens</w:t>
            </w:r>
          </w:p>
        </w:tc>
      </w:tr>
      <w:tr w:rsidR="000D484B" w:rsidRPr="001D5F32" w14:paraId="6F973B3B" w14:textId="77777777" w:rsidTr="00EF4D62">
        <w:trPr>
          <w:trHeight w:val="1136"/>
        </w:trPr>
        <w:tc>
          <w:tcPr>
            <w:tcW w:w="3122" w:type="dxa"/>
          </w:tcPr>
          <w:p w14:paraId="4CFF5B9B" w14:textId="470FC4A5" w:rsidR="000D484B" w:rsidRPr="001D5F32" w:rsidRDefault="000D484B" w:rsidP="006441AA">
            <w:pPr>
              <w:rPr>
                <w:rFonts w:ascii="Times New Roman" w:hAnsi="Times New Roman" w:cs="Times New Roman"/>
                <w:noProof/>
                <w:sz w:val="18"/>
                <w:szCs w:val="18"/>
              </w:rPr>
            </w:pPr>
            <w:r w:rsidRPr="001D5F32">
              <w:rPr>
                <w:rFonts w:ascii="Times New Roman" w:hAnsi="Times New Roman" w:cs="Times New Roman"/>
                <w:noProof/>
                <w:sz w:val="18"/>
                <w:szCs w:val="18"/>
              </w:rPr>
              <w:t xml:space="preserve">Asset-reference tokens </w:t>
            </w:r>
            <w:r w:rsidR="00372A97">
              <w:rPr>
                <w:rFonts w:ascii="Times New Roman" w:hAnsi="Times New Roman" w:cs="Times New Roman"/>
                <w:noProof/>
                <w:sz w:val="18"/>
                <w:szCs w:val="18"/>
              </w:rPr>
              <w:t>(</w:t>
            </w:r>
            <w:r w:rsidRPr="001D5F32">
              <w:rPr>
                <w:rFonts w:ascii="Times New Roman" w:hAnsi="Times New Roman" w:cs="Times New Roman"/>
                <w:noProof/>
                <w:sz w:val="18"/>
                <w:szCs w:val="18"/>
              </w:rPr>
              <w:t>such as Tether, USD Coin, Binance )</w:t>
            </w:r>
            <w:r w:rsidR="00F14BA3" w:rsidRPr="001D5F32">
              <w:rPr>
                <w:rFonts w:ascii="Times New Roman" w:hAnsi="Times New Roman" w:cs="Times New Roman"/>
                <w:noProof/>
                <w:sz w:val="18"/>
                <w:szCs w:val="18"/>
              </w:rPr>
              <w:t xml:space="preserve"> </w:t>
            </w:r>
          </w:p>
          <w:p w14:paraId="7B6A2910" w14:textId="77777777" w:rsidR="000D484B" w:rsidRPr="001D5F32" w:rsidRDefault="000D484B" w:rsidP="006441AA">
            <w:pPr>
              <w:pStyle w:val="ListParagraph"/>
              <w:rPr>
                <w:rFonts w:ascii="Times New Roman" w:hAnsi="Times New Roman" w:cs="Times New Roman"/>
                <w:noProof/>
                <w:sz w:val="18"/>
                <w:szCs w:val="18"/>
              </w:rPr>
            </w:pPr>
          </w:p>
        </w:tc>
        <w:tc>
          <w:tcPr>
            <w:tcW w:w="3117" w:type="dxa"/>
          </w:tcPr>
          <w:p w14:paraId="32B65043" w14:textId="77777777" w:rsidR="000D484B" w:rsidRPr="001D5F32" w:rsidRDefault="000D484B" w:rsidP="006441AA">
            <w:pPr>
              <w:rPr>
                <w:rFonts w:ascii="Times New Roman" w:hAnsi="Times New Roman" w:cs="Times New Roman"/>
                <w:noProof/>
                <w:sz w:val="18"/>
                <w:szCs w:val="18"/>
              </w:rPr>
            </w:pPr>
            <w:r w:rsidRPr="001D5F32">
              <w:rPr>
                <w:rFonts w:ascii="Times New Roman" w:hAnsi="Times New Roman" w:cs="Times New Roman"/>
                <w:noProof/>
                <w:sz w:val="18"/>
                <w:szCs w:val="18"/>
              </w:rPr>
              <w:t>CBDC</w:t>
            </w:r>
          </w:p>
        </w:tc>
        <w:tc>
          <w:tcPr>
            <w:tcW w:w="3123" w:type="dxa"/>
          </w:tcPr>
          <w:p w14:paraId="1731E126" w14:textId="77777777" w:rsidR="000D484B" w:rsidRPr="001D5F32" w:rsidRDefault="000D484B" w:rsidP="006441AA">
            <w:pPr>
              <w:rPr>
                <w:rFonts w:ascii="Times New Roman" w:hAnsi="Times New Roman" w:cs="Times New Roman"/>
                <w:noProof/>
                <w:sz w:val="18"/>
                <w:szCs w:val="18"/>
              </w:rPr>
            </w:pPr>
            <w:r w:rsidRPr="001D5F32">
              <w:rPr>
                <w:rFonts w:ascii="Times New Roman" w:hAnsi="Times New Roman" w:cs="Times New Roman"/>
                <w:noProof/>
                <w:sz w:val="18"/>
                <w:szCs w:val="18"/>
              </w:rPr>
              <w:t>Non-marketable crypto-assets</w:t>
            </w:r>
          </w:p>
        </w:tc>
      </w:tr>
      <w:tr w:rsidR="000D484B" w:rsidRPr="001D5F32" w14:paraId="6EBAA973" w14:textId="77777777" w:rsidTr="00EF4D62">
        <w:trPr>
          <w:trHeight w:val="679"/>
        </w:trPr>
        <w:tc>
          <w:tcPr>
            <w:tcW w:w="3122" w:type="dxa"/>
          </w:tcPr>
          <w:p w14:paraId="17C82AC4" w14:textId="77777777" w:rsidR="000D484B" w:rsidRPr="001D5F32" w:rsidRDefault="00FF3F18" w:rsidP="006441AA">
            <w:pPr>
              <w:rPr>
                <w:rFonts w:ascii="Times New Roman" w:hAnsi="Times New Roman" w:cs="Times New Roman"/>
                <w:noProof/>
                <w:sz w:val="18"/>
                <w:szCs w:val="18"/>
              </w:rPr>
            </w:pPr>
            <w:r w:rsidRPr="001D5F32">
              <w:rPr>
                <w:rFonts w:ascii="Times New Roman" w:hAnsi="Times New Roman" w:cs="Times New Roman"/>
                <w:noProof/>
                <w:sz w:val="18"/>
                <w:szCs w:val="18"/>
              </w:rPr>
              <w:t>E</w:t>
            </w:r>
            <w:r w:rsidR="000D484B" w:rsidRPr="001D5F32">
              <w:rPr>
                <w:rFonts w:ascii="Times New Roman" w:hAnsi="Times New Roman" w:cs="Times New Roman"/>
                <w:noProof/>
                <w:sz w:val="18"/>
                <w:szCs w:val="18"/>
              </w:rPr>
              <w:t>quity and debt tokens</w:t>
            </w:r>
          </w:p>
          <w:p w14:paraId="751D5D11" w14:textId="77777777" w:rsidR="000D484B" w:rsidRPr="001D5F32" w:rsidRDefault="000D484B" w:rsidP="006441AA">
            <w:pPr>
              <w:rPr>
                <w:rFonts w:ascii="Times New Roman" w:hAnsi="Times New Roman" w:cs="Times New Roman"/>
                <w:noProof/>
                <w:sz w:val="18"/>
                <w:szCs w:val="18"/>
              </w:rPr>
            </w:pPr>
          </w:p>
        </w:tc>
        <w:tc>
          <w:tcPr>
            <w:tcW w:w="3117" w:type="dxa"/>
          </w:tcPr>
          <w:p w14:paraId="02885A67" w14:textId="77777777" w:rsidR="000D484B" w:rsidRPr="001D5F32" w:rsidRDefault="000D484B" w:rsidP="006441AA">
            <w:pPr>
              <w:rPr>
                <w:rFonts w:ascii="Times New Roman" w:hAnsi="Times New Roman" w:cs="Times New Roman"/>
                <w:noProof/>
                <w:sz w:val="18"/>
                <w:szCs w:val="18"/>
              </w:rPr>
            </w:pPr>
          </w:p>
        </w:tc>
        <w:tc>
          <w:tcPr>
            <w:tcW w:w="3123" w:type="dxa"/>
          </w:tcPr>
          <w:p w14:paraId="4400D365" w14:textId="77777777" w:rsidR="000D484B" w:rsidRPr="001D5F32" w:rsidRDefault="000D484B" w:rsidP="006441AA">
            <w:pPr>
              <w:rPr>
                <w:rFonts w:ascii="Times New Roman" w:hAnsi="Times New Roman" w:cs="Times New Roman"/>
                <w:noProof/>
                <w:sz w:val="18"/>
                <w:szCs w:val="18"/>
              </w:rPr>
            </w:pPr>
          </w:p>
        </w:tc>
      </w:tr>
      <w:tr w:rsidR="000D484B" w:rsidRPr="001D5F32" w14:paraId="13A62D22" w14:textId="77777777" w:rsidTr="00EF4D62">
        <w:trPr>
          <w:trHeight w:val="223"/>
        </w:trPr>
        <w:tc>
          <w:tcPr>
            <w:tcW w:w="3122" w:type="dxa"/>
          </w:tcPr>
          <w:p w14:paraId="0A0396DE" w14:textId="77777777" w:rsidR="000D484B" w:rsidRPr="001D5F32" w:rsidRDefault="000D484B" w:rsidP="006441AA">
            <w:pPr>
              <w:rPr>
                <w:rFonts w:ascii="Times New Roman" w:hAnsi="Times New Roman" w:cs="Times New Roman"/>
                <w:noProof/>
                <w:sz w:val="18"/>
                <w:szCs w:val="18"/>
              </w:rPr>
            </w:pPr>
            <w:r w:rsidRPr="001D5F32">
              <w:rPr>
                <w:rFonts w:ascii="Times New Roman" w:hAnsi="Times New Roman" w:cs="Times New Roman"/>
                <w:noProof/>
                <w:sz w:val="18"/>
                <w:szCs w:val="18"/>
              </w:rPr>
              <w:t>NFT</w:t>
            </w:r>
          </w:p>
        </w:tc>
        <w:tc>
          <w:tcPr>
            <w:tcW w:w="3117" w:type="dxa"/>
          </w:tcPr>
          <w:p w14:paraId="46BF8050" w14:textId="77777777" w:rsidR="000D484B" w:rsidRPr="001D5F32" w:rsidRDefault="000D484B" w:rsidP="006441AA">
            <w:pPr>
              <w:rPr>
                <w:rFonts w:ascii="Times New Roman" w:hAnsi="Times New Roman" w:cs="Times New Roman"/>
                <w:noProof/>
                <w:sz w:val="18"/>
                <w:szCs w:val="18"/>
              </w:rPr>
            </w:pPr>
          </w:p>
        </w:tc>
        <w:tc>
          <w:tcPr>
            <w:tcW w:w="3123" w:type="dxa"/>
          </w:tcPr>
          <w:p w14:paraId="3BAA69B6" w14:textId="77777777" w:rsidR="000D484B" w:rsidRPr="001D5F32" w:rsidRDefault="000D484B" w:rsidP="006441AA">
            <w:pPr>
              <w:rPr>
                <w:rFonts w:ascii="Times New Roman" w:hAnsi="Times New Roman" w:cs="Times New Roman"/>
                <w:noProof/>
                <w:sz w:val="18"/>
                <w:szCs w:val="18"/>
              </w:rPr>
            </w:pPr>
          </w:p>
        </w:tc>
      </w:tr>
    </w:tbl>
    <w:p w14:paraId="691E25CD" w14:textId="77777777" w:rsidR="0097515C" w:rsidRPr="008704BD" w:rsidRDefault="0097515C" w:rsidP="67756B4F">
      <w:pPr>
        <w:jc w:val="both"/>
        <w:rPr>
          <w:b/>
          <w:noProof/>
          <w:sz w:val="24"/>
          <w:lang w:val="en-GB"/>
        </w:rPr>
      </w:pPr>
    </w:p>
    <w:p w14:paraId="449D0902" w14:textId="77777777" w:rsidR="00944664" w:rsidRPr="008704BD" w:rsidRDefault="6F639065" w:rsidP="6D0B1F45">
      <w:pPr>
        <w:pStyle w:val="ListParagraph"/>
        <w:numPr>
          <w:ilvl w:val="0"/>
          <w:numId w:val="88"/>
        </w:numPr>
        <w:jc w:val="both"/>
        <w:rPr>
          <w:rFonts w:ascii="Times New Roman" w:hAnsi="Times New Roman"/>
          <w:b/>
          <w:noProof/>
          <w:sz w:val="24"/>
          <w:lang w:val="en-GB"/>
        </w:rPr>
      </w:pPr>
      <w:r w:rsidRPr="008704BD">
        <w:rPr>
          <w:rFonts w:ascii="Times New Roman" w:hAnsi="Times New Roman"/>
          <w:b/>
          <w:noProof/>
          <w:sz w:val="24"/>
          <w:lang w:val="en-GB"/>
        </w:rPr>
        <w:t>Which CASPs are in scope</w:t>
      </w:r>
      <w:r w:rsidR="2A38A9F0" w:rsidRPr="008704BD">
        <w:rPr>
          <w:rFonts w:ascii="Times New Roman" w:hAnsi="Times New Roman"/>
          <w:b/>
          <w:noProof/>
          <w:sz w:val="24"/>
          <w:lang w:val="en-GB"/>
        </w:rPr>
        <w:t xml:space="preserve"> regarding reporting obligations</w:t>
      </w:r>
      <w:r w:rsidRPr="008704BD">
        <w:rPr>
          <w:rFonts w:ascii="Times New Roman" w:hAnsi="Times New Roman"/>
          <w:b/>
          <w:noProof/>
          <w:sz w:val="24"/>
          <w:lang w:val="en-GB"/>
        </w:rPr>
        <w:t>?</w:t>
      </w:r>
    </w:p>
    <w:p w14:paraId="576F5BE8" w14:textId="5352F794" w:rsidR="00AB48F8" w:rsidRPr="00EF4D62" w:rsidRDefault="2D5128F6" w:rsidP="10C510F9">
      <w:pPr>
        <w:spacing w:after="0" w:line="240" w:lineRule="auto"/>
        <w:jc w:val="both"/>
        <w:rPr>
          <w:rStyle w:val="eop"/>
          <w:rFonts w:ascii="Times New Roman" w:hAnsi="Times New Roman" w:cs="Times New Roman"/>
          <w:noProof/>
          <w:sz w:val="24"/>
          <w:szCs w:val="24"/>
        </w:rPr>
      </w:pPr>
      <w:r w:rsidRPr="008704BD">
        <w:rPr>
          <w:rFonts w:ascii="Times New Roman" w:hAnsi="Times New Roman"/>
          <w:noProof/>
          <w:sz w:val="24"/>
          <w:lang w:val="en-GB"/>
        </w:rPr>
        <w:t xml:space="preserve">CASPs </w:t>
      </w:r>
      <w:r w:rsidR="00C95724" w:rsidRPr="008704BD">
        <w:rPr>
          <w:rFonts w:ascii="Times New Roman" w:hAnsi="Times New Roman"/>
          <w:noProof/>
          <w:sz w:val="24"/>
          <w:lang w:val="en-GB"/>
        </w:rPr>
        <w:t>are</w:t>
      </w:r>
      <w:r w:rsidRPr="008704BD">
        <w:rPr>
          <w:rFonts w:ascii="Times New Roman" w:hAnsi="Times New Roman"/>
          <w:noProof/>
          <w:sz w:val="24"/>
          <w:lang w:val="en-GB"/>
        </w:rPr>
        <w:t xml:space="preserve"> defined as any person whose occupation or business is the provision of one or more crypto-asset services to third parties on a professional basis.</w:t>
      </w:r>
      <w:r w:rsidRPr="008704BD">
        <w:rPr>
          <w:rStyle w:val="FootnoteReference"/>
          <w:rFonts w:ascii="Times New Roman" w:hAnsi="Times New Roman"/>
          <w:noProof/>
          <w:sz w:val="24"/>
          <w:lang w:val="en-GB"/>
        </w:rPr>
        <w:footnoteReference w:id="26"/>
      </w:r>
      <w:r w:rsidRPr="008704BD">
        <w:rPr>
          <w:rFonts w:ascii="Times New Roman" w:hAnsi="Times New Roman"/>
          <w:noProof/>
          <w:sz w:val="24"/>
          <w:lang w:val="en-GB"/>
        </w:rPr>
        <w:t xml:space="preserve"> They can perform exchanges between crypto-assets and fiat currencies or exchanges between one or more forms of crypto-assets.</w:t>
      </w:r>
      <w:r w:rsidR="00AB48F8">
        <w:rPr>
          <w:rFonts w:ascii="Times New Roman" w:hAnsi="Times New Roman"/>
          <w:noProof/>
          <w:sz w:val="24"/>
          <w:lang w:val="en-GB"/>
        </w:rPr>
        <w:t xml:space="preserve"> </w:t>
      </w:r>
      <w:r w:rsidR="00AB48F8" w:rsidRPr="00EF4D62">
        <w:rPr>
          <w:rStyle w:val="normaltextrun"/>
          <w:rFonts w:ascii="Times New Roman" w:hAnsi="Times New Roman" w:cs="Times New Roman"/>
          <w:noProof/>
          <w:sz w:val="24"/>
          <w:szCs w:val="24"/>
        </w:rPr>
        <w:t>The above definition is</w:t>
      </w:r>
      <w:r w:rsidR="003016F3">
        <w:rPr>
          <w:rStyle w:val="normaltextrun"/>
          <w:rFonts w:ascii="Times New Roman" w:hAnsi="Times New Roman" w:cs="Times New Roman"/>
          <w:noProof/>
          <w:sz w:val="24"/>
          <w:szCs w:val="24"/>
        </w:rPr>
        <w:t xml:space="preserve"> </w:t>
      </w:r>
      <w:r w:rsidR="00AB48F8" w:rsidRPr="00EF4D62">
        <w:rPr>
          <w:rStyle w:val="normaltextrun"/>
          <w:rFonts w:ascii="Times New Roman" w:hAnsi="Times New Roman" w:cs="Times New Roman"/>
          <w:noProof/>
          <w:sz w:val="24"/>
          <w:szCs w:val="24"/>
        </w:rPr>
        <w:t>narrower</w:t>
      </w:r>
      <w:r w:rsidR="003016F3">
        <w:rPr>
          <w:rStyle w:val="normaltextrun"/>
          <w:rFonts w:ascii="Times New Roman" w:hAnsi="Times New Roman" w:cs="Times New Roman"/>
          <w:noProof/>
          <w:sz w:val="24"/>
          <w:szCs w:val="24"/>
        </w:rPr>
        <w:t xml:space="preserve"> </w:t>
      </w:r>
      <w:r w:rsidR="00AB48F8" w:rsidRPr="00EF4D62">
        <w:rPr>
          <w:rStyle w:val="normaltextrun"/>
          <w:rFonts w:ascii="Times New Roman" w:hAnsi="Times New Roman" w:cs="Times New Roman"/>
          <w:noProof/>
          <w:sz w:val="24"/>
          <w:szCs w:val="24"/>
        </w:rPr>
        <w:t>than the definition provided in the proposal for a MiCA Regulation. This is because services such as “providing advice”</w:t>
      </w:r>
      <w:r w:rsidR="00436D6D">
        <w:rPr>
          <w:rStyle w:val="normaltextrun"/>
          <w:rFonts w:ascii="Times New Roman" w:hAnsi="Times New Roman" w:cs="Times New Roman"/>
          <w:noProof/>
          <w:sz w:val="24"/>
          <w:szCs w:val="24"/>
        </w:rPr>
        <w:t>, covered in the MiCA Regulation proposal,</w:t>
      </w:r>
      <w:r w:rsidR="003016F3">
        <w:rPr>
          <w:rStyle w:val="normaltextrun"/>
          <w:rFonts w:ascii="Times New Roman" w:hAnsi="Times New Roman" w:cs="Times New Roman"/>
          <w:noProof/>
          <w:sz w:val="24"/>
          <w:szCs w:val="24"/>
        </w:rPr>
        <w:t xml:space="preserve"> </w:t>
      </w:r>
      <w:r w:rsidR="00AB48F8" w:rsidRPr="00EF4D62">
        <w:rPr>
          <w:rStyle w:val="normaltextrun"/>
          <w:rFonts w:ascii="Times New Roman" w:hAnsi="Times New Roman" w:cs="Times New Roman"/>
          <w:noProof/>
          <w:sz w:val="24"/>
          <w:szCs w:val="24"/>
        </w:rPr>
        <w:t>do not have any relevance for establishing holdings or capital gains that would be relevant for tax purposes. The “issuance” of crypto-assets is not covered either since it is not a transaction that will give rise to a</w:t>
      </w:r>
      <w:r w:rsidR="003016F3">
        <w:rPr>
          <w:rStyle w:val="normaltextrun"/>
          <w:rFonts w:ascii="Times New Roman" w:hAnsi="Times New Roman" w:cs="Times New Roman"/>
          <w:noProof/>
          <w:sz w:val="24"/>
          <w:szCs w:val="24"/>
        </w:rPr>
        <w:t xml:space="preserve"> </w:t>
      </w:r>
      <w:r w:rsidR="00AB48F8" w:rsidRPr="00EF4D62">
        <w:rPr>
          <w:rStyle w:val="normaltextrun"/>
          <w:rFonts w:ascii="Times New Roman" w:hAnsi="Times New Roman" w:cs="Times New Roman"/>
          <w:noProof/>
          <w:sz w:val="24"/>
          <w:szCs w:val="24"/>
        </w:rPr>
        <w:t>measurable</w:t>
      </w:r>
      <w:r w:rsidR="003016F3">
        <w:rPr>
          <w:rStyle w:val="normaltextrun"/>
          <w:rFonts w:ascii="Times New Roman" w:hAnsi="Times New Roman" w:cs="Times New Roman"/>
          <w:noProof/>
          <w:sz w:val="24"/>
          <w:szCs w:val="24"/>
        </w:rPr>
        <w:t xml:space="preserve"> </w:t>
      </w:r>
      <w:r w:rsidR="00AB48F8" w:rsidRPr="00EF4D62">
        <w:rPr>
          <w:rStyle w:val="normaltextrun"/>
          <w:rFonts w:ascii="Times New Roman" w:hAnsi="Times New Roman" w:cs="Times New Roman"/>
          <w:noProof/>
          <w:sz w:val="24"/>
          <w:szCs w:val="24"/>
        </w:rPr>
        <w:t>capital gain.</w:t>
      </w:r>
      <w:r w:rsidR="00AB48F8" w:rsidRPr="00EF4D62">
        <w:rPr>
          <w:rStyle w:val="eop"/>
          <w:rFonts w:ascii="Times New Roman" w:hAnsi="Times New Roman" w:cs="Times New Roman"/>
          <w:noProof/>
          <w:sz w:val="24"/>
          <w:szCs w:val="24"/>
        </w:rPr>
        <w:t> </w:t>
      </w:r>
    </w:p>
    <w:p w14:paraId="6625A660" w14:textId="77777777" w:rsidR="00AB48F8" w:rsidRDefault="00AB48F8" w:rsidP="10C510F9">
      <w:pPr>
        <w:spacing w:after="0" w:line="240" w:lineRule="auto"/>
        <w:jc w:val="both"/>
        <w:rPr>
          <w:rStyle w:val="eop"/>
          <w:noProof/>
        </w:rPr>
      </w:pPr>
    </w:p>
    <w:p w14:paraId="4D6C9B93" w14:textId="77777777" w:rsidR="2D5128F6" w:rsidRPr="008704BD" w:rsidRDefault="2D5128F6" w:rsidP="02355236">
      <w:pPr>
        <w:spacing w:after="0" w:line="240" w:lineRule="auto"/>
        <w:jc w:val="both"/>
        <w:rPr>
          <w:rFonts w:ascii="Times New Roman" w:hAnsi="Times New Roman"/>
          <w:noProof/>
          <w:sz w:val="24"/>
          <w:szCs w:val="24"/>
          <w:lang w:val="en-GB"/>
        </w:rPr>
      </w:pPr>
      <w:r w:rsidRPr="02355236">
        <w:rPr>
          <w:rFonts w:ascii="Times New Roman" w:hAnsi="Times New Roman"/>
          <w:noProof/>
          <w:sz w:val="24"/>
          <w:szCs w:val="24"/>
          <w:lang w:val="en-GB"/>
        </w:rPr>
        <w:t xml:space="preserve">CASPs can be, among others, exchanges, brokers and dealers, </w:t>
      </w:r>
      <w:r w:rsidR="00AB48F8" w:rsidRPr="02355236">
        <w:rPr>
          <w:rFonts w:ascii="Times New Roman" w:hAnsi="Times New Roman"/>
          <w:noProof/>
          <w:sz w:val="24"/>
          <w:szCs w:val="24"/>
          <w:lang w:val="en-GB"/>
        </w:rPr>
        <w:t xml:space="preserve">trading platforms (DEFi) </w:t>
      </w:r>
      <w:r w:rsidRPr="02355236">
        <w:rPr>
          <w:rFonts w:ascii="Times New Roman" w:hAnsi="Times New Roman"/>
          <w:noProof/>
          <w:sz w:val="24"/>
          <w:szCs w:val="24"/>
          <w:lang w:val="en-GB"/>
        </w:rPr>
        <w:t xml:space="preserve">as well as </w:t>
      </w:r>
      <w:r w:rsidR="0056064C" w:rsidRPr="02355236">
        <w:rPr>
          <w:rFonts w:ascii="Times New Roman" w:hAnsi="Times New Roman"/>
          <w:noProof/>
          <w:sz w:val="24"/>
          <w:szCs w:val="24"/>
          <w:lang w:val="en-GB"/>
        </w:rPr>
        <w:t>c</w:t>
      </w:r>
      <w:r w:rsidRPr="02355236">
        <w:rPr>
          <w:rFonts w:ascii="Times New Roman" w:hAnsi="Times New Roman"/>
          <w:noProof/>
          <w:sz w:val="24"/>
          <w:szCs w:val="24"/>
          <w:lang w:val="en-GB"/>
        </w:rPr>
        <w:t>rypto-</w:t>
      </w:r>
      <w:r w:rsidR="0056064C" w:rsidRPr="02355236">
        <w:rPr>
          <w:rFonts w:ascii="Times New Roman" w:hAnsi="Times New Roman"/>
          <w:noProof/>
          <w:sz w:val="24"/>
          <w:szCs w:val="24"/>
          <w:lang w:val="en-GB"/>
        </w:rPr>
        <w:t>a</w:t>
      </w:r>
      <w:r w:rsidRPr="02355236">
        <w:rPr>
          <w:rFonts w:ascii="Times New Roman" w:hAnsi="Times New Roman"/>
          <w:noProof/>
          <w:sz w:val="24"/>
          <w:szCs w:val="24"/>
          <w:lang w:val="en-GB"/>
        </w:rPr>
        <w:t xml:space="preserve">sset ATMs. </w:t>
      </w:r>
      <w:r w:rsidR="0056064C" w:rsidRPr="02355236">
        <w:rPr>
          <w:rFonts w:ascii="Times New Roman" w:hAnsi="Times New Roman"/>
          <w:noProof/>
          <w:sz w:val="24"/>
          <w:szCs w:val="24"/>
          <w:lang w:val="en-GB"/>
        </w:rPr>
        <w:t>They</w:t>
      </w:r>
      <w:r w:rsidRPr="02355236">
        <w:rPr>
          <w:rFonts w:ascii="Times New Roman" w:hAnsi="Times New Roman"/>
          <w:noProof/>
          <w:sz w:val="24"/>
          <w:szCs w:val="24"/>
          <w:lang w:val="en-GB"/>
        </w:rPr>
        <w:t xml:space="preserve"> play a crucial role in facilitating a market for crypto-assets and are therefore best placed to collect and report information relevant for assessing tax liabilities (i.e. capital gains and income), including details of gross proceeds. In general, these intermediaries have access to the value of the crypto-assets and the transactions carried out. </w:t>
      </w:r>
    </w:p>
    <w:p w14:paraId="5A99230D" w14:textId="77777777" w:rsidR="00442EBA" w:rsidRPr="008704BD" w:rsidRDefault="00442EBA" w:rsidP="10C510F9">
      <w:pPr>
        <w:spacing w:after="0" w:line="240" w:lineRule="auto"/>
        <w:jc w:val="both"/>
        <w:rPr>
          <w:rFonts w:ascii="Times New Roman" w:hAnsi="Times New Roman"/>
          <w:noProof/>
          <w:sz w:val="24"/>
          <w:lang w:val="en-GB"/>
        </w:rPr>
      </w:pPr>
    </w:p>
    <w:p w14:paraId="3FE2A2F5" w14:textId="77777777" w:rsidR="2D5128F6" w:rsidRPr="008704BD" w:rsidRDefault="2D5128F6" w:rsidP="10C510F9">
      <w:pPr>
        <w:jc w:val="both"/>
        <w:rPr>
          <w:rFonts w:ascii="Times New Roman" w:hAnsi="Times New Roman"/>
          <w:noProof/>
          <w:sz w:val="24"/>
          <w:lang w:val="en-GB"/>
        </w:rPr>
      </w:pPr>
      <w:r w:rsidRPr="008704BD">
        <w:rPr>
          <w:rFonts w:ascii="Times New Roman" w:hAnsi="Times New Roman"/>
          <w:noProof/>
          <w:sz w:val="24"/>
          <w:lang w:val="en-GB"/>
        </w:rPr>
        <w:t>The proposal would contemplate that the new reporting and exchange framework will impose reporting requirements solely on CASPs that are in the professional business of conducting exchanges of crypto-assets. CASPs already fall under the scope of obliged entities under the Financial Action Task Force (FATF) Recommendations</w:t>
      </w:r>
      <w:r w:rsidRPr="008704BD">
        <w:rPr>
          <w:rFonts w:ascii="Times New Roman" w:hAnsi="Times New Roman"/>
          <w:noProof/>
          <w:sz w:val="24"/>
          <w:vertAlign w:val="superscript"/>
        </w:rPr>
        <w:footnoteReference w:id="27"/>
      </w:r>
      <w:r w:rsidRPr="008704BD">
        <w:rPr>
          <w:rFonts w:ascii="Times New Roman" w:hAnsi="Times New Roman"/>
          <w:noProof/>
          <w:sz w:val="24"/>
          <w:lang w:val="en-GB"/>
        </w:rPr>
        <w:t xml:space="preserve"> and </w:t>
      </w:r>
      <w:r w:rsidR="00436D6D">
        <w:rPr>
          <w:rFonts w:ascii="Times New Roman" w:hAnsi="Times New Roman"/>
          <w:noProof/>
          <w:sz w:val="24"/>
          <w:lang w:val="en-GB"/>
        </w:rPr>
        <w:t xml:space="preserve">are </w:t>
      </w:r>
      <w:r w:rsidRPr="008704BD">
        <w:rPr>
          <w:rFonts w:ascii="Times New Roman" w:hAnsi="Times New Roman"/>
          <w:noProof/>
          <w:sz w:val="24"/>
          <w:lang w:val="en-GB"/>
        </w:rPr>
        <w:t xml:space="preserve">consequently </w:t>
      </w:r>
      <w:r w:rsidR="00436D6D">
        <w:rPr>
          <w:rFonts w:ascii="Times New Roman" w:hAnsi="Times New Roman"/>
          <w:noProof/>
          <w:sz w:val="24"/>
          <w:lang w:val="en-GB"/>
        </w:rPr>
        <w:t xml:space="preserve">expected </w:t>
      </w:r>
      <w:r w:rsidRPr="008704BD">
        <w:rPr>
          <w:rFonts w:ascii="Times New Roman" w:hAnsi="Times New Roman"/>
          <w:noProof/>
          <w:sz w:val="24"/>
          <w:lang w:val="en-GB"/>
        </w:rPr>
        <w:t>to efficiently collect and review the required documentation of their customers on the basis of the AML/KYC</w:t>
      </w:r>
      <w:r w:rsidRPr="008704BD">
        <w:rPr>
          <w:rFonts w:ascii="Times New Roman" w:hAnsi="Times New Roman"/>
          <w:noProof/>
          <w:sz w:val="24"/>
          <w:vertAlign w:val="superscript"/>
        </w:rPr>
        <w:footnoteReference w:id="28"/>
      </w:r>
      <w:r w:rsidRPr="008704BD">
        <w:rPr>
          <w:rFonts w:ascii="Times New Roman" w:hAnsi="Times New Roman"/>
          <w:noProof/>
          <w:sz w:val="24"/>
          <w:lang w:val="en-GB"/>
        </w:rPr>
        <w:t xml:space="preserve"> requirements. </w:t>
      </w:r>
    </w:p>
    <w:p w14:paraId="749266CB" w14:textId="77777777" w:rsidR="2D5128F6" w:rsidRPr="008704BD" w:rsidRDefault="2D5128F6" w:rsidP="10C510F9">
      <w:pPr>
        <w:jc w:val="both"/>
        <w:rPr>
          <w:rFonts w:ascii="Times New Roman" w:hAnsi="Times New Roman"/>
          <w:noProof/>
          <w:sz w:val="24"/>
          <w:lang w:val="en-GB"/>
        </w:rPr>
      </w:pPr>
      <w:r w:rsidRPr="008704BD">
        <w:rPr>
          <w:rFonts w:ascii="Times New Roman" w:hAnsi="Times New Roman"/>
          <w:noProof/>
          <w:sz w:val="24"/>
          <w:lang w:val="en-GB"/>
        </w:rPr>
        <w:t xml:space="preserve">In order to determine </w:t>
      </w:r>
      <w:r w:rsidR="00442EBA" w:rsidRPr="008704BD">
        <w:rPr>
          <w:rFonts w:ascii="Times New Roman" w:hAnsi="Times New Roman"/>
          <w:noProof/>
          <w:sz w:val="24"/>
          <w:lang w:val="en-GB"/>
        </w:rPr>
        <w:t xml:space="preserve">which </w:t>
      </w:r>
      <w:r w:rsidRPr="008704BD">
        <w:rPr>
          <w:rFonts w:ascii="Times New Roman" w:hAnsi="Times New Roman"/>
          <w:noProof/>
          <w:sz w:val="24"/>
          <w:lang w:val="en-GB"/>
        </w:rPr>
        <w:t>CASPs</w:t>
      </w:r>
      <w:r w:rsidR="00442EBA" w:rsidRPr="008704BD">
        <w:rPr>
          <w:rFonts w:ascii="Times New Roman" w:hAnsi="Times New Roman"/>
          <w:noProof/>
          <w:sz w:val="24"/>
          <w:lang w:val="en-GB"/>
        </w:rPr>
        <w:t xml:space="preserve"> are</w:t>
      </w:r>
      <w:r w:rsidR="0056064C" w:rsidRPr="008704BD">
        <w:rPr>
          <w:rFonts w:ascii="Times New Roman" w:hAnsi="Times New Roman"/>
          <w:noProof/>
          <w:sz w:val="24"/>
          <w:lang w:val="en-GB"/>
        </w:rPr>
        <w:t xml:space="preserve"> in scope regarding reporting obligations</w:t>
      </w:r>
      <w:r w:rsidRPr="008704BD">
        <w:rPr>
          <w:rFonts w:ascii="Times New Roman" w:hAnsi="Times New Roman"/>
          <w:noProof/>
          <w:sz w:val="24"/>
          <w:lang w:val="en-GB"/>
        </w:rPr>
        <w:t xml:space="preserve">, two dimensions are being considered: size and location. </w:t>
      </w:r>
      <w:r w:rsidR="007B4B68" w:rsidRPr="008704BD">
        <w:rPr>
          <w:rFonts w:ascii="Times New Roman" w:hAnsi="Times New Roman"/>
          <w:noProof/>
          <w:sz w:val="24"/>
          <w:lang w:val="en-GB"/>
        </w:rPr>
        <w:t>As far as size is concerned, it can be env</w:t>
      </w:r>
      <w:r w:rsidR="00181EE5" w:rsidRPr="008704BD">
        <w:rPr>
          <w:rFonts w:ascii="Times New Roman" w:hAnsi="Times New Roman"/>
          <w:noProof/>
          <w:sz w:val="24"/>
          <w:lang w:val="en-GB"/>
        </w:rPr>
        <w:t>i</w:t>
      </w:r>
      <w:r w:rsidR="007B4B68" w:rsidRPr="008704BD">
        <w:rPr>
          <w:rFonts w:ascii="Times New Roman" w:hAnsi="Times New Roman"/>
          <w:noProof/>
          <w:sz w:val="24"/>
          <w:lang w:val="en-GB"/>
        </w:rPr>
        <w:t>saged whether</w:t>
      </w:r>
      <w:r w:rsidRPr="008704BD">
        <w:rPr>
          <w:rFonts w:ascii="Times New Roman" w:hAnsi="Times New Roman"/>
          <w:noProof/>
          <w:sz w:val="24"/>
          <w:lang w:val="en-GB"/>
        </w:rPr>
        <w:t xml:space="preserve"> (i) all CASPs should report, irrespective of their size, or whether (ii) an exclusion based on size should be introduced</w:t>
      </w:r>
      <w:r w:rsidR="00AB48F8">
        <w:rPr>
          <w:rFonts w:ascii="Times New Roman" w:hAnsi="Times New Roman"/>
          <w:noProof/>
          <w:sz w:val="24"/>
          <w:lang w:val="en-GB"/>
        </w:rPr>
        <w:t xml:space="preserve"> (i.e. SME CASPs)</w:t>
      </w:r>
      <w:r w:rsidR="008913B4">
        <w:rPr>
          <w:rFonts w:ascii="Times New Roman" w:hAnsi="Times New Roman"/>
          <w:noProof/>
          <w:sz w:val="24"/>
          <w:lang w:val="en-GB"/>
        </w:rPr>
        <w:t>.</w:t>
      </w:r>
      <w:r w:rsidRPr="008704BD">
        <w:rPr>
          <w:rFonts w:ascii="Times New Roman" w:hAnsi="Times New Roman"/>
          <w:noProof/>
          <w:sz w:val="24"/>
          <w:lang w:val="en-GB"/>
        </w:rPr>
        <w:t xml:space="preserve"> </w:t>
      </w:r>
    </w:p>
    <w:p w14:paraId="2F7E7920" w14:textId="581B4BAA" w:rsidR="00C92287" w:rsidRPr="008704BD" w:rsidRDefault="007B4B68" w:rsidP="10C510F9">
      <w:pPr>
        <w:jc w:val="both"/>
        <w:rPr>
          <w:rFonts w:ascii="Times New Roman" w:hAnsi="Times New Roman"/>
          <w:noProof/>
          <w:sz w:val="24"/>
          <w:lang w:val="en-GB"/>
        </w:rPr>
      </w:pPr>
      <w:r w:rsidRPr="008704BD">
        <w:rPr>
          <w:rFonts w:ascii="Times New Roman" w:hAnsi="Times New Roman"/>
          <w:noProof/>
          <w:sz w:val="24"/>
          <w:lang w:val="en-GB"/>
        </w:rPr>
        <w:t>As far as</w:t>
      </w:r>
      <w:r w:rsidR="2D5128F6" w:rsidRPr="008704BD">
        <w:rPr>
          <w:rFonts w:ascii="Times New Roman" w:hAnsi="Times New Roman"/>
          <w:noProof/>
          <w:sz w:val="24"/>
          <w:lang w:val="en-GB"/>
        </w:rPr>
        <w:t xml:space="preserve"> location</w:t>
      </w:r>
      <w:r w:rsidRPr="008704BD">
        <w:rPr>
          <w:rFonts w:ascii="Times New Roman" w:hAnsi="Times New Roman"/>
          <w:noProof/>
          <w:sz w:val="24"/>
          <w:lang w:val="en-GB"/>
        </w:rPr>
        <w:t xml:space="preserve"> is concerned</w:t>
      </w:r>
      <w:r w:rsidR="2D5128F6" w:rsidRPr="008704BD">
        <w:rPr>
          <w:rFonts w:ascii="Times New Roman" w:hAnsi="Times New Roman"/>
          <w:noProof/>
          <w:sz w:val="24"/>
          <w:lang w:val="en-GB"/>
        </w:rPr>
        <w:t xml:space="preserve">, </w:t>
      </w:r>
      <w:r w:rsidRPr="008704BD">
        <w:rPr>
          <w:rFonts w:ascii="Times New Roman" w:hAnsi="Times New Roman"/>
          <w:noProof/>
          <w:sz w:val="24"/>
          <w:lang w:val="en-GB"/>
        </w:rPr>
        <w:t xml:space="preserve">it can be considered whether </w:t>
      </w:r>
      <w:r w:rsidR="2D5128F6" w:rsidRPr="008704BD">
        <w:rPr>
          <w:rFonts w:ascii="Times New Roman" w:hAnsi="Times New Roman"/>
          <w:noProof/>
          <w:sz w:val="24"/>
          <w:lang w:val="en-GB"/>
        </w:rPr>
        <w:t>non-EU based CASPs should be subject or not to the reporting obligation</w:t>
      </w:r>
      <w:r w:rsidR="00436D6D">
        <w:rPr>
          <w:rFonts w:ascii="Times New Roman" w:hAnsi="Times New Roman"/>
          <w:noProof/>
          <w:sz w:val="24"/>
          <w:lang w:val="en-GB"/>
        </w:rPr>
        <w:t>s</w:t>
      </w:r>
      <w:r w:rsidR="2D5128F6" w:rsidRPr="008704BD">
        <w:rPr>
          <w:rStyle w:val="FootnoteReference"/>
          <w:rFonts w:ascii="Times New Roman" w:hAnsi="Times New Roman"/>
          <w:noProof/>
          <w:sz w:val="24"/>
          <w:lang w:val="en-GB"/>
        </w:rPr>
        <w:footnoteReference w:id="29"/>
      </w:r>
      <w:r w:rsidR="0028003D" w:rsidRPr="008704BD">
        <w:rPr>
          <w:rFonts w:ascii="Times New Roman" w:hAnsi="Times New Roman"/>
          <w:noProof/>
          <w:sz w:val="24"/>
          <w:lang w:val="en-GB"/>
        </w:rPr>
        <w:t>, in addition to EU-based CASPs.</w:t>
      </w:r>
      <w:r w:rsidR="2D5128F6" w:rsidRPr="008704BD">
        <w:rPr>
          <w:rFonts w:ascii="Times New Roman" w:hAnsi="Times New Roman"/>
          <w:noProof/>
          <w:sz w:val="24"/>
          <w:lang w:val="en-GB"/>
        </w:rPr>
        <w:t xml:space="preserve">  In this respect, it should be noted that, once adopted, the Regulation on MiCA will oblige CASPs operating on the EU market to have their services authorized in the EU</w:t>
      </w:r>
      <w:r w:rsidR="00BF0475" w:rsidRPr="008704BD">
        <w:rPr>
          <w:rFonts w:ascii="Times New Roman" w:hAnsi="Times New Roman"/>
          <w:noProof/>
          <w:sz w:val="24"/>
          <w:lang w:val="en-GB"/>
        </w:rPr>
        <w:t>.</w:t>
      </w:r>
      <w:r w:rsidR="2D5128F6" w:rsidRPr="008704BD">
        <w:rPr>
          <w:rStyle w:val="FootnoteReference"/>
          <w:rFonts w:ascii="Times New Roman" w:hAnsi="Times New Roman"/>
          <w:noProof/>
          <w:sz w:val="24"/>
          <w:lang w:val="en-GB"/>
        </w:rPr>
        <w:footnoteReference w:id="30"/>
      </w:r>
      <w:r w:rsidR="2D5128F6" w:rsidRPr="008704BD">
        <w:rPr>
          <w:rFonts w:ascii="Times New Roman" w:hAnsi="Times New Roman"/>
          <w:noProof/>
          <w:sz w:val="24"/>
          <w:lang w:val="en-GB"/>
        </w:rPr>
        <w:t xml:space="preserve"> This would facilitate the identification of non-EU based CASPs.</w:t>
      </w:r>
      <w:r w:rsidR="004318E7">
        <w:rPr>
          <w:rFonts w:ascii="Times New Roman" w:hAnsi="Times New Roman"/>
          <w:noProof/>
          <w:sz w:val="24"/>
          <w:lang w:val="en-GB"/>
        </w:rPr>
        <w:t xml:space="preserve"> </w:t>
      </w:r>
    </w:p>
    <w:p w14:paraId="21F99260" w14:textId="638CD789" w:rsidR="00C92287" w:rsidRDefault="00F353D8" w:rsidP="00C92287">
      <w:pPr>
        <w:jc w:val="both"/>
        <w:rPr>
          <w:rFonts w:ascii="Times New Roman" w:hAnsi="Times New Roman"/>
          <w:noProof/>
          <w:sz w:val="24"/>
        </w:rPr>
      </w:pPr>
      <w:r w:rsidRPr="008704BD">
        <w:rPr>
          <w:rFonts w:ascii="Times New Roman" w:hAnsi="Times New Roman"/>
          <w:noProof/>
          <w:sz w:val="24"/>
        </w:rPr>
        <w:t xml:space="preserve">CASPs that would be subject to an equivalent reporting standard, following </w:t>
      </w:r>
      <w:r w:rsidR="008913B4">
        <w:rPr>
          <w:rFonts w:ascii="Times New Roman" w:hAnsi="Times New Roman"/>
          <w:noProof/>
          <w:sz w:val="24"/>
        </w:rPr>
        <w:t xml:space="preserve">an </w:t>
      </w:r>
      <w:r w:rsidRPr="008704BD">
        <w:rPr>
          <w:rFonts w:ascii="Times New Roman" w:hAnsi="Times New Roman"/>
          <w:noProof/>
          <w:sz w:val="24"/>
        </w:rPr>
        <w:t xml:space="preserve">agreement </w:t>
      </w:r>
      <w:r w:rsidR="008913B4">
        <w:rPr>
          <w:rFonts w:ascii="Times New Roman" w:hAnsi="Times New Roman"/>
          <w:noProof/>
          <w:sz w:val="24"/>
        </w:rPr>
        <w:t xml:space="preserve">on a standard </w:t>
      </w:r>
      <w:r w:rsidRPr="008704BD">
        <w:rPr>
          <w:rFonts w:ascii="Times New Roman" w:hAnsi="Times New Roman"/>
          <w:noProof/>
          <w:sz w:val="24"/>
        </w:rPr>
        <w:t xml:space="preserve">in the OECD, may be excluded from the scope of EU </w:t>
      </w:r>
      <w:r w:rsidR="008913B4">
        <w:rPr>
          <w:rFonts w:ascii="Times New Roman" w:hAnsi="Times New Roman"/>
          <w:noProof/>
          <w:sz w:val="24"/>
        </w:rPr>
        <w:t>obligations</w:t>
      </w:r>
      <w:r w:rsidRPr="008704BD">
        <w:rPr>
          <w:rFonts w:ascii="Times New Roman" w:hAnsi="Times New Roman"/>
          <w:noProof/>
          <w:sz w:val="24"/>
        </w:rPr>
        <w:t>. This would require an equivalence decision from the EU, similar to what has been adopted in the context of DAC 7 for reporting by non-EU digital platform operators.</w:t>
      </w:r>
    </w:p>
    <w:p w14:paraId="7E7126DE" w14:textId="7560B84D" w:rsidR="008E4857" w:rsidRPr="008704BD" w:rsidRDefault="008E4857" w:rsidP="00C92287">
      <w:pPr>
        <w:jc w:val="both"/>
        <w:rPr>
          <w:rFonts w:ascii="Times New Roman" w:hAnsi="Times New Roman"/>
          <w:noProof/>
          <w:sz w:val="24"/>
          <w:lang w:val="en-GB"/>
        </w:rPr>
      </w:pPr>
    </w:p>
    <w:p w14:paraId="009D621B" w14:textId="1CB98156" w:rsidR="00944664" w:rsidRPr="003016F3" w:rsidRDefault="6F639065" w:rsidP="003016F3">
      <w:pPr>
        <w:pStyle w:val="ListParagraph"/>
        <w:numPr>
          <w:ilvl w:val="0"/>
          <w:numId w:val="103"/>
        </w:numPr>
        <w:jc w:val="both"/>
        <w:rPr>
          <w:rFonts w:ascii="Times New Roman" w:hAnsi="Times New Roman"/>
          <w:b/>
          <w:noProof/>
          <w:sz w:val="24"/>
          <w:lang w:val="en-GB"/>
        </w:rPr>
      </w:pPr>
      <w:r w:rsidRPr="003016F3">
        <w:rPr>
          <w:rFonts w:ascii="Times New Roman" w:hAnsi="Times New Roman"/>
          <w:b/>
          <w:noProof/>
          <w:sz w:val="24"/>
          <w:lang w:val="en-GB"/>
        </w:rPr>
        <w:t xml:space="preserve">Which type of reporting? </w:t>
      </w:r>
    </w:p>
    <w:p w14:paraId="30C94EDF" w14:textId="77777777" w:rsidR="16B3625C" w:rsidRPr="008704BD" w:rsidRDefault="16B3625C" w:rsidP="10C510F9">
      <w:pPr>
        <w:jc w:val="both"/>
        <w:rPr>
          <w:rFonts w:ascii="Times New Roman" w:hAnsi="Times New Roman"/>
          <w:noProof/>
          <w:sz w:val="24"/>
          <w:lang w:val="en-GB"/>
        </w:rPr>
      </w:pPr>
      <w:r w:rsidRPr="008704BD">
        <w:rPr>
          <w:rFonts w:ascii="Times New Roman" w:hAnsi="Times New Roman"/>
          <w:noProof/>
          <w:sz w:val="24"/>
          <w:lang w:val="en-GB"/>
        </w:rPr>
        <w:t>CASPs can provide services related to different type</w:t>
      </w:r>
      <w:r w:rsidR="2645787D" w:rsidRPr="008704BD">
        <w:rPr>
          <w:rFonts w:ascii="Times New Roman" w:hAnsi="Times New Roman"/>
          <w:noProof/>
          <w:sz w:val="24"/>
          <w:lang w:val="en-GB"/>
        </w:rPr>
        <w:t>s</w:t>
      </w:r>
      <w:r w:rsidRPr="008704BD">
        <w:rPr>
          <w:rFonts w:ascii="Times New Roman" w:hAnsi="Times New Roman"/>
          <w:noProof/>
          <w:sz w:val="24"/>
          <w:lang w:val="en-GB"/>
        </w:rPr>
        <w:t xml:space="preserve"> of crypto-assets, and to different types of transactions such as acquisitions, sales and transfers of crypto-assets</w:t>
      </w:r>
      <w:r w:rsidR="67B83447" w:rsidRPr="008704BD">
        <w:rPr>
          <w:rFonts w:ascii="Times New Roman" w:hAnsi="Times New Roman"/>
          <w:noProof/>
          <w:sz w:val="24"/>
          <w:lang w:val="en-GB"/>
        </w:rPr>
        <w:t xml:space="preserve"> but also safekeeping of assets and provision of financial services related to </w:t>
      </w:r>
      <w:r w:rsidR="5AEE0751" w:rsidRPr="008704BD">
        <w:rPr>
          <w:rFonts w:ascii="Times New Roman" w:hAnsi="Times New Roman"/>
          <w:noProof/>
          <w:sz w:val="24"/>
          <w:lang w:val="en-GB"/>
        </w:rPr>
        <w:t>i</w:t>
      </w:r>
      <w:r w:rsidR="0D01ECE4" w:rsidRPr="008704BD">
        <w:rPr>
          <w:rFonts w:ascii="Times New Roman" w:hAnsi="Times New Roman"/>
          <w:noProof/>
          <w:sz w:val="24"/>
          <w:lang w:val="en-GB"/>
        </w:rPr>
        <w:t>.a. issuance of assets</w:t>
      </w:r>
      <w:r w:rsidRPr="008704BD">
        <w:rPr>
          <w:rFonts w:ascii="Times New Roman" w:hAnsi="Times New Roman"/>
          <w:noProof/>
          <w:sz w:val="24"/>
          <w:lang w:val="en-GB"/>
        </w:rPr>
        <w:t>. The inclusion of crypto-asset transfers</w:t>
      </w:r>
      <w:r w:rsidRPr="008704BD">
        <w:rPr>
          <w:rStyle w:val="FootnoteReference"/>
          <w:rFonts w:ascii="Times New Roman" w:hAnsi="Times New Roman"/>
          <w:noProof/>
          <w:sz w:val="24"/>
          <w:lang w:val="en-GB"/>
        </w:rPr>
        <w:footnoteReference w:id="31"/>
      </w:r>
      <w:r w:rsidRPr="008704BD">
        <w:rPr>
          <w:rFonts w:ascii="Times New Roman" w:hAnsi="Times New Roman"/>
          <w:noProof/>
          <w:sz w:val="24"/>
          <w:lang w:val="en-GB"/>
        </w:rPr>
        <w:t xml:space="preserve"> under the reporting and exchange framework would help catch transfers to cold wallets and track the wealth of a particular taxpayer. It would assist tax authorities to reconcile information reported from several CASPs, in case a taxpayer uses multiple providers for acquiring and/or selling crypto-assets.</w:t>
      </w:r>
    </w:p>
    <w:p w14:paraId="35E3892B" w14:textId="42F7C695" w:rsidR="16B3625C" w:rsidRPr="008704BD" w:rsidRDefault="16B3625C" w:rsidP="10C510F9">
      <w:pPr>
        <w:jc w:val="both"/>
        <w:rPr>
          <w:rFonts w:ascii="Times New Roman" w:hAnsi="Times New Roman"/>
          <w:noProof/>
          <w:sz w:val="24"/>
          <w:lang w:val="en-GB"/>
        </w:rPr>
      </w:pPr>
      <w:r w:rsidRPr="008704BD">
        <w:rPr>
          <w:rFonts w:ascii="Times New Roman" w:hAnsi="Times New Roman"/>
          <w:noProof/>
          <w:sz w:val="24"/>
          <w:lang w:val="en-GB"/>
        </w:rPr>
        <w:t xml:space="preserve">The reporting requirements need to take into account the characteristics of the asset and the type of information to be reported. Most crypto-assets are subject to very frequent transactions and their value can vary significantly even within very short timeframes. However, some crypto-assets are more stable in value and are in most cases not subject to daily multiple transactions. </w:t>
      </w:r>
      <w:r w:rsidR="00692FF8">
        <w:rPr>
          <w:rFonts w:ascii="Times New Roman" w:hAnsi="Times New Roman"/>
          <w:noProof/>
          <w:sz w:val="24"/>
          <w:lang w:val="en-GB"/>
        </w:rPr>
        <w:t>Two</w:t>
      </w:r>
      <w:r w:rsidR="00692FF8" w:rsidRPr="008704BD">
        <w:rPr>
          <w:rFonts w:ascii="Times New Roman" w:hAnsi="Times New Roman"/>
          <w:noProof/>
          <w:sz w:val="24"/>
          <w:lang w:val="en-GB"/>
        </w:rPr>
        <w:t xml:space="preserve"> </w:t>
      </w:r>
      <w:r w:rsidRPr="008704BD">
        <w:rPr>
          <w:rFonts w:ascii="Times New Roman" w:hAnsi="Times New Roman"/>
          <w:noProof/>
          <w:sz w:val="24"/>
          <w:lang w:val="en-GB"/>
        </w:rPr>
        <w:t>example</w:t>
      </w:r>
      <w:r w:rsidR="00692FF8">
        <w:rPr>
          <w:rFonts w:ascii="Times New Roman" w:hAnsi="Times New Roman"/>
          <w:noProof/>
          <w:sz w:val="24"/>
          <w:lang w:val="en-GB"/>
        </w:rPr>
        <w:t>s</w:t>
      </w:r>
      <w:r w:rsidRPr="008704BD">
        <w:rPr>
          <w:rFonts w:ascii="Times New Roman" w:hAnsi="Times New Roman"/>
          <w:noProof/>
          <w:sz w:val="24"/>
          <w:lang w:val="en-GB"/>
        </w:rPr>
        <w:t xml:space="preserve"> of the latter category are Central bank digital currency (CBDCs</w:t>
      </w:r>
      <w:r w:rsidR="3AF45A9B" w:rsidRPr="008704BD">
        <w:rPr>
          <w:rFonts w:ascii="Times New Roman" w:hAnsi="Times New Roman"/>
          <w:noProof/>
          <w:sz w:val="24"/>
          <w:lang w:val="en-GB"/>
        </w:rPr>
        <w:t>)</w:t>
      </w:r>
      <w:r w:rsidR="4D9A11B9" w:rsidRPr="008704BD">
        <w:rPr>
          <w:rFonts w:ascii="Times New Roman" w:hAnsi="Times New Roman"/>
          <w:noProof/>
          <w:sz w:val="24"/>
          <w:lang w:val="en-GB"/>
        </w:rPr>
        <w:t xml:space="preserve"> and e-money tokens</w:t>
      </w:r>
      <w:r w:rsidRPr="008704BD">
        <w:rPr>
          <w:rFonts w:ascii="Times New Roman" w:hAnsi="Times New Roman"/>
          <w:noProof/>
          <w:sz w:val="24"/>
          <w:lang w:val="en-GB"/>
        </w:rPr>
        <w:t xml:space="preserve"> which </w:t>
      </w:r>
      <w:r w:rsidR="3FF4115B" w:rsidRPr="008704BD">
        <w:rPr>
          <w:rFonts w:ascii="Times New Roman" w:hAnsi="Times New Roman"/>
          <w:noProof/>
          <w:sz w:val="24"/>
          <w:lang w:val="en-GB"/>
        </w:rPr>
        <w:t>are</w:t>
      </w:r>
      <w:r w:rsidRPr="008704BD">
        <w:rPr>
          <w:rFonts w:ascii="Times New Roman" w:hAnsi="Times New Roman"/>
          <w:noProof/>
          <w:sz w:val="24"/>
          <w:lang w:val="en-GB"/>
        </w:rPr>
        <w:t xml:space="preserve"> not subject to high fluctuations </w:t>
      </w:r>
      <w:r w:rsidR="00436D6D">
        <w:rPr>
          <w:rFonts w:ascii="Times New Roman" w:hAnsi="Times New Roman"/>
          <w:noProof/>
          <w:sz w:val="24"/>
          <w:lang w:val="en-GB"/>
        </w:rPr>
        <w:t xml:space="preserve">in value </w:t>
      </w:r>
      <w:r w:rsidRPr="008704BD">
        <w:rPr>
          <w:rFonts w:ascii="Times New Roman" w:hAnsi="Times New Roman"/>
          <w:noProof/>
          <w:sz w:val="24"/>
          <w:lang w:val="en-GB"/>
        </w:rPr>
        <w:t xml:space="preserve">and </w:t>
      </w:r>
      <w:r w:rsidR="440C57D0" w:rsidRPr="008704BD">
        <w:rPr>
          <w:rFonts w:ascii="Times New Roman" w:hAnsi="Times New Roman"/>
          <w:noProof/>
          <w:sz w:val="24"/>
          <w:lang w:val="en-GB"/>
        </w:rPr>
        <w:t>are</w:t>
      </w:r>
      <w:r w:rsidR="3AF45A9B" w:rsidRPr="008704BD">
        <w:rPr>
          <w:rFonts w:ascii="Times New Roman" w:hAnsi="Times New Roman"/>
          <w:noProof/>
          <w:sz w:val="24"/>
          <w:lang w:val="en-GB"/>
        </w:rPr>
        <w:t xml:space="preserve"> </w:t>
      </w:r>
      <w:r w:rsidRPr="008704BD">
        <w:rPr>
          <w:rFonts w:ascii="Times New Roman" w:hAnsi="Times New Roman"/>
          <w:noProof/>
          <w:sz w:val="24"/>
          <w:lang w:val="en-GB"/>
        </w:rPr>
        <w:t>used mainly for payment purposes</w:t>
      </w:r>
      <w:r w:rsidR="5D673703" w:rsidRPr="008704BD">
        <w:rPr>
          <w:rFonts w:ascii="Times New Roman" w:hAnsi="Times New Roman"/>
          <w:noProof/>
          <w:sz w:val="24"/>
          <w:lang w:val="en-GB"/>
        </w:rPr>
        <w:t>.</w:t>
      </w:r>
    </w:p>
    <w:p w14:paraId="751218E3" w14:textId="77777777" w:rsidR="16B3625C" w:rsidRPr="008704BD" w:rsidRDefault="3858FC13" w:rsidP="0097052A">
      <w:pPr>
        <w:jc w:val="both"/>
        <w:rPr>
          <w:rFonts w:ascii="Times New Roman" w:hAnsi="Times New Roman"/>
          <w:noProof/>
          <w:sz w:val="24"/>
          <w:lang w:val="en-GB"/>
        </w:rPr>
      </w:pPr>
      <w:r w:rsidRPr="008704BD">
        <w:rPr>
          <w:rFonts w:ascii="Times New Roman" w:hAnsi="Times New Roman"/>
          <w:noProof/>
          <w:sz w:val="24"/>
          <w:lang w:val="en-GB"/>
        </w:rPr>
        <w:t xml:space="preserve">Different reporting possibilities </w:t>
      </w:r>
      <w:r w:rsidR="003776A9" w:rsidRPr="008704BD">
        <w:rPr>
          <w:rFonts w:ascii="Times New Roman" w:hAnsi="Times New Roman"/>
          <w:noProof/>
          <w:sz w:val="24"/>
          <w:lang w:val="en-GB"/>
        </w:rPr>
        <w:t xml:space="preserve">could </w:t>
      </w:r>
      <w:r w:rsidR="088132FB" w:rsidRPr="008704BD">
        <w:rPr>
          <w:rFonts w:ascii="Times New Roman" w:hAnsi="Times New Roman"/>
          <w:noProof/>
          <w:sz w:val="24"/>
          <w:lang w:val="en-GB"/>
        </w:rPr>
        <w:t>be considered for crypto-asset reporting</w:t>
      </w:r>
      <w:r w:rsidRPr="008704BD">
        <w:rPr>
          <w:rFonts w:ascii="Times New Roman" w:hAnsi="Times New Roman"/>
          <w:noProof/>
          <w:sz w:val="24"/>
          <w:lang w:val="en-GB"/>
        </w:rPr>
        <w:t>:</w:t>
      </w:r>
    </w:p>
    <w:p w14:paraId="5251B1F4" w14:textId="77777777" w:rsidR="16B3625C" w:rsidRPr="008704BD" w:rsidRDefault="0838643B" w:rsidP="0097052A">
      <w:pPr>
        <w:jc w:val="both"/>
        <w:rPr>
          <w:rFonts w:ascii="Times New Roman" w:hAnsi="Times New Roman"/>
          <w:noProof/>
          <w:sz w:val="24"/>
          <w:lang w:val="en-GB"/>
        </w:rPr>
      </w:pPr>
      <w:r w:rsidRPr="008704BD">
        <w:rPr>
          <w:rFonts w:ascii="Times New Roman" w:hAnsi="Times New Roman"/>
          <w:noProof/>
          <w:sz w:val="24"/>
          <w:lang w:val="en-GB"/>
        </w:rPr>
        <w:t xml:space="preserve">The reporting of </w:t>
      </w:r>
      <w:r w:rsidRPr="008704BD">
        <w:rPr>
          <w:rFonts w:ascii="Times New Roman" w:hAnsi="Times New Roman"/>
          <w:b/>
          <w:i/>
          <w:noProof/>
          <w:sz w:val="24"/>
          <w:lang w:val="en-GB"/>
        </w:rPr>
        <w:t>balances</w:t>
      </w:r>
      <w:r w:rsidRPr="008704BD">
        <w:rPr>
          <w:rFonts w:ascii="Times New Roman" w:hAnsi="Times New Roman"/>
          <w:noProof/>
          <w:sz w:val="24"/>
          <w:lang w:val="en-GB"/>
        </w:rPr>
        <w:t xml:space="preserve"> is an </w:t>
      </w:r>
      <w:r w:rsidR="16B3625C" w:rsidRPr="008704BD">
        <w:rPr>
          <w:rFonts w:ascii="Times New Roman" w:hAnsi="Times New Roman"/>
          <w:noProof/>
          <w:sz w:val="24"/>
          <w:lang w:val="en-GB"/>
        </w:rPr>
        <w:t xml:space="preserve">option </w:t>
      </w:r>
      <w:r w:rsidR="0E9CDBC5" w:rsidRPr="008704BD">
        <w:rPr>
          <w:rFonts w:ascii="Times New Roman" w:hAnsi="Times New Roman"/>
          <w:noProof/>
          <w:sz w:val="24"/>
          <w:lang w:val="en-GB"/>
        </w:rPr>
        <w:t xml:space="preserve">under which the CASPSs </w:t>
      </w:r>
      <w:r w:rsidR="16B3625C" w:rsidRPr="008704BD">
        <w:rPr>
          <w:rFonts w:ascii="Times New Roman" w:hAnsi="Times New Roman"/>
          <w:noProof/>
          <w:sz w:val="24"/>
          <w:lang w:val="en-GB"/>
        </w:rPr>
        <w:t xml:space="preserve">would provide information about the crypto-assets balances </w:t>
      </w:r>
      <w:r w:rsidR="4995BB3E" w:rsidRPr="008704BD">
        <w:rPr>
          <w:rFonts w:ascii="Times New Roman" w:hAnsi="Times New Roman"/>
          <w:noProof/>
          <w:sz w:val="24"/>
          <w:lang w:val="en-GB"/>
        </w:rPr>
        <w:t xml:space="preserve">of </w:t>
      </w:r>
      <w:r w:rsidR="16B3625C" w:rsidRPr="008704BD">
        <w:rPr>
          <w:rFonts w:ascii="Times New Roman" w:hAnsi="Times New Roman"/>
          <w:noProof/>
          <w:sz w:val="24"/>
          <w:lang w:val="en-GB"/>
        </w:rPr>
        <w:t>each user</w:t>
      </w:r>
      <w:r w:rsidR="6651D39F" w:rsidRPr="008704BD">
        <w:rPr>
          <w:rFonts w:ascii="Times New Roman" w:hAnsi="Times New Roman"/>
          <w:noProof/>
          <w:sz w:val="24"/>
          <w:lang w:val="en-GB"/>
        </w:rPr>
        <w:t>.</w:t>
      </w:r>
      <w:r w:rsidR="16B3625C" w:rsidRPr="008704BD">
        <w:rPr>
          <w:rFonts w:ascii="Times New Roman" w:hAnsi="Times New Roman"/>
          <w:noProof/>
          <w:sz w:val="24"/>
          <w:lang w:val="en-GB"/>
        </w:rPr>
        <w:t xml:space="preserve"> This type of reporting is similar to what is </w:t>
      </w:r>
      <w:r w:rsidR="00DD3B5B" w:rsidRPr="008704BD">
        <w:rPr>
          <w:rFonts w:ascii="Times New Roman" w:hAnsi="Times New Roman"/>
          <w:noProof/>
          <w:sz w:val="24"/>
          <w:lang w:val="en-GB"/>
        </w:rPr>
        <w:t xml:space="preserve">required </w:t>
      </w:r>
      <w:r w:rsidR="16B3625C" w:rsidRPr="008704BD">
        <w:rPr>
          <w:rFonts w:ascii="Times New Roman" w:hAnsi="Times New Roman"/>
          <w:noProof/>
          <w:sz w:val="24"/>
          <w:lang w:val="en-GB"/>
        </w:rPr>
        <w:t xml:space="preserve">under DAC2 for traditional financial assets, where information is exchanged on end-of-year account balance. </w:t>
      </w:r>
    </w:p>
    <w:p w14:paraId="2324B04A" w14:textId="77777777" w:rsidR="16B3625C" w:rsidRPr="008704BD" w:rsidRDefault="16B3625C" w:rsidP="79D801A4">
      <w:pPr>
        <w:jc w:val="both"/>
        <w:rPr>
          <w:rFonts w:ascii="Times New Roman" w:hAnsi="Times New Roman"/>
          <w:noProof/>
          <w:sz w:val="24"/>
          <w:lang w:val="en-GB"/>
        </w:rPr>
      </w:pPr>
      <w:r w:rsidRPr="008704BD">
        <w:rPr>
          <w:rFonts w:ascii="Times New Roman" w:hAnsi="Times New Roman"/>
          <w:noProof/>
          <w:sz w:val="24"/>
          <w:lang w:val="en-GB"/>
        </w:rPr>
        <w:t>For assets that are characterised by a stable value and which are not subject to very frequent transactions, such as CBDC and e-money tokens, it would not be necessary to require detailed reporting. For such assets, it would be sufficient to require reporting of balances and other relevant information, similar to what is the case under the current provisions of the DAC for financial assets.</w:t>
      </w:r>
    </w:p>
    <w:p w14:paraId="518BC7C5" w14:textId="368A1766" w:rsidR="16B3625C" w:rsidRPr="008704BD" w:rsidRDefault="16B3625C" w:rsidP="0097052A">
      <w:pPr>
        <w:jc w:val="both"/>
        <w:rPr>
          <w:rFonts w:ascii="Times New Roman" w:hAnsi="Times New Roman"/>
          <w:noProof/>
          <w:sz w:val="24"/>
          <w:lang w:val="en-GB"/>
        </w:rPr>
      </w:pPr>
      <w:r w:rsidRPr="008704BD">
        <w:rPr>
          <w:rFonts w:ascii="Times New Roman" w:hAnsi="Times New Roman"/>
          <w:noProof/>
          <w:sz w:val="24"/>
          <w:lang w:val="en-GB"/>
        </w:rPr>
        <w:t xml:space="preserve">In terms of </w:t>
      </w:r>
      <w:r w:rsidR="1750EB42" w:rsidRPr="008704BD">
        <w:rPr>
          <w:rFonts w:ascii="Times New Roman" w:hAnsi="Times New Roman"/>
          <w:noProof/>
          <w:sz w:val="24"/>
          <w:lang w:val="en-GB"/>
        </w:rPr>
        <w:t xml:space="preserve">reporting </w:t>
      </w:r>
      <w:r w:rsidR="2F7A573E" w:rsidRPr="008704BD">
        <w:rPr>
          <w:rFonts w:ascii="Times New Roman" w:hAnsi="Times New Roman"/>
          <w:noProof/>
          <w:sz w:val="24"/>
          <w:lang w:val="en-GB"/>
        </w:rPr>
        <w:t>of</w:t>
      </w:r>
      <w:r w:rsidRPr="008704BD">
        <w:rPr>
          <w:rFonts w:ascii="Times New Roman" w:hAnsi="Times New Roman"/>
          <w:noProof/>
          <w:sz w:val="24"/>
          <w:lang w:val="en-GB"/>
        </w:rPr>
        <w:t xml:space="preserve"> </w:t>
      </w:r>
      <w:r w:rsidRPr="0069696D">
        <w:rPr>
          <w:rFonts w:ascii="Times New Roman" w:hAnsi="Times New Roman"/>
          <w:b/>
          <w:i/>
          <w:noProof/>
          <w:sz w:val="24"/>
          <w:lang w:val="en-GB"/>
        </w:rPr>
        <w:t>transaction-based</w:t>
      </w:r>
      <w:r w:rsidRPr="008704BD">
        <w:rPr>
          <w:rFonts w:ascii="Times New Roman" w:hAnsi="Times New Roman"/>
          <w:noProof/>
          <w:sz w:val="24"/>
          <w:lang w:val="en-GB"/>
        </w:rPr>
        <w:t xml:space="preserve"> information, three </w:t>
      </w:r>
      <w:r w:rsidR="00DD3B5B" w:rsidRPr="008704BD">
        <w:rPr>
          <w:rFonts w:ascii="Times New Roman" w:hAnsi="Times New Roman"/>
          <w:noProof/>
          <w:sz w:val="24"/>
          <w:lang w:val="en-GB"/>
        </w:rPr>
        <w:t>alternatives</w:t>
      </w:r>
      <w:r w:rsidRPr="008704BD">
        <w:rPr>
          <w:rFonts w:ascii="Times New Roman" w:hAnsi="Times New Roman"/>
          <w:noProof/>
          <w:sz w:val="24"/>
          <w:lang w:val="en-GB"/>
        </w:rPr>
        <w:t xml:space="preserve"> can be considered</w:t>
      </w:r>
      <w:r w:rsidR="00692FF8">
        <w:rPr>
          <w:rFonts w:ascii="Times New Roman" w:hAnsi="Times New Roman"/>
          <w:noProof/>
          <w:sz w:val="24"/>
          <w:lang w:val="en-GB"/>
        </w:rPr>
        <w:t xml:space="preserve"> in terms of </w:t>
      </w:r>
      <w:r w:rsidR="00692FF8" w:rsidRPr="008704BD">
        <w:rPr>
          <w:rFonts w:ascii="Times New Roman" w:hAnsi="Times New Roman"/>
          <w:noProof/>
          <w:sz w:val="24"/>
          <w:lang w:val="en-GB"/>
        </w:rPr>
        <w:t>level of granularity</w:t>
      </w:r>
      <w:r w:rsidRPr="008704BD">
        <w:rPr>
          <w:rFonts w:ascii="Times New Roman" w:hAnsi="Times New Roman"/>
          <w:noProof/>
          <w:sz w:val="24"/>
          <w:lang w:val="en-GB"/>
        </w:rPr>
        <w:t xml:space="preserve">: </w:t>
      </w:r>
      <w:r w:rsidR="00DD3B5B" w:rsidRPr="008704BD">
        <w:rPr>
          <w:rFonts w:ascii="Times New Roman" w:hAnsi="Times New Roman"/>
          <w:noProof/>
          <w:sz w:val="24"/>
          <w:lang w:val="en-GB"/>
        </w:rPr>
        <w:t xml:space="preserve">reporting </w:t>
      </w:r>
      <w:r w:rsidRPr="008704BD">
        <w:rPr>
          <w:rFonts w:ascii="Times New Roman" w:hAnsi="Times New Roman"/>
          <w:noProof/>
          <w:sz w:val="24"/>
          <w:lang w:val="en-GB"/>
        </w:rPr>
        <w:t>(i) on a fully aggregated basis, (ii) on a transaction-by-transaction basis, (iii) on an aggregated basis with some breakdowns (hybrid option).</w:t>
      </w:r>
    </w:p>
    <w:p w14:paraId="7A7BB5F1" w14:textId="77777777" w:rsidR="16B3625C" w:rsidRPr="008704BD" w:rsidRDefault="16B3625C" w:rsidP="6C4855CA">
      <w:pPr>
        <w:jc w:val="both"/>
        <w:rPr>
          <w:rFonts w:ascii="Times New Roman" w:hAnsi="Times New Roman"/>
          <w:noProof/>
          <w:sz w:val="24"/>
          <w:lang w:val="en-GB"/>
        </w:rPr>
      </w:pPr>
      <w:r w:rsidRPr="008704BD">
        <w:rPr>
          <w:rFonts w:ascii="Times New Roman" w:hAnsi="Times New Roman"/>
          <w:noProof/>
          <w:sz w:val="24"/>
          <w:lang w:val="en-GB"/>
        </w:rPr>
        <w:t xml:space="preserve">During </w:t>
      </w:r>
      <w:r w:rsidR="102828DB" w:rsidRPr="008704BD">
        <w:rPr>
          <w:rFonts w:ascii="Times New Roman" w:hAnsi="Times New Roman"/>
          <w:noProof/>
          <w:sz w:val="24"/>
          <w:lang w:val="en-GB"/>
        </w:rPr>
        <w:t>a</w:t>
      </w:r>
      <w:r w:rsidRPr="008704BD">
        <w:rPr>
          <w:rFonts w:ascii="Times New Roman" w:hAnsi="Times New Roman"/>
          <w:noProof/>
          <w:sz w:val="24"/>
          <w:lang w:val="en-GB"/>
        </w:rPr>
        <w:t xml:space="preserve"> meeting organised by the Commission services in November 2020, Member States expressed diverging views on the desired level of granularity of reporting of gross proceeds derived from crypto-asset transactions. Most Member States favoured a fully aggregated reporting of gross proceeds that would both have a deterrent effect and allow tax authorities to perform a high-level tax risk assessment before further investigation. Other Member States were in favour of an approach whereby the concrete tax liabilities of taxpayers could be identified, requiring a transaction-by-transaction reporting scheme. </w:t>
      </w:r>
    </w:p>
    <w:p w14:paraId="76FFD589" w14:textId="77777777" w:rsidR="16B3625C" w:rsidRPr="008704BD" w:rsidRDefault="16B3625C" w:rsidP="10C510F9">
      <w:pPr>
        <w:jc w:val="both"/>
        <w:rPr>
          <w:rFonts w:ascii="Times New Roman" w:hAnsi="Times New Roman"/>
          <w:noProof/>
          <w:sz w:val="24"/>
          <w:lang w:val="en-GB"/>
        </w:rPr>
      </w:pPr>
      <w:r w:rsidRPr="008704BD">
        <w:rPr>
          <w:rFonts w:ascii="Times New Roman" w:hAnsi="Times New Roman"/>
          <w:noProof/>
          <w:sz w:val="24"/>
          <w:lang w:val="en-GB"/>
        </w:rPr>
        <w:t xml:space="preserve">With an </w:t>
      </w:r>
      <w:r w:rsidRPr="008704BD">
        <w:rPr>
          <w:rFonts w:ascii="Times New Roman" w:hAnsi="Times New Roman"/>
          <w:b/>
          <w:i/>
          <w:noProof/>
          <w:sz w:val="24"/>
          <w:lang w:val="en-GB"/>
        </w:rPr>
        <w:t>aggregate reporting</w:t>
      </w:r>
      <w:r w:rsidRPr="008704BD">
        <w:rPr>
          <w:rFonts w:ascii="Times New Roman" w:hAnsi="Times New Roman"/>
          <w:noProof/>
          <w:sz w:val="24"/>
          <w:lang w:val="en-GB"/>
        </w:rPr>
        <w:t xml:space="preserve">, tax administrations would receive a global picture of the value of and proceeds derived from all crypto-assets held by a taxpayer. Furthermore, the data transferred to the tax administration would be compressed and limited. However, this information may not always be sufficient to allow tax administrations to assess the actual tax liability associated with specific transactions in crypto-assets and it may require additional requests for further information resulting in time-consuming contacts between tax administrations and reporting entities. </w:t>
      </w:r>
    </w:p>
    <w:p w14:paraId="4FAFD3B1" w14:textId="77777777" w:rsidR="16B3625C" w:rsidRPr="008704BD" w:rsidRDefault="16B3625C" w:rsidP="10C510F9">
      <w:pPr>
        <w:jc w:val="both"/>
        <w:rPr>
          <w:rFonts w:ascii="Times New Roman" w:hAnsi="Times New Roman"/>
          <w:noProof/>
          <w:sz w:val="24"/>
          <w:lang w:val="en-GB"/>
        </w:rPr>
      </w:pPr>
      <w:r w:rsidRPr="008704BD">
        <w:rPr>
          <w:rFonts w:ascii="Times New Roman" w:hAnsi="Times New Roman"/>
          <w:noProof/>
          <w:sz w:val="24"/>
          <w:lang w:val="en-GB"/>
        </w:rPr>
        <w:t xml:space="preserve">With a </w:t>
      </w:r>
      <w:r w:rsidRPr="008704BD">
        <w:rPr>
          <w:rFonts w:ascii="Times New Roman" w:hAnsi="Times New Roman"/>
          <w:b/>
          <w:i/>
          <w:noProof/>
          <w:sz w:val="24"/>
          <w:lang w:val="en-GB"/>
        </w:rPr>
        <w:t>transaction-by-transaction reporting</w:t>
      </w:r>
      <w:r w:rsidRPr="008704BD">
        <w:rPr>
          <w:rFonts w:ascii="Times New Roman" w:hAnsi="Times New Roman"/>
          <w:noProof/>
          <w:sz w:val="24"/>
          <w:lang w:val="en-GB"/>
        </w:rPr>
        <w:t>, tax authorities would receive for each taxpayer an overview of each transaction it has engaged over the year (with information on type of transaction, type of crypto-asset, value and proceed of each transaction). Tax administrations would therefore have immediate access to all available information, which would remove the need for follow-up contacts with other Member States or with CASPs also to ensure the necessary tax treatment in other tax areas such as indirect taxation. However, the volumes of information would be considerable and it would entail high administrative burden and costs for tax administrations.</w:t>
      </w:r>
    </w:p>
    <w:p w14:paraId="27590EEF" w14:textId="77777777" w:rsidR="16B3625C" w:rsidRPr="008704BD" w:rsidRDefault="003408D5" w:rsidP="10C510F9">
      <w:pPr>
        <w:jc w:val="both"/>
        <w:rPr>
          <w:rFonts w:ascii="Times New Roman" w:hAnsi="Times New Roman"/>
          <w:noProof/>
          <w:sz w:val="24"/>
          <w:lang w:val="en-GB"/>
        </w:rPr>
      </w:pPr>
      <w:r w:rsidRPr="008704BD">
        <w:rPr>
          <w:rFonts w:ascii="Times New Roman" w:hAnsi="Times New Roman"/>
          <w:noProof/>
          <w:sz w:val="24"/>
          <w:lang w:val="en-GB"/>
        </w:rPr>
        <w:t>In a</w:t>
      </w:r>
      <w:r w:rsidR="16B3625C" w:rsidRPr="008704BD">
        <w:rPr>
          <w:rFonts w:ascii="Times New Roman" w:hAnsi="Times New Roman"/>
          <w:noProof/>
          <w:sz w:val="24"/>
          <w:lang w:val="en-GB"/>
        </w:rPr>
        <w:t xml:space="preserve"> </w:t>
      </w:r>
      <w:r w:rsidR="16B3625C" w:rsidRPr="008704BD">
        <w:rPr>
          <w:rFonts w:ascii="Times New Roman" w:hAnsi="Times New Roman"/>
          <w:b/>
          <w:i/>
          <w:noProof/>
          <w:sz w:val="24"/>
          <w:lang w:val="en-GB"/>
        </w:rPr>
        <w:t>“hybrid” or middle-ground</w:t>
      </w:r>
      <w:r w:rsidR="16B3625C" w:rsidRPr="008704BD">
        <w:rPr>
          <w:rFonts w:ascii="Times New Roman" w:hAnsi="Times New Roman"/>
          <w:noProof/>
          <w:sz w:val="24"/>
          <w:lang w:val="en-GB"/>
        </w:rPr>
        <w:t xml:space="preserve"> </w:t>
      </w:r>
      <w:r w:rsidRPr="008704BD">
        <w:rPr>
          <w:rFonts w:ascii="Times New Roman" w:hAnsi="Times New Roman"/>
          <w:noProof/>
          <w:sz w:val="24"/>
          <w:lang w:val="en-GB"/>
        </w:rPr>
        <w:t>scenario, reporting would be in-</w:t>
      </w:r>
      <w:r w:rsidR="16B3625C" w:rsidRPr="008704BD">
        <w:rPr>
          <w:rFonts w:ascii="Times New Roman" w:hAnsi="Times New Roman"/>
          <w:noProof/>
          <w:sz w:val="24"/>
          <w:lang w:val="en-GB"/>
        </w:rPr>
        <w:t xml:space="preserve">between aggregate gross proceeds reporting and full transaction-by-transaction reporting. It would require aggregate reporting on acquisitions, transfers and disposals per type of crypto-asset. It would also require distinguishing between crypto-to-crypto and crypto-for-fiat transactions to enhance the usability of the data for the receiving tax administrations. </w:t>
      </w:r>
      <w:r w:rsidRPr="008704BD">
        <w:rPr>
          <w:rFonts w:ascii="Times New Roman" w:hAnsi="Times New Roman"/>
          <w:noProof/>
          <w:sz w:val="24"/>
          <w:lang w:val="en-GB"/>
        </w:rPr>
        <w:t>A</w:t>
      </w:r>
      <w:r w:rsidR="16B3625C" w:rsidRPr="008704BD">
        <w:rPr>
          <w:rFonts w:ascii="Times New Roman" w:hAnsi="Times New Roman"/>
          <w:noProof/>
          <w:sz w:val="24"/>
          <w:lang w:val="en-GB"/>
        </w:rPr>
        <w:t>dditional financial information would be provided for further granularity</w:t>
      </w:r>
      <w:r w:rsidRPr="008704BD">
        <w:rPr>
          <w:rFonts w:ascii="Times New Roman" w:hAnsi="Times New Roman"/>
          <w:noProof/>
          <w:sz w:val="24"/>
          <w:lang w:val="en-GB"/>
        </w:rPr>
        <w:t xml:space="preserve">, such as </w:t>
      </w:r>
      <w:r w:rsidR="16B3625C" w:rsidRPr="008704BD">
        <w:rPr>
          <w:rFonts w:ascii="Times New Roman" w:hAnsi="Times New Roman"/>
          <w:noProof/>
          <w:sz w:val="24"/>
          <w:lang w:val="en-GB"/>
        </w:rPr>
        <w:t>the number of transactions, the number of units transacted and the amount of any fees and commissions withheld by the CASPs in respect of relevant transactions.</w:t>
      </w:r>
    </w:p>
    <w:p w14:paraId="1E9EB44D" w14:textId="77777777" w:rsidR="16B3625C" w:rsidRPr="008704BD" w:rsidRDefault="16B3625C" w:rsidP="10C510F9">
      <w:pPr>
        <w:spacing w:line="256" w:lineRule="auto"/>
        <w:jc w:val="both"/>
        <w:rPr>
          <w:rFonts w:ascii="Times New Roman" w:hAnsi="Times New Roman"/>
          <w:noProof/>
          <w:sz w:val="24"/>
          <w:lang w:val="en-GB"/>
        </w:rPr>
      </w:pPr>
      <w:r w:rsidRPr="008704BD">
        <w:rPr>
          <w:rFonts w:ascii="Times New Roman" w:hAnsi="Times New Roman"/>
          <w:noProof/>
          <w:sz w:val="24"/>
          <w:lang w:val="en-GB"/>
        </w:rPr>
        <w:t xml:space="preserve">If relevant, the reporting on transaction-based information can be complemented with information on balances. </w:t>
      </w:r>
    </w:p>
    <w:p w14:paraId="4977C0C5" w14:textId="0F900B29" w:rsidR="00944664" w:rsidRDefault="00944664" w:rsidP="001E0C63">
      <w:pPr>
        <w:spacing w:line="256" w:lineRule="auto"/>
        <w:jc w:val="both"/>
        <w:rPr>
          <w:rFonts w:ascii="Times New Roman" w:hAnsi="Times New Roman"/>
          <w:noProof/>
          <w:sz w:val="24"/>
          <w:lang w:val="en-GB"/>
        </w:rPr>
      </w:pPr>
      <w:r w:rsidRPr="008704BD">
        <w:rPr>
          <w:rFonts w:ascii="Times New Roman" w:hAnsi="Times New Roman"/>
          <w:noProof/>
          <w:sz w:val="24"/>
          <w:lang w:val="en-GB"/>
        </w:rPr>
        <w:t>On</w:t>
      </w:r>
      <w:r w:rsidRPr="008704BD" w:rsidDel="003408D5">
        <w:rPr>
          <w:rFonts w:ascii="Times New Roman" w:hAnsi="Times New Roman"/>
          <w:noProof/>
          <w:sz w:val="24"/>
          <w:lang w:val="en-GB"/>
        </w:rPr>
        <w:t xml:space="preserve"> </w:t>
      </w:r>
      <w:r w:rsidR="003408D5" w:rsidRPr="008704BD">
        <w:rPr>
          <w:rFonts w:ascii="Times New Roman" w:hAnsi="Times New Roman"/>
          <w:noProof/>
          <w:sz w:val="24"/>
          <w:lang w:val="en-GB"/>
        </w:rPr>
        <w:t xml:space="preserve">the </w:t>
      </w:r>
      <w:r w:rsidRPr="008704BD">
        <w:rPr>
          <w:rFonts w:ascii="Times New Roman" w:hAnsi="Times New Roman"/>
          <w:noProof/>
          <w:sz w:val="24"/>
          <w:lang w:val="en-GB"/>
        </w:rPr>
        <w:t>basis</w:t>
      </w:r>
      <w:r w:rsidR="003408D5" w:rsidRPr="008704BD">
        <w:rPr>
          <w:rFonts w:ascii="Times New Roman" w:hAnsi="Times New Roman"/>
          <w:noProof/>
          <w:sz w:val="24"/>
          <w:lang w:val="en-GB"/>
        </w:rPr>
        <w:t xml:space="preserve"> of these building blocks</w:t>
      </w:r>
      <w:r w:rsidRPr="008704BD">
        <w:rPr>
          <w:rFonts w:ascii="Times New Roman" w:hAnsi="Times New Roman"/>
          <w:noProof/>
          <w:sz w:val="24"/>
          <w:lang w:val="en-GB"/>
        </w:rPr>
        <w:t xml:space="preserve">, </w:t>
      </w:r>
      <w:r w:rsidR="000D37BB">
        <w:rPr>
          <w:rFonts w:ascii="Times New Roman" w:hAnsi="Times New Roman"/>
          <w:noProof/>
          <w:sz w:val="24"/>
          <w:lang w:val="en-GB"/>
        </w:rPr>
        <w:t>various</w:t>
      </w:r>
      <w:r w:rsidR="00215724" w:rsidRPr="008704BD">
        <w:rPr>
          <w:rFonts w:ascii="Times New Roman" w:hAnsi="Times New Roman"/>
          <w:noProof/>
          <w:sz w:val="24"/>
          <w:lang w:val="en-GB"/>
        </w:rPr>
        <w:t xml:space="preserve"> </w:t>
      </w:r>
      <w:r w:rsidRPr="008704BD">
        <w:rPr>
          <w:rFonts w:ascii="Times New Roman" w:hAnsi="Times New Roman"/>
          <w:noProof/>
          <w:sz w:val="24"/>
          <w:lang w:val="en-GB"/>
        </w:rPr>
        <w:t xml:space="preserve">options are </w:t>
      </w:r>
      <w:r w:rsidR="00215724" w:rsidRPr="008704BD">
        <w:rPr>
          <w:rFonts w:ascii="Times New Roman" w:hAnsi="Times New Roman"/>
          <w:noProof/>
          <w:sz w:val="24"/>
          <w:lang w:val="en-GB"/>
        </w:rPr>
        <w:t>assessed in the following analysis</w:t>
      </w:r>
      <w:r w:rsidRPr="008704BD">
        <w:rPr>
          <w:rFonts w:ascii="Times New Roman" w:hAnsi="Times New Roman"/>
          <w:noProof/>
          <w:sz w:val="24"/>
          <w:lang w:val="en-GB"/>
        </w:rPr>
        <w:t>.</w:t>
      </w:r>
    </w:p>
    <w:p w14:paraId="122B1465" w14:textId="77777777" w:rsidR="0097262B" w:rsidRPr="008704BD" w:rsidRDefault="0097262B" w:rsidP="001E0C63">
      <w:pPr>
        <w:spacing w:line="256" w:lineRule="auto"/>
        <w:jc w:val="both"/>
        <w:rPr>
          <w:rFonts w:ascii="Times New Roman" w:hAnsi="Times New Roman"/>
          <w:noProof/>
          <w:sz w:val="24"/>
          <w:lang w:val="en-GB"/>
        </w:rPr>
      </w:pPr>
      <w:r w:rsidRPr="0097262B">
        <w:rPr>
          <w:rFonts w:ascii="Times New Roman" w:hAnsi="Times New Roman"/>
          <w:noProof/>
          <w:sz w:val="24"/>
          <w:lang w:val="en-GB"/>
        </w:rPr>
        <w:t>The proposed IT implementation choices</w:t>
      </w:r>
      <w:r>
        <w:rPr>
          <w:rStyle w:val="FootnoteReference"/>
          <w:rFonts w:ascii="Times New Roman" w:hAnsi="Times New Roman"/>
          <w:noProof/>
          <w:sz w:val="24"/>
          <w:lang w:val="en-GB"/>
        </w:rPr>
        <w:footnoteReference w:id="32"/>
      </w:r>
      <w:r w:rsidRPr="0097262B">
        <w:rPr>
          <w:rFonts w:ascii="Times New Roman" w:hAnsi="Times New Roman"/>
          <w:noProof/>
          <w:sz w:val="24"/>
          <w:lang w:val="en-GB"/>
        </w:rPr>
        <w:t xml:space="preserve"> are feasible no matter which policy option is chosen. The feasibility of the IT solution depends neither on the size of the CASPs, nor on the types of crypto-assets in scope nor the reporting method. The </w:t>
      </w:r>
      <w:r>
        <w:rPr>
          <w:rFonts w:ascii="Times New Roman" w:hAnsi="Times New Roman"/>
          <w:noProof/>
          <w:sz w:val="24"/>
          <w:lang w:val="en-GB"/>
        </w:rPr>
        <w:t>issue to determine with regard to the IT solution</w:t>
      </w:r>
      <w:r w:rsidRPr="0097262B">
        <w:rPr>
          <w:rFonts w:ascii="Times New Roman" w:hAnsi="Times New Roman"/>
          <w:noProof/>
          <w:sz w:val="24"/>
          <w:lang w:val="en-GB"/>
        </w:rPr>
        <w:t xml:space="preserve"> is more about the efficiency of the different IT solutions in achieving the initiative’s objectives.</w:t>
      </w:r>
    </w:p>
    <w:p w14:paraId="19BA1D77" w14:textId="77777777" w:rsidR="00572424" w:rsidRPr="006E5F59" w:rsidRDefault="00797F43" w:rsidP="00572424">
      <w:pPr>
        <w:pStyle w:val="Heading2"/>
        <w:rPr>
          <w:rFonts w:cs="Times New Roman"/>
          <w:noProof/>
          <w:lang w:val="en-GB"/>
        </w:rPr>
      </w:pPr>
      <w:bookmarkStart w:id="223" w:name="_Toc33455611"/>
      <w:bookmarkStart w:id="224" w:name="_Toc33716789"/>
      <w:bookmarkStart w:id="225" w:name="_Toc34659439"/>
      <w:bookmarkStart w:id="226" w:name="_Toc34734758"/>
      <w:bookmarkStart w:id="227" w:name="_Toc35354021"/>
      <w:bookmarkStart w:id="228" w:name="_Toc35940048"/>
      <w:bookmarkStart w:id="229" w:name="_Toc36215610"/>
      <w:bookmarkStart w:id="230" w:name="_Toc36630061"/>
      <w:bookmarkStart w:id="231" w:name="_Toc36634706"/>
      <w:bookmarkStart w:id="232" w:name="_Toc36637006"/>
      <w:bookmarkStart w:id="233" w:name="_Toc39309855"/>
      <w:bookmarkStart w:id="234" w:name="_Toc81582153"/>
      <w:bookmarkStart w:id="235" w:name="_Toc83742012"/>
      <w:bookmarkStart w:id="236" w:name="_Toc83824387"/>
      <w:bookmarkStart w:id="237" w:name="_Toc84338464"/>
      <w:bookmarkStart w:id="238" w:name="_Toc84520041"/>
      <w:bookmarkStart w:id="239" w:name="_Toc84579905"/>
      <w:bookmarkStart w:id="240" w:name="_Toc85052198"/>
      <w:bookmarkStart w:id="241" w:name="_Toc2137226064"/>
      <w:bookmarkStart w:id="242" w:name="_Toc1821127654"/>
      <w:bookmarkStart w:id="243" w:name="_Toc316649818"/>
      <w:bookmarkStart w:id="244" w:name="_Toc93306876"/>
      <w:r w:rsidRPr="41BAA3BB">
        <w:rPr>
          <w:rFonts w:cs="Times New Roman"/>
          <w:noProof/>
          <w:lang w:val="en-GB"/>
        </w:rPr>
        <w:t xml:space="preserve">5.1 </w:t>
      </w:r>
      <w:r w:rsidR="00572424" w:rsidRPr="41BAA3BB">
        <w:rPr>
          <w:rFonts w:cs="Times New Roman"/>
          <w:noProof/>
          <w:lang w:val="en-GB"/>
        </w:rPr>
        <w:t>Baseline</w:t>
      </w:r>
      <w:bookmarkEnd w:id="223"/>
      <w:bookmarkEnd w:id="224"/>
      <w:bookmarkEnd w:id="225"/>
      <w:bookmarkEnd w:id="226"/>
      <w:bookmarkEnd w:id="227"/>
      <w:bookmarkEnd w:id="228"/>
      <w:bookmarkEnd w:id="229"/>
      <w:bookmarkEnd w:id="230"/>
      <w:bookmarkEnd w:id="231"/>
      <w:bookmarkEnd w:id="232"/>
      <w:bookmarkEnd w:id="233"/>
      <w:bookmarkEnd w:id="234"/>
      <w:r w:rsidR="00572424" w:rsidRPr="41BAA3BB">
        <w:rPr>
          <w:rFonts w:cs="Times New Roman"/>
          <w:noProof/>
          <w:lang w:val="en-GB"/>
        </w:rPr>
        <w:t xml:space="preserve"> </w:t>
      </w:r>
      <w:r w:rsidR="003439C6" w:rsidRPr="41BAA3BB">
        <w:rPr>
          <w:rFonts w:cs="Times New Roman"/>
          <w:noProof/>
          <w:lang w:val="en-GB"/>
        </w:rPr>
        <w:t>scenario</w:t>
      </w:r>
      <w:bookmarkEnd w:id="235"/>
      <w:bookmarkEnd w:id="236"/>
      <w:bookmarkEnd w:id="237"/>
      <w:r w:rsidR="00864E98" w:rsidRPr="41BAA3BB">
        <w:rPr>
          <w:rFonts w:cs="Times New Roman"/>
          <w:noProof/>
          <w:lang w:val="en-GB"/>
        </w:rPr>
        <w:t xml:space="preserve"> (Option </w:t>
      </w:r>
      <w:r w:rsidR="560067D4" w:rsidRPr="41BAA3BB">
        <w:rPr>
          <w:rFonts w:cs="Times New Roman"/>
          <w:noProof/>
          <w:lang w:val="en-GB"/>
        </w:rPr>
        <w:t>0</w:t>
      </w:r>
      <w:r w:rsidR="00864E98" w:rsidRPr="41BAA3BB">
        <w:rPr>
          <w:rFonts w:cs="Times New Roman"/>
          <w:noProof/>
          <w:lang w:val="en-GB"/>
        </w:rPr>
        <w:t>)</w:t>
      </w:r>
      <w:bookmarkEnd w:id="238"/>
      <w:bookmarkEnd w:id="239"/>
      <w:bookmarkEnd w:id="240"/>
      <w:bookmarkEnd w:id="241"/>
      <w:bookmarkEnd w:id="242"/>
      <w:bookmarkEnd w:id="243"/>
      <w:bookmarkEnd w:id="244"/>
    </w:p>
    <w:p w14:paraId="14092F9B" w14:textId="2D36DD10" w:rsidR="00E264F0" w:rsidRPr="008704BD" w:rsidRDefault="00E264F0" w:rsidP="02355236">
      <w:pPr>
        <w:jc w:val="both"/>
        <w:rPr>
          <w:rFonts w:ascii="Times New Roman" w:hAnsi="Times New Roman"/>
          <w:noProof/>
          <w:sz w:val="24"/>
          <w:szCs w:val="24"/>
          <w:lang w:val="en-GB"/>
        </w:rPr>
      </w:pPr>
      <w:r w:rsidRPr="02355236">
        <w:rPr>
          <w:rFonts w:ascii="Times New Roman" w:hAnsi="Times New Roman"/>
          <w:noProof/>
          <w:sz w:val="24"/>
          <w:szCs w:val="24"/>
          <w:lang w:val="en-GB"/>
        </w:rPr>
        <w:t>Under this option, the EU would not act. However, other actors, mainly the Member States as well as the OECD, might still act. T</w:t>
      </w:r>
      <w:r w:rsidR="00CD7772" w:rsidRPr="02355236">
        <w:rPr>
          <w:rFonts w:ascii="Times New Roman" w:hAnsi="Times New Roman"/>
          <w:noProof/>
          <w:sz w:val="24"/>
          <w:szCs w:val="24"/>
          <w:lang w:val="en-GB"/>
        </w:rPr>
        <w:t>h</w:t>
      </w:r>
      <w:r w:rsidRPr="02355236">
        <w:rPr>
          <w:rFonts w:ascii="Times New Roman" w:hAnsi="Times New Roman"/>
          <w:noProof/>
          <w:sz w:val="24"/>
          <w:szCs w:val="24"/>
          <w:lang w:val="en-GB"/>
        </w:rPr>
        <w:t>e use of c</w:t>
      </w:r>
      <w:r w:rsidR="009711B6" w:rsidRPr="02355236">
        <w:rPr>
          <w:rFonts w:ascii="Times New Roman" w:hAnsi="Times New Roman"/>
          <w:noProof/>
          <w:sz w:val="24"/>
          <w:szCs w:val="24"/>
          <w:lang w:val="en-GB"/>
        </w:rPr>
        <w:t>r</w:t>
      </w:r>
      <w:r w:rsidRPr="02355236">
        <w:rPr>
          <w:rFonts w:ascii="Times New Roman" w:hAnsi="Times New Roman"/>
          <w:noProof/>
          <w:sz w:val="24"/>
          <w:szCs w:val="24"/>
          <w:lang w:val="en-GB"/>
        </w:rPr>
        <w:t xml:space="preserve">ypto-assets </w:t>
      </w:r>
      <w:r w:rsidR="00851B75" w:rsidRPr="02355236">
        <w:rPr>
          <w:rFonts w:ascii="Times New Roman" w:hAnsi="Times New Roman"/>
          <w:noProof/>
          <w:sz w:val="24"/>
          <w:szCs w:val="24"/>
          <w:lang w:val="en-GB"/>
        </w:rPr>
        <w:t>has been</w:t>
      </w:r>
      <w:r w:rsidR="005F3CBA" w:rsidRPr="02355236">
        <w:rPr>
          <w:rFonts w:ascii="Times New Roman" w:hAnsi="Times New Roman"/>
          <w:noProof/>
          <w:sz w:val="24"/>
          <w:szCs w:val="24"/>
          <w:lang w:val="en-GB"/>
        </w:rPr>
        <w:t xml:space="preserve"> </w:t>
      </w:r>
      <w:r w:rsidRPr="02355236">
        <w:rPr>
          <w:rFonts w:ascii="Times New Roman" w:hAnsi="Times New Roman"/>
          <w:noProof/>
          <w:sz w:val="24"/>
          <w:szCs w:val="24"/>
          <w:lang w:val="en-GB"/>
        </w:rPr>
        <w:t>growing</w:t>
      </w:r>
      <w:r w:rsidR="00851B75" w:rsidRPr="02355236">
        <w:rPr>
          <w:rFonts w:ascii="Times New Roman" w:hAnsi="Times New Roman"/>
          <w:noProof/>
          <w:sz w:val="24"/>
          <w:szCs w:val="24"/>
          <w:lang w:val="en-GB"/>
        </w:rPr>
        <w:t xml:space="preserve"> a lot recently</w:t>
      </w:r>
      <w:r w:rsidRPr="02355236">
        <w:rPr>
          <w:rFonts w:ascii="Times New Roman" w:hAnsi="Times New Roman"/>
          <w:noProof/>
          <w:sz w:val="24"/>
          <w:szCs w:val="24"/>
          <w:lang w:val="en-GB"/>
        </w:rPr>
        <w:t xml:space="preserve">. </w:t>
      </w:r>
      <w:r w:rsidR="00315EC4" w:rsidRPr="02355236">
        <w:rPr>
          <w:rFonts w:ascii="Times New Roman" w:hAnsi="Times New Roman"/>
          <w:noProof/>
          <w:sz w:val="24"/>
          <w:szCs w:val="24"/>
          <w:lang w:val="en-GB"/>
        </w:rPr>
        <w:t>While</w:t>
      </w:r>
      <w:r w:rsidRPr="02355236">
        <w:rPr>
          <w:rFonts w:ascii="Times New Roman" w:hAnsi="Times New Roman"/>
          <w:noProof/>
          <w:sz w:val="24"/>
          <w:szCs w:val="24"/>
          <w:lang w:val="en-GB"/>
        </w:rPr>
        <w:t xml:space="preserve"> </w:t>
      </w:r>
      <w:r w:rsidR="00A923CB" w:rsidRPr="02355236">
        <w:rPr>
          <w:rFonts w:ascii="Times New Roman" w:hAnsi="Times New Roman"/>
          <w:noProof/>
          <w:sz w:val="24"/>
          <w:szCs w:val="24"/>
          <w:lang w:val="en-GB"/>
        </w:rPr>
        <w:t xml:space="preserve">some </w:t>
      </w:r>
      <w:r w:rsidRPr="02355236">
        <w:rPr>
          <w:rFonts w:ascii="Times New Roman" w:hAnsi="Times New Roman"/>
          <w:noProof/>
          <w:sz w:val="24"/>
          <w:szCs w:val="24"/>
          <w:lang w:val="en-GB"/>
        </w:rPr>
        <w:t xml:space="preserve">Member States have not yet addressed the problem domestically, </w:t>
      </w:r>
      <w:r w:rsidR="00315EC4" w:rsidRPr="02355236">
        <w:rPr>
          <w:rFonts w:ascii="Times New Roman" w:hAnsi="Times New Roman"/>
          <w:noProof/>
          <w:sz w:val="24"/>
          <w:szCs w:val="24"/>
          <w:lang w:val="en-GB"/>
        </w:rPr>
        <w:t xml:space="preserve">it </w:t>
      </w:r>
      <w:r w:rsidRPr="02355236">
        <w:rPr>
          <w:rFonts w:ascii="Times New Roman" w:hAnsi="Times New Roman"/>
          <w:noProof/>
          <w:sz w:val="24"/>
          <w:szCs w:val="24"/>
          <w:lang w:val="en-GB"/>
        </w:rPr>
        <w:t xml:space="preserve">does not mean that they will not </w:t>
      </w:r>
      <w:r w:rsidR="00315EC4" w:rsidRPr="02355236">
        <w:rPr>
          <w:rFonts w:ascii="Times New Roman" w:hAnsi="Times New Roman"/>
          <w:noProof/>
          <w:sz w:val="24"/>
          <w:szCs w:val="24"/>
          <w:lang w:val="en-GB"/>
        </w:rPr>
        <w:t>act</w:t>
      </w:r>
      <w:r w:rsidRPr="02355236">
        <w:rPr>
          <w:rFonts w:ascii="Times New Roman" w:hAnsi="Times New Roman"/>
          <w:noProof/>
          <w:sz w:val="24"/>
          <w:szCs w:val="24"/>
          <w:lang w:val="en-GB"/>
        </w:rPr>
        <w:t xml:space="preserve"> in the near future. </w:t>
      </w:r>
      <w:r w:rsidR="4A8ACD1C" w:rsidRPr="02355236">
        <w:rPr>
          <w:rFonts w:ascii="Times New Roman" w:hAnsi="Times New Roman"/>
          <w:noProof/>
          <w:sz w:val="24"/>
          <w:szCs w:val="24"/>
          <w:lang w:val="en-GB"/>
        </w:rPr>
        <w:t xml:space="preserve">Different approaches to the reporting for tax purposes across the EU may </w:t>
      </w:r>
      <w:r w:rsidR="29851792" w:rsidRPr="02355236">
        <w:rPr>
          <w:rFonts w:ascii="Times New Roman" w:hAnsi="Times New Roman"/>
          <w:noProof/>
          <w:sz w:val="24"/>
          <w:szCs w:val="24"/>
          <w:lang w:val="en-GB"/>
        </w:rPr>
        <w:t xml:space="preserve">also </w:t>
      </w:r>
      <w:r w:rsidR="4A8ACD1C" w:rsidRPr="02355236">
        <w:rPr>
          <w:rFonts w:ascii="Times New Roman" w:hAnsi="Times New Roman"/>
          <w:noProof/>
          <w:sz w:val="24"/>
          <w:szCs w:val="24"/>
          <w:lang w:val="en-GB"/>
        </w:rPr>
        <w:t xml:space="preserve">have a negative effect on </w:t>
      </w:r>
      <w:r w:rsidR="698358CC" w:rsidRPr="02355236">
        <w:rPr>
          <w:rFonts w:ascii="Times New Roman" w:hAnsi="Times New Roman"/>
          <w:noProof/>
          <w:sz w:val="24"/>
          <w:szCs w:val="24"/>
          <w:lang w:val="en-GB"/>
        </w:rPr>
        <w:t>the crypto-asset</w:t>
      </w:r>
      <w:r w:rsidR="4D0F0C93" w:rsidRPr="02355236">
        <w:rPr>
          <w:rFonts w:ascii="Times New Roman" w:hAnsi="Times New Roman"/>
          <w:noProof/>
          <w:sz w:val="24"/>
          <w:szCs w:val="24"/>
          <w:lang w:val="en-GB"/>
        </w:rPr>
        <w:t xml:space="preserve"> market and the issuance and use of crypto-assets.</w:t>
      </w:r>
    </w:p>
    <w:p w14:paraId="3F740AD3" w14:textId="77777777" w:rsidR="00E264F0" w:rsidRPr="008704BD" w:rsidRDefault="00E264F0" w:rsidP="41C887A4">
      <w:pPr>
        <w:jc w:val="both"/>
        <w:rPr>
          <w:rFonts w:ascii="Times New Roman" w:hAnsi="Times New Roman"/>
          <w:noProof/>
          <w:sz w:val="24"/>
          <w:lang w:val="en-GB"/>
        </w:rPr>
      </w:pPr>
      <w:r w:rsidRPr="008704BD">
        <w:rPr>
          <w:rFonts w:ascii="Times New Roman" w:hAnsi="Times New Roman"/>
          <w:noProof/>
          <w:sz w:val="24"/>
          <w:lang w:val="en-GB"/>
        </w:rPr>
        <w:t>The OECD is currently working on developing a new international standard intended to impose reporting obligations on CASPs and subsequent exchange of information between jurisdictions. A new international standard would include an obligation for CASPs to collect and provide tax authorities with certain aggregated information. The granularity of the information that CASPs would be required to provide would enable tax authorities to carry out effective tax risk assessments and provide visibility on transactions and holding patterns.</w:t>
      </w:r>
      <w:r w:rsidR="00315EC4" w:rsidRPr="008704BD">
        <w:rPr>
          <w:rFonts w:ascii="Times New Roman" w:hAnsi="Times New Roman"/>
          <w:noProof/>
          <w:sz w:val="24"/>
          <w:lang w:val="en-GB"/>
        </w:rPr>
        <w:t xml:space="preserve"> Member States are likely to </w:t>
      </w:r>
      <w:r w:rsidR="006F188F" w:rsidRPr="008704BD">
        <w:rPr>
          <w:rFonts w:ascii="Times New Roman" w:hAnsi="Times New Roman"/>
          <w:noProof/>
          <w:sz w:val="24"/>
          <w:lang w:val="en-GB"/>
        </w:rPr>
        <w:t>rely on this to implement</w:t>
      </w:r>
      <w:r w:rsidR="00315EC4" w:rsidRPr="008704BD">
        <w:rPr>
          <w:rFonts w:ascii="Times New Roman" w:hAnsi="Times New Roman"/>
          <w:noProof/>
          <w:sz w:val="24"/>
          <w:lang w:val="en-GB"/>
        </w:rPr>
        <w:t xml:space="preserve"> rules at national level. However, there is a risk </w:t>
      </w:r>
      <w:r w:rsidRPr="008704BD">
        <w:rPr>
          <w:rFonts w:ascii="Times New Roman" w:hAnsi="Times New Roman"/>
          <w:noProof/>
          <w:sz w:val="24"/>
          <w:lang w:val="en-GB"/>
        </w:rPr>
        <w:t>of divergences among the Member States’ legal frameworks</w:t>
      </w:r>
      <w:r w:rsidR="3369F9A7" w:rsidRPr="008704BD">
        <w:rPr>
          <w:rFonts w:ascii="Times New Roman" w:hAnsi="Times New Roman"/>
          <w:noProof/>
          <w:sz w:val="24"/>
          <w:lang w:val="en-GB"/>
        </w:rPr>
        <w:t xml:space="preserve"> that would jeopardize the </w:t>
      </w:r>
      <w:r w:rsidR="2FC0C93E" w:rsidRPr="008704BD">
        <w:rPr>
          <w:rFonts w:ascii="Times New Roman" w:hAnsi="Times New Roman"/>
          <w:noProof/>
          <w:sz w:val="24"/>
          <w:lang w:val="en-GB"/>
        </w:rPr>
        <w:t xml:space="preserve">coherence of the system for </w:t>
      </w:r>
      <w:r w:rsidR="11BB385A" w:rsidRPr="008704BD">
        <w:rPr>
          <w:rFonts w:ascii="Times New Roman" w:hAnsi="Times New Roman"/>
          <w:noProof/>
          <w:sz w:val="24"/>
          <w:lang w:val="en-GB"/>
        </w:rPr>
        <w:t xml:space="preserve">exchange of information within the EU as established by the DAC. It would also put at risk the </w:t>
      </w:r>
      <w:r w:rsidR="3369F9A7" w:rsidRPr="008704BD">
        <w:rPr>
          <w:rFonts w:ascii="Times New Roman" w:hAnsi="Times New Roman"/>
          <w:noProof/>
          <w:sz w:val="24"/>
          <w:lang w:val="en-GB"/>
        </w:rPr>
        <w:t>integrity of the EU market in crypto-assets as regulated by the proposed MiCA Regulation</w:t>
      </w:r>
      <w:r w:rsidR="00BD757F" w:rsidRPr="008704BD">
        <w:rPr>
          <w:rFonts w:ascii="Times New Roman" w:hAnsi="Times New Roman"/>
          <w:noProof/>
          <w:sz w:val="24"/>
          <w:lang w:val="en-GB"/>
        </w:rPr>
        <w:t xml:space="preserve">. </w:t>
      </w:r>
      <w:r w:rsidR="007B574E" w:rsidRPr="008704BD">
        <w:rPr>
          <w:rFonts w:ascii="Times New Roman" w:hAnsi="Times New Roman"/>
          <w:noProof/>
          <w:sz w:val="24"/>
          <w:lang w:val="en-GB"/>
        </w:rPr>
        <w:t xml:space="preserve">The </w:t>
      </w:r>
      <w:r w:rsidR="754C6F09" w:rsidRPr="008704BD">
        <w:rPr>
          <w:rFonts w:ascii="Times New Roman" w:hAnsi="Times New Roman"/>
          <w:noProof/>
          <w:sz w:val="24"/>
          <w:lang w:val="en-GB"/>
        </w:rPr>
        <w:t>OECD standard would not necessarily be adapted to th</w:t>
      </w:r>
      <w:r w:rsidR="00BD757F" w:rsidRPr="008704BD">
        <w:rPr>
          <w:rFonts w:ascii="Times New Roman" w:hAnsi="Times New Roman"/>
          <w:noProof/>
          <w:sz w:val="24"/>
          <w:lang w:val="en-GB"/>
        </w:rPr>
        <w:t>e domestic</w:t>
      </w:r>
      <w:r w:rsidR="754C6F09" w:rsidRPr="008704BD">
        <w:rPr>
          <w:rFonts w:ascii="Times New Roman" w:hAnsi="Times New Roman"/>
          <w:noProof/>
          <w:sz w:val="24"/>
          <w:lang w:val="en-GB"/>
        </w:rPr>
        <w:t xml:space="preserve"> provisions</w:t>
      </w:r>
      <w:r w:rsidR="00BD757F" w:rsidRPr="008704BD">
        <w:rPr>
          <w:rFonts w:ascii="Times New Roman" w:hAnsi="Times New Roman"/>
          <w:noProof/>
          <w:sz w:val="24"/>
          <w:lang w:val="en-GB"/>
        </w:rPr>
        <w:t>,</w:t>
      </w:r>
      <w:r w:rsidR="00D84B5C" w:rsidRPr="008704BD" w:rsidDel="007B574E">
        <w:rPr>
          <w:rFonts w:ascii="Times New Roman" w:hAnsi="Times New Roman"/>
          <w:noProof/>
          <w:sz w:val="24"/>
          <w:lang w:val="en-GB"/>
        </w:rPr>
        <w:t xml:space="preserve"> </w:t>
      </w:r>
      <w:r w:rsidR="007B574E" w:rsidRPr="008704BD">
        <w:rPr>
          <w:rFonts w:ascii="Times New Roman" w:hAnsi="Times New Roman"/>
          <w:noProof/>
          <w:sz w:val="24"/>
          <w:lang w:val="en-GB"/>
        </w:rPr>
        <w:t xml:space="preserve">leading </w:t>
      </w:r>
      <w:r w:rsidR="5E506E50" w:rsidRPr="008704BD">
        <w:rPr>
          <w:rFonts w:ascii="Times New Roman" w:hAnsi="Times New Roman"/>
          <w:noProof/>
          <w:sz w:val="24"/>
          <w:lang w:val="en-GB"/>
        </w:rPr>
        <w:t>to</w:t>
      </w:r>
      <w:r w:rsidR="754C6F09" w:rsidRPr="008704BD">
        <w:rPr>
          <w:rFonts w:ascii="Times New Roman" w:hAnsi="Times New Roman"/>
          <w:noProof/>
          <w:sz w:val="24"/>
          <w:lang w:val="en-GB"/>
        </w:rPr>
        <w:t xml:space="preserve"> the reporting of third country CASP</w:t>
      </w:r>
      <w:r w:rsidR="5746DE25" w:rsidRPr="008704BD">
        <w:rPr>
          <w:rFonts w:ascii="Times New Roman" w:hAnsi="Times New Roman"/>
          <w:noProof/>
          <w:sz w:val="24"/>
          <w:lang w:val="en-GB"/>
        </w:rPr>
        <w:t>s risk</w:t>
      </w:r>
      <w:r w:rsidR="007B574E" w:rsidRPr="008704BD">
        <w:rPr>
          <w:rFonts w:ascii="Times New Roman" w:hAnsi="Times New Roman"/>
          <w:noProof/>
          <w:sz w:val="24"/>
          <w:lang w:val="en-GB"/>
        </w:rPr>
        <w:t>ing</w:t>
      </w:r>
      <w:r w:rsidR="5746DE25" w:rsidRPr="008704BD">
        <w:rPr>
          <w:rFonts w:ascii="Times New Roman" w:hAnsi="Times New Roman"/>
          <w:noProof/>
          <w:sz w:val="24"/>
          <w:lang w:val="en-GB"/>
        </w:rPr>
        <w:t xml:space="preserve"> </w:t>
      </w:r>
      <w:r w:rsidR="009711B6">
        <w:rPr>
          <w:rFonts w:ascii="Times New Roman" w:hAnsi="Times New Roman"/>
          <w:noProof/>
          <w:sz w:val="24"/>
          <w:lang w:val="en-GB"/>
        </w:rPr>
        <w:t xml:space="preserve">to be </w:t>
      </w:r>
      <w:r w:rsidR="5746DE25" w:rsidRPr="008704BD">
        <w:rPr>
          <w:rFonts w:ascii="Times New Roman" w:hAnsi="Times New Roman"/>
          <w:noProof/>
          <w:sz w:val="24"/>
          <w:lang w:val="en-GB"/>
        </w:rPr>
        <w:t>less effective</w:t>
      </w:r>
      <w:r w:rsidRPr="008704BD">
        <w:rPr>
          <w:rFonts w:ascii="Times New Roman" w:hAnsi="Times New Roman"/>
          <w:noProof/>
          <w:sz w:val="24"/>
          <w:lang w:val="en-GB"/>
        </w:rPr>
        <w:t xml:space="preserve">. </w:t>
      </w:r>
    </w:p>
    <w:p w14:paraId="61D01F5C" w14:textId="47E54459" w:rsidR="00572424" w:rsidRPr="00D312CE" w:rsidRDefault="00797F43" w:rsidP="41BAA3BB">
      <w:pPr>
        <w:pStyle w:val="Heading2"/>
        <w:rPr>
          <w:rFonts w:cs="Times New Roman"/>
          <w:noProof/>
          <w:lang w:val="en-GB"/>
        </w:rPr>
      </w:pPr>
      <w:bookmarkStart w:id="245" w:name="_Toc33455612"/>
      <w:bookmarkStart w:id="246" w:name="_Toc33716790"/>
      <w:bookmarkStart w:id="247" w:name="_Toc34659440"/>
      <w:bookmarkStart w:id="248" w:name="_Toc34734759"/>
      <w:bookmarkStart w:id="249" w:name="_Toc35354022"/>
      <w:bookmarkStart w:id="250" w:name="_Toc35940049"/>
      <w:bookmarkStart w:id="251" w:name="_Toc36215611"/>
      <w:bookmarkStart w:id="252" w:name="_Toc36630062"/>
      <w:bookmarkStart w:id="253" w:name="_Toc36634707"/>
      <w:bookmarkStart w:id="254" w:name="_Toc36637007"/>
      <w:bookmarkStart w:id="255" w:name="_Toc39309856"/>
      <w:bookmarkStart w:id="256" w:name="_Toc81582154"/>
      <w:bookmarkStart w:id="257" w:name="_Toc83742013"/>
      <w:bookmarkStart w:id="258" w:name="_Toc83824388"/>
      <w:bookmarkStart w:id="259" w:name="_Toc84338465"/>
      <w:bookmarkStart w:id="260" w:name="_Toc84520042"/>
      <w:bookmarkStart w:id="261" w:name="_Toc84579906"/>
      <w:bookmarkStart w:id="262" w:name="_Toc85052199"/>
      <w:bookmarkStart w:id="263" w:name="_Toc595130028"/>
      <w:bookmarkStart w:id="264" w:name="_Toc101315019"/>
      <w:bookmarkStart w:id="265" w:name="_Toc700791567"/>
      <w:bookmarkStart w:id="266" w:name="_Toc93306877"/>
      <w:r w:rsidRPr="41BAA3BB">
        <w:rPr>
          <w:rFonts w:cs="Times New Roman"/>
          <w:noProof/>
          <w:lang w:val="en-GB"/>
        </w:rPr>
        <w:t xml:space="preserve">5.2 </w:t>
      </w:r>
      <w:r w:rsidR="1B2CBC19" w:rsidRPr="41BAA3BB">
        <w:rPr>
          <w:rFonts w:cs="Times New Roman"/>
          <w:noProof/>
          <w:lang w:val="en-GB"/>
        </w:rPr>
        <w:t>Recommendation for</w:t>
      </w:r>
      <w:r w:rsidR="00572424" w:rsidRPr="41BAA3BB">
        <w:rPr>
          <w:rFonts w:cs="Times New Roman"/>
          <w:noProof/>
          <w:lang w:val="en-GB"/>
        </w:rPr>
        <w:t xml:space="preserve"> the implementation of a global standard</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84FFD0B" w14:textId="77777777" w:rsidR="00DD3B5B" w:rsidRPr="008704BD" w:rsidRDefault="008E0897" w:rsidP="000C0F5F">
      <w:pPr>
        <w:jc w:val="both"/>
        <w:rPr>
          <w:rFonts w:ascii="Times New Roman" w:hAnsi="Times New Roman"/>
          <w:noProof/>
          <w:sz w:val="24"/>
          <w:lang w:val="en-GB"/>
        </w:rPr>
      </w:pPr>
      <w:r w:rsidRPr="008704BD">
        <w:rPr>
          <w:rFonts w:ascii="Times New Roman" w:hAnsi="Times New Roman"/>
          <w:noProof/>
          <w:sz w:val="24"/>
          <w:lang w:val="en-GB"/>
        </w:rPr>
        <w:t xml:space="preserve">Under this option, the Commission would propose a </w:t>
      </w:r>
      <w:r w:rsidR="009711B6" w:rsidRPr="008704BD">
        <w:rPr>
          <w:rFonts w:ascii="Times New Roman" w:hAnsi="Times New Roman"/>
          <w:noProof/>
          <w:sz w:val="24"/>
          <w:lang w:val="en-GB"/>
        </w:rPr>
        <w:t>legally</w:t>
      </w:r>
      <w:r w:rsidR="3D9953C5" w:rsidRPr="008704BD">
        <w:rPr>
          <w:rFonts w:ascii="Times New Roman" w:hAnsi="Times New Roman"/>
          <w:noProof/>
          <w:sz w:val="24"/>
          <w:lang w:val="en-GB"/>
        </w:rPr>
        <w:t xml:space="preserve"> </w:t>
      </w:r>
      <w:r w:rsidR="0039042F" w:rsidRPr="0039042F">
        <w:rPr>
          <w:rFonts w:ascii="Times New Roman" w:hAnsi="Times New Roman"/>
          <w:noProof/>
          <w:sz w:val="24"/>
          <w:lang w:val="en-GB"/>
        </w:rPr>
        <w:t>non-</w:t>
      </w:r>
      <w:r w:rsidR="3D9953C5" w:rsidRPr="008704BD">
        <w:rPr>
          <w:rFonts w:ascii="Times New Roman" w:hAnsi="Times New Roman"/>
          <w:noProof/>
          <w:sz w:val="24"/>
          <w:lang w:val="en-GB"/>
        </w:rPr>
        <w:t xml:space="preserve">binding </w:t>
      </w:r>
      <w:r w:rsidRPr="008704BD">
        <w:rPr>
          <w:rFonts w:ascii="Times New Roman" w:hAnsi="Times New Roman"/>
          <w:noProof/>
          <w:sz w:val="24"/>
          <w:lang w:val="en-GB"/>
        </w:rPr>
        <w:t>recommendation addressed to Member States to implement consistent rules addressing the lack of reporting and exchange of information related to the taxation of income or revenue generated through the use of crypto-assets</w:t>
      </w:r>
      <w:r w:rsidR="69B8BBC0" w:rsidRPr="008704BD">
        <w:rPr>
          <w:rFonts w:ascii="Times New Roman" w:hAnsi="Times New Roman"/>
          <w:noProof/>
          <w:sz w:val="24"/>
          <w:lang w:val="en-GB"/>
        </w:rPr>
        <w:t>.</w:t>
      </w:r>
      <w:r w:rsidRPr="008704BD">
        <w:rPr>
          <w:rFonts w:ascii="Times New Roman" w:hAnsi="Times New Roman"/>
          <w:noProof/>
          <w:sz w:val="24"/>
          <w:lang w:val="en-GB"/>
        </w:rPr>
        <w:t xml:space="preserve"> Such a recommendation would call on the Member States to implement a future OECD standard and</w:t>
      </w:r>
      <w:r w:rsidR="00864E98" w:rsidRPr="008704BD">
        <w:rPr>
          <w:rFonts w:ascii="Times New Roman" w:hAnsi="Times New Roman"/>
          <w:noProof/>
          <w:sz w:val="24"/>
          <w:lang w:val="en-GB"/>
        </w:rPr>
        <w:t xml:space="preserve">, </w:t>
      </w:r>
      <w:r w:rsidRPr="008704BD">
        <w:rPr>
          <w:rFonts w:ascii="Times New Roman" w:hAnsi="Times New Roman"/>
          <w:noProof/>
          <w:sz w:val="24"/>
          <w:lang w:val="en-GB"/>
        </w:rPr>
        <w:t>to the extent needed</w:t>
      </w:r>
      <w:r w:rsidR="00864E98" w:rsidRPr="008704BD">
        <w:rPr>
          <w:rFonts w:ascii="Times New Roman" w:hAnsi="Times New Roman"/>
          <w:noProof/>
          <w:sz w:val="24"/>
          <w:lang w:val="en-GB"/>
        </w:rPr>
        <w:t>,</w:t>
      </w:r>
      <w:r w:rsidRPr="008704BD">
        <w:rPr>
          <w:rFonts w:ascii="Times New Roman" w:hAnsi="Times New Roman"/>
          <w:noProof/>
          <w:sz w:val="24"/>
          <w:lang w:val="en-GB"/>
        </w:rPr>
        <w:t xml:space="preserve"> be complemented by guidance adapting such rules for the Internal Market. </w:t>
      </w:r>
      <w:r w:rsidR="00071BE6" w:rsidRPr="008704BD">
        <w:rPr>
          <w:rFonts w:ascii="Times New Roman" w:hAnsi="Times New Roman"/>
          <w:noProof/>
          <w:sz w:val="24"/>
          <w:lang w:val="en-GB"/>
        </w:rPr>
        <w:t xml:space="preserve">A non-legally binding option may imply that Member States do not implement </w:t>
      </w:r>
      <w:r w:rsidR="0082644B" w:rsidRPr="008704BD">
        <w:rPr>
          <w:rFonts w:ascii="Times New Roman" w:hAnsi="Times New Roman"/>
          <w:noProof/>
          <w:sz w:val="24"/>
          <w:lang w:val="en-GB"/>
        </w:rPr>
        <w:t xml:space="preserve">the </w:t>
      </w:r>
      <w:r w:rsidR="00071BE6" w:rsidRPr="008704BD">
        <w:rPr>
          <w:rFonts w:ascii="Times New Roman" w:hAnsi="Times New Roman"/>
          <w:noProof/>
          <w:sz w:val="24"/>
          <w:lang w:val="en-GB"/>
        </w:rPr>
        <w:t xml:space="preserve">international </w:t>
      </w:r>
      <w:r w:rsidR="012CC814" w:rsidRPr="008704BD">
        <w:rPr>
          <w:rFonts w:ascii="Times New Roman" w:hAnsi="Times New Roman"/>
          <w:noProof/>
          <w:sz w:val="24"/>
          <w:lang w:val="en-GB"/>
        </w:rPr>
        <w:t>standard</w:t>
      </w:r>
      <w:r w:rsidR="00071BE6" w:rsidRPr="008704BD">
        <w:rPr>
          <w:rFonts w:ascii="Times New Roman" w:hAnsi="Times New Roman"/>
          <w:noProof/>
          <w:sz w:val="24"/>
          <w:lang w:val="en-GB"/>
        </w:rPr>
        <w:t xml:space="preserve"> uniformly, giving rise to differences that could affect the functioning of the </w:t>
      </w:r>
      <w:r w:rsidR="03A4644F" w:rsidRPr="008704BD">
        <w:rPr>
          <w:rFonts w:ascii="Times New Roman" w:hAnsi="Times New Roman"/>
          <w:noProof/>
          <w:sz w:val="24"/>
          <w:lang w:val="en-GB"/>
        </w:rPr>
        <w:t>I</w:t>
      </w:r>
      <w:r w:rsidR="62235F7C" w:rsidRPr="008704BD">
        <w:rPr>
          <w:rFonts w:ascii="Times New Roman" w:hAnsi="Times New Roman"/>
          <w:noProof/>
          <w:sz w:val="24"/>
          <w:lang w:val="en-GB"/>
        </w:rPr>
        <w:t xml:space="preserve">nternal </w:t>
      </w:r>
      <w:r w:rsidR="3E69472F" w:rsidRPr="008704BD">
        <w:rPr>
          <w:rFonts w:ascii="Times New Roman" w:hAnsi="Times New Roman"/>
          <w:noProof/>
          <w:sz w:val="24"/>
          <w:lang w:val="en-GB"/>
        </w:rPr>
        <w:t>M</w:t>
      </w:r>
      <w:r w:rsidR="00071BE6" w:rsidRPr="008704BD">
        <w:rPr>
          <w:rFonts w:ascii="Times New Roman" w:hAnsi="Times New Roman"/>
          <w:noProof/>
          <w:sz w:val="24"/>
          <w:lang w:val="en-GB"/>
        </w:rPr>
        <w:t>arket.</w:t>
      </w:r>
      <w:r w:rsidRPr="008704BD">
        <w:rPr>
          <w:rFonts w:ascii="Times New Roman" w:hAnsi="Times New Roman"/>
          <w:noProof/>
          <w:sz w:val="24"/>
          <w:lang w:val="en-GB"/>
        </w:rPr>
        <w:t xml:space="preserve"> </w:t>
      </w:r>
    </w:p>
    <w:p w14:paraId="7FAB42B1" w14:textId="54B1F7A9" w:rsidR="002F63C6" w:rsidRPr="00D312CE" w:rsidRDefault="002F63C6" w:rsidP="41BAA3BB">
      <w:pPr>
        <w:pStyle w:val="Heading2"/>
        <w:rPr>
          <w:rFonts w:cs="Times New Roman"/>
          <w:noProof/>
          <w:lang w:val="en-GB"/>
        </w:rPr>
      </w:pPr>
      <w:bookmarkStart w:id="267" w:name="_Toc84579907"/>
      <w:bookmarkStart w:id="268" w:name="_Toc85052200"/>
      <w:bookmarkStart w:id="269" w:name="_Toc27437408"/>
      <w:bookmarkStart w:id="270" w:name="_Toc663307461"/>
      <w:bookmarkStart w:id="271" w:name="_Toc1541670156"/>
      <w:bookmarkStart w:id="272" w:name="_Toc93306878"/>
      <w:r w:rsidRPr="41BAA3BB">
        <w:rPr>
          <w:rFonts w:cs="Times New Roman"/>
          <w:noProof/>
          <w:lang w:val="en-GB"/>
        </w:rPr>
        <w:t>5.</w:t>
      </w:r>
      <w:r w:rsidR="00213379" w:rsidRPr="41BAA3BB">
        <w:rPr>
          <w:rFonts w:cs="Times New Roman"/>
          <w:noProof/>
          <w:lang w:val="en-GB"/>
        </w:rPr>
        <w:t>3</w:t>
      </w:r>
      <w:r w:rsidRPr="41BAA3BB">
        <w:rPr>
          <w:rFonts w:cs="Times New Roman"/>
          <w:noProof/>
          <w:lang w:val="en-GB"/>
        </w:rPr>
        <w:t xml:space="preserve"> EU legislative initiative – </w:t>
      </w:r>
      <w:r w:rsidR="00F807EF" w:rsidRPr="41BAA3BB">
        <w:rPr>
          <w:rFonts w:cs="Times New Roman"/>
          <w:noProof/>
          <w:lang w:val="en-GB"/>
        </w:rPr>
        <w:t>Six</w:t>
      </w:r>
      <w:r w:rsidR="0010691F" w:rsidRPr="41BAA3BB">
        <w:rPr>
          <w:rFonts w:cs="Times New Roman"/>
          <w:noProof/>
          <w:lang w:val="en-GB"/>
        </w:rPr>
        <w:t xml:space="preserve"> options regarding the type of reporting </w:t>
      </w:r>
      <w:r w:rsidR="00F807EF" w:rsidRPr="41BAA3BB">
        <w:rPr>
          <w:rFonts w:cs="Times New Roman"/>
          <w:noProof/>
          <w:lang w:val="en-GB"/>
        </w:rPr>
        <w:t>and the impact of having a threshold for SME</w:t>
      </w:r>
      <w:r w:rsidR="0010691F" w:rsidRPr="41BAA3BB">
        <w:rPr>
          <w:rFonts w:cs="Times New Roman"/>
          <w:noProof/>
          <w:lang w:val="en-GB"/>
        </w:rPr>
        <w:t>-</w:t>
      </w:r>
      <w:r w:rsidRPr="41BAA3BB">
        <w:rPr>
          <w:rFonts w:cs="Times New Roman"/>
          <w:noProof/>
          <w:lang w:val="en-GB"/>
        </w:rPr>
        <w:t xml:space="preserve"> (Option</w:t>
      </w:r>
      <w:r w:rsidR="0D9D6C87" w:rsidRPr="41BAA3BB">
        <w:rPr>
          <w:rFonts w:cs="Times New Roman"/>
          <w:noProof/>
          <w:lang w:val="en-GB"/>
        </w:rPr>
        <w:t>s</w:t>
      </w:r>
      <w:r w:rsidRPr="41BAA3BB">
        <w:rPr>
          <w:rFonts w:cs="Times New Roman"/>
          <w:noProof/>
          <w:lang w:val="en-GB"/>
        </w:rPr>
        <w:t xml:space="preserve"> </w:t>
      </w:r>
      <w:r w:rsidR="00953C53">
        <w:rPr>
          <w:rFonts w:cs="Times New Roman"/>
          <w:noProof/>
          <w:lang w:val="en-GB"/>
        </w:rPr>
        <w:t>1</w:t>
      </w:r>
      <w:r w:rsidR="206092B6" w:rsidRPr="41BAA3BB">
        <w:rPr>
          <w:rFonts w:cs="Times New Roman"/>
          <w:noProof/>
          <w:lang w:val="en-GB"/>
        </w:rPr>
        <w:t>-</w:t>
      </w:r>
      <w:r w:rsidR="00953C53">
        <w:rPr>
          <w:rFonts w:cs="Times New Roman"/>
          <w:noProof/>
          <w:lang w:val="en-GB"/>
        </w:rPr>
        <w:t>6</w:t>
      </w:r>
      <w:r w:rsidRPr="41BAA3BB">
        <w:rPr>
          <w:rFonts w:cs="Times New Roman"/>
          <w:noProof/>
          <w:lang w:val="en-GB"/>
        </w:rPr>
        <w:t>)</w:t>
      </w:r>
      <w:bookmarkEnd w:id="267"/>
      <w:bookmarkEnd w:id="268"/>
      <w:bookmarkEnd w:id="269"/>
      <w:bookmarkEnd w:id="270"/>
      <w:bookmarkEnd w:id="271"/>
      <w:bookmarkEnd w:id="272"/>
    </w:p>
    <w:p w14:paraId="682A8D3D" w14:textId="0B83AD8A" w:rsidR="004C0B20" w:rsidRDefault="00084D78" w:rsidP="001E0C63">
      <w:pPr>
        <w:jc w:val="both"/>
        <w:rPr>
          <w:rFonts w:ascii="Times New Roman" w:hAnsi="Times New Roman"/>
          <w:noProof/>
          <w:sz w:val="24"/>
          <w:lang w:val="en-GB"/>
        </w:rPr>
      </w:pPr>
      <w:r w:rsidRPr="008704BD">
        <w:rPr>
          <w:rFonts w:ascii="Times New Roman" w:hAnsi="Times New Roman"/>
          <w:noProof/>
          <w:sz w:val="24"/>
          <w:lang w:val="en-GB"/>
        </w:rPr>
        <w:t xml:space="preserve">Under </w:t>
      </w:r>
      <w:r w:rsidR="005C50E5">
        <w:rPr>
          <w:rFonts w:ascii="Times New Roman" w:hAnsi="Times New Roman"/>
          <w:noProof/>
          <w:sz w:val="24"/>
          <w:lang w:val="en-GB"/>
        </w:rPr>
        <w:t>the EU legislative option</w:t>
      </w:r>
      <w:r w:rsidRPr="008704BD">
        <w:rPr>
          <w:rFonts w:ascii="Times New Roman" w:hAnsi="Times New Roman"/>
          <w:noProof/>
          <w:sz w:val="24"/>
          <w:lang w:val="en-GB"/>
        </w:rPr>
        <w:t xml:space="preserve">, the reporting and exchange of information would apply to </w:t>
      </w:r>
      <w:r w:rsidRPr="008704BD">
        <w:rPr>
          <w:rFonts w:ascii="Times New Roman" w:hAnsi="Times New Roman"/>
          <w:b/>
          <w:noProof/>
          <w:sz w:val="24"/>
          <w:lang w:val="en-GB"/>
        </w:rPr>
        <w:t>all cry</w:t>
      </w:r>
      <w:r w:rsidR="009B7EE4">
        <w:rPr>
          <w:rFonts w:ascii="Times New Roman" w:hAnsi="Times New Roman"/>
          <w:b/>
          <w:noProof/>
          <w:sz w:val="24"/>
          <w:lang w:val="en-GB"/>
        </w:rPr>
        <w:t>p</w:t>
      </w:r>
      <w:r w:rsidRPr="008704BD">
        <w:rPr>
          <w:rFonts w:ascii="Times New Roman" w:hAnsi="Times New Roman"/>
          <w:b/>
          <w:noProof/>
          <w:sz w:val="24"/>
          <w:lang w:val="en-GB"/>
        </w:rPr>
        <w:t xml:space="preserve">to-assets, </w:t>
      </w:r>
      <w:r w:rsidR="003E58C8">
        <w:rPr>
          <w:rFonts w:ascii="Times New Roman" w:hAnsi="Times New Roman"/>
          <w:b/>
          <w:noProof/>
          <w:sz w:val="24"/>
          <w:lang w:val="en-GB"/>
        </w:rPr>
        <w:t xml:space="preserve">which are relevant from a tax perspective (i.e. all crypto-assets </w:t>
      </w:r>
      <w:r w:rsidRPr="008704BD">
        <w:rPr>
          <w:rFonts w:ascii="Times New Roman" w:hAnsi="Times New Roman"/>
          <w:b/>
          <w:noProof/>
          <w:sz w:val="24"/>
          <w:lang w:val="en-GB"/>
        </w:rPr>
        <w:t>except non-marketable crypto-assets</w:t>
      </w:r>
      <w:r w:rsidR="00665FA2" w:rsidRPr="008704BD">
        <w:rPr>
          <w:rFonts w:ascii="Times New Roman" w:hAnsi="Times New Roman"/>
          <w:noProof/>
          <w:sz w:val="24"/>
          <w:lang w:val="en-GB"/>
        </w:rPr>
        <w:t xml:space="preserve"> </w:t>
      </w:r>
      <w:r w:rsidRPr="008704BD">
        <w:rPr>
          <w:rFonts w:ascii="Times New Roman" w:hAnsi="Times New Roman"/>
          <w:b/>
          <w:noProof/>
          <w:sz w:val="24"/>
          <w:lang w:val="en-GB"/>
        </w:rPr>
        <w:t>and utility tokens</w:t>
      </w:r>
      <w:r w:rsidR="003E58C8">
        <w:rPr>
          <w:rFonts w:ascii="Times New Roman" w:hAnsi="Times New Roman"/>
          <w:b/>
          <w:noProof/>
          <w:sz w:val="24"/>
          <w:lang w:val="en-GB"/>
        </w:rPr>
        <w:t>)</w:t>
      </w:r>
      <w:r w:rsidR="0010691F">
        <w:rPr>
          <w:rFonts w:ascii="Times New Roman" w:hAnsi="Times New Roman"/>
          <w:b/>
          <w:noProof/>
          <w:sz w:val="24"/>
          <w:lang w:val="en-GB"/>
        </w:rPr>
        <w:t>.</w:t>
      </w:r>
      <w:r w:rsidRPr="008704BD">
        <w:rPr>
          <w:rFonts w:ascii="Times New Roman" w:hAnsi="Times New Roman"/>
          <w:noProof/>
          <w:sz w:val="24"/>
          <w:lang w:val="en-GB"/>
        </w:rPr>
        <w:t xml:space="preserve"> </w:t>
      </w:r>
    </w:p>
    <w:p w14:paraId="437950A0" w14:textId="15BE26BD" w:rsidR="0047176E" w:rsidRDefault="0010691F" w:rsidP="001E0C63">
      <w:pPr>
        <w:jc w:val="both"/>
        <w:rPr>
          <w:rFonts w:ascii="Times New Roman" w:hAnsi="Times New Roman"/>
          <w:noProof/>
          <w:sz w:val="24"/>
          <w:lang w:val="en-GB"/>
        </w:rPr>
      </w:pPr>
      <w:r>
        <w:rPr>
          <w:rFonts w:ascii="Times New Roman" w:hAnsi="Times New Roman"/>
          <w:noProof/>
          <w:sz w:val="24"/>
          <w:lang w:val="en-GB"/>
        </w:rPr>
        <w:t>Under t</w:t>
      </w:r>
      <w:r w:rsidR="3C177F3B" w:rsidRPr="008704BD">
        <w:rPr>
          <w:rFonts w:ascii="Times New Roman" w:hAnsi="Times New Roman"/>
          <w:noProof/>
          <w:sz w:val="24"/>
          <w:lang w:val="en-GB"/>
        </w:rPr>
        <w:t>h</w:t>
      </w:r>
      <w:r>
        <w:rPr>
          <w:rFonts w:ascii="Times New Roman" w:hAnsi="Times New Roman"/>
          <w:noProof/>
          <w:sz w:val="24"/>
          <w:lang w:val="en-GB"/>
        </w:rPr>
        <w:t>is</w:t>
      </w:r>
      <w:r w:rsidR="3C177F3B" w:rsidRPr="008704BD">
        <w:rPr>
          <w:rFonts w:ascii="Times New Roman" w:hAnsi="Times New Roman"/>
          <w:noProof/>
          <w:sz w:val="24"/>
          <w:lang w:val="en-GB"/>
        </w:rPr>
        <w:t xml:space="preserve"> option</w:t>
      </w:r>
      <w:r>
        <w:rPr>
          <w:rFonts w:ascii="Times New Roman" w:hAnsi="Times New Roman"/>
          <w:noProof/>
          <w:sz w:val="24"/>
          <w:lang w:val="en-GB"/>
        </w:rPr>
        <w:t>, the</w:t>
      </w:r>
      <w:r w:rsidR="3C177F3B" w:rsidRPr="008704BD">
        <w:rPr>
          <w:rFonts w:ascii="Times New Roman" w:hAnsi="Times New Roman"/>
          <w:noProof/>
          <w:sz w:val="24"/>
          <w:lang w:val="en-GB"/>
        </w:rPr>
        <w:t xml:space="preserve"> coverage would not include certain types of crypto-assets in the scope. This would be based on the fact that </w:t>
      </w:r>
      <w:r w:rsidR="396F5B02" w:rsidRPr="008704BD">
        <w:rPr>
          <w:rFonts w:ascii="Times New Roman" w:hAnsi="Times New Roman"/>
          <w:noProof/>
          <w:sz w:val="24"/>
          <w:lang w:val="en-GB"/>
        </w:rPr>
        <w:t xml:space="preserve">non-marketable crypto-assets and utility tokens are not traded on exchanges and </w:t>
      </w:r>
      <w:r w:rsidR="4FFCADD6" w:rsidRPr="008704BD">
        <w:rPr>
          <w:rFonts w:ascii="Times New Roman" w:hAnsi="Times New Roman"/>
          <w:noProof/>
          <w:sz w:val="24"/>
          <w:lang w:val="en-GB"/>
        </w:rPr>
        <w:t xml:space="preserve">mostly </w:t>
      </w:r>
      <w:r w:rsidR="396F5B02" w:rsidRPr="008704BD">
        <w:rPr>
          <w:rFonts w:ascii="Times New Roman" w:hAnsi="Times New Roman"/>
          <w:noProof/>
          <w:sz w:val="24"/>
          <w:lang w:val="en-GB"/>
        </w:rPr>
        <w:t>do not have a value outside the context of their issuer.</w:t>
      </w:r>
      <w:r w:rsidR="0A432845" w:rsidRPr="008704BD">
        <w:rPr>
          <w:rFonts w:ascii="Times New Roman" w:hAnsi="Times New Roman"/>
          <w:noProof/>
          <w:sz w:val="24"/>
          <w:lang w:val="en-GB"/>
        </w:rPr>
        <w:t xml:space="preserve"> Their use do</w:t>
      </w:r>
      <w:r w:rsidR="007D6069" w:rsidRPr="008704BD">
        <w:rPr>
          <w:rFonts w:ascii="Times New Roman" w:hAnsi="Times New Roman"/>
          <w:noProof/>
          <w:sz w:val="24"/>
          <w:lang w:val="en-GB"/>
        </w:rPr>
        <w:t>es</w:t>
      </w:r>
      <w:r w:rsidR="0A432845" w:rsidRPr="008704BD" w:rsidDel="007D6069">
        <w:rPr>
          <w:rFonts w:ascii="Times New Roman" w:hAnsi="Times New Roman"/>
          <w:noProof/>
          <w:sz w:val="24"/>
          <w:lang w:val="en-GB"/>
        </w:rPr>
        <w:t xml:space="preserve"> </w:t>
      </w:r>
      <w:r w:rsidR="0A432845" w:rsidRPr="008704BD">
        <w:rPr>
          <w:rFonts w:ascii="Times New Roman" w:hAnsi="Times New Roman"/>
          <w:noProof/>
          <w:sz w:val="24"/>
          <w:lang w:val="en-GB"/>
        </w:rPr>
        <w:t xml:space="preserve">generally </w:t>
      </w:r>
      <w:r w:rsidR="007D6069" w:rsidRPr="008704BD">
        <w:rPr>
          <w:rFonts w:ascii="Times New Roman" w:hAnsi="Times New Roman"/>
          <w:noProof/>
          <w:sz w:val="24"/>
          <w:lang w:val="en-GB"/>
        </w:rPr>
        <w:t xml:space="preserve">not </w:t>
      </w:r>
      <w:r w:rsidR="0A432845" w:rsidRPr="008704BD">
        <w:rPr>
          <w:rFonts w:ascii="Times New Roman" w:hAnsi="Times New Roman"/>
          <w:noProof/>
          <w:sz w:val="24"/>
          <w:lang w:val="en-GB"/>
        </w:rPr>
        <w:t>have any tax consequences and the information would therefore not be useful for tax administrations.</w:t>
      </w:r>
    </w:p>
    <w:p w14:paraId="177673F3" w14:textId="22F44A1A" w:rsidR="004C0B20" w:rsidRDefault="003D5F4D" w:rsidP="004C0B20">
      <w:pPr>
        <w:jc w:val="both"/>
        <w:rPr>
          <w:rFonts w:ascii="Times New Roman" w:hAnsi="Times New Roman"/>
          <w:noProof/>
          <w:sz w:val="24"/>
          <w:lang w:val="en-GB"/>
        </w:rPr>
      </w:pPr>
      <w:r>
        <w:rPr>
          <w:rFonts w:ascii="Times New Roman" w:hAnsi="Times New Roman"/>
          <w:noProof/>
          <w:sz w:val="24"/>
          <w:lang w:val="en-GB"/>
        </w:rPr>
        <w:t>As discussed above, t</w:t>
      </w:r>
      <w:r w:rsidR="004C0B20" w:rsidRPr="008704BD">
        <w:rPr>
          <w:rFonts w:ascii="Times New Roman" w:hAnsi="Times New Roman"/>
          <w:noProof/>
          <w:sz w:val="24"/>
          <w:lang w:val="en-GB"/>
        </w:rPr>
        <w:t xml:space="preserve">he reporting would focus on </w:t>
      </w:r>
      <w:r w:rsidR="004C0B20">
        <w:rPr>
          <w:rFonts w:ascii="Times New Roman" w:hAnsi="Times New Roman"/>
          <w:noProof/>
          <w:sz w:val="24"/>
          <w:lang w:val="en-GB"/>
        </w:rPr>
        <w:t>transactional information</w:t>
      </w:r>
      <w:r w:rsidR="004C0B20" w:rsidRPr="008704BD">
        <w:rPr>
          <w:rFonts w:ascii="Times New Roman" w:hAnsi="Times New Roman"/>
          <w:noProof/>
          <w:sz w:val="24"/>
          <w:lang w:val="en-GB"/>
        </w:rPr>
        <w:t xml:space="preserve">, which would allow tax administrations to make a </w:t>
      </w:r>
      <w:r w:rsidR="004C0B20">
        <w:rPr>
          <w:rFonts w:ascii="Times New Roman" w:hAnsi="Times New Roman"/>
          <w:noProof/>
          <w:sz w:val="24"/>
          <w:lang w:val="en-GB"/>
        </w:rPr>
        <w:t xml:space="preserve">more precise </w:t>
      </w:r>
      <w:r w:rsidR="004C0B20" w:rsidRPr="008704BD">
        <w:rPr>
          <w:rFonts w:ascii="Times New Roman" w:hAnsi="Times New Roman"/>
          <w:noProof/>
          <w:sz w:val="24"/>
          <w:lang w:val="en-GB"/>
        </w:rPr>
        <w:t xml:space="preserve">risk assessment. Considering that many users make many transactions within short time frames, </w:t>
      </w:r>
      <w:r w:rsidR="004C0B20">
        <w:rPr>
          <w:rFonts w:ascii="Times New Roman" w:hAnsi="Times New Roman"/>
          <w:noProof/>
          <w:sz w:val="24"/>
          <w:lang w:val="en-GB"/>
        </w:rPr>
        <w:t>a reporting of information based on balances only</w:t>
      </w:r>
      <w:r w:rsidR="004C0B20" w:rsidRPr="008704BD">
        <w:rPr>
          <w:rFonts w:ascii="Times New Roman" w:hAnsi="Times New Roman"/>
          <w:noProof/>
          <w:sz w:val="24"/>
          <w:lang w:val="en-GB"/>
        </w:rPr>
        <w:t xml:space="preserve"> would in many cases require tax administrations to ask the CASPs for more detailed information, thus creating a second round of more detailed reporting. For the CASPs, the option would mean that less information would need to be reported initially, which would keep the administrative burden low. However, due to the likely frequent need for more detailed information, there would be an increased administrative burden in the second step of follow-up requests for information.</w:t>
      </w:r>
    </w:p>
    <w:p w14:paraId="364AEDE5" w14:textId="77777777" w:rsidR="007C0B29" w:rsidRDefault="004C0B20" w:rsidP="001E0C63">
      <w:pPr>
        <w:jc w:val="both"/>
        <w:rPr>
          <w:rFonts w:ascii="Times New Roman" w:hAnsi="Times New Roman"/>
          <w:noProof/>
          <w:sz w:val="24"/>
          <w:lang w:val="en-GB"/>
        </w:rPr>
      </w:pPr>
      <w:r w:rsidRPr="41BAA3BB">
        <w:rPr>
          <w:rFonts w:ascii="Times New Roman" w:hAnsi="Times New Roman"/>
          <w:noProof/>
          <w:sz w:val="24"/>
          <w:szCs w:val="24"/>
          <w:lang w:val="en-GB"/>
        </w:rPr>
        <w:t>Regarding the type of transactional information to be reported, we may distinguish three sub-options: Aggregated</w:t>
      </w:r>
      <w:r w:rsidR="001C44CC" w:rsidRPr="41BAA3BB">
        <w:rPr>
          <w:rFonts w:ascii="Times New Roman" w:hAnsi="Times New Roman"/>
          <w:noProof/>
          <w:sz w:val="24"/>
          <w:szCs w:val="24"/>
          <w:lang w:val="en-GB"/>
        </w:rPr>
        <w:t xml:space="preserve"> reporting, t</w:t>
      </w:r>
      <w:r w:rsidRPr="41BAA3BB">
        <w:rPr>
          <w:rFonts w:ascii="Times New Roman" w:hAnsi="Times New Roman"/>
          <w:noProof/>
          <w:sz w:val="24"/>
          <w:szCs w:val="24"/>
          <w:lang w:val="en-GB"/>
        </w:rPr>
        <w:t>ransaction by transaction and hybrid. In all cases, a SME</w:t>
      </w:r>
      <w:r w:rsidR="00A25ECA" w:rsidRPr="41BAA3BB">
        <w:rPr>
          <w:rStyle w:val="FootnoteReference"/>
          <w:rFonts w:ascii="Times New Roman" w:hAnsi="Times New Roman"/>
          <w:noProof/>
          <w:sz w:val="24"/>
          <w:szCs w:val="24"/>
          <w:lang w:val="en-GB"/>
        </w:rPr>
        <w:footnoteReference w:id="33"/>
      </w:r>
      <w:r w:rsidRPr="41BAA3BB">
        <w:rPr>
          <w:rFonts w:ascii="Times New Roman" w:hAnsi="Times New Roman"/>
          <w:noProof/>
          <w:sz w:val="24"/>
          <w:szCs w:val="24"/>
          <w:lang w:val="en-GB"/>
        </w:rPr>
        <w:t xml:space="preserve"> threshold is anal</w:t>
      </w:r>
      <w:r w:rsidR="00A25ECA" w:rsidRPr="41BAA3BB">
        <w:rPr>
          <w:rFonts w:ascii="Times New Roman" w:hAnsi="Times New Roman"/>
          <w:noProof/>
          <w:sz w:val="24"/>
          <w:szCs w:val="24"/>
          <w:lang w:val="en-GB"/>
        </w:rPr>
        <w:t>y</w:t>
      </w:r>
      <w:r w:rsidRPr="41BAA3BB">
        <w:rPr>
          <w:rFonts w:ascii="Times New Roman" w:hAnsi="Times New Roman"/>
          <w:noProof/>
          <w:sz w:val="24"/>
          <w:szCs w:val="24"/>
          <w:lang w:val="en-GB"/>
        </w:rPr>
        <w:t>sed against any of th</w:t>
      </w:r>
      <w:r w:rsidR="00EC7DA6" w:rsidRPr="41BAA3BB">
        <w:rPr>
          <w:rFonts w:ascii="Times New Roman" w:hAnsi="Times New Roman"/>
          <w:noProof/>
          <w:sz w:val="24"/>
          <w:szCs w:val="24"/>
          <w:lang w:val="en-GB"/>
        </w:rPr>
        <w:t>e</w:t>
      </w:r>
      <w:r w:rsidR="005C50E5" w:rsidRPr="41BAA3BB">
        <w:rPr>
          <w:rFonts w:ascii="Times New Roman" w:hAnsi="Times New Roman"/>
          <w:noProof/>
          <w:sz w:val="24"/>
          <w:szCs w:val="24"/>
          <w:lang w:val="en-GB"/>
        </w:rPr>
        <w:t>s</w:t>
      </w:r>
      <w:r w:rsidR="00EC7DA6" w:rsidRPr="41BAA3BB">
        <w:rPr>
          <w:rFonts w:ascii="Times New Roman" w:hAnsi="Times New Roman"/>
          <w:noProof/>
          <w:sz w:val="24"/>
          <w:szCs w:val="24"/>
          <w:lang w:val="en-GB"/>
        </w:rPr>
        <w:t>e</w:t>
      </w:r>
      <w:r w:rsidRPr="41BAA3BB">
        <w:rPr>
          <w:rFonts w:ascii="Times New Roman" w:hAnsi="Times New Roman"/>
          <w:noProof/>
          <w:sz w:val="24"/>
          <w:szCs w:val="24"/>
          <w:lang w:val="en-GB"/>
        </w:rPr>
        <w:t xml:space="preserve"> three sub-options</w:t>
      </w:r>
      <w:r w:rsidR="005C50E5" w:rsidRPr="41BAA3BB">
        <w:rPr>
          <w:rFonts w:ascii="Times New Roman" w:hAnsi="Times New Roman"/>
          <w:noProof/>
          <w:sz w:val="24"/>
          <w:szCs w:val="24"/>
          <w:lang w:val="en-GB"/>
        </w:rPr>
        <w:t xml:space="preserve"> making them in total six sub-options</w:t>
      </w:r>
      <w:r w:rsidRPr="41BAA3BB">
        <w:rPr>
          <w:rFonts w:ascii="Times New Roman" w:hAnsi="Times New Roman"/>
          <w:noProof/>
          <w:sz w:val="24"/>
          <w:szCs w:val="24"/>
          <w:lang w:val="en-GB"/>
        </w:rPr>
        <w:t>.</w:t>
      </w:r>
    </w:p>
    <w:p w14:paraId="73954201" w14:textId="6EF86B83" w:rsidR="007C0B29" w:rsidRPr="00931BFE" w:rsidRDefault="45E38CC3" w:rsidP="41BAA3BB">
      <w:pPr>
        <w:jc w:val="both"/>
        <w:rPr>
          <w:rFonts w:ascii="Times New Roman" w:hAnsi="Times New Roman"/>
          <w:b/>
          <w:bCs/>
          <w:noProof/>
          <w:sz w:val="24"/>
          <w:szCs w:val="24"/>
          <w:lang w:val="en-GB"/>
        </w:rPr>
      </w:pPr>
      <w:r w:rsidRPr="41BAA3BB">
        <w:rPr>
          <w:rFonts w:ascii="Times New Roman" w:hAnsi="Times New Roman"/>
          <w:b/>
          <w:bCs/>
          <w:noProof/>
          <w:sz w:val="24"/>
          <w:szCs w:val="24"/>
          <w:lang w:val="en-GB"/>
        </w:rPr>
        <w:t>O</w:t>
      </w:r>
      <w:r w:rsidR="24C7A50E" w:rsidRPr="41BAA3BB">
        <w:rPr>
          <w:rFonts w:ascii="Times New Roman" w:hAnsi="Times New Roman"/>
          <w:b/>
          <w:bCs/>
          <w:noProof/>
          <w:sz w:val="24"/>
          <w:szCs w:val="24"/>
          <w:lang w:val="en-GB"/>
        </w:rPr>
        <w:t xml:space="preserve">ption </w:t>
      </w:r>
      <w:r w:rsidR="00953C53">
        <w:rPr>
          <w:rFonts w:ascii="Times New Roman" w:hAnsi="Times New Roman"/>
          <w:b/>
          <w:bCs/>
          <w:noProof/>
          <w:sz w:val="24"/>
          <w:szCs w:val="24"/>
          <w:lang w:val="en-GB"/>
        </w:rPr>
        <w:t>1</w:t>
      </w:r>
      <w:r w:rsidR="4432F175" w:rsidRPr="41BAA3BB">
        <w:rPr>
          <w:rFonts w:ascii="Times New Roman" w:hAnsi="Times New Roman"/>
          <w:b/>
          <w:bCs/>
          <w:noProof/>
          <w:sz w:val="24"/>
          <w:szCs w:val="24"/>
          <w:lang w:val="en-GB"/>
        </w:rPr>
        <w:t>.</w:t>
      </w:r>
      <w:r w:rsidR="24C7A50E" w:rsidRPr="41BAA3BB">
        <w:rPr>
          <w:rFonts w:ascii="Times New Roman" w:hAnsi="Times New Roman"/>
          <w:b/>
          <w:bCs/>
          <w:noProof/>
          <w:sz w:val="24"/>
          <w:szCs w:val="24"/>
          <w:lang w:val="en-GB"/>
        </w:rPr>
        <w:t xml:space="preserve"> Transaction by transaction.</w:t>
      </w:r>
    </w:p>
    <w:p w14:paraId="40121C12" w14:textId="56A31730" w:rsidR="007C0B29" w:rsidRPr="00931BFE" w:rsidRDefault="24C7A50E" w:rsidP="41BAA3BB">
      <w:pPr>
        <w:jc w:val="both"/>
        <w:rPr>
          <w:rFonts w:ascii="Times New Roman" w:hAnsi="Times New Roman"/>
          <w:noProof/>
          <w:sz w:val="24"/>
          <w:szCs w:val="24"/>
          <w:lang w:val="en-GB"/>
        </w:rPr>
      </w:pPr>
      <w:r w:rsidRPr="02355236">
        <w:rPr>
          <w:rFonts w:ascii="Times New Roman" w:hAnsi="Times New Roman"/>
          <w:noProof/>
          <w:sz w:val="24"/>
          <w:szCs w:val="24"/>
          <w:lang w:val="en-GB"/>
        </w:rPr>
        <w:t xml:space="preserve">Under this policy option, the reporting and exchange of information would apply to all crypto-assets, except non-marketable crypto-assets and utility tokens, introducing a reporting obligation on all CASPs that have EU users. In this case, the information would be reported on a transaction by transaction basis which means that each and every transaction </w:t>
      </w:r>
      <w:r w:rsidR="00B9767E" w:rsidRPr="02355236">
        <w:rPr>
          <w:rFonts w:ascii="Times New Roman" w:hAnsi="Times New Roman"/>
          <w:noProof/>
          <w:sz w:val="24"/>
          <w:szCs w:val="24"/>
          <w:lang w:val="en-GB"/>
        </w:rPr>
        <w:t xml:space="preserve">made </w:t>
      </w:r>
      <w:r w:rsidRPr="02355236">
        <w:rPr>
          <w:rFonts w:ascii="Times New Roman" w:hAnsi="Times New Roman"/>
          <w:noProof/>
          <w:sz w:val="24"/>
          <w:szCs w:val="24"/>
          <w:lang w:val="en-GB"/>
        </w:rPr>
        <w:t xml:space="preserve">by a CASP for a crypto-asset user will have to be reported.  </w:t>
      </w:r>
    </w:p>
    <w:p w14:paraId="11CBB42F" w14:textId="49665EE3" w:rsidR="007C0B29" w:rsidRPr="00931BFE" w:rsidRDefault="24C7A50E" w:rsidP="41BAA3BB">
      <w:pPr>
        <w:jc w:val="both"/>
        <w:rPr>
          <w:rFonts w:ascii="Times New Roman" w:hAnsi="Times New Roman"/>
          <w:noProof/>
          <w:sz w:val="24"/>
          <w:szCs w:val="24"/>
          <w:lang w:val="en-GB"/>
        </w:rPr>
      </w:pPr>
      <w:r w:rsidRPr="41BAA3BB">
        <w:rPr>
          <w:rFonts w:ascii="Times New Roman" w:hAnsi="Times New Roman"/>
          <w:noProof/>
          <w:sz w:val="24"/>
          <w:szCs w:val="24"/>
          <w:lang w:val="en-GB"/>
        </w:rPr>
        <w:t xml:space="preserve">Under this option, CASPs would report the data concerning each transaction with crypto-assets owned by EU users. In the same way, as under Option </w:t>
      </w:r>
      <w:r w:rsidR="001E0D2E">
        <w:rPr>
          <w:rFonts w:ascii="Times New Roman" w:hAnsi="Times New Roman"/>
          <w:noProof/>
          <w:sz w:val="24"/>
          <w:szCs w:val="24"/>
          <w:lang w:val="en-GB"/>
        </w:rPr>
        <w:t>3</w:t>
      </w:r>
      <w:r w:rsidRPr="41BAA3BB">
        <w:rPr>
          <w:rFonts w:ascii="Times New Roman" w:hAnsi="Times New Roman"/>
          <w:noProof/>
          <w:sz w:val="24"/>
          <w:szCs w:val="24"/>
          <w:lang w:val="en-GB"/>
        </w:rPr>
        <w:t xml:space="preserve"> and </w:t>
      </w:r>
      <w:r w:rsidR="001E0D2E">
        <w:rPr>
          <w:rFonts w:ascii="Times New Roman" w:hAnsi="Times New Roman"/>
          <w:noProof/>
          <w:sz w:val="24"/>
          <w:szCs w:val="24"/>
          <w:lang w:val="en-GB"/>
        </w:rPr>
        <w:t>5</w:t>
      </w:r>
      <w:r w:rsidRPr="41BAA3BB">
        <w:rPr>
          <w:rFonts w:ascii="Times New Roman" w:hAnsi="Times New Roman"/>
          <w:noProof/>
          <w:sz w:val="24"/>
          <w:szCs w:val="24"/>
          <w:lang w:val="en-GB"/>
        </w:rPr>
        <w:t xml:space="preserve">, all CASPs would need to report as far as they intermediate EU users’ transactions, regardless of where they are located. </w:t>
      </w:r>
    </w:p>
    <w:p w14:paraId="4ECC3A27" w14:textId="62108931" w:rsidR="007C0B29" w:rsidRPr="00931BFE" w:rsidRDefault="24C7A50E" w:rsidP="41BAA3BB">
      <w:pPr>
        <w:jc w:val="both"/>
        <w:rPr>
          <w:rFonts w:ascii="Times New Roman" w:hAnsi="Times New Roman"/>
          <w:noProof/>
          <w:sz w:val="24"/>
          <w:szCs w:val="24"/>
          <w:lang w:val="en-GB"/>
        </w:rPr>
      </w:pPr>
      <w:r w:rsidRPr="41BAA3BB">
        <w:rPr>
          <w:rFonts w:ascii="Times New Roman" w:hAnsi="Times New Roman"/>
          <w:noProof/>
          <w:sz w:val="24"/>
          <w:szCs w:val="24"/>
          <w:lang w:val="en-GB"/>
        </w:rPr>
        <w:t xml:space="preserve">The reported information would consist of detailed transactional information per crypto-asset user. Consequently, the level of information would be so precise that tax administrations would not need to seek additional information to calculate the taxes due by crypto-asset users. However, the mass of data that would have to be managed by CASPs and tax administrations would entail higher investments in IT infrastructure to guarantee its functionality and operability, resulting in higher costs than other options. </w:t>
      </w:r>
    </w:p>
    <w:p w14:paraId="22751224" w14:textId="14C80229" w:rsidR="007C0B29" w:rsidRPr="00931BFE" w:rsidRDefault="78B4A7A3" w:rsidP="41BAA3BB">
      <w:pPr>
        <w:jc w:val="both"/>
        <w:rPr>
          <w:rFonts w:ascii="Times New Roman" w:hAnsi="Times New Roman"/>
          <w:b/>
          <w:bCs/>
          <w:noProof/>
          <w:sz w:val="24"/>
          <w:szCs w:val="24"/>
          <w:lang w:val="en-GB"/>
        </w:rPr>
      </w:pPr>
      <w:r w:rsidRPr="41BAA3BB">
        <w:rPr>
          <w:rFonts w:ascii="Times New Roman" w:hAnsi="Times New Roman"/>
          <w:b/>
          <w:bCs/>
          <w:noProof/>
          <w:sz w:val="24"/>
          <w:szCs w:val="24"/>
          <w:lang w:val="en-GB"/>
        </w:rPr>
        <w:t>O</w:t>
      </w:r>
      <w:r w:rsidR="24C7A50E" w:rsidRPr="41BAA3BB">
        <w:rPr>
          <w:rFonts w:ascii="Times New Roman" w:hAnsi="Times New Roman"/>
          <w:b/>
          <w:bCs/>
          <w:noProof/>
          <w:sz w:val="24"/>
          <w:szCs w:val="24"/>
          <w:lang w:val="en-GB"/>
        </w:rPr>
        <w:t xml:space="preserve">ption </w:t>
      </w:r>
      <w:r w:rsidR="001E0D2E">
        <w:rPr>
          <w:rFonts w:ascii="Times New Roman" w:hAnsi="Times New Roman"/>
          <w:b/>
          <w:bCs/>
          <w:noProof/>
          <w:sz w:val="24"/>
          <w:szCs w:val="24"/>
          <w:lang w:val="en-GB"/>
        </w:rPr>
        <w:t>2</w:t>
      </w:r>
      <w:r w:rsidR="3816E922" w:rsidRPr="41BAA3BB">
        <w:rPr>
          <w:rFonts w:ascii="Times New Roman" w:hAnsi="Times New Roman"/>
          <w:b/>
          <w:bCs/>
          <w:noProof/>
          <w:sz w:val="24"/>
          <w:szCs w:val="24"/>
          <w:lang w:val="en-GB"/>
        </w:rPr>
        <w:t>.</w:t>
      </w:r>
      <w:r w:rsidR="24C7A50E" w:rsidRPr="41BAA3BB">
        <w:rPr>
          <w:rFonts w:ascii="Times New Roman" w:hAnsi="Times New Roman"/>
          <w:b/>
          <w:bCs/>
          <w:noProof/>
          <w:sz w:val="24"/>
          <w:szCs w:val="24"/>
          <w:lang w:val="en-GB"/>
        </w:rPr>
        <w:t xml:space="preserve"> Transaction by transaction with a SME threshold.</w:t>
      </w:r>
    </w:p>
    <w:p w14:paraId="0045C03B" w14:textId="7A6664D8" w:rsidR="007C0B29" w:rsidRPr="00931BFE" w:rsidRDefault="00723430" w:rsidP="41BAA3BB">
      <w:pPr>
        <w:jc w:val="both"/>
        <w:rPr>
          <w:rFonts w:ascii="Times New Roman" w:hAnsi="Times New Roman"/>
          <w:noProof/>
          <w:sz w:val="24"/>
          <w:szCs w:val="24"/>
          <w:lang w:val="en-GB"/>
        </w:rPr>
      </w:pPr>
      <w:r>
        <w:rPr>
          <w:rFonts w:ascii="Times New Roman" w:hAnsi="Times New Roman"/>
          <w:noProof/>
          <w:sz w:val="24"/>
          <w:szCs w:val="24"/>
          <w:lang w:val="en-GB"/>
        </w:rPr>
        <w:t>T</w:t>
      </w:r>
      <w:r w:rsidR="24C7A50E" w:rsidRPr="41BAA3BB">
        <w:rPr>
          <w:rFonts w:ascii="Times New Roman" w:hAnsi="Times New Roman"/>
          <w:noProof/>
          <w:sz w:val="24"/>
          <w:szCs w:val="24"/>
          <w:lang w:val="en-GB"/>
        </w:rPr>
        <w:t>his option</w:t>
      </w:r>
      <w:r>
        <w:rPr>
          <w:rFonts w:ascii="Times New Roman" w:hAnsi="Times New Roman"/>
          <w:noProof/>
          <w:sz w:val="24"/>
          <w:szCs w:val="24"/>
          <w:lang w:val="en-GB"/>
        </w:rPr>
        <w:t xml:space="preserve"> is similar to the previous one, but it</w:t>
      </w:r>
      <w:r w:rsidR="24C7A50E" w:rsidRPr="41BAA3BB">
        <w:rPr>
          <w:rFonts w:ascii="Times New Roman" w:hAnsi="Times New Roman"/>
          <w:noProof/>
          <w:sz w:val="24"/>
          <w:szCs w:val="24"/>
          <w:lang w:val="en-GB"/>
        </w:rPr>
        <w:t xml:space="preserve"> introduc</w:t>
      </w:r>
      <w:r w:rsidR="00B52AE5">
        <w:rPr>
          <w:rFonts w:ascii="Times New Roman" w:hAnsi="Times New Roman"/>
          <w:noProof/>
          <w:sz w:val="24"/>
          <w:szCs w:val="24"/>
          <w:lang w:val="en-GB"/>
        </w:rPr>
        <w:t>es</w:t>
      </w:r>
      <w:r w:rsidR="24C7A50E" w:rsidRPr="41BAA3BB">
        <w:rPr>
          <w:rFonts w:ascii="Times New Roman" w:hAnsi="Times New Roman"/>
          <w:noProof/>
          <w:sz w:val="24"/>
          <w:szCs w:val="24"/>
          <w:lang w:val="en-GB"/>
        </w:rPr>
        <w:t xml:space="preserve"> a threshold for </w:t>
      </w:r>
      <w:r w:rsidR="00B52AE5">
        <w:rPr>
          <w:rFonts w:ascii="Times New Roman" w:hAnsi="Times New Roman"/>
          <w:noProof/>
          <w:sz w:val="24"/>
          <w:szCs w:val="24"/>
          <w:lang w:val="en-GB"/>
        </w:rPr>
        <w:t xml:space="preserve">CASPs that are </w:t>
      </w:r>
      <w:r w:rsidR="24C7A50E" w:rsidRPr="41BAA3BB">
        <w:rPr>
          <w:rFonts w:ascii="Times New Roman" w:hAnsi="Times New Roman"/>
          <w:noProof/>
          <w:sz w:val="24"/>
          <w:szCs w:val="24"/>
          <w:lang w:val="en-GB"/>
        </w:rPr>
        <w:t>SMEs. In this case SMEs would not need to report.</w:t>
      </w:r>
    </w:p>
    <w:p w14:paraId="0EEC400C" w14:textId="58079105" w:rsidR="007C0B29" w:rsidRPr="00931BFE" w:rsidRDefault="24C7A50E" w:rsidP="41BAA3BB">
      <w:pPr>
        <w:jc w:val="both"/>
        <w:rPr>
          <w:rFonts w:ascii="Times New Roman" w:hAnsi="Times New Roman"/>
          <w:noProof/>
          <w:sz w:val="24"/>
          <w:szCs w:val="24"/>
          <w:lang w:val="en-GB"/>
        </w:rPr>
      </w:pPr>
      <w:r w:rsidRPr="41BAA3BB">
        <w:rPr>
          <w:rFonts w:ascii="Times New Roman" w:hAnsi="Times New Roman"/>
          <w:noProof/>
          <w:sz w:val="24"/>
          <w:szCs w:val="24"/>
          <w:lang w:val="en-GB"/>
        </w:rPr>
        <w:t xml:space="preserve">The costs </w:t>
      </w:r>
      <w:r w:rsidR="003B0707">
        <w:rPr>
          <w:rFonts w:ascii="Times New Roman" w:hAnsi="Times New Roman"/>
          <w:noProof/>
          <w:sz w:val="24"/>
          <w:szCs w:val="24"/>
          <w:lang w:val="en-GB"/>
        </w:rPr>
        <w:t xml:space="preserve">associated to the initiative </w:t>
      </w:r>
      <w:r w:rsidRPr="41BAA3BB">
        <w:rPr>
          <w:rFonts w:ascii="Times New Roman" w:hAnsi="Times New Roman"/>
          <w:noProof/>
          <w:sz w:val="24"/>
          <w:szCs w:val="24"/>
          <w:lang w:val="en-GB"/>
        </w:rPr>
        <w:t xml:space="preserve">could be contained by introducing an SME threshold as the amount of information would be reduced. However, these thresholds would constitute a loophole in the system as some users would prefer to use SME CASPS </w:t>
      </w:r>
      <w:r w:rsidR="00B52AE5">
        <w:rPr>
          <w:rFonts w:ascii="Times New Roman" w:hAnsi="Times New Roman"/>
          <w:noProof/>
          <w:sz w:val="24"/>
          <w:szCs w:val="24"/>
          <w:lang w:val="en-GB"/>
        </w:rPr>
        <w:t>to avoid having</w:t>
      </w:r>
      <w:r w:rsidRPr="41BAA3BB">
        <w:rPr>
          <w:rFonts w:ascii="Times New Roman" w:hAnsi="Times New Roman"/>
          <w:noProof/>
          <w:sz w:val="24"/>
          <w:szCs w:val="24"/>
          <w:lang w:val="en-GB"/>
        </w:rPr>
        <w:t xml:space="preserve"> information concerning their crypto-assets transactions </w:t>
      </w:r>
      <w:r w:rsidR="00B52AE5">
        <w:rPr>
          <w:rFonts w:ascii="Times New Roman" w:hAnsi="Times New Roman"/>
          <w:noProof/>
          <w:sz w:val="24"/>
          <w:szCs w:val="24"/>
          <w:lang w:val="en-GB"/>
        </w:rPr>
        <w:t xml:space="preserve">reported, </w:t>
      </w:r>
      <w:r w:rsidRPr="41BAA3BB">
        <w:rPr>
          <w:rFonts w:ascii="Times New Roman" w:hAnsi="Times New Roman"/>
          <w:noProof/>
          <w:sz w:val="24"/>
          <w:szCs w:val="24"/>
          <w:lang w:val="en-GB"/>
        </w:rPr>
        <w:t>even though large value transactions could still be performed through SME CASPs.</w:t>
      </w:r>
      <w:r w:rsidRPr="41BAA3BB">
        <w:rPr>
          <w:rFonts w:ascii="Times New Roman" w:hAnsi="Times New Roman"/>
          <w:b/>
          <w:bCs/>
          <w:noProof/>
          <w:sz w:val="24"/>
          <w:szCs w:val="24"/>
          <w:lang w:val="en-GB"/>
        </w:rPr>
        <w:t xml:space="preserve"> </w:t>
      </w:r>
    </w:p>
    <w:p w14:paraId="1861D113" w14:textId="35535A83" w:rsidR="007C0B29" w:rsidRPr="00931BFE" w:rsidRDefault="723AC7B7" w:rsidP="41BAA3BB">
      <w:pPr>
        <w:jc w:val="both"/>
        <w:rPr>
          <w:rFonts w:ascii="Times New Roman" w:hAnsi="Times New Roman"/>
          <w:b/>
          <w:bCs/>
          <w:noProof/>
          <w:sz w:val="24"/>
          <w:szCs w:val="24"/>
          <w:lang w:val="en-GB"/>
        </w:rPr>
      </w:pPr>
      <w:r w:rsidRPr="41BAA3BB">
        <w:rPr>
          <w:rFonts w:ascii="Times New Roman" w:hAnsi="Times New Roman"/>
          <w:b/>
          <w:bCs/>
          <w:noProof/>
          <w:sz w:val="24"/>
          <w:szCs w:val="24"/>
          <w:lang w:val="en-GB"/>
        </w:rPr>
        <w:t>O</w:t>
      </w:r>
      <w:r w:rsidR="007C0B29" w:rsidRPr="41BAA3BB">
        <w:rPr>
          <w:rFonts w:ascii="Times New Roman" w:hAnsi="Times New Roman"/>
          <w:b/>
          <w:bCs/>
          <w:noProof/>
          <w:sz w:val="24"/>
          <w:szCs w:val="24"/>
          <w:lang w:val="en-GB"/>
        </w:rPr>
        <w:t xml:space="preserve">ption </w:t>
      </w:r>
      <w:r w:rsidR="001E0D2E">
        <w:rPr>
          <w:rFonts w:ascii="Times New Roman" w:hAnsi="Times New Roman"/>
          <w:b/>
          <w:bCs/>
          <w:noProof/>
          <w:sz w:val="24"/>
          <w:szCs w:val="24"/>
          <w:lang w:val="en-GB"/>
        </w:rPr>
        <w:t>3</w:t>
      </w:r>
      <w:r w:rsidR="457CE1AE" w:rsidRPr="41BAA3BB">
        <w:rPr>
          <w:rFonts w:ascii="Times New Roman" w:hAnsi="Times New Roman"/>
          <w:b/>
          <w:bCs/>
          <w:noProof/>
          <w:sz w:val="24"/>
          <w:szCs w:val="24"/>
          <w:lang w:val="en-GB"/>
        </w:rPr>
        <w:t>.</w:t>
      </w:r>
      <w:r w:rsidR="007C0B29" w:rsidRPr="41BAA3BB">
        <w:rPr>
          <w:rFonts w:ascii="Times New Roman" w:hAnsi="Times New Roman"/>
          <w:b/>
          <w:bCs/>
          <w:noProof/>
          <w:sz w:val="24"/>
          <w:szCs w:val="24"/>
          <w:lang w:val="en-GB"/>
        </w:rPr>
        <w:t xml:space="preserve"> Fully aggregated reporting:</w:t>
      </w:r>
    </w:p>
    <w:p w14:paraId="7B9E7709" w14:textId="72F64733" w:rsidR="008A1365" w:rsidRDefault="008A1365" w:rsidP="00632FB4">
      <w:pPr>
        <w:jc w:val="both"/>
        <w:rPr>
          <w:rFonts w:ascii="Times New Roman" w:hAnsi="Times New Roman"/>
          <w:noProof/>
          <w:sz w:val="24"/>
          <w:lang w:val="en-GB"/>
        </w:rPr>
      </w:pPr>
      <w:r w:rsidRPr="008A1365">
        <w:rPr>
          <w:rFonts w:ascii="Times New Roman" w:hAnsi="Times New Roman"/>
          <w:noProof/>
          <w:sz w:val="24"/>
          <w:lang w:val="en-GB"/>
        </w:rPr>
        <w:t xml:space="preserve">Under this policy option, the reporting and exchange of information would apply to all crypto-assets, except non-marketable crypto-assets and utility tokens, introducing a reporting obligation of fully aggregated information </w:t>
      </w:r>
      <w:r>
        <w:rPr>
          <w:rFonts w:ascii="Times New Roman" w:hAnsi="Times New Roman"/>
          <w:noProof/>
          <w:sz w:val="24"/>
          <w:lang w:val="en-GB"/>
        </w:rPr>
        <w:t>on all CASPs that have EU users</w:t>
      </w:r>
      <w:r w:rsidRPr="008A1365">
        <w:rPr>
          <w:rFonts w:ascii="Times New Roman" w:hAnsi="Times New Roman"/>
          <w:noProof/>
          <w:sz w:val="24"/>
          <w:lang w:val="en-GB"/>
        </w:rPr>
        <w:t>. Fully aggregated information would provide a general picture of the crypto-asset user’s transactions, which could only be used for risk assessment purposes. In</w:t>
      </w:r>
      <w:r>
        <w:rPr>
          <w:rFonts w:ascii="Times New Roman" w:hAnsi="Times New Roman"/>
          <w:noProof/>
          <w:sz w:val="24"/>
          <w:lang w:val="en-GB"/>
        </w:rPr>
        <w:t xml:space="preserve"> case of need for additional information</w:t>
      </w:r>
      <w:r w:rsidRPr="008A1365">
        <w:rPr>
          <w:rFonts w:ascii="Times New Roman" w:hAnsi="Times New Roman"/>
          <w:noProof/>
          <w:sz w:val="24"/>
          <w:lang w:val="en-GB"/>
        </w:rPr>
        <w:t xml:space="preserve">, </w:t>
      </w:r>
      <w:r>
        <w:rPr>
          <w:rFonts w:ascii="Times New Roman" w:hAnsi="Times New Roman"/>
          <w:noProof/>
          <w:sz w:val="24"/>
          <w:lang w:val="en-GB"/>
        </w:rPr>
        <w:t>tax administra</w:t>
      </w:r>
      <w:r w:rsidRPr="008A1365">
        <w:rPr>
          <w:rFonts w:ascii="Times New Roman" w:hAnsi="Times New Roman"/>
          <w:noProof/>
          <w:sz w:val="24"/>
          <w:lang w:val="en-GB"/>
        </w:rPr>
        <w:t xml:space="preserve">tions would have to request it from CASPs through a second round of reporting on request. Consequently, the fully aggregated option would require </w:t>
      </w:r>
      <w:r w:rsidR="003B0707">
        <w:rPr>
          <w:rFonts w:ascii="Times New Roman" w:hAnsi="Times New Roman"/>
          <w:noProof/>
          <w:sz w:val="24"/>
          <w:lang w:val="en-GB"/>
        </w:rPr>
        <w:t>follow-up</w:t>
      </w:r>
      <w:r w:rsidR="003B0707" w:rsidRPr="008A1365">
        <w:rPr>
          <w:rFonts w:ascii="Times New Roman" w:hAnsi="Times New Roman"/>
          <w:noProof/>
          <w:sz w:val="24"/>
          <w:lang w:val="en-GB"/>
        </w:rPr>
        <w:t xml:space="preserve"> </w:t>
      </w:r>
      <w:r w:rsidRPr="008A1365">
        <w:rPr>
          <w:rFonts w:ascii="Times New Roman" w:hAnsi="Times New Roman"/>
          <w:noProof/>
          <w:sz w:val="24"/>
          <w:lang w:val="en-GB"/>
        </w:rPr>
        <w:t xml:space="preserve">action from the tax administration concerning taxpayers that present a higher level of risk.  </w:t>
      </w:r>
    </w:p>
    <w:p w14:paraId="09497BF5" w14:textId="0CBE4D75" w:rsidR="00632FB4" w:rsidRDefault="00632FB4" w:rsidP="006D53AF">
      <w:pPr>
        <w:jc w:val="both"/>
        <w:rPr>
          <w:rFonts w:ascii="Times New Roman" w:hAnsi="Times New Roman"/>
          <w:noProof/>
          <w:sz w:val="24"/>
          <w:lang w:val="en-GB"/>
        </w:rPr>
      </w:pPr>
      <w:r w:rsidRPr="00632FB4">
        <w:rPr>
          <w:rFonts w:ascii="Times New Roman" w:hAnsi="Times New Roman"/>
          <w:noProof/>
          <w:sz w:val="24"/>
          <w:lang w:val="en-GB"/>
        </w:rPr>
        <w:t>The absence of a threshold on the size of the CASPs would result in a more significant volume of information being reported to tax administrations. This would result in a higher administrative burden for tax administrations</w:t>
      </w:r>
      <w:r w:rsidR="003B0707">
        <w:rPr>
          <w:rFonts w:ascii="Times New Roman" w:hAnsi="Times New Roman"/>
          <w:noProof/>
          <w:sz w:val="24"/>
          <w:lang w:val="en-GB"/>
        </w:rPr>
        <w:t xml:space="preserve">, but </w:t>
      </w:r>
      <w:r w:rsidRPr="00632FB4">
        <w:rPr>
          <w:rFonts w:ascii="Times New Roman" w:hAnsi="Times New Roman"/>
          <w:noProof/>
          <w:sz w:val="24"/>
          <w:lang w:val="en-GB"/>
        </w:rPr>
        <w:t xml:space="preserve">would </w:t>
      </w:r>
      <w:r w:rsidR="003B0707">
        <w:rPr>
          <w:rFonts w:ascii="Times New Roman" w:hAnsi="Times New Roman"/>
          <w:noProof/>
          <w:sz w:val="24"/>
          <w:lang w:val="en-GB"/>
        </w:rPr>
        <w:t>equip</w:t>
      </w:r>
      <w:r w:rsidR="003B0707" w:rsidRPr="00632FB4">
        <w:rPr>
          <w:rFonts w:ascii="Times New Roman" w:hAnsi="Times New Roman"/>
          <w:noProof/>
          <w:sz w:val="24"/>
          <w:lang w:val="en-GB"/>
        </w:rPr>
        <w:t xml:space="preserve"> </w:t>
      </w:r>
      <w:r w:rsidRPr="00632FB4">
        <w:rPr>
          <w:rFonts w:ascii="Times New Roman" w:hAnsi="Times New Roman"/>
          <w:noProof/>
          <w:sz w:val="24"/>
          <w:lang w:val="en-GB"/>
        </w:rPr>
        <w:t xml:space="preserve">tax administrations with different means to combat tax fraud, evasion and avoidance. </w:t>
      </w:r>
      <w:r w:rsidR="008A1365">
        <w:rPr>
          <w:rFonts w:ascii="Times New Roman" w:hAnsi="Times New Roman"/>
          <w:noProof/>
          <w:sz w:val="24"/>
          <w:lang w:val="en-GB"/>
        </w:rPr>
        <w:t xml:space="preserve">However, this would lead to additional </w:t>
      </w:r>
      <w:r w:rsidRPr="00632FB4">
        <w:rPr>
          <w:rFonts w:ascii="Times New Roman" w:hAnsi="Times New Roman"/>
          <w:noProof/>
          <w:sz w:val="24"/>
          <w:lang w:val="en-GB"/>
        </w:rPr>
        <w:t xml:space="preserve">administrative burden for the CASPs of a smaller size, which would be proportionately more burdensome than for CASPs of a bigger size. </w:t>
      </w:r>
    </w:p>
    <w:p w14:paraId="1EFF3000" w14:textId="23BC8E6F" w:rsidR="006D53AF" w:rsidRPr="004D178A" w:rsidRDefault="122D227F" w:rsidP="41BAA3BB">
      <w:pPr>
        <w:jc w:val="both"/>
        <w:rPr>
          <w:rFonts w:ascii="Times New Roman" w:hAnsi="Times New Roman"/>
          <w:b/>
          <w:bCs/>
          <w:noProof/>
          <w:sz w:val="24"/>
          <w:szCs w:val="24"/>
          <w:lang w:val="en-GB"/>
        </w:rPr>
      </w:pPr>
      <w:r w:rsidRPr="41BAA3BB">
        <w:rPr>
          <w:rFonts w:ascii="Times New Roman" w:hAnsi="Times New Roman"/>
          <w:b/>
          <w:bCs/>
          <w:noProof/>
          <w:sz w:val="24"/>
          <w:szCs w:val="24"/>
          <w:lang w:val="en-GB"/>
        </w:rPr>
        <w:t>O</w:t>
      </w:r>
      <w:r w:rsidR="006D53AF" w:rsidRPr="41BAA3BB">
        <w:rPr>
          <w:rFonts w:ascii="Times New Roman" w:hAnsi="Times New Roman"/>
          <w:b/>
          <w:bCs/>
          <w:noProof/>
          <w:sz w:val="24"/>
          <w:szCs w:val="24"/>
          <w:lang w:val="en-GB"/>
        </w:rPr>
        <w:t xml:space="preserve">ption </w:t>
      </w:r>
      <w:r w:rsidR="001E0D2E">
        <w:rPr>
          <w:rFonts w:ascii="Times New Roman" w:hAnsi="Times New Roman"/>
          <w:b/>
          <w:bCs/>
          <w:noProof/>
          <w:sz w:val="24"/>
          <w:szCs w:val="24"/>
          <w:lang w:val="en-GB"/>
        </w:rPr>
        <w:t>4</w:t>
      </w:r>
      <w:r w:rsidR="5B4181FB" w:rsidRPr="41BAA3BB">
        <w:rPr>
          <w:rFonts w:ascii="Times New Roman" w:hAnsi="Times New Roman"/>
          <w:b/>
          <w:bCs/>
          <w:noProof/>
          <w:sz w:val="24"/>
          <w:szCs w:val="24"/>
          <w:lang w:val="en-GB"/>
        </w:rPr>
        <w:t>.</w:t>
      </w:r>
      <w:r w:rsidR="006D53AF" w:rsidRPr="41BAA3BB">
        <w:rPr>
          <w:rFonts w:ascii="Times New Roman" w:hAnsi="Times New Roman"/>
          <w:b/>
          <w:bCs/>
          <w:noProof/>
          <w:sz w:val="24"/>
          <w:szCs w:val="24"/>
          <w:lang w:val="en-GB"/>
        </w:rPr>
        <w:t xml:space="preserve"> Fully aggregated reporting</w:t>
      </w:r>
      <w:r w:rsidR="00F807EF" w:rsidRPr="41BAA3BB">
        <w:rPr>
          <w:rFonts w:ascii="Times New Roman" w:hAnsi="Times New Roman"/>
          <w:b/>
          <w:bCs/>
          <w:noProof/>
          <w:sz w:val="24"/>
          <w:szCs w:val="24"/>
          <w:lang w:val="en-GB"/>
        </w:rPr>
        <w:t xml:space="preserve"> with a</w:t>
      </w:r>
      <w:r w:rsidR="008A1365" w:rsidRPr="41BAA3BB">
        <w:rPr>
          <w:rFonts w:ascii="Times New Roman" w:hAnsi="Times New Roman"/>
          <w:b/>
          <w:bCs/>
          <w:noProof/>
          <w:sz w:val="24"/>
          <w:szCs w:val="24"/>
          <w:lang w:val="en-GB"/>
        </w:rPr>
        <w:t>n</w:t>
      </w:r>
      <w:r w:rsidR="00F807EF" w:rsidRPr="41BAA3BB">
        <w:rPr>
          <w:rFonts w:ascii="Times New Roman" w:hAnsi="Times New Roman"/>
          <w:b/>
          <w:bCs/>
          <w:noProof/>
          <w:sz w:val="24"/>
          <w:szCs w:val="24"/>
          <w:lang w:val="en-GB"/>
        </w:rPr>
        <w:t xml:space="preserve"> SME threshold</w:t>
      </w:r>
      <w:r w:rsidR="006D53AF" w:rsidRPr="41BAA3BB">
        <w:rPr>
          <w:rFonts w:ascii="Times New Roman" w:hAnsi="Times New Roman"/>
          <w:b/>
          <w:bCs/>
          <w:noProof/>
          <w:sz w:val="24"/>
          <w:szCs w:val="24"/>
          <w:lang w:val="en-GB"/>
        </w:rPr>
        <w:t>:</w:t>
      </w:r>
    </w:p>
    <w:p w14:paraId="3EE127F9" w14:textId="127729C4" w:rsidR="00632FB4" w:rsidRPr="00632FB4" w:rsidRDefault="00632FB4" w:rsidP="00632FB4">
      <w:pPr>
        <w:jc w:val="both"/>
        <w:rPr>
          <w:rFonts w:ascii="Times New Roman" w:hAnsi="Times New Roman"/>
          <w:noProof/>
          <w:sz w:val="24"/>
          <w:lang w:val="en-GB"/>
        </w:rPr>
      </w:pPr>
      <w:r w:rsidRPr="00632FB4">
        <w:rPr>
          <w:rFonts w:ascii="Times New Roman" w:hAnsi="Times New Roman"/>
          <w:noProof/>
          <w:sz w:val="24"/>
          <w:lang w:val="en-GB"/>
        </w:rPr>
        <w:t xml:space="preserve">This option </w:t>
      </w:r>
      <w:r w:rsidR="00746351">
        <w:rPr>
          <w:rFonts w:ascii="Times New Roman" w:hAnsi="Times New Roman"/>
          <w:noProof/>
          <w:sz w:val="24"/>
          <w:lang w:val="en-GB"/>
        </w:rPr>
        <w:t>introduces a</w:t>
      </w:r>
      <w:r w:rsidRPr="00632FB4">
        <w:rPr>
          <w:rFonts w:ascii="Times New Roman" w:hAnsi="Times New Roman"/>
          <w:noProof/>
          <w:sz w:val="24"/>
          <w:lang w:val="en-GB"/>
        </w:rPr>
        <w:t xml:space="preserve"> SME threshold to allow small</w:t>
      </w:r>
      <w:r w:rsidR="00097B9C">
        <w:rPr>
          <w:rFonts w:ascii="Times New Roman" w:hAnsi="Times New Roman"/>
          <w:noProof/>
          <w:sz w:val="24"/>
          <w:lang w:val="en-GB"/>
        </w:rPr>
        <w:t>er</w:t>
      </w:r>
      <w:r w:rsidRPr="00632FB4">
        <w:rPr>
          <w:rFonts w:ascii="Times New Roman" w:hAnsi="Times New Roman"/>
          <w:noProof/>
          <w:sz w:val="24"/>
          <w:lang w:val="en-GB"/>
        </w:rPr>
        <w:t xml:space="preserve"> CASPs not to be subject to the reporting obligations. </w:t>
      </w:r>
    </w:p>
    <w:p w14:paraId="5EC7493B" w14:textId="60AC9174" w:rsidR="00632FB4" w:rsidRDefault="00632FB4" w:rsidP="007C0B29">
      <w:pPr>
        <w:jc w:val="both"/>
        <w:rPr>
          <w:rFonts w:ascii="Times New Roman" w:hAnsi="Times New Roman"/>
          <w:noProof/>
          <w:sz w:val="24"/>
          <w:lang w:val="en-GB"/>
        </w:rPr>
      </w:pPr>
      <w:r w:rsidRPr="00632FB4">
        <w:rPr>
          <w:rFonts w:ascii="Times New Roman" w:hAnsi="Times New Roman"/>
          <w:noProof/>
          <w:sz w:val="24"/>
          <w:lang w:val="en-GB"/>
        </w:rPr>
        <w:t xml:space="preserve"> A threshold </w:t>
      </w:r>
      <w:r w:rsidR="008A1365">
        <w:rPr>
          <w:rFonts w:ascii="Times New Roman" w:hAnsi="Times New Roman"/>
          <w:noProof/>
          <w:sz w:val="24"/>
          <w:lang w:val="en-GB"/>
        </w:rPr>
        <w:t xml:space="preserve">on the size of CASPs </w:t>
      </w:r>
      <w:r w:rsidRPr="00632FB4">
        <w:rPr>
          <w:rFonts w:ascii="Times New Roman" w:hAnsi="Times New Roman"/>
          <w:noProof/>
          <w:sz w:val="24"/>
          <w:lang w:val="en-GB"/>
        </w:rPr>
        <w:t xml:space="preserve">would have two effects. Firstly, tax administrations would </w:t>
      </w:r>
      <w:r w:rsidR="009711B6">
        <w:rPr>
          <w:rFonts w:ascii="Times New Roman" w:hAnsi="Times New Roman"/>
          <w:noProof/>
          <w:sz w:val="24"/>
          <w:lang w:val="en-GB"/>
        </w:rPr>
        <w:t xml:space="preserve">get </w:t>
      </w:r>
      <w:r w:rsidR="00E77798">
        <w:rPr>
          <w:rFonts w:ascii="Times New Roman" w:hAnsi="Times New Roman"/>
          <w:noProof/>
          <w:sz w:val="24"/>
          <w:lang w:val="en-GB"/>
        </w:rPr>
        <w:t>a lower amount of information</w:t>
      </w:r>
      <w:r w:rsidRPr="00632FB4">
        <w:rPr>
          <w:rFonts w:ascii="Times New Roman" w:hAnsi="Times New Roman"/>
          <w:noProof/>
          <w:sz w:val="24"/>
          <w:lang w:val="en-GB"/>
        </w:rPr>
        <w:t xml:space="preserve"> as more minor entities would </w:t>
      </w:r>
      <w:r w:rsidR="008A1365">
        <w:rPr>
          <w:rFonts w:ascii="Times New Roman" w:hAnsi="Times New Roman"/>
          <w:noProof/>
          <w:sz w:val="24"/>
          <w:lang w:val="en-GB"/>
        </w:rPr>
        <w:t xml:space="preserve">not </w:t>
      </w:r>
      <w:r w:rsidRPr="00632FB4">
        <w:rPr>
          <w:rFonts w:ascii="Times New Roman" w:hAnsi="Times New Roman"/>
          <w:noProof/>
          <w:sz w:val="24"/>
          <w:lang w:val="en-GB"/>
        </w:rPr>
        <w:t xml:space="preserve">be reporting. Secondly, for CASPs below a specific size, it would mean that the administrative burden of reporting, which would be more significant as a share of the overall administrative burden than for larger CASPs, would be removed. However, there could be incentives for those users who intend to conceal their crypto-assets tax information to act through those SME CASPs. </w:t>
      </w:r>
    </w:p>
    <w:p w14:paraId="355AD571" w14:textId="13B10EA5" w:rsidR="00EB0836" w:rsidRPr="00931BFE" w:rsidRDefault="70F0687D" w:rsidP="41BAA3BB">
      <w:pPr>
        <w:jc w:val="both"/>
        <w:rPr>
          <w:rFonts w:ascii="Times New Roman" w:hAnsi="Times New Roman"/>
          <w:b/>
          <w:bCs/>
          <w:noProof/>
          <w:sz w:val="24"/>
          <w:szCs w:val="24"/>
          <w:lang w:val="en-GB"/>
        </w:rPr>
      </w:pPr>
      <w:r w:rsidRPr="41BAA3BB">
        <w:rPr>
          <w:rFonts w:ascii="Times New Roman" w:hAnsi="Times New Roman"/>
          <w:b/>
          <w:bCs/>
          <w:noProof/>
          <w:sz w:val="24"/>
          <w:szCs w:val="24"/>
          <w:lang w:val="en-GB"/>
        </w:rPr>
        <w:t>O</w:t>
      </w:r>
      <w:r w:rsidR="00EB0836" w:rsidRPr="41BAA3BB">
        <w:rPr>
          <w:rFonts w:ascii="Times New Roman" w:hAnsi="Times New Roman"/>
          <w:b/>
          <w:bCs/>
          <w:noProof/>
          <w:sz w:val="24"/>
          <w:szCs w:val="24"/>
          <w:lang w:val="en-GB"/>
        </w:rPr>
        <w:t xml:space="preserve">ption </w:t>
      </w:r>
      <w:r w:rsidR="001E0D2E">
        <w:rPr>
          <w:rFonts w:ascii="Times New Roman" w:hAnsi="Times New Roman"/>
          <w:b/>
          <w:bCs/>
          <w:noProof/>
          <w:sz w:val="24"/>
          <w:szCs w:val="24"/>
          <w:lang w:val="en-GB"/>
        </w:rPr>
        <w:t>5</w:t>
      </w:r>
      <w:r w:rsidR="5D38A1E3" w:rsidRPr="41BAA3BB">
        <w:rPr>
          <w:rFonts w:ascii="Times New Roman" w:hAnsi="Times New Roman"/>
          <w:b/>
          <w:bCs/>
          <w:noProof/>
          <w:sz w:val="24"/>
          <w:szCs w:val="24"/>
          <w:lang w:val="en-GB"/>
        </w:rPr>
        <w:t xml:space="preserve">. </w:t>
      </w:r>
      <w:r w:rsidR="00EB0836" w:rsidRPr="41BAA3BB">
        <w:rPr>
          <w:rFonts w:ascii="Times New Roman" w:hAnsi="Times New Roman"/>
          <w:b/>
          <w:bCs/>
          <w:noProof/>
          <w:sz w:val="24"/>
          <w:szCs w:val="24"/>
          <w:lang w:val="en-GB"/>
        </w:rPr>
        <w:t xml:space="preserve">Hybrid </w:t>
      </w:r>
      <w:r w:rsidR="00EF20D8" w:rsidRPr="41BAA3BB">
        <w:rPr>
          <w:rFonts w:ascii="Times New Roman" w:hAnsi="Times New Roman"/>
          <w:b/>
          <w:bCs/>
          <w:noProof/>
          <w:sz w:val="24"/>
          <w:szCs w:val="24"/>
          <w:lang w:val="en-GB"/>
        </w:rPr>
        <w:t>or middle ground option</w:t>
      </w:r>
      <w:r w:rsidR="00EB0836" w:rsidRPr="41BAA3BB">
        <w:rPr>
          <w:rFonts w:ascii="Times New Roman" w:hAnsi="Times New Roman"/>
          <w:b/>
          <w:bCs/>
          <w:noProof/>
          <w:sz w:val="24"/>
          <w:szCs w:val="24"/>
          <w:lang w:val="en-GB"/>
        </w:rPr>
        <w:t>:</w:t>
      </w:r>
    </w:p>
    <w:p w14:paraId="78BB1355" w14:textId="1096E76B" w:rsidR="00632FB4" w:rsidRPr="00632FB4" w:rsidRDefault="00632FB4" w:rsidP="00632FB4">
      <w:pPr>
        <w:jc w:val="both"/>
        <w:rPr>
          <w:rFonts w:ascii="Times New Roman" w:hAnsi="Times New Roman"/>
          <w:noProof/>
          <w:sz w:val="24"/>
          <w:lang w:val="en-GB"/>
        </w:rPr>
      </w:pPr>
      <w:r w:rsidRPr="00632FB4">
        <w:rPr>
          <w:rFonts w:ascii="Times New Roman" w:hAnsi="Times New Roman"/>
          <w:noProof/>
          <w:sz w:val="24"/>
          <w:lang w:val="en-GB"/>
        </w:rPr>
        <w:t xml:space="preserve">In the hybrid or middle-ground option, the tax administrations would receive more granular information than in a </w:t>
      </w:r>
      <w:r w:rsidR="009B7EE4">
        <w:rPr>
          <w:rFonts w:ascii="Times New Roman" w:hAnsi="Times New Roman"/>
          <w:noProof/>
          <w:sz w:val="24"/>
          <w:lang w:val="en-GB"/>
        </w:rPr>
        <w:t xml:space="preserve">fully </w:t>
      </w:r>
      <w:r w:rsidRPr="00632FB4">
        <w:rPr>
          <w:rFonts w:ascii="Times New Roman" w:hAnsi="Times New Roman"/>
          <w:noProof/>
          <w:sz w:val="24"/>
          <w:lang w:val="en-GB"/>
        </w:rPr>
        <w:t>aggregated reporting system</w:t>
      </w:r>
      <w:r w:rsidR="00E77798">
        <w:rPr>
          <w:rFonts w:ascii="Times New Roman" w:hAnsi="Times New Roman"/>
          <w:noProof/>
          <w:sz w:val="24"/>
          <w:lang w:val="en-GB"/>
        </w:rPr>
        <w:t>,</w:t>
      </w:r>
      <w:r w:rsidRPr="00632FB4">
        <w:rPr>
          <w:rFonts w:ascii="Times New Roman" w:hAnsi="Times New Roman"/>
          <w:noProof/>
          <w:sz w:val="24"/>
          <w:lang w:val="en-GB"/>
        </w:rPr>
        <w:t xml:space="preserve"> allowing tax administrations to perform a high-level risk assessment and calculate the crypto-asset user’s capital gains. </w:t>
      </w:r>
      <w:r w:rsidR="00E77798" w:rsidRPr="00632FB4">
        <w:rPr>
          <w:rFonts w:ascii="Times New Roman" w:hAnsi="Times New Roman"/>
          <w:noProof/>
          <w:sz w:val="24"/>
          <w:lang w:val="en-GB"/>
        </w:rPr>
        <w:t>The type of additional data to be reported would be, for instance, the number of crypto-assets exchanged, the type of crypto-assets exchanged and the costs charged by CASPs for the transactions.</w:t>
      </w:r>
      <w:r w:rsidR="001E0D2E">
        <w:rPr>
          <w:rFonts w:ascii="Times New Roman" w:hAnsi="Times New Roman"/>
          <w:noProof/>
          <w:sz w:val="24"/>
          <w:lang w:val="en-GB"/>
        </w:rPr>
        <w:t xml:space="preserve"> </w:t>
      </w:r>
      <w:r w:rsidRPr="00632FB4">
        <w:rPr>
          <w:rFonts w:ascii="Times New Roman" w:hAnsi="Times New Roman"/>
          <w:noProof/>
          <w:sz w:val="24"/>
          <w:lang w:val="en-GB"/>
        </w:rPr>
        <w:t xml:space="preserve">As in the other options, all CASPS would need to report no matter where they </w:t>
      </w:r>
      <w:r w:rsidR="00E77798">
        <w:rPr>
          <w:rFonts w:ascii="Times New Roman" w:hAnsi="Times New Roman"/>
          <w:noProof/>
          <w:sz w:val="24"/>
          <w:lang w:val="en-GB"/>
        </w:rPr>
        <w:t>are</w:t>
      </w:r>
      <w:r w:rsidR="00E77798" w:rsidRPr="00632FB4">
        <w:rPr>
          <w:rFonts w:ascii="Times New Roman" w:hAnsi="Times New Roman"/>
          <w:noProof/>
          <w:sz w:val="24"/>
          <w:lang w:val="en-GB"/>
        </w:rPr>
        <w:t xml:space="preserve"> </w:t>
      </w:r>
      <w:r w:rsidR="00F10433">
        <w:rPr>
          <w:rFonts w:ascii="Times New Roman" w:hAnsi="Times New Roman"/>
          <w:noProof/>
          <w:sz w:val="24"/>
          <w:lang w:val="en-GB"/>
        </w:rPr>
        <w:t>established</w:t>
      </w:r>
      <w:r w:rsidRPr="00632FB4">
        <w:rPr>
          <w:rFonts w:ascii="Times New Roman" w:hAnsi="Times New Roman"/>
          <w:noProof/>
          <w:sz w:val="24"/>
          <w:lang w:val="en-GB"/>
        </w:rPr>
        <w:t xml:space="preserve">, and only non-marketable crypto-assets and utility tokens would be </w:t>
      </w:r>
      <w:r w:rsidR="009B7EE4">
        <w:rPr>
          <w:rFonts w:ascii="Times New Roman" w:hAnsi="Times New Roman"/>
          <w:noProof/>
          <w:sz w:val="24"/>
          <w:lang w:val="en-GB"/>
        </w:rPr>
        <w:t xml:space="preserve">out of </w:t>
      </w:r>
      <w:r w:rsidRPr="00632FB4">
        <w:rPr>
          <w:rFonts w:ascii="Times New Roman" w:hAnsi="Times New Roman"/>
          <w:noProof/>
          <w:sz w:val="24"/>
          <w:lang w:val="en-GB"/>
        </w:rPr>
        <w:t xml:space="preserve">scope. </w:t>
      </w:r>
    </w:p>
    <w:p w14:paraId="3BE1A86D" w14:textId="6954C7FC" w:rsidR="00632FB4" w:rsidRPr="00632FB4" w:rsidRDefault="00632FB4" w:rsidP="00632FB4">
      <w:pPr>
        <w:jc w:val="both"/>
        <w:rPr>
          <w:rFonts w:ascii="Times New Roman" w:hAnsi="Times New Roman"/>
          <w:noProof/>
          <w:sz w:val="24"/>
          <w:lang w:val="en-GB"/>
        </w:rPr>
      </w:pPr>
      <w:r w:rsidRPr="00632FB4">
        <w:rPr>
          <w:rFonts w:ascii="Times New Roman" w:hAnsi="Times New Roman"/>
          <w:noProof/>
          <w:sz w:val="24"/>
          <w:lang w:val="en-GB"/>
        </w:rPr>
        <w:t xml:space="preserve">The main advantage of this reporting method is that the amount of information to be managed by tax authorities and CASPs would be moderate as they would not be obliged to report each transactional data. However, it would allow </w:t>
      </w:r>
      <w:r w:rsidR="009B7EE4">
        <w:rPr>
          <w:rFonts w:ascii="Times New Roman" w:hAnsi="Times New Roman"/>
          <w:noProof/>
          <w:sz w:val="24"/>
          <w:lang w:val="en-GB"/>
        </w:rPr>
        <w:t>t</w:t>
      </w:r>
      <w:r w:rsidRPr="00632FB4">
        <w:rPr>
          <w:rFonts w:ascii="Times New Roman" w:hAnsi="Times New Roman"/>
          <w:noProof/>
          <w:sz w:val="24"/>
          <w:lang w:val="en-GB"/>
        </w:rPr>
        <w:t xml:space="preserve">ax administrations to obtain the data required to limit the follow-up requests </w:t>
      </w:r>
      <w:r w:rsidR="009B7EE4">
        <w:rPr>
          <w:rFonts w:ascii="Times New Roman" w:hAnsi="Times New Roman"/>
          <w:noProof/>
          <w:sz w:val="24"/>
          <w:lang w:val="en-GB"/>
        </w:rPr>
        <w:t xml:space="preserve">for </w:t>
      </w:r>
      <w:r w:rsidRPr="00632FB4">
        <w:rPr>
          <w:rFonts w:ascii="Times New Roman" w:hAnsi="Times New Roman"/>
          <w:noProof/>
          <w:sz w:val="24"/>
          <w:lang w:val="en-GB"/>
        </w:rPr>
        <w:t xml:space="preserve">information to the CASPs. The detailed information would </w:t>
      </w:r>
      <w:r w:rsidR="00F10433">
        <w:rPr>
          <w:rFonts w:ascii="Times New Roman" w:hAnsi="Times New Roman"/>
          <w:noProof/>
          <w:sz w:val="24"/>
          <w:lang w:val="en-GB"/>
        </w:rPr>
        <w:t xml:space="preserve">in many cases </w:t>
      </w:r>
      <w:r w:rsidRPr="00632FB4">
        <w:rPr>
          <w:rFonts w:ascii="Times New Roman" w:hAnsi="Times New Roman"/>
          <w:noProof/>
          <w:sz w:val="24"/>
          <w:lang w:val="en-GB"/>
        </w:rPr>
        <w:t xml:space="preserve">suffice to directly calculate the potential capital gains of </w:t>
      </w:r>
      <w:r w:rsidR="009B7EE4">
        <w:rPr>
          <w:rFonts w:ascii="Times New Roman" w:hAnsi="Times New Roman"/>
          <w:noProof/>
          <w:sz w:val="24"/>
          <w:lang w:val="en-GB"/>
        </w:rPr>
        <w:t xml:space="preserve">a </w:t>
      </w:r>
      <w:r w:rsidRPr="00632FB4">
        <w:rPr>
          <w:rFonts w:ascii="Times New Roman" w:hAnsi="Times New Roman"/>
          <w:noProof/>
          <w:sz w:val="24"/>
          <w:lang w:val="en-GB"/>
        </w:rPr>
        <w:t xml:space="preserve">user. </w:t>
      </w:r>
    </w:p>
    <w:p w14:paraId="30A56DAA" w14:textId="77777777" w:rsidR="00C74830" w:rsidRPr="004D178A" w:rsidRDefault="55B81E69" w:rsidP="41BAA3BB">
      <w:pPr>
        <w:jc w:val="both"/>
        <w:rPr>
          <w:rFonts w:ascii="Times New Roman" w:hAnsi="Times New Roman"/>
          <w:b/>
          <w:bCs/>
          <w:noProof/>
          <w:sz w:val="24"/>
          <w:szCs w:val="24"/>
          <w:lang w:val="en-GB"/>
        </w:rPr>
      </w:pPr>
      <w:r w:rsidRPr="41BAA3BB">
        <w:rPr>
          <w:rFonts w:ascii="Times New Roman" w:hAnsi="Times New Roman"/>
          <w:b/>
          <w:bCs/>
          <w:noProof/>
          <w:sz w:val="24"/>
          <w:szCs w:val="24"/>
          <w:lang w:val="en-GB"/>
        </w:rPr>
        <w:t>O</w:t>
      </w:r>
      <w:r w:rsidR="00C74830" w:rsidRPr="41BAA3BB">
        <w:rPr>
          <w:rFonts w:ascii="Times New Roman" w:hAnsi="Times New Roman"/>
          <w:b/>
          <w:bCs/>
          <w:noProof/>
          <w:sz w:val="24"/>
          <w:szCs w:val="24"/>
          <w:lang w:val="en-GB"/>
        </w:rPr>
        <w:t xml:space="preserve">ption </w:t>
      </w:r>
      <w:r w:rsidR="164B4F5D" w:rsidRPr="41BAA3BB">
        <w:rPr>
          <w:rFonts w:ascii="Times New Roman" w:hAnsi="Times New Roman"/>
          <w:b/>
          <w:bCs/>
          <w:noProof/>
          <w:sz w:val="24"/>
          <w:szCs w:val="24"/>
          <w:lang w:val="en-GB"/>
        </w:rPr>
        <w:t>7.</w:t>
      </w:r>
      <w:r w:rsidR="00F807EF" w:rsidRPr="41BAA3BB">
        <w:rPr>
          <w:rFonts w:ascii="Times New Roman" w:hAnsi="Times New Roman"/>
          <w:b/>
          <w:bCs/>
          <w:noProof/>
          <w:sz w:val="24"/>
          <w:szCs w:val="24"/>
          <w:lang w:val="en-GB"/>
        </w:rPr>
        <w:t xml:space="preserve"> </w:t>
      </w:r>
      <w:r w:rsidR="00C74830" w:rsidRPr="41BAA3BB">
        <w:rPr>
          <w:rFonts w:ascii="Times New Roman" w:hAnsi="Times New Roman"/>
          <w:b/>
          <w:bCs/>
          <w:noProof/>
          <w:sz w:val="24"/>
          <w:szCs w:val="24"/>
          <w:lang w:val="en-GB"/>
        </w:rPr>
        <w:t xml:space="preserve"> Hybrid or middle ground option</w:t>
      </w:r>
      <w:r w:rsidR="00F807EF" w:rsidRPr="41BAA3BB">
        <w:rPr>
          <w:rFonts w:ascii="Times New Roman" w:hAnsi="Times New Roman"/>
          <w:b/>
          <w:bCs/>
          <w:noProof/>
          <w:sz w:val="24"/>
          <w:szCs w:val="24"/>
          <w:lang w:val="en-GB"/>
        </w:rPr>
        <w:t xml:space="preserve"> with a SME threshold</w:t>
      </w:r>
      <w:r w:rsidR="00C74830" w:rsidRPr="41BAA3BB">
        <w:rPr>
          <w:rFonts w:ascii="Times New Roman" w:hAnsi="Times New Roman"/>
          <w:b/>
          <w:bCs/>
          <w:noProof/>
          <w:sz w:val="24"/>
          <w:szCs w:val="24"/>
          <w:lang w:val="en-GB"/>
        </w:rPr>
        <w:t>:</w:t>
      </w:r>
    </w:p>
    <w:p w14:paraId="556CD272" w14:textId="77777777" w:rsidR="009239DF" w:rsidRPr="009239DF" w:rsidRDefault="009239DF" w:rsidP="009239DF">
      <w:pPr>
        <w:jc w:val="both"/>
        <w:rPr>
          <w:rFonts w:ascii="Times New Roman" w:hAnsi="Times New Roman"/>
          <w:noProof/>
          <w:sz w:val="24"/>
          <w:lang w:val="en-GB"/>
        </w:rPr>
      </w:pPr>
      <w:r w:rsidRPr="009239DF">
        <w:rPr>
          <w:rFonts w:ascii="Times New Roman" w:hAnsi="Times New Roman"/>
          <w:noProof/>
          <w:sz w:val="24"/>
          <w:lang w:val="en-GB"/>
        </w:rPr>
        <w:t xml:space="preserve">Under this policy option, the reporting and exchange of information would apply to all crypto-assets, except non-marketable crypto-assets and utility tokens, </w:t>
      </w:r>
      <w:r w:rsidR="00A72B3D">
        <w:rPr>
          <w:rFonts w:ascii="Times New Roman" w:hAnsi="Times New Roman"/>
          <w:noProof/>
          <w:sz w:val="24"/>
          <w:lang w:val="en-GB"/>
        </w:rPr>
        <w:t>and for</w:t>
      </w:r>
      <w:r w:rsidRPr="009239DF">
        <w:rPr>
          <w:rFonts w:ascii="Times New Roman" w:hAnsi="Times New Roman"/>
          <w:noProof/>
          <w:sz w:val="24"/>
          <w:lang w:val="en-GB"/>
        </w:rPr>
        <w:t xml:space="preserve"> all CASPs that have EU users</w:t>
      </w:r>
      <w:r w:rsidR="00A72B3D">
        <w:rPr>
          <w:rFonts w:ascii="Times New Roman" w:hAnsi="Times New Roman"/>
          <w:noProof/>
          <w:sz w:val="24"/>
          <w:lang w:val="en-GB"/>
        </w:rPr>
        <w:t>. T</w:t>
      </w:r>
      <w:r w:rsidRPr="009239DF">
        <w:rPr>
          <w:rFonts w:ascii="Times New Roman" w:hAnsi="Times New Roman"/>
          <w:noProof/>
          <w:sz w:val="24"/>
          <w:lang w:val="en-GB"/>
        </w:rPr>
        <w:t>he information</w:t>
      </w:r>
      <w:r w:rsidR="00A72B3D">
        <w:rPr>
          <w:rFonts w:ascii="Times New Roman" w:hAnsi="Times New Roman"/>
          <w:noProof/>
          <w:sz w:val="24"/>
          <w:lang w:val="en-GB"/>
        </w:rPr>
        <w:t xml:space="preserve"> here</w:t>
      </w:r>
      <w:r w:rsidRPr="009239DF">
        <w:rPr>
          <w:rFonts w:ascii="Times New Roman" w:hAnsi="Times New Roman"/>
          <w:noProof/>
          <w:sz w:val="24"/>
          <w:lang w:val="en-GB"/>
        </w:rPr>
        <w:t xml:space="preserve"> would be reported on a middle ground basis.  </w:t>
      </w:r>
    </w:p>
    <w:p w14:paraId="4AD24863" w14:textId="01F4084F" w:rsidR="009239DF" w:rsidRPr="00590A0C" w:rsidRDefault="009239DF" w:rsidP="00931BFE">
      <w:pPr>
        <w:jc w:val="both"/>
        <w:rPr>
          <w:noProof/>
          <w:lang w:val="en-GB"/>
        </w:rPr>
      </w:pPr>
      <w:r w:rsidRPr="009239DF">
        <w:rPr>
          <w:rFonts w:ascii="Times New Roman" w:hAnsi="Times New Roman"/>
          <w:noProof/>
          <w:sz w:val="24"/>
          <w:lang w:val="en-GB"/>
        </w:rPr>
        <w:t xml:space="preserve">The introduction of a SME threshold would </w:t>
      </w:r>
      <w:r w:rsidR="00097B9C">
        <w:rPr>
          <w:rFonts w:ascii="Times New Roman" w:hAnsi="Times New Roman"/>
          <w:noProof/>
          <w:sz w:val="24"/>
          <w:lang w:val="en-GB"/>
        </w:rPr>
        <w:t>mean that</w:t>
      </w:r>
      <w:r w:rsidR="00097B9C" w:rsidRPr="009239DF">
        <w:rPr>
          <w:rFonts w:ascii="Times New Roman" w:hAnsi="Times New Roman"/>
          <w:noProof/>
          <w:sz w:val="24"/>
          <w:lang w:val="en-GB"/>
        </w:rPr>
        <w:t xml:space="preserve"> </w:t>
      </w:r>
      <w:r w:rsidRPr="009239DF">
        <w:rPr>
          <w:rFonts w:ascii="Times New Roman" w:hAnsi="Times New Roman"/>
          <w:noProof/>
          <w:sz w:val="24"/>
          <w:lang w:val="en-GB"/>
        </w:rPr>
        <w:t xml:space="preserve">SMEs </w:t>
      </w:r>
      <w:r w:rsidR="00097B9C">
        <w:rPr>
          <w:rFonts w:ascii="Times New Roman" w:hAnsi="Times New Roman"/>
          <w:noProof/>
          <w:sz w:val="24"/>
          <w:lang w:val="en-GB"/>
        </w:rPr>
        <w:t xml:space="preserve">do not </w:t>
      </w:r>
      <w:r w:rsidRPr="009239DF">
        <w:rPr>
          <w:rFonts w:ascii="Times New Roman" w:hAnsi="Times New Roman"/>
          <w:noProof/>
          <w:sz w:val="24"/>
          <w:lang w:val="en-GB"/>
        </w:rPr>
        <w:t xml:space="preserve">incur the costs to aggregate </w:t>
      </w:r>
      <w:r w:rsidR="000F5EDD">
        <w:rPr>
          <w:rFonts w:ascii="Times New Roman" w:hAnsi="Times New Roman"/>
          <w:noProof/>
          <w:sz w:val="24"/>
          <w:lang w:val="en-GB"/>
        </w:rPr>
        <w:t xml:space="preserve">and report </w:t>
      </w:r>
      <w:r w:rsidRPr="009239DF">
        <w:rPr>
          <w:rFonts w:ascii="Times New Roman" w:hAnsi="Times New Roman"/>
          <w:noProof/>
          <w:sz w:val="24"/>
          <w:lang w:val="en-GB"/>
        </w:rPr>
        <w:t>the information</w:t>
      </w:r>
      <w:r w:rsidR="00097B9C">
        <w:rPr>
          <w:rFonts w:ascii="Times New Roman" w:hAnsi="Times New Roman"/>
          <w:noProof/>
          <w:sz w:val="24"/>
          <w:lang w:val="en-GB"/>
        </w:rPr>
        <w:t>. H</w:t>
      </w:r>
      <w:r w:rsidRPr="009239DF">
        <w:rPr>
          <w:rFonts w:ascii="Times New Roman" w:hAnsi="Times New Roman"/>
          <w:noProof/>
          <w:sz w:val="24"/>
          <w:lang w:val="en-GB"/>
        </w:rPr>
        <w:t xml:space="preserve">owever, as in the previous analyses, this option would not avoid </w:t>
      </w:r>
      <w:r w:rsidR="00097B9C">
        <w:rPr>
          <w:rFonts w:ascii="Times New Roman" w:hAnsi="Times New Roman"/>
          <w:noProof/>
          <w:sz w:val="24"/>
          <w:lang w:val="en-GB"/>
        </w:rPr>
        <w:t xml:space="preserve">creating a </w:t>
      </w:r>
      <w:r w:rsidRPr="009239DF">
        <w:rPr>
          <w:rFonts w:ascii="Times New Roman" w:hAnsi="Times New Roman"/>
          <w:noProof/>
          <w:sz w:val="24"/>
          <w:lang w:val="en-GB"/>
        </w:rPr>
        <w:t xml:space="preserve">potential loophole </w:t>
      </w:r>
      <w:r w:rsidR="00097B9C">
        <w:rPr>
          <w:rFonts w:ascii="Times New Roman" w:hAnsi="Times New Roman"/>
          <w:noProof/>
          <w:sz w:val="24"/>
          <w:lang w:val="en-GB"/>
        </w:rPr>
        <w:t xml:space="preserve">and </w:t>
      </w:r>
      <w:r w:rsidRPr="009239DF">
        <w:rPr>
          <w:rFonts w:ascii="Times New Roman" w:hAnsi="Times New Roman"/>
          <w:noProof/>
          <w:sz w:val="24"/>
          <w:lang w:val="en-GB"/>
        </w:rPr>
        <w:t xml:space="preserve">distorting the </w:t>
      </w:r>
      <w:r w:rsidR="000F5EDD" w:rsidRPr="009239DF">
        <w:rPr>
          <w:rFonts w:ascii="Times New Roman" w:hAnsi="Times New Roman"/>
          <w:noProof/>
          <w:sz w:val="24"/>
          <w:lang w:val="en-GB"/>
        </w:rPr>
        <w:t>E</w:t>
      </w:r>
      <w:r w:rsidRPr="009239DF">
        <w:rPr>
          <w:rFonts w:ascii="Times New Roman" w:hAnsi="Times New Roman"/>
          <w:noProof/>
          <w:sz w:val="24"/>
          <w:lang w:val="en-GB"/>
        </w:rPr>
        <w:t>U market of crypto-assets. The effort that SME would need to perform to comply with this information requirement would be within the proportionality framework, and therefore, it would be justified not to have any threshold on SME.</w:t>
      </w:r>
      <w:r w:rsidRPr="009239DF" w:rsidDel="009239DF">
        <w:rPr>
          <w:rFonts w:ascii="Times New Roman" w:hAnsi="Times New Roman"/>
          <w:noProof/>
          <w:sz w:val="24"/>
          <w:lang w:val="en-GB"/>
        </w:rPr>
        <w:t xml:space="preserve"> </w:t>
      </w:r>
      <w:bookmarkStart w:id="273" w:name="_Toc33455619"/>
      <w:bookmarkStart w:id="274" w:name="_Toc33716797"/>
      <w:bookmarkStart w:id="275" w:name="_Toc34659447"/>
      <w:bookmarkStart w:id="276" w:name="_Toc34734766"/>
      <w:bookmarkStart w:id="277" w:name="_Toc35354029"/>
      <w:bookmarkStart w:id="278" w:name="_Toc35940056"/>
      <w:bookmarkStart w:id="279" w:name="_Toc36215618"/>
      <w:bookmarkStart w:id="280" w:name="_Toc36630069"/>
      <w:bookmarkStart w:id="281" w:name="_Toc36634714"/>
      <w:bookmarkStart w:id="282" w:name="_Toc36637014"/>
      <w:bookmarkStart w:id="283" w:name="_Toc39309863"/>
      <w:bookmarkStart w:id="284" w:name="_Toc81582160"/>
      <w:bookmarkStart w:id="285" w:name="_Toc83742019"/>
      <w:bookmarkStart w:id="286" w:name="_Toc83742088"/>
    </w:p>
    <w:p w14:paraId="002FEA2A" w14:textId="77777777" w:rsidR="006B5791" w:rsidRPr="00811206" w:rsidRDefault="006B5791" w:rsidP="009239DF">
      <w:pPr>
        <w:pStyle w:val="Heading2"/>
        <w:rPr>
          <w:noProof/>
          <w:lang w:val="en-GB"/>
        </w:rPr>
      </w:pPr>
      <w:bookmarkStart w:id="287" w:name="_Toc592526465"/>
      <w:bookmarkStart w:id="288" w:name="_Toc868411812"/>
      <w:bookmarkStart w:id="289" w:name="_Toc797538163"/>
      <w:bookmarkStart w:id="290" w:name="_Toc93306879"/>
      <w:r w:rsidRPr="41BAA3BB">
        <w:rPr>
          <w:noProof/>
          <w:lang w:val="en-GB"/>
        </w:rPr>
        <w:t>5.4 Options discarded at an early stage</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9370BD3" w14:textId="77777777" w:rsidR="006B5791" w:rsidRPr="00CD0869" w:rsidRDefault="006B5791" w:rsidP="006B5791">
      <w:pPr>
        <w:jc w:val="both"/>
        <w:rPr>
          <w:rFonts w:ascii="Times New Roman" w:hAnsi="Times New Roman" w:cs="Times New Roman"/>
          <w:noProof/>
          <w:sz w:val="24"/>
          <w:szCs w:val="24"/>
          <w:lang w:val="en-GB"/>
        </w:rPr>
      </w:pPr>
      <w:r w:rsidRPr="00CD0869">
        <w:rPr>
          <w:rFonts w:ascii="Times New Roman" w:hAnsi="Times New Roman" w:cs="Times New Roman"/>
          <w:noProof/>
          <w:sz w:val="24"/>
          <w:szCs w:val="24"/>
          <w:lang w:val="en-GB"/>
        </w:rPr>
        <w:t>Some of the options highlighted above were considered as not a viable way forward either because there was no deemed added value or because experience with similar approaches has proven ineffective in the past:</w:t>
      </w:r>
    </w:p>
    <w:p w14:paraId="5FCD6AD4" w14:textId="77777777" w:rsidR="006B5791" w:rsidRPr="00CD0869" w:rsidRDefault="006B5791" w:rsidP="006B5791">
      <w:pPr>
        <w:rPr>
          <w:rFonts w:ascii="Times New Roman" w:hAnsi="Times New Roman" w:cs="Times New Roman"/>
          <w:noProof/>
          <w:sz w:val="24"/>
          <w:szCs w:val="24"/>
          <w:lang w:val="en-GB"/>
        </w:rPr>
      </w:pPr>
    </w:p>
    <w:p w14:paraId="43649B30" w14:textId="77777777" w:rsidR="0006025D" w:rsidRDefault="0006025D">
      <w:pPr>
        <w:rPr>
          <w:rFonts w:ascii="Times New Roman" w:hAnsi="Times New Roman" w:cs="Times New Roman"/>
          <w:i/>
          <w:iCs/>
          <w:noProof/>
          <w:color w:val="44546A" w:themeColor="text2"/>
          <w:sz w:val="24"/>
          <w:szCs w:val="24"/>
          <w:lang w:val="en-GB"/>
        </w:rPr>
      </w:pPr>
      <w:r>
        <w:rPr>
          <w:rFonts w:cs="Times New Roman"/>
          <w:noProof/>
          <w:sz w:val="24"/>
          <w:szCs w:val="24"/>
        </w:rPr>
        <w:br w:type="page"/>
      </w:r>
    </w:p>
    <w:p w14:paraId="668832B0" w14:textId="6D2F1C7B" w:rsidR="006B5791" w:rsidRPr="00CD0869" w:rsidRDefault="006B5791" w:rsidP="006B5791">
      <w:pPr>
        <w:pStyle w:val="Caption"/>
        <w:rPr>
          <w:rFonts w:cs="Times New Roman"/>
          <w:noProof/>
          <w:sz w:val="24"/>
          <w:szCs w:val="24"/>
        </w:rPr>
      </w:pPr>
      <w:r w:rsidRPr="00CD0869">
        <w:rPr>
          <w:rFonts w:cs="Times New Roman"/>
          <w:noProof/>
          <w:sz w:val="24"/>
          <w:szCs w:val="24"/>
        </w:rPr>
        <w:t xml:space="preserve">Table </w:t>
      </w:r>
      <w:r w:rsidR="00931BFE" w:rsidRPr="00CD0869">
        <w:rPr>
          <w:rFonts w:cs="Times New Roman"/>
          <w:noProof/>
          <w:sz w:val="24"/>
          <w:szCs w:val="24"/>
        </w:rPr>
        <w:t>2</w:t>
      </w:r>
      <w:r w:rsidR="00CD0869">
        <w:rPr>
          <w:rFonts w:cs="Times New Roman"/>
          <w:noProof/>
          <w:sz w:val="24"/>
          <w:szCs w:val="24"/>
        </w:rPr>
        <w:t xml:space="preserve"> </w:t>
      </w:r>
      <w:r w:rsidRPr="00CD0869">
        <w:rPr>
          <w:rFonts w:cs="Times New Roman"/>
          <w:noProof/>
          <w:sz w:val="24"/>
          <w:szCs w:val="24"/>
        </w:rPr>
        <w:t>Options Discarded</w:t>
      </w:r>
    </w:p>
    <w:tbl>
      <w:tblPr>
        <w:tblStyle w:val="TableGrid"/>
        <w:tblW w:w="0" w:type="auto"/>
        <w:tblLook w:val="04A0" w:firstRow="1" w:lastRow="0" w:firstColumn="1" w:lastColumn="0" w:noHBand="0" w:noVBand="1"/>
      </w:tblPr>
      <w:tblGrid>
        <w:gridCol w:w="1664"/>
        <w:gridCol w:w="936"/>
        <w:gridCol w:w="6234"/>
      </w:tblGrid>
      <w:tr w:rsidR="006B5791" w:rsidRPr="00811206" w14:paraId="55177850" w14:textId="77777777" w:rsidTr="02355236">
        <w:tc>
          <w:tcPr>
            <w:tcW w:w="1664" w:type="dxa"/>
          </w:tcPr>
          <w:p w14:paraId="120D6474" w14:textId="77777777" w:rsidR="006B5791" w:rsidRPr="00CD0869" w:rsidRDefault="006B5791" w:rsidP="004E5034">
            <w:pPr>
              <w:spacing w:line="276" w:lineRule="auto"/>
              <w:rPr>
                <w:rFonts w:ascii="Times New Roman" w:hAnsi="Times New Roman" w:cs="Times New Roman"/>
                <w:noProof/>
              </w:rPr>
            </w:pPr>
            <w:r w:rsidRPr="00CD0869">
              <w:rPr>
                <w:rFonts w:ascii="Times New Roman" w:hAnsi="Times New Roman" w:cs="Times New Roman"/>
                <w:noProof/>
              </w:rPr>
              <w:t>Option discarded</w:t>
            </w:r>
          </w:p>
        </w:tc>
        <w:tc>
          <w:tcPr>
            <w:tcW w:w="936" w:type="dxa"/>
          </w:tcPr>
          <w:p w14:paraId="26D379CE" w14:textId="77777777" w:rsidR="006B5791" w:rsidRPr="00CD0869" w:rsidRDefault="006B5791" w:rsidP="004E5034">
            <w:pPr>
              <w:spacing w:line="276" w:lineRule="auto"/>
              <w:rPr>
                <w:rFonts w:ascii="Times New Roman" w:hAnsi="Times New Roman" w:cs="Times New Roman"/>
                <w:noProof/>
              </w:rPr>
            </w:pPr>
            <w:r w:rsidRPr="00CD0869">
              <w:rPr>
                <w:rFonts w:ascii="Times New Roman" w:hAnsi="Times New Roman" w:cs="Times New Roman"/>
                <w:noProof/>
              </w:rPr>
              <w:t xml:space="preserve">Section </w:t>
            </w:r>
          </w:p>
        </w:tc>
        <w:tc>
          <w:tcPr>
            <w:tcW w:w="6234" w:type="dxa"/>
          </w:tcPr>
          <w:p w14:paraId="19F48823" w14:textId="77777777" w:rsidR="006B5791" w:rsidRPr="00CD0869" w:rsidRDefault="006B5791" w:rsidP="004E5034">
            <w:pPr>
              <w:spacing w:line="276" w:lineRule="auto"/>
              <w:rPr>
                <w:rFonts w:ascii="Times New Roman" w:hAnsi="Times New Roman" w:cs="Times New Roman"/>
                <w:noProof/>
              </w:rPr>
            </w:pPr>
            <w:r w:rsidRPr="00CD0869">
              <w:rPr>
                <w:rFonts w:ascii="Times New Roman" w:hAnsi="Times New Roman" w:cs="Times New Roman"/>
                <w:noProof/>
              </w:rPr>
              <w:t>Explanation</w:t>
            </w:r>
          </w:p>
        </w:tc>
      </w:tr>
      <w:tr w:rsidR="006B5791" w:rsidRPr="00811206" w14:paraId="3AD14CF9" w14:textId="77777777" w:rsidTr="003C5774">
        <w:trPr>
          <w:trHeight w:val="2988"/>
        </w:trPr>
        <w:tc>
          <w:tcPr>
            <w:tcW w:w="1664" w:type="dxa"/>
          </w:tcPr>
          <w:p w14:paraId="006F677D" w14:textId="77777777" w:rsidR="006B5791" w:rsidRPr="00CD0869" w:rsidRDefault="006B5791" w:rsidP="004E5034">
            <w:pPr>
              <w:spacing w:line="276" w:lineRule="auto"/>
              <w:rPr>
                <w:rFonts w:ascii="Times New Roman" w:hAnsi="Times New Roman" w:cs="Times New Roman"/>
                <w:noProof/>
              </w:rPr>
            </w:pPr>
            <w:r w:rsidRPr="00CD0869">
              <w:rPr>
                <w:rFonts w:ascii="Times New Roman" w:hAnsi="Times New Roman" w:cs="Times New Roman"/>
                <w:noProof/>
              </w:rPr>
              <w:t>Non-legislative approach</w:t>
            </w:r>
          </w:p>
        </w:tc>
        <w:tc>
          <w:tcPr>
            <w:tcW w:w="936" w:type="dxa"/>
          </w:tcPr>
          <w:p w14:paraId="4CE1D265" w14:textId="2C98CE64" w:rsidR="006B5791" w:rsidRPr="00CD0869" w:rsidRDefault="001E0D2E" w:rsidP="004E5034">
            <w:pPr>
              <w:spacing w:line="276" w:lineRule="auto"/>
              <w:rPr>
                <w:rFonts w:ascii="Times New Roman" w:hAnsi="Times New Roman" w:cs="Times New Roman"/>
                <w:noProof/>
              </w:rPr>
            </w:pPr>
            <w:r>
              <w:rPr>
                <w:rFonts w:ascii="Times New Roman" w:hAnsi="Times New Roman" w:cs="Times New Roman"/>
                <w:noProof/>
              </w:rPr>
              <w:t>5.2</w:t>
            </w:r>
          </w:p>
        </w:tc>
        <w:tc>
          <w:tcPr>
            <w:tcW w:w="6234" w:type="dxa"/>
          </w:tcPr>
          <w:p w14:paraId="5CE0E580" w14:textId="09EF7A0C" w:rsidR="006B5791" w:rsidRPr="00CD0869" w:rsidRDefault="006B5791" w:rsidP="009E2CE3">
            <w:pPr>
              <w:spacing w:line="276" w:lineRule="auto"/>
              <w:jc w:val="both"/>
              <w:rPr>
                <w:rFonts w:ascii="Times New Roman" w:hAnsi="Times New Roman" w:cs="Times New Roman"/>
                <w:noProof/>
              </w:rPr>
            </w:pPr>
            <w:r w:rsidRPr="00CD0869">
              <w:rPr>
                <w:rFonts w:ascii="Times New Roman" w:hAnsi="Times New Roman" w:cs="Times New Roman"/>
                <w:noProof/>
              </w:rPr>
              <w:t xml:space="preserve">This option would bring no added value as the OECD framework would be developed and Member States that would wish to do so would implement the framework. A Commission Recommendation would bring no added value as it would not be legally binding, hence it would not address the issue of fragmentation of reporting requirements across the EU. In particular, it would still be for each Member State to decide on the introduction of such reporting obligations and on their precise scope. In addition, the difficulty of enforcing domestic legislation vis-à-vis </w:t>
            </w:r>
            <w:r w:rsidR="00097B9C">
              <w:rPr>
                <w:rFonts w:ascii="Times New Roman" w:hAnsi="Times New Roman" w:cs="Times New Roman"/>
                <w:noProof/>
              </w:rPr>
              <w:t>CASPs</w:t>
            </w:r>
            <w:r w:rsidRPr="00CD0869">
              <w:rPr>
                <w:rFonts w:ascii="Times New Roman" w:hAnsi="Times New Roman" w:cs="Times New Roman"/>
                <w:noProof/>
              </w:rPr>
              <w:t xml:space="preserve"> resident in another jurisdiction would not be addressed. Other potential consequences would be heterogene</w:t>
            </w:r>
            <w:r w:rsidR="00743E42">
              <w:rPr>
                <w:rFonts w:ascii="Times New Roman" w:hAnsi="Times New Roman" w:cs="Times New Roman"/>
                <w:noProof/>
              </w:rPr>
              <w:t>o</w:t>
            </w:r>
            <w:r w:rsidRPr="00CD0869">
              <w:rPr>
                <w:rFonts w:ascii="Times New Roman" w:hAnsi="Times New Roman" w:cs="Times New Roman"/>
                <w:noProof/>
              </w:rPr>
              <w:t>us reporting obligations throughout the EU and distortion of internal market.</w:t>
            </w:r>
            <w:r w:rsidRPr="00CD0869">
              <w:rPr>
                <w:rStyle w:val="CommentReference"/>
                <w:rFonts w:ascii="Times New Roman" w:hAnsi="Times New Roman" w:cs="Times New Roman"/>
                <w:noProof/>
                <w:sz w:val="22"/>
                <w:szCs w:val="22"/>
              </w:rPr>
              <w:t xml:space="preserve"> </w:t>
            </w:r>
          </w:p>
        </w:tc>
      </w:tr>
      <w:tr w:rsidR="006B5791" w:rsidRPr="00811206" w14:paraId="5B536B52" w14:textId="77777777" w:rsidTr="02355236">
        <w:tc>
          <w:tcPr>
            <w:tcW w:w="1664" w:type="dxa"/>
          </w:tcPr>
          <w:p w14:paraId="1FF4680A" w14:textId="64ED05C6" w:rsidR="006B5791" w:rsidRPr="00CD0869" w:rsidRDefault="00743E42" w:rsidP="00743E42">
            <w:pPr>
              <w:spacing w:line="276" w:lineRule="auto"/>
              <w:rPr>
                <w:rFonts w:ascii="Times New Roman" w:hAnsi="Times New Roman" w:cs="Times New Roman"/>
                <w:noProof/>
              </w:rPr>
            </w:pPr>
            <w:r>
              <w:rPr>
                <w:rFonts w:ascii="Times New Roman" w:hAnsi="Times New Roman" w:cs="Times New Roman"/>
                <w:noProof/>
              </w:rPr>
              <w:t>O</w:t>
            </w:r>
            <w:r w:rsidRPr="00CD0869">
              <w:rPr>
                <w:rFonts w:ascii="Times New Roman" w:hAnsi="Times New Roman" w:cs="Times New Roman"/>
                <w:noProof/>
              </w:rPr>
              <w:t xml:space="preserve">nly </w:t>
            </w:r>
            <w:r w:rsidR="004459A8" w:rsidRPr="00CD0869">
              <w:rPr>
                <w:rFonts w:ascii="Times New Roman" w:hAnsi="Times New Roman" w:cs="Times New Roman"/>
                <w:noProof/>
              </w:rPr>
              <w:t>EU</w:t>
            </w:r>
            <w:r w:rsidR="00097B9C">
              <w:rPr>
                <w:rFonts w:ascii="Times New Roman" w:hAnsi="Times New Roman" w:cs="Times New Roman"/>
                <w:noProof/>
              </w:rPr>
              <w:t>-based</w:t>
            </w:r>
            <w:r w:rsidR="004459A8" w:rsidRPr="00CD0869">
              <w:rPr>
                <w:rFonts w:ascii="Times New Roman" w:hAnsi="Times New Roman" w:cs="Times New Roman"/>
                <w:noProof/>
              </w:rPr>
              <w:t xml:space="preserve"> CASPs would be within the scope</w:t>
            </w:r>
            <w:r>
              <w:rPr>
                <w:rFonts w:ascii="Times New Roman" w:hAnsi="Times New Roman" w:cs="Times New Roman"/>
                <w:noProof/>
              </w:rPr>
              <w:t xml:space="preserve"> of the reporting framework</w:t>
            </w:r>
            <w:r w:rsidR="004459A8" w:rsidRPr="00CD0869">
              <w:rPr>
                <w:rFonts w:ascii="Times New Roman" w:hAnsi="Times New Roman" w:cs="Times New Roman"/>
                <w:noProof/>
              </w:rPr>
              <w:t>.</w:t>
            </w:r>
          </w:p>
        </w:tc>
        <w:tc>
          <w:tcPr>
            <w:tcW w:w="936" w:type="dxa"/>
          </w:tcPr>
          <w:p w14:paraId="7E47FA35" w14:textId="77777777" w:rsidR="006B5791" w:rsidRPr="00CD0869" w:rsidRDefault="004459A8" w:rsidP="004E5034">
            <w:pPr>
              <w:spacing w:line="276" w:lineRule="auto"/>
              <w:rPr>
                <w:rFonts w:ascii="Times New Roman" w:hAnsi="Times New Roman" w:cs="Times New Roman"/>
                <w:noProof/>
              </w:rPr>
            </w:pPr>
            <w:r w:rsidRPr="00CD0869">
              <w:rPr>
                <w:rFonts w:ascii="Times New Roman" w:hAnsi="Times New Roman" w:cs="Times New Roman"/>
                <w:noProof/>
              </w:rPr>
              <w:t>5</w:t>
            </w:r>
          </w:p>
        </w:tc>
        <w:tc>
          <w:tcPr>
            <w:tcW w:w="6234" w:type="dxa"/>
          </w:tcPr>
          <w:p w14:paraId="2A56B466" w14:textId="2B18F31E" w:rsidR="006B5791" w:rsidRPr="00CD0869" w:rsidRDefault="009239DF" w:rsidP="00743E42">
            <w:pPr>
              <w:spacing w:line="276" w:lineRule="auto"/>
              <w:jc w:val="both"/>
              <w:rPr>
                <w:rFonts w:ascii="Times New Roman" w:hAnsi="Times New Roman" w:cs="Times New Roman"/>
                <w:noProof/>
              </w:rPr>
            </w:pPr>
            <w:r w:rsidRPr="00CD0869">
              <w:rPr>
                <w:rFonts w:ascii="Times New Roman" w:hAnsi="Times New Roman" w:cs="Times New Roman"/>
                <w:noProof/>
              </w:rPr>
              <w:t xml:space="preserve">Some of the intrinsic characteristics of </w:t>
            </w:r>
            <w:r w:rsidR="00743E42">
              <w:rPr>
                <w:rFonts w:ascii="Times New Roman" w:hAnsi="Times New Roman" w:cs="Times New Roman"/>
                <w:noProof/>
              </w:rPr>
              <w:t>crypto-</w:t>
            </w:r>
            <w:r w:rsidR="00743E42" w:rsidRPr="00CD0869">
              <w:rPr>
                <w:rFonts w:ascii="Times New Roman" w:hAnsi="Times New Roman" w:cs="Times New Roman"/>
                <w:noProof/>
              </w:rPr>
              <w:t xml:space="preserve"> </w:t>
            </w:r>
            <w:r w:rsidRPr="00CD0869">
              <w:rPr>
                <w:rFonts w:ascii="Times New Roman" w:hAnsi="Times New Roman" w:cs="Times New Roman"/>
                <w:noProof/>
              </w:rPr>
              <w:t>assets are</w:t>
            </w:r>
            <w:r w:rsidR="00743E42">
              <w:rPr>
                <w:rFonts w:ascii="Times New Roman" w:hAnsi="Times New Roman" w:cs="Times New Roman"/>
                <w:noProof/>
              </w:rPr>
              <w:t xml:space="preserve"> that</w:t>
            </w:r>
            <w:r w:rsidRPr="00CD0869">
              <w:rPr>
                <w:rFonts w:ascii="Times New Roman" w:hAnsi="Times New Roman" w:cs="Times New Roman"/>
                <w:noProof/>
              </w:rPr>
              <w:t xml:space="preserve"> they are highly mobile and digitalized </w:t>
            </w:r>
            <w:r w:rsidR="00743E42">
              <w:rPr>
                <w:rFonts w:ascii="Times New Roman" w:hAnsi="Times New Roman" w:cs="Times New Roman"/>
                <w:noProof/>
              </w:rPr>
              <w:t>and</w:t>
            </w:r>
            <w:r w:rsidRPr="00CD0869">
              <w:rPr>
                <w:rFonts w:ascii="Times New Roman" w:hAnsi="Times New Roman" w:cs="Times New Roman"/>
                <w:noProof/>
              </w:rPr>
              <w:t xml:space="preserve"> can</w:t>
            </w:r>
            <w:r w:rsidR="00743E42">
              <w:rPr>
                <w:rFonts w:ascii="Times New Roman" w:hAnsi="Times New Roman" w:cs="Times New Roman"/>
                <w:noProof/>
              </w:rPr>
              <w:t xml:space="preserve"> therefore</w:t>
            </w:r>
            <w:r w:rsidRPr="00CD0869">
              <w:rPr>
                <w:rFonts w:ascii="Times New Roman" w:hAnsi="Times New Roman" w:cs="Times New Roman"/>
                <w:noProof/>
              </w:rPr>
              <w:t xml:space="preserve"> be exchanged all over the world. That means that European users can use the exchanges services of any CASPs no matter </w:t>
            </w:r>
            <w:r w:rsidR="00743E42">
              <w:rPr>
                <w:rFonts w:ascii="Times New Roman" w:hAnsi="Times New Roman" w:cs="Times New Roman"/>
                <w:noProof/>
              </w:rPr>
              <w:t xml:space="preserve">where </w:t>
            </w:r>
            <w:r w:rsidRPr="00CD0869">
              <w:rPr>
                <w:rFonts w:ascii="Times New Roman" w:hAnsi="Times New Roman" w:cs="Times New Roman"/>
                <w:noProof/>
              </w:rPr>
              <w:t>the CASP</w:t>
            </w:r>
            <w:r w:rsidR="00743E42">
              <w:rPr>
                <w:rFonts w:ascii="Times New Roman" w:hAnsi="Times New Roman" w:cs="Times New Roman"/>
                <w:noProof/>
              </w:rPr>
              <w:t>s</w:t>
            </w:r>
            <w:r w:rsidRPr="00CD0869">
              <w:rPr>
                <w:rFonts w:ascii="Times New Roman" w:hAnsi="Times New Roman" w:cs="Times New Roman"/>
                <w:noProof/>
              </w:rPr>
              <w:t xml:space="preserve"> have their jurisdiction. A reporting of information framework where only EU</w:t>
            </w:r>
            <w:r w:rsidR="00097B9C">
              <w:rPr>
                <w:rFonts w:ascii="Times New Roman" w:hAnsi="Times New Roman" w:cs="Times New Roman"/>
                <w:noProof/>
              </w:rPr>
              <w:t>-based</w:t>
            </w:r>
            <w:r w:rsidRPr="00CD0869">
              <w:rPr>
                <w:rFonts w:ascii="Times New Roman" w:hAnsi="Times New Roman" w:cs="Times New Roman"/>
                <w:noProof/>
              </w:rPr>
              <w:t xml:space="preserve"> CASPS would need to report would favour non-EU</w:t>
            </w:r>
            <w:r w:rsidR="00097B9C">
              <w:rPr>
                <w:rFonts w:ascii="Times New Roman" w:hAnsi="Times New Roman" w:cs="Times New Roman"/>
                <w:noProof/>
              </w:rPr>
              <w:t>-based</w:t>
            </w:r>
            <w:r w:rsidRPr="00CD0869">
              <w:rPr>
                <w:rFonts w:ascii="Times New Roman" w:hAnsi="Times New Roman" w:cs="Times New Roman"/>
                <w:noProof/>
              </w:rPr>
              <w:t xml:space="preserve"> CASPS against their European competitors</w:t>
            </w:r>
            <w:r w:rsidR="00743E42">
              <w:rPr>
                <w:rFonts w:ascii="Times New Roman" w:hAnsi="Times New Roman" w:cs="Times New Roman"/>
                <w:noProof/>
              </w:rPr>
              <w:t>, and would only provide limited information to EU tax adminsitrations</w:t>
            </w:r>
            <w:r w:rsidRPr="00CD0869">
              <w:rPr>
                <w:rFonts w:ascii="Times New Roman" w:hAnsi="Times New Roman" w:cs="Times New Roman"/>
                <w:noProof/>
              </w:rPr>
              <w:t>.</w:t>
            </w:r>
          </w:p>
        </w:tc>
      </w:tr>
    </w:tbl>
    <w:p w14:paraId="2A490075" w14:textId="77777777" w:rsidR="00F807EF" w:rsidRPr="00931BFE" w:rsidRDefault="00F807EF" w:rsidP="00B1412B">
      <w:pPr>
        <w:jc w:val="both"/>
        <w:rPr>
          <w:rFonts w:ascii="Times New Roman" w:eastAsiaTheme="majorEastAsia" w:hAnsi="Times New Roman" w:cs="Times New Roman"/>
          <w:b/>
          <w:noProof/>
          <w:sz w:val="24"/>
          <w:szCs w:val="24"/>
          <w:lang w:val="en-GB"/>
        </w:rPr>
      </w:pPr>
    </w:p>
    <w:p w14:paraId="4DA34FE9" w14:textId="5E647CA3" w:rsidR="001E0D2E" w:rsidRDefault="008D412C" w:rsidP="00B1412B">
      <w:pPr>
        <w:jc w:val="both"/>
        <w:rPr>
          <w:rFonts w:ascii="Times New Roman" w:hAnsi="Times New Roman"/>
          <w:noProof/>
          <w:sz w:val="24"/>
          <w:lang w:val="en-GB"/>
        </w:rPr>
      </w:pPr>
      <w:r>
        <w:rPr>
          <w:rFonts w:ascii="Times New Roman" w:hAnsi="Times New Roman"/>
          <w:noProof/>
          <w:sz w:val="24"/>
          <w:lang w:val="en-GB"/>
        </w:rPr>
        <w:t xml:space="preserve">  </w:t>
      </w:r>
      <w:bookmarkStart w:id="291" w:name="_Toc84520043"/>
      <w:bookmarkStart w:id="292" w:name="_Toc84579908"/>
    </w:p>
    <w:p w14:paraId="500E6D47" w14:textId="77777777" w:rsidR="001E0D2E" w:rsidRDefault="001E0D2E">
      <w:pPr>
        <w:rPr>
          <w:rFonts w:ascii="Times New Roman" w:hAnsi="Times New Roman"/>
          <w:noProof/>
          <w:sz w:val="24"/>
          <w:lang w:val="en-GB"/>
        </w:rPr>
      </w:pPr>
      <w:r>
        <w:rPr>
          <w:rFonts w:ascii="Times New Roman" w:hAnsi="Times New Roman"/>
          <w:noProof/>
          <w:sz w:val="24"/>
          <w:lang w:val="en-GB"/>
        </w:rPr>
        <w:br w:type="page"/>
      </w:r>
    </w:p>
    <w:p w14:paraId="0D3D7B75" w14:textId="77777777" w:rsidR="00572424" w:rsidRPr="006E5F59" w:rsidRDefault="00572424" w:rsidP="00811206">
      <w:pPr>
        <w:pStyle w:val="Heading1"/>
        <w:rPr>
          <w:rFonts w:ascii="Times New Roman" w:hAnsi="Times New Roman" w:cs="Times New Roman"/>
          <w:noProof/>
        </w:rPr>
      </w:pPr>
      <w:bookmarkStart w:id="293" w:name="_Toc84517457"/>
      <w:bookmarkStart w:id="294" w:name="_Toc33185314"/>
      <w:bookmarkStart w:id="295" w:name="_Toc33189572"/>
      <w:bookmarkStart w:id="296" w:name="_Toc33189642"/>
      <w:bookmarkStart w:id="297" w:name="_Toc33455561"/>
      <w:bookmarkStart w:id="298" w:name="_Toc33455620"/>
      <w:bookmarkStart w:id="299" w:name="_Toc33716798"/>
      <w:bookmarkStart w:id="300" w:name="_Toc34659448"/>
      <w:bookmarkStart w:id="301" w:name="_Toc34734767"/>
      <w:bookmarkStart w:id="302" w:name="_Toc35354030"/>
      <w:bookmarkStart w:id="303" w:name="_Toc35939945"/>
      <w:bookmarkStart w:id="304" w:name="_Toc35940057"/>
      <w:bookmarkStart w:id="305" w:name="_Toc36114259"/>
      <w:bookmarkStart w:id="306" w:name="_Toc36114309"/>
      <w:bookmarkStart w:id="307" w:name="_Toc36215619"/>
      <w:bookmarkStart w:id="308" w:name="_Toc36627010"/>
      <w:bookmarkStart w:id="309" w:name="_Toc36630070"/>
      <w:bookmarkStart w:id="310" w:name="_Toc36630944"/>
      <w:bookmarkStart w:id="311" w:name="_Toc36634715"/>
      <w:bookmarkStart w:id="312" w:name="_Toc36637015"/>
      <w:bookmarkStart w:id="313" w:name="_Toc39309864"/>
      <w:bookmarkStart w:id="314" w:name="_Toc81582161"/>
      <w:bookmarkStart w:id="315" w:name="_Toc83742020"/>
      <w:bookmarkStart w:id="316" w:name="_Toc83824399"/>
      <w:bookmarkStart w:id="317" w:name="_Toc84338476"/>
      <w:bookmarkStart w:id="318" w:name="_Toc84520046"/>
      <w:bookmarkStart w:id="319" w:name="_Toc84579911"/>
      <w:bookmarkStart w:id="320" w:name="_Toc85052204"/>
      <w:bookmarkStart w:id="321" w:name="_Toc2104670416"/>
      <w:bookmarkStart w:id="322" w:name="_Toc286495198"/>
      <w:bookmarkStart w:id="323" w:name="_Toc1706359528"/>
      <w:bookmarkStart w:id="324" w:name="_Toc93306880"/>
      <w:bookmarkEnd w:id="291"/>
      <w:bookmarkEnd w:id="292"/>
      <w:r w:rsidRPr="41BAA3BB">
        <w:rPr>
          <w:rFonts w:ascii="Times New Roman" w:hAnsi="Times New Roman" w:cs="Times New Roman"/>
          <w:noProof/>
        </w:rPr>
        <w:t>6</w:t>
      </w:r>
      <w:bookmarkEnd w:id="293"/>
      <w:r w:rsidR="00FA4962" w:rsidRPr="41BAA3BB">
        <w:rPr>
          <w:rFonts w:ascii="Times New Roman" w:hAnsi="Times New Roman" w:cs="Times New Roman"/>
          <w:noProof/>
        </w:rPr>
        <w:t>.</w:t>
      </w:r>
      <w:r w:rsidR="00AA4FDA" w:rsidRPr="41BAA3BB">
        <w:rPr>
          <w:rFonts w:ascii="Times New Roman" w:hAnsi="Times New Roman" w:cs="Times New Roman"/>
          <w:noProof/>
        </w:rPr>
        <w:t xml:space="preserve"> WHAT ARE THE IMPACTS OF THE POLICY OPTIONS?</w:t>
      </w:r>
      <w:bookmarkStart w:id="325" w:name="_Toc34659449"/>
      <w:bookmarkStart w:id="326" w:name="_Toc34734768"/>
      <w:bookmarkStart w:id="327" w:name="_Toc35354031"/>
      <w:bookmarkStart w:id="328" w:name="_Toc35940058"/>
      <w:bookmarkStart w:id="329" w:name="_Toc36215620"/>
      <w:bookmarkStart w:id="330" w:name="_Toc36630071"/>
      <w:bookmarkStart w:id="331" w:name="_Toc36634716"/>
      <w:bookmarkStart w:id="332" w:name="_Toc36637016"/>
      <w:bookmarkStart w:id="333" w:name="_Toc39309865"/>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0AB5FADE" w14:textId="77777777" w:rsidR="00572424" w:rsidRPr="006E5F59" w:rsidRDefault="00FA4962" w:rsidP="00811206">
      <w:pPr>
        <w:pStyle w:val="Heading2"/>
        <w:rPr>
          <w:rFonts w:cs="Times New Roman"/>
          <w:noProof/>
        </w:rPr>
      </w:pPr>
      <w:bookmarkStart w:id="334" w:name="_Toc81582162"/>
      <w:bookmarkStart w:id="335" w:name="_Toc83742021"/>
      <w:bookmarkStart w:id="336" w:name="_Toc83824400"/>
      <w:bookmarkStart w:id="337" w:name="_Toc84338477"/>
      <w:bookmarkStart w:id="338" w:name="_Toc84520047"/>
      <w:bookmarkStart w:id="339" w:name="_Toc84579912"/>
      <w:bookmarkStart w:id="340" w:name="_Toc85052205"/>
      <w:bookmarkStart w:id="341" w:name="_Toc949118119"/>
      <w:bookmarkStart w:id="342" w:name="_Toc616250009"/>
      <w:bookmarkStart w:id="343" w:name="_Toc862719583"/>
      <w:bookmarkStart w:id="344" w:name="_Toc93306881"/>
      <w:r w:rsidRPr="41BAA3BB">
        <w:rPr>
          <w:rFonts w:cs="Times New Roman"/>
          <w:noProof/>
        </w:rPr>
        <w:t xml:space="preserve">6.1 </w:t>
      </w:r>
      <w:r w:rsidR="00572424" w:rsidRPr="41BAA3BB">
        <w:rPr>
          <w:rFonts w:cs="Times New Roman"/>
          <w:noProof/>
        </w:rPr>
        <w:t>Overview of options</w:t>
      </w:r>
      <w:bookmarkEnd w:id="334"/>
      <w:bookmarkEnd w:id="335"/>
      <w:bookmarkEnd w:id="336"/>
      <w:bookmarkEnd w:id="337"/>
      <w:bookmarkEnd w:id="338"/>
      <w:bookmarkEnd w:id="339"/>
      <w:bookmarkEnd w:id="340"/>
      <w:bookmarkEnd w:id="341"/>
      <w:bookmarkEnd w:id="342"/>
      <w:bookmarkEnd w:id="343"/>
      <w:bookmarkEnd w:id="344"/>
    </w:p>
    <w:bookmarkEnd w:id="325"/>
    <w:bookmarkEnd w:id="326"/>
    <w:bookmarkEnd w:id="327"/>
    <w:bookmarkEnd w:id="328"/>
    <w:bookmarkEnd w:id="329"/>
    <w:bookmarkEnd w:id="330"/>
    <w:bookmarkEnd w:id="331"/>
    <w:bookmarkEnd w:id="332"/>
    <w:bookmarkEnd w:id="333"/>
    <w:p w14:paraId="0265D571" w14:textId="77777777" w:rsidR="000E27B7" w:rsidRPr="008704BD" w:rsidRDefault="000A0EBC" w:rsidP="0D0D3BA0">
      <w:pPr>
        <w:pStyle w:val="Text1"/>
        <w:ind w:left="0"/>
        <w:rPr>
          <w:noProof/>
        </w:rPr>
      </w:pPr>
      <w:r w:rsidRPr="008704BD">
        <w:rPr>
          <w:noProof/>
        </w:rPr>
        <w:t>The expected impact</w:t>
      </w:r>
      <w:r w:rsidR="000E27B7" w:rsidRPr="008704BD">
        <w:rPr>
          <w:noProof/>
        </w:rPr>
        <w:t>s</w:t>
      </w:r>
      <w:r w:rsidRPr="008704BD">
        <w:rPr>
          <w:noProof/>
        </w:rPr>
        <w:t xml:space="preserve"> of the options presented are discussed in more detail in the following section.</w:t>
      </w:r>
      <w:r w:rsidR="000E27B7" w:rsidRPr="008704BD">
        <w:rPr>
          <w:noProof/>
        </w:rPr>
        <w:t xml:space="preserve"> These cover economic impacts (costs and benefits) on CASPs, national tax administrations and the Commission, impacts on sectors competitiveness and SMEs</w:t>
      </w:r>
      <w:r w:rsidR="007A3B01" w:rsidRPr="008704BD">
        <w:rPr>
          <w:noProof/>
        </w:rPr>
        <w:t>, as well as social and environmental impacts</w:t>
      </w:r>
      <w:r w:rsidR="000E27B7" w:rsidRPr="008704BD">
        <w:rPr>
          <w:noProof/>
        </w:rPr>
        <w:t xml:space="preserve">. </w:t>
      </w:r>
      <w:r w:rsidR="00110132" w:rsidRPr="008704BD">
        <w:rPr>
          <w:noProof/>
        </w:rPr>
        <w:t>All the policy options have been assessed against the baseline scenario.</w:t>
      </w:r>
    </w:p>
    <w:p w14:paraId="17BA0BC5" w14:textId="77777777" w:rsidR="000E27B7" w:rsidRPr="008704BD" w:rsidRDefault="000E27B7" w:rsidP="0D0D3BA0">
      <w:pPr>
        <w:pStyle w:val="Text1"/>
        <w:ind w:left="0"/>
        <w:rPr>
          <w:noProof/>
        </w:rPr>
      </w:pPr>
      <w:r w:rsidRPr="008704BD">
        <w:rPr>
          <w:noProof/>
        </w:rPr>
        <w:t xml:space="preserve">The table below </w:t>
      </w:r>
      <w:r w:rsidR="007A3B01" w:rsidRPr="008704BD">
        <w:rPr>
          <w:noProof/>
        </w:rPr>
        <w:t>provides an overview</w:t>
      </w:r>
      <w:r w:rsidRPr="008704BD">
        <w:rPr>
          <w:noProof/>
        </w:rPr>
        <w:t xml:space="preserve"> of available policy options considered in the analysis.</w:t>
      </w:r>
    </w:p>
    <w:p w14:paraId="5762557D" w14:textId="77777777" w:rsidR="00110132" w:rsidRPr="008704BD" w:rsidRDefault="00110132">
      <w:pPr>
        <w:pStyle w:val="Caption"/>
        <w:keepNext/>
        <w:rPr>
          <w:noProof/>
          <w:sz w:val="24"/>
        </w:rPr>
      </w:pPr>
      <w:r w:rsidRPr="008704BD">
        <w:rPr>
          <w:noProof/>
          <w:sz w:val="24"/>
        </w:rPr>
        <w:t xml:space="preserve">Table </w:t>
      </w:r>
      <w:r w:rsidR="00931BFE">
        <w:rPr>
          <w:noProof/>
          <w:sz w:val="24"/>
        </w:rPr>
        <w:t>3</w:t>
      </w:r>
      <w:r w:rsidR="00F41160" w:rsidRPr="008704BD">
        <w:rPr>
          <w:noProof/>
          <w:sz w:val="24"/>
        </w:rPr>
        <w:t xml:space="preserve"> Policy options</w:t>
      </w:r>
    </w:p>
    <w:tbl>
      <w:tblPr>
        <w:tblStyle w:val="TableGrid"/>
        <w:tblW w:w="9378" w:type="dxa"/>
        <w:tblLayout w:type="fixed"/>
        <w:tblLook w:val="04A0" w:firstRow="1" w:lastRow="0" w:firstColumn="1" w:lastColumn="0" w:noHBand="0" w:noVBand="1"/>
      </w:tblPr>
      <w:tblGrid>
        <w:gridCol w:w="1563"/>
        <w:gridCol w:w="1563"/>
        <w:gridCol w:w="1563"/>
        <w:gridCol w:w="1563"/>
        <w:gridCol w:w="1563"/>
        <w:gridCol w:w="1563"/>
      </w:tblGrid>
      <w:tr w:rsidR="00DC431C" w14:paraId="45BBB430" w14:textId="77777777" w:rsidTr="00713CBF">
        <w:trPr>
          <w:trHeight w:val="238"/>
        </w:trPr>
        <w:tc>
          <w:tcPr>
            <w:tcW w:w="1563" w:type="dxa"/>
            <w:vAlign w:val="center"/>
          </w:tcPr>
          <w:p w14:paraId="4A12B3D6" w14:textId="061C1623" w:rsidR="00DC431C" w:rsidRPr="00110132" w:rsidRDefault="00DC431C">
            <w:pPr>
              <w:pStyle w:val="Text1"/>
              <w:spacing w:after="0"/>
              <w:ind w:left="0"/>
              <w:jc w:val="center"/>
              <w:rPr>
                <w:b/>
                <w:noProof/>
                <w:sz w:val="18"/>
                <w:szCs w:val="18"/>
              </w:rPr>
            </w:pPr>
            <w:r w:rsidRPr="000001BC">
              <w:rPr>
                <w:b/>
                <w:noProof/>
                <w:sz w:val="18"/>
                <w:szCs w:val="18"/>
              </w:rPr>
              <w:t xml:space="preserve">Option </w:t>
            </w:r>
            <w:r w:rsidR="00953C53">
              <w:rPr>
                <w:b/>
                <w:noProof/>
                <w:sz w:val="18"/>
                <w:szCs w:val="18"/>
              </w:rPr>
              <w:t>1</w:t>
            </w:r>
          </w:p>
        </w:tc>
        <w:tc>
          <w:tcPr>
            <w:tcW w:w="1563" w:type="dxa"/>
          </w:tcPr>
          <w:p w14:paraId="4A8A0803" w14:textId="7E89F32F" w:rsidR="00DC431C" w:rsidRPr="000001BC" w:rsidRDefault="00DC431C">
            <w:pPr>
              <w:pStyle w:val="Text1"/>
              <w:spacing w:after="0"/>
              <w:ind w:left="0"/>
              <w:jc w:val="center"/>
              <w:rPr>
                <w:b/>
                <w:noProof/>
                <w:sz w:val="18"/>
                <w:szCs w:val="18"/>
              </w:rPr>
            </w:pPr>
            <w:r w:rsidRPr="000001BC">
              <w:rPr>
                <w:b/>
                <w:noProof/>
                <w:sz w:val="18"/>
                <w:szCs w:val="18"/>
              </w:rPr>
              <w:t xml:space="preserve">Option </w:t>
            </w:r>
            <w:r w:rsidR="00953C53">
              <w:rPr>
                <w:b/>
                <w:noProof/>
                <w:sz w:val="18"/>
                <w:szCs w:val="18"/>
              </w:rPr>
              <w:t>2</w:t>
            </w:r>
          </w:p>
        </w:tc>
        <w:tc>
          <w:tcPr>
            <w:tcW w:w="1563" w:type="dxa"/>
            <w:vAlign w:val="center"/>
          </w:tcPr>
          <w:p w14:paraId="2C622AD1" w14:textId="0D43544E" w:rsidR="00DC431C" w:rsidRPr="00110132" w:rsidRDefault="00DC431C">
            <w:pPr>
              <w:pStyle w:val="Text1"/>
              <w:spacing w:after="0"/>
              <w:ind w:left="0"/>
              <w:jc w:val="center"/>
              <w:rPr>
                <w:b/>
                <w:noProof/>
                <w:sz w:val="18"/>
                <w:szCs w:val="18"/>
              </w:rPr>
            </w:pPr>
            <w:r w:rsidRPr="000001BC">
              <w:rPr>
                <w:b/>
                <w:noProof/>
                <w:sz w:val="18"/>
                <w:szCs w:val="18"/>
              </w:rPr>
              <w:t xml:space="preserve">Option </w:t>
            </w:r>
            <w:r w:rsidR="00953C53">
              <w:rPr>
                <w:b/>
                <w:noProof/>
                <w:sz w:val="18"/>
                <w:szCs w:val="18"/>
              </w:rPr>
              <w:t>3</w:t>
            </w:r>
          </w:p>
        </w:tc>
        <w:tc>
          <w:tcPr>
            <w:tcW w:w="1563" w:type="dxa"/>
          </w:tcPr>
          <w:p w14:paraId="4D115197" w14:textId="6B05DC1F" w:rsidR="00DC431C" w:rsidRPr="000001BC" w:rsidRDefault="00DC431C">
            <w:pPr>
              <w:pStyle w:val="Text1"/>
              <w:spacing w:after="0"/>
              <w:ind w:left="0"/>
              <w:jc w:val="center"/>
              <w:rPr>
                <w:b/>
                <w:noProof/>
                <w:sz w:val="18"/>
                <w:szCs w:val="18"/>
              </w:rPr>
            </w:pPr>
            <w:r w:rsidRPr="000001BC">
              <w:rPr>
                <w:b/>
                <w:noProof/>
                <w:sz w:val="18"/>
                <w:szCs w:val="18"/>
              </w:rPr>
              <w:t xml:space="preserve">Option </w:t>
            </w:r>
            <w:r w:rsidR="00953C53">
              <w:rPr>
                <w:b/>
                <w:noProof/>
                <w:sz w:val="18"/>
                <w:szCs w:val="18"/>
              </w:rPr>
              <w:t>4</w:t>
            </w:r>
          </w:p>
        </w:tc>
        <w:tc>
          <w:tcPr>
            <w:tcW w:w="1563" w:type="dxa"/>
            <w:vAlign w:val="center"/>
          </w:tcPr>
          <w:p w14:paraId="2C73FA81" w14:textId="5ADA7C68" w:rsidR="00DC431C" w:rsidRPr="00110132" w:rsidRDefault="00DC431C">
            <w:pPr>
              <w:pStyle w:val="Text1"/>
              <w:spacing w:after="0"/>
              <w:ind w:left="0"/>
              <w:jc w:val="center"/>
              <w:rPr>
                <w:b/>
                <w:noProof/>
                <w:sz w:val="18"/>
                <w:szCs w:val="18"/>
              </w:rPr>
            </w:pPr>
            <w:r w:rsidRPr="000001BC">
              <w:rPr>
                <w:b/>
                <w:noProof/>
                <w:sz w:val="18"/>
                <w:szCs w:val="18"/>
              </w:rPr>
              <w:t xml:space="preserve">Option </w:t>
            </w:r>
            <w:r w:rsidR="00953C53">
              <w:rPr>
                <w:b/>
                <w:noProof/>
                <w:sz w:val="18"/>
                <w:szCs w:val="18"/>
              </w:rPr>
              <w:t>5</w:t>
            </w:r>
          </w:p>
        </w:tc>
        <w:tc>
          <w:tcPr>
            <w:tcW w:w="1563" w:type="dxa"/>
            <w:vAlign w:val="center"/>
          </w:tcPr>
          <w:p w14:paraId="785DE8DF" w14:textId="0AE39865" w:rsidR="00DC431C" w:rsidRPr="00110132" w:rsidRDefault="00DC431C">
            <w:pPr>
              <w:pStyle w:val="Text1"/>
              <w:spacing w:after="0"/>
              <w:ind w:left="0"/>
              <w:jc w:val="center"/>
              <w:rPr>
                <w:b/>
                <w:noProof/>
                <w:sz w:val="18"/>
                <w:szCs w:val="18"/>
              </w:rPr>
            </w:pPr>
            <w:r w:rsidRPr="000001BC">
              <w:rPr>
                <w:b/>
                <w:noProof/>
                <w:sz w:val="18"/>
                <w:szCs w:val="18"/>
              </w:rPr>
              <w:t xml:space="preserve">Option </w:t>
            </w:r>
            <w:r w:rsidR="00953C53">
              <w:rPr>
                <w:b/>
                <w:noProof/>
                <w:sz w:val="18"/>
                <w:szCs w:val="18"/>
              </w:rPr>
              <w:t>6</w:t>
            </w:r>
          </w:p>
        </w:tc>
      </w:tr>
      <w:tr w:rsidR="00DC431C" w14:paraId="2F0189D2" w14:textId="77777777" w:rsidTr="00713CBF">
        <w:trPr>
          <w:trHeight w:val="2625"/>
        </w:trPr>
        <w:tc>
          <w:tcPr>
            <w:tcW w:w="1563" w:type="dxa"/>
            <w:vAlign w:val="center"/>
          </w:tcPr>
          <w:p w14:paraId="0C203EA4" w14:textId="77777777" w:rsidR="00DC431C" w:rsidRPr="00110132" w:rsidRDefault="00DC431C" w:rsidP="00931BFE">
            <w:pPr>
              <w:pStyle w:val="Text1"/>
              <w:spacing w:after="0"/>
              <w:ind w:left="0"/>
              <w:jc w:val="center"/>
              <w:rPr>
                <w:b/>
                <w:noProof/>
                <w:sz w:val="18"/>
                <w:szCs w:val="18"/>
              </w:rPr>
            </w:pPr>
            <w:r w:rsidRPr="000001BC">
              <w:rPr>
                <w:noProof/>
                <w:sz w:val="18"/>
                <w:szCs w:val="18"/>
              </w:rPr>
              <w:t xml:space="preserve">CASPs report </w:t>
            </w:r>
            <w:r>
              <w:rPr>
                <w:b/>
                <w:noProof/>
                <w:sz w:val="18"/>
                <w:szCs w:val="18"/>
              </w:rPr>
              <w:t xml:space="preserve">detailed </w:t>
            </w:r>
            <w:r w:rsidRPr="00931BFE">
              <w:rPr>
                <w:noProof/>
                <w:sz w:val="18"/>
                <w:szCs w:val="18"/>
              </w:rPr>
              <w:t>transaction</w:t>
            </w:r>
            <w:r>
              <w:rPr>
                <w:noProof/>
                <w:sz w:val="18"/>
                <w:szCs w:val="18"/>
              </w:rPr>
              <w:t>al</w:t>
            </w:r>
            <w:r w:rsidRPr="00931BFE">
              <w:rPr>
                <w:noProof/>
                <w:sz w:val="18"/>
                <w:szCs w:val="18"/>
              </w:rPr>
              <w:t xml:space="preserve"> information</w:t>
            </w:r>
            <w:r w:rsidRPr="000001BC">
              <w:rPr>
                <w:noProof/>
                <w:sz w:val="18"/>
                <w:szCs w:val="18"/>
              </w:rPr>
              <w:t xml:space="preserve"> on all assets types</w:t>
            </w:r>
            <w:r w:rsidRPr="00257F85">
              <w:rPr>
                <w:noProof/>
                <w:sz w:val="18"/>
                <w:szCs w:val="18"/>
                <w:shd w:val="clear" w:color="auto" w:fill="E6E6E6"/>
              </w:rPr>
              <w:t xml:space="preserve"> </w:t>
            </w:r>
            <w:r w:rsidRPr="000001BC">
              <w:rPr>
                <w:b/>
                <w:noProof/>
                <w:sz w:val="18"/>
                <w:szCs w:val="18"/>
              </w:rPr>
              <w:t>except for non-marketable crypto-assets and utility tokens.</w:t>
            </w:r>
          </w:p>
          <w:p w14:paraId="4C0FC64F" w14:textId="5BECB471" w:rsidR="00DC431C" w:rsidRPr="00110132" w:rsidRDefault="00DC431C" w:rsidP="00931BFE">
            <w:pPr>
              <w:pStyle w:val="Text1"/>
              <w:spacing w:after="0"/>
              <w:ind w:left="0"/>
              <w:jc w:val="center"/>
              <w:rPr>
                <w:noProof/>
                <w:sz w:val="18"/>
                <w:szCs w:val="18"/>
              </w:rPr>
            </w:pPr>
            <w:r w:rsidRPr="000001BC">
              <w:rPr>
                <w:noProof/>
                <w:sz w:val="18"/>
                <w:szCs w:val="18"/>
              </w:rPr>
              <w:t xml:space="preserve">Threshold on CASP size </w:t>
            </w:r>
            <w:r w:rsidRPr="00931BFE">
              <w:rPr>
                <w:b/>
                <w:noProof/>
                <w:sz w:val="18"/>
                <w:szCs w:val="18"/>
              </w:rPr>
              <w:t xml:space="preserve">does not </w:t>
            </w:r>
            <w:r w:rsidRPr="00F75164">
              <w:rPr>
                <w:b/>
                <w:noProof/>
                <w:sz w:val="18"/>
                <w:szCs w:val="18"/>
              </w:rPr>
              <w:t>apply</w:t>
            </w:r>
            <w:r w:rsidRPr="00931BFE">
              <w:rPr>
                <w:b/>
                <w:noProof/>
                <w:sz w:val="18"/>
                <w:szCs w:val="18"/>
              </w:rPr>
              <w:t>.</w:t>
            </w:r>
          </w:p>
        </w:tc>
        <w:tc>
          <w:tcPr>
            <w:tcW w:w="1563" w:type="dxa"/>
            <w:vAlign w:val="center"/>
          </w:tcPr>
          <w:p w14:paraId="1437AF66" w14:textId="77777777" w:rsidR="00DC431C" w:rsidRPr="00110132" w:rsidRDefault="00DC431C" w:rsidP="00931BFE">
            <w:pPr>
              <w:pStyle w:val="Text1"/>
              <w:spacing w:after="0"/>
              <w:ind w:left="0"/>
              <w:jc w:val="center"/>
              <w:rPr>
                <w:b/>
                <w:noProof/>
                <w:sz w:val="18"/>
                <w:szCs w:val="18"/>
              </w:rPr>
            </w:pPr>
            <w:r w:rsidRPr="000001BC">
              <w:rPr>
                <w:noProof/>
                <w:sz w:val="18"/>
                <w:szCs w:val="18"/>
              </w:rPr>
              <w:t xml:space="preserve">CASPs report </w:t>
            </w:r>
            <w:r>
              <w:rPr>
                <w:b/>
                <w:noProof/>
                <w:sz w:val="18"/>
                <w:szCs w:val="18"/>
              </w:rPr>
              <w:t xml:space="preserve">detailed </w:t>
            </w:r>
            <w:r w:rsidRPr="00931BFE">
              <w:rPr>
                <w:noProof/>
                <w:sz w:val="18"/>
                <w:szCs w:val="18"/>
              </w:rPr>
              <w:t>transaction</w:t>
            </w:r>
            <w:r>
              <w:rPr>
                <w:noProof/>
                <w:sz w:val="18"/>
                <w:szCs w:val="18"/>
              </w:rPr>
              <w:t>al</w:t>
            </w:r>
            <w:r w:rsidRPr="00931BFE">
              <w:rPr>
                <w:noProof/>
                <w:sz w:val="18"/>
                <w:szCs w:val="18"/>
              </w:rPr>
              <w:t xml:space="preserve"> information</w:t>
            </w:r>
            <w:r w:rsidRPr="000001BC">
              <w:rPr>
                <w:noProof/>
                <w:sz w:val="18"/>
                <w:szCs w:val="18"/>
              </w:rPr>
              <w:t xml:space="preserve"> on all assets types</w:t>
            </w:r>
            <w:r w:rsidRPr="00257F85">
              <w:rPr>
                <w:noProof/>
                <w:sz w:val="18"/>
                <w:szCs w:val="18"/>
                <w:shd w:val="clear" w:color="auto" w:fill="E6E6E6"/>
              </w:rPr>
              <w:t xml:space="preserve"> </w:t>
            </w:r>
            <w:r w:rsidRPr="000001BC">
              <w:rPr>
                <w:b/>
                <w:noProof/>
                <w:sz w:val="18"/>
                <w:szCs w:val="18"/>
              </w:rPr>
              <w:t>except for non-marketable crypto-assets and utility tokens.</w:t>
            </w:r>
          </w:p>
          <w:p w14:paraId="3750A8B5" w14:textId="77777777" w:rsidR="00DC431C" w:rsidRPr="000001BC" w:rsidRDefault="00DC431C">
            <w:pPr>
              <w:pStyle w:val="Text1"/>
              <w:spacing w:after="0"/>
              <w:ind w:left="0"/>
              <w:jc w:val="center"/>
              <w:rPr>
                <w:noProof/>
                <w:sz w:val="18"/>
                <w:szCs w:val="18"/>
              </w:rPr>
            </w:pPr>
            <w:r w:rsidRPr="000001BC">
              <w:rPr>
                <w:noProof/>
                <w:sz w:val="18"/>
                <w:szCs w:val="18"/>
              </w:rPr>
              <w:t>Threshold on CASP size</w:t>
            </w:r>
            <w:r>
              <w:rPr>
                <w:noProof/>
                <w:sz w:val="18"/>
                <w:szCs w:val="18"/>
              </w:rPr>
              <w:t xml:space="preserve"> </w:t>
            </w:r>
            <w:r w:rsidRPr="000001BC">
              <w:rPr>
                <w:b/>
                <w:noProof/>
                <w:sz w:val="18"/>
                <w:szCs w:val="18"/>
              </w:rPr>
              <w:t>applies</w:t>
            </w:r>
            <w:r w:rsidRPr="000001BC">
              <w:rPr>
                <w:noProof/>
                <w:sz w:val="18"/>
                <w:szCs w:val="18"/>
              </w:rPr>
              <w:t>.</w:t>
            </w:r>
          </w:p>
        </w:tc>
        <w:tc>
          <w:tcPr>
            <w:tcW w:w="1563" w:type="dxa"/>
            <w:vAlign w:val="center"/>
          </w:tcPr>
          <w:p w14:paraId="2C64FAA0" w14:textId="77777777" w:rsidR="00DC431C" w:rsidRPr="00110132" w:rsidRDefault="00DC431C" w:rsidP="00931BFE">
            <w:pPr>
              <w:pStyle w:val="Text1"/>
              <w:spacing w:after="0"/>
              <w:ind w:left="0"/>
              <w:jc w:val="center"/>
              <w:rPr>
                <w:b/>
                <w:noProof/>
                <w:sz w:val="18"/>
                <w:szCs w:val="18"/>
              </w:rPr>
            </w:pPr>
            <w:r w:rsidRPr="000001BC">
              <w:rPr>
                <w:noProof/>
                <w:sz w:val="18"/>
                <w:szCs w:val="18"/>
              </w:rPr>
              <w:t xml:space="preserve">CASPs report </w:t>
            </w:r>
            <w:r>
              <w:rPr>
                <w:b/>
                <w:noProof/>
                <w:sz w:val="18"/>
                <w:szCs w:val="18"/>
              </w:rPr>
              <w:t xml:space="preserve">aggregated </w:t>
            </w:r>
            <w:r w:rsidRPr="00931BFE">
              <w:rPr>
                <w:noProof/>
                <w:sz w:val="18"/>
                <w:szCs w:val="18"/>
              </w:rPr>
              <w:t>transaction</w:t>
            </w:r>
            <w:r>
              <w:rPr>
                <w:noProof/>
                <w:sz w:val="18"/>
                <w:szCs w:val="18"/>
              </w:rPr>
              <w:t>al</w:t>
            </w:r>
            <w:r w:rsidRPr="00931BFE">
              <w:rPr>
                <w:noProof/>
                <w:sz w:val="18"/>
                <w:szCs w:val="18"/>
              </w:rPr>
              <w:t xml:space="preserve"> information</w:t>
            </w:r>
            <w:r w:rsidRPr="000001BC">
              <w:rPr>
                <w:noProof/>
                <w:sz w:val="18"/>
                <w:szCs w:val="18"/>
              </w:rPr>
              <w:t xml:space="preserve"> on all assets types</w:t>
            </w:r>
            <w:r w:rsidRPr="00257F85">
              <w:rPr>
                <w:noProof/>
                <w:sz w:val="18"/>
                <w:szCs w:val="18"/>
                <w:shd w:val="clear" w:color="auto" w:fill="E6E6E6"/>
              </w:rPr>
              <w:t xml:space="preserve"> </w:t>
            </w:r>
            <w:r w:rsidRPr="000001BC">
              <w:rPr>
                <w:b/>
                <w:noProof/>
                <w:sz w:val="18"/>
                <w:szCs w:val="18"/>
              </w:rPr>
              <w:t>except for non-marketable crypto-assets and utility tokens.</w:t>
            </w:r>
            <w:r w:rsidRPr="00257F85">
              <w:rPr>
                <w:b/>
                <w:noProof/>
                <w:sz w:val="18"/>
                <w:szCs w:val="18"/>
                <w:shd w:val="clear" w:color="auto" w:fill="E6E6E6"/>
              </w:rPr>
              <w:t xml:space="preserve"> </w:t>
            </w:r>
          </w:p>
          <w:p w14:paraId="38EFA1EB" w14:textId="77777777" w:rsidR="00DC431C" w:rsidRPr="00110132" w:rsidRDefault="00DC431C" w:rsidP="00931BFE">
            <w:pPr>
              <w:pStyle w:val="Text1"/>
              <w:spacing w:after="0"/>
              <w:ind w:left="0"/>
              <w:jc w:val="center"/>
              <w:rPr>
                <w:noProof/>
                <w:sz w:val="18"/>
                <w:szCs w:val="18"/>
              </w:rPr>
            </w:pPr>
            <w:r w:rsidRPr="000001BC">
              <w:rPr>
                <w:noProof/>
                <w:sz w:val="18"/>
                <w:szCs w:val="18"/>
              </w:rPr>
              <w:t xml:space="preserve">Threshold on CASP size </w:t>
            </w:r>
            <w:r w:rsidRPr="00041934">
              <w:rPr>
                <w:b/>
                <w:noProof/>
                <w:sz w:val="18"/>
                <w:szCs w:val="18"/>
              </w:rPr>
              <w:t>does not apply.</w:t>
            </w:r>
          </w:p>
        </w:tc>
        <w:tc>
          <w:tcPr>
            <w:tcW w:w="1563" w:type="dxa"/>
            <w:vAlign w:val="center"/>
          </w:tcPr>
          <w:p w14:paraId="5C238D62" w14:textId="77777777" w:rsidR="00DC431C" w:rsidRPr="00110132" w:rsidRDefault="00DC431C" w:rsidP="00931BFE">
            <w:pPr>
              <w:pStyle w:val="Text1"/>
              <w:spacing w:after="0"/>
              <w:ind w:left="0"/>
              <w:jc w:val="center"/>
              <w:rPr>
                <w:b/>
                <w:noProof/>
                <w:sz w:val="18"/>
                <w:szCs w:val="18"/>
              </w:rPr>
            </w:pPr>
            <w:r w:rsidRPr="000001BC">
              <w:rPr>
                <w:noProof/>
                <w:sz w:val="18"/>
                <w:szCs w:val="18"/>
              </w:rPr>
              <w:t xml:space="preserve">CASPs report </w:t>
            </w:r>
            <w:r>
              <w:rPr>
                <w:b/>
                <w:noProof/>
                <w:sz w:val="18"/>
                <w:szCs w:val="18"/>
              </w:rPr>
              <w:t xml:space="preserve">aggregated </w:t>
            </w:r>
            <w:r w:rsidRPr="00041934">
              <w:rPr>
                <w:noProof/>
                <w:sz w:val="18"/>
                <w:szCs w:val="18"/>
              </w:rPr>
              <w:t>transaction</w:t>
            </w:r>
            <w:r>
              <w:rPr>
                <w:noProof/>
                <w:sz w:val="18"/>
                <w:szCs w:val="18"/>
              </w:rPr>
              <w:t>al</w:t>
            </w:r>
            <w:r w:rsidRPr="00041934">
              <w:rPr>
                <w:noProof/>
                <w:sz w:val="18"/>
                <w:szCs w:val="18"/>
              </w:rPr>
              <w:t xml:space="preserve"> information</w:t>
            </w:r>
            <w:r w:rsidRPr="000001BC">
              <w:rPr>
                <w:noProof/>
                <w:sz w:val="18"/>
                <w:szCs w:val="18"/>
              </w:rPr>
              <w:t xml:space="preserve"> on all assets types</w:t>
            </w:r>
            <w:r w:rsidRPr="00257F85">
              <w:rPr>
                <w:noProof/>
                <w:sz w:val="18"/>
                <w:szCs w:val="18"/>
                <w:shd w:val="clear" w:color="auto" w:fill="E6E6E6"/>
              </w:rPr>
              <w:t xml:space="preserve"> </w:t>
            </w:r>
            <w:r w:rsidRPr="000001BC">
              <w:rPr>
                <w:b/>
                <w:noProof/>
                <w:sz w:val="18"/>
                <w:szCs w:val="18"/>
              </w:rPr>
              <w:t>except for non-marketable crypto-assets and utility tokens.</w:t>
            </w:r>
          </w:p>
          <w:p w14:paraId="5AF3E0B6" w14:textId="77777777" w:rsidR="00DC431C" w:rsidRPr="000001BC" w:rsidRDefault="00DC431C">
            <w:pPr>
              <w:pStyle w:val="Text1"/>
              <w:spacing w:after="0"/>
              <w:ind w:left="0"/>
              <w:jc w:val="center"/>
              <w:rPr>
                <w:noProof/>
                <w:sz w:val="18"/>
                <w:szCs w:val="18"/>
              </w:rPr>
            </w:pPr>
            <w:r w:rsidRPr="000001BC">
              <w:rPr>
                <w:noProof/>
                <w:sz w:val="18"/>
                <w:szCs w:val="18"/>
              </w:rPr>
              <w:t xml:space="preserve">Threshold on CASP size </w:t>
            </w:r>
            <w:r w:rsidRPr="000001BC">
              <w:rPr>
                <w:b/>
                <w:noProof/>
                <w:sz w:val="18"/>
                <w:szCs w:val="18"/>
              </w:rPr>
              <w:t>applies</w:t>
            </w:r>
            <w:r w:rsidRPr="000001BC">
              <w:rPr>
                <w:noProof/>
                <w:sz w:val="18"/>
                <w:szCs w:val="18"/>
              </w:rPr>
              <w:t>.</w:t>
            </w:r>
          </w:p>
        </w:tc>
        <w:tc>
          <w:tcPr>
            <w:tcW w:w="1563" w:type="dxa"/>
            <w:vAlign w:val="center"/>
          </w:tcPr>
          <w:p w14:paraId="59008679" w14:textId="77777777" w:rsidR="00DC431C" w:rsidRPr="00110132" w:rsidRDefault="00DC431C">
            <w:pPr>
              <w:pStyle w:val="Text1"/>
              <w:spacing w:after="0"/>
              <w:ind w:left="0"/>
              <w:jc w:val="center"/>
              <w:rPr>
                <w:b/>
                <w:noProof/>
                <w:sz w:val="18"/>
                <w:szCs w:val="18"/>
              </w:rPr>
            </w:pPr>
            <w:r w:rsidRPr="000001BC">
              <w:rPr>
                <w:noProof/>
                <w:sz w:val="18"/>
                <w:szCs w:val="18"/>
              </w:rPr>
              <w:t xml:space="preserve">CASPs report </w:t>
            </w:r>
            <w:r>
              <w:rPr>
                <w:b/>
                <w:noProof/>
                <w:sz w:val="18"/>
                <w:szCs w:val="18"/>
              </w:rPr>
              <w:t xml:space="preserve">hybrid </w:t>
            </w:r>
            <w:r w:rsidRPr="00041934">
              <w:rPr>
                <w:noProof/>
                <w:sz w:val="18"/>
                <w:szCs w:val="18"/>
              </w:rPr>
              <w:t>transaction</w:t>
            </w:r>
            <w:r>
              <w:rPr>
                <w:noProof/>
                <w:sz w:val="18"/>
                <w:szCs w:val="18"/>
              </w:rPr>
              <w:t>al</w:t>
            </w:r>
            <w:r w:rsidRPr="00041934">
              <w:rPr>
                <w:noProof/>
                <w:sz w:val="18"/>
                <w:szCs w:val="18"/>
              </w:rPr>
              <w:t xml:space="preserve"> information</w:t>
            </w:r>
            <w:r w:rsidRPr="000001BC">
              <w:rPr>
                <w:noProof/>
                <w:sz w:val="18"/>
                <w:szCs w:val="18"/>
              </w:rPr>
              <w:t xml:space="preserve"> on all assets types</w:t>
            </w:r>
            <w:r w:rsidRPr="00257F85">
              <w:rPr>
                <w:noProof/>
                <w:sz w:val="18"/>
                <w:szCs w:val="18"/>
                <w:shd w:val="clear" w:color="auto" w:fill="E6E6E6"/>
              </w:rPr>
              <w:t xml:space="preserve"> </w:t>
            </w:r>
            <w:r w:rsidRPr="000001BC">
              <w:rPr>
                <w:b/>
                <w:noProof/>
                <w:sz w:val="18"/>
                <w:szCs w:val="18"/>
              </w:rPr>
              <w:t>except for non-marketable crypto-assets and utility tokens.</w:t>
            </w:r>
          </w:p>
          <w:p w14:paraId="0433C06E" w14:textId="77777777" w:rsidR="00DC431C" w:rsidRPr="00005F39" w:rsidRDefault="00DC431C" w:rsidP="00931BFE">
            <w:pPr>
              <w:pStyle w:val="Text1"/>
              <w:spacing w:after="0"/>
              <w:ind w:left="0"/>
              <w:jc w:val="center"/>
              <w:rPr>
                <w:b/>
                <w:noProof/>
                <w:sz w:val="18"/>
                <w:szCs w:val="18"/>
              </w:rPr>
            </w:pPr>
            <w:r w:rsidRPr="000001BC">
              <w:rPr>
                <w:noProof/>
                <w:sz w:val="18"/>
                <w:szCs w:val="18"/>
              </w:rPr>
              <w:t xml:space="preserve">Threshold on CASP size </w:t>
            </w:r>
            <w:r w:rsidRPr="00041934">
              <w:rPr>
                <w:b/>
                <w:noProof/>
                <w:sz w:val="18"/>
                <w:szCs w:val="18"/>
              </w:rPr>
              <w:t>does not apply.</w:t>
            </w:r>
          </w:p>
        </w:tc>
        <w:tc>
          <w:tcPr>
            <w:tcW w:w="1563" w:type="dxa"/>
            <w:vAlign w:val="center"/>
          </w:tcPr>
          <w:p w14:paraId="5069E1B9" w14:textId="77777777" w:rsidR="00DC431C" w:rsidRPr="00110132" w:rsidRDefault="00DC431C">
            <w:pPr>
              <w:pStyle w:val="Text1"/>
              <w:spacing w:after="0"/>
              <w:ind w:left="0"/>
              <w:jc w:val="center"/>
              <w:rPr>
                <w:b/>
                <w:noProof/>
                <w:sz w:val="18"/>
                <w:szCs w:val="18"/>
              </w:rPr>
            </w:pPr>
            <w:r w:rsidRPr="000001BC">
              <w:rPr>
                <w:noProof/>
                <w:sz w:val="18"/>
                <w:szCs w:val="18"/>
              </w:rPr>
              <w:t xml:space="preserve">CASPs report </w:t>
            </w:r>
            <w:r>
              <w:rPr>
                <w:b/>
                <w:noProof/>
                <w:sz w:val="18"/>
                <w:szCs w:val="18"/>
              </w:rPr>
              <w:t xml:space="preserve">hybrid </w:t>
            </w:r>
            <w:r w:rsidRPr="00041934">
              <w:rPr>
                <w:noProof/>
                <w:sz w:val="18"/>
                <w:szCs w:val="18"/>
              </w:rPr>
              <w:t>transaction</w:t>
            </w:r>
            <w:r>
              <w:rPr>
                <w:noProof/>
                <w:sz w:val="18"/>
                <w:szCs w:val="18"/>
              </w:rPr>
              <w:t>al</w:t>
            </w:r>
            <w:r w:rsidRPr="00041934">
              <w:rPr>
                <w:noProof/>
                <w:sz w:val="18"/>
                <w:szCs w:val="18"/>
              </w:rPr>
              <w:t xml:space="preserve"> information</w:t>
            </w:r>
            <w:r w:rsidRPr="000001BC">
              <w:rPr>
                <w:noProof/>
                <w:sz w:val="18"/>
                <w:szCs w:val="18"/>
              </w:rPr>
              <w:t xml:space="preserve"> on all assets types</w:t>
            </w:r>
            <w:r w:rsidRPr="00257F85">
              <w:rPr>
                <w:noProof/>
                <w:sz w:val="18"/>
                <w:szCs w:val="18"/>
                <w:shd w:val="clear" w:color="auto" w:fill="E6E6E6"/>
              </w:rPr>
              <w:t xml:space="preserve"> </w:t>
            </w:r>
            <w:r w:rsidRPr="000001BC">
              <w:rPr>
                <w:b/>
                <w:noProof/>
                <w:sz w:val="18"/>
                <w:szCs w:val="18"/>
              </w:rPr>
              <w:t>except for non-marketable crypto-assets and utility tokens.</w:t>
            </w:r>
          </w:p>
          <w:p w14:paraId="09056508" w14:textId="59A290B9" w:rsidR="00DC431C" w:rsidRPr="00110132" w:rsidRDefault="00DC431C" w:rsidP="00931BFE">
            <w:pPr>
              <w:pStyle w:val="Text1"/>
              <w:spacing w:after="0"/>
              <w:ind w:left="0"/>
              <w:jc w:val="center"/>
              <w:rPr>
                <w:noProof/>
                <w:sz w:val="18"/>
                <w:szCs w:val="18"/>
              </w:rPr>
            </w:pPr>
            <w:r w:rsidRPr="000001BC">
              <w:rPr>
                <w:noProof/>
                <w:sz w:val="18"/>
                <w:szCs w:val="18"/>
              </w:rPr>
              <w:t xml:space="preserve">Threshold on CASP size </w:t>
            </w:r>
            <w:r w:rsidRPr="000001BC">
              <w:rPr>
                <w:b/>
                <w:noProof/>
                <w:sz w:val="18"/>
                <w:szCs w:val="18"/>
              </w:rPr>
              <w:t>applies</w:t>
            </w:r>
            <w:r w:rsidRPr="000001BC">
              <w:rPr>
                <w:noProof/>
                <w:sz w:val="18"/>
                <w:szCs w:val="18"/>
              </w:rPr>
              <w:t>.</w:t>
            </w:r>
          </w:p>
        </w:tc>
      </w:tr>
    </w:tbl>
    <w:p w14:paraId="691113AE" w14:textId="77777777" w:rsidR="00DE6E29" w:rsidRPr="006E5F59" w:rsidRDefault="00DE6E29">
      <w:pPr>
        <w:rPr>
          <w:rFonts w:ascii="Times New Roman" w:hAnsi="Times New Roman" w:cs="Times New Roman"/>
          <w:noProof/>
        </w:rPr>
      </w:pPr>
    </w:p>
    <w:p w14:paraId="4F2CE49C" w14:textId="77777777" w:rsidR="00572424" w:rsidRPr="006E5F59" w:rsidRDefault="00FA4962" w:rsidP="00811206">
      <w:pPr>
        <w:pStyle w:val="Heading2"/>
        <w:rPr>
          <w:rFonts w:cs="Times New Roman"/>
          <w:noProof/>
        </w:rPr>
      </w:pPr>
      <w:bookmarkStart w:id="345" w:name="_Toc81582165"/>
      <w:bookmarkStart w:id="346" w:name="_Toc83742024"/>
      <w:bookmarkStart w:id="347" w:name="_Toc83824403"/>
      <w:bookmarkStart w:id="348" w:name="_Toc84338480"/>
      <w:bookmarkStart w:id="349" w:name="_Toc84520048"/>
      <w:bookmarkStart w:id="350" w:name="_Toc84579913"/>
      <w:bookmarkStart w:id="351" w:name="_Toc85052206"/>
      <w:bookmarkStart w:id="352" w:name="_Toc787959778"/>
      <w:bookmarkStart w:id="353" w:name="_Toc1272354772"/>
      <w:bookmarkStart w:id="354" w:name="_Toc464928585"/>
      <w:bookmarkStart w:id="355" w:name="_Toc93306882"/>
      <w:r w:rsidRPr="41BAA3BB">
        <w:rPr>
          <w:rFonts w:cs="Times New Roman"/>
          <w:noProof/>
        </w:rPr>
        <w:t xml:space="preserve">6.2. </w:t>
      </w:r>
      <w:r w:rsidR="00572424" w:rsidRPr="41BAA3BB">
        <w:rPr>
          <w:rFonts w:cs="Times New Roman"/>
          <w:noProof/>
        </w:rPr>
        <w:t>Economic impacts</w:t>
      </w:r>
      <w:bookmarkEnd w:id="345"/>
      <w:bookmarkEnd w:id="346"/>
      <w:bookmarkEnd w:id="347"/>
      <w:bookmarkEnd w:id="348"/>
      <w:bookmarkEnd w:id="349"/>
      <w:bookmarkEnd w:id="350"/>
      <w:bookmarkEnd w:id="351"/>
      <w:bookmarkEnd w:id="352"/>
      <w:bookmarkEnd w:id="353"/>
      <w:bookmarkEnd w:id="354"/>
      <w:bookmarkEnd w:id="355"/>
    </w:p>
    <w:p w14:paraId="084B0BD1" w14:textId="77777777" w:rsidR="00211FC7" w:rsidRPr="008704BD" w:rsidRDefault="00572424" w:rsidP="00EF640C">
      <w:pPr>
        <w:jc w:val="both"/>
        <w:rPr>
          <w:rFonts w:ascii="Times New Roman" w:hAnsi="Times New Roman"/>
          <w:noProof/>
          <w:sz w:val="24"/>
          <w:lang w:val="en-GB"/>
        </w:rPr>
      </w:pPr>
      <w:r w:rsidRPr="008704BD">
        <w:rPr>
          <w:rFonts w:ascii="Times New Roman" w:hAnsi="Times New Roman"/>
          <w:noProof/>
          <w:sz w:val="24"/>
          <w:lang w:val="en-GB"/>
        </w:rPr>
        <w:t xml:space="preserve">The </w:t>
      </w:r>
      <w:r w:rsidR="00A4164F" w:rsidRPr="008704BD">
        <w:rPr>
          <w:rFonts w:ascii="Times New Roman" w:hAnsi="Times New Roman"/>
          <w:noProof/>
          <w:sz w:val="24"/>
          <w:lang w:val="en-GB"/>
        </w:rPr>
        <w:t>various</w:t>
      </w:r>
      <w:r w:rsidRPr="008704BD">
        <w:rPr>
          <w:rFonts w:ascii="Times New Roman" w:hAnsi="Times New Roman"/>
          <w:noProof/>
          <w:sz w:val="24"/>
          <w:lang w:val="en-GB"/>
        </w:rPr>
        <w:t xml:space="preserve"> option</w:t>
      </w:r>
      <w:r w:rsidR="00A4164F" w:rsidRPr="008704BD">
        <w:rPr>
          <w:rFonts w:ascii="Times New Roman" w:hAnsi="Times New Roman"/>
          <w:noProof/>
          <w:sz w:val="24"/>
          <w:lang w:val="en-GB"/>
        </w:rPr>
        <w:t>s</w:t>
      </w:r>
      <w:r w:rsidRPr="008704BD">
        <w:rPr>
          <w:rFonts w:ascii="Times New Roman" w:hAnsi="Times New Roman"/>
          <w:noProof/>
          <w:sz w:val="24"/>
          <w:lang w:val="en-GB"/>
        </w:rPr>
        <w:t xml:space="preserve"> focus on improving the reporting </w:t>
      </w:r>
      <w:r w:rsidR="456B7A1A" w:rsidRPr="008704BD">
        <w:rPr>
          <w:rFonts w:ascii="Times New Roman" w:hAnsi="Times New Roman"/>
          <w:noProof/>
          <w:sz w:val="24"/>
          <w:lang w:val="en-GB"/>
        </w:rPr>
        <w:t xml:space="preserve">and exchange </w:t>
      </w:r>
      <w:r w:rsidRPr="008704BD">
        <w:rPr>
          <w:rFonts w:ascii="Times New Roman" w:hAnsi="Times New Roman"/>
          <w:noProof/>
          <w:sz w:val="24"/>
          <w:lang w:val="en-GB"/>
        </w:rPr>
        <w:t xml:space="preserve">of information relative to crypto-assets transactions. </w:t>
      </w:r>
      <w:r w:rsidR="000A0EBC" w:rsidRPr="008704BD">
        <w:rPr>
          <w:rFonts w:ascii="Times New Roman" w:hAnsi="Times New Roman"/>
          <w:noProof/>
          <w:sz w:val="24"/>
          <w:lang w:val="en-GB"/>
        </w:rPr>
        <w:t xml:space="preserve">Still, there is a lack of official statistics on service providers and the underlying transactions they tend to facilitate, which would be needed to estimate the economic impacts of the initiative in a reliable manner. We do, however, estimate as much as possible both the benefits and the costs of the measure on the basis of reasonable and sound assumptions combined with extrapolations based on </w:t>
      </w:r>
      <w:r w:rsidR="3B64AAAA" w:rsidRPr="008704BD">
        <w:rPr>
          <w:rFonts w:ascii="Times New Roman" w:hAnsi="Times New Roman"/>
          <w:noProof/>
          <w:sz w:val="24"/>
          <w:lang w:val="en-GB"/>
        </w:rPr>
        <w:t>available data.</w:t>
      </w:r>
      <w:r w:rsidRPr="008704BD">
        <w:rPr>
          <w:rFonts w:ascii="Times New Roman" w:hAnsi="Times New Roman"/>
          <w:noProof/>
          <w:sz w:val="24"/>
          <w:lang w:val="en-GB"/>
        </w:rPr>
        <w:t xml:space="preserve"> </w:t>
      </w:r>
      <w:r w:rsidR="000766EC">
        <w:rPr>
          <w:rFonts w:ascii="Times New Roman" w:hAnsi="Times New Roman"/>
          <w:noProof/>
          <w:sz w:val="24"/>
          <w:lang w:val="en-GB"/>
        </w:rPr>
        <w:t>Despite the said</w:t>
      </w:r>
      <w:r w:rsidR="000766EC" w:rsidRPr="000766EC">
        <w:rPr>
          <w:rFonts w:ascii="Times New Roman" w:hAnsi="Times New Roman"/>
          <w:noProof/>
          <w:sz w:val="24"/>
          <w:lang w:val="en-GB"/>
        </w:rPr>
        <w:t xml:space="preserve"> limitations, these estimates can still provide a solid basis for policy-making purposes and the achievement of the objectives under this proposal. </w:t>
      </w:r>
      <w:r w:rsidR="000766EC">
        <w:rPr>
          <w:rFonts w:ascii="Times New Roman" w:hAnsi="Times New Roman"/>
          <w:noProof/>
          <w:sz w:val="24"/>
          <w:lang w:val="en-GB"/>
        </w:rPr>
        <w:t>This</w:t>
      </w:r>
      <w:r w:rsidR="000766EC" w:rsidRPr="008704BD">
        <w:rPr>
          <w:rFonts w:ascii="Times New Roman" w:hAnsi="Times New Roman"/>
          <w:noProof/>
          <w:sz w:val="24"/>
          <w:lang w:val="en-GB"/>
        </w:rPr>
        <w:t xml:space="preserve"> should be taken as the best effort by the Commission services, to assess the most significant impacts of the initiative</w:t>
      </w:r>
      <w:r w:rsidR="000766EC" w:rsidRPr="008704BD" w:rsidDel="00830F47">
        <w:rPr>
          <w:rFonts w:ascii="Times New Roman" w:hAnsi="Times New Roman"/>
          <w:noProof/>
          <w:sz w:val="24"/>
          <w:lang w:val="en-GB"/>
        </w:rPr>
        <w:t>.</w:t>
      </w:r>
    </w:p>
    <w:p w14:paraId="42110DEB" w14:textId="77777777" w:rsidR="00572424" w:rsidRPr="006E5F59" w:rsidRDefault="00211FC7" w:rsidP="00EF640C">
      <w:pPr>
        <w:pStyle w:val="Heading3"/>
        <w:rPr>
          <w:rFonts w:ascii="Times New Roman" w:eastAsia="Times New Roman" w:hAnsi="Times New Roman" w:cs="Times New Roman"/>
          <w:noProof/>
          <w:lang w:val="en-GB"/>
        </w:rPr>
      </w:pPr>
      <w:bookmarkStart w:id="356" w:name="_Toc84338481"/>
      <w:bookmarkStart w:id="357" w:name="_Toc84520049"/>
      <w:bookmarkStart w:id="358" w:name="_Toc84579914"/>
      <w:bookmarkStart w:id="359" w:name="_Toc85052207"/>
      <w:bookmarkStart w:id="360" w:name="_Toc367945189"/>
      <w:bookmarkStart w:id="361" w:name="_Toc2030997158"/>
      <w:bookmarkStart w:id="362" w:name="_Toc717931084"/>
      <w:bookmarkStart w:id="363" w:name="_Toc93306883"/>
      <w:r w:rsidRPr="41BAA3BB">
        <w:rPr>
          <w:rFonts w:ascii="Times New Roman" w:eastAsia="Times New Roman" w:hAnsi="Times New Roman" w:cs="Times New Roman"/>
          <w:noProof/>
          <w:lang w:val="en-GB"/>
        </w:rPr>
        <w:t>6.2.1</w:t>
      </w:r>
      <w:r w:rsidR="00A771E2" w:rsidRPr="41BAA3BB">
        <w:rPr>
          <w:rFonts w:ascii="Times New Roman" w:eastAsia="Times New Roman" w:hAnsi="Times New Roman" w:cs="Times New Roman"/>
          <w:noProof/>
          <w:lang w:val="en-GB"/>
        </w:rPr>
        <w:t>. Benefits</w:t>
      </w:r>
      <w:bookmarkEnd w:id="356"/>
      <w:bookmarkEnd w:id="357"/>
      <w:bookmarkEnd w:id="358"/>
      <w:bookmarkEnd w:id="359"/>
      <w:bookmarkEnd w:id="360"/>
      <w:bookmarkEnd w:id="361"/>
      <w:bookmarkEnd w:id="362"/>
      <w:bookmarkEnd w:id="363"/>
    </w:p>
    <w:p w14:paraId="234FC4AB" w14:textId="77777777" w:rsidR="00572424" w:rsidRPr="008704BD" w:rsidRDefault="00572424" w:rsidP="00572424">
      <w:pPr>
        <w:jc w:val="both"/>
        <w:rPr>
          <w:rFonts w:ascii="Times New Roman" w:hAnsi="Times New Roman"/>
          <w:noProof/>
          <w:sz w:val="24"/>
          <w:lang w:val="en-GB"/>
        </w:rPr>
      </w:pPr>
      <w:r w:rsidRPr="008704BD">
        <w:rPr>
          <w:rFonts w:ascii="Times New Roman" w:hAnsi="Times New Roman"/>
          <w:noProof/>
          <w:sz w:val="24"/>
          <w:lang w:val="en-GB"/>
        </w:rPr>
        <w:t xml:space="preserve">One of the key aims of this initiative is to prevent tax </w:t>
      </w:r>
      <w:r w:rsidR="0037541E" w:rsidRPr="008704BD">
        <w:rPr>
          <w:rFonts w:ascii="Times New Roman" w:hAnsi="Times New Roman"/>
          <w:noProof/>
          <w:sz w:val="24"/>
          <w:lang w:val="en-GB"/>
        </w:rPr>
        <w:t xml:space="preserve">fraud, evasion and </w:t>
      </w:r>
      <w:r w:rsidR="000A0EBC" w:rsidRPr="008704BD">
        <w:rPr>
          <w:rFonts w:ascii="Times New Roman" w:hAnsi="Times New Roman"/>
          <w:noProof/>
          <w:sz w:val="24"/>
          <w:lang w:val="en-GB"/>
        </w:rPr>
        <w:t xml:space="preserve">avoidance </w:t>
      </w:r>
      <w:r w:rsidRPr="008704BD">
        <w:rPr>
          <w:rFonts w:ascii="Times New Roman" w:hAnsi="Times New Roman"/>
          <w:noProof/>
          <w:sz w:val="24"/>
          <w:lang w:val="en-GB"/>
        </w:rPr>
        <w:t>stemming from crypto-asset transactions. As previously discussed, revenues earned through these are currently under-reported. Better reporting and exchange of information should therefore have a positive impact on the revenues to be collected by tax administrations, which we try to estimate.</w:t>
      </w:r>
    </w:p>
    <w:p w14:paraId="463894DC" w14:textId="77777777" w:rsidR="00572424" w:rsidRPr="008704BD" w:rsidRDefault="00572424" w:rsidP="00572424">
      <w:pPr>
        <w:jc w:val="both"/>
        <w:rPr>
          <w:rFonts w:ascii="Times New Roman" w:hAnsi="Times New Roman"/>
          <w:noProof/>
          <w:sz w:val="24"/>
          <w:lang w:val="en-GB"/>
        </w:rPr>
      </w:pPr>
      <w:r w:rsidRPr="008704BD">
        <w:rPr>
          <w:rFonts w:ascii="Times New Roman" w:hAnsi="Times New Roman"/>
          <w:noProof/>
          <w:sz w:val="24"/>
          <w:lang w:val="en-GB"/>
        </w:rPr>
        <w:t>Central to the benefits estimation stands the concept of capital gains</w:t>
      </w:r>
      <w:r w:rsidR="00AD2B79" w:rsidRPr="008704BD">
        <w:rPr>
          <w:rFonts w:ascii="Times New Roman" w:hAnsi="Times New Roman"/>
          <w:noProof/>
          <w:sz w:val="24"/>
          <w:lang w:val="en-GB"/>
        </w:rPr>
        <w:t>.</w:t>
      </w:r>
      <w:r w:rsidR="00AF3A01" w:rsidRPr="008704BD">
        <w:rPr>
          <w:rStyle w:val="FootnoteReference"/>
          <w:rFonts w:ascii="Times New Roman" w:hAnsi="Times New Roman"/>
          <w:noProof/>
          <w:sz w:val="24"/>
          <w:lang w:val="en-GB"/>
        </w:rPr>
        <w:footnoteReference w:id="34"/>
      </w:r>
      <w:r w:rsidRPr="008704BD">
        <w:rPr>
          <w:rFonts w:ascii="Times New Roman" w:hAnsi="Times New Roman"/>
          <w:noProof/>
          <w:sz w:val="24"/>
          <w:lang w:val="en-GB"/>
        </w:rPr>
        <w:t xml:space="preserve"> </w:t>
      </w:r>
      <w:r w:rsidR="000A0EBC" w:rsidRPr="008704BD">
        <w:rPr>
          <w:rFonts w:ascii="Times New Roman" w:hAnsi="Times New Roman"/>
          <w:noProof/>
          <w:sz w:val="24"/>
          <w:lang w:val="en-GB"/>
        </w:rPr>
        <w:t xml:space="preserve">Realised capital gains accrue when the selling price of a crypto-asset exceeds the price of their initial purchase and the asset is sold or </w:t>
      </w:r>
      <w:r w:rsidR="28A406C5" w:rsidRPr="008704BD">
        <w:rPr>
          <w:rFonts w:ascii="Times New Roman" w:hAnsi="Times New Roman"/>
          <w:noProof/>
          <w:sz w:val="24"/>
          <w:lang w:val="en-GB"/>
        </w:rPr>
        <w:t>exchanged</w:t>
      </w:r>
      <w:r w:rsidR="76B2735E" w:rsidRPr="008704BD">
        <w:rPr>
          <w:rFonts w:ascii="Times New Roman" w:hAnsi="Times New Roman"/>
          <w:noProof/>
          <w:sz w:val="24"/>
          <w:lang w:val="en-GB"/>
        </w:rPr>
        <w:t>.</w:t>
      </w:r>
      <w:r w:rsidRPr="008704BD">
        <w:rPr>
          <w:rStyle w:val="FootnoteReference"/>
          <w:rFonts w:ascii="Times New Roman" w:hAnsi="Times New Roman"/>
          <w:noProof/>
          <w:sz w:val="24"/>
          <w:lang w:val="en-GB"/>
        </w:rPr>
        <w:footnoteReference w:id="35"/>
      </w:r>
      <w:r w:rsidRPr="008704BD">
        <w:rPr>
          <w:rFonts w:ascii="Times New Roman" w:hAnsi="Times New Roman"/>
          <w:noProof/>
          <w:sz w:val="24"/>
          <w:lang w:val="en-GB"/>
        </w:rPr>
        <w:t xml:space="preserve"> </w:t>
      </w:r>
      <w:r w:rsidR="4C4E64C9" w:rsidRPr="008704BD">
        <w:rPr>
          <w:rFonts w:ascii="Times New Roman" w:hAnsi="Times New Roman"/>
          <w:noProof/>
          <w:sz w:val="24"/>
          <w:lang w:val="en-GB"/>
        </w:rPr>
        <w:t>Such income</w:t>
      </w:r>
      <w:r w:rsidRPr="008704BD">
        <w:rPr>
          <w:rFonts w:ascii="Times New Roman" w:hAnsi="Times New Roman"/>
          <w:noProof/>
          <w:sz w:val="24"/>
          <w:lang w:val="en-GB"/>
        </w:rPr>
        <w:t xml:space="preserve"> may be </w:t>
      </w:r>
      <w:r w:rsidR="4C4E64C9" w:rsidRPr="008704BD">
        <w:rPr>
          <w:rFonts w:ascii="Times New Roman" w:hAnsi="Times New Roman"/>
          <w:noProof/>
          <w:sz w:val="24"/>
          <w:lang w:val="en-GB"/>
        </w:rPr>
        <w:t>subject to</w:t>
      </w:r>
      <w:r w:rsidR="7F0CE1DB" w:rsidRPr="008704BD">
        <w:rPr>
          <w:rFonts w:ascii="Times New Roman" w:hAnsi="Times New Roman"/>
          <w:noProof/>
          <w:sz w:val="24"/>
          <w:lang w:val="en-GB"/>
        </w:rPr>
        <w:t xml:space="preserve"> </w:t>
      </w:r>
      <w:r w:rsidRPr="008704BD">
        <w:rPr>
          <w:rFonts w:ascii="Times New Roman" w:hAnsi="Times New Roman"/>
          <w:noProof/>
          <w:sz w:val="24"/>
          <w:lang w:val="en-GB"/>
        </w:rPr>
        <w:t xml:space="preserve">tax. </w:t>
      </w:r>
      <w:r w:rsidR="000A0EBC" w:rsidRPr="008704BD">
        <w:rPr>
          <w:rFonts w:ascii="Times New Roman" w:hAnsi="Times New Roman"/>
          <w:noProof/>
          <w:sz w:val="24"/>
          <w:lang w:val="en-GB"/>
        </w:rPr>
        <w:t>The estimates provided hereafter are therefore based on the previously mentioned exchange dynamics. Information related to Bitcoin has been used due to its prevalence on the cryptocurrency market and the availability of data. Data regarding other crypto market players</w:t>
      </w:r>
      <w:r w:rsidR="000A0EBC" w:rsidRPr="008704BD" w:rsidDel="00572424">
        <w:rPr>
          <w:rFonts w:ascii="Times New Roman" w:hAnsi="Times New Roman"/>
          <w:noProof/>
          <w:sz w:val="24"/>
          <w:lang w:val="en-GB"/>
        </w:rPr>
        <w:t xml:space="preserve"> </w:t>
      </w:r>
      <w:r w:rsidR="000A0EBC" w:rsidRPr="008704BD">
        <w:rPr>
          <w:rFonts w:ascii="Times New Roman" w:hAnsi="Times New Roman"/>
          <w:noProof/>
          <w:sz w:val="24"/>
          <w:lang w:val="en-GB"/>
        </w:rPr>
        <w:t xml:space="preserve">is difficult to acquire and it is doubtful whether it would be reliable. Detailed information on the methodology used to estimate the benefits and the employed assumptions can be found in Annex </w:t>
      </w:r>
      <w:r w:rsidR="28A406C5" w:rsidRPr="008704BD">
        <w:rPr>
          <w:rFonts w:ascii="Times New Roman" w:hAnsi="Times New Roman"/>
          <w:noProof/>
          <w:sz w:val="24"/>
          <w:lang w:val="en-GB"/>
        </w:rPr>
        <w:t>4</w:t>
      </w:r>
      <w:r w:rsidR="76B2735E" w:rsidRPr="008704BD">
        <w:rPr>
          <w:rFonts w:ascii="Times New Roman" w:hAnsi="Times New Roman"/>
          <w:noProof/>
          <w:sz w:val="24"/>
          <w:lang w:val="en-GB"/>
        </w:rPr>
        <w:t>.</w:t>
      </w:r>
    </w:p>
    <w:p w14:paraId="03B3935E" w14:textId="77777777" w:rsidR="00572424" w:rsidRPr="008704BD" w:rsidRDefault="000A0EBC" w:rsidP="00572424">
      <w:pPr>
        <w:jc w:val="both"/>
        <w:rPr>
          <w:rFonts w:ascii="Times New Roman" w:hAnsi="Times New Roman"/>
          <w:noProof/>
          <w:sz w:val="24"/>
          <w:lang w:val="en-GB"/>
        </w:rPr>
      </w:pPr>
      <w:r w:rsidRPr="008704BD">
        <w:rPr>
          <w:rFonts w:ascii="Times New Roman" w:hAnsi="Times New Roman"/>
          <w:noProof/>
          <w:sz w:val="24"/>
          <w:lang w:val="en-GB"/>
        </w:rPr>
        <w:t>In 2020, the total realised capital gains by EU citizens from Bitcoin amounted to EUR 3.6 billion according to a</w:t>
      </w:r>
      <w:r w:rsidRPr="008704BD" w:rsidDel="00797CE9">
        <w:rPr>
          <w:rFonts w:ascii="Times New Roman" w:hAnsi="Times New Roman"/>
          <w:noProof/>
          <w:sz w:val="24"/>
          <w:lang w:val="en-GB"/>
        </w:rPr>
        <w:t xml:space="preserve"> </w:t>
      </w:r>
      <w:r w:rsidR="00572424" w:rsidRPr="008704BD">
        <w:rPr>
          <w:rFonts w:ascii="Times New Roman" w:hAnsi="Times New Roman"/>
          <w:noProof/>
          <w:sz w:val="24"/>
          <w:lang w:val="en-GB"/>
        </w:rPr>
        <w:t>study</w:t>
      </w:r>
      <w:r w:rsidR="00797CE9" w:rsidRPr="008704BD">
        <w:rPr>
          <w:rFonts w:ascii="Times New Roman" w:hAnsi="Times New Roman"/>
          <w:noProof/>
          <w:sz w:val="24"/>
          <w:lang w:val="en-GB"/>
        </w:rPr>
        <w:t xml:space="preserve"> by Thiemann (2021)</w:t>
      </w:r>
      <w:r w:rsidR="00572424" w:rsidRPr="008704BD">
        <w:rPr>
          <w:rFonts w:ascii="Times New Roman" w:hAnsi="Times New Roman"/>
          <w:noProof/>
          <w:sz w:val="24"/>
          <w:lang w:val="en-GB"/>
        </w:rPr>
        <w:t>.</w:t>
      </w:r>
      <w:r w:rsidR="00572424" w:rsidRPr="008704BD">
        <w:rPr>
          <w:rStyle w:val="FootnoteReference"/>
          <w:rFonts w:ascii="Times New Roman" w:hAnsi="Times New Roman"/>
          <w:noProof/>
          <w:sz w:val="24"/>
          <w:lang w:val="en-GB"/>
        </w:rPr>
        <w:footnoteReference w:id="36"/>
      </w:r>
      <w:r w:rsidR="00374D58" w:rsidRPr="008704BD">
        <w:rPr>
          <w:rFonts w:ascii="Times New Roman" w:hAnsi="Times New Roman"/>
          <w:noProof/>
          <w:sz w:val="24"/>
          <w:vertAlign w:val="superscript"/>
          <w:lang w:val="en-GB"/>
        </w:rPr>
        <w:t>,</w:t>
      </w:r>
      <w:r w:rsidR="00572424" w:rsidRPr="008704BD">
        <w:rPr>
          <w:rStyle w:val="FootnoteReference"/>
          <w:rFonts w:ascii="Times New Roman" w:hAnsi="Times New Roman"/>
          <w:noProof/>
          <w:sz w:val="24"/>
          <w:lang w:val="en-GB"/>
        </w:rPr>
        <w:footnoteReference w:id="37"/>
      </w:r>
      <w:r w:rsidR="00572424" w:rsidRPr="008704BD">
        <w:rPr>
          <w:rFonts w:ascii="Times New Roman" w:hAnsi="Times New Roman"/>
          <w:noProof/>
          <w:sz w:val="24"/>
          <w:lang w:val="en-GB"/>
        </w:rPr>
        <w:t xml:space="preserve"> </w:t>
      </w:r>
      <w:r w:rsidR="005E73A5">
        <w:rPr>
          <w:rFonts w:ascii="Times New Roman" w:hAnsi="Times New Roman"/>
          <w:noProof/>
          <w:sz w:val="24"/>
          <w:lang w:val="en-GB"/>
        </w:rPr>
        <w:t xml:space="preserve">The </w:t>
      </w:r>
      <w:r w:rsidR="005C2954">
        <w:rPr>
          <w:rFonts w:ascii="Times New Roman" w:hAnsi="Times New Roman"/>
          <w:noProof/>
          <w:sz w:val="24"/>
          <w:lang w:val="en-GB"/>
        </w:rPr>
        <w:t>employed</w:t>
      </w:r>
      <w:r w:rsidR="005E73A5">
        <w:rPr>
          <w:rFonts w:ascii="Times New Roman" w:hAnsi="Times New Roman"/>
          <w:noProof/>
          <w:sz w:val="24"/>
          <w:lang w:val="en-GB"/>
        </w:rPr>
        <w:t xml:space="preserve"> data had been </w:t>
      </w:r>
      <w:r w:rsidR="005E73A5" w:rsidRPr="005E73A5">
        <w:rPr>
          <w:rFonts w:ascii="Times New Roman" w:hAnsi="Times New Roman"/>
          <w:noProof/>
          <w:sz w:val="24"/>
          <w:lang w:val="en-GB"/>
        </w:rPr>
        <w:t>tracked by Chainalysis (a blockchain data p</w:t>
      </w:r>
      <w:r w:rsidR="005E73A5">
        <w:rPr>
          <w:rFonts w:ascii="Times New Roman" w:hAnsi="Times New Roman"/>
          <w:noProof/>
          <w:sz w:val="24"/>
          <w:lang w:val="en-GB"/>
        </w:rPr>
        <w:t xml:space="preserve">latform) </w:t>
      </w:r>
      <w:r w:rsidR="005C2954">
        <w:rPr>
          <w:rFonts w:ascii="Times New Roman" w:hAnsi="Times New Roman"/>
          <w:noProof/>
          <w:sz w:val="24"/>
          <w:lang w:val="en-GB"/>
        </w:rPr>
        <w:t>who</w:t>
      </w:r>
      <w:r w:rsidR="005E73A5">
        <w:rPr>
          <w:rFonts w:ascii="Times New Roman" w:hAnsi="Times New Roman"/>
          <w:noProof/>
          <w:sz w:val="24"/>
          <w:lang w:val="en-GB"/>
        </w:rPr>
        <w:t xml:space="preserve"> </w:t>
      </w:r>
      <w:r w:rsidR="005C2954">
        <w:rPr>
          <w:rFonts w:ascii="Times New Roman" w:hAnsi="Times New Roman"/>
          <w:noProof/>
          <w:sz w:val="24"/>
          <w:lang w:val="en-GB"/>
        </w:rPr>
        <w:t>are</w:t>
      </w:r>
      <w:r w:rsidR="005E73A5">
        <w:rPr>
          <w:rFonts w:ascii="Times New Roman" w:hAnsi="Times New Roman"/>
          <w:noProof/>
          <w:sz w:val="24"/>
          <w:lang w:val="en-GB"/>
        </w:rPr>
        <w:t xml:space="preserve"> considered a </w:t>
      </w:r>
      <w:r w:rsidR="00A2251F">
        <w:rPr>
          <w:rFonts w:ascii="Times New Roman" w:hAnsi="Times New Roman"/>
          <w:noProof/>
          <w:sz w:val="24"/>
          <w:lang w:val="en-GB"/>
        </w:rPr>
        <w:t>trusted</w:t>
      </w:r>
      <w:r w:rsidR="005E73A5">
        <w:rPr>
          <w:rFonts w:ascii="Times New Roman" w:hAnsi="Times New Roman"/>
          <w:noProof/>
          <w:sz w:val="24"/>
          <w:lang w:val="en-GB"/>
        </w:rPr>
        <w:t xml:space="preserve"> source of information</w:t>
      </w:r>
      <w:r w:rsidR="005C2954">
        <w:rPr>
          <w:rFonts w:ascii="Times New Roman" w:hAnsi="Times New Roman"/>
          <w:noProof/>
          <w:sz w:val="24"/>
          <w:lang w:val="en-GB"/>
        </w:rPr>
        <w:t>.</w:t>
      </w:r>
      <w:r w:rsidR="00FC1654">
        <w:rPr>
          <w:rStyle w:val="FootnoteReference"/>
          <w:rFonts w:ascii="Times New Roman" w:hAnsi="Times New Roman"/>
          <w:noProof/>
          <w:sz w:val="24"/>
          <w:lang w:val="en-GB"/>
        </w:rPr>
        <w:footnoteReference w:id="38"/>
      </w:r>
      <w:r w:rsidR="005C2954">
        <w:rPr>
          <w:rFonts w:ascii="Times New Roman" w:hAnsi="Times New Roman"/>
          <w:noProof/>
          <w:sz w:val="24"/>
          <w:lang w:val="en-GB"/>
        </w:rPr>
        <w:t xml:space="preserve"> </w:t>
      </w:r>
      <w:r w:rsidR="00572424" w:rsidRPr="008704BD">
        <w:rPr>
          <w:rFonts w:ascii="Times New Roman" w:hAnsi="Times New Roman"/>
          <w:noProof/>
          <w:sz w:val="24"/>
          <w:lang w:val="en-GB"/>
        </w:rPr>
        <w:t xml:space="preserve">The distribution of </w:t>
      </w:r>
      <w:r w:rsidR="009D2E8A">
        <w:rPr>
          <w:rFonts w:ascii="Times New Roman" w:hAnsi="Times New Roman"/>
          <w:noProof/>
          <w:sz w:val="24"/>
          <w:lang w:val="en-GB"/>
        </w:rPr>
        <w:t>capital</w:t>
      </w:r>
      <w:r w:rsidR="009D2E8A" w:rsidRPr="008704BD">
        <w:rPr>
          <w:rFonts w:ascii="Times New Roman" w:hAnsi="Times New Roman"/>
          <w:noProof/>
          <w:sz w:val="24"/>
          <w:lang w:val="en-GB"/>
        </w:rPr>
        <w:t xml:space="preserve"> </w:t>
      </w:r>
      <w:r w:rsidR="00572424" w:rsidRPr="008704BD">
        <w:rPr>
          <w:rFonts w:ascii="Times New Roman" w:hAnsi="Times New Roman"/>
          <w:noProof/>
          <w:sz w:val="24"/>
          <w:lang w:val="en-GB"/>
        </w:rPr>
        <w:t xml:space="preserve">gains </w:t>
      </w:r>
      <w:r w:rsidR="00A46F77" w:rsidRPr="008704BD">
        <w:rPr>
          <w:rFonts w:ascii="Times New Roman" w:hAnsi="Times New Roman"/>
          <w:noProof/>
          <w:sz w:val="24"/>
          <w:lang w:val="en-GB"/>
        </w:rPr>
        <w:t xml:space="preserve">across </w:t>
      </w:r>
      <w:r w:rsidR="00572424" w:rsidRPr="008704BD">
        <w:rPr>
          <w:rFonts w:ascii="Times New Roman" w:hAnsi="Times New Roman"/>
          <w:noProof/>
          <w:sz w:val="24"/>
          <w:lang w:val="en-GB"/>
        </w:rPr>
        <w:t xml:space="preserve">the Member States </w:t>
      </w:r>
      <w:r w:rsidR="00FC5C51" w:rsidRPr="008704BD">
        <w:rPr>
          <w:rFonts w:ascii="Times New Roman" w:hAnsi="Times New Roman"/>
          <w:noProof/>
          <w:sz w:val="24"/>
          <w:lang w:val="en-GB"/>
        </w:rPr>
        <w:t xml:space="preserve">is </w:t>
      </w:r>
      <w:r w:rsidR="00572424" w:rsidRPr="008704BD">
        <w:rPr>
          <w:rFonts w:ascii="Times New Roman" w:hAnsi="Times New Roman"/>
          <w:noProof/>
          <w:sz w:val="24"/>
          <w:lang w:val="en-GB"/>
        </w:rPr>
        <w:t>uneven</w:t>
      </w:r>
      <w:r w:rsidR="00572424" w:rsidRPr="008704BD" w:rsidDel="00B47A7B">
        <w:rPr>
          <w:rFonts w:ascii="Times New Roman" w:hAnsi="Times New Roman"/>
          <w:noProof/>
          <w:sz w:val="24"/>
          <w:lang w:val="en-GB"/>
        </w:rPr>
        <w:t xml:space="preserve">. </w:t>
      </w:r>
      <w:r w:rsidR="00A46F77" w:rsidRPr="008704BD">
        <w:rPr>
          <w:rFonts w:ascii="Times New Roman" w:hAnsi="Times New Roman"/>
          <w:noProof/>
          <w:sz w:val="24"/>
          <w:lang w:val="en-GB"/>
        </w:rPr>
        <w:t>Member States</w:t>
      </w:r>
      <w:r w:rsidR="00572424" w:rsidRPr="008704BD">
        <w:rPr>
          <w:rFonts w:ascii="Times New Roman" w:hAnsi="Times New Roman"/>
          <w:noProof/>
          <w:sz w:val="24"/>
          <w:lang w:val="en-GB"/>
        </w:rPr>
        <w:t xml:space="preserve"> have different approaches when it comes to taxing realised capital gains, with </w:t>
      </w:r>
      <w:r w:rsidR="00DD760D" w:rsidRPr="008704BD">
        <w:rPr>
          <w:rFonts w:ascii="Times New Roman" w:hAnsi="Times New Roman"/>
          <w:noProof/>
          <w:sz w:val="24"/>
          <w:lang w:val="en-GB"/>
        </w:rPr>
        <w:t>some</w:t>
      </w:r>
      <w:r w:rsidR="00572424" w:rsidRPr="008704BD">
        <w:rPr>
          <w:rFonts w:ascii="Times New Roman" w:hAnsi="Times New Roman"/>
          <w:noProof/>
          <w:sz w:val="24"/>
          <w:lang w:val="en-GB"/>
        </w:rPr>
        <w:t xml:space="preserve"> Member States not taxing them at all</w:t>
      </w:r>
      <w:r w:rsidR="0FB71AAE" w:rsidRPr="008704BD">
        <w:rPr>
          <w:rFonts w:ascii="Times New Roman" w:hAnsi="Times New Roman"/>
          <w:noProof/>
          <w:sz w:val="24"/>
          <w:lang w:val="en-GB"/>
        </w:rPr>
        <w:t xml:space="preserve">. </w:t>
      </w:r>
      <w:r w:rsidR="00572424" w:rsidRPr="008704BD">
        <w:rPr>
          <w:rFonts w:ascii="Times New Roman" w:hAnsi="Times New Roman"/>
          <w:noProof/>
          <w:sz w:val="24"/>
          <w:lang w:val="en-GB"/>
        </w:rPr>
        <w:t>The</w:t>
      </w:r>
      <w:r w:rsidR="00572424" w:rsidRPr="008704BD" w:rsidDel="00797CE9">
        <w:rPr>
          <w:rFonts w:ascii="Times New Roman" w:hAnsi="Times New Roman"/>
          <w:noProof/>
          <w:sz w:val="24"/>
          <w:lang w:val="en-GB"/>
        </w:rPr>
        <w:t xml:space="preserve"> </w:t>
      </w:r>
      <w:r w:rsidR="00797CE9" w:rsidRPr="008704BD">
        <w:rPr>
          <w:rFonts w:ascii="Times New Roman" w:hAnsi="Times New Roman"/>
          <w:noProof/>
          <w:sz w:val="24"/>
          <w:lang w:val="en-GB"/>
        </w:rPr>
        <w:t xml:space="preserve">above-mentioned study </w:t>
      </w:r>
      <w:r w:rsidR="00572424" w:rsidRPr="008704BD">
        <w:rPr>
          <w:rFonts w:ascii="Times New Roman" w:hAnsi="Times New Roman"/>
          <w:noProof/>
          <w:sz w:val="24"/>
          <w:lang w:val="en-GB"/>
        </w:rPr>
        <w:t xml:space="preserve">has found that, by applying a uniform 25% tax rate on realised capital gains from Bitcoin across all Member States, approximately EUR 0.9 billion of tax revenue could have been collected in 2020. </w:t>
      </w:r>
      <w:r w:rsidR="00063F83">
        <w:rPr>
          <w:rFonts w:ascii="Times New Roman" w:hAnsi="Times New Roman"/>
          <w:noProof/>
          <w:sz w:val="24"/>
          <w:lang w:val="en-GB"/>
        </w:rPr>
        <w:t>The alternative scenario, the one applying the actual tax rates on realised capital gains in the Member States, has produced similar results</w:t>
      </w:r>
      <w:r w:rsidR="00463998">
        <w:rPr>
          <w:rFonts w:ascii="Times New Roman" w:hAnsi="Times New Roman"/>
          <w:noProof/>
          <w:sz w:val="24"/>
          <w:lang w:val="en-GB"/>
        </w:rPr>
        <w:t xml:space="preserve"> yielding roughly EUR 0.85 billion</w:t>
      </w:r>
      <w:r w:rsidR="004B4422">
        <w:rPr>
          <w:rFonts w:ascii="Times New Roman" w:hAnsi="Times New Roman"/>
          <w:noProof/>
          <w:sz w:val="24"/>
          <w:lang w:val="en-GB"/>
        </w:rPr>
        <w:t xml:space="preserve"> of tax revenue</w:t>
      </w:r>
      <w:r w:rsidR="00463998">
        <w:rPr>
          <w:rFonts w:ascii="Times New Roman" w:hAnsi="Times New Roman"/>
          <w:noProof/>
          <w:sz w:val="24"/>
          <w:lang w:val="en-GB"/>
        </w:rPr>
        <w:t>.</w:t>
      </w:r>
    </w:p>
    <w:p w14:paraId="1B292FA7" w14:textId="4329CC71" w:rsidR="00572424" w:rsidRPr="008704BD" w:rsidRDefault="004B4422" w:rsidP="58C1C011">
      <w:pPr>
        <w:jc w:val="both"/>
        <w:rPr>
          <w:rFonts w:ascii="Times New Roman" w:hAnsi="Times New Roman"/>
          <w:noProof/>
          <w:sz w:val="24"/>
          <w:lang w:val="en-GB"/>
        </w:rPr>
      </w:pPr>
      <w:r>
        <w:rPr>
          <w:rFonts w:ascii="Times New Roman" w:hAnsi="Times New Roman"/>
          <w:noProof/>
          <w:sz w:val="24"/>
          <w:lang w:val="en-GB"/>
        </w:rPr>
        <w:t>For simplicity reasons and t</w:t>
      </w:r>
      <w:r w:rsidR="79E3A236" w:rsidRPr="008704BD">
        <w:rPr>
          <w:rFonts w:ascii="Times New Roman" w:hAnsi="Times New Roman"/>
          <w:noProof/>
          <w:sz w:val="24"/>
          <w:lang w:val="en-GB"/>
        </w:rPr>
        <w:t xml:space="preserve">aking into account </w:t>
      </w:r>
      <w:r>
        <w:rPr>
          <w:rFonts w:ascii="Times New Roman" w:hAnsi="Times New Roman"/>
          <w:noProof/>
          <w:sz w:val="24"/>
          <w:lang w:val="en-GB"/>
        </w:rPr>
        <w:t xml:space="preserve">the narrow difference in tax revenues between the two analysed approaches in the study, our benefit estimations are henceforth based on the application of the 25% uniform tax rate on total capital gains from all crypto-assets. </w:t>
      </w:r>
      <w:r w:rsidR="00A93EAB">
        <w:rPr>
          <w:rFonts w:ascii="Times New Roman" w:hAnsi="Times New Roman"/>
          <w:noProof/>
          <w:sz w:val="24"/>
          <w:lang w:val="en-GB"/>
        </w:rPr>
        <w:t>However, s</w:t>
      </w:r>
      <w:r w:rsidR="004014AC" w:rsidRPr="008704BD">
        <w:rPr>
          <w:rFonts w:ascii="Times New Roman" w:hAnsi="Times New Roman"/>
          <w:noProof/>
          <w:sz w:val="24"/>
          <w:lang w:val="en-GB"/>
        </w:rPr>
        <w:t xml:space="preserve">ince crypto-assets are prone to high volatility, as explained in the previous chapters, we </w:t>
      </w:r>
      <w:r w:rsidR="004014AC">
        <w:rPr>
          <w:rFonts w:ascii="Times New Roman" w:hAnsi="Times New Roman"/>
          <w:noProof/>
          <w:sz w:val="24"/>
          <w:lang w:val="en-GB"/>
        </w:rPr>
        <w:t xml:space="preserve">have </w:t>
      </w:r>
      <w:r w:rsidR="004014AC" w:rsidRPr="008704BD">
        <w:rPr>
          <w:rFonts w:ascii="Times New Roman" w:hAnsi="Times New Roman"/>
          <w:noProof/>
          <w:sz w:val="24"/>
          <w:lang w:val="en-GB"/>
        </w:rPr>
        <w:t>also</w:t>
      </w:r>
      <w:r w:rsidR="004014AC">
        <w:rPr>
          <w:rFonts w:ascii="Times New Roman" w:hAnsi="Times New Roman"/>
          <w:noProof/>
          <w:sz w:val="24"/>
          <w:lang w:val="en-GB"/>
        </w:rPr>
        <w:t xml:space="preserve"> performed a sensitivity analysis by introducing two additional rates of 15% and 35%. Besides this, </w:t>
      </w:r>
      <w:r w:rsidR="009C3948">
        <w:rPr>
          <w:rFonts w:ascii="Times New Roman" w:hAnsi="Times New Roman"/>
          <w:noProof/>
          <w:sz w:val="24"/>
          <w:lang w:val="en-GB"/>
        </w:rPr>
        <w:t xml:space="preserve">and as explained in chapter 5, </w:t>
      </w:r>
      <w:r w:rsidR="004014AC">
        <w:rPr>
          <w:rFonts w:ascii="Times New Roman" w:hAnsi="Times New Roman"/>
          <w:noProof/>
          <w:sz w:val="24"/>
          <w:lang w:val="en-GB"/>
        </w:rPr>
        <w:t xml:space="preserve">we </w:t>
      </w:r>
      <w:r w:rsidR="009C3948">
        <w:rPr>
          <w:rFonts w:ascii="Times New Roman" w:hAnsi="Times New Roman"/>
          <w:noProof/>
          <w:sz w:val="24"/>
          <w:lang w:val="en-GB"/>
        </w:rPr>
        <w:t xml:space="preserve">have </w:t>
      </w:r>
      <w:r w:rsidR="004014AC">
        <w:rPr>
          <w:rFonts w:ascii="Times New Roman" w:hAnsi="Times New Roman"/>
          <w:noProof/>
          <w:sz w:val="24"/>
          <w:lang w:val="en-GB"/>
        </w:rPr>
        <w:t>excluded n</w:t>
      </w:r>
      <w:r w:rsidR="004014AC" w:rsidRPr="008704BD">
        <w:rPr>
          <w:rFonts w:ascii="Times New Roman" w:hAnsi="Times New Roman"/>
          <w:noProof/>
          <w:sz w:val="24"/>
          <w:lang w:val="en-GB"/>
        </w:rPr>
        <w:t>on-marketable crypto-assets and utility tokens</w:t>
      </w:r>
      <w:r w:rsidR="004014AC">
        <w:rPr>
          <w:rFonts w:ascii="Times New Roman" w:hAnsi="Times New Roman"/>
          <w:noProof/>
          <w:sz w:val="24"/>
          <w:lang w:val="en-GB"/>
        </w:rPr>
        <w:t xml:space="preserve"> </w:t>
      </w:r>
      <w:r w:rsidR="00EC1238">
        <w:rPr>
          <w:rFonts w:ascii="Times New Roman" w:hAnsi="Times New Roman"/>
          <w:noProof/>
          <w:sz w:val="24"/>
          <w:lang w:val="en-GB"/>
        </w:rPr>
        <w:t>(</w:t>
      </w:r>
      <w:r w:rsidR="004014AC">
        <w:rPr>
          <w:rFonts w:ascii="Times New Roman" w:hAnsi="Times New Roman"/>
          <w:noProof/>
          <w:sz w:val="24"/>
          <w:lang w:val="en-GB"/>
        </w:rPr>
        <w:t xml:space="preserve">as these types of crypto-assets </w:t>
      </w:r>
      <w:r w:rsidR="008266C9">
        <w:rPr>
          <w:rFonts w:ascii="Times New Roman" w:hAnsi="Times New Roman"/>
          <w:noProof/>
          <w:sz w:val="24"/>
          <w:lang w:val="en-GB"/>
        </w:rPr>
        <w:t>are</w:t>
      </w:r>
      <w:r w:rsidR="009A47E2" w:rsidRPr="009A47E2">
        <w:rPr>
          <w:rFonts w:ascii="Times New Roman" w:hAnsi="Times New Roman"/>
          <w:noProof/>
          <w:sz w:val="24"/>
          <w:lang w:val="en-GB"/>
        </w:rPr>
        <w:t xml:space="preserve"> </w:t>
      </w:r>
      <w:r w:rsidR="008266C9">
        <w:rPr>
          <w:rFonts w:ascii="Times New Roman" w:hAnsi="Times New Roman"/>
          <w:noProof/>
          <w:sz w:val="24"/>
          <w:lang w:val="en-GB"/>
        </w:rPr>
        <w:t>not relevant</w:t>
      </w:r>
      <w:r w:rsidR="004014AC">
        <w:rPr>
          <w:rFonts w:ascii="Times New Roman" w:hAnsi="Times New Roman"/>
          <w:noProof/>
          <w:sz w:val="24"/>
          <w:lang w:val="en-GB"/>
        </w:rPr>
        <w:t xml:space="preserve"> for tax purposes</w:t>
      </w:r>
      <w:r w:rsidR="009C3948">
        <w:rPr>
          <w:rFonts w:ascii="Times New Roman" w:hAnsi="Times New Roman"/>
          <w:noProof/>
          <w:sz w:val="24"/>
          <w:lang w:val="en-GB"/>
        </w:rPr>
        <w:t>)</w:t>
      </w:r>
      <w:r w:rsidR="004014AC">
        <w:rPr>
          <w:rFonts w:ascii="Times New Roman" w:hAnsi="Times New Roman"/>
          <w:noProof/>
          <w:sz w:val="24"/>
          <w:lang w:val="en-GB"/>
        </w:rPr>
        <w:t xml:space="preserve">. </w:t>
      </w:r>
      <w:r w:rsidR="00263B1C">
        <w:rPr>
          <w:rFonts w:ascii="Times New Roman" w:hAnsi="Times New Roman"/>
          <w:noProof/>
          <w:sz w:val="24"/>
          <w:lang w:val="en-GB"/>
        </w:rPr>
        <w:t xml:space="preserve">The benefit estimates and the corresponding sensitivity analysis </w:t>
      </w:r>
      <w:r w:rsidR="00A93EAB">
        <w:rPr>
          <w:rFonts w:ascii="Times New Roman" w:hAnsi="Times New Roman"/>
          <w:noProof/>
          <w:sz w:val="24"/>
          <w:lang w:val="en-GB"/>
        </w:rPr>
        <w:t>are</w:t>
      </w:r>
      <w:r w:rsidR="00263B1C">
        <w:rPr>
          <w:rFonts w:ascii="Times New Roman" w:hAnsi="Times New Roman"/>
          <w:noProof/>
          <w:sz w:val="24"/>
          <w:lang w:val="en-GB"/>
        </w:rPr>
        <w:t xml:space="preserve"> presented in Table </w:t>
      </w:r>
      <w:r w:rsidR="0097262B">
        <w:rPr>
          <w:rFonts w:ascii="Times New Roman" w:hAnsi="Times New Roman"/>
          <w:noProof/>
          <w:sz w:val="24"/>
          <w:lang w:val="en-GB"/>
        </w:rPr>
        <w:t>4</w:t>
      </w:r>
      <w:r w:rsidR="00263B1C">
        <w:rPr>
          <w:rFonts w:ascii="Times New Roman" w:hAnsi="Times New Roman"/>
          <w:noProof/>
          <w:sz w:val="24"/>
          <w:lang w:val="en-GB"/>
        </w:rPr>
        <w:t xml:space="preserve"> below, while t</w:t>
      </w:r>
      <w:r w:rsidR="004014AC">
        <w:rPr>
          <w:rFonts w:ascii="Times New Roman" w:hAnsi="Times New Roman"/>
          <w:noProof/>
          <w:sz w:val="24"/>
          <w:lang w:val="en-GB"/>
        </w:rPr>
        <w:t xml:space="preserve">he rationale behind the estimated figures and the employed assumptions </w:t>
      </w:r>
      <w:r w:rsidR="00263B1C">
        <w:rPr>
          <w:rFonts w:ascii="Times New Roman" w:hAnsi="Times New Roman"/>
          <w:noProof/>
          <w:sz w:val="24"/>
          <w:lang w:val="en-GB"/>
        </w:rPr>
        <w:t>are</w:t>
      </w:r>
      <w:r w:rsidR="004014AC">
        <w:rPr>
          <w:rFonts w:ascii="Times New Roman" w:hAnsi="Times New Roman"/>
          <w:noProof/>
          <w:sz w:val="24"/>
          <w:lang w:val="en-GB"/>
        </w:rPr>
        <w:t xml:space="preserve"> detailed in Annex 4</w:t>
      </w:r>
      <w:r w:rsidR="00263B1C">
        <w:rPr>
          <w:rFonts w:ascii="Times New Roman" w:hAnsi="Times New Roman"/>
          <w:noProof/>
          <w:sz w:val="24"/>
          <w:lang w:val="en-GB"/>
        </w:rPr>
        <w:t>.</w:t>
      </w:r>
    </w:p>
    <w:p w14:paraId="1615DD7B" w14:textId="77777777" w:rsidR="00572424" w:rsidRPr="008704BD" w:rsidRDefault="00572424" w:rsidP="00572424">
      <w:pPr>
        <w:pStyle w:val="Caption"/>
        <w:keepNext/>
        <w:rPr>
          <w:noProof/>
          <w:sz w:val="24"/>
        </w:rPr>
      </w:pPr>
      <w:r w:rsidRPr="008704BD">
        <w:rPr>
          <w:noProof/>
          <w:sz w:val="24"/>
        </w:rPr>
        <w:t xml:space="preserve">Table </w:t>
      </w:r>
      <w:r w:rsidR="00931BFE">
        <w:rPr>
          <w:noProof/>
          <w:sz w:val="24"/>
        </w:rPr>
        <w:t>4</w:t>
      </w:r>
      <w:r w:rsidRPr="008704BD">
        <w:rPr>
          <w:noProof/>
          <w:sz w:val="24"/>
        </w:rPr>
        <w:t xml:space="preserve"> Tax revenue</w:t>
      </w:r>
      <w:r w:rsidR="006B3CA1">
        <w:rPr>
          <w:noProof/>
          <w:sz w:val="24"/>
        </w:rPr>
        <w:t xml:space="preserve"> estimates</w:t>
      </w:r>
      <w:r w:rsidRPr="008704BD">
        <w:rPr>
          <w:noProof/>
          <w:sz w:val="24"/>
        </w:rPr>
        <w:t xml:space="preserve"> from realised capital gains </w:t>
      </w:r>
      <w:r w:rsidR="007B61A3" w:rsidRPr="008704BD">
        <w:rPr>
          <w:noProof/>
          <w:sz w:val="24"/>
        </w:rPr>
        <w:t>in 2020</w:t>
      </w:r>
      <w:r w:rsidR="006B3CA1">
        <w:rPr>
          <w:noProof/>
          <w:sz w:val="24"/>
        </w:rPr>
        <w:t xml:space="preserve"> and sensitivity </w:t>
      </w:r>
      <w:r w:rsidR="009A47E2">
        <w:rPr>
          <w:noProof/>
          <w:sz w:val="24"/>
        </w:rPr>
        <w:t>analysis</w:t>
      </w:r>
    </w:p>
    <w:tbl>
      <w:tblPr>
        <w:tblStyle w:val="TableGrid"/>
        <w:tblW w:w="0" w:type="auto"/>
        <w:tblLook w:val="04A0" w:firstRow="1" w:lastRow="0" w:firstColumn="1" w:lastColumn="0" w:noHBand="0" w:noVBand="1"/>
      </w:tblPr>
      <w:tblGrid>
        <w:gridCol w:w="4675"/>
        <w:gridCol w:w="4675"/>
      </w:tblGrid>
      <w:tr w:rsidR="006B3CA1" w:rsidRPr="006B3CA1" w14:paraId="6D5A7186" w14:textId="77777777" w:rsidTr="00931BFE">
        <w:tc>
          <w:tcPr>
            <w:tcW w:w="4675" w:type="dxa"/>
            <w:vAlign w:val="center"/>
          </w:tcPr>
          <w:p w14:paraId="5FDE79EB" w14:textId="77777777" w:rsidR="006B3CA1" w:rsidRPr="00931BFE" w:rsidRDefault="006B3CA1" w:rsidP="00931BFE">
            <w:pPr>
              <w:jc w:val="center"/>
              <w:rPr>
                <w:rFonts w:ascii="Times New Roman" w:eastAsia="Times New Roman" w:hAnsi="Times New Roman" w:cs="Times New Roman"/>
                <w:b/>
                <w:noProof/>
              </w:rPr>
            </w:pPr>
            <w:r w:rsidRPr="00931BFE">
              <w:rPr>
                <w:rFonts w:ascii="Times New Roman" w:eastAsia="Times New Roman" w:hAnsi="Times New Roman" w:cs="Times New Roman"/>
                <w:b/>
                <w:noProof/>
              </w:rPr>
              <w:t>Uniform tax rates on capital gains</w:t>
            </w:r>
          </w:p>
        </w:tc>
        <w:tc>
          <w:tcPr>
            <w:tcW w:w="4675" w:type="dxa"/>
            <w:vAlign w:val="center"/>
          </w:tcPr>
          <w:p w14:paraId="74F81C16" w14:textId="77777777" w:rsidR="006B3CA1" w:rsidRPr="00931BFE" w:rsidRDefault="006B3CA1" w:rsidP="00931BFE">
            <w:pPr>
              <w:jc w:val="center"/>
              <w:rPr>
                <w:rFonts w:ascii="Times New Roman" w:eastAsia="Times New Roman" w:hAnsi="Times New Roman" w:cs="Times New Roman"/>
                <w:b/>
                <w:noProof/>
              </w:rPr>
            </w:pPr>
            <w:r w:rsidRPr="00931BFE">
              <w:rPr>
                <w:rFonts w:ascii="Times New Roman" w:eastAsia="Times New Roman" w:hAnsi="Times New Roman" w:cs="Times New Roman"/>
                <w:b/>
                <w:noProof/>
              </w:rPr>
              <w:t>Tax revenues estimates</w:t>
            </w:r>
            <w:r>
              <w:rPr>
                <w:rFonts w:ascii="Times New Roman" w:eastAsia="Times New Roman" w:hAnsi="Times New Roman" w:cs="Times New Roman"/>
                <w:b/>
                <w:noProof/>
              </w:rPr>
              <w:t xml:space="preserve"> (in billion EUR)</w:t>
            </w:r>
          </w:p>
        </w:tc>
      </w:tr>
      <w:tr w:rsidR="006B3CA1" w14:paraId="4716762F" w14:textId="77777777" w:rsidTr="00931BFE">
        <w:tc>
          <w:tcPr>
            <w:tcW w:w="4675" w:type="dxa"/>
            <w:vAlign w:val="center"/>
          </w:tcPr>
          <w:p w14:paraId="41C2137F" w14:textId="77777777" w:rsidR="006B3CA1" w:rsidRDefault="006B3CA1" w:rsidP="00931BFE">
            <w:pPr>
              <w:jc w:val="center"/>
              <w:rPr>
                <w:rFonts w:ascii="Times New Roman" w:eastAsia="Times New Roman" w:hAnsi="Times New Roman" w:cs="Times New Roman"/>
                <w:noProof/>
              </w:rPr>
            </w:pPr>
            <w:r>
              <w:rPr>
                <w:rFonts w:ascii="Times New Roman" w:eastAsia="Times New Roman" w:hAnsi="Times New Roman" w:cs="Times New Roman"/>
                <w:noProof/>
              </w:rPr>
              <w:t>15%</w:t>
            </w:r>
          </w:p>
        </w:tc>
        <w:tc>
          <w:tcPr>
            <w:tcW w:w="4675" w:type="dxa"/>
            <w:vAlign w:val="center"/>
          </w:tcPr>
          <w:p w14:paraId="4D72C5AE" w14:textId="77777777" w:rsidR="006B3CA1" w:rsidRDefault="006B3CA1" w:rsidP="00931BFE">
            <w:pPr>
              <w:jc w:val="center"/>
              <w:rPr>
                <w:rFonts w:ascii="Times New Roman" w:eastAsia="Times New Roman" w:hAnsi="Times New Roman" w:cs="Times New Roman"/>
                <w:noProof/>
              </w:rPr>
            </w:pPr>
            <w:r>
              <w:rPr>
                <w:rFonts w:ascii="Times New Roman" w:eastAsia="Times New Roman" w:hAnsi="Times New Roman" w:cs="Times New Roman"/>
                <w:noProof/>
              </w:rPr>
              <w:t>1.0</w:t>
            </w:r>
          </w:p>
        </w:tc>
      </w:tr>
      <w:tr w:rsidR="006B3CA1" w14:paraId="7281F490" w14:textId="77777777" w:rsidTr="00931BFE">
        <w:tc>
          <w:tcPr>
            <w:tcW w:w="4675" w:type="dxa"/>
            <w:vAlign w:val="center"/>
          </w:tcPr>
          <w:p w14:paraId="43C0B7F9" w14:textId="77777777" w:rsidR="006B3CA1" w:rsidRDefault="006B3CA1" w:rsidP="00931BFE">
            <w:pPr>
              <w:jc w:val="center"/>
              <w:rPr>
                <w:rFonts w:ascii="Times New Roman" w:eastAsia="Times New Roman" w:hAnsi="Times New Roman" w:cs="Times New Roman"/>
                <w:noProof/>
              </w:rPr>
            </w:pPr>
            <w:r>
              <w:rPr>
                <w:rFonts w:ascii="Times New Roman" w:eastAsia="Times New Roman" w:hAnsi="Times New Roman" w:cs="Times New Roman"/>
                <w:noProof/>
              </w:rPr>
              <w:t>25%</w:t>
            </w:r>
          </w:p>
        </w:tc>
        <w:tc>
          <w:tcPr>
            <w:tcW w:w="4675" w:type="dxa"/>
            <w:vAlign w:val="center"/>
          </w:tcPr>
          <w:p w14:paraId="535EAF8F" w14:textId="77777777" w:rsidR="006B3CA1" w:rsidRDefault="004014AC" w:rsidP="00931BFE">
            <w:pPr>
              <w:jc w:val="center"/>
              <w:rPr>
                <w:rFonts w:ascii="Times New Roman" w:eastAsia="Times New Roman" w:hAnsi="Times New Roman" w:cs="Times New Roman"/>
                <w:noProof/>
              </w:rPr>
            </w:pPr>
            <w:r>
              <w:rPr>
                <w:rFonts w:ascii="Times New Roman" w:eastAsia="Times New Roman" w:hAnsi="Times New Roman" w:cs="Times New Roman"/>
                <w:noProof/>
              </w:rPr>
              <w:t>1.</w:t>
            </w:r>
            <w:r w:rsidR="006B3CA1">
              <w:rPr>
                <w:rFonts w:ascii="Times New Roman" w:eastAsia="Times New Roman" w:hAnsi="Times New Roman" w:cs="Times New Roman"/>
                <w:noProof/>
              </w:rPr>
              <w:t>7</w:t>
            </w:r>
          </w:p>
        </w:tc>
      </w:tr>
      <w:tr w:rsidR="006B3CA1" w14:paraId="40B3D71D" w14:textId="77777777" w:rsidTr="00931BFE">
        <w:tc>
          <w:tcPr>
            <w:tcW w:w="4675" w:type="dxa"/>
            <w:vAlign w:val="center"/>
          </w:tcPr>
          <w:p w14:paraId="7E901C90" w14:textId="77777777" w:rsidR="006B3CA1" w:rsidRDefault="006B3CA1" w:rsidP="00931BFE">
            <w:pPr>
              <w:jc w:val="center"/>
              <w:rPr>
                <w:rFonts w:ascii="Times New Roman" w:eastAsia="Times New Roman" w:hAnsi="Times New Roman" w:cs="Times New Roman"/>
                <w:noProof/>
              </w:rPr>
            </w:pPr>
            <w:r>
              <w:rPr>
                <w:rFonts w:ascii="Times New Roman" w:eastAsia="Times New Roman" w:hAnsi="Times New Roman" w:cs="Times New Roman"/>
                <w:noProof/>
              </w:rPr>
              <w:t>35%</w:t>
            </w:r>
          </w:p>
        </w:tc>
        <w:tc>
          <w:tcPr>
            <w:tcW w:w="4675" w:type="dxa"/>
            <w:vAlign w:val="center"/>
          </w:tcPr>
          <w:p w14:paraId="79A4C203" w14:textId="77777777" w:rsidR="006B3CA1" w:rsidRDefault="006B3CA1" w:rsidP="00931BFE">
            <w:pPr>
              <w:jc w:val="center"/>
              <w:rPr>
                <w:rFonts w:ascii="Times New Roman" w:eastAsia="Times New Roman" w:hAnsi="Times New Roman" w:cs="Times New Roman"/>
                <w:noProof/>
              </w:rPr>
            </w:pPr>
            <w:r>
              <w:rPr>
                <w:rFonts w:ascii="Times New Roman" w:eastAsia="Times New Roman" w:hAnsi="Times New Roman" w:cs="Times New Roman"/>
                <w:noProof/>
              </w:rPr>
              <w:t>2.4</w:t>
            </w:r>
          </w:p>
        </w:tc>
      </w:tr>
    </w:tbl>
    <w:p w14:paraId="4E504E46" w14:textId="77777777" w:rsidR="009A47E2" w:rsidRDefault="009A47E2" w:rsidP="00572424">
      <w:pPr>
        <w:jc w:val="both"/>
        <w:rPr>
          <w:rFonts w:ascii="Times New Roman" w:eastAsia="Times New Roman" w:hAnsi="Times New Roman" w:cs="Times New Roman"/>
          <w:noProof/>
          <w:sz w:val="24"/>
          <w:szCs w:val="24"/>
          <w:lang w:val="en-GB"/>
        </w:rPr>
      </w:pPr>
    </w:p>
    <w:p w14:paraId="79D7ABFE" w14:textId="77777777" w:rsidR="00E1219C" w:rsidRPr="00931BFE" w:rsidRDefault="009A47E2" w:rsidP="00572424">
      <w:pPr>
        <w:jc w:val="both"/>
        <w:rPr>
          <w:rFonts w:ascii="Times New Roman" w:hAnsi="Times New Roman"/>
          <w:noProof/>
          <w:sz w:val="24"/>
          <w:lang w:val="en-GB"/>
        </w:rPr>
      </w:pPr>
      <w:r w:rsidRPr="00931BFE">
        <w:rPr>
          <w:rFonts w:ascii="Times New Roman" w:eastAsia="Times New Roman" w:hAnsi="Times New Roman" w:cs="Times New Roman"/>
          <w:noProof/>
          <w:sz w:val="24"/>
          <w:szCs w:val="24"/>
          <w:lang w:val="en-GB"/>
        </w:rPr>
        <w:t>When applying different uniform tax rates</w:t>
      </w:r>
      <w:r>
        <w:rPr>
          <w:rFonts w:ascii="Times New Roman" w:eastAsia="Times New Roman" w:hAnsi="Times New Roman" w:cs="Times New Roman"/>
          <w:noProof/>
          <w:sz w:val="24"/>
          <w:szCs w:val="24"/>
          <w:lang w:val="en-GB"/>
        </w:rPr>
        <w:t xml:space="preserve"> (as shown in the table above), the estimated tax revenues range between EUR 1 and 2.4 billion. </w:t>
      </w:r>
      <w:r w:rsidR="00573BE9">
        <w:rPr>
          <w:rFonts w:ascii="Times New Roman" w:hAnsi="Times New Roman"/>
          <w:noProof/>
          <w:sz w:val="24"/>
          <w:lang w:val="en-GB"/>
        </w:rPr>
        <w:t xml:space="preserve">These figures </w:t>
      </w:r>
      <w:r w:rsidR="00573BE9" w:rsidRPr="008704BD">
        <w:rPr>
          <w:rFonts w:ascii="Times New Roman" w:hAnsi="Times New Roman"/>
          <w:noProof/>
          <w:sz w:val="24"/>
          <w:lang w:val="en-GB"/>
        </w:rPr>
        <w:t>should be interpreted with caution as crypto-assets (i.e. Bitcoin)</w:t>
      </w:r>
      <w:r w:rsidR="00573BE9" w:rsidRPr="008704BD" w:rsidDel="00572424">
        <w:rPr>
          <w:rFonts w:ascii="Times New Roman" w:hAnsi="Times New Roman"/>
          <w:noProof/>
          <w:sz w:val="24"/>
          <w:lang w:val="en-GB"/>
        </w:rPr>
        <w:t xml:space="preserve"> </w:t>
      </w:r>
      <w:r w:rsidR="00E1219C">
        <w:rPr>
          <w:rFonts w:ascii="Times New Roman" w:hAnsi="Times New Roman"/>
          <w:noProof/>
          <w:sz w:val="24"/>
          <w:lang w:val="en-GB"/>
        </w:rPr>
        <w:t>may suffer</w:t>
      </w:r>
      <w:r w:rsidR="00573BE9" w:rsidRPr="008704BD">
        <w:rPr>
          <w:rFonts w:ascii="Times New Roman" w:hAnsi="Times New Roman"/>
          <w:noProof/>
          <w:sz w:val="24"/>
          <w:lang w:val="en-GB"/>
        </w:rPr>
        <w:t xml:space="preserve"> even greater value oscillations (according to the available statistics) than </w:t>
      </w:r>
      <w:r w:rsidR="00573BE9">
        <w:rPr>
          <w:rFonts w:ascii="Times New Roman" w:hAnsi="Times New Roman"/>
          <w:noProof/>
          <w:sz w:val="24"/>
          <w:lang w:val="en-GB"/>
        </w:rPr>
        <w:t xml:space="preserve">what has been </w:t>
      </w:r>
      <w:r w:rsidR="00573BE9" w:rsidRPr="008704BD">
        <w:rPr>
          <w:rFonts w:ascii="Times New Roman" w:hAnsi="Times New Roman"/>
          <w:noProof/>
          <w:sz w:val="24"/>
          <w:lang w:val="en-GB"/>
        </w:rPr>
        <w:t>captured by our sensitivity analysis.</w:t>
      </w:r>
      <w:r w:rsidR="00573BE9">
        <w:rPr>
          <w:rFonts w:ascii="Times New Roman" w:eastAsia="Times New Roman" w:hAnsi="Times New Roman" w:cs="Times New Roman"/>
          <w:noProof/>
          <w:sz w:val="24"/>
          <w:szCs w:val="24"/>
          <w:lang w:val="en-GB"/>
        </w:rPr>
        <w:t xml:space="preserve"> </w:t>
      </w:r>
      <w:r w:rsidR="00573BE9">
        <w:rPr>
          <w:rFonts w:ascii="Times New Roman" w:hAnsi="Times New Roman"/>
          <w:noProof/>
          <w:sz w:val="24"/>
          <w:lang w:val="en-GB"/>
        </w:rPr>
        <w:t>This</w:t>
      </w:r>
      <w:r w:rsidR="00573BE9" w:rsidRPr="008704BD">
        <w:rPr>
          <w:rFonts w:ascii="Times New Roman" w:hAnsi="Times New Roman"/>
          <w:noProof/>
          <w:sz w:val="24"/>
          <w:lang w:val="en-GB"/>
        </w:rPr>
        <w:t xml:space="preserve"> considerable volatility of the crypto-assets’ value hinders reliable growth projections</w:t>
      </w:r>
      <w:r w:rsidR="00573BE9">
        <w:rPr>
          <w:rFonts w:ascii="Times New Roman" w:hAnsi="Times New Roman"/>
          <w:noProof/>
          <w:sz w:val="24"/>
          <w:lang w:val="en-GB"/>
        </w:rPr>
        <w:t>.</w:t>
      </w:r>
      <w:r w:rsidR="00573BE9">
        <w:rPr>
          <w:rFonts w:ascii="Times New Roman" w:eastAsia="Times New Roman" w:hAnsi="Times New Roman" w:cs="Times New Roman"/>
          <w:noProof/>
          <w:sz w:val="24"/>
          <w:szCs w:val="24"/>
          <w:lang w:val="en-GB"/>
        </w:rPr>
        <w:t xml:space="preserve"> </w:t>
      </w:r>
      <w:r w:rsidR="00E1219C">
        <w:rPr>
          <w:rFonts w:ascii="Times New Roman" w:hAnsi="Times New Roman"/>
          <w:noProof/>
          <w:sz w:val="24"/>
          <w:lang w:val="en-GB"/>
        </w:rPr>
        <w:t>Besides</w:t>
      </w:r>
      <w:r w:rsidR="00E1219C" w:rsidRPr="008704BD">
        <w:rPr>
          <w:rFonts w:ascii="Times New Roman" w:hAnsi="Times New Roman"/>
          <w:noProof/>
          <w:sz w:val="24"/>
          <w:lang w:val="en-GB"/>
        </w:rPr>
        <w:t xml:space="preserve"> capital gains, crypto-assets could be subject to other types of taxes (e.g. wealth tax)</w:t>
      </w:r>
      <w:r w:rsidR="00E1219C">
        <w:rPr>
          <w:rFonts w:ascii="Times New Roman" w:hAnsi="Times New Roman"/>
          <w:noProof/>
          <w:sz w:val="24"/>
          <w:lang w:val="en-GB"/>
        </w:rPr>
        <w:t xml:space="preserve"> and t</w:t>
      </w:r>
      <w:r w:rsidR="00E1219C" w:rsidRPr="008704BD">
        <w:rPr>
          <w:rFonts w:ascii="Times New Roman" w:hAnsi="Times New Roman"/>
          <w:noProof/>
          <w:sz w:val="24"/>
          <w:lang w:val="en-GB"/>
        </w:rPr>
        <w:t xml:space="preserve">hese additional tax revenues </w:t>
      </w:r>
      <w:r w:rsidR="00FC1654">
        <w:rPr>
          <w:rFonts w:ascii="Times New Roman" w:hAnsi="Times New Roman"/>
          <w:noProof/>
          <w:sz w:val="24"/>
          <w:lang w:val="en-GB"/>
        </w:rPr>
        <w:t>have not been</w:t>
      </w:r>
      <w:r w:rsidR="00E1219C" w:rsidRPr="008704BD">
        <w:rPr>
          <w:rFonts w:ascii="Times New Roman" w:hAnsi="Times New Roman"/>
          <w:noProof/>
          <w:sz w:val="24"/>
          <w:lang w:val="en-GB"/>
        </w:rPr>
        <w:t xml:space="preserve"> reflected in the above estimates due to lack of data</w:t>
      </w:r>
      <w:r w:rsidR="00E1219C">
        <w:rPr>
          <w:rFonts w:ascii="Times New Roman" w:hAnsi="Times New Roman"/>
          <w:noProof/>
          <w:sz w:val="24"/>
          <w:lang w:val="en-GB"/>
        </w:rPr>
        <w:t>. Moreover, the</w:t>
      </w:r>
      <w:r w:rsidR="00E1219C" w:rsidRPr="008704BD">
        <w:rPr>
          <w:rFonts w:ascii="Times New Roman" w:hAnsi="Times New Roman"/>
          <w:noProof/>
          <w:sz w:val="24"/>
          <w:lang w:val="en-GB"/>
        </w:rPr>
        <w:t xml:space="preserve"> </w:t>
      </w:r>
      <w:r w:rsidR="00E1219C">
        <w:rPr>
          <w:rFonts w:ascii="Times New Roman" w:hAnsi="Times New Roman"/>
          <w:noProof/>
          <w:sz w:val="24"/>
          <w:lang w:val="en-GB"/>
        </w:rPr>
        <w:t xml:space="preserve">benefit </w:t>
      </w:r>
      <w:r w:rsidR="00E1219C" w:rsidRPr="008704BD">
        <w:rPr>
          <w:rFonts w:ascii="Times New Roman" w:hAnsi="Times New Roman"/>
          <w:noProof/>
          <w:sz w:val="24"/>
          <w:lang w:val="en-GB"/>
        </w:rPr>
        <w:t>estimates cannot take into account behavio</w:t>
      </w:r>
      <w:r w:rsidR="00530BB5">
        <w:rPr>
          <w:rFonts w:ascii="Times New Roman" w:hAnsi="Times New Roman"/>
          <w:noProof/>
          <w:sz w:val="24"/>
          <w:lang w:val="en-GB"/>
        </w:rPr>
        <w:t>u</w:t>
      </w:r>
      <w:r w:rsidR="00E1219C" w:rsidRPr="008704BD">
        <w:rPr>
          <w:rFonts w:ascii="Times New Roman" w:hAnsi="Times New Roman"/>
          <w:noProof/>
          <w:sz w:val="24"/>
          <w:lang w:val="en-GB"/>
        </w:rPr>
        <w:t>ral responses and arbitrages. For example, some users might rely on peer-to-peer transactions instead of re</w:t>
      </w:r>
      <w:r w:rsidR="00E1219C">
        <w:rPr>
          <w:rFonts w:ascii="Times New Roman" w:hAnsi="Times New Roman"/>
          <w:noProof/>
          <w:sz w:val="24"/>
          <w:lang w:val="en-GB"/>
        </w:rPr>
        <w:t>lying on services transactions, which could obfuscate reporting and identification of crypto-asset generated profits.</w:t>
      </w:r>
    </w:p>
    <w:p w14:paraId="61EE23EF" w14:textId="77777777" w:rsidR="003158B1" w:rsidRPr="008704BD" w:rsidRDefault="00573BE9" w:rsidP="00572424">
      <w:pPr>
        <w:jc w:val="both"/>
        <w:rPr>
          <w:rFonts w:ascii="Times New Roman" w:hAnsi="Times New Roman"/>
          <w:noProof/>
          <w:sz w:val="24"/>
          <w:lang w:val="en-GB"/>
        </w:rPr>
      </w:pPr>
      <w:r>
        <w:rPr>
          <w:rFonts w:ascii="Times New Roman" w:eastAsia="Times New Roman" w:hAnsi="Times New Roman" w:cs="Times New Roman"/>
          <w:noProof/>
          <w:sz w:val="24"/>
          <w:szCs w:val="24"/>
          <w:lang w:val="en-GB"/>
        </w:rPr>
        <w:t xml:space="preserve">Nevertheless, </w:t>
      </w:r>
      <w:r>
        <w:rPr>
          <w:rFonts w:ascii="Times New Roman" w:hAnsi="Times New Roman"/>
          <w:noProof/>
          <w:sz w:val="24"/>
          <w:lang w:val="en-GB"/>
        </w:rPr>
        <w:t>t</w:t>
      </w:r>
      <w:r w:rsidR="00FD2185" w:rsidRPr="008704BD">
        <w:rPr>
          <w:rFonts w:ascii="Times New Roman" w:hAnsi="Times New Roman"/>
          <w:noProof/>
          <w:sz w:val="24"/>
          <w:lang w:val="en-GB"/>
        </w:rPr>
        <w:t xml:space="preserve">he crypto market has grown exponentially </w:t>
      </w:r>
      <w:r w:rsidR="00374C3B">
        <w:rPr>
          <w:rFonts w:ascii="Times New Roman" w:hAnsi="Times New Roman"/>
          <w:noProof/>
          <w:sz w:val="24"/>
          <w:lang w:val="en-GB"/>
        </w:rPr>
        <w:t xml:space="preserve">thus far </w:t>
      </w:r>
      <w:r w:rsidR="00FD2185" w:rsidRPr="008704BD">
        <w:rPr>
          <w:rFonts w:ascii="Times New Roman" w:hAnsi="Times New Roman"/>
          <w:noProof/>
          <w:sz w:val="24"/>
          <w:lang w:val="en-GB"/>
        </w:rPr>
        <w:t xml:space="preserve">and it is likely to continue expanding. It can therefore be expected that the related tax revenues should increase over time as well. </w:t>
      </w:r>
    </w:p>
    <w:p w14:paraId="07E580FD" w14:textId="6C285915" w:rsidR="006B640A" w:rsidRPr="008704BD" w:rsidRDefault="00242460" w:rsidP="00572424">
      <w:pPr>
        <w:jc w:val="both"/>
        <w:rPr>
          <w:rFonts w:ascii="Times New Roman" w:hAnsi="Times New Roman"/>
          <w:noProof/>
          <w:sz w:val="24"/>
          <w:lang w:val="en-GB"/>
        </w:rPr>
      </w:pPr>
      <w:r w:rsidRPr="008704BD">
        <w:rPr>
          <w:rFonts w:ascii="Times New Roman" w:hAnsi="Times New Roman"/>
          <w:noProof/>
          <w:sz w:val="24"/>
          <w:lang w:val="en-GB"/>
        </w:rPr>
        <w:t>T</w:t>
      </w:r>
      <w:r w:rsidR="006B640A" w:rsidRPr="008704BD">
        <w:rPr>
          <w:rFonts w:ascii="Times New Roman" w:hAnsi="Times New Roman"/>
          <w:noProof/>
          <w:sz w:val="24"/>
          <w:lang w:val="en-GB"/>
        </w:rPr>
        <w:t>he estimated benefits in relation to the available options are summarised in the table below</w:t>
      </w:r>
      <w:r w:rsidR="001A176D">
        <w:rPr>
          <w:rFonts w:ascii="Times New Roman" w:hAnsi="Times New Roman"/>
          <w:noProof/>
          <w:sz w:val="24"/>
          <w:lang w:val="en-GB"/>
        </w:rPr>
        <w:t xml:space="preserve">. </w:t>
      </w:r>
    </w:p>
    <w:p w14:paraId="0A921260" w14:textId="77777777" w:rsidR="00F41160" w:rsidRPr="008704BD" w:rsidRDefault="00F41160" w:rsidP="00F41160">
      <w:pPr>
        <w:pStyle w:val="Caption"/>
        <w:keepNext/>
        <w:rPr>
          <w:noProof/>
          <w:sz w:val="24"/>
        </w:rPr>
      </w:pPr>
      <w:r w:rsidRPr="008704BD">
        <w:rPr>
          <w:noProof/>
          <w:sz w:val="24"/>
        </w:rPr>
        <w:t xml:space="preserve">Table </w:t>
      </w:r>
      <w:r w:rsidR="00931BFE">
        <w:rPr>
          <w:noProof/>
          <w:sz w:val="24"/>
        </w:rPr>
        <w:t>5</w:t>
      </w:r>
      <w:r w:rsidRPr="008704BD">
        <w:rPr>
          <w:noProof/>
          <w:sz w:val="24"/>
        </w:rPr>
        <w:t xml:space="preserve"> Assessment of benefits per policy option</w:t>
      </w:r>
    </w:p>
    <w:tbl>
      <w:tblPr>
        <w:tblStyle w:val="TableGrid"/>
        <w:tblW w:w="0" w:type="auto"/>
        <w:tblLook w:val="04A0" w:firstRow="1" w:lastRow="0" w:firstColumn="1" w:lastColumn="0" w:noHBand="0" w:noVBand="1"/>
      </w:tblPr>
      <w:tblGrid>
        <w:gridCol w:w="846"/>
        <w:gridCol w:w="8504"/>
      </w:tblGrid>
      <w:tr w:rsidR="006B640A" w:rsidRPr="00D312CE" w14:paraId="29C418BB" w14:textId="77777777" w:rsidTr="005E71AC">
        <w:tc>
          <w:tcPr>
            <w:tcW w:w="846" w:type="dxa"/>
            <w:vAlign w:val="center"/>
          </w:tcPr>
          <w:p w14:paraId="20D7A3A6" w14:textId="77777777" w:rsidR="006B640A" w:rsidRPr="008704BD" w:rsidRDefault="006B640A">
            <w:pPr>
              <w:jc w:val="center"/>
              <w:rPr>
                <w:rFonts w:ascii="Times New Roman" w:hAnsi="Times New Roman"/>
                <w:b/>
                <w:noProof/>
                <w:sz w:val="20"/>
              </w:rPr>
            </w:pPr>
            <w:r w:rsidRPr="008704BD">
              <w:rPr>
                <w:rFonts w:ascii="Times New Roman" w:hAnsi="Times New Roman"/>
                <w:b/>
                <w:noProof/>
                <w:sz w:val="20"/>
              </w:rPr>
              <w:t>Option</w:t>
            </w:r>
          </w:p>
        </w:tc>
        <w:tc>
          <w:tcPr>
            <w:tcW w:w="8504" w:type="dxa"/>
            <w:vAlign w:val="center"/>
          </w:tcPr>
          <w:p w14:paraId="0BADE8AE" w14:textId="77777777" w:rsidR="006B640A" w:rsidRPr="008704BD" w:rsidRDefault="006B640A">
            <w:pPr>
              <w:jc w:val="center"/>
              <w:rPr>
                <w:rFonts w:ascii="Times New Roman" w:hAnsi="Times New Roman"/>
                <w:b/>
                <w:noProof/>
                <w:sz w:val="20"/>
              </w:rPr>
            </w:pPr>
            <w:r w:rsidRPr="008704BD">
              <w:rPr>
                <w:rFonts w:ascii="Times New Roman" w:hAnsi="Times New Roman"/>
                <w:b/>
                <w:noProof/>
                <w:sz w:val="20"/>
              </w:rPr>
              <w:t>Assessment</w:t>
            </w:r>
          </w:p>
        </w:tc>
      </w:tr>
      <w:tr w:rsidR="006B640A" w:rsidRPr="00D312CE" w14:paraId="36C0DFEA" w14:textId="77777777" w:rsidTr="005E71AC">
        <w:tc>
          <w:tcPr>
            <w:tcW w:w="846" w:type="dxa"/>
            <w:vAlign w:val="center"/>
          </w:tcPr>
          <w:p w14:paraId="417DD7FB" w14:textId="426996A4" w:rsidR="006B640A" w:rsidRPr="008704BD" w:rsidRDefault="0054413F">
            <w:pPr>
              <w:jc w:val="center"/>
              <w:rPr>
                <w:rFonts w:ascii="Times New Roman" w:hAnsi="Times New Roman"/>
                <w:noProof/>
                <w:sz w:val="20"/>
              </w:rPr>
            </w:pPr>
            <w:r>
              <w:rPr>
                <w:rFonts w:ascii="Times New Roman" w:hAnsi="Times New Roman"/>
                <w:noProof/>
                <w:sz w:val="20"/>
              </w:rPr>
              <w:t>1</w:t>
            </w:r>
          </w:p>
        </w:tc>
        <w:tc>
          <w:tcPr>
            <w:tcW w:w="8504" w:type="dxa"/>
          </w:tcPr>
          <w:p w14:paraId="13D39326" w14:textId="3C8F90CD" w:rsidR="006B640A" w:rsidRPr="008704BD" w:rsidRDefault="00932311" w:rsidP="0035002E">
            <w:pPr>
              <w:jc w:val="both"/>
              <w:rPr>
                <w:rFonts w:ascii="Times New Roman" w:hAnsi="Times New Roman"/>
                <w:noProof/>
                <w:sz w:val="20"/>
              </w:rPr>
            </w:pPr>
            <w:r w:rsidRPr="008704BD">
              <w:rPr>
                <w:rFonts w:ascii="Times New Roman" w:hAnsi="Times New Roman"/>
                <w:noProof/>
                <w:sz w:val="20"/>
              </w:rPr>
              <w:t xml:space="preserve">Direct benefits in terms of </w:t>
            </w:r>
            <w:r w:rsidR="00DD72A7" w:rsidRPr="008704BD">
              <w:rPr>
                <w:rFonts w:ascii="Times New Roman" w:hAnsi="Times New Roman"/>
                <w:noProof/>
                <w:sz w:val="20"/>
              </w:rPr>
              <w:t>additional</w:t>
            </w:r>
            <w:r w:rsidRPr="008704BD">
              <w:rPr>
                <w:rFonts w:ascii="Times New Roman" w:hAnsi="Times New Roman"/>
                <w:noProof/>
                <w:sz w:val="20"/>
              </w:rPr>
              <w:t xml:space="preserve"> tax revenues are expected to </w:t>
            </w:r>
            <w:r w:rsidR="0035002E">
              <w:rPr>
                <w:rFonts w:ascii="Times New Roman" w:hAnsi="Times New Roman"/>
                <w:noProof/>
                <w:sz w:val="20"/>
              </w:rPr>
              <w:t>exceed</w:t>
            </w:r>
            <w:r w:rsidR="00BB0A63">
              <w:rPr>
                <w:rFonts w:ascii="Times New Roman" w:hAnsi="Times New Roman"/>
                <w:noProof/>
                <w:sz w:val="20"/>
              </w:rPr>
              <w:t xml:space="preserve"> </w:t>
            </w:r>
            <w:r w:rsidRPr="008704BD">
              <w:rPr>
                <w:rFonts w:ascii="Times New Roman" w:hAnsi="Times New Roman"/>
                <w:noProof/>
                <w:sz w:val="20"/>
              </w:rPr>
              <w:t>EUR</w:t>
            </w:r>
            <w:r w:rsidR="007E4A0B">
              <w:rPr>
                <w:rFonts w:ascii="Times New Roman" w:hAnsi="Times New Roman"/>
                <w:noProof/>
                <w:sz w:val="20"/>
              </w:rPr>
              <w:t xml:space="preserve"> 1 </w:t>
            </w:r>
            <w:r w:rsidRPr="008704BD">
              <w:rPr>
                <w:rFonts w:ascii="Times New Roman" w:hAnsi="Times New Roman"/>
                <w:noProof/>
                <w:sz w:val="20"/>
              </w:rPr>
              <w:t>billion</w:t>
            </w:r>
            <w:r w:rsidR="007E4A0B">
              <w:rPr>
                <w:rFonts w:ascii="Times New Roman" w:hAnsi="Times New Roman"/>
                <w:noProof/>
                <w:sz w:val="20"/>
              </w:rPr>
              <w:t xml:space="preserve"> </w:t>
            </w:r>
            <w:r w:rsidR="00BB0A63">
              <w:rPr>
                <w:rFonts w:ascii="Times New Roman" w:hAnsi="Times New Roman"/>
                <w:noProof/>
                <w:sz w:val="20"/>
              </w:rPr>
              <w:t xml:space="preserve">(i.e. </w:t>
            </w:r>
            <w:r w:rsidR="007E4A0B">
              <w:rPr>
                <w:rFonts w:ascii="Times New Roman" w:hAnsi="Times New Roman"/>
                <w:noProof/>
                <w:sz w:val="20"/>
              </w:rPr>
              <w:t xml:space="preserve">the </w:t>
            </w:r>
            <w:r w:rsidR="005B2878">
              <w:rPr>
                <w:rFonts w:ascii="Times New Roman" w:hAnsi="Times New Roman"/>
                <w:noProof/>
                <w:sz w:val="20"/>
              </w:rPr>
              <w:t xml:space="preserve">lower </w:t>
            </w:r>
            <w:r w:rsidR="007E4A0B">
              <w:rPr>
                <w:rFonts w:ascii="Times New Roman" w:hAnsi="Times New Roman"/>
                <w:noProof/>
                <w:sz w:val="20"/>
              </w:rPr>
              <w:t>bound</w:t>
            </w:r>
            <w:r w:rsidR="00BB0A63">
              <w:rPr>
                <w:rFonts w:ascii="Times New Roman" w:hAnsi="Times New Roman"/>
                <w:noProof/>
                <w:sz w:val="20"/>
              </w:rPr>
              <w:t>)</w:t>
            </w:r>
            <w:r w:rsidRPr="008704BD">
              <w:rPr>
                <w:rFonts w:ascii="Times New Roman" w:hAnsi="Times New Roman"/>
                <w:noProof/>
                <w:sz w:val="20"/>
              </w:rPr>
              <w:t xml:space="preserve">. </w:t>
            </w:r>
            <w:r w:rsidR="00363142">
              <w:rPr>
                <w:rFonts w:ascii="Times New Roman" w:hAnsi="Times New Roman"/>
                <w:noProof/>
                <w:sz w:val="20"/>
              </w:rPr>
              <w:t xml:space="preserve">All CASPs with EU users regardless of </w:t>
            </w:r>
            <w:r w:rsidR="007E4A0B">
              <w:rPr>
                <w:rFonts w:ascii="Times New Roman" w:hAnsi="Times New Roman"/>
                <w:noProof/>
                <w:sz w:val="20"/>
              </w:rPr>
              <w:t xml:space="preserve">the </w:t>
            </w:r>
            <w:r w:rsidR="00363142">
              <w:rPr>
                <w:rFonts w:ascii="Times New Roman" w:hAnsi="Times New Roman"/>
                <w:noProof/>
                <w:sz w:val="20"/>
              </w:rPr>
              <w:t xml:space="preserve">size would report detailed transactions to tax administrations. </w:t>
            </w:r>
            <w:r w:rsidR="009E3CFD">
              <w:rPr>
                <w:rFonts w:ascii="Times New Roman" w:hAnsi="Times New Roman"/>
                <w:noProof/>
                <w:sz w:val="20"/>
              </w:rPr>
              <w:t xml:space="preserve">While all </w:t>
            </w:r>
            <w:r w:rsidR="00363142">
              <w:rPr>
                <w:rFonts w:ascii="Times New Roman" w:hAnsi="Times New Roman"/>
                <w:noProof/>
                <w:sz w:val="20"/>
              </w:rPr>
              <w:t xml:space="preserve">the necessary information will be </w:t>
            </w:r>
            <w:r w:rsidR="009E3CFD">
              <w:rPr>
                <w:rFonts w:ascii="Times New Roman" w:hAnsi="Times New Roman"/>
                <w:noProof/>
                <w:sz w:val="20"/>
              </w:rPr>
              <w:t>available to tax administration</w:t>
            </w:r>
            <w:r w:rsidR="00363142">
              <w:rPr>
                <w:rFonts w:ascii="Times New Roman" w:hAnsi="Times New Roman"/>
                <w:noProof/>
                <w:sz w:val="20"/>
              </w:rPr>
              <w:t xml:space="preserve">, detailed </w:t>
            </w:r>
            <w:r w:rsidR="007E4A0B">
              <w:rPr>
                <w:rFonts w:ascii="Times New Roman" w:hAnsi="Times New Roman"/>
                <w:noProof/>
                <w:sz w:val="20"/>
              </w:rPr>
              <w:t>data</w:t>
            </w:r>
            <w:r w:rsidR="00363142">
              <w:rPr>
                <w:rFonts w:ascii="Times New Roman" w:hAnsi="Times New Roman"/>
                <w:noProof/>
                <w:sz w:val="20"/>
              </w:rPr>
              <w:t xml:space="preserve"> could </w:t>
            </w:r>
            <w:r w:rsidR="007E4A0B">
              <w:rPr>
                <w:rFonts w:ascii="Times New Roman" w:hAnsi="Times New Roman"/>
                <w:noProof/>
                <w:sz w:val="20"/>
              </w:rPr>
              <w:t xml:space="preserve">overburden </w:t>
            </w:r>
            <w:r w:rsidR="009E3CFD">
              <w:rPr>
                <w:rFonts w:ascii="Times New Roman" w:hAnsi="Times New Roman"/>
                <w:noProof/>
                <w:sz w:val="20"/>
              </w:rPr>
              <w:t>them</w:t>
            </w:r>
            <w:r w:rsidR="007E4A0B">
              <w:rPr>
                <w:rFonts w:ascii="Times New Roman" w:hAnsi="Times New Roman"/>
                <w:noProof/>
                <w:sz w:val="20"/>
              </w:rPr>
              <w:t xml:space="preserve">, leading to </w:t>
            </w:r>
            <w:r w:rsidR="00C721F6">
              <w:rPr>
                <w:rFonts w:ascii="Times New Roman" w:hAnsi="Times New Roman"/>
                <w:noProof/>
                <w:sz w:val="20"/>
              </w:rPr>
              <w:t xml:space="preserve">inefficiencies linked to </w:t>
            </w:r>
            <w:r w:rsidR="007E4A0B">
              <w:rPr>
                <w:rFonts w:ascii="Times New Roman" w:hAnsi="Times New Roman"/>
                <w:noProof/>
                <w:sz w:val="20"/>
              </w:rPr>
              <w:t>possible processing omissions and consequently less tax revenue.</w:t>
            </w:r>
          </w:p>
        </w:tc>
      </w:tr>
      <w:tr w:rsidR="00680C65" w:rsidRPr="007E4A0B" w14:paraId="26FB8E22" w14:textId="77777777" w:rsidTr="43477FEC">
        <w:tc>
          <w:tcPr>
            <w:tcW w:w="846" w:type="dxa"/>
            <w:vAlign w:val="center"/>
          </w:tcPr>
          <w:p w14:paraId="205AD5F2" w14:textId="6502BAC4" w:rsidR="006B640A" w:rsidRPr="008704BD" w:rsidRDefault="0054413F">
            <w:pPr>
              <w:jc w:val="center"/>
              <w:rPr>
                <w:rFonts w:ascii="Times New Roman" w:hAnsi="Times New Roman"/>
                <w:noProof/>
                <w:sz w:val="20"/>
              </w:rPr>
            </w:pPr>
            <w:r>
              <w:rPr>
                <w:rFonts w:ascii="Times New Roman" w:hAnsi="Times New Roman"/>
                <w:noProof/>
                <w:sz w:val="20"/>
              </w:rPr>
              <w:t>2</w:t>
            </w:r>
          </w:p>
        </w:tc>
        <w:tc>
          <w:tcPr>
            <w:tcW w:w="8504" w:type="dxa"/>
          </w:tcPr>
          <w:p w14:paraId="57CE78C2" w14:textId="6027A022" w:rsidR="006B640A" w:rsidRPr="008704BD" w:rsidRDefault="005B2878">
            <w:pPr>
              <w:jc w:val="both"/>
              <w:rPr>
                <w:rFonts w:ascii="Times New Roman" w:hAnsi="Times New Roman"/>
                <w:noProof/>
                <w:sz w:val="20"/>
              </w:rPr>
            </w:pPr>
            <w:r>
              <w:rPr>
                <w:rFonts w:ascii="Times New Roman" w:hAnsi="Times New Roman"/>
                <w:noProof/>
                <w:sz w:val="20"/>
              </w:rPr>
              <w:t>D</w:t>
            </w:r>
            <w:r w:rsidR="00480C80" w:rsidRPr="008704BD">
              <w:rPr>
                <w:rFonts w:ascii="Times New Roman" w:hAnsi="Times New Roman"/>
                <w:noProof/>
                <w:sz w:val="20"/>
              </w:rPr>
              <w:t xml:space="preserve">irect benefits in terms of </w:t>
            </w:r>
            <w:r w:rsidR="00CE0BC0" w:rsidRPr="008704BD">
              <w:rPr>
                <w:rFonts w:ascii="Times New Roman" w:hAnsi="Times New Roman"/>
                <w:noProof/>
                <w:sz w:val="20"/>
              </w:rPr>
              <w:t>additional</w:t>
            </w:r>
            <w:r w:rsidR="00480C80" w:rsidRPr="008704BD">
              <w:rPr>
                <w:rFonts w:ascii="Times New Roman" w:hAnsi="Times New Roman"/>
                <w:noProof/>
                <w:sz w:val="20"/>
              </w:rPr>
              <w:t xml:space="preserve"> tax revenues are expecte</w:t>
            </w:r>
            <w:r w:rsidR="00DD72A7" w:rsidRPr="008704BD">
              <w:rPr>
                <w:rFonts w:ascii="Times New Roman" w:hAnsi="Times New Roman"/>
                <w:noProof/>
                <w:sz w:val="20"/>
              </w:rPr>
              <w:t xml:space="preserve">d to </w:t>
            </w:r>
            <w:r>
              <w:rPr>
                <w:rFonts w:ascii="Times New Roman" w:hAnsi="Times New Roman"/>
                <w:noProof/>
                <w:sz w:val="20"/>
              </w:rPr>
              <w:t xml:space="preserve">be </w:t>
            </w:r>
            <w:r w:rsidR="00BB0A63">
              <w:rPr>
                <w:rFonts w:ascii="Times New Roman" w:hAnsi="Times New Roman"/>
                <w:noProof/>
                <w:sz w:val="20"/>
              </w:rPr>
              <w:t>lower</w:t>
            </w:r>
            <w:r>
              <w:rPr>
                <w:rFonts w:ascii="Times New Roman" w:hAnsi="Times New Roman"/>
                <w:noProof/>
                <w:sz w:val="20"/>
              </w:rPr>
              <w:t xml:space="preserve"> than in Option 1</w:t>
            </w:r>
            <w:r w:rsidR="007E4A0B">
              <w:rPr>
                <w:rFonts w:ascii="Times New Roman" w:hAnsi="Times New Roman"/>
                <w:noProof/>
                <w:sz w:val="20"/>
              </w:rPr>
              <w:t xml:space="preserve">, but </w:t>
            </w:r>
            <w:r>
              <w:rPr>
                <w:rFonts w:ascii="Times New Roman" w:hAnsi="Times New Roman"/>
                <w:noProof/>
                <w:sz w:val="20"/>
              </w:rPr>
              <w:t xml:space="preserve">still </w:t>
            </w:r>
            <w:r w:rsidR="00BB0A63">
              <w:rPr>
                <w:rFonts w:ascii="Times New Roman" w:hAnsi="Times New Roman"/>
                <w:noProof/>
                <w:sz w:val="20"/>
              </w:rPr>
              <w:t>above the lower bound of</w:t>
            </w:r>
            <w:r>
              <w:rPr>
                <w:rFonts w:ascii="Times New Roman" w:hAnsi="Times New Roman"/>
                <w:noProof/>
                <w:sz w:val="20"/>
              </w:rPr>
              <w:t xml:space="preserve"> </w:t>
            </w:r>
            <w:r w:rsidR="00BB0A63">
              <w:rPr>
                <w:rFonts w:ascii="Times New Roman" w:hAnsi="Times New Roman"/>
                <w:noProof/>
                <w:sz w:val="20"/>
              </w:rPr>
              <w:t>EUR 1 billion</w:t>
            </w:r>
            <w:r w:rsidR="007E4A0B">
              <w:rPr>
                <w:rFonts w:ascii="Times New Roman" w:hAnsi="Times New Roman"/>
                <w:noProof/>
                <w:sz w:val="20"/>
              </w:rPr>
              <w:t>. This is due to the</w:t>
            </w:r>
            <w:r w:rsidR="00480C80" w:rsidRPr="008704BD">
              <w:rPr>
                <w:rFonts w:ascii="Times New Roman" w:hAnsi="Times New Roman"/>
                <w:noProof/>
                <w:sz w:val="20"/>
              </w:rPr>
              <w:t xml:space="preserve"> exclusion criteria based on size</w:t>
            </w:r>
            <w:r w:rsidR="007E4A0B">
              <w:rPr>
                <w:rFonts w:ascii="Times New Roman" w:hAnsi="Times New Roman"/>
                <w:noProof/>
                <w:sz w:val="20"/>
              </w:rPr>
              <w:t>, which reduces the number of</w:t>
            </w:r>
            <w:r w:rsidR="009E3CFD">
              <w:rPr>
                <w:rFonts w:ascii="Times New Roman" w:hAnsi="Times New Roman"/>
                <w:noProof/>
                <w:sz w:val="20"/>
              </w:rPr>
              <w:t xml:space="preserve"> reporting</w:t>
            </w:r>
            <w:r w:rsidR="007E4A0B">
              <w:rPr>
                <w:rFonts w:ascii="Times New Roman" w:hAnsi="Times New Roman"/>
                <w:noProof/>
                <w:sz w:val="20"/>
              </w:rPr>
              <w:t xml:space="preserve"> CASPs. Even though we do not </w:t>
            </w:r>
            <w:r w:rsidR="009E3CFD">
              <w:rPr>
                <w:rFonts w:ascii="Times New Roman" w:hAnsi="Times New Roman"/>
                <w:noProof/>
                <w:sz w:val="20"/>
              </w:rPr>
              <w:t xml:space="preserve">have </w:t>
            </w:r>
            <w:r w:rsidR="007E4A0B">
              <w:rPr>
                <w:rFonts w:ascii="Times New Roman" w:hAnsi="Times New Roman"/>
                <w:noProof/>
                <w:sz w:val="20"/>
              </w:rPr>
              <w:t>reliable information on how many SMEs operate as CASPs, it cannot be excluded that those smaller business have large(r) customer base</w:t>
            </w:r>
            <w:r w:rsidR="00F64D18">
              <w:rPr>
                <w:rFonts w:ascii="Times New Roman" w:hAnsi="Times New Roman"/>
                <w:noProof/>
                <w:sz w:val="20"/>
              </w:rPr>
              <w:t xml:space="preserve">s (i.e. there </w:t>
            </w:r>
            <w:r w:rsidR="00D93E9A">
              <w:rPr>
                <w:rFonts w:ascii="Times New Roman" w:hAnsi="Times New Roman"/>
                <w:noProof/>
                <w:sz w:val="20"/>
              </w:rPr>
              <w:t>could be</w:t>
            </w:r>
            <w:r w:rsidR="00F64D18">
              <w:rPr>
                <w:rFonts w:ascii="Times New Roman" w:hAnsi="Times New Roman"/>
                <w:noProof/>
                <w:sz w:val="20"/>
              </w:rPr>
              <w:t xml:space="preserve"> possibly </w:t>
            </w:r>
            <w:r w:rsidR="00C142A0">
              <w:rPr>
                <w:rFonts w:ascii="Times New Roman" w:hAnsi="Times New Roman"/>
                <w:noProof/>
                <w:sz w:val="20"/>
              </w:rPr>
              <w:t>a higher amount</w:t>
            </w:r>
            <w:r w:rsidR="007E4A0B">
              <w:rPr>
                <w:rFonts w:ascii="Times New Roman" w:hAnsi="Times New Roman"/>
                <w:noProof/>
                <w:sz w:val="20"/>
              </w:rPr>
              <w:t xml:space="preserve"> </w:t>
            </w:r>
            <w:r w:rsidR="00C142A0">
              <w:rPr>
                <w:rFonts w:ascii="Times New Roman" w:hAnsi="Times New Roman"/>
                <w:noProof/>
                <w:sz w:val="20"/>
              </w:rPr>
              <w:t xml:space="preserve">of </w:t>
            </w:r>
            <w:r w:rsidR="007E4A0B">
              <w:rPr>
                <w:rFonts w:ascii="Times New Roman" w:hAnsi="Times New Roman"/>
                <w:noProof/>
                <w:sz w:val="20"/>
              </w:rPr>
              <w:t>unreported transactions</w:t>
            </w:r>
            <w:r w:rsidR="00C142A0">
              <w:rPr>
                <w:rFonts w:ascii="Times New Roman" w:hAnsi="Times New Roman"/>
                <w:noProof/>
                <w:sz w:val="20"/>
              </w:rPr>
              <w:t>)</w:t>
            </w:r>
            <w:r w:rsidR="007E4A0B">
              <w:rPr>
                <w:rFonts w:ascii="Times New Roman" w:hAnsi="Times New Roman"/>
                <w:noProof/>
                <w:sz w:val="20"/>
              </w:rPr>
              <w:t>.</w:t>
            </w:r>
          </w:p>
        </w:tc>
      </w:tr>
      <w:tr w:rsidR="006B640A" w:rsidRPr="00D312CE" w14:paraId="234623BF" w14:textId="77777777" w:rsidTr="005E71AC">
        <w:tc>
          <w:tcPr>
            <w:tcW w:w="846" w:type="dxa"/>
            <w:vAlign w:val="center"/>
          </w:tcPr>
          <w:p w14:paraId="1B887829" w14:textId="16852AAD" w:rsidR="006B640A" w:rsidRPr="008704BD" w:rsidRDefault="0054413F">
            <w:pPr>
              <w:jc w:val="center"/>
              <w:rPr>
                <w:rFonts w:ascii="Times New Roman" w:hAnsi="Times New Roman"/>
                <w:noProof/>
                <w:sz w:val="20"/>
              </w:rPr>
            </w:pPr>
            <w:r>
              <w:rPr>
                <w:rFonts w:ascii="Times New Roman" w:hAnsi="Times New Roman"/>
                <w:noProof/>
                <w:sz w:val="20"/>
              </w:rPr>
              <w:t>3</w:t>
            </w:r>
          </w:p>
        </w:tc>
        <w:tc>
          <w:tcPr>
            <w:tcW w:w="8504" w:type="dxa"/>
          </w:tcPr>
          <w:p w14:paraId="5D766D26" w14:textId="0DD5EDFF" w:rsidR="006B640A" w:rsidRPr="008704BD" w:rsidRDefault="005F7CD0">
            <w:pPr>
              <w:jc w:val="both"/>
              <w:rPr>
                <w:rFonts w:ascii="Times New Roman" w:hAnsi="Times New Roman"/>
                <w:noProof/>
                <w:sz w:val="20"/>
              </w:rPr>
            </w:pPr>
            <w:r w:rsidRPr="008704BD">
              <w:rPr>
                <w:rFonts w:ascii="Times New Roman" w:hAnsi="Times New Roman"/>
                <w:noProof/>
                <w:sz w:val="20"/>
              </w:rPr>
              <w:t xml:space="preserve">Direct benefits in terms of additional tax revenues </w:t>
            </w:r>
            <w:r w:rsidR="0036722B">
              <w:rPr>
                <w:rFonts w:ascii="Times New Roman" w:hAnsi="Times New Roman"/>
                <w:noProof/>
                <w:sz w:val="20"/>
              </w:rPr>
              <w:t>could</w:t>
            </w:r>
            <w:r w:rsidRPr="008704BD">
              <w:rPr>
                <w:rFonts w:ascii="Times New Roman" w:hAnsi="Times New Roman"/>
                <w:noProof/>
                <w:sz w:val="20"/>
              </w:rPr>
              <w:t xml:space="preserve"> </w:t>
            </w:r>
            <w:r w:rsidR="00BB0A63">
              <w:rPr>
                <w:rFonts w:ascii="Times New Roman" w:hAnsi="Times New Roman"/>
                <w:noProof/>
                <w:sz w:val="20"/>
              </w:rPr>
              <w:t>amount to</w:t>
            </w:r>
            <w:r>
              <w:rPr>
                <w:rFonts w:ascii="Times New Roman" w:hAnsi="Times New Roman"/>
                <w:noProof/>
                <w:sz w:val="20"/>
              </w:rPr>
              <w:t xml:space="preserve"> </w:t>
            </w:r>
            <w:r w:rsidRPr="008704BD">
              <w:rPr>
                <w:rFonts w:ascii="Times New Roman" w:hAnsi="Times New Roman"/>
                <w:noProof/>
                <w:sz w:val="20"/>
              </w:rPr>
              <w:t>EUR</w:t>
            </w:r>
            <w:r>
              <w:rPr>
                <w:rFonts w:ascii="Times New Roman" w:hAnsi="Times New Roman"/>
                <w:noProof/>
                <w:sz w:val="20"/>
              </w:rPr>
              <w:t xml:space="preserve"> 1</w:t>
            </w:r>
            <w:r w:rsidR="00BB0A63">
              <w:rPr>
                <w:rFonts w:ascii="Times New Roman" w:hAnsi="Times New Roman"/>
                <w:noProof/>
                <w:sz w:val="20"/>
              </w:rPr>
              <w:t>.7</w:t>
            </w:r>
            <w:r>
              <w:rPr>
                <w:rFonts w:ascii="Times New Roman" w:hAnsi="Times New Roman"/>
                <w:noProof/>
                <w:sz w:val="20"/>
              </w:rPr>
              <w:t xml:space="preserve"> </w:t>
            </w:r>
            <w:r w:rsidRPr="008704BD">
              <w:rPr>
                <w:rFonts w:ascii="Times New Roman" w:hAnsi="Times New Roman"/>
                <w:noProof/>
                <w:sz w:val="20"/>
              </w:rPr>
              <w:t>billion</w:t>
            </w:r>
            <w:r w:rsidR="00EF1432">
              <w:rPr>
                <w:rFonts w:ascii="Times New Roman" w:hAnsi="Times New Roman"/>
                <w:noProof/>
                <w:sz w:val="20"/>
              </w:rPr>
              <w:t xml:space="preserve"> (i.e. the middle bound)</w:t>
            </w:r>
            <w:r w:rsidRPr="008704BD">
              <w:rPr>
                <w:rFonts w:ascii="Times New Roman" w:hAnsi="Times New Roman"/>
                <w:noProof/>
                <w:sz w:val="20"/>
              </w:rPr>
              <w:t xml:space="preserve">. </w:t>
            </w:r>
            <w:r>
              <w:rPr>
                <w:rFonts w:ascii="Times New Roman" w:hAnsi="Times New Roman"/>
                <w:noProof/>
                <w:sz w:val="20"/>
              </w:rPr>
              <w:t xml:space="preserve">All CASPs with EU users regardless of the size would report aggregated transactional information to tax administrations. The aggregated data, however, might not </w:t>
            </w:r>
            <w:r w:rsidR="00D93E9A">
              <w:rPr>
                <w:rFonts w:ascii="Times New Roman" w:hAnsi="Times New Roman"/>
                <w:noProof/>
                <w:sz w:val="20"/>
              </w:rPr>
              <w:t xml:space="preserve">always provide </w:t>
            </w:r>
            <w:r>
              <w:rPr>
                <w:rFonts w:ascii="Times New Roman" w:hAnsi="Times New Roman"/>
                <w:noProof/>
                <w:sz w:val="20"/>
              </w:rPr>
              <w:t xml:space="preserve">enough </w:t>
            </w:r>
            <w:r w:rsidR="00D93E9A">
              <w:rPr>
                <w:rFonts w:ascii="Times New Roman" w:hAnsi="Times New Roman"/>
                <w:noProof/>
                <w:sz w:val="20"/>
              </w:rPr>
              <w:t>information</w:t>
            </w:r>
            <w:r>
              <w:rPr>
                <w:rFonts w:ascii="Times New Roman" w:hAnsi="Times New Roman"/>
                <w:noProof/>
                <w:sz w:val="20"/>
              </w:rPr>
              <w:t xml:space="preserve"> </w:t>
            </w:r>
            <w:r w:rsidR="0036722B">
              <w:rPr>
                <w:rFonts w:ascii="Times New Roman" w:hAnsi="Times New Roman"/>
                <w:noProof/>
                <w:sz w:val="20"/>
              </w:rPr>
              <w:t>to ensure proper taxation</w:t>
            </w:r>
            <w:r>
              <w:rPr>
                <w:rFonts w:ascii="Times New Roman" w:hAnsi="Times New Roman"/>
                <w:noProof/>
                <w:sz w:val="20"/>
              </w:rPr>
              <w:t>, which would imply the need for the second round of information requests by the tax administrations</w:t>
            </w:r>
            <w:r w:rsidR="0036722B">
              <w:rPr>
                <w:rFonts w:ascii="Times New Roman" w:hAnsi="Times New Roman"/>
                <w:noProof/>
                <w:sz w:val="20"/>
              </w:rPr>
              <w:t xml:space="preserve"> that come with higher costs. </w:t>
            </w:r>
            <w:r w:rsidR="0036722B" w:rsidRPr="0035002E">
              <w:rPr>
                <w:rFonts w:ascii="Times New Roman" w:hAnsi="Times New Roman"/>
                <w:noProof/>
                <w:sz w:val="20"/>
              </w:rPr>
              <w:t xml:space="preserve">The net benefits </w:t>
            </w:r>
            <w:r w:rsidR="0035002E" w:rsidRPr="0035002E">
              <w:rPr>
                <w:rFonts w:ascii="Times New Roman" w:hAnsi="Times New Roman"/>
                <w:noProof/>
                <w:sz w:val="20"/>
              </w:rPr>
              <w:t xml:space="preserve">(taking into account the second-round information) </w:t>
            </w:r>
            <w:r w:rsidR="0036722B" w:rsidRPr="0035002E">
              <w:rPr>
                <w:rFonts w:ascii="Times New Roman" w:hAnsi="Times New Roman"/>
                <w:noProof/>
                <w:sz w:val="20"/>
              </w:rPr>
              <w:t>are therefore likely</w:t>
            </w:r>
            <w:r w:rsidRPr="0035002E">
              <w:rPr>
                <w:rFonts w:ascii="Times New Roman" w:hAnsi="Times New Roman"/>
                <w:noProof/>
                <w:sz w:val="20"/>
              </w:rPr>
              <w:t xml:space="preserve"> </w:t>
            </w:r>
            <w:r w:rsidR="0036722B" w:rsidRPr="0035002E">
              <w:rPr>
                <w:rFonts w:ascii="Times New Roman" w:hAnsi="Times New Roman"/>
                <w:noProof/>
                <w:sz w:val="20"/>
              </w:rPr>
              <w:t xml:space="preserve">to be lower compared to Option </w:t>
            </w:r>
            <w:r w:rsidR="00713CBF" w:rsidRPr="0035002E">
              <w:rPr>
                <w:rFonts w:ascii="Times New Roman" w:hAnsi="Times New Roman"/>
                <w:noProof/>
                <w:sz w:val="20"/>
              </w:rPr>
              <w:t>1</w:t>
            </w:r>
            <w:r w:rsidRPr="0035002E">
              <w:rPr>
                <w:rFonts w:ascii="Times New Roman" w:hAnsi="Times New Roman"/>
                <w:noProof/>
                <w:sz w:val="20"/>
              </w:rPr>
              <w:t>.</w:t>
            </w:r>
          </w:p>
        </w:tc>
      </w:tr>
      <w:tr w:rsidR="006B640A" w:rsidRPr="00D312CE" w14:paraId="1B981864" w14:textId="77777777" w:rsidTr="005E71AC">
        <w:tc>
          <w:tcPr>
            <w:tcW w:w="846" w:type="dxa"/>
            <w:vAlign w:val="center"/>
          </w:tcPr>
          <w:p w14:paraId="54D6212A" w14:textId="0B70D94C" w:rsidR="006B640A" w:rsidRPr="008704BD" w:rsidRDefault="0054413F">
            <w:pPr>
              <w:jc w:val="center"/>
              <w:rPr>
                <w:rFonts w:ascii="Times New Roman" w:hAnsi="Times New Roman"/>
                <w:noProof/>
                <w:sz w:val="20"/>
              </w:rPr>
            </w:pPr>
            <w:r>
              <w:rPr>
                <w:rFonts w:ascii="Times New Roman" w:hAnsi="Times New Roman"/>
                <w:noProof/>
                <w:sz w:val="20"/>
              </w:rPr>
              <w:t>4</w:t>
            </w:r>
          </w:p>
        </w:tc>
        <w:tc>
          <w:tcPr>
            <w:tcW w:w="8504" w:type="dxa"/>
          </w:tcPr>
          <w:p w14:paraId="35C32CBD" w14:textId="26B01EBA" w:rsidR="006B640A" w:rsidRPr="008704BD" w:rsidRDefault="0036722B">
            <w:pPr>
              <w:jc w:val="both"/>
              <w:rPr>
                <w:rFonts w:ascii="Times New Roman" w:hAnsi="Times New Roman"/>
                <w:noProof/>
                <w:sz w:val="20"/>
              </w:rPr>
            </w:pPr>
            <w:r>
              <w:rPr>
                <w:rFonts w:ascii="Times New Roman" w:hAnsi="Times New Roman"/>
                <w:noProof/>
                <w:sz w:val="20"/>
              </w:rPr>
              <w:t xml:space="preserve">This option is similar to the previous one, but it applies a threshold </w:t>
            </w:r>
            <w:r w:rsidRPr="008704BD">
              <w:rPr>
                <w:rFonts w:ascii="Times New Roman" w:hAnsi="Times New Roman"/>
                <w:noProof/>
                <w:sz w:val="20"/>
              </w:rPr>
              <w:t>based on size</w:t>
            </w:r>
            <w:r w:rsidR="009A2FA7">
              <w:rPr>
                <w:rFonts w:ascii="Times New Roman" w:hAnsi="Times New Roman"/>
                <w:noProof/>
                <w:sz w:val="20"/>
              </w:rPr>
              <w:t>, which could likely result in less benefits (direct and net)</w:t>
            </w:r>
            <w:r>
              <w:rPr>
                <w:rFonts w:ascii="Times New Roman" w:hAnsi="Times New Roman"/>
                <w:noProof/>
                <w:sz w:val="20"/>
              </w:rPr>
              <w:t xml:space="preserve"> </w:t>
            </w:r>
            <w:r w:rsidR="009A2FA7" w:rsidRPr="008704BD">
              <w:rPr>
                <w:rFonts w:ascii="Times New Roman" w:hAnsi="Times New Roman"/>
                <w:noProof/>
                <w:sz w:val="20"/>
              </w:rPr>
              <w:t>in terms of additional</w:t>
            </w:r>
            <w:r w:rsidR="009A2FA7">
              <w:rPr>
                <w:rFonts w:ascii="Times New Roman" w:hAnsi="Times New Roman"/>
                <w:noProof/>
                <w:sz w:val="20"/>
              </w:rPr>
              <w:t xml:space="preserve"> tax revenues.</w:t>
            </w:r>
            <w:r w:rsidR="00EF1432">
              <w:rPr>
                <w:rFonts w:ascii="Times New Roman" w:hAnsi="Times New Roman"/>
                <w:noProof/>
                <w:sz w:val="20"/>
              </w:rPr>
              <w:t xml:space="preserve"> </w:t>
            </w:r>
            <w:r w:rsidR="00B7564D">
              <w:rPr>
                <w:rFonts w:ascii="Times New Roman" w:hAnsi="Times New Roman"/>
                <w:noProof/>
                <w:sz w:val="20"/>
              </w:rPr>
              <w:t>These</w:t>
            </w:r>
            <w:r w:rsidR="00EF1432">
              <w:rPr>
                <w:rFonts w:ascii="Times New Roman" w:hAnsi="Times New Roman"/>
                <w:noProof/>
                <w:sz w:val="20"/>
              </w:rPr>
              <w:t xml:space="preserve"> benefits are expected to be close to the middle bound</w:t>
            </w:r>
            <w:r w:rsidR="00B7564D">
              <w:rPr>
                <w:rFonts w:ascii="Times New Roman" w:hAnsi="Times New Roman"/>
                <w:noProof/>
                <w:sz w:val="20"/>
              </w:rPr>
              <w:t xml:space="preserve"> nevertheless.</w:t>
            </w:r>
          </w:p>
        </w:tc>
      </w:tr>
      <w:tr w:rsidR="00163819" w:rsidRPr="00D312CE" w14:paraId="5C32AA81" w14:textId="77777777" w:rsidTr="005E71AC">
        <w:tc>
          <w:tcPr>
            <w:tcW w:w="846" w:type="dxa"/>
            <w:vAlign w:val="center"/>
          </w:tcPr>
          <w:p w14:paraId="34EC83FA" w14:textId="034CF7DA" w:rsidR="00163819" w:rsidRPr="008704BD" w:rsidRDefault="0054413F">
            <w:pPr>
              <w:jc w:val="center"/>
              <w:rPr>
                <w:rFonts w:ascii="Times New Roman" w:hAnsi="Times New Roman"/>
                <w:noProof/>
                <w:sz w:val="20"/>
              </w:rPr>
            </w:pPr>
            <w:r>
              <w:rPr>
                <w:rFonts w:ascii="Times New Roman" w:hAnsi="Times New Roman"/>
                <w:noProof/>
                <w:sz w:val="20"/>
              </w:rPr>
              <w:t>5</w:t>
            </w:r>
          </w:p>
        </w:tc>
        <w:tc>
          <w:tcPr>
            <w:tcW w:w="8504" w:type="dxa"/>
          </w:tcPr>
          <w:p w14:paraId="708FEAE1" w14:textId="35AA3D6B" w:rsidR="00163819" w:rsidRPr="008704BD" w:rsidRDefault="00D653BB">
            <w:pPr>
              <w:jc w:val="both"/>
              <w:rPr>
                <w:rFonts w:ascii="Times New Roman" w:hAnsi="Times New Roman"/>
                <w:noProof/>
                <w:sz w:val="20"/>
              </w:rPr>
            </w:pPr>
            <w:r w:rsidRPr="008704BD">
              <w:rPr>
                <w:rFonts w:ascii="Times New Roman" w:hAnsi="Times New Roman"/>
                <w:noProof/>
                <w:sz w:val="20"/>
              </w:rPr>
              <w:t xml:space="preserve">Direct benefits in terms of additional tax revenues </w:t>
            </w:r>
            <w:r>
              <w:rPr>
                <w:rFonts w:ascii="Times New Roman" w:hAnsi="Times New Roman"/>
                <w:noProof/>
                <w:sz w:val="20"/>
              </w:rPr>
              <w:t>could</w:t>
            </w:r>
            <w:r w:rsidRPr="008704BD">
              <w:rPr>
                <w:rFonts w:ascii="Times New Roman" w:hAnsi="Times New Roman"/>
                <w:noProof/>
                <w:sz w:val="20"/>
              </w:rPr>
              <w:t xml:space="preserve"> </w:t>
            </w:r>
            <w:r w:rsidR="00EF1432">
              <w:rPr>
                <w:rFonts w:ascii="Times New Roman" w:hAnsi="Times New Roman"/>
                <w:noProof/>
                <w:sz w:val="20"/>
              </w:rPr>
              <w:t>reach</w:t>
            </w:r>
            <w:r>
              <w:rPr>
                <w:rFonts w:ascii="Times New Roman" w:hAnsi="Times New Roman"/>
                <w:noProof/>
                <w:sz w:val="20"/>
              </w:rPr>
              <w:t xml:space="preserve"> EUR 2.4</w:t>
            </w:r>
            <w:r w:rsidRPr="008704BD">
              <w:rPr>
                <w:rFonts w:ascii="Times New Roman" w:hAnsi="Times New Roman"/>
                <w:noProof/>
                <w:sz w:val="20"/>
              </w:rPr>
              <w:t xml:space="preserve"> billion</w:t>
            </w:r>
            <w:r w:rsidR="00EF1432">
              <w:rPr>
                <w:rFonts w:ascii="Times New Roman" w:hAnsi="Times New Roman"/>
                <w:noProof/>
                <w:sz w:val="20"/>
              </w:rPr>
              <w:t xml:space="preserve"> (i.e. </w:t>
            </w:r>
            <w:r w:rsidR="00E51FE2">
              <w:rPr>
                <w:rFonts w:ascii="Times New Roman" w:hAnsi="Times New Roman"/>
                <w:noProof/>
                <w:sz w:val="20"/>
              </w:rPr>
              <w:t>the upper bound</w:t>
            </w:r>
            <w:r w:rsidR="00EF1432">
              <w:rPr>
                <w:rFonts w:ascii="Times New Roman" w:hAnsi="Times New Roman"/>
                <w:noProof/>
                <w:sz w:val="20"/>
              </w:rPr>
              <w:t>)</w:t>
            </w:r>
            <w:r>
              <w:rPr>
                <w:rFonts w:ascii="Times New Roman" w:hAnsi="Times New Roman"/>
                <w:noProof/>
                <w:sz w:val="20"/>
              </w:rPr>
              <w:t xml:space="preserve">. The hybrid reporting approach would ensure a balance between too detailed transactional information to be reported by all CASPs with EU users regardless of the size (Option </w:t>
            </w:r>
            <w:r w:rsidR="00713CBF">
              <w:rPr>
                <w:rFonts w:ascii="Times New Roman" w:hAnsi="Times New Roman"/>
                <w:noProof/>
                <w:sz w:val="20"/>
              </w:rPr>
              <w:t>1</w:t>
            </w:r>
            <w:r>
              <w:rPr>
                <w:rFonts w:ascii="Times New Roman" w:hAnsi="Times New Roman"/>
                <w:noProof/>
                <w:sz w:val="20"/>
              </w:rPr>
              <w:t xml:space="preserve">), and the need for second round information requests (Option </w:t>
            </w:r>
            <w:r w:rsidR="00713CBF">
              <w:rPr>
                <w:rFonts w:ascii="Times New Roman" w:hAnsi="Times New Roman"/>
                <w:noProof/>
                <w:sz w:val="20"/>
              </w:rPr>
              <w:t>3</w:t>
            </w:r>
            <w:r>
              <w:rPr>
                <w:rFonts w:ascii="Times New Roman" w:hAnsi="Times New Roman"/>
                <w:noProof/>
                <w:sz w:val="20"/>
              </w:rPr>
              <w:t>).</w:t>
            </w:r>
          </w:p>
        </w:tc>
      </w:tr>
      <w:tr w:rsidR="00163819" w:rsidRPr="00D312CE" w14:paraId="18F0056E" w14:textId="77777777" w:rsidTr="005E71AC">
        <w:tc>
          <w:tcPr>
            <w:tcW w:w="846" w:type="dxa"/>
            <w:vAlign w:val="center"/>
          </w:tcPr>
          <w:p w14:paraId="1EC3FEF1" w14:textId="230E4EDF" w:rsidR="00163819" w:rsidRDefault="0054413F">
            <w:pPr>
              <w:jc w:val="center"/>
              <w:rPr>
                <w:rFonts w:ascii="Times New Roman" w:hAnsi="Times New Roman"/>
                <w:noProof/>
                <w:sz w:val="20"/>
              </w:rPr>
            </w:pPr>
            <w:r>
              <w:rPr>
                <w:rFonts w:ascii="Times New Roman" w:hAnsi="Times New Roman"/>
                <w:noProof/>
                <w:sz w:val="20"/>
              </w:rPr>
              <w:t>6</w:t>
            </w:r>
          </w:p>
        </w:tc>
        <w:tc>
          <w:tcPr>
            <w:tcW w:w="8504" w:type="dxa"/>
          </w:tcPr>
          <w:p w14:paraId="6018227D" w14:textId="1D6271BE" w:rsidR="00163819" w:rsidRDefault="00EF1432">
            <w:pPr>
              <w:jc w:val="both"/>
              <w:rPr>
                <w:rFonts w:ascii="Times New Roman" w:hAnsi="Times New Roman"/>
                <w:noProof/>
                <w:sz w:val="20"/>
              </w:rPr>
            </w:pPr>
            <w:r>
              <w:rPr>
                <w:rFonts w:ascii="Times New Roman" w:hAnsi="Times New Roman"/>
                <w:noProof/>
                <w:sz w:val="20"/>
              </w:rPr>
              <w:t xml:space="preserve">This option is similar to the previous one, but it applies a threshold </w:t>
            </w:r>
            <w:r w:rsidRPr="008704BD">
              <w:rPr>
                <w:rFonts w:ascii="Times New Roman" w:hAnsi="Times New Roman"/>
                <w:noProof/>
                <w:sz w:val="20"/>
              </w:rPr>
              <w:t>based on size</w:t>
            </w:r>
            <w:r>
              <w:rPr>
                <w:rFonts w:ascii="Times New Roman" w:hAnsi="Times New Roman"/>
                <w:noProof/>
                <w:sz w:val="20"/>
              </w:rPr>
              <w:t xml:space="preserve">, which could likely result in less benefits (direct and net) </w:t>
            </w:r>
            <w:r w:rsidRPr="008704BD">
              <w:rPr>
                <w:rFonts w:ascii="Times New Roman" w:hAnsi="Times New Roman"/>
                <w:noProof/>
                <w:sz w:val="20"/>
              </w:rPr>
              <w:t>in terms of additional</w:t>
            </w:r>
            <w:r>
              <w:rPr>
                <w:rFonts w:ascii="Times New Roman" w:hAnsi="Times New Roman"/>
                <w:noProof/>
                <w:sz w:val="20"/>
              </w:rPr>
              <w:t xml:space="preserve"> tax revenues. </w:t>
            </w:r>
            <w:r w:rsidR="00B7564D">
              <w:rPr>
                <w:rFonts w:ascii="Times New Roman" w:hAnsi="Times New Roman"/>
                <w:noProof/>
                <w:sz w:val="20"/>
              </w:rPr>
              <w:t>These</w:t>
            </w:r>
            <w:r>
              <w:rPr>
                <w:rFonts w:ascii="Times New Roman" w:hAnsi="Times New Roman"/>
                <w:noProof/>
                <w:sz w:val="20"/>
              </w:rPr>
              <w:t xml:space="preserve"> benefits are expected to be close to the upper</w:t>
            </w:r>
            <w:r w:rsidR="00B7564D">
              <w:rPr>
                <w:rFonts w:ascii="Times New Roman" w:hAnsi="Times New Roman"/>
                <w:noProof/>
                <w:sz w:val="20"/>
              </w:rPr>
              <w:t xml:space="preserve"> bound nevertheless.</w:t>
            </w:r>
          </w:p>
        </w:tc>
      </w:tr>
    </w:tbl>
    <w:p w14:paraId="4B0D15A4" w14:textId="77777777" w:rsidR="00DA5CE5" w:rsidRPr="009E2CE3" w:rsidRDefault="00DA5CE5">
      <w:pPr>
        <w:rPr>
          <w:noProof/>
        </w:rPr>
      </w:pPr>
    </w:p>
    <w:p w14:paraId="500415C2" w14:textId="2047B623" w:rsidR="00573BE9" w:rsidRPr="00931BFE" w:rsidRDefault="00573BE9" w:rsidP="00931BFE">
      <w:pPr>
        <w:jc w:val="both"/>
        <w:rPr>
          <w:rFonts w:ascii="Times New Roman" w:hAnsi="Times New Roman"/>
          <w:noProof/>
          <w:sz w:val="24"/>
          <w:lang w:val="en-GB"/>
        </w:rPr>
      </w:pPr>
      <w:r w:rsidRPr="00573BE9">
        <w:rPr>
          <w:rFonts w:ascii="Times New Roman" w:hAnsi="Times New Roman"/>
          <w:noProof/>
          <w:sz w:val="24"/>
          <w:lang w:val="en-GB"/>
        </w:rPr>
        <w:t xml:space="preserve">Even though </w:t>
      </w:r>
      <w:r>
        <w:rPr>
          <w:rFonts w:ascii="Times New Roman" w:hAnsi="Times New Roman"/>
          <w:noProof/>
          <w:sz w:val="24"/>
          <w:lang w:val="en-GB"/>
        </w:rPr>
        <w:t>the above benefit estimates</w:t>
      </w:r>
      <w:r w:rsidRPr="00573BE9">
        <w:rPr>
          <w:rFonts w:ascii="Times New Roman" w:hAnsi="Times New Roman"/>
          <w:noProof/>
          <w:sz w:val="24"/>
          <w:lang w:val="en-GB"/>
        </w:rPr>
        <w:t xml:space="preserve"> give a quantitative indication concerning the impact of this legislative initiative, their materialisation may come with certain risks. In </w:t>
      </w:r>
      <w:r>
        <w:rPr>
          <w:rFonts w:ascii="Times New Roman" w:hAnsi="Times New Roman"/>
          <w:noProof/>
          <w:sz w:val="24"/>
          <w:lang w:val="en-GB"/>
        </w:rPr>
        <w:t>particular</w:t>
      </w:r>
      <w:r w:rsidRPr="00573BE9">
        <w:rPr>
          <w:rFonts w:ascii="Times New Roman" w:hAnsi="Times New Roman"/>
          <w:noProof/>
          <w:sz w:val="24"/>
          <w:lang w:val="en-GB"/>
        </w:rPr>
        <w:t>, the main risk lies with the actual use</w:t>
      </w:r>
      <w:r w:rsidR="009D2E8A" w:rsidRPr="009D2E8A">
        <w:rPr>
          <w:rFonts w:ascii="Times New Roman" w:hAnsi="Times New Roman"/>
          <w:noProof/>
          <w:sz w:val="24"/>
          <w:lang w:val="en-GB"/>
        </w:rPr>
        <w:t xml:space="preserve"> </w:t>
      </w:r>
      <w:r w:rsidR="009D2E8A" w:rsidRPr="00573BE9">
        <w:rPr>
          <w:rFonts w:ascii="Times New Roman" w:hAnsi="Times New Roman"/>
          <w:noProof/>
          <w:sz w:val="24"/>
          <w:lang w:val="en-GB"/>
        </w:rPr>
        <w:t>of the information obtained</w:t>
      </w:r>
      <w:r w:rsidRPr="00573BE9">
        <w:rPr>
          <w:rFonts w:ascii="Times New Roman" w:hAnsi="Times New Roman"/>
          <w:noProof/>
          <w:sz w:val="24"/>
          <w:lang w:val="en-GB"/>
        </w:rPr>
        <w:t xml:space="preserve"> by Member States. While Member States are expected to take this new information into account to ensure proper taxation, there are variations across Member States regarding their ability to make the best use of the data.</w:t>
      </w:r>
    </w:p>
    <w:p w14:paraId="47C3A3DE" w14:textId="77777777" w:rsidR="00D875AA" w:rsidRPr="00A67E41" w:rsidRDefault="00572424" w:rsidP="004B2B61">
      <w:pPr>
        <w:pStyle w:val="Heading3"/>
        <w:numPr>
          <w:ilvl w:val="2"/>
          <w:numId w:val="73"/>
        </w:numPr>
        <w:ind w:left="0" w:firstLine="0"/>
        <w:rPr>
          <w:rFonts w:ascii="Times New Roman" w:eastAsia="Times New Roman" w:hAnsi="Times New Roman" w:cs="Times New Roman"/>
          <w:noProof/>
          <w:lang w:val="en-GB"/>
        </w:rPr>
      </w:pPr>
      <w:bookmarkStart w:id="364" w:name="_Toc81582167"/>
      <w:bookmarkStart w:id="365" w:name="_Toc83742026"/>
      <w:bookmarkStart w:id="366" w:name="_Toc83824405"/>
      <w:bookmarkStart w:id="367" w:name="_Toc84338482"/>
      <w:bookmarkStart w:id="368" w:name="_Toc84520050"/>
      <w:bookmarkStart w:id="369" w:name="_Toc84579915"/>
      <w:bookmarkStart w:id="370" w:name="_Toc85052208"/>
      <w:bookmarkStart w:id="371" w:name="_Toc710123675"/>
      <w:bookmarkStart w:id="372" w:name="_Toc808944300"/>
      <w:bookmarkStart w:id="373" w:name="_Toc1434196245"/>
      <w:bookmarkStart w:id="374" w:name="_Toc93306884"/>
      <w:r w:rsidRPr="41BAA3BB">
        <w:rPr>
          <w:rFonts w:ascii="Times New Roman" w:eastAsia="Times New Roman" w:hAnsi="Times New Roman" w:cs="Times New Roman"/>
          <w:noProof/>
          <w:lang w:val="en-GB"/>
        </w:rPr>
        <w:t>Costs</w:t>
      </w:r>
      <w:bookmarkEnd w:id="364"/>
      <w:bookmarkEnd w:id="365"/>
      <w:bookmarkEnd w:id="366"/>
      <w:bookmarkEnd w:id="367"/>
      <w:bookmarkEnd w:id="368"/>
      <w:bookmarkEnd w:id="369"/>
      <w:bookmarkEnd w:id="370"/>
      <w:bookmarkEnd w:id="371"/>
      <w:bookmarkEnd w:id="372"/>
      <w:bookmarkEnd w:id="373"/>
      <w:bookmarkEnd w:id="374"/>
    </w:p>
    <w:p w14:paraId="3772672C" w14:textId="77777777" w:rsidR="00572424" w:rsidRPr="008704BD" w:rsidRDefault="00572424" w:rsidP="00572424">
      <w:pPr>
        <w:jc w:val="both"/>
        <w:rPr>
          <w:rFonts w:ascii="Times New Roman" w:hAnsi="Times New Roman"/>
          <w:noProof/>
          <w:sz w:val="24"/>
          <w:lang w:val="en-GB"/>
        </w:rPr>
      </w:pPr>
      <w:r w:rsidRPr="008704BD">
        <w:rPr>
          <w:rFonts w:ascii="Times New Roman" w:hAnsi="Times New Roman"/>
          <w:noProof/>
          <w:sz w:val="24"/>
          <w:lang w:val="en-GB"/>
        </w:rPr>
        <w:t xml:space="preserve">Requirements for CASPs to report data and for tax administrations to exchange them will entail costs. </w:t>
      </w:r>
      <w:r w:rsidR="000968ED" w:rsidRPr="008704BD">
        <w:rPr>
          <w:rFonts w:ascii="Times New Roman" w:hAnsi="Times New Roman"/>
          <w:noProof/>
          <w:sz w:val="24"/>
          <w:lang w:val="en-GB"/>
        </w:rPr>
        <w:t>T</w:t>
      </w:r>
      <w:r w:rsidRPr="008704BD">
        <w:rPr>
          <w:rFonts w:ascii="Times New Roman" w:hAnsi="Times New Roman"/>
          <w:noProof/>
          <w:sz w:val="24"/>
          <w:lang w:val="en-GB"/>
        </w:rPr>
        <w:t xml:space="preserve">he costs can be categorised as:  </w:t>
      </w:r>
    </w:p>
    <w:p w14:paraId="3AECCF90" w14:textId="77777777" w:rsidR="00572424" w:rsidRPr="008704BD" w:rsidRDefault="6D57961E">
      <w:pPr>
        <w:pStyle w:val="ListParagraph"/>
        <w:numPr>
          <w:ilvl w:val="0"/>
          <w:numId w:val="92"/>
        </w:numPr>
        <w:jc w:val="both"/>
        <w:rPr>
          <w:rFonts w:ascii="Times New Roman" w:hAnsi="Times New Roman"/>
          <w:noProof/>
          <w:sz w:val="24"/>
          <w:lang w:val="en-GB"/>
        </w:rPr>
      </w:pPr>
      <w:r w:rsidRPr="008704BD">
        <w:rPr>
          <w:rFonts w:ascii="Times New Roman" w:hAnsi="Times New Roman"/>
          <w:noProof/>
          <w:sz w:val="24"/>
          <w:lang w:val="en-GB"/>
        </w:rPr>
        <w:t>One-off, substantive compliance costs, incurred when a new (IT) system is introduced or when the existing one is being updated (i.e. development costs).</w:t>
      </w:r>
    </w:p>
    <w:p w14:paraId="29E39337" w14:textId="77777777" w:rsidR="00572424" w:rsidRPr="008704BD" w:rsidRDefault="6D57961E" w:rsidP="1314CC47">
      <w:pPr>
        <w:pStyle w:val="ListParagraph"/>
        <w:numPr>
          <w:ilvl w:val="0"/>
          <w:numId w:val="92"/>
        </w:numPr>
        <w:jc w:val="both"/>
        <w:rPr>
          <w:rFonts w:ascii="Times New Roman" w:hAnsi="Times New Roman"/>
          <w:noProof/>
          <w:sz w:val="24"/>
          <w:lang w:val="en-GB"/>
        </w:rPr>
      </w:pPr>
      <w:r w:rsidRPr="008704BD">
        <w:rPr>
          <w:rFonts w:ascii="Times New Roman" w:hAnsi="Times New Roman"/>
          <w:noProof/>
          <w:sz w:val="24"/>
          <w:lang w:val="en-GB"/>
        </w:rPr>
        <w:t>Recurrent administrative and, for tax administrations,</w:t>
      </w:r>
      <w:r w:rsidR="10E629B6" w:rsidRPr="008704BD">
        <w:rPr>
          <w:rFonts w:ascii="Times New Roman" w:hAnsi="Times New Roman"/>
          <w:noProof/>
          <w:sz w:val="24"/>
          <w:lang w:val="en-GB"/>
        </w:rPr>
        <w:t xml:space="preserve"> compliance measure</w:t>
      </w:r>
      <w:r w:rsidRPr="008704BD">
        <w:rPr>
          <w:rFonts w:ascii="Times New Roman" w:hAnsi="Times New Roman"/>
          <w:noProof/>
          <w:sz w:val="24"/>
          <w:lang w:val="en-GB"/>
        </w:rPr>
        <w:t xml:space="preserve"> costs, to operate the systems once it has been set up and to ensure it works as expected. </w:t>
      </w:r>
    </w:p>
    <w:p w14:paraId="1A937EE6" w14:textId="765E6F1C" w:rsidR="00572424" w:rsidRPr="008704BD" w:rsidRDefault="00630A3F" w:rsidP="02355236">
      <w:pPr>
        <w:jc w:val="both"/>
        <w:rPr>
          <w:rFonts w:ascii="Times New Roman" w:hAnsi="Times New Roman"/>
          <w:noProof/>
          <w:sz w:val="24"/>
          <w:szCs w:val="24"/>
          <w:lang w:val="en-GB"/>
        </w:rPr>
      </w:pPr>
      <w:r w:rsidRPr="02355236">
        <w:rPr>
          <w:rFonts w:ascii="Times New Roman" w:hAnsi="Times New Roman"/>
          <w:noProof/>
          <w:sz w:val="24"/>
          <w:szCs w:val="24"/>
          <w:lang w:val="en-GB"/>
        </w:rPr>
        <w:t>The cost analysis is built upon the costs of setting up and operating DAC2,</w:t>
      </w:r>
      <w:r w:rsidRPr="02355236">
        <w:rPr>
          <w:rStyle w:val="FootnoteReference"/>
          <w:rFonts w:ascii="Times New Roman" w:hAnsi="Times New Roman"/>
          <w:noProof/>
          <w:sz w:val="24"/>
          <w:szCs w:val="24"/>
          <w:lang w:val="en-GB"/>
        </w:rPr>
        <w:footnoteReference w:id="39"/>
      </w:r>
      <w:r w:rsidRPr="02355236">
        <w:rPr>
          <w:rFonts w:ascii="Times New Roman" w:hAnsi="Times New Roman"/>
          <w:noProof/>
          <w:sz w:val="24"/>
          <w:szCs w:val="24"/>
          <w:lang w:val="en-GB"/>
        </w:rPr>
        <w:t xml:space="preserve"> which resemble</w:t>
      </w:r>
      <w:r w:rsidR="00483485" w:rsidRPr="2595CA78">
        <w:rPr>
          <w:rFonts w:ascii="Times New Roman" w:hAnsi="Times New Roman"/>
          <w:noProof/>
          <w:sz w:val="24"/>
          <w:szCs w:val="24"/>
          <w:lang w:val="en-GB"/>
        </w:rPr>
        <w:t>s</w:t>
      </w:r>
      <w:r w:rsidRPr="02355236">
        <w:rPr>
          <w:rFonts w:ascii="Times New Roman" w:hAnsi="Times New Roman"/>
          <w:noProof/>
          <w:sz w:val="24"/>
          <w:szCs w:val="24"/>
          <w:lang w:val="en-GB"/>
        </w:rPr>
        <w:t xml:space="preserve"> most of the reporting obligations of this initiative. Additionally, the IT costs for tax administrations</w:t>
      </w:r>
      <w:r w:rsidR="00334961" w:rsidRPr="02355236">
        <w:rPr>
          <w:rFonts w:ascii="Times New Roman" w:hAnsi="Times New Roman"/>
          <w:noProof/>
          <w:sz w:val="24"/>
          <w:szCs w:val="24"/>
          <w:lang w:val="en-GB"/>
        </w:rPr>
        <w:t xml:space="preserve"> (see Annex 5)</w:t>
      </w:r>
      <w:r w:rsidRPr="02355236">
        <w:rPr>
          <w:rFonts w:ascii="Times New Roman" w:hAnsi="Times New Roman"/>
          <w:noProof/>
          <w:sz w:val="24"/>
          <w:szCs w:val="24"/>
          <w:lang w:val="en-GB"/>
        </w:rPr>
        <w:t xml:space="preserve"> </w:t>
      </w:r>
      <w:r w:rsidR="00334961" w:rsidRPr="02355236">
        <w:rPr>
          <w:rFonts w:ascii="Times New Roman" w:hAnsi="Times New Roman"/>
          <w:noProof/>
          <w:sz w:val="24"/>
          <w:szCs w:val="24"/>
          <w:lang w:val="en-GB"/>
        </w:rPr>
        <w:t>have been</w:t>
      </w:r>
      <w:r w:rsidRPr="02355236">
        <w:rPr>
          <w:rFonts w:ascii="Times New Roman" w:hAnsi="Times New Roman"/>
          <w:noProof/>
          <w:sz w:val="24"/>
          <w:szCs w:val="24"/>
          <w:lang w:val="en-GB"/>
        </w:rPr>
        <w:t xml:space="preserve"> predicted with a relatively higher degree of precision due to the experience gained with previous amendments of the DAC. Even so, these calculations must overall be approached with caution considering the absence of precise information on the market structure and scope of the transactions on the market. However, since the costs estimates must consider specificities of the crypto-market, additional assumptions and extrapolations had to be introduced. These were based on </w:t>
      </w:r>
      <w:r w:rsidR="00572424" w:rsidRPr="02355236">
        <w:rPr>
          <w:rFonts w:ascii="Times New Roman" w:hAnsi="Times New Roman"/>
          <w:noProof/>
          <w:sz w:val="24"/>
          <w:szCs w:val="24"/>
          <w:lang w:val="en-GB"/>
        </w:rPr>
        <w:t>the analytical documents and statistics from Chainalysis (</w:t>
      </w:r>
      <w:r w:rsidRPr="02355236">
        <w:rPr>
          <w:rFonts w:ascii="Times New Roman" w:hAnsi="Times New Roman"/>
          <w:noProof/>
          <w:sz w:val="24"/>
          <w:szCs w:val="24"/>
          <w:lang w:val="en-GB"/>
        </w:rPr>
        <w:t>a blockchain data platform</w:t>
      </w:r>
      <w:r w:rsidR="00572424" w:rsidRPr="02355236">
        <w:rPr>
          <w:rFonts w:ascii="Times New Roman" w:hAnsi="Times New Roman"/>
          <w:noProof/>
          <w:sz w:val="24"/>
          <w:szCs w:val="24"/>
          <w:lang w:val="en-GB"/>
        </w:rPr>
        <w:t>), Binance (</w:t>
      </w:r>
      <w:r w:rsidR="00355934" w:rsidRPr="02355236">
        <w:rPr>
          <w:rFonts w:ascii="Times New Roman" w:hAnsi="Times New Roman"/>
          <w:noProof/>
          <w:sz w:val="24"/>
          <w:szCs w:val="24"/>
          <w:lang w:val="en-GB"/>
        </w:rPr>
        <w:t>a crypto-currency exchange</w:t>
      </w:r>
      <w:r w:rsidR="00572424" w:rsidRPr="02355236">
        <w:rPr>
          <w:rFonts w:ascii="Times New Roman" w:hAnsi="Times New Roman"/>
          <w:noProof/>
          <w:sz w:val="24"/>
          <w:szCs w:val="24"/>
          <w:lang w:val="en-GB"/>
        </w:rPr>
        <w:t>) and Coin Market Cap</w:t>
      </w:r>
      <w:r w:rsidR="00355934" w:rsidRPr="02355236">
        <w:rPr>
          <w:rFonts w:ascii="Times New Roman" w:hAnsi="Times New Roman"/>
          <w:noProof/>
          <w:sz w:val="24"/>
          <w:szCs w:val="24"/>
          <w:lang w:val="en-GB"/>
        </w:rPr>
        <w:t xml:space="preserve"> (a price-tracking website for crypto-assets)</w:t>
      </w:r>
      <w:r w:rsidR="00572424" w:rsidRPr="02355236">
        <w:rPr>
          <w:rFonts w:ascii="Times New Roman" w:hAnsi="Times New Roman"/>
          <w:noProof/>
          <w:sz w:val="24"/>
          <w:szCs w:val="24"/>
          <w:lang w:val="en-GB"/>
        </w:rPr>
        <w:t xml:space="preserve">. </w:t>
      </w:r>
      <w:r w:rsidRPr="02355236">
        <w:rPr>
          <w:rFonts w:ascii="Times New Roman" w:hAnsi="Times New Roman"/>
          <w:noProof/>
          <w:sz w:val="24"/>
          <w:szCs w:val="24"/>
          <w:lang w:val="en-GB"/>
        </w:rPr>
        <w:t xml:space="preserve">The need for combining various sources of information is a result of the restricted availability of data, which consequently reduces the </w:t>
      </w:r>
      <w:r w:rsidR="00D13712" w:rsidRPr="02355236">
        <w:rPr>
          <w:rFonts w:ascii="Times New Roman" w:hAnsi="Times New Roman"/>
          <w:noProof/>
          <w:sz w:val="24"/>
          <w:szCs w:val="24"/>
          <w:lang w:val="en-GB"/>
        </w:rPr>
        <w:t xml:space="preserve">overall </w:t>
      </w:r>
      <w:r w:rsidRPr="02355236">
        <w:rPr>
          <w:rFonts w:ascii="Times New Roman" w:hAnsi="Times New Roman"/>
          <w:noProof/>
          <w:sz w:val="24"/>
          <w:szCs w:val="24"/>
          <w:lang w:val="en-GB"/>
        </w:rPr>
        <w:t xml:space="preserve">certainty of the projected costs. The computed estimates are therefore indirect and as such, fragile. </w:t>
      </w:r>
      <w:r w:rsidR="00572424" w:rsidRPr="02355236">
        <w:rPr>
          <w:rFonts w:ascii="Times New Roman" w:hAnsi="Times New Roman"/>
          <w:noProof/>
          <w:sz w:val="24"/>
          <w:szCs w:val="24"/>
          <w:lang w:val="en-GB"/>
        </w:rPr>
        <w:t>Annex 4 provides additional information on the categories of costs and benefits and on the assumptions made.</w:t>
      </w:r>
    </w:p>
    <w:p w14:paraId="2777EFD5" w14:textId="77777777" w:rsidR="00572424" w:rsidRPr="008704BD" w:rsidRDefault="00572424" w:rsidP="00572424">
      <w:pPr>
        <w:jc w:val="both"/>
        <w:rPr>
          <w:rFonts w:ascii="Times New Roman" w:hAnsi="Times New Roman"/>
          <w:noProof/>
          <w:sz w:val="24"/>
          <w:lang w:val="en-GB"/>
        </w:rPr>
      </w:pPr>
      <w:r w:rsidRPr="008704BD">
        <w:rPr>
          <w:rFonts w:ascii="Times New Roman" w:hAnsi="Times New Roman"/>
          <w:noProof/>
          <w:sz w:val="24"/>
          <w:lang w:val="en-GB"/>
        </w:rPr>
        <w:t xml:space="preserve">In order to quantify the costs for </w:t>
      </w:r>
      <w:r w:rsidR="7FBD06F1" w:rsidRPr="008704BD">
        <w:rPr>
          <w:rFonts w:ascii="Times New Roman" w:hAnsi="Times New Roman"/>
          <w:noProof/>
          <w:sz w:val="24"/>
          <w:lang w:val="en-GB"/>
        </w:rPr>
        <w:t>service</w:t>
      </w:r>
      <w:r w:rsidRPr="008704BD">
        <w:rPr>
          <w:rFonts w:ascii="Times New Roman" w:hAnsi="Times New Roman"/>
          <w:noProof/>
          <w:sz w:val="24"/>
          <w:lang w:val="en-GB"/>
        </w:rPr>
        <w:t xml:space="preserve"> providers, as well as tax administrations, the following </w:t>
      </w:r>
      <w:r w:rsidR="003344C5" w:rsidRPr="008704BD">
        <w:rPr>
          <w:rFonts w:ascii="Times New Roman" w:hAnsi="Times New Roman"/>
          <w:noProof/>
          <w:sz w:val="24"/>
          <w:lang w:val="en-GB"/>
        </w:rPr>
        <w:t xml:space="preserve">factors </w:t>
      </w:r>
      <w:r w:rsidRPr="008704BD">
        <w:rPr>
          <w:rFonts w:ascii="Times New Roman" w:hAnsi="Times New Roman"/>
          <w:noProof/>
          <w:sz w:val="24"/>
          <w:lang w:val="en-GB"/>
        </w:rPr>
        <w:t>needed to be estimated:</w:t>
      </w:r>
    </w:p>
    <w:p w14:paraId="3F3893A6" w14:textId="77777777" w:rsidR="00572424" w:rsidRPr="008704BD" w:rsidRDefault="6D57961E" w:rsidP="006E5F59">
      <w:pPr>
        <w:pStyle w:val="ListParagraph"/>
        <w:numPr>
          <w:ilvl w:val="0"/>
          <w:numId w:val="68"/>
        </w:numPr>
        <w:spacing w:after="200" w:line="276" w:lineRule="auto"/>
        <w:jc w:val="both"/>
        <w:rPr>
          <w:rFonts w:ascii="Times New Roman" w:hAnsi="Times New Roman"/>
          <w:noProof/>
          <w:sz w:val="24"/>
          <w:lang w:val="en-GB"/>
        </w:rPr>
      </w:pPr>
      <w:r w:rsidRPr="008704BD">
        <w:rPr>
          <w:rFonts w:ascii="Times New Roman" w:hAnsi="Times New Roman"/>
          <w:noProof/>
          <w:sz w:val="24"/>
          <w:lang w:val="en-GB"/>
        </w:rPr>
        <w:t>The number of service providers (and accounts) facilitating transactions. Such a figure may vary depending on whether there are exemptions and thresholds. If the overall scope is broad and some exemptions are introduced, the number of reportable service providers will be lower than if the scope were without exemptions.</w:t>
      </w:r>
    </w:p>
    <w:p w14:paraId="788515E7" w14:textId="77777777" w:rsidR="00572424" w:rsidRPr="008704BD" w:rsidRDefault="6D57961E" w:rsidP="006E5F59">
      <w:pPr>
        <w:pStyle w:val="ListParagraph"/>
        <w:numPr>
          <w:ilvl w:val="0"/>
          <w:numId w:val="68"/>
        </w:numPr>
        <w:spacing w:after="200" w:line="276" w:lineRule="auto"/>
        <w:jc w:val="both"/>
        <w:rPr>
          <w:rFonts w:ascii="Times New Roman" w:hAnsi="Times New Roman"/>
          <w:noProof/>
          <w:sz w:val="24"/>
          <w:lang w:val="en-GB"/>
        </w:rPr>
      </w:pPr>
      <w:r w:rsidRPr="008704BD">
        <w:rPr>
          <w:rFonts w:ascii="Times New Roman" w:hAnsi="Times New Roman"/>
          <w:noProof/>
          <w:sz w:val="24"/>
          <w:lang w:val="en-GB"/>
        </w:rPr>
        <w:t xml:space="preserve">The cost of complying with the </w:t>
      </w:r>
      <w:r w:rsidR="7AD3880E" w:rsidRPr="008704BD">
        <w:rPr>
          <w:rFonts w:ascii="Times New Roman" w:hAnsi="Times New Roman"/>
          <w:noProof/>
          <w:sz w:val="24"/>
          <w:lang w:val="en-GB"/>
        </w:rPr>
        <w:t>initiative</w:t>
      </w:r>
      <w:r w:rsidRPr="008704BD">
        <w:rPr>
          <w:rFonts w:ascii="Times New Roman" w:hAnsi="Times New Roman"/>
          <w:noProof/>
          <w:sz w:val="24"/>
          <w:lang w:val="en-GB"/>
        </w:rPr>
        <w:t>, ideally per service provider and tax administration. The hypothesis is that, the more users (i.e. accounts) a certain provider has, the higher the costs. Therefore, providers with a relatively low number of accounts will bear lower costs than larger market players. At the same time, we would expect</w:t>
      </w:r>
      <w:r w:rsidR="743EE13A" w:rsidRPr="008704BD">
        <w:rPr>
          <w:rFonts w:ascii="Times New Roman" w:hAnsi="Times New Roman"/>
          <w:noProof/>
          <w:sz w:val="24"/>
          <w:lang w:val="en-GB"/>
        </w:rPr>
        <w:t xml:space="preserve"> that</w:t>
      </w:r>
      <w:r w:rsidRPr="008704BD">
        <w:rPr>
          <w:rFonts w:ascii="Times New Roman" w:hAnsi="Times New Roman"/>
          <w:noProof/>
          <w:sz w:val="24"/>
          <w:lang w:val="en-GB"/>
        </w:rPr>
        <w:t xml:space="preserve"> the costs, one-off and recurrent, for one tax administration running controls on a higher number of accounts to be higher than for an administration running controls on fewer of them.  </w:t>
      </w:r>
    </w:p>
    <w:p w14:paraId="24A62D84" w14:textId="77777777" w:rsidR="00572424" w:rsidRPr="008704BD" w:rsidRDefault="00572424" w:rsidP="70975031">
      <w:pPr>
        <w:jc w:val="both"/>
        <w:rPr>
          <w:rFonts w:ascii="Times New Roman" w:hAnsi="Times New Roman"/>
          <w:noProof/>
          <w:sz w:val="24"/>
          <w:lang w:val="en-GB"/>
        </w:rPr>
      </w:pPr>
      <w:r w:rsidRPr="008704BD">
        <w:rPr>
          <w:rFonts w:ascii="Times New Roman" w:hAnsi="Times New Roman"/>
          <w:noProof/>
          <w:sz w:val="24"/>
          <w:lang w:val="en-GB"/>
        </w:rPr>
        <w:t xml:space="preserve">We estimate that there are around </w:t>
      </w:r>
      <w:r w:rsidR="001A1751">
        <w:rPr>
          <w:rFonts w:ascii="Times New Roman" w:hAnsi="Times New Roman"/>
          <w:noProof/>
          <w:sz w:val="24"/>
          <w:lang w:val="en-GB"/>
        </w:rPr>
        <w:t>1</w:t>
      </w:r>
      <w:r w:rsidR="00D3096A">
        <w:rPr>
          <w:rFonts w:ascii="Times New Roman" w:hAnsi="Times New Roman"/>
          <w:noProof/>
          <w:sz w:val="24"/>
          <w:lang w:val="en-GB"/>
        </w:rPr>
        <w:t>68</w:t>
      </w:r>
      <w:r w:rsidRPr="008704BD">
        <w:rPr>
          <w:rFonts w:ascii="Times New Roman" w:hAnsi="Times New Roman"/>
          <w:noProof/>
          <w:sz w:val="24"/>
          <w:lang w:val="en-GB"/>
        </w:rPr>
        <w:t xml:space="preserve"> CASPs </w:t>
      </w:r>
      <w:r w:rsidR="00A40BD0">
        <w:rPr>
          <w:rFonts w:ascii="Times New Roman" w:hAnsi="Times New Roman"/>
          <w:noProof/>
          <w:sz w:val="24"/>
          <w:lang w:val="en-GB"/>
        </w:rPr>
        <w:t>with EU users</w:t>
      </w:r>
      <w:r w:rsidRPr="008704BD">
        <w:rPr>
          <w:rFonts w:ascii="Times New Roman" w:hAnsi="Times New Roman"/>
          <w:noProof/>
          <w:sz w:val="24"/>
          <w:lang w:val="en-GB"/>
        </w:rPr>
        <w:t>. In addition to this, we quantify the number of active accounts under the available service providers. It should be noted that for the sake of estimation</w:t>
      </w:r>
      <w:r w:rsidR="00774EEF" w:rsidRPr="008704BD">
        <w:rPr>
          <w:rFonts w:ascii="Times New Roman" w:hAnsi="Times New Roman"/>
          <w:noProof/>
          <w:sz w:val="24"/>
          <w:lang w:val="en-GB"/>
        </w:rPr>
        <w:t>,</w:t>
      </w:r>
      <w:r w:rsidRPr="008704BD">
        <w:rPr>
          <w:rFonts w:ascii="Times New Roman" w:hAnsi="Times New Roman"/>
          <w:noProof/>
          <w:sz w:val="24"/>
          <w:lang w:val="en-GB"/>
        </w:rPr>
        <w:t xml:space="preserve"> we use the available data on Bitcoin users (for CASPs). There, we</w:t>
      </w:r>
      <w:r w:rsidRPr="008704BD" w:rsidDel="001030E9">
        <w:rPr>
          <w:rFonts w:ascii="Times New Roman" w:hAnsi="Times New Roman"/>
          <w:noProof/>
          <w:sz w:val="24"/>
          <w:lang w:val="en-GB"/>
        </w:rPr>
        <w:t xml:space="preserve"> </w:t>
      </w:r>
      <w:r w:rsidR="001030E9" w:rsidRPr="008704BD">
        <w:rPr>
          <w:rFonts w:ascii="Times New Roman" w:hAnsi="Times New Roman"/>
          <w:noProof/>
          <w:sz w:val="24"/>
          <w:lang w:val="en-GB"/>
        </w:rPr>
        <w:t xml:space="preserve">assume that </w:t>
      </w:r>
      <w:r w:rsidRPr="008704BD">
        <w:rPr>
          <w:rFonts w:ascii="Times New Roman" w:hAnsi="Times New Roman"/>
          <w:noProof/>
          <w:sz w:val="24"/>
          <w:lang w:val="en-GB"/>
        </w:rPr>
        <w:t>the number of accounts</w:t>
      </w:r>
      <w:r w:rsidRPr="008704BD" w:rsidDel="001030E9">
        <w:rPr>
          <w:rFonts w:ascii="Times New Roman" w:hAnsi="Times New Roman"/>
          <w:noProof/>
          <w:sz w:val="24"/>
          <w:lang w:val="en-GB"/>
        </w:rPr>
        <w:t xml:space="preserve"> </w:t>
      </w:r>
      <w:r w:rsidR="001030E9" w:rsidRPr="008704BD">
        <w:rPr>
          <w:rFonts w:ascii="Times New Roman" w:hAnsi="Times New Roman"/>
          <w:noProof/>
          <w:sz w:val="24"/>
          <w:lang w:val="en-GB"/>
        </w:rPr>
        <w:t xml:space="preserve">equals </w:t>
      </w:r>
      <w:r w:rsidRPr="008704BD">
        <w:rPr>
          <w:rFonts w:ascii="Times New Roman" w:hAnsi="Times New Roman"/>
          <w:noProof/>
          <w:sz w:val="24"/>
          <w:lang w:val="en-GB"/>
        </w:rPr>
        <w:t xml:space="preserve">the number of users, even though having one or more accounts per user and investing in other cryptocurrencies on top of Bitcoin remains a possibility. </w:t>
      </w:r>
      <w:r w:rsidR="108D6895" w:rsidRPr="008704BD">
        <w:rPr>
          <w:rFonts w:ascii="Times New Roman" w:hAnsi="Times New Roman"/>
          <w:noProof/>
          <w:sz w:val="24"/>
          <w:lang w:val="en-GB"/>
        </w:rPr>
        <w:t>Furthermore, in the absence of precise market data on crypto-assets, we have assumed that each asset category to be excluded represented a 3% market share</w:t>
      </w:r>
      <w:r w:rsidR="00A40BD0">
        <w:rPr>
          <w:rFonts w:ascii="Times New Roman" w:hAnsi="Times New Roman"/>
          <w:noProof/>
          <w:sz w:val="24"/>
          <w:lang w:val="en-GB"/>
        </w:rPr>
        <w:t xml:space="preserve"> (similar to benefit estimation)</w:t>
      </w:r>
      <w:r w:rsidR="108D6895" w:rsidRPr="008704BD">
        <w:rPr>
          <w:rFonts w:ascii="Times New Roman" w:hAnsi="Times New Roman"/>
          <w:noProof/>
          <w:sz w:val="24"/>
          <w:lang w:val="en-GB"/>
        </w:rPr>
        <w:t xml:space="preserve">. </w:t>
      </w:r>
      <w:r w:rsidR="006D7556" w:rsidRPr="008704BD">
        <w:rPr>
          <w:rFonts w:ascii="Times New Roman" w:hAnsi="Times New Roman"/>
          <w:noProof/>
          <w:sz w:val="24"/>
          <w:lang w:val="en-GB"/>
        </w:rPr>
        <w:t>Given</w:t>
      </w:r>
      <w:r w:rsidR="00EB418F" w:rsidRPr="008704BD">
        <w:rPr>
          <w:rFonts w:ascii="Times New Roman" w:hAnsi="Times New Roman"/>
          <w:noProof/>
          <w:sz w:val="24"/>
          <w:lang w:val="en-GB"/>
        </w:rPr>
        <w:t xml:space="preserve"> that</w:t>
      </w:r>
      <w:r w:rsidR="00945BDC" w:rsidRPr="008704BD" w:rsidDel="00EB418F">
        <w:rPr>
          <w:rFonts w:ascii="Times New Roman" w:hAnsi="Times New Roman"/>
          <w:noProof/>
          <w:sz w:val="24"/>
          <w:lang w:val="en-GB"/>
        </w:rPr>
        <w:t xml:space="preserve"> </w:t>
      </w:r>
      <w:r w:rsidR="00D31078" w:rsidRPr="008704BD">
        <w:rPr>
          <w:rFonts w:ascii="Times New Roman" w:hAnsi="Times New Roman"/>
          <w:noProof/>
          <w:sz w:val="24"/>
          <w:lang w:val="en-GB"/>
        </w:rPr>
        <w:t xml:space="preserve">two </w:t>
      </w:r>
      <w:r w:rsidR="00EB418F" w:rsidRPr="008704BD">
        <w:rPr>
          <w:rFonts w:ascii="Times New Roman" w:hAnsi="Times New Roman"/>
          <w:noProof/>
          <w:sz w:val="24"/>
          <w:lang w:val="en-GB"/>
        </w:rPr>
        <w:t xml:space="preserve">types of </w:t>
      </w:r>
      <w:r w:rsidR="108D6895" w:rsidRPr="008704BD">
        <w:rPr>
          <w:rFonts w:ascii="Times New Roman" w:hAnsi="Times New Roman"/>
          <w:noProof/>
          <w:sz w:val="24"/>
          <w:lang w:val="en-GB"/>
        </w:rPr>
        <w:t>asset</w:t>
      </w:r>
      <w:r w:rsidR="00EB418F" w:rsidRPr="008704BD">
        <w:rPr>
          <w:rFonts w:ascii="Times New Roman" w:hAnsi="Times New Roman"/>
          <w:noProof/>
          <w:sz w:val="24"/>
          <w:lang w:val="en-GB"/>
        </w:rPr>
        <w:t>s</w:t>
      </w:r>
      <w:r w:rsidR="108D6895" w:rsidRPr="008704BD">
        <w:rPr>
          <w:rFonts w:ascii="Times New Roman" w:hAnsi="Times New Roman"/>
          <w:noProof/>
          <w:sz w:val="24"/>
          <w:lang w:val="en-GB"/>
        </w:rPr>
        <w:t xml:space="preserve"> </w:t>
      </w:r>
      <w:r w:rsidR="00D31078" w:rsidRPr="008704BD">
        <w:rPr>
          <w:rFonts w:ascii="Times New Roman" w:hAnsi="Times New Roman"/>
          <w:noProof/>
          <w:sz w:val="24"/>
          <w:lang w:val="en-GB"/>
        </w:rPr>
        <w:t>are</w:t>
      </w:r>
      <w:r w:rsidR="108D6895" w:rsidRPr="008704BD">
        <w:rPr>
          <w:rFonts w:ascii="Times New Roman" w:hAnsi="Times New Roman"/>
          <w:noProof/>
          <w:sz w:val="24"/>
          <w:lang w:val="en-GB"/>
        </w:rPr>
        <w:t xml:space="preserve"> to be excluded</w:t>
      </w:r>
      <w:r w:rsidR="006D7556" w:rsidRPr="008704BD">
        <w:rPr>
          <w:rFonts w:ascii="Times New Roman" w:hAnsi="Times New Roman"/>
          <w:noProof/>
          <w:sz w:val="24"/>
          <w:lang w:val="en-GB"/>
        </w:rPr>
        <w:t>, this represents</w:t>
      </w:r>
      <w:r w:rsidR="108D6895" w:rsidRPr="008704BD">
        <w:rPr>
          <w:rFonts w:ascii="Times New Roman" w:hAnsi="Times New Roman"/>
          <w:noProof/>
          <w:sz w:val="24"/>
          <w:lang w:val="en-GB"/>
        </w:rPr>
        <w:t xml:space="preserve"> </w:t>
      </w:r>
      <w:r w:rsidR="00D31078" w:rsidRPr="008704BD">
        <w:rPr>
          <w:rFonts w:ascii="Times New Roman" w:hAnsi="Times New Roman"/>
          <w:noProof/>
          <w:sz w:val="24"/>
          <w:lang w:val="en-GB"/>
        </w:rPr>
        <w:t>6</w:t>
      </w:r>
      <w:r w:rsidR="108D6895" w:rsidRPr="008704BD">
        <w:rPr>
          <w:rFonts w:ascii="Times New Roman" w:hAnsi="Times New Roman"/>
          <w:noProof/>
          <w:sz w:val="24"/>
          <w:lang w:val="en-GB"/>
        </w:rPr>
        <w:t xml:space="preserve">%. </w:t>
      </w:r>
      <w:r w:rsidR="001A1751">
        <w:rPr>
          <w:rFonts w:ascii="Times New Roman" w:hAnsi="Times New Roman"/>
          <w:noProof/>
          <w:sz w:val="24"/>
          <w:lang w:val="en-GB"/>
        </w:rPr>
        <w:t xml:space="preserve">A sensitivity analysis has been performed as well to account </w:t>
      </w:r>
      <w:r w:rsidR="0022307E">
        <w:rPr>
          <w:rFonts w:ascii="Times New Roman" w:hAnsi="Times New Roman"/>
          <w:noProof/>
          <w:sz w:val="24"/>
          <w:lang w:val="en-GB"/>
        </w:rPr>
        <w:t xml:space="preserve">for </w:t>
      </w:r>
      <w:r w:rsidR="001A1751">
        <w:rPr>
          <w:rFonts w:ascii="Times New Roman" w:hAnsi="Times New Roman"/>
          <w:noProof/>
          <w:sz w:val="24"/>
          <w:lang w:val="en-GB"/>
        </w:rPr>
        <w:t xml:space="preserve">crypto-asset value volatility that may affect the customer base of a CASP, and for the possibility of providing additional information (second round requests) to the tax administrations should they ask for it explicitly. </w:t>
      </w:r>
    </w:p>
    <w:p w14:paraId="162CD854" w14:textId="77777777" w:rsidR="00572424" w:rsidRPr="008704BD" w:rsidRDefault="00E135E0" w:rsidP="00572424">
      <w:pPr>
        <w:jc w:val="both"/>
        <w:rPr>
          <w:rFonts w:ascii="Times New Roman" w:hAnsi="Times New Roman"/>
          <w:noProof/>
          <w:sz w:val="24"/>
          <w:lang w:val="en-GB"/>
        </w:rPr>
      </w:pPr>
      <w:r w:rsidRPr="008704BD">
        <w:rPr>
          <w:rFonts w:ascii="Times New Roman" w:hAnsi="Times New Roman"/>
          <w:noProof/>
          <w:sz w:val="24"/>
          <w:lang w:val="en-GB"/>
        </w:rPr>
        <w:t>T</w:t>
      </w:r>
      <w:r w:rsidR="00971E19" w:rsidRPr="008704BD">
        <w:rPr>
          <w:rFonts w:ascii="Times New Roman" w:hAnsi="Times New Roman"/>
          <w:noProof/>
          <w:sz w:val="24"/>
          <w:lang w:val="en-GB"/>
        </w:rPr>
        <w:t xml:space="preserve">he table </w:t>
      </w:r>
      <w:r w:rsidR="00572424" w:rsidRPr="008704BD">
        <w:rPr>
          <w:rFonts w:ascii="Times New Roman" w:hAnsi="Times New Roman"/>
          <w:noProof/>
          <w:sz w:val="24"/>
          <w:lang w:val="en-GB"/>
        </w:rPr>
        <w:t>below show</w:t>
      </w:r>
      <w:r w:rsidR="007015F7" w:rsidRPr="008704BD">
        <w:rPr>
          <w:rFonts w:ascii="Times New Roman" w:hAnsi="Times New Roman"/>
          <w:noProof/>
          <w:sz w:val="24"/>
          <w:lang w:val="en-GB"/>
        </w:rPr>
        <w:t>s</w:t>
      </w:r>
      <w:r w:rsidR="00572424" w:rsidRPr="008704BD">
        <w:rPr>
          <w:rFonts w:ascii="Times New Roman" w:hAnsi="Times New Roman"/>
          <w:noProof/>
          <w:sz w:val="24"/>
          <w:lang w:val="en-GB"/>
        </w:rPr>
        <w:t xml:space="preserve"> the summary of the estimated costs</w:t>
      </w:r>
      <w:r w:rsidRPr="008704BD">
        <w:rPr>
          <w:rFonts w:ascii="Times New Roman" w:hAnsi="Times New Roman"/>
          <w:noProof/>
          <w:sz w:val="24"/>
          <w:lang w:val="en-GB"/>
        </w:rPr>
        <w:t xml:space="preserve"> for CASPs</w:t>
      </w:r>
      <w:r w:rsidR="00572424" w:rsidRPr="008704BD">
        <w:rPr>
          <w:rFonts w:ascii="Times New Roman" w:hAnsi="Times New Roman"/>
          <w:noProof/>
          <w:sz w:val="24"/>
          <w:lang w:val="en-GB"/>
        </w:rPr>
        <w:t>.</w:t>
      </w:r>
      <w:r w:rsidRPr="008704BD">
        <w:rPr>
          <w:rFonts w:ascii="Times New Roman" w:hAnsi="Times New Roman"/>
          <w:noProof/>
          <w:sz w:val="24"/>
          <w:lang w:val="en-GB"/>
        </w:rPr>
        <w:t xml:space="preserve"> To estimate these, several assumptions have been used (see Annex 4). Detailed information in relation to the policy options considered is provided in the next section.</w:t>
      </w:r>
    </w:p>
    <w:p w14:paraId="5173CAE8" w14:textId="77777777" w:rsidR="00572424" w:rsidRPr="008704BD" w:rsidRDefault="00572424" w:rsidP="00572424">
      <w:pPr>
        <w:pStyle w:val="Caption"/>
        <w:keepNext/>
        <w:rPr>
          <w:noProof/>
          <w:sz w:val="24"/>
        </w:rPr>
      </w:pPr>
      <w:r w:rsidRPr="008704BD">
        <w:rPr>
          <w:noProof/>
          <w:sz w:val="24"/>
        </w:rPr>
        <w:t xml:space="preserve">Table </w:t>
      </w:r>
      <w:r w:rsidR="00931BFE">
        <w:rPr>
          <w:noProof/>
          <w:sz w:val="24"/>
        </w:rPr>
        <w:t>6</w:t>
      </w:r>
      <w:r w:rsidRPr="008704BD">
        <w:rPr>
          <w:noProof/>
          <w:sz w:val="24"/>
        </w:rPr>
        <w:t xml:space="preserve"> Summary of estimated costs </w:t>
      </w:r>
      <w:r w:rsidR="00971E19" w:rsidRPr="008704BD">
        <w:rPr>
          <w:noProof/>
          <w:sz w:val="24"/>
        </w:rPr>
        <w:t xml:space="preserve">for </w:t>
      </w:r>
      <w:r w:rsidR="00652CEE" w:rsidRPr="008704BD">
        <w:rPr>
          <w:noProof/>
          <w:sz w:val="24"/>
        </w:rPr>
        <w:t>CASPs</w:t>
      </w:r>
      <w:r w:rsidR="001A1751">
        <w:rPr>
          <w:noProof/>
          <w:sz w:val="24"/>
        </w:rPr>
        <w:t xml:space="preserve"> and sensitivity analysis</w:t>
      </w:r>
      <w:r w:rsidRPr="008704BD">
        <w:rPr>
          <w:noProof/>
          <w:sz w:val="24"/>
        </w:rPr>
        <w:t xml:space="preserve"> (in EUR million)</w:t>
      </w:r>
    </w:p>
    <w:tbl>
      <w:tblPr>
        <w:tblStyle w:val="GridTable1Light-Accent11"/>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873"/>
        <w:gridCol w:w="874"/>
        <w:gridCol w:w="876"/>
        <w:gridCol w:w="876"/>
        <w:gridCol w:w="876"/>
        <w:gridCol w:w="874"/>
      </w:tblGrid>
      <w:tr w:rsidR="007103A2" w:rsidRPr="001D457D" w14:paraId="5666FDF9" w14:textId="77777777" w:rsidTr="00931BFE">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165" w:type="pct"/>
            <w:tcBorders>
              <w:top w:val="nil"/>
              <w:left w:val="nil"/>
            </w:tcBorders>
            <w:shd w:val="clear" w:color="auto" w:fill="auto"/>
            <w:vAlign w:val="center"/>
          </w:tcPr>
          <w:p w14:paraId="623C0F8E" w14:textId="77777777" w:rsidR="00652CEE" w:rsidRPr="008704BD" w:rsidRDefault="00652CEE" w:rsidP="00652CEE">
            <w:pPr>
              <w:jc w:val="center"/>
              <w:rPr>
                <w:rFonts w:ascii="Times New Roman" w:hAnsi="Times New Roman"/>
                <w:noProof/>
                <w:sz w:val="20"/>
              </w:rPr>
            </w:pPr>
          </w:p>
        </w:tc>
        <w:tc>
          <w:tcPr>
            <w:tcW w:w="1417" w:type="pct"/>
            <w:gridSpan w:val="3"/>
            <w:tcBorders>
              <w:bottom w:val="single" w:sz="4" w:space="0" w:color="auto"/>
            </w:tcBorders>
            <w:shd w:val="clear" w:color="auto" w:fill="auto"/>
            <w:vAlign w:val="center"/>
          </w:tcPr>
          <w:p w14:paraId="352D9C4B" w14:textId="77777777" w:rsidR="00652CEE" w:rsidRPr="00931BFE" w:rsidRDefault="00652CEE" w:rsidP="00652CEE">
            <w:pPr>
              <w:tabs>
                <w:tab w:val="num" w:pos="42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sz w:val="20"/>
                <w:szCs w:val="20"/>
              </w:rPr>
            </w:pPr>
            <w:r w:rsidRPr="00931BFE">
              <w:rPr>
                <w:rFonts w:ascii="Times New Roman" w:hAnsi="Times New Roman" w:cs="Times New Roman"/>
                <w:b w:val="0"/>
                <w:noProof/>
                <w:sz w:val="20"/>
                <w:szCs w:val="20"/>
              </w:rPr>
              <w:t>One-off</w:t>
            </w:r>
          </w:p>
        </w:tc>
        <w:tc>
          <w:tcPr>
            <w:tcW w:w="1419" w:type="pct"/>
            <w:gridSpan w:val="3"/>
            <w:tcBorders>
              <w:bottom w:val="single" w:sz="4" w:space="0" w:color="auto"/>
            </w:tcBorders>
            <w:shd w:val="clear" w:color="auto" w:fill="auto"/>
            <w:vAlign w:val="center"/>
          </w:tcPr>
          <w:p w14:paraId="31D1BDB1" w14:textId="77777777" w:rsidR="00652CEE" w:rsidRPr="00931BFE" w:rsidRDefault="00652CEE" w:rsidP="00652CEE">
            <w:pPr>
              <w:tabs>
                <w:tab w:val="num" w:pos="42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sz w:val="20"/>
                <w:szCs w:val="20"/>
              </w:rPr>
            </w:pPr>
            <w:r w:rsidRPr="00931BFE">
              <w:rPr>
                <w:rFonts w:ascii="Times New Roman" w:hAnsi="Times New Roman" w:cs="Times New Roman"/>
                <w:b w:val="0"/>
                <w:noProof/>
                <w:sz w:val="20"/>
                <w:szCs w:val="20"/>
              </w:rPr>
              <w:t>Recurrent</w:t>
            </w:r>
          </w:p>
        </w:tc>
      </w:tr>
      <w:tr w:rsidR="001D457D" w:rsidRPr="00D312CE" w14:paraId="10002431" w14:textId="77777777" w:rsidTr="001D457D">
        <w:trPr>
          <w:trHeight w:val="107"/>
        </w:trPr>
        <w:tc>
          <w:tcPr>
            <w:cnfStyle w:val="001000000000" w:firstRow="0" w:lastRow="0" w:firstColumn="1" w:lastColumn="0" w:oddVBand="0" w:evenVBand="0" w:oddHBand="0" w:evenHBand="0" w:firstRowFirstColumn="0" w:firstRowLastColumn="0" w:lastRowFirstColumn="0" w:lastRowLastColumn="0"/>
            <w:tcW w:w="2165" w:type="pct"/>
            <w:shd w:val="clear" w:color="auto" w:fill="auto"/>
            <w:vAlign w:val="center"/>
          </w:tcPr>
          <w:p w14:paraId="482A2F05" w14:textId="77777777" w:rsidR="001D457D" w:rsidRPr="008704BD" w:rsidRDefault="001D457D" w:rsidP="00652CEE">
            <w:pPr>
              <w:jc w:val="center"/>
              <w:rPr>
                <w:rFonts w:ascii="Times New Roman" w:hAnsi="Times New Roman"/>
                <w:noProof/>
                <w:sz w:val="20"/>
              </w:rPr>
            </w:pPr>
            <w:r>
              <w:rPr>
                <w:rFonts w:ascii="Times New Roman" w:hAnsi="Times New Roman"/>
                <w:noProof/>
                <w:sz w:val="20"/>
              </w:rPr>
              <w:t>Sensitivity interval</w:t>
            </w:r>
          </w:p>
        </w:tc>
        <w:tc>
          <w:tcPr>
            <w:tcW w:w="472" w:type="pct"/>
            <w:tcBorders>
              <w:top w:val="single" w:sz="4" w:space="0" w:color="auto"/>
            </w:tcBorders>
            <w:shd w:val="clear" w:color="auto" w:fill="auto"/>
            <w:vAlign w:val="center"/>
          </w:tcPr>
          <w:p w14:paraId="155AAC6F" w14:textId="77777777" w:rsidR="001D457D" w:rsidRPr="00A67E41" w:rsidRDefault="001D457D"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-10%</w:t>
            </w:r>
          </w:p>
        </w:tc>
        <w:tc>
          <w:tcPr>
            <w:tcW w:w="472" w:type="pct"/>
            <w:tcBorders>
              <w:top w:val="single" w:sz="4" w:space="0" w:color="auto"/>
            </w:tcBorders>
            <w:shd w:val="clear" w:color="auto" w:fill="auto"/>
            <w:vAlign w:val="center"/>
          </w:tcPr>
          <w:p w14:paraId="5295DB17" w14:textId="77777777" w:rsidR="001D457D" w:rsidRPr="00A67E41" w:rsidRDefault="001D4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0</w:t>
            </w:r>
          </w:p>
        </w:tc>
        <w:tc>
          <w:tcPr>
            <w:tcW w:w="473" w:type="pct"/>
            <w:tcBorders>
              <w:top w:val="single" w:sz="4" w:space="0" w:color="auto"/>
            </w:tcBorders>
            <w:shd w:val="clear" w:color="auto" w:fill="auto"/>
            <w:vAlign w:val="center"/>
          </w:tcPr>
          <w:p w14:paraId="5A02E71B" w14:textId="77777777" w:rsidR="001D457D" w:rsidRPr="00A67E41" w:rsidRDefault="001D4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+10%</w:t>
            </w:r>
          </w:p>
        </w:tc>
        <w:tc>
          <w:tcPr>
            <w:tcW w:w="473" w:type="pct"/>
            <w:tcBorders>
              <w:top w:val="single" w:sz="4" w:space="0" w:color="auto"/>
            </w:tcBorders>
            <w:shd w:val="clear" w:color="auto" w:fill="auto"/>
            <w:vAlign w:val="center"/>
          </w:tcPr>
          <w:p w14:paraId="3C68EA46" w14:textId="77777777" w:rsidR="001D457D" w:rsidRPr="00D312CE" w:rsidRDefault="001D457D"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-10%</w:t>
            </w:r>
          </w:p>
        </w:tc>
        <w:tc>
          <w:tcPr>
            <w:tcW w:w="473" w:type="pct"/>
            <w:tcBorders>
              <w:top w:val="single" w:sz="4" w:space="0" w:color="auto"/>
            </w:tcBorders>
            <w:shd w:val="clear" w:color="auto" w:fill="auto"/>
            <w:vAlign w:val="center"/>
          </w:tcPr>
          <w:p w14:paraId="1FF055C0" w14:textId="77777777" w:rsidR="001D457D" w:rsidRPr="00D312CE" w:rsidRDefault="001D4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0</w:t>
            </w:r>
          </w:p>
        </w:tc>
        <w:tc>
          <w:tcPr>
            <w:tcW w:w="472" w:type="pct"/>
            <w:tcBorders>
              <w:top w:val="single" w:sz="4" w:space="0" w:color="auto"/>
            </w:tcBorders>
            <w:shd w:val="clear" w:color="auto" w:fill="auto"/>
            <w:vAlign w:val="center"/>
          </w:tcPr>
          <w:p w14:paraId="621663D1" w14:textId="77777777" w:rsidR="001D457D" w:rsidRPr="00D312CE" w:rsidRDefault="001D4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+10%</w:t>
            </w:r>
          </w:p>
        </w:tc>
      </w:tr>
      <w:tr w:rsidR="001D457D" w:rsidRPr="00D312CE" w14:paraId="431FE738" w14:textId="77777777" w:rsidTr="00931BFE">
        <w:trPr>
          <w:trHeight w:val="303"/>
        </w:trPr>
        <w:tc>
          <w:tcPr>
            <w:cnfStyle w:val="001000000000" w:firstRow="0" w:lastRow="0" w:firstColumn="1" w:lastColumn="0" w:oddVBand="0" w:evenVBand="0" w:oddHBand="0" w:evenHBand="0" w:firstRowFirstColumn="0" w:firstRowLastColumn="0" w:lastRowFirstColumn="0" w:lastRowLastColumn="0"/>
            <w:tcW w:w="2165" w:type="pct"/>
            <w:shd w:val="clear" w:color="auto" w:fill="auto"/>
            <w:vAlign w:val="center"/>
          </w:tcPr>
          <w:p w14:paraId="7079286A" w14:textId="77777777" w:rsidR="001D457D" w:rsidRPr="008704BD" w:rsidRDefault="001A1751" w:rsidP="00652CEE">
            <w:pPr>
              <w:jc w:val="center"/>
              <w:rPr>
                <w:rFonts w:ascii="Times New Roman" w:hAnsi="Times New Roman"/>
                <w:noProof/>
                <w:sz w:val="20"/>
              </w:rPr>
            </w:pPr>
            <w:r>
              <w:rPr>
                <w:rFonts w:ascii="Times New Roman" w:hAnsi="Times New Roman"/>
                <w:noProof/>
                <w:sz w:val="20"/>
              </w:rPr>
              <w:t>Reporting on a</w:t>
            </w:r>
            <w:r w:rsidR="001D457D" w:rsidRPr="008704BD">
              <w:rPr>
                <w:rFonts w:ascii="Times New Roman" w:hAnsi="Times New Roman"/>
                <w:noProof/>
                <w:sz w:val="20"/>
              </w:rPr>
              <w:t>ll crypto-assets, except non-marketable crypto-assets and utility tokens</w:t>
            </w:r>
          </w:p>
        </w:tc>
        <w:tc>
          <w:tcPr>
            <w:tcW w:w="472" w:type="pct"/>
            <w:shd w:val="clear" w:color="auto" w:fill="auto"/>
            <w:vAlign w:val="center"/>
          </w:tcPr>
          <w:p w14:paraId="731068AF" w14:textId="77777777" w:rsidR="001D457D" w:rsidRPr="00A67E41" w:rsidRDefault="001D457D"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233.1</w:t>
            </w:r>
          </w:p>
        </w:tc>
        <w:tc>
          <w:tcPr>
            <w:tcW w:w="472" w:type="pct"/>
            <w:shd w:val="clear" w:color="auto" w:fill="auto"/>
            <w:vAlign w:val="center"/>
          </w:tcPr>
          <w:p w14:paraId="578CFD48" w14:textId="77777777" w:rsidR="001D457D" w:rsidRPr="00A67E41" w:rsidRDefault="001D457D"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259</w:t>
            </w:r>
          </w:p>
        </w:tc>
        <w:tc>
          <w:tcPr>
            <w:tcW w:w="473" w:type="pct"/>
            <w:shd w:val="clear" w:color="auto" w:fill="auto"/>
            <w:vAlign w:val="center"/>
          </w:tcPr>
          <w:p w14:paraId="56DD88CC" w14:textId="77777777" w:rsidR="001D457D" w:rsidRPr="00A67E41" w:rsidRDefault="001D457D"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284</w:t>
            </w:r>
          </w:p>
        </w:tc>
        <w:tc>
          <w:tcPr>
            <w:tcW w:w="473" w:type="pct"/>
            <w:shd w:val="clear" w:color="auto" w:fill="auto"/>
            <w:vAlign w:val="center"/>
          </w:tcPr>
          <w:p w14:paraId="0BD5EB8E" w14:textId="77777777" w:rsidR="001D457D" w:rsidRPr="00D312CE" w:rsidRDefault="0081718C"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20.3</w:t>
            </w:r>
          </w:p>
        </w:tc>
        <w:tc>
          <w:tcPr>
            <w:tcW w:w="473" w:type="pct"/>
            <w:shd w:val="clear" w:color="auto" w:fill="auto"/>
            <w:vAlign w:val="center"/>
          </w:tcPr>
          <w:p w14:paraId="28BA5A37" w14:textId="77777777" w:rsidR="001D457D" w:rsidRPr="00D312CE" w:rsidRDefault="001D457D"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w:t>
            </w:r>
            <w:r w:rsidR="0081718C">
              <w:rPr>
                <w:rFonts w:ascii="Times New Roman" w:hAnsi="Times New Roman" w:cs="Times New Roman"/>
                <w:noProof/>
                <w:sz w:val="20"/>
                <w:szCs w:val="20"/>
              </w:rPr>
              <w:t>2</w:t>
            </w:r>
            <w:r>
              <w:rPr>
                <w:rFonts w:ascii="Times New Roman" w:hAnsi="Times New Roman" w:cs="Times New Roman"/>
                <w:noProof/>
                <w:sz w:val="20"/>
                <w:szCs w:val="20"/>
              </w:rPr>
              <w:t>.6</w:t>
            </w:r>
          </w:p>
        </w:tc>
        <w:tc>
          <w:tcPr>
            <w:tcW w:w="472" w:type="pct"/>
            <w:shd w:val="clear" w:color="auto" w:fill="auto"/>
            <w:vAlign w:val="center"/>
          </w:tcPr>
          <w:p w14:paraId="1023A93B" w14:textId="77777777" w:rsidR="001D457D" w:rsidRPr="00D312CE" w:rsidRDefault="001D457D"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24.9</w:t>
            </w:r>
          </w:p>
        </w:tc>
      </w:tr>
    </w:tbl>
    <w:p w14:paraId="39F61E52" w14:textId="77777777" w:rsidR="00652CEE" w:rsidRDefault="00652CEE" w:rsidP="00836FA3">
      <w:pPr>
        <w:rPr>
          <w:rFonts w:ascii="Times New Roman" w:hAnsi="Times New Roman" w:cs="Times New Roman"/>
          <w:noProof/>
          <w:lang w:val="en-GB"/>
        </w:rPr>
      </w:pPr>
    </w:p>
    <w:p w14:paraId="31F5F480" w14:textId="77777777" w:rsidR="00765A89" w:rsidRPr="008704BD" w:rsidRDefault="00765A89" w:rsidP="00765A89">
      <w:pPr>
        <w:spacing w:line="256" w:lineRule="auto"/>
        <w:jc w:val="both"/>
        <w:rPr>
          <w:rFonts w:ascii="Times New Roman" w:hAnsi="Times New Roman"/>
          <w:noProof/>
          <w:sz w:val="24"/>
        </w:rPr>
      </w:pPr>
      <w:r w:rsidRPr="008704BD">
        <w:rPr>
          <w:rFonts w:ascii="Times New Roman" w:hAnsi="Times New Roman"/>
          <w:noProof/>
          <w:sz w:val="24"/>
          <w:lang w:val="en-GB"/>
        </w:rPr>
        <w:t>In terms of IT implementation, three solutions can be envisaged</w:t>
      </w:r>
      <w:r w:rsidR="00474073">
        <w:rPr>
          <w:rFonts w:ascii="Times New Roman" w:hAnsi="Times New Roman"/>
          <w:noProof/>
          <w:sz w:val="24"/>
          <w:lang w:val="en-GB"/>
        </w:rPr>
        <w:t xml:space="preserve"> (see Annex 5 for details)</w:t>
      </w:r>
      <w:r w:rsidRPr="008704BD">
        <w:rPr>
          <w:rFonts w:ascii="Times New Roman" w:hAnsi="Times New Roman"/>
          <w:noProof/>
          <w:sz w:val="24"/>
          <w:lang w:val="en-GB"/>
        </w:rPr>
        <w:t xml:space="preserve">: (i) a decentralised system, which is the approach taken in DAC 1, 2 and 4 with bilateral exchanges of information between Member States, (ii) </w:t>
      </w:r>
      <w:r w:rsidR="00EB418F" w:rsidRPr="008704BD">
        <w:rPr>
          <w:rFonts w:ascii="Times New Roman" w:hAnsi="Times New Roman"/>
          <w:noProof/>
          <w:sz w:val="24"/>
          <w:lang w:val="en-GB"/>
        </w:rPr>
        <w:t xml:space="preserve">a </w:t>
      </w:r>
      <w:r w:rsidRPr="008704BD">
        <w:rPr>
          <w:rFonts w:ascii="Times New Roman" w:hAnsi="Times New Roman"/>
          <w:noProof/>
          <w:sz w:val="24"/>
          <w:lang w:val="en-GB"/>
        </w:rPr>
        <w:t>centralised system, which has been implemented for DAC3 and DAC6, where the information is made available by one Member State to the other Member States via a central Directory, and (iii) a single access point, which would be a completely innovative solution, whereby CASPs would directly report into a central</w:t>
      </w:r>
      <w:r w:rsidR="46A1D785" w:rsidRPr="008704BD">
        <w:rPr>
          <w:rFonts w:ascii="Times New Roman" w:hAnsi="Times New Roman"/>
          <w:noProof/>
          <w:sz w:val="24"/>
          <w:lang w:val="en-GB"/>
        </w:rPr>
        <w:t xml:space="preserve"> </w:t>
      </w:r>
      <w:r w:rsidRPr="008704BD">
        <w:rPr>
          <w:rFonts w:ascii="Times New Roman" w:hAnsi="Times New Roman"/>
          <w:noProof/>
          <w:sz w:val="24"/>
          <w:lang w:val="en-GB"/>
        </w:rPr>
        <w:t>system accessible to all relevant Member States.</w:t>
      </w:r>
      <w:r w:rsidR="00F363A2" w:rsidRPr="00F363A2">
        <w:rPr>
          <w:noProof/>
        </w:rPr>
        <w:t xml:space="preserve"> </w:t>
      </w:r>
      <w:r w:rsidR="00F363A2" w:rsidRPr="00F363A2">
        <w:rPr>
          <w:rFonts w:ascii="Times New Roman" w:hAnsi="Times New Roman"/>
          <w:noProof/>
          <w:sz w:val="24"/>
          <w:lang w:val="en-GB"/>
        </w:rPr>
        <w:t>The proposed IT implementation choices are feasible no matter which policy option is chosen. The feasibility of the IT solution depends neither on the size of the CASPs, nor on the types of crypto-assets in scope nor the reporting method. The question here is more about the efficiency of the different IT solutions in achieving the initiative’s objectives</w:t>
      </w:r>
      <w:r w:rsidR="00F363A2">
        <w:rPr>
          <w:rFonts w:ascii="Times New Roman" w:hAnsi="Times New Roman"/>
          <w:noProof/>
          <w:sz w:val="24"/>
          <w:lang w:val="en-GB"/>
        </w:rPr>
        <w:t>.</w:t>
      </w:r>
    </w:p>
    <w:p w14:paraId="43B19BA1" w14:textId="77777777" w:rsidR="00765A89" w:rsidRPr="008704BD" w:rsidRDefault="00765A89">
      <w:pPr>
        <w:spacing w:line="256" w:lineRule="auto"/>
        <w:jc w:val="both"/>
        <w:rPr>
          <w:rFonts w:ascii="Times New Roman" w:hAnsi="Times New Roman"/>
          <w:noProof/>
          <w:sz w:val="24"/>
          <w:lang w:val="en-GB"/>
        </w:rPr>
      </w:pPr>
      <w:r w:rsidRPr="008704BD">
        <w:rPr>
          <w:rFonts w:ascii="Times New Roman" w:hAnsi="Times New Roman"/>
          <w:noProof/>
          <w:sz w:val="24"/>
        </w:rPr>
        <w:t>The type of IT solution comes with different costs both, for the Commission and the national tax administrations. These are summarised in the table below</w:t>
      </w:r>
      <w:r w:rsidR="00E135E0" w:rsidRPr="008704BD">
        <w:rPr>
          <w:rFonts w:ascii="Times New Roman" w:hAnsi="Times New Roman"/>
          <w:noProof/>
          <w:sz w:val="24"/>
        </w:rPr>
        <w:t xml:space="preserve"> and explained in</w:t>
      </w:r>
      <w:r w:rsidR="00F75C6E" w:rsidRPr="008704BD">
        <w:rPr>
          <w:rFonts w:ascii="Times New Roman" w:hAnsi="Times New Roman"/>
          <w:noProof/>
          <w:sz w:val="24"/>
        </w:rPr>
        <w:t xml:space="preserve"> more detail in</w:t>
      </w:r>
      <w:r w:rsidR="00E135E0" w:rsidRPr="008704BD">
        <w:rPr>
          <w:rFonts w:ascii="Times New Roman" w:hAnsi="Times New Roman"/>
          <w:noProof/>
          <w:sz w:val="24"/>
        </w:rPr>
        <w:t xml:space="preserve"> the coming sections.</w:t>
      </w:r>
    </w:p>
    <w:p w14:paraId="0FAC541F" w14:textId="77777777" w:rsidR="00652CEE" w:rsidRPr="008704BD" w:rsidRDefault="00DD4E3C" w:rsidP="00836FA3">
      <w:pPr>
        <w:pStyle w:val="Caption"/>
        <w:keepNext/>
        <w:rPr>
          <w:noProof/>
          <w:sz w:val="24"/>
        </w:rPr>
      </w:pPr>
      <w:r w:rsidRPr="008704BD">
        <w:rPr>
          <w:noProof/>
          <w:sz w:val="24"/>
        </w:rPr>
        <w:t xml:space="preserve">Table </w:t>
      </w:r>
      <w:r w:rsidR="00931BFE">
        <w:rPr>
          <w:noProof/>
          <w:sz w:val="24"/>
        </w:rPr>
        <w:t>7</w:t>
      </w:r>
      <w:r w:rsidR="394F80D8" w:rsidRPr="008704BD">
        <w:rPr>
          <w:noProof/>
          <w:sz w:val="24"/>
        </w:rPr>
        <w:t xml:space="preserve"> Summary of estimated </w:t>
      </w:r>
      <w:r w:rsidR="5292CD91" w:rsidRPr="008704BD">
        <w:rPr>
          <w:noProof/>
          <w:sz w:val="24"/>
        </w:rPr>
        <w:t>costs for tax administrations and European Commission (in EUR million)</w:t>
      </w:r>
    </w:p>
    <w:tbl>
      <w:tblPr>
        <w:tblStyle w:val="GridTable1Light-Accent11"/>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1"/>
        <w:gridCol w:w="1582"/>
        <w:gridCol w:w="1581"/>
        <w:gridCol w:w="1581"/>
        <w:gridCol w:w="1581"/>
      </w:tblGrid>
      <w:tr w:rsidR="007103A2" w:rsidRPr="00D312CE" w14:paraId="2C761D6A" w14:textId="77777777" w:rsidTr="017DE087">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583" w:type="pct"/>
            <w:tcBorders>
              <w:top w:val="nil"/>
              <w:left w:val="nil"/>
              <w:bottom w:val="single" w:sz="4" w:space="0" w:color="auto"/>
            </w:tcBorders>
            <w:shd w:val="clear" w:color="auto" w:fill="auto"/>
            <w:vAlign w:val="center"/>
          </w:tcPr>
          <w:p w14:paraId="6123DA90" w14:textId="77777777" w:rsidR="00652CEE" w:rsidRPr="008704BD" w:rsidRDefault="00652CEE" w:rsidP="00652CEE">
            <w:pPr>
              <w:jc w:val="center"/>
              <w:rPr>
                <w:rFonts w:ascii="Times New Roman" w:hAnsi="Times New Roman"/>
                <w:noProof/>
                <w:sz w:val="20"/>
              </w:rPr>
            </w:pPr>
          </w:p>
        </w:tc>
        <w:tc>
          <w:tcPr>
            <w:tcW w:w="1708" w:type="pct"/>
            <w:gridSpan w:val="2"/>
            <w:tcBorders>
              <w:bottom w:val="single" w:sz="4" w:space="0" w:color="auto"/>
            </w:tcBorders>
            <w:shd w:val="clear" w:color="auto" w:fill="auto"/>
            <w:vAlign w:val="center"/>
          </w:tcPr>
          <w:p w14:paraId="3784B415" w14:textId="77777777" w:rsidR="00652CEE" w:rsidRPr="008704BD" w:rsidRDefault="00652CEE" w:rsidP="00652CEE">
            <w:pPr>
              <w:tabs>
                <w:tab w:val="num" w:pos="42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Tax administrations</w:t>
            </w:r>
          </w:p>
        </w:tc>
        <w:tc>
          <w:tcPr>
            <w:tcW w:w="1708" w:type="pct"/>
            <w:gridSpan w:val="2"/>
            <w:tcBorders>
              <w:bottom w:val="single" w:sz="4" w:space="0" w:color="auto"/>
            </w:tcBorders>
            <w:shd w:val="clear" w:color="auto" w:fill="auto"/>
            <w:vAlign w:val="center"/>
          </w:tcPr>
          <w:p w14:paraId="78FD6770" w14:textId="77777777" w:rsidR="00652CEE" w:rsidRPr="008704BD" w:rsidRDefault="00652CEE" w:rsidP="00652CEE">
            <w:pPr>
              <w:tabs>
                <w:tab w:val="num" w:pos="42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European Commission</w:t>
            </w:r>
          </w:p>
        </w:tc>
      </w:tr>
      <w:tr w:rsidR="007103A2" w:rsidRPr="00D312CE" w14:paraId="2D56D7F9" w14:textId="77777777" w:rsidTr="017DE087">
        <w:trPr>
          <w:trHeight w:val="40"/>
        </w:trPr>
        <w:tc>
          <w:tcPr>
            <w:cnfStyle w:val="001000000000" w:firstRow="0" w:lastRow="0" w:firstColumn="1" w:lastColumn="0" w:oddVBand="0" w:evenVBand="0" w:oddHBand="0" w:evenHBand="0" w:firstRowFirstColumn="0" w:firstRowLastColumn="0" w:lastRowFirstColumn="0" w:lastRowLastColumn="0"/>
            <w:tcW w:w="1583" w:type="pct"/>
            <w:tcBorders>
              <w:top w:val="single" w:sz="4" w:space="0" w:color="auto"/>
            </w:tcBorders>
            <w:shd w:val="clear" w:color="auto" w:fill="auto"/>
            <w:vAlign w:val="center"/>
          </w:tcPr>
          <w:p w14:paraId="4A532A5F" w14:textId="77777777" w:rsidR="00652CEE" w:rsidRPr="008704BD" w:rsidRDefault="00652CEE" w:rsidP="0094499D">
            <w:pPr>
              <w:tabs>
                <w:tab w:val="num" w:pos="425"/>
              </w:tabs>
              <w:jc w:val="center"/>
              <w:rPr>
                <w:rFonts w:ascii="Times New Roman" w:hAnsi="Times New Roman"/>
                <w:noProof/>
                <w:sz w:val="20"/>
              </w:rPr>
            </w:pPr>
            <w:r w:rsidRPr="008704BD">
              <w:rPr>
                <w:rFonts w:ascii="Times New Roman" w:hAnsi="Times New Roman"/>
                <w:noProof/>
                <w:sz w:val="20"/>
              </w:rPr>
              <w:t>IT solution</w:t>
            </w:r>
          </w:p>
        </w:tc>
        <w:tc>
          <w:tcPr>
            <w:tcW w:w="854" w:type="pct"/>
            <w:tcBorders>
              <w:top w:val="single" w:sz="4" w:space="0" w:color="auto"/>
            </w:tcBorders>
            <w:shd w:val="clear" w:color="auto" w:fill="auto"/>
            <w:vAlign w:val="center"/>
          </w:tcPr>
          <w:p w14:paraId="738D678F" w14:textId="77777777" w:rsidR="00652CEE" w:rsidRPr="008704BD" w:rsidRDefault="00652CEE" w:rsidP="00652CEE">
            <w:pPr>
              <w:tabs>
                <w:tab w:val="num" w:pos="42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One-off</w:t>
            </w:r>
          </w:p>
        </w:tc>
        <w:tc>
          <w:tcPr>
            <w:tcW w:w="854" w:type="pct"/>
            <w:tcBorders>
              <w:top w:val="single" w:sz="4" w:space="0" w:color="auto"/>
            </w:tcBorders>
            <w:shd w:val="clear" w:color="auto" w:fill="auto"/>
            <w:vAlign w:val="center"/>
          </w:tcPr>
          <w:p w14:paraId="12CACC1E" w14:textId="77777777" w:rsidR="00652CEE" w:rsidRPr="008704BD" w:rsidRDefault="00652CEE" w:rsidP="00652CEE">
            <w:pPr>
              <w:tabs>
                <w:tab w:val="num" w:pos="42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Recurrent</w:t>
            </w:r>
          </w:p>
        </w:tc>
        <w:tc>
          <w:tcPr>
            <w:tcW w:w="854" w:type="pct"/>
            <w:tcBorders>
              <w:top w:val="single" w:sz="4" w:space="0" w:color="auto"/>
            </w:tcBorders>
            <w:shd w:val="clear" w:color="auto" w:fill="auto"/>
          </w:tcPr>
          <w:p w14:paraId="0905556C" w14:textId="77777777" w:rsidR="00652CEE" w:rsidRPr="008704BD" w:rsidRDefault="00652CEE" w:rsidP="00652CEE">
            <w:pPr>
              <w:tabs>
                <w:tab w:val="num" w:pos="42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One-off</w:t>
            </w:r>
          </w:p>
        </w:tc>
        <w:tc>
          <w:tcPr>
            <w:tcW w:w="854" w:type="pct"/>
            <w:tcBorders>
              <w:top w:val="single" w:sz="4" w:space="0" w:color="auto"/>
            </w:tcBorders>
            <w:shd w:val="clear" w:color="auto" w:fill="auto"/>
          </w:tcPr>
          <w:p w14:paraId="2CAABE64" w14:textId="77777777" w:rsidR="00652CEE" w:rsidRPr="008704BD" w:rsidRDefault="00652CEE" w:rsidP="00652CEE">
            <w:pPr>
              <w:tabs>
                <w:tab w:val="num" w:pos="42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Recurrent</w:t>
            </w:r>
          </w:p>
        </w:tc>
      </w:tr>
      <w:tr w:rsidR="007103A2" w:rsidRPr="00D312CE" w14:paraId="694ABFFF" w14:textId="77777777" w:rsidTr="017DE087">
        <w:trPr>
          <w:trHeight w:val="100"/>
        </w:trPr>
        <w:tc>
          <w:tcPr>
            <w:cnfStyle w:val="001000000000" w:firstRow="0" w:lastRow="0" w:firstColumn="1" w:lastColumn="0" w:oddVBand="0" w:evenVBand="0" w:oddHBand="0" w:evenHBand="0" w:firstRowFirstColumn="0" w:firstRowLastColumn="0" w:lastRowFirstColumn="0" w:lastRowLastColumn="0"/>
            <w:tcW w:w="1583" w:type="pct"/>
            <w:shd w:val="clear" w:color="auto" w:fill="auto"/>
            <w:vAlign w:val="center"/>
          </w:tcPr>
          <w:p w14:paraId="77A83688" w14:textId="77777777" w:rsidR="00652CEE" w:rsidRPr="00B741F6" w:rsidRDefault="00652CEE" w:rsidP="017DE087">
            <w:pPr>
              <w:tabs>
                <w:tab w:val="num" w:pos="425"/>
              </w:tabs>
              <w:jc w:val="center"/>
              <w:rPr>
                <w:rFonts w:ascii="Times New Roman" w:hAnsi="Times New Roman"/>
                <w:noProof/>
                <w:sz w:val="20"/>
                <w:szCs w:val="20"/>
              </w:rPr>
            </w:pPr>
            <w:r w:rsidRPr="017DE087">
              <w:rPr>
                <w:rFonts w:ascii="Times New Roman" w:hAnsi="Times New Roman"/>
                <w:noProof/>
                <w:sz w:val="20"/>
                <w:szCs w:val="20"/>
              </w:rPr>
              <w:t>Single Access Point</w:t>
            </w:r>
          </w:p>
        </w:tc>
        <w:tc>
          <w:tcPr>
            <w:tcW w:w="854" w:type="pct"/>
            <w:shd w:val="clear" w:color="auto" w:fill="auto"/>
            <w:vAlign w:val="center"/>
          </w:tcPr>
          <w:p w14:paraId="0B40FFC3" w14:textId="77777777" w:rsidR="00652CEE" w:rsidRPr="00B741F6"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B741F6">
              <w:rPr>
                <w:rFonts w:ascii="Times New Roman" w:hAnsi="Times New Roman"/>
                <w:noProof/>
                <w:sz w:val="20"/>
              </w:rPr>
              <w:t>0.</w:t>
            </w:r>
            <w:r w:rsidR="00CB68B8" w:rsidRPr="00B741F6">
              <w:rPr>
                <w:rFonts w:ascii="Times New Roman" w:hAnsi="Times New Roman"/>
                <w:noProof/>
                <w:sz w:val="20"/>
              </w:rPr>
              <w:t>5</w:t>
            </w:r>
          </w:p>
        </w:tc>
        <w:tc>
          <w:tcPr>
            <w:tcW w:w="854" w:type="pct"/>
            <w:shd w:val="clear" w:color="auto" w:fill="auto"/>
            <w:vAlign w:val="center"/>
          </w:tcPr>
          <w:p w14:paraId="57A09529" w14:textId="64B247CF" w:rsidR="00652CEE" w:rsidRPr="00B741F6" w:rsidRDefault="00652CEE" w:rsidP="017DE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rPr>
            </w:pPr>
            <w:r w:rsidRPr="017DE087">
              <w:rPr>
                <w:rFonts w:ascii="Times New Roman" w:hAnsi="Times New Roman"/>
                <w:noProof/>
                <w:sz w:val="20"/>
                <w:szCs w:val="20"/>
              </w:rPr>
              <w:t>0.2</w:t>
            </w:r>
          </w:p>
        </w:tc>
        <w:tc>
          <w:tcPr>
            <w:tcW w:w="854" w:type="pct"/>
            <w:shd w:val="clear" w:color="auto" w:fill="auto"/>
            <w:vAlign w:val="center"/>
          </w:tcPr>
          <w:p w14:paraId="46871E03" w14:textId="77777777" w:rsidR="00652CEE" w:rsidRPr="00B741F6"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B741F6">
              <w:rPr>
                <w:rFonts w:ascii="Times New Roman" w:hAnsi="Times New Roman"/>
                <w:noProof/>
                <w:sz w:val="20"/>
              </w:rPr>
              <w:t>1.4</w:t>
            </w:r>
          </w:p>
        </w:tc>
        <w:tc>
          <w:tcPr>
            <w:tcW w:w="854" w:type="pct"/>
            <w:shd w:val="clear" w:color="auto" w:fill="auto"/>
            <w:vAlign w:val="center"/>
          </w:tcPr>
          <w:p w14:paraId="489723F1" w14:textId="77777777" w:rsidR="00652CEE" w:rsidRPr="00B741F6"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B741F6">
              <w:rPr>
                <w:rFonts w:ascii="Times New Roman" w:hAnsi="Times New Roman"/>
                <w:noProof/>
                <w:sz w:val="20"/>
              </w:rPr>
              <w:t>0.2</w:t>
            </w:r>
          </w:p>
        </w:tc>
      </w:tr>
      <w:tr w:rsidR="007103A2" w:rsidRPr="00D312CE" w14:paraId="56161E33" w14:textId="77777777" w:rsidTr="017DE087">
        <w:trPr>
          <w:trHeight w:val="60"/>
        </w:trPr>
        <w:tc>
          <w:tcPr>
            <w:cnfStyle w:val="001000000000" w:firstRow="0" w:lastRow="0" w:firstColumn="1" w:lastColumn="0" w:oddVBand="0" w:evenVBand="0" w:oddHBand="0" w:evenHBand="0" w:firstRowFirstColumn="0" w:firstRowLastColumn="0" w:lastRowFirstColumn="0" w:lastRowLastColumn="0"/>
            <w:tcW w:w="1583" w:type="pct"/>
            <w:shd w:val="clear" w:color="auto" w:fill="auto"/>
            <w:vAlign w:val="center"/>
          </w:tcPr>
          <w:p w14:paraId="73B4859B" w14:textId="77777777" w:rsidR="00652CEE" w:rsidRPr="008704BD" w:rsidRDefault="00652CEE" w:rsidP="0094499D">
            <w:pPr>
              <w:tabs>
                <w:tab w:val="num" w:pos="425"/>
              </w:tabs>
              <w:jc w:val="center"/>
              <w:rPr>
                <w:rFonts w:ascii="Times New Roman" w:hAnsi="Times New Roman"/>
                <w:noProof/>
                <w:sz w:val="20"/>
              </w:rPr>
            </w:pPr>
            <w:r w:rsidRPr="008704BD">
              <w:rPr>
                <w:rFonts w:ascii="Times New Roman" w:hAnsi="Times New Roman"/>
                <w:noProof/>
                <w:sz w:val="20"/>
              </w:rPr>
              <w:t>Central Directory</w:t>
            </w:r>
          </w:p>
        </w:tc>
        <w:tc>
          <w:tcPr>
            <w:tcW w:w="854" w:type="pct"/>
            <w:shd w:val="clear" w:color="auto" w:fill="auto"/>
            <w:vAlign w:val="center"/>
          </w:tcPr>
          <w:p w14:paraId="6F7681B1" w14:textId="77777777" w:rsidR="00652CEE" w:rsidRPr="008704BD"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1 – 13</w:t>
            </w:r>
          </w:p>
        </w:tc>
        <w:tc>
          <w:tcPr>
            <w:tcW w:w="854" w:type="pct"/>
            <w:shd w:val="clear" w:color="auto" w:fill="auto"/>
            <w:vAlign w:val="center"/>
          </w:tcPr>
          <w:p w14:paraId="305A6334" w14:textId="77777777" w:rsidR="00652CEE" w:rsidRPr="008704BD"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1 – 5.7</w:t>
            </w:r>
          </w:p>
        </w:tc>
        <w:tc>
          <w:tcPr>
            <w:tcW w:w="854" w:type="pct"/>
            <w:shd w:val="clear" w:color="auto" w:fill="auto"/>
            <w:vAlign w:val="center"/>
          </w:tcPr>
          <w:p w14:paraId="169C9E21" w14:textId="77777777" w:rsidR="00652CEE" w:rsidRPr="008704BD"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0.5</w:t>
            </w:r>
          </w:p>
        </w:tc>
        <w:tc>
          <w:tcPr>
            <w:tcW w:w="854" w:type="pct"/>
            <w:shd w:val="clear" w:color="auto" w:fill="auto"/>
            <w:vAlign w:val="center"/>
          </w:tcPr>
          <w:p w14:paraId="116B2278" w14:textId="77777777" w:rsidR="00652CEE" w:rsidRPr="008704BD"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0.2</w:t>
            </w:r>
          </w:p>
        </w:tc>
      </w:tr>
      <w:tr w:rsidR="007103A2" w:rsidRPr="00D312CE" w14:paraId="1E8E3690" w14:textId="77777777" w:rsidTr="017DE087">
        <w:trPr>
          <w:trHeight w:val="78"/>
        </w:trPr>
        <w:tc>
          <w:tcPr>
            <w:cnfStyle w:val="001000000000" w:firstRow="0" w:lastRow="0" w:firstColumn="1" w:lastColumn="0" w:oddVBand="0" w:evenVBand="0" w:oddHBand="0" w:evenHBand="0" w:firstRowFirstColumn="0" w:firstRowLastColumn="0" w:lastRowFirstColumn="0" w:lastRowLastColumn="0"/>
            <w:tcW w:w="1583" w:type="pct"/>
            <w:shd w:val="clear" w:color="auto" w:fill="auto"/>
            <w:vAlign w:val="center"/>
          </w:tcPr>
          <w:p w14:paraId="299164BE" w14:textId="77777777" w:rsidR="00652CEE" w:rsidRPr="008704BD" w:rsidRDefault="00652CEE" w:rsidP="0094499D">
            <w:pPr>
              <w:tabs>
                <w:tab w:val="num" w:pos="425"/>
              </w:tabs>
              <w:jc w:val="center"/>
              <w:rPr>
                <w:rFonts w:ascii="Times New Roman" w:hAnsi="Times New Roman"/>
                <w:noProof/>
                <w:sz w:val="20"/>
              </w:rPr>
            </w:pPr>
            <w:r w:rsidRPr="008704BD">
              <w:rPr>
                <w:rFonts w:ascii="Times New Roman" w:hAnsi="Times New Roman"/>
                <w:noProof/>
                <w:sz w:val="20"/>
              </w:rPr>
              <w:t>Decentralised IT solution</w:t>
            </w:r>
          </w:p>
        </w:tc>
        <w:tc>
          <w:tcPr>
            <w:tcW w:w="854" w:type="pct"/>
            <w:shd w:val="clear" w:color="auto" w:fill="auto"/>
            <w:vAlign w:val="center"/>
          </w:tcPr>
          <w:p w14:paraId="49D29B2C" w14:textId="77777777" w:rsidR="00652CEE" w:rsidRPr="008704BD" w:rsidRDefault="00483A43"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64.8</w:t>
            </w:r>
          </w:p>
        </w:tc>
        <w:tc>
          <w:tcPr>
            <w:tcW w:w="854" w:type="pct"/>
            <w:shd w:val="clear" w:color="auto" w:fill="auto"/>
            <w:vAlign w:val="center"/>
          </w:tcPr>
          <w:p w14:paraId="2F97D222" w14:textId="77777777" w:rsidR="00652CEE" w:rsidRPr="008704BD" w:rsidRDefault="00810E11"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6</w:t>
            </w:r>
          </w:p>
        </w:tc>
        <w:tc>
          <w:tcPr>
            <w:tcW w:w="854" w:type="pct"/>
            <w:shd w:val="clear" w:color="auto" w:fill="auto"/>
            <w:vAlign w:val="center"/>
          </w:tcPr>
          <w:p w14:paraId="6E653273" w14:textId="77777777" w:rsidR="00652CEE" w:rsidRPr="008704BD"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0</w:t>
            </w:r>
            <w:r w:rsidR="006B5640" w:rsidRPr="008704BD">
              <w:rPr>
                <w:rFonts w:ascii="Times New Roman" w:hAnsi="Times New Roman"/>
                <w:noProof/>
                <w:sz w:val="20"/>
              </w:rPr>
              <w:t>.</w:t>
            </w:r>
            <w:r w:rsidR="002A2FBB" w:rsidRPr="008704BD">
              <w:rPr>
                <w:rFonts w:ascii="Times New Roman" w:hAnsi="Times New Roman"/>
                <w:noProof/>
                <w:sz w:val="20"/>
              </w:rPr>
              <w:t>8</w:t>
            </w:r>
          </w:p>
        </w:tc>
        <w:tc>
          <w:tcPr>
            <w:tcW w:w="854" w:type="pct"/>
            <w:shd w:val="clear" w:color="auto" w:fill="auto"/>
            <w:vAlign w:val="center"/>
          </w:tcPr>
          <w:p w14:paraId="3B4D4649" w14:textId="77777777" w:rsidR="00652CEE" w:rsidRPr="008704BD" w:rsidRDefault="00652CEE" w:rsidP="00652C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rPr>
            </w:pPr>
            <w:r w:rsidRPr="008704BD">
              <w:rPr>
                <w:rFonts w:ascii="Times New Roman" w:hAnsi="Times New Roman"/>
                <w:noProof/>
                <w:sz w:val="20"/>
              </w:rPr>
              <w:t>0</w:t>
            </w:r>
            <w:r w:rsidR="006B5640" w:rsidRPr="008704BD">
              <w:rPr>
                <w:rFonts w:ascii="Times New Roman" w:hAnsi="Times New Roman"/>
                <w:noProof/>
                <w:sz w:val="20"/>
              </w:rPr>
              <w:t>.1</w:t>
            </w:r>
          </w:p>
        </w:tc>
      </w:tr>
    </w:tbl>
    <w:p w14:paraId="50CFF632" w14:textId="77777777" w:rsidR="00007CC9" w:rsidRDefault="00007CC9">
      <w:pPr>
        <w:jc w:val="both"/>
        <w:rPr>
          <w:rFonts w:ascii="Times New Roman" w:hAnsi="Times New Roman"/>
          <w:noProof/>
          <w:sz w:val="24"/>
          <w:lang w:val="en-GB"/>
        </w:rPr>
      </w:pPr>
    </w:p>
    <w:p w14:paraId="5524CBBB" w14:textId="5CAB172E" w:rsidR="00240ECA" w:rsidRPr="00931BFE" w:rsidRDefault="00240ECA" w:rsidP="00931BFE">
      <w:pPr>
        <w:pStyle w:val="paragraph"/>
        <w:spacing w:before="0" w:beforeAutospacing="0" w:after="0" w:afterAutospacing="0" w:line="276" w:lineRule="auto"/>
        <w:jc w:val="both"/>
        <w:textAlignment w:val="baseline"/>
        <w:rPr>
          <w:rFonts w:eastAsiaTheme="minorHAnsi"/>
          <w:noProof/>
          <w:lang w:val="en-GB"/>
        </w:rPr>
      </w:pPr>
      <w:r w:rsidRPr="00931BFE">
        <w:rPr>
          <w:rFonts w:eastAsiaTheme="minorHAnsi"/>
          <w:noProof/>
        </w:rPr>
        <w:t xml:space="preserve">Largely, the risk of non-materialisation of the estimated costs is rather limited. The forthcoming </w:t>
      </w:r>
      <w:r w:rsidR="00F3372E">
        <w:rPr>
          <w:rFonts w:eastAsiaTheme="minorHAnsi"/>
          <w:noProof/>
        </w:rPr>
        <w:t>initiative</w:t>
      </w:r>
      <w:r w:rsidR="00F3372E" w:rsidRPr="00931BFE">
        <w:rPr>
          <w:rFonts w:eastAsiaTheme="minorHAnsi"/>
          <w:noProof/>
        </w:rPr>
        <w:t xml:space="preserve"> w</w:t>
      </w:r>
      <w:r w:rsidR="00F3372E">
        <w:rPr>
          <w:rFonts w:eastAsiaTheme="minorHAnsi"/>
          <w:noProof/>
        </w:rPr>
        <w:t>ould</w:t>
      </w:r>
      <w:r w:rsidR="00F3372E" w:rsidRPr="00931BFE">
        <w:rPr>
          <w:rFonts w:eastAsiaTheme="minorHAnsi"/>
          <w:noProof/>
        </w:rPr>
        <w:t xml:space="preserve"> </w:t>
      </w:r>
      <w:r w:rsidRPr="00931BFE">
        <w:rPr>
          <w:rFonts w:eastAsiaTheme="minorHAnsi"/>
          <w:noProof/>
        </w:rPr>
        <w:t>oblige tax administrations to make adjustments to their IT systems and include efforts to process and exchange the received information from CASPs. These actions will entail costs and as such, they have been accounted for in this impact assessment</w:t>
      </w:r>
      <w:r w:rsidRPr="00931BFE">
        <w:rPr>
          <w:rFonts w:eastAsiaTheme="minorHAnsi" w:cstheme="minorBidi"/>
          <w:noProof/>
          <w:lang w:val="en-GB"/>
        </w:rPr>
        <w:t>.</w:t>
      </w:r>
    </w:p>
    <w:p w14:paraId="7FA8B087" w14:textId="77777777" w:rsidR="00240ECA" w:rsidRPr="008704BD" w:rsidRDefault="00240ECA">
      <w:pPr>
        <w:jc w:val="both"/>
        <w:rPr>
          <w:rFonts w:ascii="Times New Roman" w:hAnsi="Times New Roman"/>
          <w:noProof/>
          <w:sz w:val="24"/>
          <w:lang w:val="en-GB"/>
        </w:rPr>
      </w:pPr>
    </w:p>
    <w:p w14:paraId="058924F5" w14:textId="77777777" w:rsidR="001F7991" w:rsidRDefault="005B125B" w:rsidP="41BAA3BB">
      <w:pPr>
        <w:pStyle w:val="Heading4"/>
        <w:rPr>
          <w:noProof/>
          <w:sz w:val="24"/>
          <w:szCs w:val="24"/>
        </w:rPr>
      </w:pPr>
      <w:bookmarkStart w:id="375" w:name="_Toc85052209"/>
      <w:bookmarkStart w:id="376" w:name="_Toc1674502686"/>
      <w:bookmarkStart w:id="377" w:name="_Toc5360029"/>
      <w:bookmarkStart w:id="378" w:name="_Toc1729021021"/>
      <w:bookmarkStart w:id="379" w:name="_Toc93306885"/>
      <w:r w:rsidRPr="41BAA3BB">
        <w:rPr>
          <w:i w:val="0"/>
          <w:iCs w:val="0"/>
          <w:noProof/>
          <w:sz w:val="24"/>
          <w:szCs w:val="24"/>
          <w:lang w:val="en-GB"/>
        </w:rPr>
        <w:t xml:space="preserve">6.2.2.1 </w:t>
      </w:r>
      <w:r w:rsidR="00CD0192" w:rsidRPr="41BAA3BB">
        <w:rPr>
          <w:i w:val="0"/>
          <w:iCs w:val="0"/>
          <w:noProof/>
          <w:sz w:val="24"/>
          <w:szCs w:val="24"/>
          <w:lang w:val="en-GB"/>
        </w:rPr>
        <w:t>Impact on CASPs</w:t>
      </w:r>
      <w:bookmarkEnd w:id="375"/>
      <w:bookmarkEnd w:id="376"/>
      <w:bookmarkEnd w:id="377"/>
      <w:bookmarkEnd w:id="378"/>
      <w:bookmarkEnd w:id="379"/>
    </w:p>
    <w:p w14:paraId="795B6C7E" w14:textId="77777777" w:rsidR="00CD0192" w:rsidRPr="00931BFE" w:rsidRDefault="00CD0192" w:rsidP="00D603CB">
      <w:pPr>
        <w:pStyle w:val="Heading4"/>
        <w:rPr>
          <w:rFonts w:eastAsiaTheme="minorHAnsi" w:cstheme="minorBidi"/>
          <w:i w:val="0"/>
          <w:iCs w:val="0"/>
          <w:noProof/>
          <w:sz w:val="24"/>
          <w:lang w:val="en-GB"/>
        </w:rPr>
      </w:pPr>
    </w:p>
    <w:p w14:paraId="435E2565" w14:textId="77777777" w:rsidR="005B125B" w:rsidRPr="008704BD" w:rsidRDefault="005B125B" w:rsidP="005B125B">
      <w:pPr>
        <w:jc w:val="both"/>
        <w:rPr>
          <w:rFonts w:ascii="Times New Roman" w:hAnsi="Times New Roman"/>
          <w:noProof/>
          <w:sz w:val="24"/>
          <w:lang w:val="en-GB"/>
        </w:rPr>
      </w:pPr>
      <w:r w:rsidRPr="008704BD">
        <w:rPr>
          <w:rFonts w:ascii="Times New Roman" w:hAnsi="Times New Roman"/>
          <w:noProof/>
          <w:sz w:val="24"/>
          <w:lang w:val="en-GB"/>
        </w:rPr>
        <w:t>As displayed in T</w:t>
      </w:r>
      <w:r w:rsidR="00F80C50" w:rsidRPr="008704BD">
        <w:rPr>
          <w:rFonts w:ascii="Times New Roman" w:hAnsi="Times New Roman"/>
          <w:noProof/>
          <w:sz w:val="24"/>
          <w:lang w:val="en-GB"/>
        </w:rPr>
        <w:t xml:space="preserve">able </w:t>
      </w:r>
      <w:r w:rsidR="001A1751">
        <w:rPr>
          <w:rFonts w:ascii="Times New Roman" w:hAnsi="Times New Roman"/>
          <w:noProof/>
          <w:sz w:val="24"/>
          <w:lang w:val="en-GB"/>
        </w:rPr>
        <w:t>5</w:t>
      </w:r>
      <w:r w:rsidRPr="008704BD">
        <w:rPr>
          <w:rFonts w:ascii="Times New Roman" w:hAnsi="Times New Roman"/>
          <w:noProof/>
          <w:sz w:val="24"/>
          <w:lang w:val="en-GB"/>
        </w:rPr>
        <w:t xml:space="preserve">, one-off cost </w:t>
      </w:r>
      <w:r w:rsidR="00572424" w:rsidRPr="008704BD">
        <w:rPr>
          <w:rFonts w:ascii="Times New Roman" w:hAnsi="Times New Roman"/>
          <w:noProof/>
          <w:sz w:val="24"/>
          <w:lang w:val="en-GB"/>
        </w:rPr>
        <w:t>estimates for CASPs will vary between EUR 2</w:t>
      </w:r>
      <w:r w:rsidR="00C210F8">
        <w:rPr>
          <w:rFonts w:ascii="Times New Roman" w:hAnsi="Times New Roman"/>
          <w:noProof/>
          <w:sz w:val="24"/>
          <w:lang w:val="en-GB"/>
        </w:rPr>
        <w:t>33.1</w:t>
      </w:r>
      <w:r w:rsidR="00572424" w:rsidRPr="008704BD">
        <w:rPr>
          <w:rFonts w:ascii="Times New Roman" w:hAnsi="Times New Roman"/>
          <w:noProof/>
          <w:sz w:val="24"/>
          <w:lang w:val="en-GB"/>
        </w:rPr>
        <w:t xml:space="preserve"> million and EUR 2</w:t>
      </w:r>
      <w:r w:rsidR="00C210F8">
        <w:rPr>
          <w:rFonts w:ascii="Times New Roman" w:hAnsi="Times New Roman"/>
          <w:noProof/>
          <w:sz w:val="24"/>
          <w:lang w:val="en-GB"/>
        </w:rPr>
        <w:t>84</w:t>
      </w:r>
      <w:r w:rsidR="00572424" w:rsidRPr="008704BD">
        <w:rPr>
          <w:rFonts w:ascii="Times New Roman" w:hAnsi="Times New Roman"/>
          <w:noProof/>
          <w:sz w:val="24"/>
          <w:lang w:val="en-GB"/>
        </w:rPr>
        <w:t xml:space="preserve"> million, or roughly between EUR </w:t>
      </w:r>
      <w:r w:rsidR="00C210F8">
        <w:rPr>
          <w:rFonts w:ascii="Times New Roman" w:hAnsi="Times New Roman"/>
          <w:noProof/>
          <w:sz w:val="24"/>
          <w:lang w:val="en-GB"/>
        </w:rPr>
        <w:t>1.4</w:t>
      </w:r>
      <w:r w:rsidR="00572424" w:rsidRPr="008704BD">
        <w:rPr>
          <w:rFonts w:ascii="Times New Roman" w:hAnsi="Times New Roman"/>
          <w:noProof/>
          <w:sz w:val="24"/>
          <w:lang w:val="en-GB"/>
        </w:rPr>
        <w:t xml:space="preserve"> million and EUR </w:t>
      </w:r>
      <w:r w:rsidR="00C210F8">
        <w:rPr>
          <w:rFonts w:ascii="Times New Roman" w:hAnsi="Times New Roman"/>
          <w:noProof/>
          <w:sz w:val="24"/>
          <w:lang w:val="en-GB"/>
        </w:rPr>
        <w:t>1.7</w:t>
      </w:r>
      <w:r w:rsidR="00572424" w:rsidRPr="008704BD">
        <w:rPr>
          <w:rFonts w:ascii="Times New Roman" w:hAnsi="Times New Roman"/>
          <w:noProof/>
          <w:sz w:val="24"/>
          <w:lang w:val="en-GB"/>
        </w:rPr>
        <w:t xml:space="preserve"> million per </w:t>
      </w:r>
      <w:r w:rsidR="00211FC7" w:rsidRPr="008704BD">
        <w:rPr>
          <w:rFonts w:ascii="Times New Roman" w:hAnsi="Times New Roman"/>
          <w:noProof/>
          <w:sz w:val="24"/>
          <w:lang w:val="en-GB"/>
        </w:rPr>
        <w:t xml:space="preserve">service provider </w:t>
      </w:r>
      <w:r w:rsidR="00572424" w:rsidRPr="008704BD">
        <w:rPr>
          <w:rFonts w:ascii="Times New Roman" w:hAnsi="Times New Roman"/>
          <w:noProof/>
          <w:sz w:val="24"/>
          <w:lang w:val="en-GB"/>
        </w:rPr>
        <w:t>respectively.</w:t>
      </w:r>
      <w:r w:rsidRPr="008704BD">
        <w:rPr>
          <w:rFonts w:ascii="Times New Roman" w:hAnsi="Times New Roman"/>
          <w:noProof/>
          <w:sz w:val="24"/>
          <w:lang w:val="en-GB"/>
        </w:rPr>
        <w:t xml:space="preserve"> The total recurrent costs, on the other hand, are estimated to range between EUR </w:t>
      </w:r>
      <w:r w:rsidR="0081718C">
        <w:rPr>
          <w:rFonts w:ascii="Times New Roman" w:hAnsi="Times New Roman"/>
          <w:noProof/>
          <w:sz w:val="24"/>
          <w:lang w:val="en-GB"/>
        </w:rPr>
        <w:t>20</w:t>
      </w:r>
      <w:r w:rsidRPr="008704BD">
        <w:rPr>
          <w:rFonts w:ascii="Times New Roman" w:hAnsi="Times New Roman"/>
          <w:noProof/>
          <w:sz w:val="24"/>
          <w:lang w:val="en-GB"/>
        </w:rPr>
        <w:t>.</w:t>
      </w:r>
      <w:r w:rsidR="0081718C">
        <w:rPr>
          <w:rFonts w:ascii="Times New Roman" w:hAnsi="Times New Roman"/>
          <w:noProof/>
          <w:sz w:val="24"/>
          <w:lang w:val="en-GB"/>
        </w:rPr>
        <w:t>3</w:t>
      </w:r>
      <w:r w:rsidRPr="008704BD">
        <w:rPr>
          <w:rFonts w:ascii="Times New Roman" w:hAnsi="Times New Roman"/>
          <w:noProof/>
          <w:sz w:val="24"/>
          <w:lang w:val="en-GB"/>
        </w:rPr>
        <w:t xml:space="preserve"> million and EUR 24</w:t>
      </w:r>
      <w:r w:rsidR="00C210F8">
        <w:rPr>
          <w:rFonts w:ascii="Times New Roman" w:hAnsi="Times New Roman"/>
          <w:noProof/>
          <w:sz w:val="24"/>
          <w:lang w:val="en-GB"/>
        </w:rPr>
        <w:t>.9</w:t>
      </w:r>
      <w:r w:rsidRPr="008704BD">
        <w:rPr>
          <w:rFonts w:ascii="Times New Roman" w:hAnsi="Times New Roman"/>
          <w:noProof/>
          <w:sz w:val="24"/>
          <w:lang w:val="en-GB"/>
        </w:rPr>
        <w:t xml:space="preserve"> million, or roughly between EUR </w:t>
      </w:r>
      <w:r w:rsidR="00C210F8">
        <w:rPr>
          <w:rFonts w:ascii="Times New Roman" w:hAnsi="Times New Roman"/>
          <w:noProof/>
          <w:sz w:val="24"/>
          <w:lang w:val="en-GB"/>
        </w:rPr>
        <w:t>1</w:t>
      </w:r>
      <w:r w:rsidR="0081718C">
        <w:rPr>
          <w:rFonts w:ascii="Times New Roman" w:hAnsi="Times New Roman"/>
          <w:noProof/>
          <w:sz w:val="24"/>
          <w:lang w:val="en-GB"/>
        </w:rPr>
        <w:t>2</w:t>
      </w:r>
      <w:r w:rsidRPr="008704BD">
        <w:rPr>
          <w:rFonts w:ascii="Times New Roman" w:hAnsi="Times New Roman"/>
          <w:noProof/>
          <w:sz w:val="24"/>
          <w:lang w:val="en-GB"/>
        </w:rPr>
        <w:t xml:space="preserve">0 000 and EUR </w:t>
      </w:r>
      <w:r w:rsidR="00C210F8">
        <w:rPr>
          <w:rFonts w:ascii="Times New Roman" w:hAnsi="Times New Roman"/>
          <w:noProof/>
          <w:sz w:val="24"/>
          <w:lang w:val="en-GB"/>
        </w:rPr>
        <w:t>1</w:t>
      </w:r>
      <w:r w:rsidR="003E57E7">
        <w:rPr>
          <w:rFonts w:ascii="Times New Roman" w:hAnsi="Times New Roman"/>
          <w:noProof/>
          <w:sz w:val="24"/>
          <w:lang w:val="en-GB"/>
        </w:rPr>
        <w:t>5</w:t>
      </w:r>
      <w:r w:rsidRPr="008704BD">
        <w:rPr>
          <w:rFonts w:ascii="Times New Roman" w:hAnsi="Times New Roman"/>
          <w:noProof/>
          <w:sz w:val="24"/>
          <w:lang w:val="en-GB"/>
        </w:rPr>
        <w:t xml:space="preserve">0 000 per entity respectively. </w:t>
      </w:r>
      <w:r w:rsidR="00A6041B">
        <w:rPr>
          <w:rFonts w:ascii="Times New Roman" w:hAnsi="Times New Roman"/>
          <w:noProof/>
          <w:sz w:val="24"/>
          <w:lang w:val="en-GB"/>
        </w:rPr>
        <w:t>T</w:t>
      </w:r>
      <w:r w:rsidRPr="008704BD">
        <w:rPr>
          <w:rFonts w:ascii="Times New Roman" w:hAnsi="Times New Roman"/>
          <w:noProof/>
          <w:sz w:val="24"/>
          <w:lang w:val="en-GB"/>
        </w:rPr>
        <w:t xml:space="preserve">hese estimates cover all </w:t>
      </w:r>
      <w:r w:rsidR="00C02A25" w:rsidRPr="008704BD">
        <w:rPr>
          <w:rFonts w:ascii="Times New Roman" w:hAnsi="Times New Roman"/>
          <w:noProof/>
          <w:sz w:val="24"/>
          <w:lang w:val="en-GB"/>
        </w:rPr>
        <w:t xml:space="preserve">CASPs </w:t>
      </w:r>
      <w:r w:rsidR="00A40BD0">
        <w:rPr>
          <w:rFonts w:ascii="Times New Roman" w:hAnsi="Times New Roman"/>
          <w:noProof/>
          <w:sz w:val="24"/>
          <w:lang w:val="en-GB"/>
        </w:rPr>
        <w:t>with EU users</w:t>
      </w:r>
      <w:r w:rsidR="00C02A25" w:rsidRPr="008704BD">
        <w:rPr>
          <w:rFonts w:ascii="Times New Roman" w:hAnsi="Times New Roman"/>
          <w:noProof/>
          <w:sz w:val="24"/>
          <w:lang w:val="en-GB"/>
        </w:rPr>
        <w:t xml:space="preserve"> </w:t>
      </w:r>
      <w:r w:rsidR="00A40BD0">
        <w:rPr>
          <w:rFonts w:ascii="Times New Roman" w:hAnsi="Times New Roman"/>
          <w:noProof/>
          <w:sz w:val="24"/>
          <w:lang w:val="en-GB"/>
        </w:rPr>
        <w:t>(see Annex 4).</w:t>
      </w:r>
      <w:r w:rsidR="00C02A25" w:rsidRPr="008704BD">
        <w:rPr>
          <w:rFonts w:ascii="Times New Roman" w:hAnsi="Times New Roman"/>
          <w:noProof/>
          <w:sz w:val="24"/>
          <w:lang w:val="en-GB"/>
        </w:rPr>
        <w:t xml:space="preserve"> </w:t>
      </w:r>
    </w:p>
    <w:p w14:paraId="0DCD64D8" w14:textId="2679BC79" w:rsidR="00011DD6" w:rsidRPr="008704BD" w:rsidRDefault="00572424" w:rsidP="00011DD6">
      <w:pPr>
        <w:jc w:val="both"/>
        <w:rPr>
          <w:rFonts w:ascii="Times New Roman" w:hAnsi="Times New Roman"/>
          <w:noProof/>
          <w:sz w:val="24"/>
          <w:lang w:val="en-GB"/>
        </w:rPr>
      </w:pPr>
      <w:r w:rsidRPr="008704BD">
        <w:rPr>
          <w:rFonts w:ascii="Times New Roman" w:hAnsi="Times New Roman"/>
          <w:noProof/>
          <w:sz w:val="24"/>
          <w:lang w:val="en-GB"/>
        </w:rPr>
        <w:t>The costs</w:t>
      </w:r>
      <w:r w:rsidR="00D6384C" w:rsidRPr="008704BD">
        <w:rPr>
          <w:rStyle w:val="FootnoteReference"/>
          <w:rFonts w:ascii="Times New Roman" w:hAnsi="Times New Roman"/>
          <w:noProof/>
          <w:sz w:val="24"/>
          <w:lang w:val="en-GB"/>
        </w:rPr>
        <w:footnoteReference w:id="40"/>
      </w:r>
      <w:r w:rsidR="00D6384C" w:rsidRPr="008704BD">
        <w:rPr>
          <w:rFonts w:ascii="Times New Roman" w:hAnsi="Times New Roman"/>
          <w:noProof/>
          <w:sz w:val="24"/>
          <w:lang w:val="en-GB"/>
        </w:rPr>
        <w:t xml:space="preserve"> </w:t>
      </w:r>
      <w:r w:rsidRPr="008704BD">
        <w:rPr>
          <w:rFonts w:ascii="Times New Roman" w:hAnsi="Times New Roman"/>
          <w:noProof/>
          <w:sz w:val="24"/>
          <w:lang w:val="en-GB"/>
        </w:rPr>
        <w:t xml:space="preserve">are largely dependent on </w:t>
      </w:r>
      <w:r w:rsidR="00D3BF41" w:rsidRPr="008704BD">
        <w:rPr>
          <w:rFonts w:ascii="Times New Roman" w:hAnsi="Times New Roman"/>
          <w:noProof/>
          <w:sz w:val="24"/>
          <w:lang w:val="en-GB"/>
        </w:rPr>
        <w:t>their customer base (on how many users they will need to report).</w:t>
      </w:r>
      <w:r w:rsidRPr="008704BD">
        <w:rPr>
          <w:rFonts w:ascii="Times New Roman" w:hAnsi="Times New Roman"/>
          <w:noProof/>
          <w:sz w:val="24"/>
          <w:lang w:val="en-GB"/>
        </w:rPr>
        <w:t xml:space="preserve"> It should be stressed that these estimates</w:t>
      </w:r>
      <w:r w:rsidR="7B6EF21F" w:rsidRPr="008704BD">
        <w:rPr>
          <w:rFonts w:ascii="Times New Roman" w:hAnsi="Times New Roman"/>
          <w:noProof/>
          <w:sz w:val="24"/>
          <w:lang w:val="en-GB"/>
        </w:rPr>
        <w:t>, including on number of users,</w:t>
      </w:r>
      <w:r w:rsidRPr="008704BD">
        <w:rPr>
          <w:rFonts w:ascii="Times New Roman" w:hAnsi="Times New Roman"/>
          <w:noProof/>
          <w:sz w:val="24"/>
          <w:lang w:val="en-GB"/>
        </w:rPr>
        <w:t xml:space="preserve"> are based on several assumptions and they do not necessarily reflect the actual costs service providers will incur, especially those having to report a relatively low number of </w:t>
      </w:r>
      <w:r w:rsidR="005F68E9" w:rsidRPr="008704BD">
        <w:rPr>
          <w:rFonts w:ascii="Times New Roman" w:hAnsi="Times New Roman"/>
          <w:noProof/>
          <w:sz w:val="24"/>
          <w:lang w:val="en-GB"/>
        </w:rPr>
        <w:t>transactions</w:t>
      </w:r>
      <w:r w:rsidRPr="008704BD">
        <w:rPr>
          <w:rFonts w:ascii="Times New Roman" w:hAnsi="Times New Roman"/>
          <w:noProof/>
          <w:sz w:val="24"/>
          <w:lang w:val="en-GB"/>
        </w:rPr>
        <w:t>.</w:t>
      </w:r>
      <w:r w:rsidR="00A40BD0">
        <w:rPr>
          <w:rFonts w:ascii="Times New Roman" w:hAnsi="Times New Roman"/>
          <w:noProof/>
          <w:sz w:val="24"/>
          <w:lang w:val="en-GB"/>
        </w:rPr>
        <w:t xml:space="preserve"> </w:t>
      </w:r>
      <w:r w:rsidR="00D6384C">
        <w:rPr>
          <w:rFonts w:ascii="Times New Roman" w:hAnsi="Times New Roman"/>
          <w:noProof/>
          <w:sz w:val="24"/>
          <w:lang w:val="en-GB"/>
        </w:rPr>
        <w:t>Additionally, t</w:t>
      </w:r>
      <w:r w:rsidR="00A40BD0">
        <w:rPr>
          <w:rFonts w:ascii="Times New Roman" w:hAnsi="Times New Roman"/>
          <w:noProof/>
          <w:sz w:val="24"/>
          <w:lang w:val="en-GB"/>
        </w:rPr>
        <w:t xml:space="preserve">here is a </w:t>
      </w:r>
      <w:r w:rsidR="00EA5662">
        <w:rPr>
          <w:rFonts w:ascii="Times New Roman" w:hAnsi="Times New Roman"/>
          <w:noProof/>
          <w:sz w:val="24"/>
          <w:lang w:val="en-GB"/>
        </w:rPr>
        <w:t>risk</w:t>
      </w:r>
      <w:r w:rsidR="00D6384C">
        <w:rPr>
          <w:rFonts w:ascii="Times New Roman" w:hAnsi="Times New Roman"/>
          <w:noProof/>
          <w:sz w:val="24"/>
          <w:lang w:val="en-GB"/>
        </w:rPr>
        <w:t xml:space="preserve">, </w:t>
      </w:r>
      <w:r w:rsidR="007579B5">
        <w:rPr>
          <w:rFonts w:ascii="Times New Roman" w:hAnsi="Times New Roman"/>
          <w:noProof/>
          <w:sz w:val="24"/>
          <w:lang w:val="en-GB"/>
        </w:rPr>
        <w:t xml:space="preserve">though </w:t>
      </w:r>
      <w:r w:rsidR="00D6384C">
        <w:rPr>
          <w:rFonts w:ascii="Times New Roman" w:hAnsi="Times New Roman"/>
          <w:noProof/>
          <w:sz w:val="24"/>
          <w:lang w:val="en-GB"/>
        </w:rPr>
        <w:t>limited,</w:t>
      </w:r>
      <w:r w:rsidR="00A40BD0">
        <w:rPr>
          <w:rFonts w:ascii="Times New Roman" w:hAnsi="Times New Roman"/>
          <w:noProof/>
          <w:sz w:val="24"/>
          <w:lang w:val="en-GB"/>
        </w:rPr>
        <w:t xml:space="preserve"> for CASPs to </w:t>
      </w:r>
      <w:r w:rsidR="00D6384C">
        <w:rPr>
          <w:rFonts w:ascii="Times New Roman" w:hAnsi="Times New Roman"/>
          <w:noProof/>
          <w:sz w:val="24"/>
          <w:lang w:val="en-GB"/>
        </w:rPr>
        <w:t>pass through</w:t>
      </w:r>
      <w:r w:rsidR="007579B5">
        <w:rPr>
          <w:rFonts w:ascii="Times New Roman" w:hAnsi="Times New Roman"/>
          <w:noProof/>
          <w:sz w:val="24"/>
          <w:lang w:val="en-GB"/>
        </w:rPr>
        <w:t xml:space="preserve"> their costs onto consumers</w:t>
      </w:r>
      <w:r w:rsidR="00D7414A">
        <w:rPr>
          <w:rFonts w:ascii="Times New Roman" w:hAnsi="Times New Roman"/>
          <w:noProof/>
          <w:sz w:val="24"/>
          <w:lang w:val="en-GB"/>
        </w:rPr>
        <w:t>. In particular,</w:t>
      </w:r>
      <w:r w:rsidR="00A40BD0">
        <w:rPr>
          <w:rFonts w:ascii="Times New Roman" w:hAnsi="Times New Roman"/>
          <w:noProof/>
          <w:sz w:val="24"/>
          <w:lang w:val="en-GB"/>
        </w:rPr>
        <w:t xml:space="preserve"> due </w:t>
      </w:r>
      <w:r w:rsidR="00D6384C">
        <w:rPr>
          <w:rFonts w:ascii="Times New Roman" w:hAnsi="Times New Roman"/>
          <w:noProof/>
          <w:sz w:val="24"/>
          <w:lang w:val="en-GB"/>
        </w:rPr>
        <w:t xml:space="preserve">to the increased costs arising from this initiative, service providers might raise their service fees </w:t>
      </w:r>
      <w:r w:rsidR="00D7414A">
        <w:rPr>
          <w:rFonts w:ascii="Times New Roman" w:hAnsi="Times New Roman"/>
          <w:noProof/>
          <w:sz w:val="24"/>
          <w:lang w:val="en-GB"/>
        </w:rPr>
        <w:t>paid by</w:t>
      </w:r>
      <w:r w:rsidR="00D6384C">
        <w:rPr>
          <w:rFonts w:ascii="Times New Roman" w:hAnsi="Times New Roman"/>
          <w:noProof/>
          <w:sz w:val="24"/>
          <w:lang w:val="en-GB"/>
        </w:rPr>
        <w:t xml:space="preserve"> their customers so as to offset (partly) the </w:t>
      </w:r>
      <w:r w:rsidR="00884FF3">
        <w:rPr>
          <w:rFonts w:ascii="Times New Roman" w:hAnsi="Times New Roman"/>
          <w:noProof/>
          <w:sz w:val="24"/>
          <w:lang w:val="en-GB"/>
        </w:rPr>
        <w:t xml:space="preserve">newly </w:t>
      </w:r>
      <w:r w:rsidR="00D6384C">
        <w:rPr>
          <w:rFonts w:ascii="Times New Roman" w:hAnsi="Times New Roman"/>
          <w:noProof/>
          <w:sz w:val="24"/>
          <w:lang w:val="en-GB"/>
        </w:rPr>
        <w:t>incurred costs. However, this is likely to be minimal since the crypto-market offers a possibility of transacting with crypto-assets without intermediation.</w:t>
      </w:r>
      <w:r w:rsidRPr="008704BD">
        <w:rPr>
          <w:rFonts w:ascii="Times New Roman" w:hAnsi="Times New Roman"/>
          <w:noProof/>
          <w:sz w:val="24"/>
          <w:lang w:val="en-GB"/>
        </w:rPr>
        <w:t xml:space="preserve"> </w:t>
      </w:r>
    </w:p>
    <w:p w14:paraId="1BA25B15" w14:textId="77777777" w:rsidR="00DD4E3C" w:rsidRPr="001F7991" w:rsidRDefault="00DD4E3C" w:rsidP="00931BFE">
      <w:pPr>
        <w:jc w:val="both"/>
        <w:rPr>
          <w:noProof/>
          <w:sz w:val="24"/>
        </w:rPr>
      </w:pPr>
      <w:r w:rsidRPr="001F7991">
        <w:rPr>
          <w:rFonts w:ascii="Times New Roman" w:hAnsi="Times New Roman"/>
          <w:i/>
          <w:iCs/>
          <w:noProof/>
          <w:color w:val="44546A" w:themeColor="text2"/>
          <w:sz w:val="24"/>
          <w:szCs w:val="18"/>
          <w:lang w:val="en-GB"/>
        </w:rPr>
        <w:t xml:space="preserve">Table </w:t>
      </w:r>
      <w:r w:rsidR="00931BFE">
        <w:rPr>
          <w:rFonts w:ascii="Times New Roman" w:hAnsi="Times New Roman"/>
          <w:i/>
          <w:iCs/>
          <w:noProof/>
          <w:color w:val="44546A" w:themeColor="text2"/>
          <w:sz w:val="24"/>
          <w:szCs w:val="18"/>
          <w:lang w:val="en-GB"/>
        </w:rPr>
        <w:t>8</w:t>
      </w:r>
      <w:r w:rsidRPr="001F7991">
        <w:rPr>
          <w:rFonts w:ascii="Times New Roman" w:hAnsi="Times New Roman"/>
          <w:i/>
          <w:iCs/>
          <w:noProof/>
          <w:color w:val="44546A" w:themeColor="text2"/>
          <w:sz w:val="24"/>
          <w:szCs w:val="18"/>
          <w:lang w:val="en-GB"/>
        </w:rPr>
        <w:t xml:space="preserve"> Assessment of costs per policy option (CASP</w:t>
      </w:r>
      <w:r w:rsidR="00A83ADF" w:rsidRPr="001F7991">
        <w:rPr>
          <w:rFonts w:ascii="Times New Roman" w:hAnsi="Times New Roman"/>
          <w:i/>
          <w:iCs/>
          <w:noProof/>
          <w:color w:val="44546A" w:themeColor="text2"/>
          <w:sz w:val="24"/>
          <w:szCs w:val="18"/>
          <w:lang w:val="en-GB"/>
        </w:rPr>
        <w:t>s</w:t>
      </w:r>
      <w:r w:rsidRPr="001F7991">
        <w:rPr>
          <w:rFonts w:ascii="Times New Roman" w:hAnsi="Times New Roman"/>
          <w:i/>
          <w:iCs/>
          <w:noProof/>
          <w:color w:val="44546A" w:themeColor="text2"/>
          <w:sz w:val="24"/>
          <w:szCs w:val="18"/>
          <w:lang w:val="en-GB"/>
        </w:rPr>
        <w:t>)</w:t>
      </w:r>
    </w:p>
    <w:tbl>
      <w:tblPr>
        <w:tblStyle w:val="TableGrid"/>
        <w:tblW w:w="0" w:type="auto"/>
        <w:tblLook w:val="04A0" w:firstRow="1" w:lastRow="0" w:firstColumn="1" w:lastColumn="0" w:noHBand="0" w:noVBand="1"/>
      </w:tblPr>
      <w:tblGrid>
        <w:gridCol w:w="846"/>
        <w:gridCol w:w="8504"/>
      </w:tblGrid>
      <w:tr w:rsidR="005B125B" w:rsidRPr="00D312CE" w14:paraId="403ADBED" w14:textId="77777777" w:rsidTr="02355236">
        <w:tc>
          <w:tcPr>
            <w:tcW w:w="846" w:type="dxa"/>
            <w:vAlign w:val="center"/>
          </w:tcPr>
          <w:p w14:paraId="3E8CF957" w14:textId="77777777" w:rsidR="005B125B" w:rsidRPr="008704BD" w:rsidRDefault="005B125B" w:rsidP="00C02A25">
            <w:pPr>
              <w:jc w:val="center"/>
              <w:rPr>
                <w:rFonts w:ascii="Times New Roman" w:hAnsi="Times New Roman"/>
                <w:b/>
                <w:noProof/>
                <w:sz w:val="20"/>
              </w:rPr>
            </w:pPr>
            <w:r w:rsidRPr="008704BD">
              <w:rPr>
                <w:rFonts w:ascii="Times New Roman" w:hAnsi="Times New Roman"/>
                <w:b/>
                <w:noProof/>
                <w:sz w:val="20"/>
              </w:rPr>
              <w:t>Option</w:t>
            </w:r>
          </w:p>
        </w:tc>
        <w:tc>
          <w:tcPr>
            <w:tcW w:w="8504" w:type="dxa"/>
            <w:vAlign w:val="center"/>
          </w:tcPr>
          <w:p w14:paraId="414647BC" w14:textId="77777777" w:rsidR="005B125B" w:rsidRPr="008704BD" w:rsidRDefault="005B125B" w:rsidP="00C02A25">
            <w:pPr>
              <w:jc w:val="center"/>
              <w:rPr>
                <w:rFonts w:ascii="Times New Roman" w:hAnsi="Times New Roman"/>
                <w:b/>
                <w:noProof/>
                <w:sz w:val="20"/>
              </w:rPr>
            </w:pPr>
            <w:r w:rsidRPr="008704BD">
              <w:rPr>
                <w:rFonts w:ascii="Times New Roman" w:hAnsi="Times New Roman"/>
                <w:b/>
                <w:noProof/>
                <w:sz w:val="20"/>
              </w:rPr>
              <w:t>Assessment</w:t>
            </w:r>
          </w:p>
        </w:tc>
      </w:tr>
      <w:tr w:rsidR="005B125B" w:rsidRPr="00C73A01" w14:paraId="0258FB0F" w14:textId="77777777" w:rsidTr="02355236">
        <w:tc>
          <w:tcPr>
            <w:tcW w:w="846" w:type="dxa"/>
            <w:vAlign w:val="center"/>
          </w:tcPr>
          <w:p w14:paraId="72D74668" w14:textId="49AB8A50" w:rsidR="005B125B" w:rsidRPr="008704BD" w:rsidRDefault="0054413F" w:rsidP="00C02A25">
            <w:pPr>
              <w:jc w:val="center"/>
              <w:rPr>
                <w:rFonts w:ascii="Times New Roman" w:hAnsi="Times New Roman"/>
                <w:noProof/>
                <w:sz w:val="20"/>
              </w:rPr>
            </w:pPr>
            <w:r>
              <w:rPr>
                <w:rFonts w:ascii="Times New Roman" w:hAnsi="Times New Roman"/>
                <w:noProof/>
                <w:sz w:val="20"/>
              </w:rPr>
              <w:t>1</w:t>
            </w:r>
          </w:p>
        </w:tc>
        <w:tc>
          <w:tcPr>
            <w:tcW w:w="8504" w:type="dxa"/>
          </w:tcPr>
          <w:p w14:paraId="47B4E8EF" w14:textId="0CF17A67" w:rsidR="005B125B" w:rsidRPr="008704BD" w:rsidRDefault="5A55E621">
            <w:pPr>
              <w:jc w:val="both"/>
              <w:rPr>
                <w:rFonts w:ascii="Times New Roman" w:hAnsi="Times New Roman"/>
                <w:noProof/>
                <w:sz w:val="20"/>
                <w:szCs w:val="20"/>
              </w:rPr>
            </w:pPr>
            <w:r w:rsidRPr="02355236">
              <w:rPr>
                <w:rFonts w:ascii="Times New Roman" w:hAnsi="Times New Roman"/>
                <w:noProof/>
                <w:sz w:val="20"/>
                <w:szCs w:val="20"/>
              </w:rPr>
              <w:t xml:space="preserve">Total one-off costs estimate </w:t>
            </w:r>
            <w:r w:rsidR="6FDA51B6" w:rsidRPr="02355236">
              <w:rPr>
                <w:rFonts w:ascii="Times New Roman" w:hAnsi="Times New Roman"/>
                <w:noProof/>
                <w:sz w:val="20"/>
                <w:szCs w:val="20"/>
              </w:rPr>
              <w:t xml:space="preserve">is </w:t>
            </w:r>
            <w:r w:rsidRPr="02355236">
              <w:rPr>
                <w:rFonts w:ascii="Times New Roman" w:hAnsi="Times New Roman"/>
                <w:noProof/>
                <w:sz w:val="20"/>
                <w:szCs w:val="20"/>
              </w:rPr>
              <w:t xml:space="preserve">likely to </w:t>
            </w:r>
            <w:r w:rsidR="00724568">
              <w:rPr>
                <w:rFonts w:ascii="Times New Roman" w:hAnsi="Times New Roman"/>
                <w:noProof/>
                <w:sz w:val="20"/>
                <w:szCs w:val="20"/>
              </w:rPr>
              <w:t>surpass</w:t>
            </w:r>
            <w:r w:rsidR="6FDA51B6" w:rsidRPr="02355236">
              <w:rPr>
                <w:rFonts w:ascii="Times New Roman" w:hAnsi="Times New Roman"/>
                <w:noProof/>
                <w:sz w:val="20"/>
                <w:szCs w:val="20"/>
              </w:rPr>
              <w:t xml:space="preserve"> EUR 233.1 </w:t>
            </w:r>
            <w:r w:rsidRPr="02355236">
              <w:rPr>
                <w:rFonts w:ascii="Times New Roman" w:hAnsi="Times New Roman"/>
                <w:noProof/>
                <w:sz w:val="20"/>
                <w:szCs w:val="20"/>
              </w:rPr>
              <w:t>million</w:t>
            </w:r>
            <w:r w:rsidR="6FDA51B6" w:rsidRPr="02355236">
              <w:rPr>
                <w:rFonts w:ascii="Times New Roman" w:hAnsi="Times New Roman"/>
                <w:noProof/>
                <w:sz w:val="20"/>
                <w:szCs w:val="20"/>
              </w:rPr>
              <w:t xml:space="preserve"> </w:t>
            </w:r>
            <w:r w:rsidR="00724568">
              <w:rPr>
                <w:rFonts w:ascii="Times New Roman" w:hAnsi="Times New Roman"/>
                <w:noProof/>
                <w:sz w:val="20"/>
                <w:szCs w:val="20"/>
              </w:rPr>
              <w:t xml:space="preserve">(i.e. the lower </w:t>
            </w:r>
            <w:r w:rsidR="6FDA51B6" w:rsidRPr="02355236">
              <w:rPr>
                <w:rFonts w:ascii="Times New Roman" w:hAnsi="Times New Roman"/>
                <w:noProof/>
                <w:sz w:val="20"/>
                <w:szCs w:val="20"/>
              </w:rPr>
              <w:t>bound</w:t>
            </w:r>
            <w:r w:rsidR="00724568">
              <w:rPr>
                <w:rFonts w:ascii="Times New Roman" w:hAnsi="Times New Roman"/>
                <w:noProof/>
                <w:sz w:val="20"/>
                <w:szCs w:val="20"/>
              </w:rPr>
              <w:t>). T</w:t>
            </w:r>
            <w:r w:rsidR="6FDA51B6" w:rsidRPr="02355236">
              <w:rPr>
                <w:rFonts w:ascii="Times New Roman" w:hAnsi="Times New Roman"/>
                <w:noProof/>
                <w:sz w:val="20"/>
                <w:szCs w:val="20"/>
              </w:rPr>
              <w:t>he SME (size) threshold does not apply</w:t>
            </w:r>
            <w:r w:rsidRPr="02355236">
              <w:rPr>
                <w:rFonts w:ascii="Times New Roman" w:hAnsi="Times New Roman"/>
                <w:noProof/>
                <w:sz w:val="20"/>
                <w:szCs w:val="20"/>
              </w:rPr>
              <w:t>.</w:t>
            </w:r>
            <w:r w:rsidR="0F3A0F9B" w:rsidRPr="02355236">
              <w:rPr>
                <w:rFonts w:ascii="Times New Roman" w:hAnsi="Times New Roman"/>
                <w:noProof/>
                <w:sz w:val="20"/>
                <w:szCs w:val="20"/>
              </w:rPr>
              <w:t xml:space="preserve"> </w:t>
            </w:r>
            <w:r w:rsidR="6FDA51B6" w:rsidRPr="02355236">
              <w:rPr>
                <w:rFonts w:ascii="Times New Roman" w:hAnsi="Times New Roman"/>
                <w:noProof/>
                <w:sz w:val="20"/>
                <w:szCs w:val="20"/>
              </w:rPr>
              <w:t>O</w:t>
            </w:r>
            <w:r w:rsidRPr="02355236">
              <w:rPr>
                <w:rFonts w:ascii="Times New Roman" w:hAnsi="Times New Roman"/>
                <w:noProof/>
                <w:sz w:val="20"/>
                <w:szCs w:val="20"/>
              </w:rPr>
              <w:t xml:space="preserve">n an individual basis, </w:t>
            </w:r>
            <w:r w:rsidR="6FDA51B6" w:rsidRPr="02355236">
              <w:rPr>
                <w:rFonts w:ascii="Times New Roman" w:hAnsi="Times New Roman"/>
                <w:noProof/>
                <w:sz w:val="20"/>
                <w:szCs w:val="20"/>
              </w:rPr>
              <w:t>this</w:t>
            </w:r>
            <w:r w:rsidR="537B419D" w:rsidRPr="02355236">
              <w:rPr>
                <w:rFonts w:ascii="Times New Roman" w:hAnsi="Times New Roman"/>
                <w:noProof/>
                <w:sz w:val="20"/>
                <w:szCs w:val="20"/>
              </w:rPr>
              <w:t xml:space="preserve"> </w:t>
            </w:r>
            <w:r w:rsidR="1E710916" w:rsidRPr="02355236">
              <w:rPr>
                <w:rFonts w:ascii="Times New Roman" w:hAnsi="Times New Roman"/>
                <w:noProof/>
                <w:sz w:val="20"/>
                <w:szCs w:val="20"/>
              </w:rPr>
              <w:t>means approximately</w:t>
            </w:r>
            <w:r w:rsidR="6FDA51B6" w:rsidRPr="02355236">
              <w:rPr>
                <w:rFonts w:ascii="Times New Roman" w:hAnsi="Times New Roman"/>
                <w:noProof/>
                <w:sz w:val="20"/>
                <w:szCs w:val="20"/>
              </w:rPr>
              <w:t xml:space="preserve"> </w:t>
            </w:r>
            <w:r w:rsidRPr="02355236">
              <w:rPr>
                <w:rFonts w:ascii="Times New Roman" w:hAnsi="Times New Roman"/>
                <w:noProof/>
                <w:sz w:val="20"/>
                <w:szCs w:val="20"/>
              </w:rPr>
              <w:t xml:space="preserve">EUR </w:t>
            </w:r>
            <w:r w:rsidR="6FDA51B6" w:rsidRPr="02355236">
              <w:rPr>
                <w:rFonts w:ascii="Times New Roman" w:hAnsi="Times New Roman"/>
                <w:noProof/>
                <w:sz w:val="20"/>
                <w:szCs w:val="20"/>
              </w:rPr>
              <w:t>1.</w:t>
            </w:r>
            <w:r w:rsidR="00724568">
              <w:rPr>
                <w:rFonts w:ascii="Times New Roman" w:hAnsi="Times New Roman"/>
                <w:noProof/>
                <w:sz w:val="20"/>
                <w:szCs w:val="20"/>
              </w:rPr>
              <w:t>4</w:t>
            </w:r>
            <w:r w:rsidRPr="02355236">
              <w:rPr>
                <w:rFonts w:ascii="Times New Roman" w:hAnsi="Times New Roman"/>
                <w:noProof/>
                <w:sz w:val="20"/>
                <w:szCs w:val="20"/>
              </w:rPr>
              <w:t xml:space="preserve"> million</w:t>
            </w:r>
            <w:r w:rsidR="6FDA51B6" w:rsidRPr="02355236">
              <w:rPr>
                <w:rFonts w:ascii="Times New Roman" w:hAnsi="Times New Roman"/>
                <w:noProof/>
                <w:sz w:val="20"/>
                <w:szCs w:val="20"/>
              </w:rPr>
              <w:t xml:space="preserve"> in</w:t>
            </w:r>
            <w:r w:rsidRPr="02355236">
              <w:rPr>
                <w:rFonts w:ascii="Times New Roman" w:hAnsi="Times New Roman"/>
                <w:noProof/>
                <w:sz w:val="20"/>
                <w:szCs w:val="20"/>
              </w:rPr>
              <w:t xml:space="preserve"> one-off costs per CASP. </w:t>
            </w:r>
            <w:r w:rsidR="537B419D" w:rsidRPr="02355236">
              <w:rPr>
                <w:rFonts w:ascii="Times New Roman" w:hAnsi="Times New Roman"/>
                <w:noProof/>
                <w:sz w:val="20"/>
                <w:szCs w:val="20"/>
              </w:rPr>
              <w:t xml:space="preserve">Analogously, </w:t>
            </w:r>
            <w:r w:rsidRPr="02355236">
              <w:rPr>
                <w:rFonts w:ascii="Times New Roman" w:hAnsi="Times New Roman"/>
                <w:noProof/>
                <w:sz w:val="20"/>
                <w:szCs w:val="20"/>
              </w:rPr>
              <w:t>recurrent costs incurred by CASPs</w:t>
            </w:r>
            <w:r w:rsidR="537B419D" w:rsidRPr="02355236">
              <w:rPr>
                <w:rFonts w:ascii="Times New Roman" w:hAnsi="Times New Roman"/>
                <w:noProof/>
                <w:sz w:val="20"/>
                <w:szCs w:val="20"/>
              </w:rPr>
              <w:t xml:space="preserve"> would </w:t>
            </w:r>
            <w:r w:rsidR="1E710916" w:rsidRPr="02355236">
              <w:rPr>
                <w:rFonts w:ascii="Times New Roman" w:hAnsi="Times New Roman"/>
                <w:noProof/>
                <w:sz w:val="20"/>
                <w:szCs w:val="20"/>
              </w:rPr>
              <w:t>amount</w:t>
            </w:r>
            <w:r w:rsidR="537B419D" w:rsidRPr="02355236">
              <w:rPr>
                <w:rFonts w:ascii="Times New Roman" w:hAnsi="Times New Roman"/>
                <w:noProof/>
                <w:sz w:val="20"/>
                <w:szCs w:val="20"/>
              </w:rPr>
              <w:t xml:space="preserve"> to E</w:t>
            </w:r>
            <w:r w:rsidRPr="02355236">
              <w:rPr>
                <w:rFonts w:ascii="Times New Roman" w:hAnsi="Times New Roman"/>
                <w:noProof/>
                <w:sz w:val="20"/>
                <w:szCs w:val="20"/>
              </w:rPr>
              <w:t>UR 2</w:t>
            </w:r>
            <w:r w:rsidR="00724568">
              <w:rPr>
                <w:rFonts w:ascii="Times New Roman" w:hAnsi="Times New Roman"/>
                <w:noProof/>
                <w:sz w:val="20"/>
                <w:szCs w:val="20"/>
              </w:rPr>
              <w:t>0.3</w:t>
            </w:r>
            <w:r w:rsidRPr="02355236">
              <w:rPr>
                <w:rFonts w:ascii="Times New Roman" w:hAnsi="Times New Roman"/>
                <w:noProof/>
                <w:sz w:val="20"/>
                <w:szCs w:val="20"/>
              </w:rPr>
              <w:t xml:space="preserve"> million</w:t>
            </w:r>
            <w:r w:rsidR="00EB418F" w:rsidRPr="02355236">
              <w:rPr>
                <w:rFonts w:ascii="Times New Roman" w:hAnsi="Times New Roman"/>
                <w:noProof/>
                <w:sz w:val="20"/>
                <w:szCs w:val="20"/>
              </w:rPr>
              <w:t xml:space="preserve"> in total</w:t>
            </w:r>
            <w:r w:rsidR="537B419D" w:rsidRPr="02355236">
              <w:rPr>
                <w:rFonts w:ascii="Times New Roman" w:hAnsi="Times New Roman"/>
                <w:noProof/>
                <w:sz w:val="20"/>
                <w:szCs w:val="20"/>
              </w:rPr>
              <w:t xml:space="preserve"> or</w:t>
            </w:r>
            <w:r w:rsidR="3A001B9A" w:rsidRPr="02355236">
              <w:rPr>
                <w:rFonts w:ascii="Times New Roman" w:hAnsi="Times New Roman"/>
                <w:noProof/>
                <w:sz w:val="20"/>
                <w:szCs w:val="20"/>
              </w:rPr>
              <w:t xml:space="preserve"> </w:t>
            </w:r>
            <w:r w:rsidRPr="02355236">
              <w:rPr>
                <w:rFonts w:ascii="Times New Roman" w:hAnsi="Times New Roman"/>
                <w:noProof/>
                <w:sz w:val="20"/>
                <w:szCs w:val="20"/>
              </w:rPr>
              <w:t xml:space="preserve">roughly EUR </w:t>
            </w:r>
            <w:r w:rsidR="537B419D" w:rsidRPr="02355236">
              <w:rPr>
                <w:rFonts w:ascii="Times New Roman" w:hAnsi="Times New Roman"/>
                <w:noProof/>
                <w:sz w:val="20"/>
                <w:szCs w:val="20"/>
              </w:rPr>
              <w:t>1</w:t>
            </w:r>
            <w:r w:rsidR="00724568">
              <w:rPr>
                <w:rFonts w:ascii="Times New Roman" w:hAnsi="Times New Roman"/>
                <w:noProof/>
                <w:sz w:val="20"/>
                <w:szCs w:val="20"/>
              </w:rPr>
              <w:t>21</w:t>
            </w:r>
            <w:r w:rsidRPr="02355236">
              <w:rPr>
                <w:rFonts w:ascii="Times New Roman" w:hAnsi="Times New Roman"/>
                <w:noProof/>
                <w:sz w:val="20"/>
                <w:szCs w:val="20"/>
              </w:rPr>
              <w:t xml:space="preserve"> 000 individually.</w:t>
            </w:r>
            <w:r w:rsidR="537B419D" w:rsidRPr="02355236">
              <w:rPr>
                <w:rFonts w:ascii="Times New Roman" w:hAnsi="Times New Roman"/>
                <w:noProof/>
                <w:sz w:val="20"/>
                <w:szCs w:val="20"/>
              </w:rPr>
              <w:t xml:space="preserve"> These relatively lower costs compared </w:t>
            </w:r>
            <w:r w:rsidR="1E710916" w:rsidRPr="02355236">
              <w:rPr>
                <w:rFonts w:ascii="Times New Roman" w:hAnsi="Times New Roman"/>
                <w:noProof/>
                <w:sz w:val="20"/>
                <w:szCs w:val="20"/>
              </w:rPr>
              <w:t xml:space="preserve">to </w:t>
            </w:r>
            <w:r w:rsidR="537B419D" w:rsidRPr="02355236">
              <w:rPr>
                <w:rFonts w:ascii="Times New Roman" w:hAnsi="Times New Roman"/>
                <w:noProof/>
                <w:sz w:val="20"/>
                <w:szCs w:val="20"/>
              </w:rPr>
              <w:t xml:space="preserve">other options (except for Option </w:t>
            </w:r>
            <w:r w:rsidR="64942610" w:rsidRPr="02355236">
              <w:rPr>
                <w:rFonts w:ascii="Times New Roman" w:hAnsi="Times New Roman"/>
                <w:noProof/>
                <w:sz w:val="20"/>
                <w:szCs w:val="20"/>
              </w:rPr>
              <w:t>2</w:t>
            </w:r>
            <w:r w:rsidR="537B419D" w:rsidRPr="02355236">
              <w:rPr>
                <w:rFonts w:ascii="Times New Roman" w:hAnsi="Times New Roman"/>
                <w:noProof/>
                <w:sz w:val="20"/>
                <w:szCs w:val="20"/>
              </w:rPr>
              <w:t xml:space="preserve">) are due to transaction-by-transaction reporting, which does not require additional </w:t>
            </w:r>
            <w:r w:rsidR="1E710916" w:rsidRPr="02355236">
              <w:rPr>
                <w:rFonts w:ascii="Times New Roman" w:hAnsi="Times New Roman"/>
                <w:noProof/>
                <w:sz w:val="20"/>
                <w:szCs w:val="20"/>
              </w:rPr>
              <w:t xml:space="preserve">processing </w:t>
            </w:r>
            <w:r w:rsidR="537B419D" w:rsidRPr="02355236">
              <w:rPr>
                <w:rFonts w:ascii="Times New Roman" w:hAnsi="Times New Roman"/>
                <w:noProof/>
                <w:sz w:val="20"/>
                <w:szCs w:val="20"/>
              </w:rPr>
              <w:t>of data by CASPs before submitting it to tax administrations.</w:t>
            </w:r>
          </w:p>
        </w:tc>
      </w:tr>
      <w:tr w:rsidR="005B125B" w:rsidRPr="00D312CE" w14:paraId="4AFFF6A2" w14:textId="77777777" w:rsidTr="02355236">
        <w:tc>
          <w:tcPr>
            <w:tcW w:w="846" w:type="dxa"/>
            <w:vAlign w:val="center"/>
          </w:tcPr>
          <w:p w14:paraId="2AA426F2" w14:textId="52C968BE" w:rsidR="005B125B" w:rsidRPr="008704BD" w:rsidRDefault="0054413F" w:rsidP="00C02A25">
            <w:pPr>
              <w:jc w:val="center"/>
              <w:rPr>
                <w:rFonts w:ascii="Times New Roman" w:hAnsi="Times New Roman"/>
                <w:noProof/>
                <w:sz w:val="20"/>
              </w:rPr>
            </w:pPr>
            <w:r>
              <w:rPr>
                <w:rFonts w:ascii="Times New Roman" w:hAnsi="Times New Roman"/>
                <w:noProof/>
                <w:sz w:val="20"/>
              </w:rPr>
              <w:t>2</w:t>
            </w:r>
          </w:p>
        </w:tc>
        <w:tc>
          <w:tcPr>
            <w:tcW w:w="8504" w:type="dxa"/>
          </w:tcPr>
          <w:p w14:paraId="7676EA1B" w14:textId="615F4671" w:rsidR="005B125B" w:rsidRPr="008704BD" w:rsidRDefault="00724568" w:rsidP="00EA5662">
            <w:pPr>
              <w:jc w:val="both"/>
              <w:rPr>
                <w:rFonts w:ascii="Times New Roman" w:hAnsi="Times New Roman"/>
                <w:noProof/>
                <w:sz w:val="20"/>
              </w:rPr>
            </w:pPr>
            <w:r>
              <w:rPr>
                <w:rFonts w:ascii="Times New Roman" w:hAnsi="Times New Roman"/>
                <w:noProof/>
                <w:sz w:val="20"/>
              </w:rPr>
              <w:t>T</w:t>
            </w:r>
            <w:r w:rsidR="00895124">
              <w:rPr>
                <w:rFonts w:ascii="Times New Roman" w:hAnsi="Times New Roman"/>
                <w:noProof/>
                <w:sz w:val="20"/>
              </w:rPr>
              <w:t>he projected costs</w:t>
            </w:r>
            <w:r>
              <w:rPr>
                <w:rFonts w:ascii="Times New Roman" w:hAnsi="Times New Roman"/>
                <w:noProof/>
                <w:sz w:val="20"/>
              </w:rPr>
              <w:t xml:space="preserve"> (both aggregated one-off and recurrent)</w:t>
            </w:r>
            <w:r w:rsidR="00895124">
              <w:rPr>
                <w:rFonts w:ascii="Times New Roman" w:hAnsi="Times New Roman"/>
                <w:noProof/>
                <w:sz w:val="20"/>
              </w:rPr>
              <w:t xml:space="preserve"> are likely to be lower </w:t>
            </w:r>
            <w:r>
              <w:rPr>
                <w:rFonts w:ascii="Times New Roman" w:hAnsi="Times New Roman"/>
                <w:noProof/>
                <w:sz w:val="20"/>
              </w:rPr>
              <w:t>than in Option 1</w:t>
            </w:r>
            <w:r w:rsidR="00B7564D">
              <w:rPr>
                <w:rFonts w:ascii="Times New Roman" w:hAnsi="Times New Roman"/>
                <w:noProof/>
                <w:sz w:val="20"/>
              </w:rPr>
              <w:t>, but still above the lower bound. This is</w:t>
            </w:r>
            <w:r>
              <w:rPr>
                <w:rFonts w:ascii="Times New Roman" w:hAnsi="Times New Roman"/>
                <w:noProof/>
                <w:sz w:val="20"/>
              </w:rPr>
              <w:t xml:space="preserve"> </w:t>
            </w:r>
            <w:r w:rsidR="00895124">
              <w:rPr>
                <w:rFonts w:ascii="Times New Roman" w:hAnsi="Times New Roman"/>
                <w:noProof/>
                <w:sz w:val="20"/>
              </w:rPr>
              <w:t>due to the SME threshold</w:t>
            </w:r>
            <w:r w:rsidR="00D3096A">
              <w:rPr>
                <w:rFonts w:ascii="Times New Roman" w:hAnsi="Times New Roman"/>
                <w:noProof/>
                <w:sz w:val="20"/>
              </w:rPr>
              <w:t xml:space="preserve"> that here applies</w:t>
            </w:r>
            <w:r w:rsidR="00EA5662">
              <w:rPr>
                <w:rFonts w:ascii="Times New Roman" w:hAnsi="Times New Roman"/>
                <w:noProof/>
                <w:sz w:val="20"/>
              </w:rPr>
              <w:t>, and which means that a more reduced number of entities will incur costs</w:t>
            </w:r>
            <w:r w:rsidR="00D3096A">
              <w:rPr>
                <w:rFonts w:ascii="Times New Roman" w:hAnsi="Times New Roman"/>
                <w:noProof/>
                <w:sz w:val="20"/>
              </w:rPr>
              <w:t>.</w:t>
            </w:r>
          </w:p>
        </w:tc>
      </w:tr>
      <w:tr w:rsidR="005B125B" w:rsidRPr="00D312CE" w14:paraId="71DD8449" w14:textId="77777777" w:rsidTr="02355236">
        <w:tc>
          <w:tcPr>
            <w:tcW w:w="846" w:type="dxa"/>
            <w:vAlign w:val="center"/>
          </w:tcPr>
          <w:p w14:paraId="58A5832F" w14:textId="1F7EB87B" w:rsidR="005B125B" w:rsidRPr="008704BD" w:rsidRDefault="0054413F" w:rsidP="00C02A25">
            <w:pPr>
              <w:jc w:val="center"/>
              <w:rPr>
                <w:rFonts w:ascii="Times New Roman" w:hAnsi="Times New Roman"/>
                <w:noProof/>
                <w:sz w:val="20"/>
              </w:rPr>
            </w:pPr>
            <w:r>
              <w:rPr>
                <w:rFonts w:ascii="Times New Roman" w:hAnsi="Times New Roman"/>
                <w:noProof/>
                <w:sz w:val="20"/>
              </w:rPr>
              <w:t>3</w:t>
            </w:r>
          </w:p>
        </w:tc>
        <w:tc>
          <w:tcPr>
            <w:tcW w:w="8504" w:type="dxa"/>
          </w:tcPr>
          <w:p w14:paraId="60A69636" w14:textId="527C396D" w:rsidR="005B125B" w:rsidRPr="008704BD" w:rsidRDefault="006B115E" w:rsidP="00C14882">
            <w:pPr>
              <w:jc w:val="both"/>
              <w:rPr>
                <w:rFonts w:ascii="Times New Roman" w:hAnsi="Times New Roman"/>
                <w:noProof/>
                <w:sz w:val="20"/>
              </w:rPr>
            </w:pPr>
            <w:r w:rsidRPr="008704BD">
              <w:rPr>
                <w:rFonts w:ascii="Times New Roman" w:hAnsi="Times New Roman"/>
                <w:noProof/>
                <w:sz w:val="20"/>
              </w:rPr>
              <w:t xml:space="preserve">One-off costs are estimated to </w:t>
            </w:r>
            <w:r w:rsidR="00B7564D">
              <w:rPr>
                <w:rFonts w:ascii="Times New Roman" w:hAnsi="Times New Roman"/>
                <w:noProof/>
                <w:sz w:val="20"/>
              </w:rPr>
              <w:t>reach the upper bound of</w:t>
            </w:r>
            <w:r w:rsidR="00E31278">
              <w:rPr>
                <w:rFonts w:ascii="Times New Roman" w:hAnsi="Times New Roman"/>
                <w:noProof/>
                <w:sz w:val="20"/>
              </w:rPr>
              <w:t xml:space="preserve"> EUR 284 </w:t>
            </w:r>
            <w:r w:rsidR="00A104E4" w:rsidRPr="008704BD">
              <w:rPr>
                <w:rFonts w:ascii="Times New Roman" w:hAnsi="Times New Roman"/>
                <w:noProof/>
                <w:sz w:val="20"/>
              </w:rPr>
              <w:t>million</w:t>
            </w:r>
            <w:r w:rsidR="00E31278">
              <w:rPr>
                <w:rFonts w:ascii="Times New Roman" w:hAnsi="Times New Roman"/>
                <w:noProof/>
                <w:sz w:val="20"/>
              </w:rPr>
              <w:t xml:space="preserve"> (or EUR 1.7 </w:t>
            </w:r>
            <w:r w:rsidR="00E31278" w:rsidRPr="008704BD">
              <w:rPr>
                <w:rFonts w:ascii="Times New Roman" w:hAnsi="Times New Roman"/>
                <w:noProof/>
                <w:sz w:val="20"/>
              </w:rPr>
              <w:t>million</w:t>
            </w:r>
            <w:r w:rsidR="00E31278">
              <w:rPr>
                <w:rFonts w:ascii="Times New Roman" w:hAnsi="Times New Roman"/>
                <w:noProof/>
                <w:sz w:val="20"/>
              </w:rPr>
              <w:t xml:space="preserve"> per CASP)</w:t>
            </w:r>
            <w:r w:rsidR="72809F26" w:rsidRPr="008704BD">
              <w:rPr>
                <w:rFonts w:ascii="Times New Roman" w:hAnsi="Times New Roman"/>
                <w:noProof/>
                <w:sz w:val="20"/>
              </w:rPr>
              <w:t>.</w:t>
            </w:r>
            <w:r w:rsidRPr="008704BD">
              <w:rPr>
                <w:rFonts w:ascii="Times New Roman" w:hAnsi="Times New Roman"/>
                <w:noProof/>
                <w:sz w:val="20"/>
              </w:rPr>
              <w:t xml:space="preserve"> </w:t>
            </w:r>
            <w:r w:rsidR="00E31278">
              <w:rPr>
                <w:rFonts w:ascii="Times New Roman" w:hAnsi="Times New Roman"/>
                <w:noProof/>
                <w:sz w:val="20"/>
              </w:rPr>
              <w:t>The recurrent costs are estimated</w:t>
            </w:r>
            <w:r w:rsidR="003E57E7">
              <w:rPr>
                <w:rFonts w:ascii="Times New Roman" w:hAnsi="Times New Roman"/>
                <w:noProof/>
                <w:sz w:val="20"/>
              </w:rPr>
              <w:t xml:space="preserve"> not to surpass EUR 1</w:t>
            </w:r>
            <w:r w:rsidR="00B7564D">
              <w:rPr>
                <w:rFonts w:ascii="Times New Roman" w:hAnsi="Times New Roman"/>
                <w:noProof/>
                <w:sz w:val="20"/>
              </w:rPr>
              <w:t>49</w:t>
            </w:r>
            <w:r w:rsidR="003E57E7">
              <w:rPr>
                <w:rFonts w:ascii="Times New Roman" w:hAnsi="Times New Roman"/>
                <w:noProof/>
                <w:sz w:val="20"/>
              </w:rPr>
              <w:t xml:space="preserve"> 000 (upper bound) per entity on a yearly bas</w:t>
            </w:r>
            <w:r w:rsidR="00D0340B">
              <w:rPr>
                <w:rFonts w:ascii="Times New Roman" w:hAnsi="Times New Roman"/>
                <w:noProof/>
                <w:sz w:val="20"/>
              </w:rPr>
              <w:t>is</w:t>
            </w:r>
            <w:r w:rsidR="003E57E7">
              <w:rPr>
                <w:rFonts w:ascii="Times New Roman" w:hAnsi="Times New Roman"/>
                <w:noProof/>
                <w:sz w:val="20"/>
              </w:rPr>
              <w:t>.</w:t>
            </w:r>
            <w:r w:rsidR="00E31278">
              <w:rPr>
                <w:rFonts w:ascii="Times New Roman" w:hAnsi="Times New Roman"/>
                <w:noProof/>
                <w:sz w:val="20"/>
              </w:rPr>
              <w:t xml:space="preserve"> This option entails</w:t>
            </w:r>
            <w:r w:rsidRPr="008704BD">
              <w:rPr>
                <w:rFonts w:ascii="Times New Roman" w:hAnsi="Times New Roman"/>
                <w:noProof/>
                <w:sz w:val="20"/>
              </w:rPr>
              <w:t xml:space="preserve"> </w:t>
            </w:r>
            <w:r w:rsidR="00A6041B">
              <w:rPr>
                <w:rFonts w:ascii="Times New Roman" w:hAnsi="Times New Roman"/>
                <w:noProof/>
                <w:sz w:val="20"/>
              </w:rPr>
              <w:t xml:space="preserve">a </w:t>
            </w:r>
            <w:r w:rsidRPr="008704BD">
              <w:rPr>
                <w:rFonts w:ascii="Times New Roman" w:hAnsi="Times New Roman"/>
                <w:noProof/>
                <w:sz w:val="20"/>
              </w:rPr>
              <w:t>slightly heavier</w:t>
            </w:r>
            <w:r w:rsidR="00E31278">
              <w:rPr>
                <w:rFonts w:ascii="Times New Roman" w:hAnsi="Times New Roman"/>
                <w:noProof/>
                <w:sz w:val="20"/>
              </w:rPr>
              <w:t xml:space="preserve"> reporting since service providers need </w:t>
            </w:r>
            <w:r w:rsidR="003E57E7">
              <w:rPr>
                <w:rFonts w:ascii="Times New Roman" w:hAnsi="Times New Roman"/>
                <w:noProof/>
                <w:sz w:val="20"/>
              </w:rPr>
              <w:t>aggregate</w:t>
            </w:r>
            <w:r w:rsidR="00E31278">
              <w:rPr>
                <w:rFonts w:ascii="Times New Roman" w:hAnsi="Times New Roman"/>
                <w:noProof/>
                <w:sz w:val="20"/>
              </w:rPr>
              <w:t xml:space="preserve"> data before sending it over to the tax administrations</w:t>
            </w:r>
            <w:r w:rsidRPr="008704BD">
              <w:rPr>
                <w:rFonts w:ascii="Times New Roman" w:hAnsi="Times New Roman"/>
                <w:noProof/>
                <w:sz w:val="20"/>
              </w:rPr>
              <w:t xml:space="preserve">. </w:t>
            </w:r>
            <w:r w:rsidR="003E57E7">
              <w:rPr>
                <w:rFonts w:ascii="Times New Roman" w:hAnsi="Times New Roman"/>
                <w:noProof/>
                <w:sz w:val="20"/>
              </w:rPr>
              <w:t>The cost upper bound also</w:t>
            </w:r>
            <w:r w:rsidR="00300F5E">
              <w:rPr>
                <w:rFonts w:ascii="Times New Roman" w:hAnsi="Times New Roman"/>
                <w:noProof/>
                <w:sz w:val="20"/>
              </w:rPr>
              <w:t xml:space="preserve"> </w:t>
            </w:r>
            <w:r w:rsidR="00C14882">
              <w:rPr>
                <w:rFonts w:ascii="Times New Roman" w:hAnsi="Times New Roman"/>
                <w:noProof/>
                <w:sz w:val="20"/>
              </w:rPr>
              <w:t xml:space="preserve">reflects </w:t>
            </w:r>
            <w:r w:rsidR="003E57E7">
              <w:rPr>
                <w:rFonts w:ascii="Times New Roman" w:hAnsi="Times New Roman"/>
                <w:noProof/>
                <w:sz w:val="20"/>
              </w:rPr>
              <w:t xml:space="preserve">the </w:t>
            </w:r>
            <w:r w:rsidR="00300F5E">
              <w:rPr>
                <w:rFonts w:ascii="Times New Roman" w:hAnsi="Times New Roman"/>
                <w:noProof/>
                <w:sz w:val="20"/>
              </w:rPr>
              <w:t xml:space="preserve">need </w:t>
            </w:r>
            <w:r w:rsidR="003E57E7">
              <w:rPr>
                <w:rFonts w:ascii="Times New Roman" w:hAnsi="Times New Roman"/>
                <w:noProof/>
                <w:sz w:val="20"/>
              </w:rPr>
              <w:t>of providing additional information to the tax administrations (second round of information</w:t>
            </w:r>
            <w:r w:rsidR="006F69AD">
              <w:rPr>
                <w:rFonts w:ascii="Times New Roman" w:hAnsi="Times New Roman"/>
                <w:noProof/>
                <w:sz w:val="20"/>
              </w:rPr>
              <w:t xml:space="preserve"> requests</w:t>
            </w:r>
            <w:r w:rsidR="003E57E7">
              <w:rPr>
                <w:rFonts w:ascii="Times New Roman" w:hAnsi="Times New Roman"/>
                <w:noProof/>
                <w:sz w:val="20"/>
              </w:rPr>
              <w:t>) since data aggregation does not necessarily disclose all the relevant information needed for tax purposes.</w:t>
            </w:r>
          </w:p>
        </w:tc>
      </w:tr>
      <w:tr w:rsidR="005B125B" w:rsidRPr="00D312CE" w14:paraId="7CE1E940" w14:textId="77777777" w:rsidTr="02355236">
        <w:tc>
          <w:tcPr>
            <w:tcW w:w="846" w:type="dxa"/>
            <w:vAlign w:val="center"/>
          </w:tcPr>
          <w:p w14:paraId="5A28C939" w14:textId="6073D451" w:rsidR="005B125B" w:rsidRPr="008704BD" w:rsidRDefault="0054413F" w:rsidP="00C02A25">
            <w:pPr>
              <w:jc w:val="center"/>
              <w:rPr>
                <w:rFonts w:ascii="Times New Roman" w:hAnsi="Times New Roman"/>
                <w:noProof/>
                <w:sz w:val="20"/>
              </w:rPr>
            </w:pPr>
            <w:r>
              <w:rPr>
                <w:rFonts w:ascii="Times New Roman" w:hAnsi="Times New Roman"/>
                <w:noProof/>
                <w:sz w:val="20"/>
              </w:rPr>
              <w:t>4</w:t>
            </w:r>
          </w:p>
        </w:tc>
        <w:tc>
          <w:tcPr>
            <w:tcW w:w="8504" w:type="dxa"/>
          </w:tcPr>
          <w:p w14:paraId="69BC6E57" w14:textId="40E7D4FA" w:rsidR="005B125B" w:rsidRPr="008704BD" w:rsidRDefault="00B7564D">
            <w:pPr>
              <w:jc w:val="both"/>
              <w:rPr>
                <w:rFonts w:ascii="Times New Roman" w:hAnsi="Times New Roman"/>
                <w:noProof/>
                <w:sz w:val="20"/>
              </w:rPr>
            </w:pPr>
            <w:r>
              <w:rPr>
                <w:rFonts w:ascii="Times New Roman" w:hAnsi="Times New Roman"/>
                <w:noProof/>
                <w:sz w:val="20"/>
              </w:rPr>
              <w:t xml:space="preserve">This option is similar to the previous one, but it applies a threshold </w:t>
            </w:r>
            <w:r w:rsidRPr="008704BD">
              <w:rPr>
                <w:rFonts w:ascii="Times New Roman" w:hAnsi="Times New Roman"/>
                <w:noProof/>
                <w:sz w:val="20"/>
              </w:rPr>
              <w:t>based on size</w:t>
            </w:r>
            <w:r>
              <w:rPr>
                <w:rFonts w:ascii="Times New Roman" w:hAnsi="Times New Roman"/>
                <w:noProof/>
                <w:sz w:val="20"/>
              </w:rPr>
              <w:t>, which is likely to result in lower costs (aggregated one-off and recurrent). These costs are expected to be close to the upper bound nevertheless.</w:t>
            </w:r>
          </w:p>
        </w:tc>
      </w:tr>
      <w:tr w:rsidR="004B5C59" w:rsidRPr="00D312CE" w14:paraId="0156857D" w14:textId="77777777" w:rsidTr="02355236">
        <w:tc>
          <w:tcPr>
            <w:tcW w:w="846" w:type="dxa"/>
            <w:vAlign w:val="center"/>
          </w:tcPr>
          <w:p w14:paraId="01BE40CD" w14:textId="42FAD0B1" w:rsidR="004B5C59" w:rsidRDefault="0054413F" w:rsidP="004B5C59">
            <w:pPr>
              <w:jc w:val="center"/>
              <w:rPr>
                <w:rFonts w:ascii="Times New Roman" w:hAnsi="Times New Roman"/>
                <w:noProof/>
                <w:sz w:val="20"/>
              </w:rPr>
            </w:pPr>
            <w:r>
              <w:rPr>
                <w:rFonts w:ascii="Times New Roman" w:hAnsi="Times New Roman"/>
                <w:noProof/>
                <w:sz w:val="20"/>
              </w:rPr>
              <w:t>5</w:t>
            </w:r>
          </w:p>
        </w:tc>
        <w:tc>
          <w:tcPr>
            <w:tcW w:w="8504" w:type="dxa"/>
          </w:tcPr>
          <w:p w14:paraId="7AC8B862" w14:textId="4FF7DAE7" w:rsidR="004B5C59" w:rsidRDefault="004B5C59">
            <w:pPr>
              <w:jc w:val="both"/>
              <w:rPr>
                <w:rFonts w:ascii="Times New Roman" w:hAnsi="Times New Roman"/>
                <w:noProof/>
                <w:sz w:val="20"/>
              </w:rPr>
            </w:pPr>
            <w:r w:rsidRPr="008704BD">
              <w:rPr>
                <w:rFonts w:ascii="Times New Roman" w:hAnsi="Times New Roman"/>
                <w:noProof/>
                <w:sz w:val="20"/>
              </w:rPr>
              <w:t xml:space="preserve">Total one-off costs estimate </w:t>
            </w:r>
            <w:r w:rsidR="00300F5E">
              <w:rPr>
                <w:rFonts w:ascii="Times New Roman" w:hAnsi="Times New Roman"/>
                <w:noProof/>
                <w:sz w:val="20"/>
              </w:rPr>
              <w:t xml:space="preserve">are </w:t>
            </w:r>
            <w:r w:rsidRPr="008704BD">
              <w:rPr>
                <w:rFonts w:ascii="Times New Roman" w:hAnsi="Times New Roman"/>
                <w:noProof/>
                <w:sz w:val="20"/>
              </w:rPr>
              <w:t xml:space="preserve">likely </w:t>
            </w:r>
            <w:r w:rsidR="00334878">
              <w:rPr>
                <w:rFonts w:ascii="Times New Roman" w:hAnsi="Times New Roman"/>
                <w:noProof/>
                <w:sz w:val="20"/>
              </w:rPr>
              <w:t>to</w:t>
            </w:r>
            <w:r w:rsidRPr="008704BD">
              <w:rPr>
                <w:rFonts w:ascii="Times New Roman" w:hAnsi="Times New Roman"/>
                <w:noProof/>
                <w:sz w:val="20"/>
              </w:rPr>
              <w:t xml:space="preserve"> </w:t>
            </w:r>
            <w:r>
              <w:rPr>
                <w:rFonts w:ascii="Times New Roman" w:hAnsi="Times New Roman"/>
                <w:noProof/>
                <w:sz w:val="20"/>
              </w:rPr>
              <w:t>reach EUR 2</w:t>
            </w:r>
            <w:r w:rsidR="00B7564D">
              <w:rPr>
                <w:rFonts w:ascii="Times New Roman" w:hAnsi="Times New Roman"/>
                <w:noProof/>
                <w:sz w:val="20"/>
              </w:rPr>
              <w:t>59</w:t>
            </w:r>
            <w:r>
              <w:rPr>
                <w:rFonts w:ascii="Times New Roman" w:hAnsi="Times New Roman"/>
                <w:noProof/>
                <w:sz w:val="20"/>
              </w:rPr>
              <w:t xml:space="preserve"> million (or EUR 1.5 million per CASP). The recurrent costs are estimated not to surpass EUR 1</w:t>
            </w:r>
            <w:r w:rsidR="00B7564D">
              <w:rPr>
                <w:rFonts w:ascii="Times New Roman" w:hAnsi="Times New Roman"/>
                <w:noProof/>
                <w:sz w:val="20"/>
              </w:rPr>
              <w:t>35</w:t>
            </w:r>
            <w:r>
              <w:rPr>
                <w:rFonts w:ascii="Times New Roman" w:hAnsi="Times New Roman"/>
                <w:noProof/>
                <w:sz w:val="20"/>
              </w:rPr>
              <w:t xml:space="preserve"> 000 per entity on a yearly </w:t>
            </w:r>
            <w:r w:rsidR="00300F5E">
              <w:rPr>
                <w:rFonts w:ascii="Times New Roman" w:hAnsi="Times New Roman"/>
                <w:noProof/>
                <w:sz w:val="20"/>
              </w:rPr>
              <w:t>basis</w:t>
            </w:r>
            <w:r>
              <w:rPr>
                <w:rFonts w:ascii="Times New Roman" w:hAnsi="Times New Roman"/>
                <w:noProof/>
                <w:sz w:val="20"/>
              </w:rPr>
              <w:t xml:space="preserve">. The hybrid reporting approach would ensure a balance between too detailed transactional information to be reported by all CASPs with EU users regardless of the size (Option </w:t>
            </w:r>
            <w:r w:rsidR="007A3A9C">
              <w:rPr>
                <w:rFonts w:ascii="Times New Roman" w:hAnsi="Times New Roman"/>
                <w:noProof/>
                <w:sz w:val="20"/>
              </w:rPr>
              <w:t>1</w:t>
            </w:r>
            <w:r>
              <w:rPr>
                <w:rFonts w:ascii="Times New Roman" w:hAnsi="Times New Roman"/>
                <w:noProof/>
                <w:sz w:val="20"/>
              </w:rPr>
              <w:t xml:space="preserve">), and the need for second round information requests (Option </w:t>
            </w:r>
            <w:r w:rsidR="007A3A9C">
              <w:rPr>
                <w:rFonts w:ascii="Times New Roman" w:hAnsi="Times New Roman"/>
                <w:noProof/>
                <w:sz w:val="20"/>
              </w:rPr>
              <w:t>3</w:t>
            </w:r>
            <w:r>
              <w:rPr>
                <w:rFonts w:ascii="Times New Roman" w:hAnsi="Times New Roman"/>
                <w:noProof/>
                <w:sz w:val="20"/>
              </w:rPr>
              <w:t>).</w:t>
            </w:r>
          </w:p>
        </w:tc>
      </w:tr>
      <w:tr w:rsidR="004B5C59" w:rsidRPr="00D312CE" w14:paraId="543A8E33" w14:textId="77777777" w:rsidTr="02355236">
        <w:tc>
          <w:tcPr>
            <w:tcW w:w="846" w:type="dxa"/>
            <w:vAlign w:val="center"/>
          </w:tcPr>
          <w:p w14:paraId="6F4BB698" w14:textId="341D4643" w:rsidR="004B5C59" w:rsidRPr="008704BD" w:rsidRDefault="0054413F" w:rsidP="004B5C59">
            <w:pPr>
              <w:jc w:val="center"/>
              <w:rPr>
                <w:rFonts w:ascii="Times New Roman" w:hAnsi="Times New Roman"/>
                <w:noProof/>
                <w:sz w:val="20"/>
              </w:rPr>
            </w:pPr>
            <w:r>
              <w:rPr>
                <w:rFonts w:ascii="Times New Roman" w:hAnsi="Times New Roman"/>
                <w:noProof/>
                <w:sz w:val="20"/>
              </w:rPr>
              <w:t>6</w:t>
            </w:r>
          </w:p>
        </w:tc>
        <w:tc>
          <w:tcPr>
            <w:tcW w:w="8504" w:type="dxa"/>
          </w:tcPr>
          <w:p w14:paraId="46A8C92D" w14:textId="5BC2DEAF" w:rsidR="004B5C59" w:rsidRPr="008704BD" w:rsidRDefault="004B5C59">
            <w:pPr>
              <w:jc w:val="both"/>
              <w:rPr>
                <w:rFonts w:ascii="Times New Roman" w:hAnsi="Times New Roman"/>
                <w:noProof/>
                <w:sz w:val="20"/>
              </w:rPr>
            </w:pPr>
            <w:r>
              <w:rPr>
                <w:rFonts w:ascii="Times New Roman" w:hAnsi="Times New Roman"/>
                <w:noProof/>
                <w:sz w:val="20"/>
              </w:rPr>
              <w:t xml:space="preserve">This option is similar to Option </w:t>
            </w:r>
            <w:r w:rsidR="007A3A9C">
              <w:rPr>
                <w:rFonts w:ascii="Times New Roman" w:hAnsi="Times New Roman"/>
                <w:noProof/>
                <w:sz w:val="20"/>
              </w:rPr>
              <w:t>5</w:t>
            </w:r>
            <w:r>
              <w:rPr>
                <w:rFonts w:ascii="Times New Roman" w:hAnsi="Times New Roman"/>
                <w:noProof/>
                <w:sz w:val="20"/>
              </w:rPr>
              <w:t>, but with lower costs (one-off and recurrent) due to the</w:t>
            </w:r>
            <w:r w:rsidRPr="008704BD">
              <w:rPr>
                <w:rFonts w:ascii="Times New Roman" w:hAnsi="Times New Roman"/>
                <w:noProof/>
                <w:sz w:val="20"/>
              </w:rPr>
              <w:t xml:space="preserve"> exclusion criteria based on size</w:t>
            </w:r>
            <w:r>
              <w:rPr>
                <w:rFonts w:ascii="Times New Roman" w:hAnsi="Times New Roman"/>
                <w:noProof/>
                <w:sz w:val="20"/>
              </w:rPr>
              <w:t xml:space="preserve">, which reduces the number of </w:t>
            </w:r>
            <w:r w:rsidR="00300F5E">
              <w:rPr>
                <w:rFonts w:ascii="Times New Roman" w:hAnsi="Times New Roman"/>
                <w:noProof/>
                <w:sz w:val="20"/>
              </w:rPr>
              <w:t xml:space="preserve">reporting </w:t>
            </w:r>
            <w:r>
              <w:rPr>
                <w:rFonts w:ascii="Times New Roman" w:hAnsi="Times New Roman"/>
                <w:noProof/>
                <w:sz w:val="20"/>
              </w:rPr>
              <w:t xml:space="preserve">CASPs. </w:t>
            </w:r>
            <w:r w:rsidR="00B7564D">
              <w:rPr>
                <w:rFonts w:ascii="Times New Roman" w:hAnsi="Times New Roman"/>
                <w:noProof/>
                <w:sz w:val="20"/>
              </w:rPr>
              <w:t>These costs are expected to be close to the middle bound nevertheless.</w:t>
            </w:r>
          </w:p>
        </w:tc>
      </w:tr>
    </w:tbl>
    <w:p w14:paraId="656E25F9" w14:textId="77777777" w:rsidR="005B125B" w:rsidRPr="008704BD" w:rsidRDefault="005B125B" w:rsidP="00011DD6">
      <w:pPr>
        <w:jc w:val="both"/>
        <w:rPr>
          <w:rFonts w:ascii="Times New Roman" w:hAnsi="Times New Roman"/>
          <w:noProof/>
          <w:sz w:val="24"/>
          <w:lang w:val="en-GB"/>
        </w:rPr>
      </w:pPr>
    </w:p>
    <w:p w14:paraId="4DB3AD6E" w14:textId="77777777" w:rsidR="00CD0192" w:rsidRDefault="002A526A" w:rsidP="41BAA3BB">
      <w:pPr>
        <w:pStyle w:val="Heading4"/>
        <w:rPr>
          <w:i w:val="0"/>
          <w:iCs w:val="0"/>
          <w:noProof/>
          <w:sz w:val="24"/>
          <w:szCs w:val="24"/>
          <w:lang w:val="en-GB"/>
        </w:rPr>
      </w:pPr>
      <w:bookmarkStart w:id="380" w:name="_Toc85052210"/>
      <w:bookmarkStart w:id="381" w:name="_Toc2069648899"/>
      <w:bookmarkStart w:id="382" w:name="_Toc257580178"/>
      <w:bookmarkStart w:id="383" w:name="_Toc1574687976"/>
      <w:bookmarkStart w:id="384" w:name="_Toc93306886"/>
      <w:r w:rsidRPr="41BAA3BB">
        <w:rPr>
          <w:i w:val="0"/>
          <w:iCs w:val="0"/>
          <w:noProof/>
          <w:sz w:val="24"/>
          <w:szCs w:val="24"/>
          <w:lang w:val="en-GB"/>
        </w:rPr>
        <w:t xml:space="preserve">6.2.2.2 </w:t>
      </w:r>
      <w:r w:rsidR="00CD0192" w:rsidRPr="41BAA3BB">
        <w:rPr>
          <w:i w:val="0"/>
          <w:iCs w:val="0"/>
          <w:noProof/>
          <w:sz w:val="24"/>
          <w:szCs w:val="24"/>
          <w:lang w:val="en-GB"/>
        </w:rPr>
        <w:t>Impact on tax administrations and Commission</w:t>
      </w:r>
      <w:bookmarkEnd w:id="380"/>
      <w:bookmarkEnd w:id="381"/>
      <w:bookmarkEnd w:id="382"/>
      <w:bookmarkEnd w:id="383"/>
      <w:bookmarkEnd w:id="384"/>
    </w:p>
    <w:p w14:paraId="011124FD" w14:textId="77777777" w:rsidR="001F7991" w:rsidRPr="00931BFE" w:rsidRDefault="001F7991" w:rsidP="00931BFE">
      <w:pPr>
        <w:rPr>
          <w:noProof/>
          <w:lang w:val="en-GB"/>
        </w:rPr>
      </w:pPr>
    </w:p>
    <w:p w14:paraId="09C4B117" w14:textId="77777777" w:rsidR="003D6FD2" w:rsidRPr="008704BD" w:rsidRDefault="003D6FD2" w:rsidP="00572424">
      <w:pPr>
        <w:jc w:val="both"/>
        <w:rPr>
          <w:rFonts w:ascii="Times New Roman" w:hAnsi="Times New Roman"/>
          <w:noProof/>
          <w:sz w:val="24"/>
          <w:lang w:val="en-GB"/>
        </w:rPr>
      </w:pPr>
      <w:r w:rsidRPr="008704BD">
        <w:rPr>
          <w:rFonts w:ascii="Times New Roman" w:hAnsi="Times New Roman"/>
          <w:noProof/>
          <w:sz w:val="24"/>
          <w:lang w:val="en-GB"/>
        </w:rPr>
        <w:t xml:space="preserve">The estimated costs incurred by tax administrations and the European Commission are </w:t>
      </w:r>
      <w:r w:rsidR="00A83ADF" w:rsidRPr="008704BD">
        <w:rPr>
          <w:rFonts w:ascii="Times New Roman" w:hAnsi="Times New Roman"/>
          <w:noProof/>
          <w:sz w:val="24"/>
          <w:lang w:val="en-GB"/>
        </w:rPr>
        <w:t xml:space="preserve">largely </w:t>
      </w:r>
      <w:r w:rsidR="00AC44D0" w:rsidRPr="008704BD">
        <w:rPr>
          <w:rFonts w:ascii="Times New Roman" w:hAnsi="Times New Roman"/>
          <w:noProof/>
          <w:sz w:val="24"/>
          <w:lang w:val="en-GB"/>
        </w:rPr>
        <w:t>dependent</w:t>
      </w:r>
      <w:r w:rsidRPr="008704BD">
        <w:rPr>
          <w:rFonts w:ascii="Times New Roman" w:hAnsi="Times New Roman"/>
          <w:noProof/>
          <w:sz w:val="24"/>
          <w:lang w:val="en-GB"/>
        </w:rPr>
        <w:t xml:space="preserve"> </w:t>
      </w:r>
      <w:r w:rsidR="00C26514" w:rsidRPr="008704BD">
        <w:rPr>
          <w:rFonts w:ascii="Times New Roman" w:hAnsi="Times New Roman"/>
          <w:noProof/>
          <w:sz w:val="24"/>
          <w:lang w:val="en-GB"/>
        </w:rPr>
        <w:t>on</w:t>
      </w:r>
      <w:r w:rsidRPr="008704BD">
        <w:rPr>
          <w:rFonts w:ascii="Times New Roman" w:hAnsi="Times New Roman"/>
          <w:noProof/>
          <w:sz w:val="24"/>
          <w:lang w:val="en-GB"/>
        </w:rPr>
        <w:t xml:space="preserve"> the IT solution needed for the reporting </w:t>
      </w:r>
      <w:r w:rsidR="00C26514" w:rsidRPr="008704BD">
        <w:rPr>
          <w:rFonts w:ascii="Times New Roman" w:hAnsi="Times New Roman"/>
          <w:noProof/>
          <w:sz w:val="24"/>
          <w:lang w:val="en-GB"/>
        </w:rPr>
        <w:t xml:space="preserve">by CASPs </w:t>
      </w:r>
      <w:r w:rsidRPr="008704BD">
        <w:rPr>
          <w:rFonts w:ascii="Times New Roman" w:hAnsi="Times New Roman"/>
          <w:noProof/>
          <w:sz w:val="24"/>
          <w:lang w:val="en-GB"/>
        </w:rPr>
        <w:t xml:space="preserve">and </w:t>
      </w:r>
      <w:r w:rsidR="00C26514" w:rsidRPr="008704BD">
        <w:rPr>
          <w:rFonts w:ascii="Times New Roman" w:hAnsi="Times New Roman"/>
          <w:noProof/>
          <w:sz w:val="24"/>
          <w:lang w:val="en-GB"/>
        </w:rPr>
        <w:t xml:space="preserve">the subsequent </w:t>
      </w:r>
      <w:r w:rsidRPr="008704BD">
        <w:rPr>
          <w:rFonts w:ascii="Times New Roman" w:hAnsi="Times New Roman"/>
          <w:noProof/>
          <w:sz w:val="24"/>
          <w:lang w:val="en-GB"/>
        </w:rPr>
        <w:t>exchange of information</w:t>
      </w:r>
      <w:r w:rsidR="00C26514" w:rsidRPr="008704BD">
        <w:rPr>
          <w:rFonts w:ascii="Times New Roman" w:hAnsi="Times New Roman"/>
          <w:noProof/>
          <w:sz w:val="24"/>
          <w:lang w:val="en-GB"/>
        </w:rPr>
        <w:t xml:space="preserve"> by tax administrations</w:t>
      </w:r>
      <w:r w:rsidRPr="008704BD">
        <w:rPr>
          <w:rFonts w:ascii="Times New Roman" w:hAnsi="Times New Roman"/>
          <w:noProof/>
          <w:sz w:val="24"/>
          <w:lang w:val="en-GB"/>
        </w:rPr>
        <w:t xml:space="preserve">. These </w:t>
      </w:r>
      <w:r w:rsidR="00C26514" w:rsidRPr="008704BD">
        <w:rPr>
          <w:rFonts w:ascii="Times New Roman" w:hAnsi="Times New Roman"/>
          <w:noProof/>
          <w:sz w:val="24"/>
          <w:lang w:val="en-GB"/>
        </w:rPr>
        <w:t>have been quantified and the relevant information is</w:t>
      </w:r>
      <w:r w:rsidRPr="008704BD">
        <w:rPr>
          <w:rFonts w:ascii="Times New Roman" w:hAnsi="Times New Roman"/>
          <w:noProof/>
          <w:sz w:val="24"/>
          <w:lang w:val="en-GB"/>
        </w:rPr>
        <w:t xml:space="preserve"> available</w:t>
      </w:r>
      <w:r w:rsidR="00F80C50" w:rsidRPr="008704BD">
        <w:rPr>
          <w:rFonts w:ascii="Times New Roman" w:hAnsi="Times New Roman"/>
          <w:noProof/>
          <w:sz w:val="24"/>
          <w:lang w:val="en-GB"/>
        </w:rPr>
        <w:t xml:space="preserve"> in Table </w:t>
      </w:r>
      <w:r w:rsidR="00B9050C" w:rsidRPr="008704BD">
        <w:rPr>
          <w:rFonts w:ascii="Times New Roman" w:hAnsi="Times New Roman"/>
          <w:noProof/>
          <w:sz w:val="24"/>
          <w:lang w:val="en-GB"/>
        </w:rPr>
        <w:t>6</w:t>
      </w:r>
      <w:r w:rsidRPr="008704BD">
        <w:rPr>
          <w:rFonts w:ascii="Times New Roman" w:hAnsi="Times New Roman"/>
          <w:noProof/>
          <w:sz w:val="24"/>
          <w:lang w:val="en-GB"/>
        </w:rPr>
        <w:t xml:space="preserve"> </w:t>
      </w:r>
      <w:r w:rsidR="004310FC" w:rsidRPr="008704BD">
        <w:rPr>
          <w:rFonts w:ascii="Times New Roman" w:hAnsi="Times New Roman"/>
          <w:noProof/>
          <w:sz w:val="24"/>
          <w:lang w:val="en-GB"/>
        </w:rPr>
        <w:t xml:space="preserve">above </w:t>
      </w:r>
      <w:r w:rsidRPr="008704BD">
        <w:rPr>
          <w:rFonts w:ascii="Times New Roman" w:hAnsi="Times New Roman"/>
          <w:noProof/>
          <w:sz w:val="24"/>
          <w:lang w:val="en-GB"/>
        </w:rPr>
        <w:t xml:space="preserve">and </w:t>
      </w:r>
      <w:r w:rsidR="0037626F" w:rsidRPr="008704BD">
        <w:rPr>
          <w:rFonts w:ascii="Times New Roman" w:hAnsi="Times New Roman"/>
          <w:noProof/>
          <w:sz w:val="24"/>
          <w:lang w:val="en-GB"/>
        </w:rPr>
        <w:t>Annex 5</w:t>
      </w:r>
      <w:r w:rsidRPr="008704BD">
        <w:rPr>
          <w:rFonts w:ascii="Times New Roman" w:hAnsi="Times New Roman"/>
          <w:noProof/>
          <w:sz w:val="24"/>
          <w:lang w:val="en-GB"/>
        </w:rPr>
        <w:t>.</w:t>
      </w:r>
    </w:p>
    <w:p w14:paraId="59CA7527" w14:textId="77777777" w:rsidR="003D6FD2" w:rsidRPr="008704BD" w:rsidRDefault="31203FE4">
      <w:pPr>
        <w:jc w:val="both"/>
        <w:rPr>
          <w:rFonts w:ascii="Times New Roman" w:hAnsi="Times New Roman"/>
          <w:noProof/>
          <w:sz w:val="24"/>
          <w:lang w:val="en-GB"/>
        </w:rPr>
      </w:pPr>
      <w:r w:rsidRPr="008704BD">
        <w:rPr>
          <w:rFonts w:ascii="Times New Roman" w:hAnsi="Times New Roman"/>
          <w:noProof/>
          <w:sz w:val="24"/>
          <w:lang w:val="en-GB"/>
        </w:rPr>
        <w:t>O</w:t>
      </w:r>
      <w:r w:rsidR="6B442427" w:rsidRPr="008704BD">
        <w:rPr>
          <w:rFonts w:ascii="Times New Roman" w:hAnsi="Times New Roman"/>
          <w:noProof/>
          <w:sz w:val="24"/>
          <w:lang w:val="en-GB"/>
        </w:rPr>
        <w:t>ne</w:t>
      </w:r>
      <w:r w:rsidR="79E3A236" w:rsidRPr="008704BD">
        <w:rPr>
          <w:rFonts w:ascii="Times New Roman" w:hAnsi="Times New Roman"/>
          <w:noProof/>
          <w:sz w:val="24"/>
          <w:lang w:val="en-GB"/>
        </w:rPr>
        <w:t>-off costs by tax administrations in the EU-27</w:t>
      </w:r>
      <w:r w:rsidR="2ED3AA2A" w:rsidRPr="008704BD">
        <w:rPr>
          <w:rFonts w:ascii="Times New Roman" w:hAnsi="Times New Roman"/>
          <w:noProof/>
          <w:sz w:val="24"/>
          <w:lang w:val="en-GB"/>
        </w:rPr>
        <w:t xml:space="preserve"> when processing crypto-asset </w:t>
      </w:r>
      <w:r w:rsidR="005F68E9" w:rsidRPr="008704BD">
        <w:rPr>
          <w:rFonts w:ascii="Times New Roman" w:hAnsi="Times New Roman"/>
          <w:noProof/>
          <w:sz w:val="24"/>
          <w:lang w:val="en-GB"/>
        </w:rPr>
        <w:t>transactions</w:t>
      </w:r>
      <w:r w:rsidR="79E3A236" w:rsidRPr="008704BD">
        <w:rPr>
          <w:rFonts w:ascii="Times New Roman" w:hAnsi="Times New Roman"/>
          <w:noProof/>
          <w:sz w:val="24"/>
          <w:lang w:val="en-GB"/>
        </w:rPr>
        <w:t xml:space="preserve"> are estimated to range between EUR </w:t>
      </w:r>
      <w:r w:rsidR="00CB68B8" w:rsidRPr="008704BD">
        <w:rPr>
          <w:rFonts w:ascii="Times New Roman" w:hAnsi="Times New Roman"/>
          <w:noProof/>
          <w:sz w:val="24"/>
          <w:lang w:val="en-GB"/>
        </w:rPr>
        <w:t>5</w:t>
      </w:r>
      <w:r w:rsidR="005F68E9" w:rsidRPr="008704BD">
        <w:rPr>
          <w:rFonts w:ascii="Times New Roman" w:hAnsi="Times New Roman"/>
          <w:noProof/>
          <w:sz w:val="24"/>
          <w:lang w:val="en-GB"/>
        </w:rPr>
        <w:t>00 000</w:t>
      </w:r>
      <w:r w:rsidR="79E3A236" w:rsidRPr="008704BD">
        <w:rPr>
          <w:rFonts w:ascii="Times New Roman" w:hAnsi="Times New Roman"/>
          <w:noProof/>
          <w:sz w:val="24"/>
          <w:lang w:val="en-GB"/>
        </w:rPr>
        <w:t xml:space="preserve"> and EUR</w:t>
      </w:r>
      <w:r w:rsidR="005F68E9" w:rsidRPr="008704BD">
        <w:rPr>
          <w:rFonts w:ascii="Times New Roman" w:hAnsi="Times New Roman"/>
          <w:noProof/>
          <w:sz w:val="24"/>
          <w:lang w:val="en-GB"/>
        </w:rPr>
        <w:t xml:space="preserve"> </w:t>
      </w:r>
      <w:r w:rsidR="00176191" w:rsidRPr="008704BD">
        <w:rPr>
          <w:rFonts w:ascii="Times New Roman" w:hAnsi="Times New Roman"/>
          <w:noProof/>
          <w:sz w:val="24"/>
          <w:lang w:val="en-GB"/>
        </w:rPr>
        <w:t>64.8</w:t>
      </w:r>
      <w:r w:rsidR="79E3A236" w:rsidRPr="008704BD">
        <w:rPr>
          <w:rFonts w:ascii="Times New Roman" w:hAnsi="Times New Roman"/>
          <w:noProof/>
          <w:sz w:val="24"/>
          <w:lang w:val="en-GB"/>
        </w:rPr>
        <w:t xml:space="preserve"> million</w:t>
      </w:r>
      <w:r w:rsidR="005F68E9" w:rsidRPr="008704BD">
        <w:rPr>
          <w:rFonts w:ascii="Times New Roman" w:hAnsi="Times New Roman"/>
          <w:noProof/>
          <w:sz w:val="24"/>
          <w:lang w:val="en-GB"/>
        </w:rPr>
        <w:t xml:space="preserve"> </w:t>
      </w:r>
      <w:r w:rsidR="79E3A236" w:rsidRPr="008704BD">
        <w:rPr>
          <w:rFonts w:ascii="Times New Roman" w:hAnsi="Times New Roman"/>
          <w:noProof/>
          <w:sz w:val="24"/>
          <w:lang w:val="en-GB"/>
        </w:rPr>
        <w:t xml:space="preserve">or between EUR </w:t>
      </w:r>
      <w:r w:rsidR="00E90092" w:rsidRPr="008704BD">
        <w:rPr>
          <w:rFonts w:ascii="Times New Roman" w:hAnsi="Times New Roman"/>
          <w:noProof/>
          <w:sz w:val="24"/>
          <w:lang w:val="en-GB"/>
        </w:rPr>
        <w:t>18 000</w:t>
      </w:r>
      <w:r w:rsidR="79E3A236" w:rsidRPr="008704BD">
        <w:rPr>
          <w:rFonts w:ascii="Times New Roman" w:hAnsi="Times New Roman"/>
          <w:noProof/>
          <w:sz w:val="24"/>
          <w:lang w:val="en-GB"/>
        </w:rPr>
        <w:t xml:space="preserve"> and EUR </w:t>
      </w:r>
      <w:r w:rsidR="0076128B" w:rsidRPr="008704BD">
        <w:rPr>
          <w:rFonts w:ascii="Times New Roman" w:hAnsi="Times New Roman"/>
          <w:noProof/>
          <w:sz w:val="24"/>
          <w:lang w:val="en-GB"/>
        </w:rPr>
        <w:t>2.</w:t>
      </w:r>
      <w:r w:rsidR="00176191" w:rsidRPr="008704BD">
        <w:rPr>
          <w:rFonts w:ascii="Times New Roman" w:hAnsi="Times New Roman"/>
          <w:noProof/>
          <w:sz w:val="24"/>
          <w:lang w:val="en-GB"/>
        </w:rPr>
        <w:t>4</w:t>
      </w:r>
      <w:r w:rsidR="00A726A1" w:rsidRPr="008704BD">
        <w:rPr>
          <w:rFonts w:ascii="Times New Roman" w:hAnsi="Times New Roman"/>
          <w:noProof/>
          <w:sz w:val="24"/>
          <w:lang w:val="en-GB"/>
        </w:rPr>
        <w:t xml:space="preserve"> million</w:t>
      </w:r>
      <w:r w:rsidR="79E3A236" w:rsidRPr="008704BD">
        <w:rPr>
          <w:rFonts w:ascii="Times New Roman" w:hAnsi="Times New Roman"/>
          <w:noProof/>
          <w:sz w:val="24"/>
          <w:lang w:val="en-GB"/>
        </w:rPr>
        <w:t xml:space="preserve"> per tax administration on average</w:t>
      </w:r>
      <w:r w:rsidR="00B71207" w:rsidRPr="008704BD">
        <w:rPr>
          <w:rFonts w:ascii="Times New Roman" w:hAnsi="Times New Roman"/>
          <w:noProof/>
          <w:sz w:val="24"/>
          <w:lang w:val="en-GB"/>
        </w:rPr>
        <w:t>, depending on the IT solution chosen</w:t>
      </w:r>
      <w:r w:rsidR="79E3A236" w:rsidRPr="008704BD">
        <w:rPr>
          <w:rFonts w:ascii="Times New Roman" w:hAnsi="Times New Roman"/>
          <w:noProof/>
          <w:sz w:val="24"/>
          <w:lang w:val="en-GB"/>
        </w:rPr>
        <w:t>.</w:t>
      </w:r>
      <w:r w:rsidR="00DF1425" w:rsidRPr="008704BD">
        <w:rPr>
          <w:rFonts w:ascii="Times New Roman" w:hAnsi="Times New Roman"/>
          <w:noProof/>
          <w:sz w:val="24"/>
          <w:lang w:val="en-GB"/>
        </w:rPr>
        <w:t xml:space="preserve"> </w:t>
      </w:r>
      <w:r w:rsidR="002A526A" w:rsidRPr="008704BD">
        <w:rPr>
          <w:rFonts w:ascii="Times New Roman" w:hAnsi="Times New Roman"/>
          <w:noProof/>
          <w:sz w:val="24"/>
          <w:lang w:val="en-GB"/>
        </w:rPr>
        <w:t>The estimated recurrent costs vary approximately</w:t>
      </w:r>
      <w:r w:rsidR="00A726A1" w:rsidRPr="008704BD">
        <w:rPr>
          <w:rFonts w:ascii="Times New Roman" w:hAnsi="Times New Roman"/>
          <w:noProof/>
          <w:sz w:val="24"/>
          <w:lang w:val="en-GB"/>
        </w:rPr>
        <w:t xml:space="preserve"> between EUR 100 000 and EUR </w:t>
      </w:r>
      <w:r w:rsidR="0076128B" w:rsidRPr="008704BD">
        <w:rPr>
          <w:rFonts w:ascii="Times New Roman" w:hAnsi="Times New Roman"/>
          <w:noProof/>
          <w:sz w:val="24"/>
          <w:lang w:val="en-GB"/>
        </w:rPr>
        <w:t>6</w:t>
      </w:r>
      <w:r w:rsidR="002A526A" w:rsidRPr="008704BD">
        <w:rPr>
          <w:rFonts w:ascii="Times New Roman" w:hAnsi="Times New Roman"/>
          <w:noProof/>
          <w:sz w:val="24"/>
          <w:lang w:val="en-GB"/>
        </w:rPr>
        <w:t xml:space="preserve"> million on a yearly basis, or between EUR 3 700 and </w:t>
      </w:r>
      <w:r w:rsidR="00A726A1" w:rsidRPr="008704BD">
        <w:rPr>
          <w:rFonts w:ascii="Times New Roman" w:hAnsi="Times New Roman"/>
          <w:noProof/>
          <w:sz w:val="24"/>
          <w:lang w:val="en-GB"/>
        </w:rPr>
        <w:t xml:space="preserve">EUR </w:t>
      </w:r>
      <w:r w:rsidR="00BC29AB" w:rsidRPr="008704BD">
        <w:rPr>
          <w:rFonts w:ascii="Times New Roman" w:hAnsi="Times New Roman"/>
          <w:noProof/>
          <w:sz w:val="24"/>
          <w:lang w:val="en-GB"/>
        </w:rPr>
        <w:t>2</w:t>
      </w:r>
      <w:r w:rsidR="0076128B" w:rsidRPr="008704BD">
        <w:rPr>
          <w:rFonts w:ascii="Times New Roman" w:hAnsi="Times New Roman"/>
          <w:noProof/>
          <w:sz w:val="24"/>
          <w:lang w:val="en-GB"/>
        </w:rPr>
        <w:t>2</w:t>
      </w:r>
      <w:r w:rsidR="002A526A" w:rsidRPr="008704BD">
        <w:rPr>
          <w:rFonts w:ascii="Times New Roman" w:hAnsi="Times New Roman"/>
          <w:noProof/>
          <w:sz w:val="24"/>
          <w:lang w:val="en-GB"/>
        </w:rPr>
        <w:t>0 000 on average per Member State. These estimates are extrapolated from the costs incurred by Member States</w:t>
      </w:r>
      <w:r w:rsidR="00946F74" w:rsidRPr="008704BD">
        <w:rPr>
          <w:rFonts w:ascii="Times New Roman" w:hAnsi="Times New Roman"/>
          <w:noProof/>
          <w:sz w:val="24"/>
          <w:lang w:val="en-GB"/>
        </w:rPr>
        <w:t xml:space="preserve"> under previous editions of DAC</w:t>
      </w:r>
      <w:r w:rsidR="002A526A" w:rsidRPr="008704BD">
        <w:rPr>
          <w:rFonts w:ascii="Times New Roman" w:hAnsi="Times New Roman"/>
          <w:noProof/>
          <w:sz w:val="24"/>
          <w:lang w:val="en-GB"/>
        </w:rPr>
        <w:t xml:space="preserve">. </w:t>
      </w:r>
      <w:r w:rsidR="00C32AD0" w:rsidRPr="008704BD">
        <w:rPr>
          <w:rFonts w:ascii="Times New Roman" w:hAnsi="Times New Roman"/>
          <w:noProof/>
          <w:sz w:val="24"/>
          <w:lang w:val="en-GB"/>
        </w:rPr>
        <w:t xml:space="preserve">They broadly </w:t>
      </w:r>
      <w:r w:rsidR="00786864" w:rsidRPr="008704BD">
        <w:rPr>
          <w:rFonts w:ascii="Times New Roman" w:hAnsi="Times New Roman"/>
          <w:noProof/>
          <w:sz w:val="24"/>
          <w:lang w:val="en-GB"/>
        </w:rPr>
        <w:t>aim at estimating</w:t>
      </w:r>
      <w:r w:rsidR="00C32AD0" w:rsidRPr="008704BD">
        <w:rPr>
          <w:rFonts w:ascii="Times New Roman" w:hAnsi="Times New Roman"/>
          <w:noProof/>
          <w:sz w:val="24"/>
          <w:lang w:val="en-GB"/>
        </w:rPr>
        <w:t xml:space="preserve"> costs for information on all crypto-assets in the EU.</w:t>
      </w:r>
    </w:p>
    <w:p w14:paraId="46FD4E8B" w14:textId="77777777" w:rsidR="00572424" w:rsidRPr="008704BD" w:rsidRDefault="003D6FD2" w:rsidP="00572424">
      <w:pPr>
        <w:pStyle w:val="Text2"/>
        <w:spacing w:line="276" w:lineRule="auto"/>
        <w:ind w:left="0"/>
        <w:rPr>
          <w:noProof/>
        </w:rPr>
      </w:pPr>
      <w:r w:rsidRPr="008704BD">
        <w:rPr>
          <w:rFonts w:eastAsiaTheme="minorEastAsia"/>
          <w:noProof/>
        </w:rPr>
        <w:t xml:space="preserve">Furthermore, the type of reporting and scope under the </w:t>
      </w:r>
      <w:r w:rsidR="00BC3D62" w:rsidRPr="008704BD">
        <w:rPr>
          <w:rFonts w:eastAsiaTheme="minorEastAsia"/>
          <w:noProof/>
        </w:rPr>
        <w:t xml:space="preserve">various </w:t>
      </w:r>
      <w:r w:rsidRPr="008704BD">
        <w:rPr>
          <w:rFonts w:eastAsiaTheme="minorEastAsia"/>
          <w:noProof/>
        </w:rPr>
        <w:t xml:space="preserve">options, will also affect </w:t>
      </w:r>
      <w:r w:rsidR="00BA759C" w:rsidRPr="008704BD">
        <w:rPr>
          <w:rFonts w:eastAsiaTheme="minorEastAsia"/>
          <w:noProof/>
        </w:rPr>
        <w:t>recurrent</w:t>
      </w:r>
      <w:r w:rsidRPr="008704BD">
        <w:rPr>
          <w:rFonts w:eastAsiaTheme="minorEastAsia"/>
          <w:noProof/>
        </w:rPr>
        <w:t xml:space="preserve"> costs </w:t>
      </w:r>
      <w:r w:rsidR="00BA759C" w:rsidRPr="008704BD">
        <w:rPr>
          <w:rFonts w:eastAsiaTheme="minorEastAsia"/>
          <w:noProof/>
        </w:rPr>
        <w:t>for</w:t>
      </w:r>
      <w:r w:rsidRPr="008704BD">
        <w:rPr>
          <w:rFonts w:eastAsiaTheme="minorEastAsia"/>
          <w:noProof/>
        </w:rPr>
        <w:t xml:space="preserve"> tax administrations. </w:t>
      </w:r>
      <w:r w:rsidR="00C54AE9" w:rsidRPr="008704BD">
        <w:rPr>
          <w:rFonts w:eastAsiaTheme="minorEastAsia"/>
          <w:noProof/>
        </w:rPr>
        <w:t>These are</w:t>
      </w:r>
      <w:r w:rsidR="00C26514" w:rsidRPr="008704BD">
        <w:rPr>
          <w:rFonts w:eastAsiaTheme="minorEastAsia"/>
          <w:noProof/>
        </w:rPr>
        <w:t xml:space="preserve"> </w:t>
      </w:r>
      <w:r w:rsidR="00C54AE9" w:rsidRPr="008704BD">
        <w:rPr>
          <w:rFonts w:eastAsiaTheme="minorEastAsia"/>
          <w:noProof/>
        </w:rPr>
        <w:t>qualitatively assessed</w:t>
      </w:r>
      <w:r w:rsidR="00C26514" w:rsidRPr="008704BD">
        <w:rPr>
          <w:rFonts w:eastAsiaTheme="minorEastAsia"/>
          <w:noProof/>
        </w:rPr>
        <w:t xml:space="preserve">, however, and summarised </w:t>
      </w:r>
      <w:r w:rsidR="00C54AE9" w:rsidRPr="008704BD">
        <w:rPr>
          <w:rFonts w:eastAsiaTheme="minorEastAsia"/>
          <w:noProof/>
        </w:rPr>
        <w:t>in the table below.</w:t>
      </w:r>
      <w:r w:rsidRPr="00D312CE">
        <w:rPr>
          <w:noProof/>
          <w:szCs w:val="24"/>
        </w:rPr>
        <w:t xml:space="preserve"> </w:t>
      </w:r>
    </w:p>
    <w:p w14:paraId="7EBB05E8" w14:textId="77777777" w:rsidR="00DD4E3C" w:rsidRPr="008704BD" w:rsidRDefault="00DD4E3C" w:rsidP="00DD4E3C">
      <w:pPr>
        <w:pStyle w:val="Caption"/>
        <w:keepNext/>
        <w:rPr>
          <w:noProof/>
          <w:sz w:val="24"/>
        </w:rPr>
      </w:pPr>
      <w:r w:rsidRPr="008704BD">
        <w:rPr>
          <w:noProof/>
          <w:sz w:val="24"/>
        </w:rPr>
        <w:t xml:space="preserve">Table </w:t>
      </w:r>
      <w:r w:rsidR="00931BFE">
        <w:rPr>
          <w:noProof/>
          <w:sz w:val="24"/>
        </w:rPr>
        <w:t>9</w:t>
      </w:r>
      <w:r w:rsidRPr="008704BD">
        <w:rPr>
          <w:noProof/>
          <w:sz w:val="24"/>
        </w:rPr>
        <w:t xml:space="preserve"> Assessment of costs per policy option (tax administrations)</w:t>
      </w:r>
    </w:p>
    <w:tbl>
      <w:tblPr>
        <w:tblStyle w:val="TableGrid"/>
        <w:tblW w:w="0" w:type="auto"/>
        <w:tblLook w:val="04A0" w:firstRow="1" w:lastRow="0" w:firstColumn="1" w:lastColumn="0" w:noHBand="0" w:noVBand="1"/>
      </w:tblPr>
      <w:tblGrid>
        <w:gridCol w:w="846"/>
        <w:gridCol w:w="8504"/>
      </w:tblGrid>
      <w:tr w:rsidR="0046044B" w:rsidRPr="00D312CE" w14:paraId="4B5EF569" w14:textId="77777777" w:rsidTr="6D0B1F45">
        <w:tc>
          <w:tcPr>
            <w:tcW w:w="846" w:type="dxa"/>
            <w:vAlign w:val="center"/>
          </w:tcPr>
          <w:p w14:paraId="67DE8632" w14:textId="77777777" w:rsidR="0046044B" w:rsidRPr="008704BD" w:rsidRDefault="0046044B" w:rsidP="0046044B">
            <w:pPr>
              <w:jc w:val="center"/>
              <w:rPr>
                <w:rFonts w:ascii="Times New Roman" w:hAnsi="Times New Roman"/>
                <w:b/>
                <w:noProof/>
                <w:sz w:val="20"/>
              </w:rPr>
            </w:pPr>
            <w:r w:rsidRPr="008704BD">
              <w:rPr>
                <w:rFonts w:ascii="Times New Roman" w:hAnsi="Times New Roman"/>
                <w:b/>
                <w:noProof/>
                <w:sz w:val="20"/>
              </w:rPr>
              <w:t>Option</w:t>
            </w:r>
          </w:p>
        </w:tc>
        <w:tc>
          <w:tcPr>
            <w:tcW w:w="8504" w:type="dxa"/>
            <w:vAlign w:val="center"/>
          </w:tcPr>
          <w:p w14:paraId="5ECF222D" w14:textId="77777777" w:rsidR="0046044B" w:rsidRPr="008704BD" w:rsidRDefault="0046044B" w:rsidP="0046044B">
            <w:pPr>
              <w:jc w:val="center"/>
              <w:rPr>
                <w:rFonts w:ascii="Times New Roman" w:hAnsi="Times New Roman"/>
                <w:b/>
                <w:noProof/>
                <w:sz w:val="20"/>
              </w:rPr>
            </w:pPr>
            <w:r w:rsidRPr="008704BD">
              <w:rPr>
                <w:rFonts w:ascii="Times New Roman" w:hAnsi="Times New Roman"/>
                <w:b/>
                <w:noProof/>
                <w:sz w:val="20"/>
              </w:rPr>
              <w:t>Assessment</w:t>
            </w:r>
          </w:p>
        </w:tc>
      </w:tr>
      <w:tr w:rsidR="0046044B" w:rsidRPr="00D312CE" w14:paraId="6C4BF593" w14:textId="77777777" w:rsidTr="6D0B1F45">
        <w:tc>
          <w:tcPr>
            <w:tcW w:w="846" w:type="dxa"/>
            <w:vAlign w:val="center"/>
          </w:tcPr>
          <w:p w14:paraId="574D84C0" w14:textId="2F0B1175" w:rsidR="0046044B" w:rsidRPr="008704BD" w:rsidRDefault="0054413F" w:rsidP="0046044B">
            <w:pPr>
              <w:jc w:val="center"/>
              <w:rPr>
                <w:rFonts w:ascii="Times New Roman" w:hAnsi="Times New Roman"/>
                <w:noProof/>
                <w:sz w:val="20"/>
              </w:rPr>
            </w:pPr>
            <w:r>
              <w:rPr>
                <w:rFonts w:ascii="Times New Roman" w:hAnsi="Times New Roman"/>
                <w:noProof/>
                <w:sz w:val="20"/>
              </w:rPr>
              <w:t>1</w:t>
            </w:r>
          </w:p>
        </w:tc>
        <w:tc>
          <w:tcPr>
            <w:tcW w:w="8504" w:type="dxa"/>
          </w:tcPr>
          <w:p w14:paraId="53EAA86B" w14:textId="77777777" w:rsidR="0046044B" w:rsidRPr="008704BD" w:rsidRDefault="00731ACA" w:rsidP="00BC3D62">
            <w:pPr>
              <w:jc w:val="both"/>
              <w:rPr>
                <w:rFonts w:ascii="Times New Roman" w:hAnsi="Times New Roman"/>
                <w:noProof/>
                <w:sz w:val="20"/>
              </w:rPr>
            </w:pPr>
            <w:r w:rsidRPr="008704BD">
              <w:rPr>
                <w:rFonts w:ascii="Times New Roman" w:hAnsi="Times New Roman"/>
                <w:noProof/>
                <w:sz w:val="20"/>
              </w:rPr>
              <w:t xml:space="preserve">The transaction-by-transaction reporting would bring increased costs for tax administrations, as the information received would be much more voluminous, thus requiring more time to process. </w:t>
            </w:r>
            <w:r>
              <w:rPr>
                <w:rFonts w:ascii="Times New Roman" w:hAnsi="Times New Roman"/>
                <w:noProof/>
                <w:sz w:val="20"/>
              </w:rPr>
              <w:t xml:space="preserve">Compared to aggregate or hybrid reporting, </w:t>
            </w:r>
            <w:r w:rsidRPr="008704BD">
              <w:rPr>
                <w:rFonts w:ascii="Times New Roman" w:hAnsi="Times New Roman"/>
                <w:noProof/>
                <w:sz w:val="20"/>
              </w:rPr>
              <w:t>transaction-by-transaction reporting is likely to be quite significant with respect to processing a much higher amount of untreated data, as all transactions by a single taxpayer would have to be made available.</w:t>
            </w:r>
            <w:r w:rsidR="00F00E2D">
              <w:rPr>
                <w:rFonts w:ascii="Times New Roman" w:hAnsi="Times New Roman"/>
                <w:noProof/>
                <w:sz w:val="20"/>
              </w:rPr>
              <w:t xml:space="preserve"> </w:t>
            </w:r>
            <w:r w:rsidR="00F00E2D" w:rsidRPr="008704BD">
              <w:rPr>
                <w:rFonts w:ascii="Times New Roman" w:hAnsi="Times New Roman"/>
                <w:noProof/>
                <w:sz w:val="20"/>
              </w:rPr>
              <w:t>Therefore, more information will need to be processed by tax authorities, with an impact on IT infrastructure needed.</w:t>
            </w:r>
          </w:p>
        </w:tc>
      </w:tr>
      <w:tr w:rsidR="0046044B" w:rsidRPr="00D312CE" w14:paraId="1D454E6E" w14:textId="77777777" w:rsidTr="00F42C0E">
        <w:trPr>
          <w:trHeight w:val="300"/>
        </w:trPr>
        <w:tc>
          <w:tcPr>
            <w:tcW w:w="846" w:type="dxa"/>
            <w:vAlign w:val="center"/>
          </w:tcPr>
          <w:p w14:paraId="3918E70A" w14:textId="56A97BDC" w:rsidR="0046044B" w:rsidRPr="008704BD" w:rsidRDefault="0054413F" w:rsidP="0046044B">
            <w:pPr>
              <w:jc w:val="center"/>
              <w:rPr>
                <w:rFonts w:ascii="Times New Roman" w:hAnsi="Times New Roman"/>
                <w:noProof/>
                <w:sz w:val="20"/>
              </w:rPr>
            </w:pPr>
            <w:r>
              <w:rPr>
                <w:rFonts w:ascii="Times New Roman" w:hAnsi="Times New Roman"/>
                <w:noProof/>
                <w:sz w:val="20"/>
              </w:rPr>
              <w:t>2</w:t>
            </w:r>
          </w:p>
        </w:tc>
        <w:tc>
          <w:tcPr>
            <w:tcW w:w="8504" w:type="dxa"/>
          </w:tcPr>
          <w:p w14:paraId="0B642DFF" w14:textId="6B805399" w:rsidR="0046044B" w:rsidRPr="008704BD" w:rsidRDefault="00731ACA">
            <w:pPr>
              <w:jc w:val="both"/>
              <w:rPr>
                <w:rFonts w:ascii="Times New Roman" w:hAnsi="Times New Roman"/>
                <w:noProof/>
                <w:sz w:val="20"/>
              </w:rPr>
            </w:pPr>
            <w:r>
              <w:rPr>
                <w:rFonts w:ascii="Times New Roman" w:hAnsi="Times New Roman"/>
                <w:noProof/>
                <w:sz w:val="20"/>
              </w:rPr>
              <w:t xml:space="preserve">The potential issues remain the same as in Option </w:t>
            </w:r>
            <w:r w:rsidR="006B5563">
              <w:rPr>
                <w:rFonts w:ascii="Times New Roman" w:hAnsi="Times New Roman"/>
                <w:noProof/>
                <w:sz w:val="20"/>
              </w:rPr>
              <w:t>1</w:t>
            </w:r>
            <w:r>
              <w:rPr>
                <w:rFonts w:ascii="Times New Roman" w:hAnsi="Times New Roman"/>
                <w:noProof/>
                <w:sz w:val="20"/>
              </w:rPr>
              <w:t xml:space="preserve">, but the </w:t>
            </w:r>
            <w:r w:rsidR="00F00E2D">
              <w:rPr>
                <w:rFonts w:ascii="Times New Roman" w:hAnsi="Times New Roman"/>
                <w:noProof/>
                <w:sz w:val="20"/>
              </w:rPr>
              <w:t>estimated c</w:t>
            </w:r>
            <w:r w:rsidR="00BA759C" w:rsidRPr="008704BD">
              <w:rPr>
                <w:rFonts w:ascii="Times New Roman" w:hAnsi="Times New Roman"/>
                <w:noProof/>
                <w:sz w:val="20"/>
              </w:rPr>
              <w:t>osts</w:t>
            </w:r>
            <w:r w:rsidR="00F00E2D">
              <w:rPr>
                <w:rFonts w:ascii="Times New Roman" w:hAnsi="Times New Roman"/>
                <w:noProof/>
                <w:sz w:val="20"/>
              </w:rPr>
              <w:t xml:space="preserve"> (recurrent in particular)</w:t>
            </w:r>
            <w:r w:rsidR="00BA759C" w:rsidRPr="008704BD">
              <w:rPr>
                <w:rFonts w:ascii="Times New Roman" w:hAnsi="Times New Roman"/>
                <w:noProof/>
                <w:sz w:val="20"/>
              </w:rPr>
              <w:t xml:space="preserve"> are likely to be </w:t>
            </w:r>
            <w:r w:rsidR="00F00E2D">
              <w:rPr>
                <w:rFonts w:ascii="Times New Roman" w:hAnsi="Times New Roman"/>
                <w:noProof/>
                <w:sz w:val="20"/>
              </w:rPr>
              <w:t>lower</w:t>
            </w:r>
            <w:r w:rsidR="00BC3D62" w:rsidRPr="008704BD">
              <w:rPr>
                <w:rFonts w:ascii="Times New Roman" w:hAnsi="Times New Roman"/>
                <w:noProof/>
                <w:sz w:val="20"/>
              </w:rPr>
              <w:t xml:space="preserve">, </w:t>
            </w:r>
            <w:r w:rsidR="00BA759C" w:rsidRPr="008704BD">
              <w:rPr>
                <w:rFonts w:ascii="Times New Roman" w:hAnsi="Times New Roman"/>
                <w:noProof/>
                <w:sz w:val="20"/>
              </w:rPr>
              <w:t xml:space="preserve">as there is </w:t>
            </w:r>
            <w:r w:rsidR="00F00E2D">
              <w:rPr>
                <w:rFonts w:ascii="Times New Roman" w:hAnsi="Times New Roman"/>
                <w:noProof/>
                <w:sz w:val="20"/>
              </w:rPr>
              <w:t>a</w:t>
            </w:r>
            <w:r w:rsidR="00F00E2D" w:rsidRPr="008704BD">
              <w:rPr>
                <w:rFonts w:ascii="Times New Roman" w:hAnsi="Times New Roman"/>
                <w:noProof/>
                <w:sz w:val="20"/>
              </w:rPr>
              <w:t xml:space="preserve"> </w:t>
            </w:r>
            <w:r w:rsidR="00BA759C" w:rsidRPr="008704BD">
              <w:rPr>
                <w:rFonts w:ascii="Times New Roman" w:hAnsi="Times New Roman"/>
                <w:noProof/>
                <w:sz w:val="20"/>
              </w:rPr>
              <w:t>threshold on CASP size</w:t>
            </w:r>
            <w:r w:rsidR="00F00E2D">
              <w:rPr>
                <w:rFonts w:ascii="Times New Roman" w:hAnsi="Times New Roman"/>
                <w:noProof/>
                <w:sz w:val="20"/>
              </w:rPr>
              <w:t>, meaning less data will be transmitted to the tax authorities.</w:t>
            </w:r>
            <w:r w:rsidR="009F4089">
              <w:rPr>
                <w:rFonts w:ascii="Times New Roman" w:hAnsi="Times New Roman"/>
                <w:noProof/>
                <w:sz w:val="20"/>
              </w:rPr>
              <w:t xml:space="preserve"> Reporting less data, however, might be problematic since even smaller CASPs can still have relatively large customer bases,</w:t>
            </w:r>
            <w:r w:rsidR="00E735ED">
              <w:rPr>
                <w:rFonts w:ascii="Times New Roman" w:hAnsi="Times New Roman"/>
                <w:noProof/>
                <w:sz w:val="20"/>
              </w:rPr>
              <w:t xml:space="preserve"> which could lead to less tax income (this is also applicable to Options </w:t>
            </w:r>
            <w:r w:rsidR="006B5563">
              <w:rPr>
                <w:rFonts w:ascii="Times New Roman" w:hAnsi="Times New Roman"/>
                <w:noProof/>
                <w:sz w:val="20"/>
              </w:rPr>
              <w:t>4</w:t>
            </w:r>
            <w:r w:rsidR="00E735ED">
              <w:rPr>
                <w:rFonts w:ascii="Times New Roman" w:hAnsi="Times New Roman"/>
                <w:noProof/>
                <w:sz w:val="20"/>
              </w:rPr>
              <w:t xml:space="preserve"> and </w:t>
            </w:r>
            <w:r w:rsidR="006B5563">
              <w:rPr>
                <w:rFonts w:ascii="Times New Roman" w:hAnsi="Times New Roman"/>
                <w:noProof/>
                <w:sz w:val="20"/>
              </w:rPr>
              <w:t>6</w:t>
            </w:r>
            <w:r w:rsidR="00E735ED">
              <w:rPr>
                <w:rFonts w:ascii="Times New Roman" w:hAnsi="Times New Roman"/>
                <w:noProof/>
                <w:sz w:val="20"/>
              </w:rPr>
              <w:t>).</w:t>
            </w:r>
          </w:p>
        </w:tc>
      </w:tr>
      <w:tr w:rsidR="0046044B" w:rsidRPr="00D312CE" w14:paraId="23E081C9" w14:textId="77777777" w:rsidTr="6D0B1F45">
        <w:tc>
          <w:tcPr>
            <w:tcW w:w="846" w:type="dxa"/>
            <w:vAlign w:val="center"/>
          </w:tcPr>
          <w:p w14:paraId="06DE8DAF" w14:textId="3514019B" w:rsidR="0046044B" w:rsidRPr="008704BD" w:rsidRDefault="0054413F" w:rsidP="0046044B">
            <w:pPr>
              <w:jc w:val="center"/>
              <w:rPr>
                <w:rFonts w:ascii="Times New Roman" w:hAnsi="Times New Roman"/>
                <w:noProof/>
                <w:sz w:val="20"/>
              </w:rPr>
            </w:pPr>
            <w:r>
              <w:rPr>
                <w:rFonts w:ascii="Times New Roman" w:hAnsi="Times New Roman"/>
                <w:noProof/>
                <w:sz w:val="20"/>
              </w:rPr>
              <w:t>3</w:t>
            </w:r>
          </w:p>
        </w:tc>
        <w:tc>
          <w:tcPr>
            <w:tcW w:w="8504" w:type="dxa"/>
          </w:tcPr>
          <w:p w14:paraId="22EE1D23" w14:textId="3F6FE182" w:rsidR="0046044B" w:rsidRPr="008704BD" w:rsidRDefault="7FAE625E" w:rsidP="00BC3D62">
            <w:pPr>
              <w:jc w:val="both"/>
              <w:rPr>
                <w:rFonts w:ascii="Times New Roman" w:hAnsi="Times New Roman"/>
                <w:noProof/>
                <w:sz w:val="20"/>
              </w:rPr>
            </w:pPr>
            <w:r w:rsidRPr="008704BD">
              <w:rPr>
                <w:rFonts w:ascii="Times New Roman" w:hAnsi="Times New Roman"/>
                <w:noProof/>
                <w:sz w:val="20"/>
              </w:rPr>
              <w:t xml:space="preserve">The data sent to the tax authorities by CASPs should </w:t>
            </w:r>
            <w:r w:rsidR="32129DA4" w:rsidRPr="008704BD">
              <w:rPr>
                <w:rFonts w:ascii="Times New Roman" w:hAnsi="Times New Roman"/>
                <w:noProof/>
                <w:sz w:val="20"/>
              </w:rPr>
              <w:t xml:space="preserve">contain </w:t>
            </w:r>
            <w:r w:rsidRPr="008704BD">
              <w:rPr>
                <w:rFonts w:ascii="Times New Roman" w:hAnsi="Times New Roman"/>
                <w:noProof/>
                <w:sz w:val="20"/>
              </w:rPr>
              <w:t>aggregate information</w:t>
            </w:r>
            <w:r w:rsidR="00BA759C" w:rsidRPr="008704BD">
              <w:rPr>
                <w:rFonts w:ascii="Times New Roman" w:hAnsi="Times New Roman"/>
                <w:noProof/>
                <w:sz w:val="20"/>
              </w:rPr>
              <w:t>.</w:t>
            </w:r>
            <w:r w:rsidR="32129DA4" w:rsidRPr="008704BD">
              <w:rPr>
                <w:rFonts w:ascii="Times New Roman" w:hAnsi="Times New Roman"/>
                <w:noProof/>
                <w:sz w:val="20"/>
              </w:rPr>
              <w:t xml:space="preserve"> While the volume of information is likely to be </w:t>
            </w:r>
            <w:r w:rsidR="00F00E2D">
              <w:rPr>
                <w:rFonts w:ascii="Times New Roman" w:hAnsi="Times New Roman"/>
                <w:noProof/>
                <w:sz w:val="20"/>
              </w:rPr>
              <w:t>lower</w:t>
            </w:r>
            <w:r w:rsidR="00F00E2D" w:rsidRPr="008704BD">
              <w:rPr>
                <w:rFonts w:ascii="Times New Roman" w:hAnsi="Times New Roman"/>
                <w:noProof/>
                <w:sz w:val="20"/>
              </w:rPr>
              <w:t xml:space="preserve"> </w:t>
            </w:r>
            <w:r w:rsidR="32129DA4" w:rsidRPr="008704BD">
              <w:rPr>
                <w:rFonts w:ascii="Times New Roman" w:hAnsi="Times New Roman"/>
                <w:noProof/>
                <w:sz w:val="20"/>
              </w:rPr>
              <w:t xml:space="preserve">than under </w:t>
            </w:r>
            <w:r w:rsidR="006B5563">
              <w:rPr>
                <w:rFonts w:ascii="Times New Roman" w:hAnsi="Times New Roman"/>
                <w:noProof/>
                <w:sz w:val="20"/>
              </w:rPr>
              <w:t>O</w:t>
            </w:r>
            <w:r w:rsidR="32129DA4" w:rsidRPr="008704BD">
              <w:rPr>
                <w:rFonts w:ascii="Times New Roman" w:hAnsi="Times New Roman"/>
                <w:noProof/>
                <w:sz w:val="20"/>
              </w:rPr>
              <w:t xml:space="preserve">ptions </w:t>
            </w:r>
            <w:r w:rsidR="006B5563">
              <w:rPr>
                <w:rFonts w:ascii="Times New Roman" w:hAnsi="Times New Roman"/>
                <w:noProof/>
                <w:sz w:val="20"/>
              </w:rPr>
              <w:t>1</w:t>
            </w:r>
            <w:r w:rsidR="32129DA4" w:rsidRPr="008704BD">
              <w:rPr>
                <w:rFonts w:ascii="Times New Roman" w:hAnsi="Times New Roman"/>
                <w:noProof/>
                <w:sz w:val="20"/>
              </w:rPr>
              <w:t xml:space="preserve"> and </w:t>
            </w:r>
            <w:r w:rsidR="006B5563">
              <w:rPr>
                <w:rFonts w:ascii="Times New Roman" w:hAnsi="Times New Roman"/>
                <w:noProof/>
                <w:sz w:val="20"/>
              </w:rPr>
              <w:t>2</w:t>
            </w:r>
            <w:r w:rsidR="32129DA4" w:rsidRPr="008704BD">
              <w:rPr>
                <w:rFonts w:ascii="Times New Roman" w:hAnsi="Times New Roman"/>
                <w:noProof/>
                <w:sz w:val="20"/>
              </w:rPr>
              <w:t xml:space="preserve">, the tax administrations </w:t>
            </w:r>
            <w:r w:rsidR="00F00E2D">
              <w:rPr>
                <w:rFonts w:ascii="Times New Roman" w:hAnsi="Times New Roman"/>
                <w:noProof/>
                <w:sz w:val="20"/>
              </w:rPr>
              <w:t>might need additional clarifications leading to second round of inquiries to the CASPs</w:t>
            </w:r>
            <w:r w:rsidR="3A16F07D" w:rsidRPr="008704BD">
              <w:rPr>
                <w:rFonts w:ascii="Times New Roman" w:hAnsi="Times New Roman"/>
                <w:noProof/>
                <w:sz w:val="20"/>
              </w:rPr>
              <w:t>.</w:t>
            </w:r>
            <w:r w:rsidR="00F00E2D">
              <w:rPr>
                <w:rFonts w:ascii="Times New Roman" w:hAnsi="Times New Roman"/>
                <w:noProof/>
                <w:sz w:val="20"/>
              </w:rPr>
              <w:t xml:space="preserve"> However, it cannot be precisely predicted how often will this occur, but the costs are still expected to be lesser than in previous two options. </w:t>
            </w:r>
          </w:p>
        </w:tc>
      </w:tr>
      <w:tr w:rsidR="0046044B" w:rsidRPr="00D312CE" w14:paraId="616C7D79" w14:textId="77777777" w:rsidTr="6D0B1F45">
        <w:tc>
          <w:tcPr>
            <w:tcW w:w="846" w:type="dxa"/>
            <w:vAlign w:val="center"/>
          </w:tcPr>
          <w:p w14:paraId="76DFCD17" w14:textId="422B179C" w:rsidR="0046044B" w:rsidRPr="008704BD" w:rsidRDefault="0054413F" w:rsidP="0046044B">
            <w:pPr>
              <w:jc w:val="center"/>
              <w:rPr>
                <w:rFonts w:ascii="Times New Roman" w:hAnsi="Times New Roman"/>
                <w:noProof/>
                <w:sz w:val="20"/>
              </w:rPr>
            </w:pPr>
            <w:r>
              <w:rPr>
                <w:rFonts w:ascii="Times New Roman" w:hAnsi="Times New Roman"/>
                <w:noProof/>
                <w:sz w:val="20"/>
              </w:rPr>
              <w:t>4</w:t>
            </w:r>
          </w:p>
        </w:tc>
        <w:tc>
          <w:tcPr>
            <w:tcW w:w="8504" w:type="dxa"/>
          </w:tcPr>
          <w:p w14:paraId="02CBD9BB" w14:textId="0A359E48" w:rsidR="0046044B" w:rsidRPr="008704BD" w:rsidRDefault="00F00E2D" w:rsidP="00C25D2A">
            <w:pPr>
              <w:jc w:val="both"/>
              <w:rPr>
                <w:rFonts w:ascii="Times New Roman" w:hAnsi="Times New Roman"/>
                <w:noProof/>
                <w:sz w:val="20"/>
              </w:rPr>
            </w:pPr>
            <w:r>
              <w:rPr>
                <w:rFonts w:ascii="Times New Roman" w:hAnsi="Times New Roman"/>
                <w:noProof/>
                <w:sz w:val="20"/>
              </w:rPr>
              <w:t xml:space="preserve">This option is similar to Option </w:t>
            </w:r>
            <w:r w:rsidR="006B5563">
              <w:rPr>
                <w:rFonts w:ascii="Times New Roman" w:hAnsi="Times New Roman"/>
                <w:noProof/>
                <w:sz w:val="20"/>
              </w:rPr>
              <w:t>3</w:t>
            </w:r>
            <w:r>
              <w:rPr>
                <w:rFonts w:ascii="Times New Roman" w:hAnsi="Times New Roman"/>
                <w:noProof/>
                <w:sz w:val="20"/>
              </w:rPr>
              <w:t>, but the estimated c</w:t>
            </w:r>
            <w:r w:rsidRPr="008704BD">
              <w:rPr>
                <w:rFonts w:ascii="Times New Roman" w:hAnsi="Times New Roman"/>
                <w:noProof/>
                <w:sz w:val="20"/>
              </w:rPr>
              <w:t>osts</w:t>
            </w:r>
            <w:r>
              <w:rPr>
                <w:rFonts w:ascii="Times New Roman" w:hAnsi="Times New Roman"/>
                <w:noProof/>
                <w:sz w:val="20"/>
              </w:rPr>
              <w:t xml:space="preserve"> (recurrent in particular)</w:t>
            </w:r>
            <w:r w:rsidRPr="008704BD">
              <w:rPr>
                <w:rFonts w:ascii="Times New Roman" w:hAnsi="Times New Roman"/>
                <w:noProof/>
                <w:sz w:val="20"/>
              </w:rPr>
              <w:t xml:space="preserve"> are likely to be </w:t>
            </w:r>
            <w:r>
              <w:rPr>
                <w:rFonts w:ascii="Times New Roman" w:hAnsi="Times New Roman"/>
                <w:noProof/>
                <w:sz w:val="20"/>
              </w:rPr>
              <w:t>lower</w:t>
            </w:r>
            <w:r w:rsidRPr="008704BD">
              <w:rPr>
                <w:rFonts w:ascii="Times New Roman" w:hAnsi="Times New Roman"/>
                <w:noProof/>
                <w:sz w:val="20"/>
              </w:rPr>
              <w:t xml:space="preserve">, as there is </w:t>
            </w:r>
            <w:r>
              <w:rPr>
                <w:rFonts w:ascii="Times New Roman" w:hAnsi="Times New Roman"/>
                <w:noProof/>
                <w:sz w:val="20"/>
              </w:rPr>
              <w:t>a</w:t>
            </w:r>
            <w:r w:rsidRPr="008704BD">
              <w:rPr>
                <w:rFonts w:ascii="Times New Roman" w:hAnsi="Times New Roman"/>
                <w:noProof/>
                <w:sz w:val="20"/>
              </w:rPr>
              <w:t xml:space="preserve"> threshold on CASP size</w:t>
            </w:r>
            <w:r>
              <w:rPr>
                <w:rFonts w:ascii="Times New Roman" w:hAnsi="Times New Roman"/>
                <w:noProof/>
                <w:sz w:val="20"/>
              </w:rPr>
              <w:t>, meaning less data will be transmitted to the tax authorities</w:t>
            </w:r>
            <w:r w:rsidR="00E74314">
              <w:rPr>
                <w:rFonts w:ascii="Times New Roman" w:hAnsi="Times New Roman"/>
                <w:noProof/>
                <w:sz w:val="20"/>
              </w:rPr>
              <w:t>.</w:t>
            </w:r>
          </w:p>
        </w:tc>
      </w:tr>
      <w:tr w:rsidR="00163819" w:rsidRPr="00D312CE" w14:paraId="732CB61F" w14:textId="77777777" w:rsidTr="6D0B1F45">
        <w:tc>
          <w:tcPr>
            <w:tcW w:w="846" w:type="dxa"/>
            <w:vAlign w:val="center"/>
          </w:tcPr>
          <w:p w14:paraId="1A16810D" w14:textId="4605E521" w:rsidR="00163819" w:rsidRPr="008704BD" w:rsidRDefault="0054413F" w:rsidP="0046044B">
            <w:pPr>
              <w:jc w:val="center"/>
              <w:rPr>
                <w:rFonts w:ascii="Times New Roman" w:hAnsi="Times New Roman"/>
                <w:noProof/>
                <w:sz w:val="20"/>
              </w:rPr>
            </w:pPr>
            <w:r>
              <w:rPr>
                <w:rFonts w:ascii="Times New Roman" w:hAnsi="Times New Roman"/>
                <w:noProof/>
                <w:sz w:val="20"/>
              </w:rPr>
              <w:t>5</w:t>
            </w:r>
          </w:p>
        </w:tc>
        <w:tc>
          <w:tcPr>
            <w:tcW w:w="8504" w:type="dxa"/>
          </w:tcPr>
          <w:p w14:paraId="6C617E07" w14:textId="77777777" w:rsidR="00163819" w:rsidRPr="008704BD" w:rsidRDefault="00E74314" w:rsidP="00C25D2A">
            <w:pPr>
              <w:jc w:val="both"/>
              <w:rPr>
                <w:rFonts w:ascii="Times New Roman" w:hAnsi="Times New Roman"/>
                <w:noProof/>
                <w:sz w:val="20"/>
              </w:rPr>
            </w:pPr>
            <w:r>
              <w:rPr>
                <w:rFonts w:ascii="Times New Roman" w:hAnsi="Times New Roman"/>
                <w:noProof/>
                <w:sz w:val="20"/>
              </w:rPr>
              <w:t>This option encompasses hybrid reporting by the CASPs, which is the most cost efficient modality for the tax administrations. This is due to the fact that the data received is predominantly aggregated (i.e. no large data volumes to process) and detailed information is requested to the CASPs only when necessary (i.e. the need for the second round of information is being significantly reduced).</w:t>
            </w:r>
          </w:p>
        </w:tc>
      </w:tr>
      <w:tr w:rsidR="00163819" w:rsidRPr="00D312CE" w14:paraId="44892DA3" w14:textId="77777777" w:rsidTr="6D0B1F45">
        <w:tc>
          <w:tcPr>
            <w:tcW w:w="846" w:type="dxa"/>
            <w:vAlign w:val="center"/>
          </w:tcPr>
          <w:p w14:paraId="1553AC8A" w14:textId="6B340CEF" w:rsidR="00163819" w:rsidRDefault="0054413F" w:rsidP="0046044B">
            <w:pPr>
              <w:jc w:val="center"/>
              <w:rPr>
                <w:rFonts w:ascii="Times New Roman" w:hAnsi="Times New Roman"/>
                <w:noProof/>
                <w:sz w:val="20"/>
              </w:rPr>
            </w:pPr>
            <w:r>
              <w:rPr>
                <w:rFonts w:ascii="Times New Roman" w:hAnsi="Times New Roman"/>
                <w:noProof/>
                <w:sz w:val="20"/>
              </w:rPr>
              <w:t>6</w:t>
            </w:r>
          </w:p>
        </w:tc>
        <w:tc>
          <w:tcPr>
            <w:tcW w:w="8504" w:type="dxa"/>
          </w:tcPr>
          <w:p w14:paraId="460EE58D" w14:textId="46E126E2" w:rsidR="00163819" w:rsidRDefault="00E74314" w:rsidP="00C25D2A">
            <w:pPr>
              <w:jc w:val="both"/>
              <w:rPr>
                <w:rFonts w:ascii="Times New Roman" w:hAnsi="Times New Roman"/>
                <w:noProof/>
                <w:sz w:val="20"/>
              </w:rPr>
            </w:pPr>
            <w:r>
              <w:rPr>
                <w:rFonts w:ascii="Times New Roman" w:hAnsi="Times New Roman"/>
                <w:noProof/>
                <w:sz w:val="20"/>
              </w:rPr>
              <w:t xml:space="preserve">This option is similar to Option </w:t>
            </w:r>
            <w:r w:rsidR="006B5563">
              <w:rPr>
                <w:rFonts w:ascii="Times New Roman" w:hAnsi="Times New Roman"/>
                <w:noProof/>
                <w:sz w:val="20"/>
              </w:rPr>
              <w:t>4</w:t>
            </w:r>
            <w:r>
              <w:rPr>
                <w:rFonts w:ascii="Times New Roman" w:hAnsi="Times New Roman"/>
                <w:noProof/>
                <w:sz w:val="20"/>
              </w:rPr>
              <w:t>, but the estimated c</w:t>
            </w:r>
            <w:r w:rsidRPr="008704BD">
              <w:rPr>
                <w:rFonts w:ascii="Times New Roman" w:hAnsi="Times New Roman"/>
                <w:noProof/>
                <w:sz w:val="20"/>
              </w:rPr>
              <w:t>osts</w:t>
            </w:r>
            <w:r>
              <w:rPr>
                <w:rFonts w:ascii="Times New Roman" w:hAnsi="Times New Roman"/>
                <w:noProof/>
                <w:sz w:val="20"/>
              </w:rPr>
              <w:t xml:space="preserve"> (recurrent in particular)</w:t>
            </w:r>
            <w:r w:rsidRPr="008704BD">
              <w:rPr>
                <w:rFonts w:ascii="Times New Roman" w:hAnsi="Times New Roman"/>
                <w:noProof/>
                <w:sz w:val="20"/>
              </w:rPr>
              <w:t xml:space="preserve"> are likely to be </w:t>
            </w:r>
            <w:r>
              <w:rPr>
                <w:rFonts w:ascii="Times New Roman" w:hAnsi="Times New Roman"/>
                <w:noProof/>
                <w:sz w:val="20"/>
              </w:rPr>
              <w:t>lower</w:t>
            </w:r>
            <w:r w:rsidRPr="008704BD">
              <w:rPr>
                <w:rFonts w:ascii="Times New Roman" w:hAnsi="Times New Roman"/>
                <w:noProof/>
                <w:sz w:val="20"/>
              </w:rPr>
              <w:t xml:space="preserve">, as there is </w:t>
            </w:r>
            <w:r>
              <w:rPr>
                <w:rFonts w:ascii="Times New Roman" w:hAnsi="Times New Roman"/>
                <w:noProof/>
                <w:sz w:val="20"/>
              </w:rPr>
              <w:t>a</w:t>
            </w:r>
            <w:r w:rsidRPr="008704BD">
              <w:rPr>
                <w:rFonts w:ascii="Times New Roman" w:hAnsi="Times New Roman"/>
                <w:noProof/>
                <w:sz w:val="20"/>
              </w:rPr>
              <w:t xml:space="preserve"> threshold on CASP size</w:t>
            </w:r>
            <w:r>
              <w:rPr>
                <w:rFonts w:ascii="Times New Roman" w:hAnsi="Times New Roman"/>
                <w:noProof/>
                <w:sz w:val="20"/>
              </w:rPr>
              <w:t>, meaning less data will be transmitted to the tax authorities.</w:t>
            </w:r>
          </w:p>
        </w:tc>
      </w:tr>
    </w:tbl>
    <w:p w14:paraId="5DA890C4" w14:textId="77777777" w:rsidR="00EA4A75" w:rsidRDefault="00EA4A75" w:rsidP="00EA4A75">
      <w:pPr>
        <w:jc w:val="both"/>
        <w:rPr>
          <w:rFonts w:ascii="Times New Roman" w:hAnsi="Times New Roman" w:cs="Times New Roman"/>
          <w:noProof/>
          <w:lang w:val="en-GB"/>
        </w:rPr>
      </w:pPr>
    </w:p>
    <w:p w14:paraId="26C6A524" w14:textId="77777777" w:rsidR="00EA4A75" w:rsidRPr="008704BD" w:rsidRDefault="00EA4A75" w:rsidP="00EA4A75">
      <w:pPr>
        <w:jc w:val="both"/>
        <w:rPr>
          <w:rFonts w:ascii="Times New Roman" w:hAnsi="Times New Roman"/>
          <w:noProof/>
          <w:sz w:val="24"/>
          <w:lang w:val="en-GB"/>
        </w:rPr>
      </w:pPr>
      <w:r w:rsidRPr="008704BD">
        <w:rPr>
          <w:rFonts w:ascii="Times New Roman" w:hAnsi="Times New Roman"/>
          <w:noProof/>
          <w:sz w:val="24"/>
          <w:lang w:val="en-GB"/>
        </w:rPr>
        <w:t>Besides tax administrations, the Commission would also bear costs. In any legislative option, on the basis of current and past experience, it is likely that the Commission would incur development costs for defining the common EU reporting specifications (i.e. the type of data to be reported, collected and exchanged), and for setting up new and/or adapting the existing IT systems to enable the exchange of information. Commission’s one-off costs</w:t>
      </w:r>
      <w:r w:rsidR="00D66B06" w:rsidRPr="008704BD" w:rsidDel="00E8744A">
        <w:rPr>
          <w:rFonts w:ascii="Times New Roman" w:hAnsi="Times New Roman"/>
          <w:noProof/>
          <w:sz w:val="24"/>
          <w:lang w:val="en-GB"/>
        </w:rPr>
        <w:t xml:space="preserve"> </w:t>
      </w:r>
      <w:r w:rsidR="00D66B06" w:rsidRPr="008704BD">
        <w:rPr>
          <w:rFonts w:ascii="Times New Roman" w:hAnsi="Times New Roman"/>
          <w:noProof/>
          <w:sz w:val="24"/>
          <w:lang w:val="en-GB"/>
        </w:rPr>
        <w:t>could vary between EUR 5</w:t>
      </w:r>
      <w:r w:rsidRPr="008704BD">
        <w:rPr>
          <w:rFonts w:ascii="Times New Roman" w:hAnsi="Times New Roman"/>
          <w:noProof/>
          <w:sz w:val="24"/>
          <w:lang w:val="en-GB"/>
        </w:rPr>
        <w:t>00 000 and EUR 1.4 million.</w:t>
      </w:r>
    </w:p>
    <w:p w14:paraId="2DBA2C2C" w14:textId="77777777" w:rsidR="0046044B" w:rsidRPr="008704BD" w:rsidRDefault="00EA4A75" w:rsidP="00EA4A75">
      <w:pPr>
        <w:pStyle w:val="Text2"/>
        <w:spacing w:line="276" w:lineRule="auto"/>
        <w:ind w:left="0"/>
        <w:rPr>
          <w:noProof/>
        </w:rPr>
      </w:pPr>
      <w:r w:rsidRPr="008704BD">
        <w:rPr>
          <w:noProof/>
        </w:rPr>
        <w:t>The recurrent costs for the European Commission are estimated to range between EUR 100 000 and EUR 200 000 on a yearly basis, and mainly relate to operating and maintaining the IT system for data storage and exchange relative to crypto-assets. There are different</w:t>
      </w:r>
      <w:r w:rsidRPr="008704BD" w:rsidDel="001307CB">
        <w:rPr>
          <w:noProof/>
        </w:rPr>
        <w:t xml:space="preserve"> </w:t>
      </w:r>
      <w:r w:rsidRPr="008704BD">
        <w:rPr>
          <w:noProof/>
        </w:rPr>
        <w:t xml:space="preserve">IT solutions for exchange of information available, which influence the costs range and are described in more detail in </w:t>
      </w:r>
      <w:r w:rsidR="0037626F" w:rsidRPr="008704BD">
        <w:rPr>
          <w:noProof/>
        </w:rPr>
        <w:t>Annex 5</w:t>
      </w:r>
      <w:r w:rsidRPr="008704BD">
        <w:rPr>
          <w:noProof/>
        </w:rPr>
        <w:t>.</w:t>
      </w:r>
    </w:p>
    <w:p w14:paraId="5A3D6282" w14:textId="77777777" w:rsidR="0046044B" w:rsidRPr="00D312CE" w:rsidRDefault="00572424" w:rsidP="004B2B61">
      <w:pPr>
        <w:pStyle w:val="Heading3"/>
        <w:numPr>
          <w:ilvl w:val="2"/>
          <w:numId w:val="73"/>
        </w:numPr>
        <w:ind w:left="0" w:firstLine="0"/>
        <w:rPr>
          <w:rFonts w:ascii="Times New Roman" w:eastAsia="Times New Roman" w:hAnsi="Times New Roman" w:cs="Times New Roman"/>
          <w:noProof/>
          <w:lang w:val="en-GB"/>
        </w:rPr>
      </w:pPr>
      <w:bookmarkStart w:id="385" w:name="_Toc81582168"/>
      <w:bookmarkStart w:id="386" w:name="_Toc83742027"/>
      <w:bookmarkStart w:id="387" w:name="_Toc83824406"/>
      <w:bookmarkStart w:id="388" w:name="_Toc84338485"/>
      <w:bookmarkStart w:id="389" w:name="_Toc84520051"/>
      <w:bookmarkStart w:id="390" w:name="_Toc84579916"/>
      <w:bookmarkStart w:id="391" w:name="_Toc85052211"/>
      <w:bookmarkStart w:id="392" w:name="_Toc1007778595"/>
      <w:bookmarkStart w:id="393" w:name="_Toc16078088"/>
      <w:bookmarkStart w:id="394" w:name="_Toc744245992"/>
      <w:bookmarkStart w:id="395" w:name="_Toc93306887"/>
      <w:r w:rsidRPr="41BAA3BB">
        <w:rPr>
          <w:rFonts w:ascii="Times New Roman" w:hAnsi="Times New Roman" w:cs="Times New Roman"/>
          <w:noProof/>
          <w:lang w:val="en-GB"/>
        </w:rPr>
        <w:t>Impact on sector’s competitiveness and SMEs</w:t>
      </w:r>
      <w:bookmarkEnd w:id="385"/>
      <w:bookmarkEnd w:id="386"/>
      <w:bookmarkEnd w:id="387"/>
      <w:bookmarkEnd w:id="388"/>
      <w:bookmarkEnd w:id="389"/>
      <w:bookmarkEnd w:id="390"/>
      <w:bookmarkEnd w:id="391"/>
      <w:bookmarkEnd w:id="392"/>
      <w:bookmarkEnd w:id="393"/>
      <w:bookmarkEnd w:id="394"/>
      <w:bookmarkEnd w:id="395"/>
    </w:p>
    <w:p w14:paraId="7FF8FCD9" w14:textId="77777777" w:rsidR="00FA0533" w:rsidRPr="008704BD" w:rsidRDefault="00572424" w:rsidP="00011DD6">
      <w:pPr>
        <w:jc w:val="both"/>
        <w:rPr>
          <w:rFonts w:ascii="Times New Roman" w:hAnsi="Times New Roman"/>
          <w:noProof/>
          <w:sz w:val="24"/>
          <w:lang w:val="en-GB"/>
        </w:rPr>
      </w:pPr>
      <w:r w:rsidRPr="008704BD">
        <w:rPr>
          <w:rFonts w:ascii="Times New Roman" w:hAnsi="Times New Roman"/>
          <w:noProof/>
          <w:sz w:val="24"/>
          <w:lang w:val="en-GB"/>
        </w:rPr>
        <w:t xml:space="preserve">The rapid digitalisation </w:t>
      </w:r>
      <w:r w:rsidR="004B2FF1" w:rsidRPr="008704BD">
        <w:rPr>
          <w:rFonts w:ascii="Times New Roman" w:hAnsi="Times New Roman"/>
          <w:noProof/>
          <w:sz w:val="24"/>
          <w:lang w:val="en-GB"/>
        </w:rPr>
        <w:t xml:space="preserve">of the economy </w:t>
      </w:r>
      <w:r w:rsidRPr="008704BD">
        <w:rPr>
          <w:rFonts w:ascii="Times New Roman" w:hAnsi="Times New Roman"/>
          <w:noProof/>
          <w:sz w:val="24"/>
          <w:lang w:val="en-GB"/>
        </w:rPr>
        <w:t xml:space="preserve">suggests that the economic role of CASPs as facilitators in crypto-asset transactions is becoming increasingly relevant. The users engaging in such transactions through service providers appreciate the speed of exchanges, availability of the amenities and anonymity. </w:t>
      </w:r>
    </w:p>
    <w:p w14:paraId="0E09190E" w14:textId="77777777" w:rsidR="00EC3792" w:rsidRDefault="00572424" w:rsidP="00572424">
      <w:pPr>
        <w:jc w:val="both"/>
        <w:rPr>
          <w:rFonts w:ascii="Times New Roman" w:hAnsi="Times New Roman"/>
          <w:noProof/>
          <w:sz w:val="24"/>
          <w:lang w:val="en-GB"/>
        </w:rPr>
      </w:pPr>
      <w:r w:rsidRPr="008704BD">
        <w:rPr>
          <w:rFonts w:ascii="Times New Roman" w:hAnsi="Times New Roman"/>
          <w:noProof/>
          <w:sz w:val="24"/>
          <w:lang w:val="en-GB"/>
        </w:rPr>
        <w:t>It cannot be excluded that this legislative in</w:t>
      </w:r>
      <w:r w:rsidR="00921595" w:rsidRPr="008704BD">
        <w:rPr>
          <w:rFonts w:ascii="Times New Roman" w:hAnsi="Times New Roman"/>
          <w:noProof/>
          <w:sz w:val="24"/>
          <w:lang w:val="en-GB"/>
        </w:rPr>
        <w:t>itiative</w:t>
      </w:r>
      <w:r w:rsidRPr="008704BD">
        <w:rPr>
          <w:rFonts w:ascii="Times New Roman" w:hAnsi="Times New Roman"/>
          <w:noProof/>
          <w:sz w:val="24"/>
          <w:lang w:val="en-GB"/>
        </w:rPr>
        <w:t xml:space="preserve"> may affect </w:t>
      </w:r>
      <w:r w:rsidR="504ACC27" w:rsidRPr="008704BD">
        <w:rPr>
          <w:rFonts w:ascii="Times New Roman" w:hAnsi="Times New Roman"/>
          <w:noProof/>
          <w:sz w:val="24"/>
          <w:lang w:val="en-GB"/>
        </w:rPr>
        <w:t xml:space="preserve">the </w:t>
      </w:r>
      <w:r w:rsidRPr="008704BD">
        <w:rPr>
          <w:rFonts w:ascii="Times New Roman" w:hAnsi="Times New Roman"/>
          <w:noProof/>
          <w:sz w:val="24"/>
          <w:lang w:val="en-GB"/>
        </w:rPr>
        <w:t>competitiveness of certain service providers that</w:t>
      </w:r>
      <w:r w:rsidR="71C69438" w:rsidRPr="008704BD">
        <w:rPr>
          <w:rFonts w:ascii="Times New Roman" w:hAnsi="Times New Roman"/>
          <w:noProof/>
          <w:sz w:val="24"/>
          <w:lang w:val="en-GB"/>
        </w:rPr>
        <w:t>,</w:t>
      </w:r>
      <w:r w:rsidRPr="008704BD">
        <w:rPr>
          <w:rFonts w:ascii="Times New Roman" w:hAnsi="Times New Roman"/>
          <w:noProof/>
          <w:sz w:val="24"/>
          <w:lang w:val="en-GB"/>
        </w:rPr>
        <w:t xml:space="preserve"> in a baseline scenario</w:t>
      </w:r>
      <w:r w:rsidR="5D8CC495" w:rsidRPr="008704BD">
        <w:rPr>
          <w:rFonts w:ascii="Times New Roman" w:hAnsi="Times New Roman"/>
          <w:noProof/>
          <w:sz w:val="24"/>
          <w:lang w:val="en-GB"/>
        </w:rPr>
        <w:t>,</w:t>
      </w:r>
      <w:r w:rsidRPr="008704BD">
        <w:rPr>
          <w:rFonts w:ascii="Times New Roman" w:hAnsi="Times New Roman"/>
          <w:noProof/>
          <w:sz w:val="24"/>
          <w:lang w:val="en-GB"/>
        </w:rPr>
        <w:t xml:space="preserve"> do not</w:t>
      </w:r>
      <w:r w:rsidR="05D7FC04" w:rsidRPr="008704BD">
        <w:rPr>
          <w:rFonts w:ascii="Times New Roman" w:hAnsi="Times New Roman"/>
          <w:noProof/>
          <w:sz w:val="24"/>
          <w:lang w:val="en-GB"/>
        </w:rPr>
        <w:t xml:space="preserve"> </w:t>
      </w:r>
      <w:r w:rsidR="0410AFF8" w:rsidRPr="008704BD">
        <w:rPr>
          <w:rFonts w:ascii="Times New Roman" w:hAnsi="Times New Roman"/>
          <w:noProof/>
          <w:sz w:val="24"/>
          <w:lang w:val="en-GB"/>
        </w:rPr>
        <w:t>currently</w:t>
      </w:r>
      <w:r w:rsidRPr="008704BD">
        <w:rPr>
          <w:rFonts w:ascii="Times New Roman" w:hAnsi="Times New Roman"/>
          <w:noProof/>
          <w:sz w:val="24"/>
          <w:lang w:val="en-GB"/>
        </w:rPr>
        <w:t xml:space="preserve"> have any reporting obligations.</w:t>
      </w:r>
      <w:r w:rsidR="00FA0533" w:rsidRPr="008704BD">
        <w:rPr>
          <w:rFonts w:ascii="Times New Roman" w:hAnsi="Times New Roman"/>
          <w:noProof/>
          <w:sz w:val="24"/>
          <w:lang w:val="en-GB"/>
        </w:rPr>
        <w:t xml:space="preserve"> </w:t>
      </w:r>
      <w:r w:rsidR="1A8FB9BB" w:rsidRPr="008704BD">
        <w:rPr>
          <w:rFonts w:ascii="Times New Roman" w:hAnsi="Times New Roman"/>
          <w:noProof/>
          <w:sz w:val="24"/>
          <w:lang w:val="en-GB"/>
        </w:rPr>
        <w:t xml:space="preserve">Looking </w:t>
      </w:r>
      <w:r w:rsidR="0054772F" w:rsidRPr="008704BD">
        <w:rPr>
          <w:rFonts w:ascii="Times New Roman" w:hAnsi="Times New Roman"/>
          <w:noProof/>
          <w:sz w:val="24"/>
          <w:lang w:val="en-GB"/>
        </w:rPr>
        <w:t>ahead</w:t>
      </w:r>
      <w:r w:rsidR="1A8FB9BB" w:rsidRPr="008704BD">
        <w:rPr>
          <w:rFonts w:ascii="Times New Roman" w:hAnsi="Times New Roman"/>
          <w:noProof/>
          <w:sz w:val="24"/>
          <w:lang w:val="en-GB"/>
        </w:rPr>
        <w:t xml:space="preserve">, it is expected that reporting rules will however be put in place in more countries, even in the absence of a European initiative. </w:t>
      </w:r>
      <w:r w:rsidR="6B5FFDD4" w:rsidRPr="008704BD">
        <w:rPr>
          <w:rFonts w:ascii="Times New Roman" w:hAnsi="Times New Roman"/>
          <w:noProof/>
          <w:sz w:val="24"/>
          <w:lang w:val="en-GB"/>
        </w:rPr>
        <w:t>T</w:t>
      </w:r>
      <w:r w:rsidR="5C08ECD6" w:rsidRPr="008704BD">
        <w:rPr>
          <w:rFonts w:ascii="Times New Roman" w:hAnsi="Times New Roman"/>
          <w:noProof/>
          <w:sz w:val="24"/>
          <w:lang w:val="en-GB"/>
        </w:rPr>
        <w:t>he</w:t>
      </w:r>
      <w:r w:rsidR="00FA0533" w:rsidRPr="008704BD">
        <w:rPr>
          <w:rFonts w:ascii="Times New Roman" w:hAnsi="Times New Roman"/>
          <w:noProof/>
          <w:sz w:val="24"/>
          <w:lang w:val="en-GB"/>
        </w:rPr>
        <w:t xml:space="preserve"> proposal aims at providing a single set of rules throughout the EU, thereby reducing the compliance burden at least for those operators that are active in various countries and subject to different rules.</w:t>
      </w:r>
      <w:r w:rsidR="747CC9D5" w:rsidRPr="008704BD">
        <w:rPr>
          <w:rFonts w:ascii="Times New Roman" w:hAnsi="Times New Roman"/>
          <w:noProof/>
          <w:sz w:val="24"/>
          <w:lang w:val="en-GB"/>
        </w:rPr>
        <w:t xml:space="preserve"> </w:t>
      </w:r>
      <w:r w:rsidR="512A5313" w:rsidRPr="008704BD">
        <w:rPr>
          <w:rFonts w:ascii="Times New Roman" w:hAnsi="Times New Roman"/>
          <w:noProof/>
          <w:sz w:val="24"/>
          <w:lang w:val="en-GB"/>
        </w:rPr>
        <w:t xml:space="preserve">Introducing reporting rules could also </w:t>
      </w:r>
      <w:r w:rsidR="3C83010C" w:rsidRPr="008704BD">
        <w:rPr>
          <w:rFonts w:ascii="Times New Roman" w:hAnsi="Times New Roman"/>
          <w:noProof/>
          <w:sz w:val="24"/>
          <w:lang w:val="en-GB"/>
        </w:rPr>
        <w:t>affect</w:t>
      </w:r>
      <w:r w:rsidR="512A5313" w:rsidRPr="008704BD">
        <w:rPr>
          <w:rFonts w:ascii="Times New Roman" w:hAnsi="Times New Roman"/>
          <w:noProof/>
          <w:sz w:val="24"/>
          <w:lang w:val="en-GB"/>
        </w:rPr>
        <w:t xml:space="preserve"> the </w:t>
      </w:r>
      <w:r w:rsidR="0078285F" w:rsidRPr="008704BD">
        <w:rPr>
          <w:rFonts w:ascii="Times New Roman" w:hAnsi="Times New Roman"/>
          <w:noProof/>
          <w:sz w:val="24"/>
          <w:lang w:val="en-GB"/>
        </w:rPr>
        <w:t xml:space="preserve">service providers’ </w:t>
      </w:r>
      <w:r w:rsidR="2EFD4E7C" w:rsidRPr="008704BD">
        <w:rPr>
          <w:rFonts w:ascii="Times New Roman" w:hAnsi="Times New Roman"/>
          <w:noProof/>
          <w:sz w:val="24"/>
          <w:lang w:val="en-GB"/>
        </w:rPr>
        <w:t>customer</w:t>
      </w:r>
      <w:r w:rsidR="512A5313" w:rsidRPr="008704BD">
        <w:rPr>
          <w:rFonts w:ascii="Times New Roman" w:hAnsi="Times New Roman"/>
          <w:noProof/>
          <w:sz w:val="24"/>
          <w:lang w:val="en-GB"/>
        </w:rPr>
        <w:t xml:space="preserve"> base. </w:t>
      </w:r>
      <w:r w:rsidR="511906D1" w:rsidRPr="008704BD">
        <w:rPr>
          <w:rFonts w:ascii="Times New Roman" w:hAnsi="Times New Roman"/>
          <w:noProof/>
          <w:sz w:val="24"/>
          <w:lang w:val="en-GB"/>
        </w:rPr>
        <w:t>T</w:t>
      </w:r>
      <w:r w:rsidRPr="008704BD">
        <w:rPr>
          <w:rFonts w:ascii="Times New Roman" w:hAnsi="Times New Roman"/>
          <w:noProof/>
          <w:sz w:val="24"/>
          <w:lang w:val="en-GB"/>
        </w:rPr>
        <w:t xml:space="preserve">he </w:t>
      </w:r>
      <w:r w:rsidR="0074050C" w:rsidRPr="008704BD">
        <w:rPr>
          <w:rFonts w:ascii="Times New Roman" w:hAnsi="Times New Roman"/>
          <w:noProof/>
          <w:sz w:val="24"/>
          <w:lang w:val="en-GB"/>
        </w:rPr>
        <w:t xml:space="preserve">initiative </w:t>
      </w:r>
      <w:r w:rsidRPr="008704BD">
        <w:rPr>
          <w:rFonts w:ascii="Times New Roman" w:hAnsi="Times New Roman"/>
          <w:noProof/>
          <w:sz w:val="24"/>
          <w:lang w:val="en-GB"/>
        </w:rPr>
        <w:t xml:space="preserve">could </w:t>
      </w:r>
      <w:r w:rsidR="005E32E3" w:rsidRPr="008704BD">
        <w:rPr>
          <w:rFonts w:ascii="Times New Roman" w:hAnsi="Times New Roman"/>
          <w:noProof/>
          <w:sz w:val="24"/>
          <w:lang w:val="en-GB"/>
        </w:rPr>
        <w:t xml:space="preserve">decrease the number of users that transact via the </w:t>
      </w:r>
      <w:r w:rsidR="0078285F" w:rsidRPr="008704BD">
        <w:rPr>
          <w:rFonts w:ascii="Times New Roman" w:hAnsi="Times New Roman"/>
          <w:noProof/>
          <w:sz w:val="24"/>
          <w:lang w:val="en-GB"/>
        </w:rPr>
        <w:t>service providers</w:t>
      </w:r>
      <w:r w:rsidRPr="008704BD">
        <w:rPr>
          <w:rFonts w:ascii="Times New Roman" w:hAnsi="Times New Roman"/>
          <w:noProof/>
          <w:sz w:val="24"/>
          <w:lang w:val="en-GB"/>
        </w:rPr>
        <w:t xml:space="preserve">, </w:t>
      </w:r>
      <w:r w:rsidR="004B2FF1" w:rsidRPr="008704BD">
        <w:rPr>
          <w:rFonts w:ascii="Times New Roman" w:hAnsi="Times New Roman"/>
          <w:noProof/>
          <w:sz w:val="24"/>
          <w:lang w:val="en-GB"/>
        </w:rPr>
        <w:t xml:space="preserve">most likely from those users who want </w:t>
      </w:r>
      <w:r w:rsidRPr="008704BD">
        <w:rPr>
          <w:rFonts w:ascii="Times New Roman" w:hAnsi="Times New Roman"/>
          <w:noProof/>
          <w:sz w:val="24"/>
          <w:lang w:val="en-GB"/>
        </w:rPr>
        <w:t xml:space="preserve">to avoid </w:t>
      </w:r>
      <w:r w:rsidR="004B2FF1" w:rsidRPr="008704BD">
        <w:rPr>
          <w:rFonts w:ascii="Times New Roman" w:hAnsi="Times New Roman"/>
          <w:noProof/>
          <w:sz w:val="24"/>
          <w:lang w:val="en-GB"/>
        </w:rPr>
        <w:t>complying with their tax obligations</w:t>
      </w:r>
      <w:r w:rsidRPr="008704BD">
        <w:rPr>
          <w:rFonts w:ascii="Times New Roman" w:hAnsi="Times New Roman"/>
          <w:noProof/>
          <w:sz w:val="24"/>
          <w:lang w:val="en-GB"/>
        </w:rPr>
        <w:t xml:space="preserve">. On the other hand, the </w:t>
      </w:r>
      <w:r w:rsidR="00555A7F" w:rsidRPr="008704BD">
        <w:rPr>
          <w:rFonts w:ascii="Times New Roman" w:hAnsi="Times New Roman"/>
          <w:noProof/>
          <w:sz w:val="24"/>
          <w:lang w:val="en-GB"/>
        </w:rPr>
        <w:t xml:space="preserve">initiative </w:t>
      </w:r>
      <w:r w:rsidRPr="008704BD">
        <w:rPr>
          <w:rFonts w:ascii="Times New Roman" w:hAnsi="Times New Roman"/>
          <w:noProof/>
          <w:sz w:val="24"/>
          <w:lang w:val="en-GB"/>
        </w:rPr>
        <w:t xml:space="preserve">could increase the trust in the system and attract new users who </w:t>
      </w:r>
      <w:r w:rsidR="004B2FF1" w:rsidRPr="008704BD">
        <w:rPr>
          <w:rFonts w:ascii="Times New Roman" w:hAnsi="Times New Roman"/>
          <w:noProof/>
          <w:sz w:val="24"/>
          <w:lang w:val="en-GB"/>
        </w:rPr>
        <w:t xml:space="preserve">appreciate </w:t>
      </w:r>
      <w:r w:rsidRPr="008704BD">
        <w:rPr>
          <w:rFonts w:ascii="Times New Roman" w:hAnsi="Times New Roman"/>
          <w:noProof/>
          <w:sz w:val="24"/>
          <w:lang w:val="en-GB"/>
        </w:rPr>
        <w:t>reputational and trusted providers. This would positively affect the competitiveness of CASPs, and could compensate, in part, for the loss of the clients favouring unregulated environments.</w:t>
      </w:r>
    </w:p>
    <w:p w14:paraId="0E12EA42" w14:textId="71EEF109" w:rsidR="00572424" w:rsidRPr="008704BD" w:rsidRDefault="00572424" w:rsidP="00572424">
      <w:pPr>
        <w:jc w:val="both"/>
        <w:rPr>
          <w:rFonts w:ascii="Times New Roman" w:hAnsi="Times New Roman"/>
          <w:noProof/>
          <w:sz w:val="24"/>
          <w:lang w:val="en-GB"/>
        </w:rPr>
      </w:pPr>
      <w:r w:rsidRPr="008704BD">
        <w:rPr>
          <w:rFonts w:ascii="Times New Roman" w:hAnsi="Times New Roman"/>
          <w:noProof/>
          <w:sz w:val="24"/>
          <w:lang w:val="en-GB"/>
        </w:rPr>
        <w:t xml:space="preserve">A level playing field requires all to </w:t>
      </w:r>
      <w:r w:rsidR="00F005E0" w:rsidRPr="008704BD">
        <w:rPr>
          <w:rFonts w:ascii="Times New Roman" w:hAnsi="Times New Roman"/>
          <w:noProof/>
          <w:sz w:val="24"/>
          <w:lang w:val="en-GB"/>
        </w:rPr>
        <w:t>be subject to the same rules</w:t>
      </w:r>
      <w:r w:rsidR="004B2FF1" w:rsidRPr="008704BD">
        <w:rPr>
          <w:rFonts w:ascii="Times New Roman" w:hAnsi="Times New Roman"/>
          <w:noProof/>
          <w:sz w:val="24"/>
          <w:lang w:val="en-GB"/>
        </w:rPr>
        <w:t>, which</w:t>
      </w:r>
      <w:r w:rsidR="00F005E0" w:rsidRPr="008704BD" w:rsidDel="004B2FF1">
        <w:rPr>
          <w:rFonts w:ascii="Times New Roman" w:hAnsi="Times New Roman"/>
          <w:noProof/>
          <w:sz w:val="24"/>
          <w:lang w:val="en-GB"/>
        </w:rPr>
        <w:t xml:space="preserve"> </w:t>
      </w:r>
      <w:r w:rsidRPr="008704BD">
        <w:rPr>
          <w:rFonts w:ascii="Times New Roman" w:hAnsi="Times New Roman"/>
          <w:noProof/>
          <w:sz w:val="24"/>
          <w:lang w:val="en-GB"/>
        </w:rPr>
        <w:t>make</w:t>
      </w:r>
      <w:r w:rsidR="004B2FF1" w:rsidRPr="008704BD">
        <w:rPr>
          <w:rFonts w:ascii="Times New Roman" w:hAnsi="Times New Roman"/>
          <w:noProof/>
          <w:sz w:val="24"/>
          <w:lang w:val="en-GB"/>
        </w:rPr>
        <w:t>s</w:t>
      </w:r>
      <w:r w:rsidRPr="008704BD">
        <w:rPr>
          <w:rFonts w:ascii="Times New Roman" w:hAnsi="Times New Roman"/>
          <w:noProof/>
          <w:sz w:val="24"/>
          <w:lang w:val="en-GB"/>
        </w:rPr>
        <w:t xml:space="preserve"> the competition fair and </w:t>
      </w:r>
      <w:r w:rsidR="004B2FF1" w:rsidRPr="008704BD">
        <w:rPr>
          <w:rFonts w:ascii="Times New Roman" w:hAnsi="Times New Roman"/>
          <w:noProof/>
          <w:sz w:val="24"/>
          <w:lang w:val="en-GB"/>
        </w:rPr>
        <w:t xml:space="preserve">efficient. </w:t>
      </w:r>
      <w:r w:rsidR="007876DB">
        <w:rPr>
          <w:rFonts w:ascii="Times New Roman" w:hAnsi="Times New Roman"/>
          <w:noProof/>
          <w:sz w:val="24"/>
          <w:lang w:val="en-GB"/>
        </w:rPr>
        <w:t xml:space="preserve">That is, </w:t>
      </w:r>
      <w:r w:rsidR="001D0D27">
        <w:rPr>
          <w:rFonts w:ascii="Times New Roman" w:hAnsi="Times New Roman"/>
          <w:noProof/>
          <w:sz w:val="24"/>
          <w:lang w:val="en-GB"/>
        </w:rPr>
        <w:t>the available policy options do</w:t>
      </w:r>
      <w:r w:rsidR="007876DB">
        <w:rPr>
          <w:rFonts w:ascii="Times New Roman" w:hAnsi="Times New Roman"/>
          <w:noProof/>
          <w:sz w:val="24"/>
          <w:lang w:val="en-GB"/>
        </w:rPr>
        <w:t xml:space="preserve"> not differentiate between CASPs based on </w:t>
      </w:r>
      <w:r w:rsidR="00C14882">
        <w:rPr>
          <w:rFonts w:ascii="Times New Roman" w:hAnsi="Times New Roman"/>
          <w:noProof/>
          <w:sz w:val="24"/>
          <w:lang w:val="en-GB"/>
        </w:rPr>
        <w:t>location</w:t>
      </w:r>
      <w:r w:rsidR="007876DB">
        <w:rPr>
          <w:rFonts w:ascii="Times New Roman" w:hAnsi="Times New Roman"/>
          <w:noProof/>
          <w:sz w:val="24"/>
          <w:lang w:val="en-GB"/>
        </w:rPr>
        <w:t xml:space="preserve">, meaning all service providers with EU users will have to report and </w:t>
      </w:r>
      <w:r w:rsidR="00862146" w:rsidRPr="008704BD">
        <w:rPr>
          <w:rFonts w:ascii="Times New Roman" w:hAnsi="Times New Roman"/>
          <w:noProof/>
          <w:sz w:val="24"/>
          <w:lang w:val="en-GB"/>
        </w:rPr>
        <w:t>face the same compliance costs</w:t>
      </w:r>
      <w:r w:rsidR="167D79F7" w:rsidRPr="008704BD">
        <w:rPr>
          <w:rFonts w:ascii="Times New Roman" w:hAnsi="Times New Roman"/>
          <w:noProof/>
          <w:sz w:val="24"/>
          <w:lang w:val="en-GB"/>
        </w:rPr>
        <w:t xml:space="preserve">. </w:t>
      </w:r>
      <w:r w:rsidR="007876DB">
        <w:rPr>
          <w:rFonts w:ascii="Times New Roman" w:hAnsi="Times New Roman"/>
          <w:noProof/>
          <w:sz w:val="24"/>
          <w:lang w:val="en-GB"/>
        </w:rPr>
        <w:t>The</w:t>
      </w:r>
      <w:r w:rsidR="004B2FF1" w:rsidRPr="008704BD">
        <w:rPr>
          <w:rFonts w:ascii="Times New Roman" w:hAnsi="Times New Roman"/>
          <w:noProof/>
          <w:sz w:val="24"/>
          <w:lang w:val="en-GB"/>
        </w:rPr>
        <w:t xml:space="preserve"> EU initiative would also level the playing field within the EU as it would also prevent competitive disadvantages arising from possible differentiated reporting requirements across the Member States. </w:t>
      </w:r>
      <w:r w:rsidR="354989DA" w:rsidRPr="008704BD">
        <w:rPr>
          <w:rFonts w:ascii="Times New Roman" w:hAnsi="Times New Roman"/>
          <w:noProof/>
          <w:sz w:val="24"/>
          <w:lang w:val="en-GB"/>
        </w:rPr>
        <w:t>In addition to</w:t>
      </w:r>
      <w:r w:rsidR="00697499" w:rsidRPr="008704BD">
        <w:rPr>
          <w:rFonts w:ascii="Times New Roman" w:hAnsi="Times New Roman"/>
          <w:noProof/>
          <w:sz w:val="24"/>
          <w:lang w:val="en-GB"/>
        </w:rPr>
        <w:t xml:space="preserve"> ensuring fairness within the crypto-asset market, </w:t>
      </w:r>
      <w:r w:rsidR="007D70E5" w:rsidRPr="008704BD">
        <w:rPr>
          <w:rFonts w:ascii="Times New Roman" w:hAnsi="Times New Roman"/>
          <w:noProof/>
          <w:sz w:val="24"/>
          <w:lang w:val="en-GB"/>
        </w:rPr>
        <w:t>it</w:t>
      </w:r>
      <w:r w:rsidR="0058490E" w:rsidRPr="008704BD">
        <w:rPr>
          <w:rFonts w:ascii="Times New Roman" w:hAnsi="Times New Roman"/>
          <w:noProof/>
          <w:sz w:val="24"/>
          <w:lang w:val="en-GB"/>
        </w:rPr>
        <w:t xml:space="preserve"> </w:t>
      </w:r>
      <w:r w:rsidR="00697499" w:rsidRPr="008704BD">
        <w:rPr>
          <w:rFonts w:ascii="Times New Roman" w:hAnsi="Times New Roman"/>
          <w:noProof/>
          <w:sz w:val="24"/>
          <w:lang w:val="en-GB"/>
        </w:rPr>
        <w:t>would also positively affect comp</w:t>
      </w:r>
      <w:r w:rsidR="00E055E3" w:rsidRPr="008704BD">
        <w:rPr>
          <w:rFonts w:ascii="Times New Roman" w:hAnsi="Times New Roman"/>
          <w:noProof/>
          <w:sz w:val="24"/>
          <w:lang w:val="en-GB"/>
        </w:rPr>
        <w:t>etition</w:t>
      </w:r>
      <w:r w:rsidR="00697499" w:rsidRPr="008704BD">
        <w:rPr>
          <w:rFonts w:ascii="Times New Roman" w:hAnsi="Times New Roman"/>
          <w:noProof/>
          <w:sz w:val="24"/>
          <w:lang w:val="en-GB"/>
        </w:rPr>
        <w:t xml:space="preserve"> with respect to the traditional financial institutions. </w:t>
      </w:r>
      <w:r w:rsidR="2CE66F33" w:rsidRPr="008704BD">
        <w:rPr>
          <w:rFonts w:ascii="Times New Roman" w:hAnsi="Times New Roman"/>
          <w:noProof/>
          <w:sz w:val="24"/>
          <w:lang w:val="en-GB"/>
        </w:rPr>
        <w:t xml:space="preserve">This is because CASPs would be subject to reporting obligations </w:t>
      </w:r>
      <w:r w:rsidR="004B2FF1" w:rsidRPr="008704BD">
        <w:rPr>
          <w:rFonts w:ascii="Times New Roman" w:hAnsi="Times New Roman"/>
          <w:noProof/>
          <w:sz w:val="24"/>
          <w:lang w:val="en-GB"/>
        </w:rPr>
        <w:t>like</w:t>
      </w:r>
      <w:r w:rsidR="2CE66F33" w:rsidRPr="008704BD">
        <w:rPr>
          <w:rFonts w:ascii="Times New Roman" w:hAnsi="Times New Roman"/>
          <w:noProof/>
          <w:sz w:val="24"/>
          <w:lang w:val="en-GB"/>
        </w:rPr>
        <w:t xml:space="preserve"> traditional financial institutions.</w:t>
      </w:r>
    </w:p>
    <w:p w14:paraId="06B193FD" w14:textId="4FFE5F63" w:rsidR="001D0D27" w:rsidRDefault="00C369B4" w:rsidP="008D6889">
      <w:pPr>
        <w:jc w:val="both"/>
        <w:rPr>
          <w:rFonts w:ascii="Times New Roman" w:hAnsi="Times New Roman"/>
          <w:noProof/>
          <w:sz w:val="24"/>
          <w:lang w:val="en-GB"/>
        </w:rPr>
      </w:pPr>
      <w:r w:rsidRPr="008704BD">
        <w:rPr>
          <w:rFonts w:ascii="Times New Roman" w:hAnsi="Times New Roman"/>
          <w:noProof/>
          <w:sz w:val="24"/>
          <w:lang w:val="en-GB"/>
        </w:rPr>
        <w:t>When CASPs</w:t>
      </w:r>
      <w:r w:rsidRPr="008704BD" w:rsidDel="00F74C56">
        <w:rPr>
          <w:rFonts w:ascii="Times New Roman" w:hAnsi="Times New Roman"/>
          <w:noProof/>
          <w:sz w:val="24"/>
          <w:lang w:val="en-GB"/>
        </w:rPr>
        <w:t xml:space="preserve"> </w:t>
      </w:r>
      <w:r w:rsidRPr="008704BD">
        <w:rPr>
          <w:rFonts w:ascii="Times New Roman" w:hAnsi="Times New Roman"/>
          <w:noProof/>
          <w:sz w:val="24"/>
          <w:lang w:val="en-GB"/>
        </w:rPr>
        <w:t xml:space="preserve">are SMEs, they tend to face a </w:t>
      </w:r>
      <w:r w:rsidR="006B76DE" w:rsidRPr="008704BD">
        <w:rPr>
          <w:rFonts w:ascii="Times New Roman" w:hAnsi="Times New Roman"/>
          <w:noProof/>
          <w:sz w:val="24"/>
          <w:lang w:val="en-GB"/>
        </w:rPr>
        <w:t xml:space="preserve">relatively higher </w:t>
      </w:r>
      <w:r w:rsidRPr="008704BD">
        <w:rPr>
          <w:rFonts w:ascii="Times New Roman" w:hAnsi="Times New Roman"/>
          <w:noProof/>
          <w:sz w:val="24"/>
          <w:lang w:val="en-GB"/>
        </w:rPr>
        <w:t xml:space="preserve">administrative burden when fulfilling tax requirements due to their relatively small size and limited resources. </w:t>
      </w:r>
      <w:r w:rsidR="00B4117D">
        <w:rPr>
          <w:rFonts w:ascii="Times New Roman" w:hAnsi="Times New Roman"/>
          <w:noProof/>
          <w:sz w:val="24"/>
          <w:lang w:val="en-GB"/>
        </w:rPr>
        <w:t>However, s</w:t>
      </w:r>
      <w:r w:rsidR="007609B7" w:rsidRPr="008704BD">
        <w:rPr>
          <w:rFonts w:ascii="Times New Roman" w:hAnsi="Times New Roman"/>
          <w:noProof/>
          <w:sz w:val="24"/>
          <w:lang w:val="en-GB"/>
        </w:rPr>
        <w:t xml:space="preserve">ince most of </w:t>
      </w:r>
      <w:r w:rsidR="006B76DE" w:rsidRPr="008704BD">
        <w:rPr>
          <w:rFonts w:ascii="Times New Roman" w:hAnsi="Times New Roman"/>
          <w:noProof/>
          <w:sz w:val="24"/>
          <w:lang w:val="en-GB"/>
        </w:rPr>
        <w:t>the information that needs to be collected is</w:t>
      </w:r>
      <w:r w:rsidR="007609B7" w:rsidRPr="008704BD">
        <w:rPr>
          <w:rFonts w:ascii="Times New Roman" w:hAnsi="Times New Roman"/>
          <w:noProof/>
          <w:sz w:val="24"/>
          <w:lang w:val="en-GB"/>
        </w:rPr>
        <w:t xml:space="preserve"> already collected for AML/KYC purposes, it is </w:t>
      </w:r>
      <w:r w:rsidR="006B76DE" w:rsidRPr="008704BD">
        <w:rPr>
          <w:rFonts w:ascii="Times New Roman" w:hAnsi="Times New Roman"/>
          <w:noProof/>
          <w:sz w:val="24"/>
          <w:lang w:val="en-GB"/>
        </w:rPr>
        <w:t>largely available to CASP</w:t>
      </w:r>
      <w:r w:rsidR="00EA7252" w:rsidRPr="008704BD">
        <w:rPr>
          <w:rFonts w:ascii="Times New Roman" w:hAnsi="Times New Roman"/>
          <w:noProof/>
          <w:sz w:val="24"/>
          <w:lang w:val="en-GB"/>
        </w:rPr>
        <w:t>s</w:t>
      </w:r>
      <w:r w:rsidR="006B76DE" w:rsidRPr="008704BD">
        <w:rPr>
          <w:rFonts w:ascii="Times New Roman" w:hAnsi="Times New Roman"/>
          <w:noProof/>
          <w:sz w:val="24"/>
          <w:lang w:val="en-GB"/>
        </w:rPr>
        <w:t xml:space="preserve"> for their daily operations. Furthermore</w:t>
      </w:r>
      <w:r w:rsidRPr="008704BD">
        <w:rPr>
          <w:rFonts w:ascii="Times New Roman" w:hAnsi="Times New Roman"/>
          <w:noProof/>
          <w:sz w:val="24"/>
          <w:lang w:val="en-GB"/>
        </w:rPr>
        <w:t xml:space="preserve">, the crypto market matures relatively </w:t>
      </w:r>
      <w:r w:rsidR="002E3185" w:rsidRPr="008704BD">
        <w:rPr>
          <w:rFonts w:ascii="Times New Roman" w:hAnsi="Times New Roman"/>
          <w:noProof/>
          <w:sz w:val="24"/>
          <w:lang w:val="en-GB"/>
        </w:rPr>
        <w:t>fast</w:t>
      </w:r>
      <w:r w:rsidRPr="008704BD">
        <w:rPr>
          <w:rFonts w:ascii="Times New Roman" w:hAnsi="Times New Roman"/>
          <w:noProof/>
          <w:sz w:val="24"/>
          <w:lang w:val="en-GB"/>
        </w:rPr>
        <w:t xml:space="preserve"> and so do the SMEs by </w:t>
      </w:r>
      <w:r w:rsidR="002E3185" w:rsidRPr="008704BD">
        <w:rPr>
          <w:rFonts w:ascii="Times New Roman" w:hAnsi="Times New Roman"/>
          <w:noProof/>
          <w:sz w:val="24"/>
          <w:lang w:val="en-GB"/>
        </w:rPr>
        <w:t>becoming big players</w:t>
      </w:r>
      <w:r w:rsidR="0078285F" w:rsidRPr="008704BD">
        <w:rPr>
          <w:rFonts w:ascii="Times New Roman" w:hAnsi="Times New Roman"/>
          <w:noProof/>
          <w:sz w:val="24"/>
          <w:lang w:val="en-GB"/>
        </w:rPr>
        <w:t xml:space="preserve"> on the market</w:t>
      </w:r>
      <w:r w:rsidR="006243E4">
        <w:rPr>
          <w:rFonts w:ascii="Times New Roman" w:hAnsi="Times New Roman"/>
          <w:noProof/>
          <w:sz w:val="24"/>
          <w:lang w:val="en-GB"/>
        </w:rPr>
        <w:t xml:space="preserve"> </w:t>
      </w:r>
      <w:r w:rsidR="00D844E1">
        <w:rPr>
          <w:rFonts w:ascii="Times New Roman" w:hAnsi="Times New Roman"/>
          <w:noProof/>
          <w:sz w:val="24"/>
          <w:lang w:val="en-GB"/>
        </w:rPr>
        <w:t>(</w:t>
      </w:r>
      <w:r w:rsidR="006243E4">
        <w:rPr>
          <w:rFonts w:ascii="Times New Roman" w:hAnsi="Times New Roman"/>
          <w:noProof/>
          <w:sz w:val="24"/>
          <w:lang w:val="en-GB"/>
        </w:rPr>
        <w:t>provided they ena</w:t>
      </w:r>
      <w:r w:rsidR="00D844E1">
        <w:rPr>
          <w:rFonts w:ascii="Times New Roman" w:hAnsi="Times New Roman"/>
          <w:noProof/>
          <w:sz w:val="24"/>
          <w:lang w:val="en-GB"/>
        </w:rPr>
        <w:t>ble</w:t>
      </w:r>
      <w:r w:rsidR="006243E4">
        <w:rPr>
          <w:rFonts w:ascii="Times New Roman" w:hAnsi="Times New Roman"/>
          <w:noProof/>
          <w:sz w:val="24"/>
          <w:lang w:val="en-GB"/>
        </w:rPr>
        <w:t xml:space="preserve"> transactions of high value i</w:t>
      </w:r>
      <w:r w:rsidR="00D844E1">
        <w:rPr>
          <w:rFonts w:ascii="Times New Roman" w:hAnsi="Times New Roman"/>
          <w:noProof/>
          <w:sz w:val="24"/>
          <w:lang w:val="en-GB"/>
        </w:rPr>
        <w:t>ncreasing</w:t>
      </w:r>
      <w:r w:rsidR="006243E4">
        <w:rPr>
          <w:rFonts w:ascii="Times New Roman" w:hAnsi="Times New Roman"/>
          <w:noProof/>
          <w:sz w:val="24"/>
          <w:lang w:val="en-GB"/>
        </w:rPr>
        <w:t xml:space="preserve"> their turnover</w:t>
      </w:r>
      <w:r w:rsidR="00D844E1">
        <w:rPr>
          <w:rFonts w:ascii="Times New Roman" w:hAnsi="Times New Roman"/>
          <w:noProof/>
          <w:sz w:val="24"/>
          <w:lang w:val="en-GB"/>
        </w:rPr>
        <w:t>)</w:t>
      </w:r>
      <w:r w:rsidR="002E3185" w:rsidRPr="008704BD">
        <w:rPr>
          <w:rFonts w:ascii="Times New Roman" w:hAnsi="Times New Roman"/>
          <w:noProof/>
          <w:sz w:val="24"/>
          <w:lang w:val="en-GB"/>
        </w:rPr>
        <w:t>.</w:t>
      </w:r>
      <w:r w:rsidR="00AB1415">
        <w:rPr>
          <w:rFonts w:ascii="Times New Roman" w:hAnsi="Times New Roman"/>
          <w:noProof/>
          <w:sz w:val="24"/>
          <w:lang w:val="en-GB"/>
        </w:rPr>
        <w:t xml:space="preserve"> Regardless of the size, SMEs can still have large user bases since high digitalisation facilitates the management and processing of vast volumes of transactions. Impact on SMEs and competitiveness as per available policy options is qualitatively described in the table below.</w:t>
      </w:r>
    </w:p>
    <w:p w14:paraId="6586F240" w14:textId="43E63369" w:rsidR="001D0D27" w:rsidRPr="00931BFE" w:rsidRDefault="001D0D27" w:rsidP="02355236">
      <w:pPr>
        <w:pStyle w:val="Caption"/>
        <w:keepNext/>
        <w:rPr>
          <w:noProof/>
          <w:sz w:val="24"/>
          <w:szCs w:val="24"/>
        </w:rPr>
      </w:pPr>
      <w:r w:rsidRPr="02355236">
        <w:rPr>
          <w:noProof/>
          <w:sz w:val="24"/>
          <w:szCs w:val="24"/>
        </w:rPr>
        <w:t xml:space="preserve">Table </w:t>
      </w:r>
      <w:r w:rsidRPr="02355236">
        <w:rPr>
          <w:noProof/>
          <w:sz w:val="24"/>
          <w:szCs w:val="24"/>
        </w:rPr>
        <w:fldChar w:fldCharType="begin"/>
      </w:r>
      <w:r w:rsidRPr="02355236">
        <w:rPr>
          <w:noProof/>
          <w:sz w:val="24"/>
          <w:szCs w:val="24"/>
        </w:rPr>
        <w:instrText xml:space="preserve"> SEQ Table \* ARABIC </w:instrText>
      </w:r>
      <w:r w:rsidRPr="02355236">
        <w:rPr>
          <w:noProof/>
          <w:sz w:val="24"/>
          <w:szCs w:val="24"/>
        </w:rPr>
        <w:fldChar w:fldCharType="separate"/>
      </w:r>
      <w:r w:rsidR="00C972ED">
        <w:rPr>
          <w:noProof/>
          <w:sz w:val="24"/>
          <w:szCs w:val="24"/>
        </w:rPr>
        <w:t>1</w:t>
      </w:r>
      <w:r w:rsidRPr="02355236">
        <w:rPr>
          <w:noProof/>
          <w:sz w:val="24"/>
          <w:szCs w:val="24"/>
        </w:rPr>
        <w:fldChar w:fldCharType="end"/>
      </w:r>
      <w:r w:rsidR="00931BFE" w:rsidRPr="02355236">
        <w:rPr>
          <w:noProof/>
          <w:sz w:val="24"/>
          <w:szCs w:val="24"/>
        </w:rPr>
        <w:t xml:space="preserve">0 </w:t>
      </w:r>
      <w:r w:rsidRPr="02355236">
        <w:rPr>
          <w:noProof/>
          <w:sz w:val="24"/>
          <w:szCs w:val="24"/>
        </w:rPr>
        <w:t>Policy options impacting competitiveness and SMEs</w:t>
      </w:r>
    </w:p>
    <w:tbl>
      <w:tblPr>
        <w:tblStyle w:val="TableGrid"/>
        <w:tblW w:w="0" w:type="auto"/>
        <w:tblLook w:val="04A0" w:firstRow="1" w:lastRow="0" w:firstColumn="1" w:lastColumn="0" w:noHBand="0" w:noVBand="1"/>
      </w:tblPr>
      <w:tblGrid>
        <w:gridCol w:w="846"/>
        <w:gridCol w:w="8504"/>
      </w:tblGrid>
      <w:tr w:rsidR="001D0D27" w:rsidRPr="00D312CE" w14:paraId="70B2D876" w14:textId="77777777" w:rsidTr="02355236">
        <w:tc>
          <w:tcPr>
            <w:tcW w:w="846" w:type="dxa"/>
            <w:vAlign w:val="center"/>
          </w:tcPr>
          <w:p w14:paraId="05087AF0" w14:textId="77777777" w:rsidR="001D0D27" w:rsidRPr="008704BD" w:rsidRDefault="001D0D27" w:rsidP="009F0D23">
            <w:pPr>
              <w:jc w:val="center"/>
              <w:rPr>
                <w:rFonts w:ascii="Times New Roman" w:hAnsi="Times New Roman"/>
                <w:b/>
                <w:noProof/>
                <w:sz w:val="20"/>
              </w:rPr>
            </w:pPr>
            <w:r w:rsidRPr="008704BD">
              <w:rPr>
                <w:rFonts w:ascii="Times New Roman" w:hAnsi="Times New Roman"/>
                <w:b/>
                <w:noProof/>
                <w:sz w:val="20"/>
              </w:rPr>
              <w:t>Option</w:t>
            </w:r>
          </w:p>
        </w:tc>
        <w:tc>
          <w:tcPr>
            <w:tcW w:w="8504" w:type="dxa"/>
            <w:vAlign w:val="center"/>
          </w:tcPr>
          <w:p w14:paraId="3160FC11" w14:textId="77777777" w:rsidR="001D0D27" w:rsidRPr="008704BD" w:rsidRDefault="001D0D27" w:rsidP="009F0D23">
            <w:pPr>
              <w:jc w:val="center"/>
              <w:rPr>
                <w:rFonts w:ascii="Times New Roman" w:hAnsi="Times New Roman"/>
                <w:b/>
                <w:noProof/>
                <w:sz w:val="20"/>
              </w:rPr>
            </w:pPr>
            <w:r w:rsidRPr="008704BD">
              <w:rPr>
                <w:rFonts w:ascii="Times New Roman" w:hAnsi="Times New Roman"/>
                <w:b/>
                <w:noProof/>
                <w:sz w:val="20"/>
              </w:rPr>
              <w:t>Assessment</w:t>
            </w:r>
          </w:p>
        </w:tc>
      </w:tr>
      <w:tr w:rsidR="001D0D27" w:rsidRPr="00D312CE" w14:paraId="1200CD57" w14:textId="77777777" w:rsidTr="02355236">
        <w:tc>
          <w:tcPr>
            <w:tcW w:w="846" w:type="dxa"/>
            <w:vAlign w:val="center"/>
          </w:tcPr>
          <w:p w14:paraId="5E530906" w14:textId="64F86712" w:rsidR="001D0D27" w:rsidRPr="008704BD" w:rsidRDefault="0054413F" w:rsidP="009F0D23">
            <w:pPr>
              <w:jc w:val="center"/>
              <w:rPr>
                <w:rFonts w:ascii="Times New Roman" w:hAnsi="Times New Roman"/>
                <w:noProof/>
                <w:sz w:val="20"/>
              </w:rPr>
            </w:pPr>
            <w:r>
              <w:rPr>
                <w:rFonts w:ascii="Times New Roman" w:hAnsi="Times New Roman"/>
                <w:noProof/>
                <w:sz w:val="20"/>
              </w:rPr>
              <w:t>1</w:t>
            </w:r>
          </w:p>
        </w:tc>
        <w:tc>
          <w:tcPr>
            <w:tcW w:w="8504" w:type="dxa"/>
          </w:tcPr>
          <w:p w14:paraId="328E23D1" w14:textId="7BDE4E4D" w:rsidR="001D0D27" w:rsidRPr="005C50E5" w:rsidRDefault="00623EB6">
            <w:pPr>
              <w:jc w:val="both"/>
              <w:rPr>
                <w:rFonts w:ascii="Times New Roman" w:hAnsi="Times New Roman"/>
                <w:noProof/>
                <w:sz w:val="20"/>
                <w:szCs w:val="20"/>
              </w:rPr>
            </w:pPr>
            <w:r>
              <w:rPr>
                <w:rFonts w:ascii="Times New Roman" w:hAnsi="Times New Roman"/>
                <w:noProof/>
                <w:sz w:val="20"/>
                <w:szCs w:val="20"/>
              </w:rPr>
              <w:t>Common rules at EU level</w:t>
            </w:r>
            <w:r w:rsidRPr="001D0D27">
              <w:rPr>
                <w:rFonts w:ascii="Times New Roman" w:hAnsi="Times New Roman"/>
                <w:noProof/>
                <w:sz w:val="20"/>
                <w:szCs w:val="20"/>
              </w:rPr>
              <w:t xml:space="preserve"> would be beneficial for competitiveness </w:t>
            </w:r>
            <w:r>
              <w:rPr>
                <w:rFonts w:ascii="Times New Roman" w:hAnsi="Times New Roman"/>
                <w:noProof/>
                <w:sz w:val="20"/>
                <w:szCs w:val="20"/>
              </w:rPr>
              <w:t>of the Single Market</w:t>
            </w:r>
            <w:r w:rsidR="00D844E1">
              <w:rPr>
                <w:rFonts w:ascii="Times New Roman" w:hAnsi="Times New Roman"/>
                <w:noProof/>
                <w:sz w:val="20"/>
                <w:szCs w:val="20"/>
              </w:rPr>
              <w:t xml:space="preserve"> as</w:t>
            </w:r>
            <w:r w:rsidR="00F020C1">
              <w:rPr>
                <w:rFonts w:ascii="Times New Roman" w:hAnsi="Times New Roman"/>
                <w:noProof/>
                <w:sz w:val="20"/>
                <w:szCs w:val="20"/>
              </w:rPr>
              <w:t xml:space="preserve"> the</w:t>
            </w:r>
            <w:r w:rsidR="00D844E1">
              <w:rPr>
                <w:rFonts w:ascii="Times New Roman" w:hAnsi="Times New Roman"/>
                <w:noProof/>
                <w:sz w:val="20"/>
                <w:szCs w:val="20"/>
              </w:rPr>
              <w:t xml:space="preserve"> level playing field </w:t>
            </w:r>
            <w:r w:rsidR="008E08E8">
              <w:rPr>
                <w:rFonts w:ascii="Times New Roman" w:hAnsi="Times New Roman"/>
                <w:noProof/>
                <w:sz w:val="20"/>
                <w:szCs w:val="20"/>
              </w:rPr>
              <w:t>between the countries would be guaranteed, thus not leaving certain business in a less advantageous position</w:t>
            </w:r>
            <w:r w:rsidRPr="001D0D27">
              <w:rPr>
                <w:rFonts w:ascii="Times New Roman" w:hAnsi="Times New Roman"/>
                <w:noProof/>
                <w:sz w:val="20"/>
                <w:szCs w:val="20"/>
              </w:rPr>
              <w:t>.</w:t>
            </w:r>
            <w:r>
              <w:rPr>
                <w:rFonts w:ascii="Times New Roman" w:hAnsi="Times New Roman"/>
                <w:noProof/>
                <w:sz w:val="20"/>
                <w:szCs w:val="20"/>
              </w:rPr>
              <w:t xml:space="preserve"> SMEs would not be carved out from the initiative, which would likely increase their compliance costs. </w:t>
            </w:r>
            <w:r w:rsidR="00B917FE">
              <w:rPr>
                <w:rFonts w:ascii="Times New Roman" w:hAnsi="Times New Roman"/>
                <w:noProof/>
                <w:sz w:val="20"/>
                <w:szCs w:val="20"/>
              </w:rPr>
              <w:t>However, t</w:t>
            </w:r>
            <w:r>
              <w:rPr>
                <w:rFonts w:ascii="Times New Roman" w:hAnsi="Times New Roman"/>
                <w:noProof/>
                <w:sz w:val="20"/>
                <w:szCs w:val="20"/>
              </w:rPr>
              <w:t xml:space="preserve">ransaction-by-transaction reporting is </w:t>
            </w:r>
            <w:r w:rsidR="00B917FE">
              <w:rPr>
                <w:rFonts w:ascii="Times New Roman" w:hAnsi="Times New Roman"/>
                <w:noProof/>
                <w:sz w:val="20"/>
                <w:szCs w:val="20"/>
              </w:rPr>
              <w:t>less</w:t>
            </w:r>
            <w:r>
              <w:rPr>
                <w:rFonts w:ascii="Times New Roman" w:hAnsi="Times New Roman"/>
                <w:noProof/>
                <w:sz w:val="20"/>
                <w:szCs w:val="20"/>
              </w:rPr>
              <w:t xml:space="preserve"> cumbersome for SMEs compared to other reporting modalities. </w:t>
            </w:r>
            <w:r w:rsidR="006D24A7">
              <w:rPr>
                <w:rFonts w:ascii="Times New Roman" w:hAnsi="Times New Roman"/>
                <w:noProof/>
                <w:sz w:val="20"/>
                <w:szCs w:val="20"/>
              </w:rPr>
              <w:t xml:space="preserve">This would also exclude second round information requests by tax administrations (also applicable to Option </w:t>
            </w:r>
            <w:r w:rsidR="006B5563">
              <w:rPr>
                <w:rFonts w:ascii="Times New Roman" w:hAnsi="Times New Roman"/>
                <w:noProof/>
                <w:sz w:val="20"/>
                <w:szCs w:val="20"/>
              </w:rPr>
              <w:t>2</w:t>
            </w:r>
            <w:r w:rsidR="006D24A7">
              <w:rPr>
                <w:rFonts w:ascii="Times New Roman" w:hAnsi="Times New Roman"/>
                <w:noProof/>
                <w:sz w:val="20"/>
                <w:szCs w:val="20"/>
              </w:rPr>
              <w:t xml:space="preserve">). </w:t>
            </w:r>
          </w:p>
        </w:tc>
      </w:tr>
      <w:tr w:rsidR="001D0D27" w:rsidRPr="00D312CE" w14:paraId="49A52F70" w14:textId="77777777" w:rsidTr="02355236">
        <w:trPr>
          <w:trHeight w:val="300"/>
        </w:trPr>
        <w:tc>
          <w:tcPr>
            <w:tcW w:w="846" w:type="dxa"/>
            <w:vAlign w:val="center"/>
          </w:tcPr>
          <w:p w14:paraId="43D22FDD" w14:textId="5EBB2B12" w:rsidR="001D0D27" w:rsidRPr="008704BD" w:rsidRDefault="0054413F" w:rsidP="009F0D23">
            <w:pPr>
              <w:jc w:val="center"/>
              <w:rPr>
                <w:rFonts w:ascii="Times New Roman" w:hAnsi="Times New Roman"/>
                <w:noProof/>
                <w:sz w:val="20"/>
              </w:rPr>
            </w:pPr>
            <w:r>
              <w:rPr>
                <w:rFonts w:ascii="Times New Roman" w:hAnsi="Times New Roman"/>
                <w:noProof/>
                <w:sz w:val="20"/>
              </w:rPr>
              <w:t>2</w:t>
            </w:r>
          </w:p>
        </w:tc>
        <w:tc>
          <w:tcPr>
            <w:tcW w:w="8504" w:type="dxa"/>
          </w:tcPr>
          <w:p w14:paraId="71830008" w14:textId="6AF2CADE" w:rsidR="001D0D27" w:rsidRPr="005C50E5" w:rsidRDefault="0ECE77D8">
            <w:pPr>
              <w:jc w:val="both"/>
              <w:rPr>
                <w:rFonts w:ascii="Times New Roman" w:hAnsi="Times New Roman"/>
                <w:noProof/>
                <w:sz w:val="20"/>
                <w:szCs w:val="20"/>
              </w:rPr>
            </w:pPr>
            <w:r w:rsidRPr="02355236">
              <w:rPr>
                <w:rFonts w:ascii="Times New Roman" w:hAnsi="Times New Roman"/>
                <w:noProof/>
                <w:sz w:val="20"/>
                <w:szCs w:val="20"/>
              </w:rPr>
              <w:t xml:space="preserve">Competitiveness of the Single Market is expected to be worse off than in Option </w:t>
            </w:r>
            <w:r w:rsidR="72D771AF" w:rsidRPr="02355236">
              <w:rPr>
                <w:rFonts w:ascii="Times New Roman" w:hAnsi="Times New Roman"/>
                <w:noProof/>
                <w:sz w:val="20"/>
                <w:szCs w:val="20"/>
              </w:rPr>
              <w:t>1</w:t>
            </w:r>
            <w:r w:rsidRPr="02355236">
              <w:rPr>
                <w:rFonts w:ascii="Times New Roman" w:hAnsi="Times New Roman"/>
                <w:noProof/>
                <w:sz w:val="20"/>
                <w:szCs w:val="20"/>
              </w:rPr>
              <w:t xml:space="preserve">. Since SMEs would be considered out of scope, this would mean that potentially large user bases </w:t>
            </w:r>
            <w:r w:rsidR="009A2A88" w:rsidRPr="02355236">
              <w:rPr>
                <w:rFonts w:ascii="Times New Roman" w:hAnsi="Times New Roman"/>
                <w:noProof/>
                <w:sz w:val="20"/>
                <w:szCs w:val="20"/>
              </w:rPr>
              <w:t xml:space="preserve">they may have and their underlying transactions </w:t>
            </w:r>
            <w:r w:rsidRPr="02355236">
              <w:rPr>
                <w:rFonts w:ascii="Times New Roman" w:hAnsi="Times New Roman"/>
                <w:noProof/>
                <w:sz w:val="20"/>
                <w:szCs w:val="20"/>
              </w:rPr>
              <w:t>would not be reported.</w:t>
            </w:r>
            <w:r w:rsidR="7C72E045" w:rsidRPr="02355236">
              <w:rPr>
                <w:rFonts w:ascii="Times New Roman" w:hAnsi="Times New Roman"/>
                <w:noProof/>
                <w:sz w:val="20"/>
                <w:szCs w:val="20"/>
              </w:rPr>
              <w:t xml:space="preserve"> </w:t>
            </w:r>
            <w:r w:rsidRPr="02355236">
              <w:rPr>
                <w:rFonts w:ascii="Times New Roman" w:hAnsi="Times New Roman"/>
                <w:noProof/>
                <w:sz w:val="20"/>
                <w:szCs w:val="20"/>
              </w:rPr>
              <w:t>SMEs would avoid some administrative burden, which would be beneficial at first. Implementing the right reporting framework once they grow bigger might be more burdensome than having it in place from the beginning</w:t>
            </w:r>
            <w:r w:rsidR="7C72E045" w:rsidRPr="02355236">
              <w:rPr>
                <w:rFonts w:ascii="Times New Roman" w:hAnsi="Times New Roman"/>
                <w:noProof/>
                <w:sz w:val="20"/>
                <w:szCs w:val="20"/>
              </w:rPr>
              <w:t xml:space="preserve"> (this also applies to Options </w:t>
            </w:r>
            <w:r w:rsidR="72D771AF" w:rsidRPr="02355236">
              <w:rPr>
                <w:rFonts w:ascii="Times New Roman" w:hAnsi="Times New Roman"/>
                <w:noProof/>
                <w:sz w:val="20"/>
                <w:szCs w:val="20"/>
              </w:rPr>
              <w:t>4</w:t>
            </w:r>
            <w:r w:rsidR="7C72E045" w:rsidRPr="02355236">
              <w:rPr>
                <w:rFonts w:ascii="Times New Roman" w:hAnsi="Times New Roman"/>
                <w:noProof/>
                <w:sz w:val="20"/>
                <w:szCs w:val="20"/>
              </w:rPr>
              <w:t xml:space="preserve"> and </w:t>
            </w:r>
            <w:r w:rsidR="72D771AF" w:rsidRPr="02355236">
              <w:rPr>
                <w:rFonts w:ascii="Times New Roman" w:hAnsi="Times New Roman"/>
                <w:noProof/>
                <w:sz w:val="20"/>
                <w:szCs w:val="20"/>
              </w:rPr>
              <w:t>6</w:t>
            </w:r>
            <w:r w:rsidR="7C72E045" w:rsidRPr="02355236">
              <w:rPr>
                <w:rFonts w:ascii="Times New Roman" w:hAnsi="Times New Roman"/>
                <w:noProof/>
                <w:sz w:val="20"/>
                <w:szCs w:val="20"/>
              </w:rPr>
              <w:t>)</w:t>
            </w:r>
            <w:r w:rsidRPr="02355236">
              <w:rPr>
                <w:rFonts w:ascii="Times New Roman" w:hAnsi="Times New Roman"/>
                <w:noProof/>
                <w:sz w:val="20"/>
                <w:szCs w:val="20"/>
              </w:rPr>
              <w:t>.</w:t>
            </w:r>
            <w:r w:rsidR="7C72E045" w:rsidRPr="02355236">
              <w:rPr>
                <w:rFonts w:ascii="Times New Roman" w:hAnsi="Times New Roman"/>
                <w:noProof/>
                <w:sz w:val="20"/>
                <w:szCs w:val="20"/>
              </w:rPr>
              <w:t xml:space="preserve"> Nevertheless, transaction-by transaction reporting would entail less administrative burden.</w:t>
            </w:r>
          </w:p>
        </w:tc>
      </w:tr>
      <w:tr w:rsidR="001D0D27" w:rsidRPr="00D312CE" w14:paraId="015A94FF" w14:textId="77777777" w:rsidTr="02355236">
        <w:tc>
          <w:tcPr>
            <w:tcW w:w="846" w:type="dxa"/>
            <w:vAlign w:val="center"/>
          </w:tcPr>
          <w:p w14:paraId="6119B154" w14:textId="71EB6388" w:rsidR="001D0D27" w:rsidRPr="008704BD" w:rsidRDefault="0054413F" w:rsidP="009F0D23">
            <w:pPr>
              <w:jc w:val="center"/>
              <w:rPr>
                <w:rFonts w:ascii="Times New Roman" w:hAnsi="Times New Roman"/>
                <w:noProof/>
                <w:sz w:val="20"/>
              </w:rPr>
            </w:pPr>
            <w:r>
              <w:rPr>
                <w:rFonts w:ascii="Times New Roman" w:hAnsi="Times New Roman"/>
                <w:noProof/>
                <w:sz w:val="20"/>
              </w:rPr>
              <w:t>3</w:t>
            </w:r>
          </w:p>
        </w:tc>
        <w:tc>
          <w:tcPr>
            <w:tcW w:w="8504" w:type="dxa"/>
          </w:tcPr>
          <w:p w14:paraId="31B4D4F5" w14:textId="70F10473" w:rsidR="001D0D27" w:rsidRPr="005C50E5" w:rsidRDefault="001D0D27">
            <w:pPr>
              <w:jc w:val="both"/>
              <w:rPr>
                <w:rFonts w:ascii="Times New Roman" w:hAnsi="Times New Roman"/>
                <w:noProof/>
                <w:sz w:val="20"/>
                <w:szCs w:val="20"/>
              </w:rPr>
            </w:pPr>
            <w:r w:rsidRPr="02355236">
              <w:rPr>
                <w:rFonts w:ascii="Times New Roman" w:hAnsi="Times New Roman"/>
                <w:noProof/>
                <w:sz w:val="20"/>
                <w:szCs w:val="20"/>
              </w:rPr>
              <w:t xml:space="preserve">Common rules at EU level would be beneficial for competitiveness </w:t>
            </w:r>
            <w:r w:rsidR="3CE2E81B" w:rsidRPr="02355236">
              <w:rPr>
                <w:rFonts w:ascii="Times New Roman" w:hAnsi="Times New Roman"/>
                <w:noProof/>
                <w:sz w:val="20"/>
                <w:szCs w:val="20"/>
              </w:rPr>
              <w:t>in</w:t>
            </w:r>
            <w:r w:rsidR="4B4E274E" w:rsidRPr="02355236">
              <w:rPr>
                <w:rFonts w:ascii="Times New Roman" w:hAnsi="Times New Roman"/>
                <w:noProof/>
                <w:sz w:val="20"/>
                <w:szCs w:val="20"/>
              </w:rPr>
              <w:t xml:space="preserve"> the Single Market</w:t>
            </w:r>
            <w:r w:rsidR="19DA99EC" w:rsidRPr="02355236">
              <w:rPr>
                <w:rFonts w:ascii="Times New Roman" w:hAnsi="Times New Roman"/>
                <w:noProof/>
                <w:sz w:val="20"/>
                <w:szCs w:val="20"/>
              </w:rPr>
              <w:t xml:space="preserve"> as the level playing field between the countries would be guaranteed, thus not leaving certain business in a less advantageous position</w:t>
            </w:r>
            <w:r w:rsidRPr="02355236">
              <w:rPr>
                <w:rFonts w:ascii="Times New Roman" w:hAnsi="Times New Roman"/>
                <w:noProof/>
                <w:sz w:val="20"/>
                <w:szCs w:val="20"/>
              </w:rPr>
              <w:t xml:space="preserve">. </w:t>
            </w:r>
            <w:r w:rsidR="4B4E274E" w:rsidRPr="02355236">
              <w:rPr>
                <w:rFonts w:ascii="Times New Roman" w:hAnsi="Times New Roman"/>
                <w:noProof/>
                <w:sz w:val="20"/>
                <w:szCs w:val="20"/>
              </w:rPr>
              <w:t>SMEs would not be carved out from the initiative, which would likely increase their compliance costs</w:t>
            </w:r>
            <w:r w:rsidR="7C72E045" w:rsidRPr="02355236">
              <w:rPr>
                <w:rFonts w:ascii="Times New Roman" w:hAnsi="Times New Roman"/>
                <w:noProof/>
                <w:sz w:val="20"/>
                <w:szCs w:val="20"/>
              </w:rPr>
              <w:t xml:space="preserve"> (higher than under Option </w:t>
            </w:r>
            <w:r w:rsidR="72D771AF" w:rsidRPr="02355236">
              <w:rPr>
                <w:rFonts w:ascii="Times New Roman" w:hAnsi="Times New Roman"/>
                <w:noProof/>
                <w:sz w:val="20"/>
                <w:szCs w:val="20"/>
              </w:rPr>
              <w:t>1</w:t>
            </w:r>
            <w:r w:rsidR="7C72E045" w:rsidRPr="02355236">
              <w:rPr>
                <w:rFonts w:ascii="Times New Roman" w:hAnsi="Times New Roman"/>
                <w:noProof/>
                <w:sz w:val="20"/>
                <w:szCs w:val="20"/>
              </w:rPr>
              <w:t>)</w:t>
            </w:r>
            <w:r w:rsidR="4B4E274E" w:rsidRPr="02355236">
              <w:rPr>
                <w:rFonts w:ascii="Times New Roman" w:hAnsi="Times New Roman"/>
                <w:noProof/>
                <w:sz w:val="20"/>
                <w:szCs w:val="20"/>
              </w:rPr>
              <w:t>.</w:t>
            </w:r>
            <w:r w:rsidR="7C72E045" w:rsidRPr="02355236">
              <w:rPr>
                <w:rFonts w:ascii="Times New Roman" w:hAnsi="Times New Roman"/>
                <w:noProof/>
                <w:sz w:val="20"/>
                <w:szCs w:val="20"/>
              </w:rPr>
              <w:t>This is due to a</w:t>
            </w:r>
            <w:r w:rsidR="24AA7C88" w:rsidRPr="02355236">
              <w:rPr>
                <w:rFonts w:ascii="Times New Roman" w:hAnsi="Times New Roman"/>
                <w:noProof/>
                <w:sz w:val="20"/>
                <w:szCs w:val="20"/>
              </w:rPr>
              <w:t>ggregate reporting</w:t>
            </w:r>
            <w:r w:rsidR="7C72E045" w:rsidRPr="02355236">
              <w:rPr>
                <w:rFonts w:ascii="Times New Roman" w:hAnsi="Times New Roman"/>
                <w:noProof/>
                <w:sz w:val="20"/>
                <w:szCs w:val="20"/>
              </w:rPr>
              <w:t xml:space="preserve"> which</w:t>
            </w:r>
            <w:r w:rsidR="24AA7C88" w:rsidRPr="02355236">
              <w:rPr>
                <w:rFonts w:ascii="Times New Roman" w:hAnsi="Times New Roman"/>
                <w:noProof/>
                <w:sz w:val="20"/>
                <w:szCs w:val="20"/>
              </w:rPr>
              <w:t xml:space="preserve"> is </w:t>
            </w:r>
            <w:r w:rsidR="5557EC62" w:rsidRPr="02355236">
              <w:rPr>
                <w:rFonts w:ascii="Times New Roman" w:hAnsi="Times New Roman"/>
                <w:noProof/>
                <w:sz w:val="20"/>
                <w:szCs w:val="20"/>
              </w:rPr>
              <w:t>more</w:t>
            </w:r>
            <w:r w:rsidR="24AA7C88" w:rsidRPr="02355236">
              <w:rPr>
                <w:rFonts w:ascii="Times New Roman" w:hAnsi="Times New Roman"/>
                <w:noProof/>
                <w:sz w:val="20"/>
                <w:szCs w:val="20"/>
              </w:rPr>
              <w:t xml:space="preserve"> cumbersome for SMEs </w:t>
            </w:r>
            <w:r w:rsidR="66D2B32E" w:rsidRPr="02355236">
              <w:rPr>
                <w:rFonts w:ascii="Times New Roman" w:hAnsi="Times New Roman"/>
                <w:noProof/>
                <w:sz w:val="20"/>
                <w:szCs w:val="20"/>
              </w:rPr>
              <w:t>compared to other reporting modalities</w:t>
            </w:r>
            <w:r w:rsidR="24AA7C88" w:rsidRPr="02355236">
              <w:rPr>
                <w:rFonts w:ascii="Times New Roman" w:hAnsi="Times New Roman"/>
                <w:noProof/>
                <w:sz w:val="20"/>
                <w:szCs w:val="20"/>
              </w:rPr>
              <w:t>.</w:t>
            </w:r>
            <w:r w:rsidR="5557EC62" w:rsidRPr="02355236">
              <w:rPr>
                <w:rFonts w:ascii="Times New Roman" w:hAnsi="Times New Roman"/>
                <w:noProof/>
                <w:sz w:val="20"/>
                <w:szCs w:val="20"/>
              </w:rPr>
              <w:t xml:space="preserve"> </w:t>
            </w:r>
            <w:r w:rsidR="277BCE7D" w:rsidRPr="02355236">
              <w:rPr>
                <w:rFonts w:ascii="Times New Roman" w:hAnsi="Times New Roman"/>
                <w:noProof/>
                <w:sz w:val="20"/>
                <w:szCs w:val="20"/>
              </w:rPr>
              <w:t xml:space="preserve">Second round information requests by tax administrations are </w:t>
            </w:r>
            <w:r w:rsidR="009A2A88" w:rsidRPr="02355236">
              <w:rPr>
                <w:rFonts w:ascii="Times New Roman" w:hAnsi="Times New Roman"/>
                <w:noProof/>
                <w:sz w:val="20"/>
                <w:szCs w:val="20"/>
              </w:rPr>
              <w:t xml:space="preserve">also </w:t>
            </w:r>
            <w:r w:rsidR="277BCE7D" w:rsidRPr="02355236">
              <w:rPr>
                <w:rFonts w:ascii="Times New Roman" w:hAnsi="Times New Roman"/>
                <w:noProof/>
                <w:sz w:val="20"/>
                <w:szCs w:val="20"/>
              </w:rPr>
              <w:t xml:space="preserve">likely (applicable to Option </w:t>
            </w:r>
            <w:r w:rsidR="72D771AF" w:rsidRPr="02355236">
              <w:rPr>
                <w:rFonts w:ascii="Times New Roman" w:hAnsi="Times New Roman"/>
                <w:noProof/>
                <w:sz w:val="20"/>
                <w:szCs w:val="20"/>
              </w:rPr>
              <w:t>4</w:t>
            </w:r>
            <w:r w:rsidR="277BCE7D" w:rsidRPr="02355236">
              <w:rPr>
                <w:rFonts w:ascii="Times New Roman" w:hAnsi="Times New Roman"/>
                <w:noProof/>
                <w:sz w:val="20"/>
                <w:szCs w:val="20"/>
              </w:rPr>
              <w:t>).</w:t>
            </w:r>
          </w:p>
        </w:tc>
      </w:tr>
      <w:tr w:rsidR="001D0D27" w:rsidRPr="00D312CE" w14:paraId="75DB8FB9" w14:textId="77777777" w:rsidTr="02355236">
        <w:tc>
          <w:tcPr>
            <w:tcW w:w="846" w:type="dxa"/>
            <w:vAlign w:val="center"/>
          </w:tcPr>
          <w:p w14:paraId="0B12B3E3" w14:textId="1514AEED" w:rsidR="001D0D27" w:rsidRPr="008704BD" w:rsidRDefault="0054413F" w:rsidP="009F0D23">
            <w:pPr>
              <w:jc w:val="center"/>
              <w:rPr>
                <w:rFonts w:ascii="Times New Roman" w:hAnsi="Times New Roman"/>
                <w:noProof/>
                <w:sz w:val="20"/>
              </w:rPr>
            </w:pPr>
            <w:r>
              <w:rPr>
                <w:rFonts w:ascii="Times New Roman" w:hAnsi="Times New Roman"/>
                <w:noProof/>
                <w:sz w:val="20"/>
              </w:rPr>
              <w:t>4</w:t>
            </w:r>
          </w:p>
        </w:tc>
        <w:tc>
          <w:tcPr>
            <w:tcW w:w="8504" w:type="dxa"/>
          </w:tcPr>
          <w:p w14:paraId="678BB63F" w14:textId="69449ED2" w:rsidR="008E41CD" w:rsidRPr="005C50E5" w:rsidRDefault="007B621C" w:rsidP="0076423F">
            <w:pPr>
              <w:jc w:val="both"/>
              <w:rPr>
                <w:rFonts w:ascii="Times New Roman" w:hAnsi="Times New Roman"/>
                <w:noProof/>
                <w:sz w:val="20"/>
                <w:szCs w:val="20"/>
              </w:rPr>
            </w:pPr>
            <w:r>
              <w:rPr>
                <w:rFonts w:ascii="Times New Roman" w:hAnsi="Times New Roman"/>
                <w:noProof/>
                <w:sz w:val="20"/>
                <w:szCs w:val="20"/>
              </w:rPr>
              <w:t>C</w:t>
            </w:r>
            <w:r w:rsidR="008E41CD">
              <w:rPr>
                <w:rFonts w:ascii="Times New Roman" w:hAnsi="Times New Roman"/>
                <w:noProof/>
                <w:sz w:val="20"/>
                <w:szCs w:val="20"/>
              </w:rPr>
              <w:t xml:space="preserve">ompetitiveness </w:t>
            </w:r>
            <w:r>
              <w:rPr>
                <w:rFonts w:ascii="Times New Roman" w:hAnsi="Times New Roman"/>
                <w:noProof/>
                <w:sz w:val="20"/>
                <w:szCs w:val="20"/>
              </w:rPr>
              <w:t>of the Single Market</w:t>
            </w:r>
            <w:r w:rsidR="008E41CD">
              <w:rPr>
                <w:rFonts w:ascii="Times New Roman" w:hAnsi="Times New Roman"/>
                <w:noProof/>
                <w:sz w:val="20"/>
                <w:szCs w:val="20"/>
              </w:rPr>
              <w:t xml:space="preserve"> </w:t>
            </w:r>
            <w:r>
              <w:rPr>
                <w:rFonts w:ascii="Times New Roman" w:hAnsi="Times New Roman"/>
                <w:noProof/>
                <w:sz w:val="20"/>
                <w:szCs w:val="20"/>
              </w:rPr>
              <w:t>is</w:t>
            </w:r>
            <w:r w:rsidR="008E41CD">
              <w:rPr>
                <w:rFonts w:ascii="Times New Roman" w:hAnsi="Times New Roman"/>
                <w:noProof/>
                <w:sz w:val="20"/>
                <w:szCs w:val="20"/>
              </w:rPr>
              <w:t xml:space="preserve"> expected </w:t>
            </w:r>
            <w:r>
              <w:rPr>
                <w:rFonts w:ascii="Times New Roman" w:hAnsi="Times New Roman"/>
                <w:noProof/>
                <w:sz w:val="20"/>
                <w:szCs w:val="20"/>
              </w:rPr>
              <w:t>to be worse off than</w:t>
            </w:r>
            <w:r w:rsidR="008E41CD">
              <w:rPr>
                <w:rFonts w:ascii="Times New Roman" w:hAnsi="Times New Roman"/>
                <w:noProof/>
                <w:sz w:val="20"/>
                <w:szCs w:val="20"/>
              </w:rPr>
              <w:t xml:space="preserve"> in Option </w:t>
            </w:r>
            <w:r w:rsidR="006B5563">
              <w:rPr>
                <w:rFonts w:ascii="Times New Roman" w:hAnsi="Times New Roman"/>
                <w:noProof/>
                <w:sz w:val="20"/>
                <w:szCs w:val="20"/>
              </w:rPr>
              <w:t>3</w:t>
            </w:r>
            <w:r w:rsidR="008E41CD">
              <w:rPr>
                <w:rFonts w:ascii="Times New Roman" w:hAnsi="Times New Roman"/>
                <w:noProof/>
                <w:sz w:val="20"/>
                <w:szCs w:val="20"/>
              </w:rPr>
              <w:t xml:space="preserve">. </w:t>
            </w:r>
            <w:r>
              <w:rPr>
                <w:rFonts w:ascii="Times New Roman" w:hAnsi="Times New Roman"/>
                <w:noProof/>
                <w:sz w:val="20"/>
                <w:szCs w:val="20"/>
              </w:rPr>
              <w:t>S</w:t>
            </w:r>
            <w:r w:rsidR="008E41CD">
              <w:rPr>
                <w:rFonts w:ascii="Times New Roman" w:hAnsi="Times New Roman"/>
                <w:noProof/>
                <w:sz w:val="20"/>
                <w:szCs w:val="20"/>
              </w:rPr>
              <w:t xml:space="preserve">ince </w:t>
            </w:r>
            <w:r w:rsidR="008E41CD" w:rsidRPr="001D0D27">
              <w:rPr>
                <w:rFonts w:ascii="Times New Roman" w:hAnsi="Times New Roman"/>
                <w:noProof/>
                <w:sz w:val="20"/>
                <w:szCs w:val="20"/>
              </w:rPr>
              <w:t>SMEs wou</w:t>
            </w:r>
            <w:r w:rsidR="008E41CD">
              <w:rPr>
                <w:rFonts w:ascii="Times New Roman" w:hAnsi="Times New Roman"/>
                <w:noProof/>
                <w:sz w:val="20"/>
                <w:szCs w:val="20"/>
              </w:rPr>
              <w:t>ld be considered out of scope, t</w:t>
            </w:r>
            <w:r w:rsidR="008E41CD" w:rsidRPr="001D0D27">
              <w:rPr>
                <w:rFonts w:ascii="Times New Roman" w:hAnsi="Times New Roman"/>
                <w:noProof/>
                <w:sz w:val="20"/>
                <w:szCs w:val="20"/>
              </w:rPr>
              <w:t xml:space="preserve">his would mean that </w:t>
            </w:r>
            <w:r>
              <w:rPr>
                <w:rFonts w:ascii="Times New Roman" w:hAnsi="Times New Roman"/>
                <w:noProof/>
                <w:sz w:val="20"/>
                <w:szCs w:val="20"/>
              </w:rPr>
              <w:t xml:space="preserve">potentially large user bases that they would not be reported. </w:t>
            </w:r>
            <w:r w:rsidR="00BA4A77">
              <w:rPr>
                <w:rFonts w:ascii="Times New Roman" w:hAnsi="Times New Roman"/>
                <w:noProof/>
                <w:sz w:val="20"/>
                <w:szCs w:val="20"/>
              </w:rPr>
              <w:t xml:space="preserve">If SMEs grow bigger over time, aggregate reporting would still bring about higher compliance costs than under </w:t>
            </w:r>
            <w:r w:rsidR="00C47071">
              <w:rPr>
                <w:rFonts w:ascii="Times New Roman" w:hAnsi="Times New Roman"/>
                <w:noProof/>
                <w:sz w:val="20"/>
                <w:szCs w:val="20"/>
              </w:rPr>
              <w:t xml:space="preserve">Option </w:t>
            </w:r>
            <w:r w:rsidR="006B5563">
              <w:rPr>
                <w:rFonts w:ascii="Times New Roman" w:hAnsi="Times New Roman"/>
                <w:noProof/>
                <w:sz w:val="20"/>
                <w:szCs w:val="20"/>
              </w:rPr>
              <w:t>2</w:t>
            </w:r>
            <w:r w:rsidR="00C47071">
              <w:rPr>
                <w:rFonts w:ascii="Times New Roman" w:hAnsi="Times New Roman"/>
                <w:noProof/>
                <w:sz w:val="20"/>
                <w:szCs w:val="20"/>
              </w:rPr>
              <w:t>.</w:t>
            </w:r>
          </w:p>
        </w:tc>
      </w:tr>
      <w:tr w:rsidR="001D0D27" w:rsidRPr="00D312CE" w14:paraId="541B73D4" w14:textId="77777777" w:rsidTr="02355236">
        <w:tc>
          <w:tcPr>
            <w:tcW w:w="846" w:type="dxa"/>
            <w:vAlign w:val="center"/>
          </w:tcPr>
          <w:p w14:paraId="0325A5E5" w14:textId="0908875B" w:rsidR="001D0D27" w:rsidRPr="008704BD" w:rsidRDefault="0054413F" w:rsidP="009F0D23">
            <w:pPr>
              <w:jc w:val="center"/>
              <w:rPr>
                <w:rFonts w:ascii="Times New Roman" w:hAnsi="Times New Roman"/>
                <w:noProof/>
                <w:sz w:val="20"/>
              </w:rPr>
            </w:pPr>
            <w:r>
              <w:rPr>
                <w:rFonts w:ascii="Times New Roman" w:hAnsi="Times New Roman"/>
                <w:noProof/>
                <w:sz w:val="20"/>
              </w:rPr>
              <w:t>5</w:t>
            </w:r>
          </w:p>
        </w:tc>
        <w:tc>
          <w:tcPr>
            <w:tcW w:w="8504" w:type="dxa"/>
          </w:tcPr>
          <w:p w14:paraId="5659F511" w14:textId="088DBFA0" w:rsidR="001D0D27" w:rsidRPr="005C50E5" w:rsidRDefault="006D24A7" w:rsidP="00B95060">
            <w:pPr>
              <w:jc w:val="both"/>
              <w:rPr>
                <w:rFonts w:ascii="Times New Roman" w:hAnsi="Times New Roman"/>
                <w:noProof/>
                <w:sz w:val="20"/>
                <w:szCs w:val="20"/>
              </w:rPr>
            </w:pPr>
            <w:r>
              <w:rPr>
                <w:rFonts w:ascii="Times New Roman" w:hAnsi="Times New Roman"/>
                <w:noProof/>
                <w:sz w:val="20"/>
                <w:szCs w:val="20"/>
              </w:rPr>
              <w:t>Common rules at EU level</w:t>
            </w:r>
            <w:r w:rsidRPr="001D0D27">
              <w:rPr>
                <w:rFonts w:ascii="Times New Roman" w:hAnsi="Times New Roman"/>
                <w:noProof/>
                <w:sz w:val="20"/>
                <w:szCs w:val="20"/>
              </w:rPr>
              <w:t xml:space="preserve"> would be beneficial for competitiveness </w:t>
            </w:r>
            <w:r>
              <w:rPr>
                <w:rFonts w:ascii="Times New Roman" w:hAnsi="Times New Roman"/>
                <w:noProof/>
                <w:sz w:val="20"/>
                <w:szCs w:val="20"/>
              </w:rPr>
              <w:t>of the Single Market</w:t>
            </w:r>
            <w:r w:rsidR="00DC3B56">
              <w:rPr>
                <w:rFonts w:ascii="Times New Roman" w:hAnsi="Times New Roman"/>
                <w:noProof/>
                <w:sz w:val="20"/>
                <w:szCs w:val="20"/>
              </w:rPr>
              <w:t xml:space="preserve"> </w:t>
            </w:r>
            <w:r w:rsidR="00DC3B56" w:rsidRPr="02355236">
              <w:rPr>
                <w:rFonts w:ascii="Times New Roman" w:hAnsi="Times New Roman"/>
                <w:noProof/>
                <w:sz w:val="20"/>
                <w:szCs w:val="20"/>
              </w:rPr>
              <w:t>as the level playing field between the countries would be guaranteed, thus not leaving certain business in a less advantageous position</w:t>
            </w:r>
            <w:r w:rsidRPr="001D0D27">
              <w:rPr>
                <w:rFonts w:ascii="Times New Roman" w:hAnsi="Times New Roman"/>
                <w:noProof/>
                <w:sz w:val="20"/>
                <w:szCs w:val="20"/>
              </w:rPr>
              <w:t>.</w:t>
            </w:r>
            <w:r>
              <w:rPr>
                <w:rFonts w:ascii="Times New Roman" w:hAnsi="Times New Roman"/>
                <w:noProof/>
                <w:sz w:val="20"/>
                <w:szCs w:val="20"/>
              </w:rPr>
              <w:t xml:space="preserve"> SMEs would not be carved out from the initiative. The hybrid reporting modality would make compliance costs relatively </w:t>
            </w:r>
            <w:r w:rsidR="00B95060">
              <w:rPr>
                <w:rFonts w:ascii="Times New Roman" w:hAnsi="Times New Roman"/>
                <w:noProof/>
                <w:sz w:val="20"/>
                <w:szCs w:val="20"/>
              </w:rPr>
              <w:t xml:space="preserve">manageable </w:t>
            </w:r>
            <w:r>
              <w:rPr>
                <w:rFonts w:ascii="Times New Roman" w:hAnsi="Times New Roman"/>
                <w:noProof/>
                <w:sz w:val="20"/>
                <w:szCs w:val="20"/>
              </w:rPr>
              <w:t xml:space="preserve">(somewhere in between Options </w:t>
            </w:r>
            <w:r w:rsidR="006B5563">
              <w:rPr>
                <w:rFonts w:ascii="Times New Roman" w:hAnsi="Times New Roman"/>
                <w:noProof/>
                <w:sz w:val="20"/>
                <w:szCs w:val="20"/>
              </w:rPr>
              <w:t>1</w:t>
            </w:r>
            <w:r>
              <w:rPr>
                <w:rFonts w:ascii="Times New Roman" w:hAnsi="Times New Roman"/>
                <w:noProof/>
                <w:sz w:val="20"/>
                <w:szCs w:val="20"/>
              </w:rPr>
              <w:t xml:space="preserve"> and </w:t>
            </w:r>
            <w:r w:rsidR="006B5563">
              <w:rPr>
                <w:rFonts w:ascii="Times New Roman" w:hAnsi="Times New Roman"/>
                <w:noProof/>
                <w:sz w:val="20"/>
                <w:szCs w:val="20"/>
              </w:rPr>
              <w:t>3</w:t>
            </w:r>
            <w:r>
              <w:rPr>
                <w:rFonts w:ascii="Times New Roman" w:hAnsi="Times New Roman"/>
                <w:noProof/>
                <w:sz w:val="20"/>
                <w:szCs w:val="20"/>
              </w:rPr>
              <w:t>), with limited amount of second round information requests by tax administrations.</w:t>
            </w:r>
          </w:p>
        </w:tc>
      </w:tr>
      <w:tr w:rsidR="001D0D27" w:rsidRPr="00D312CE" w14:paraId="6DE7EDC8" w14:textId="77777777" w:rsidTr="02355236">
        <w:tc>
          <w:tcPr>
            <w:tcW w:w="846" w:type="dxa"/>
            <w:vAlign w:val="center"/>
          </w:tcPr>
          <w:p w14:paraId="3C377704" w14:textId="61EF08B6" w:rsidR="001D0D27" w:rsidRDefault="0054413F" w:rsidP="009F0D23">
            <w:pPr>
              <w:jc w:val="center"/>
              <w:rPr>
                <w:rFonts w:ascii="Times New Roman" w:hAnsi="Times New Roman"/>
                <w:noProof/>
                <w:sz w:val="20"/>
              </w:rPr>
            </w:pPr>
            <w:r>
              <w:rPr>
                <w:rFonts w:ascii="Times New Roman" w:hAnsi="Times New Roman"/>
                <w:noProof/>
                <w:sz w:val="20"/>
              </w:rPr>
              <w:t>6</w:t>
            </w:r>
          </w:p>
        </w:tc>
        <w:tc>
          <w:tcPr>
            <w:tcW w:w="8504" w:type="dxa"/>
          </w:tcPr>
          <w:p w14:paraId="36DD969E" w14:textId="40FD0EBA" w:rsidR="001D0D27" w:rsidRPr="005C50E5" w:rsidRDefault="006D24A7" w:rsidP="00B95060">
            <w:pPr>
              <w:jc w:val="both"/>
              <w:rPr>
                <w:rFonts w:ascii="Times New Roman" w:hAnsi="Times New Roman"/>
                <w:noProof/>
                <w:sz w:val="20"/>
                <w:szCs w:val="20"/>
              </w:rPr>
            </w:pPr>
            <w:r>
              <w:rPr>
                <w:rFonts w:ascii="Times New Roman" w:hAnsi="Times New Roman"/>
                <w:noProof/>
                <w:sz w:val="20"/>
                <w:szCs w:val="20"/>
              </w:rPr>
              <w:t xml:space="preserve">Competitiveness of the Single Market is expected to be worse off than in Option </w:t>
            </w:r>
            <w:r w:rsidR="006B5563">
              <w:rPr>
                <w:rFonts w:ascii="Times New Roman" w:hAnsi="Times New Roman"/>
                <w:noProof/>
                <w:sz w:val="20"/>
                <w:szCs w:val="20"/>
              </w:rPr>
              <w:t>5</w:t>
            </w:r>
            <w:r>
              <w:rPr>
                <w:rFonts w:ascii="Times New Roman" w:hAnsi="Times New Roman"/>
                <w:noProof/>
                <w:sz w:val="20"/>
                <w:szCs w:val="20"/>
              </w:rPr>
              <w:t xml:space="preserve">. SMEs would be carved out from the initiative. </w:t>
            </w:r>
            <w:r w:rsidR="008407A8">
              <w:rPr>
                <w:rFonts w:ascii="Times New Roman" w:hAnsi="Times New Roman"/>
                <w:noProof/>
                <w:sz w:val="20"/>
                <w:szCs w:val="20"/>
              </w:rPr>
              <w:t>If they grow bigger over time, t</w:t>
            </w:r>
            <w:r>
              <w:rPr>
                <w:rFonts w:ascii="Times New Roman" w:hAnsi="Times New Roman"/>
                <w:noProof/>
                <w:sz w:val="20"/>
                <w:szCs w:val="20"/>
              </w:rPr>
              <w:t xml:space="preserve">he hybrid reporting modality would make compliance costs relatively </w:t>
            </w:r>
            <w:r w:rsidR="00B95060">
              <w:rPr>
                <w:rFonts w:ascii="Times New Roman" w:hAnsi="Times New Roman"/>
                <w:noProof/>
                <w:sz w:val="20"/>
                <w:szCs w:val="20"/>
              </w:rPr>
              <w:t xml:space="preserve">manageable </w:t>
            </w:r>
            <w:r>
              <w:rPr>
                <w:rFonts w:ascii="Times New Roman" w:hAnsi="Times New Roman"/>
                <w:noProof/>
                <w:sz w:val="20"/>
                <w:szCs w:val="20"/>
              </w:rPr>
              <w:t>(somewhere in between</w:t>
            </w:r>
            <w:r w:rsidR="008407A8">
              <w:rPr>
                <w:rFonts w:ascii="Times New Roman" w:hAnsi="Times New Roman"/>
                <w:noProof/>
                <w:sz w:val="20"/>
                <w:szCs w:val="20"/>
              </w:rPr>
              <w:t xml:space="preserve"> Options </w:t>
            </w:r>
            <w:r w:rsidR="006B5563">
              <w:rPr>
                <w:rFonts w:ascii="Times New Roman" w:hAnsi="Times New Roman"/>
                <w:noProof/>
                <w:sz w:val="20"/>
                <w:szCs w:val="20"/>
              </w:rPr>
              <w:t>2</w:t>
            </w:r>
            <w:r w:rsidR="008407A8">
              <w:rPr>
                <w:rFonts w:ascii="Times New Roman" w:hAnsi="Times New Roman"/>
                <w:noProof/>
                <w:sz w:val="20"/>
                <w:szCs w:val="20"/>
              </w:rPr>
              <w:t xml:space="preserve"> and </w:t>
            </w:r>
            <w:r w:rsidR="006B5563">
              <w:rPr>
                <w:rFonts w:ascii="Times New Roman" w:hAnsi="Times New Roman"/>
                <w:noProof/>
                <w:sz w:val="20"/>
                <w:szCs w:val="20"/>
              </w:rPr>
              <w:t>4</w:t>
            </w:r>
            <w:r>
              <w:rPr>
                <w:rFonts w:ascii="Times New Roman" w:hAnsi="Times New Roman"/>
                <w:noProof/>
                <w:sz w:val="20"/>
                <w:szCs w:val="20"/>
              </w:rPr>
              <w:t>), with limited amount of second round information requests by tax administrations.</w:t>
            </w:r>
          </w:p>
        </w:tc>
      </w:tr>
    </w:tbl>
    <w:p w14:paraId="759A0F4F" w14:textId="77777777" w:rsidR="008E5B0B" w:rsidRPr="008704BD" w:rsidRDefault="008E5B0B" w:rsidP="008D6889">
      <w:pPr>
        <w:jc w:val="both"/>
        <w:rPr>
          <w:rFonts w:ascii="Times New Roman" w:hAnsi="Times New Roman"/>
          <w:noProof/>
          <w:sz w:val="24"/>
          <w:lang w:val="en-GB"/>
        </w:rPr>
      </w:pPr>
    </w:p>
    <w:p w14:paraId="324A3B11" w14:textId="77777777" w:rsidR="00572424" w:rsidRPr="00D312CE" w:rsidRDefault="00572424" w:rsidP="00D603CB">
      <w:pPr>
        <w:pStyle w:val="Heading3"/>
        <w:numPr>
          <w:ilvl w:val="2"/>
          <w:numId w:val="73"/>
        </w:numPr>
        <w:ind w:left="0" w:firstLine="0"/>
        <w:rPr>
          <w:rFonts w:ascii="Times New Roman" w:eastAsia="Times New Roman" w:hAnsi="Times New Roman" w:cs="Times New Roman"/>
          <w:noProof/>
          <w:lang w:val="en-GB"/>
        </w:rPr>
      </w:pPr>
      <w:bookmarkStart w:id="396" w:name="_Toc81582169"/>
      <w:bookmarkStart w:id="397" w:name="_Toc83742028"/>
      <w:bookmarkStart w:id="398" w:name="_Toc83824407"/>
      <w:bookmarkStart w:id="399" w:name="_Toc84338487"/>
      <w:bookmarkStart w:id="400" w:name="_Toc84520052"/>
      <w:bookmarkStart w:id="401" w:name="_Toc84579917"/>
      <w:bookmarkStart w:id="402" w:name="_Toc85052212"/>
      <w:bookmarkStart w:id="403" w:name="_Toc1473307248"/>
      <w:bookmarkStart w:id="404" w:name="_Toc303962885"/>
      <w:bookmarkStart w:id="405" w:name="_Toc314119407"/>
      <w:bookmarkStart w:id="406" w:name="_Toc93306888"/>
      <w:r w:rsidRPr="41BAA3BB">
        <w:rPr>
          <w:rFonts w:ascii="Times New Roman" w:eastAsia="Times New Roman" w:hAnsi="Times New Roman" w:cs="Times New Roman"/>
          <w:noProof/>
          <w:lang w:val="en-GB"/>
        </w:rPr>
        <w:t>Social and environmental impacts</w:t>
      </w:r>
      <w:bookmarkEnd w:id="396"/>
      <w:bookmarkEnd w:id="397"/>
      <w:bookmarkEnd w:id="398"/>
      <w:bookmarkEnd w:id="399"/>
      <w:bookmarkEnd w:id="400"/>
      <w:bookmarkEnd w:id="401"/>
      <w:bookmarkEnd w:id="402"/>
      <w:bookmarkEnd w:id="403"/>
      <w:bookmarkEnd w:id="404"/>
      <w:bookmarkEnd w:id="405"/>
      <w:bookmarkEnd w:id="406"/>
    </w:p>
    <w:p w14:paraId="64C8CE45" w14:textId="77777777" w:rsidR="00B77E5F" w:rsidRPr="008704BD" w:rsidRDefault="00DE5133" w:rsidP="6E8C644F">
      <w:pPr>
        <w:pStyle w:val="Text2"/>
        <w:spacing w:line="276" w:lineRule="auto"/>
        <w:ind w:left="0"/>
        <w:rPr>
          <w:noProof/>
        </w:rPr>
      </w:pPr>
      <w:r w:rsidRPr="008704BD">
        <w:rPr>
          <w:noProof/>
        </w:rPr>
        <w:t>Expanding</w:t>
      </w:r>
      <w:r w:rsidRPr="008704BD" w:rsidDel="00F74C56">
        <w:rPr>
          <w:noProof/>
        </w:rPr>
        <w:t xml:space="preserve"> </w:t>
      </w:r>
      <w:r w:rsidRPr="008704BD">
        <w:rPr>
          <w:noProof/>
        </w:rPr>
        <w:t xml:space="preserve">the automatic exchange of information and administrative cooperation </w:t>
      </w:r>
      <w:r w:rsidR="79E3A236" w:rsidRPr="008704BD">
        <w:rPr>
          <w:noProof/>
        </w:rPr>
        <w:t>would yield positive social</w:t>
      </w:r>
      <w:r w:rsidR="1B8FFDEC" w:rsidRPr="008704BD">
        <w:rPr>
          <w:noProof/>
        </w:rPr>
        <w:t xml:space="preserve"> and environmental</w:t>
      </w:r>
      <w:r w:rsidR="79E3A236" w:rsidRPr="008704BD">
        <w:rPr>
          <w:noProof/>
        </w:rPr>
        <w:t xml:space="preserve"> impacts. As discussed above, the </w:t>
      </w:r>
      <w:r w:rsidR="664BC44C" w:rsidRPr="008704BD">
        <w:rPr>
          <w:noProof/>
        </w:rPr>
        <w:t xml:space="preserve">proposal </w:t>
      </w:r>
      <w:r w:rsidR="79E3A236" w:rsidRPr="008704BD">
        <w:rPr>
          <w:noProof/>
        </w:rPr>
        <w:t xml:space="preserve">is expected to lead to an increase in tax revenues, which can be used to fund (green) economic and social policies of the Member States. The </w:t>
      </w:r>
      <w:r w:rsidR="664BC44C" w:rsidRPr="008704BD">
        <w:rPr>
          <w:noProof/>
        </w:rPr>
        <w:t>initiative</w:t>
      </w:r>
      <w:r w:rsidR="79E3A236" w:rsidRPr="008704BD">
        <w:rPr>
          <w:noProof/>
        </w:rPr>
        <w:t xml:space="preserve"> would also contribute to a positive perception of tax fairness and to fair burden sharing across taxpayers, while at the same time resulting in more trust and transparency from the side of the </w:t>
      </w:r>
      <w:r w:rsidRPr="008704BD">
        <w:rPr>
          <w:noProof/>
        </w:rPr>
        <w:t>intermediaries</w:t>
      </w:r>
      <w:r w:rsidR="79E3A236" w:rsidRPr="008704BD">
        <w:rPr>
          <w:noProof/>
        </w:rPr>
        <w:t xml:space="preserve">. </w:t>
      </w:r>
    </w:p>
    <w:p w14:paraId="069E17C5" w14:textId="77777777" w:rsidR="00572424" w:rsidRPr="008704BD" w:rsidRDefault="00572424" w:rsidP="00B77E5F">
      <w:pPr>
        <w:pStyle w:val="Text2"/>
        <w:spacing w:line="276" w:lineRule="auto"/>
        <w:ind w:left="0"/>
        <w:rPr>
          <w:noProof/>
        </w:rPr>
      </w:pPr>
      <w:r w:rsidRPr="008704BD">
        <w:rPr>
          <w:noProof/>
        </w:rPr>
        <w:t xml:space="preserve">The EU would be directly tackling the challenge of unreported income earned through </w:t>
      </w:r>
      <w:r w:rsidR="738E89A3" w:rsidRPr="008704BD">
        <w:rPr>
          <w:noProof/>
        </w:rPr>
        <w:t>service providers</w:t>
      </w:r>
      <w:r w:rsidRPr="008704BD">
        <w:rPr>
          <w:noProof/>
        </w:rPr>
        <w:t xml:space="preserve"> </w:t>
      </w:r>
      <w:r w:rsidR="7A2DAE59" w:rsidRPr="008704BD">
        <w:rPr>
          <w:noProof/>
        </w:rPr>
        <w:t>active</w:t>
      </w:r>
      <w:r w:rsidRPr="008704BD">
        <w:rPr>
          <w:noProof/>
        </w:rPr>
        <w:t xml:space="preserve"> in </w:t>
      </w:r>
      <w:r w:rsidR="56790D9B" w:rsidRPr="008704BD">
        <w:rPr>
          <w:noProof/>
        </w:rPr>
        <w:t>EU</w:t>
      </w:r>
      <w:r w:rsidRPr="008704BD">
        <w:rPr>
          <w:noProof/>
        </w:rPr>
        <w:t xml:space="preserve"> Member States. </w:t>
      </w:r>
      <w:r w:rsidR="1568AF96" w:rsidRPr="008704BD">
        <w:rPr>
          <w:noProof/>
        </w:rPr>
        <w:t>T</w:t>
      </w:r>
      <w:r w:rsidRPr="008704BD">
        <w:rPr>
          <w:noProof/>
        </w:rPr>
        <w:t>ax evasion matters to a vast majority of the EU citizens</w:t>
      </w:r>
      <w:r w:rsidR="5D37A928" w:rsidRPr="008704BD">
        <w:rPr>
          <w:noProof/>
        </w:rPr>
        <w:t>.</w:t>
      </w:r>
      <w:r w:rsidRPr="008704BD">
        <w:rPr>
          <w:noProof/>
          <w:vertAlign w:val="superscript"/>
        </w:rPr>
        <w:footnoteReference w:id="41"/>
      </w:r>
      <w:r w:rsidRPr="008704BD">
        <w:rPr>
          <w:noProof/>
        </w:rPr>
        <w:t xml:space="preserve"> </w:t>
      </w:r>
      <w:r w:rsidR="45666C78" w:rsidRPr="008704BD">
        <w:rPr>
          <w:noProof/>
        </w:rPr>
        <w:t>T</w:t>
      </w:r>
      <w:r w:rsidRPr="008704BD">
        <w:rPr>
          <w:noProof/>
        </w:rPr>
        <w:t xml:space="preserve">he perception of tax fairness, together with the EU’s role in shaping it, </w:t>
      </w:r>
      <w:r w:rsidR="1810AC19" w:rsidRPr="008704BD">
        <w:rPr>
          <w:noProof/>
        </w:rPr>
        <w:t>is expected to improve with such an initiative</w:t>
      </w:r>
      <w:r w:rsidRPr="008704BD">
        <w:rPr>
          <w:noProof/>
        </w:rPr>
        <w:t>. The same reasoning applies to benefits in terms of fair burden-sharing as the Member States would ensure that taxes due are effectively collected.</w:t>
      </w:r>
      <w:r w:rsidR="00484B08" w:rsidRPr="008704BD">
        <w:rPr>
          <w:noProof/>
        </w:rPr>
        <w:t xml:space="preserve"> </w:t>
      </w:r>
    </w:p>
    <w:p w14:paraId="7A0286DA" w14:textId="77777777" w:rsidR="00572424" w:rsidRPr="008704BD" w:rsidRDefault="769818BE" w:rsidP="6E8C644F">
      <w:pPr>
        <w:jc w:val="both"/>
        <w:rPr>
          <w:rFonts w:ascii="Times New Roman" w:hAnsi="Times New Roman"/>
          <w:noProof/>
          <w:sz w:val="24"/>
          <w:lang w:val="en-GB"/>
        </w:rPr>
      </w:pPr>
      <w:r w:rsidRPr="008704BD">
        <w:rPr>
          <w:rFonts w:ascii="Times New Roman" w:hAnsi="Times New Roman"/>
          <w:noProof/>
          <w:sz w:val="24"/>
          <w:lang w:val="en-GB"/>
        </w:rPr>
        <w:t xml:space="preserve">The </w:t>
      </w:r>
      <w:r w:rsidR="79E3A236" w:rsidRPr="008704BD">
        <w:rPr>
          <w:rFonts w:ascii="Times New Roman" w:hAnsi="Times New Roman"/>
          <w:noProof/>
          <w:sz w:val="24"/>
          <w:lang w:val="en-GB"/>
        </w:rPr>
        <w:t xml:space="preserve">total environmental effects are unclear but likely to be </w:t>
      </w:r>
      <w:r w:rsidRPr="008704BD">
        <w:rPr>
          <w:rFonts w:ascii="Times New Roman" w:hAnsi="Times New Roman"/>
          <w:noProof/>
          <w:sz w:val="24"/>
          <w:lang w:val="en-GB"/>
        </w:rPr>
        <w:t xml:space="preserve">minimal given that the proposed initiative only introduces a reporting and </w:t>
      </w:r>
      <w:r w:rsidR="00852685" w:rsidRPr="008704BD">
        <w:rPr>
          <w:rFonts w:ascii="Times New Roman" w:hAnsi="Times New Roman"/>
          <w:noProof/>
          <w:sz w:val="24"/>
          <w:lang w:val="en-GB"/>
        </w:rPr>
        <w:t xml:space="preserve">information </w:t>
      </w:r>
      <w:r w:rsidRPr="008704BD">
        <w:rPr>
          <w:rFonts w:ascii="Times New Roman" w:hAnsi="Times New Roman"/>
          <w:noProof/>
          <w:sz w:val="24"/>
          <w:lang w:val="en-GB"/>
        </w:rPr>
        <w:t>exchange obligation for existing players</w:t>
      </w:r>
      <w:r w:rsidR="00852685" w:rsidRPr="008704BD">
        <w:rPr>
          <w:rFonts w:ascii="Times New Roman" w:hAnsi="Times New Roman"/>
          <w:noProof/>
          <w:sz w:val="24"/>
          <w:lang w:val="en-GB"/>
        </w:rPr>
        <w:t xml:space="preserve"> without provisioning, for example, the use of technology behind crypto-assets</w:t>
      </w:r>
      <w:r w:rsidRPr="008704BD">
        <w:rPr>
          <w:rFonts w:ascii="Times New Roman" w:hAnsi="Times New Roman"/>
          <w:noProof/>
          <w:sz w:val="24"/>
          <w:lang w:val="en-GB"/>
        </w:rPr>
        <w:t xml:space="preserve">. </w:t>
      </w:r>
    </w:p>
    <w:p w14:paraId="4DFC526E" w14:textId="51CDF085" w:rsidR="00572424" w:rsidRPr="008704BD" w:rsidRDefault="141B9298" w:rsidP="017DE087">
      <w:pPr>
        <w:jc w:val="both"/>
        <w:rPr>
          <w:rFonts w:ascii="Times New Roman" w:hAnsi="Times New Roman"/>
          <w:noProof/>
          <w:sz w:val="24"/>
          <w:szCs w:val="24"/>
          <w:lang w:val="en-IE"/>
        </w:rPr>
      </w:pPr>
      <w:r w:rsidRPr="017DE087">
        <w:rPr>
          <w:rFonts w:ascii="Times New Roman" w:hAnsi="Times New Roman"/>
          <w:noProof/>
          <w:sz w:val="24"/>
          <w:szCs w:val="24"/>
          <w:lang w:val="en-GB"/>
        </w:rPr>
        <w:t>Furthermore, the existing DAC includes specific provisions and safeguards on data protection in line with the GDPR</w:t>
      </w:r>
      <w:r w:rsidR="4DB8A8E0" w:rsidRPr="017DE087">
        <w:rPr>
          <w:rFonts w:ascii="Times New Roman" w:hAnsi="Times New Roman"/>
          <w:noProof/>
          <w:sz w:val="24"/>
          <w:szCs w:val="24"/>
          <w:lang w:val="en-GB"/>
        </w:rPr>
        <w:t xml:space="preserve">. </w:t>
      </w:r>
      <w:r w:rsidR="1D96258C" w:rsidRPr="017DE087">
        <w:rPr>
          <w:rFonts w:ascii="Times New Roman" w:hAnsi="Times New Roman"/>
          <w:noProof/>
          <w:sz w:val="24"/>
          <w:szCs w:val="24"/>
          <w:lang w:val="en-GB"/>
        </w:rPr>
        <w:t>The reporting under previous iterations of the DAC concerns differ</w:t>
      </w:r>
      <w:r w:rsidR="50F049A2" w:rsidRPr="017DE087">
        <w:rPr>
          <w:rFonts w:ascii="Times New Roman" w:hAnsi="Times New Roman"/>
          <w:noProof/>
          <w:sz w:val="24"/>
          <w:szCs w:val="24"/>
          <w:lang w:val="en-GB"/>
        </w:rPr>
        <w:t xml:space="preserve">ent types of </w:t>
      </w:r>
      <w:r w:rsidR="04AED325" w:rsidRPr="017DE087">
        <w:rPr>
          <w:rFonts w:ascii="Times New Roman" w:hAnsi="Times New Roman"/>
          <w:noProof/>
          <w:sz w:val="24"/>
          <w:szCs w:val="24"/>
          <w:lang w:val="en-GB"/>
        </w:rPr>
        <w:t xml:space="preserve">income, financial </w:t>
      </w:r>
      <w:r w:rsidR="50F049A2" w:rsidRPr="017DE087">
        <w:rPr>
          <w:rFonts w:ascii="Times New Roman" w:hAnsi="Times New Roman"/>
          <w:noProof/>
          <w:sz w:val="24"/>
          <w:szCs w:val="24"/>
          <w:lang w:val="en-GB"/>
        </w:rPr>
        <w:t>assets</w:t>
      </w:r>
      <w:r w:rsidR="04AED325" w:rsidRPr="017DE087">
        <w:rPr>
          <w:rFonts w:ascii="Times New Roman" w:hAnsi="Times New Roman"/>
          <w:noProof/>
          <w:sz w:val="24"/>
          <w:szCs w:val="24"/>
          <w:lang w:val="en-GB"/>
        </w:rPr>
        <w:t xml:space="preserve">, the content of rulings decided by the tax authorities, reports from multinationals, </w:t>
      </w:r>
      <w:r w:rsidR="752ECC8E" w:rsidRPr="017DE087">
        <w:rPr>
          <w:rFonts w:ascii="Times New Roman" w:hAnsi="Times New Roman"/>
          <w:noProof/>
          <w:sz w:val="24"/>
          <w:szCs w:val="24"/>
          <w:lang w:val="en-GB"/>
        </w:rPr>
        <w:t>arrangements facilitated by intermediaries</w:t>
      </w:r>
      <w:r w:rsidR="50F049A2" w:rsidRPr="017DE087">
        <w:rPr>
          <w:rFonts w:ascii="Times New Roman" w:hAnsi="Times New Roman"/>
          <w:noProof/>
          <w:sz w:val="24"/>
          <w:szCs w:val="24"/>
          <w:lang w:val="en-GB"/>
        </w:rPr>
        <w:t xml:space="preserve"> and </w:t>
      </w:r>
      <w:r w:rsidR="752ECC8E" w:rsidRPr="017DE087">
        <w:rPr>
          <w:rFonts w:ascii="Times New Roman" w:hAnsi="Times New Roman"/>
          <w:noProof/>
          <w:sz w:val="24"/>
          <w:szCs w:val="24"/>
          <w:lang w:val="en-GB"/>
        </w:rPr>
        <w:t xml:space="preserve">income from transactions using on-line platforms. </w:t>
      </w:r>
      <w:r w:rsidR="279EE39D" w:rsidRPr="017DE087">
        <w:rPr>
          <w:rFonts w:ascii="Times New Roman" w:hAnsi="Times New Roman"/>
          <w:noProof/>
          <w:sz w:val="24"/>
          <w:szCs w:val="24"/>
          <w:lang w:val="en-GB"/>
        </w:rPr>
        <w:t xml:space="preserve">The reporting in </w:t>
      </w:r>
      <w:r w:rsidR="50F049A2" w:rsidRPr="017DE087">
        <w:rPr>
          <w:rFonts w:ascii="Times New Roman" w:hAnsi="Times New Roman"/>
          <w:noProof/>
          <w:sz w:val="24"/>
          <w:szCs w:val="24"/>
          <w:lang w:val="en-GB"/>
        </w:rPr>
        <w:t xml:space="preserve">all </w:t>
      </w:r>
      <w:r w:rsidR="279EE39D" w:rsidRPr="017DE087">
        <w:rPr>
          <w:rFonts w:ascii="Times New Roman" w:hAnsi="Times New Roman"/>
          <w:noProof/>
          <w:sz w:val="24"/>
          <w:szCs w:val="24"/>
          <w:lang w:val="en-GB"/>
        </w:rPr>
        <w:t xml:space="preserve">of these categories has </w:t>
      </w:r>
      <w:r w:rsidR="50F049A2" w:rsidRPr="017DE087">
        <w:rPr>
          <w:rFonts w:ascii="Times New Roman" w:hAnsi="Times New Roman"/>
          <w:noProof/>
          <w:sz w:val="24"/>
          <w:szCs w:val="24"/>
          <w:lang w:val="en-GB"/>
        </w:rPr>
        <w:t xml:space="preserve">been </w:t>
      </w:r>
      <w:r w:rsidR="279EE39D" w:rsidRPr="017DE087">
        <w:rPr>
          <w:rFonts w:ascii="Times New Roman" w:hAnsi="Times New Roman"/>
          <w:noProof/>
          <w:sz w:val="24"/>
          <w:szCs w:val="24"/>
          <w:lang w:val="en-GB"/>
        </w:rPr>
        <w:t>considered to be in line</w:t>
      </w:r>
      <w:r w:rsidR="50F049A2" w:rsidRPr="017DE087">
        <w:rPr>
          <w:rFonts w:ascii="Times New Roman" w:hAnsi="Times New Roman"/>
          <w:noProof/>
          <w:sz w:val="24"/>
          <w:szCs w:val="24"/>
          <w:lang w:val="en-GB"/>
        </w:rPr>
        <w:t xml:space="preserve"> with the </w:t>
      </w:r>
      <w:r w:rsidR="279EE39D" w:rsidRPr="017DE087">
        <w:rPr>
          <w:rFonts w:ascii="Times New Roman" w:hAnsi="Times New Roman"/>
          <w:noProof/>
          <w:sz w:val="24"/>
          <w:szCs w:val="24"/>
          <w:lang w:val="en-GB"/>
        </w:rPr>
        <w:t xml:space="preserve">provisions of </w:t>
      </w:r>
      <w:r w:rsidR="50F049A2" w:rsidRPr="017DE087">
        <w:rPr>
          <w:rFonts w:ascii="Times New Roman" w:hAnsi="Times New Roman"/>
          <w:noProof/>
          <w:sz w:val="24"/>
          <w:szCs w:val="24"/>
          <w:lang w:val="en-GB"/>
        </w:rPr>
        <w:t>the GDPR</w:t>
      </w:r>
      <w:r w:rsidR="00B23F82" w:rsidRPr="017DE087">
        <w:rPr>
          <w:rFonts w:ascii="Times New Roman" w:hAnsi="Times New Roman"/>
          <w:noProof/>
          <w:sz w:val="24"/>
          <w:szCs w:val="24"/>
          <w:lang w:val="en-GB"/>
        </w:rPr>
        <w:t>.</w:t>
      </w:r>
      <w:r w:rsidRPr="017DE087">
        <w:rPr>
          <w:rFonts w:ascii="Times New Roman" w:hAnsi="Times New Roman"/>
          <w:noProof/>
          <w:sz w:val="24"/>
          <w:szCs w:val="24"/>
          <w:lang w:val="en-GB"/>
        </w:rPr>
        <w:t xml:space="preserve"> Any legal </w:t>
      </w:r>
      <w:r w:rsidR="15C71946" w:rsidRPr="017DE087">
        <w:rPr>
          <w:rFonts w:ascii="Times New Roman" w:hAnsi="Times New Roman"/>
          <w:noProof/>
          <w:sz w:val="24"/>
          <w:szCs w:val="24"/>
          <w:lang w:val="en-GB"/>
        </w:rPr>
        <w:t>initiative</w:t>
      </w:r>
      <w:r w:rsidRPr="017DE087">
        <w:rPr>
          <w:rFonts w:ascii="Times New Roman" w:hAnsi="Times New Roman"/>
          <w:noProof/>
          <w:sz w:val="24"/>
          <w:szCs w:val="24"/>
          <w:lang w:val="en-GB"/>
        </w:rPr>
        <w:t xml:space="preserve"> based on further amendments to this Directive will then continue to follow and respect these </w:t>
      </w:r>
      <w:r w:rsidR="2BE2149C" w:rsidRPr="017DE087">
        <w:rPr>
          <w:rFonts w:ascii="Times New Roman" w:hAnsi="Times New Roman"/>
          <w:noProof/>
          <w:sz w:val="24"/>
          <w:szCs w:val="24"/>
          <w:lang w:val="en-GB"/>
        </w:rPr>
        <w:t xml:space="preserve">provisions </w:t>
      </w:r>
      <w:r w:rsidRPr="017DE087">
        <w:rPr>
          <w:rFonts w:ascii="Times New Roman" w:hAnsi="Times New Roman"/>
          <w:noProof/>
          <w:sz w:val="24"/>
          <w:szCs w:val="24"/>
          <w:lang w:val="en-GB"/>
        </w:rPr>
        <w:t>and will have to comply with GDPR from the start.</w:t>
      </w:r>
      <w:r w:rsidR="155FB829" w:rsidRPr="017DE087">
        <w:rPr>
          <w:rFonts w:ascii="Times New Roman" w:hAnsi="Times New Roman"/>
          <w:noProof/>
          <w:sz w:val="24"/>
          <w:szCs w:val="24"/>
          <w:lang w:val="en-GB"/>
        </w:rPr>
        <w:t xml:space="preserve"> In terms of information reported, i</w:t>
      </w:r>
      <w:r w:rsidR="7677ECB2" w:rsidRPr="017DE087">
        <w:rPr>
          <w:rFonts w:ascii="Times New Roman" w:hAnsi="Times New Roman"/>
          <w:noProof/>
          <w:sz w:val="24"/>
          <w:szCs w:val="24"/>
          <w:lang w:val="en-GB"/>
        </w:rPr>
        <w:t xml:space="preserve">t is worthwhile noting that under this legislative </w:t>
      </w:r>
      <w:r w:rsidR="36CDE8AC" w:rsidRPr="017DE087">
        <w:rPr>
          <w:rFonts w:ascii="Times New Roman" w:hAnsi="Times New Roman"/>
          <w:noProof/>
          <w:sz w:val="24"/>
          <w:szCs w:val="24"/>
          <w:lang w:val="en-GB"/>
        </w:rPr>
        <w:t>proposal</w:t>
      </w:r>
      <w:r w:rsidR="741B3B9F" w:rsidRPr="017DE087">
        <w:rPr>
          <w:rFonts w:ascii="Times New Roman" w:hAnsi="Times New Roman"/>
          <w:noProof/>
          <w:sz w:val="24"/>
          <w:szCs w:val="24"/>
          <w:lang w:val="en-GB"/>
        </w:rPr>
        <w:t>,</w:t>
      </w:r>
      <w:r w:rsidR="7677ECB2" w:rsidRPr="017DE087">
        <w:rPr>
          <w:rFonts w:ascii="Times New Roman" w:hAnsi="Times New Roman"/>
          <w:noProof/>
          <w:sz w:val="24"/>
          <w:szCs w:val="24"/>
          <w:lang w:val="en-GB"/>
        </w:rPr>
        <w:t xml:space="preserve"> </w:t>
      </w:r>
      <w:r w:rsidR="67C06D19" w:rsidRPr="017DE087">
        <w:rPr>
          <w:rFonts w:ascii="Times New Roman" w:hAnsi="Times New Roman"/>
          <w:noProof/>
          <w:sz w:val="24"/>
          <w:szCs w:val="24"/>
          <w:lang w:val="en-GB"/>
        </w:rPr>
        <w:t xml:space="preserve">reporting entities </w:t>
      </w:r>
      <w:r w:rsidR="7677ECB2" w:rsidRPr="017DE087">
        <w:rPr>
          <w:rFonts w:ascii="Times New Roman" w:hAnsi="Times New Roman"/>
          <w:noProof/>
          <w:sz w:val="24"/>
          <w:szCs w:val="24"/>
          <w:lang w:val="en-GB"/>
        </w:rPr>
        <w:t>will be transmitting user/account details a</w:t>
      </w:r>
      <w:r w:rsidR="740EB2BB" w:rsidRPr="017DE087">
        <w:rPr>
          <w:rFonts w:ascii="Times New Roman" w:hAnsi="Times New Roman"/>
          <w:noProof/>
          <w:sz w:val="24"/>
          <w:szCs w:val="24"/>
          <w:lang w:val="en-GB"/>
        </w:rPr>
        <w:t>s well as information related to crypto-assets proceeds and holdings</w:t>
      </w:r>
      <w:r w:rsidR="7677ECB2" w:rsidRPr="017DE087">
        <w:rPr>
          <w:rFonts w:ascii="Times New Roman" w:hAnsi="Times New Roman"/>
          <w:noProof/>
          <w:sz w:val="24"/>
          <w:szCs w:val="24"/>
          <w:lang w:val="en-GB"/>
        </w:rPr>
        <w:t xml:space="preserve">. </w:t>
      </w:r>
      <w:r w:rsidR="1874E5D9" w:rsidRPr="017DE087">
        <w:rPr>
          <w:rFonts w:ascii="Times New Roman" w:hAnsi="Times New Roman"/>
          <w:noProof/>
          <w:sz w:val="24"/>
          <w:szCs w:val="24"/>
          <w:lang w:val="en-GB"/>
        </w:rPr>
        <w:t>As a consequence</w:t>
      </w:r>
      <w:r w:rsidR="00BA316A" w:rsidRPr="017DE087">
        <w:rPr>
          <w:rFonts w:ascii="Times New Roman" w:hAnsi="Times New Roman"/>
          <w:noProof/>
          <w:sz w:val="24"/>
          <w:szCs w:val="24"/>
          <w:lang w:val="en-GB"/>
        </w:rPr>
        <w:t>,</w:t>
      </w:r>
      <w:r w:rsidR="1874E5D9" w:rsidRPr="017DE087">
        <w:rPr>
          <w:rFonts w:ascii="Times New Roman" w:hAnsi="Times New Roman"/>
          <w:noProof/>
          <w:sz w:val="24"/>
          <w:szCs w:val="24"/>
          <w:lang w:val="en-GB"/>
        </w:rPr>
        <w:t xml:space="preserve"> crypto-asset users that carry out transactions using CASPs </w:t>
      </w:r>
      <w:r w:rsidR="3122AFED" w:rsidRPr="017DE087">
        <w:rPr>
          <w:rFonts w:ascii="Times New Roman" w:hAnsi="Times New Roman"/>
          <w:noProof/>
          <w:sz w:val="24"/>
          <w:szCs w:val="24"/>
          <w:lang w:val="en-GB"/>
        </w:rPr>
        <w:t xml:space="preserve">will be subject to reporting of a number of basic points of information. This is the same </w:t>
      </w:r>
      <w:r w:rsidR="6F746222" w:rsidRPr="017DE087">
        <w:rPr>
          <w:rFonts w:ascii="Times New Roman" w:hAnsi="Times New Roman"/>
          <w:noProof/>
          <w:sz w:val="24"/>
          <w:szCs w:val="24"/>
          <w:lang w:val="en-GB"/>
        </w:rPr>
        <w:t>situation as under the current provisions of the DAC, where persons investing in shares or saving in a bank account</w:t>
      </w:r>
      <w:r w:rsidR="56B3B0C3" w:rsidRPr="017DE087">
        <w:rPr>
          <w:rFonts w:ascii="Times New Roman" w:hAnsi="Times New Roman"/>
          <w:noProof/>
          <w:sz w:val="24"/>
          <w:szCs w:val="24"/>
          <w:lang w:val="en-GB"/>
        </w:rPr>
        <w:t xml:space="preserve"> will be subject to the same kind of reporting.</w:t>
      </w:r>
      <w:r w:rsidR="26594A40" w:rsidRPr="017DE087">
        <w:rPr>
          <w:rFonts w:ascii="Times New Roman" w:hAnsi="Times New Roman"/>
          <w:noProof/>
          <w:sz w:val="24"/>
          <w:szCs w:val="24"/>
          <w:lang w:val="en-GB"/>
        </w:rPr>
        <w:t xml:space="preserve"> </w:t>
      </w:r>
      <w:r w:rsidR="5654FD7C" w:rsidRPr="017DE087">
        <w:rPr>
          <w:rFonts w:ascii="Times New Roman" w:hAnsi="Times New Roman"/>
          <w:noProof/>
          <w:sz w:val="24"/>
          <w:szCs w:val="24"/>
          <w:lang w:val="en-GB"/>
        </w:rPr>
        <w:t xml:space="preserve">The information included typically covers </w:t>
      </w:r>
      <w:r w:rsidR="4A4AB72A" w:rsidRPr="017DE087">
        <w:rPr>
          <w:rFonts w:ascii="Times New Roman" w:hAnsi="Times New Roman"/>
          <w:noProof/>
          <w:sz w:val="24"/>
          <w:szCs w:val="24"/>
          <w:lang w:val="en-GB"/>
        </w:rPr>
        <w:t xml:space="preserve">information needed to identify the taxpayer (i.e. </w:t>
      </w:r>
      <w:r w:rsidR="53F88B16" w:rsidRPr="017DE087">
        <w:rPr>
          <w:rFonts w:ascii="Times New Roman" w:hAnsi="Times New Roman"/>
          <w:noProof/>
          <w:sz w:val="24"/>
          <w:szCs w:val="24"/>
          <w:lang w:val="en-GB"/>
        </w:rPr>
        <w:t>the Tax Identification Number(s), the first and last name of the</w:t>
      </w:r>
      <w:r w:rsidR="22DEA9C0" w:rsidRPr="017DE087">
        <w:rPr>
          <w:rFonts w:ascii="Times New Roman" w:hAnsi="Times New Roman"/>
          <w:noProof/>
          <w:sz w:val="24"/>
          <w:szCs w:val="24"/>
          <w:lang w:val="en-GB"/>
        </w:rPr>
        <w:t xml:space="preserve"> user</w:t>
      </w:r>
      <w:r w:rsidR="68C5C00D" w:rsidRPr="017DE087">
        <w:rPr>
          <w:rFonts w:ascii="Times New Roman" w:hAnsi="Times New Roman"/>
          <w:noProof/>
          <w:sz w:val="24"/>
          <w:szCs w:val="24"/>
          <w:lang w:val="en-GB"/>
        </w:rPr>
        <w:t xml:space="preserve">, the </w:t>
      </w:r>
      <w:r w:rsidR="36EDFCE1" w:rsidRPr="017DE087">
        <w:rPr>
          <w:rFonts w:ascii="Times New Roman" w:hAnsi="Times New Roman"/>
          <w:noProof/>
          <w:sz w:val="24"/>
          <w:szCs w:val="24"/>
          <w:lang w:val="en-GB"/>
        </w:rPr>
        <w:t>p</w:t>
      </w:r>
      <w:r w:rsidR="68C5C00D" w:rsidRPr="017DE087">
        <w:rPr>
          <w:rFonts w:ascii="Times New Roman" w:hAnsi="Times New Roman"/>
          <w:noProof/>
          <w:sz w:val="24"/>
          <w:szCs w:val="24"/>
          <w:lang w:val="en-GB"/>
        </w:rPr>
        <w:t xml:space="preserve">rimary </w:t>
      </w:r>
      <w:r w:rsidR="79E2491F" w:rsidRPr="017DE087">
        <w:rPr>
          <w:rFonts w:ascii="Times New Roman" w:hAnsi="Times New Roman"/>
          <w:noProof/>
          <w:sz w:val="24"/>
          <w:szCs w:val="24"/>
          <w:lang w:val="en-GB"/>
        </w:rPr>
        <w:t>a</w:t>
      </w:r>
      <w:r w:rsidR="68C5C00D" w:rsidRPr="017DE087">
        <w:rPr>
          <w:rFonts w:ascii="Times New Roman" w:hAnsi="Times New Roman"/>
          <w:noProof/>
          <w:sz w:val="24"/>
          <w:szCs w:val="24"/>
          <w:lang w:val="en-GB"/>
        </w:rPr>
        <w:t xml:space="preserve">ddress of the </w:t>
      </w:r>
      <w:r w:rsidR="74B145F3" w:rsidRPr="017DE087">
        <w:rPr>
          <w:rFonts w:ascii="Times New Roman" w:hAnsi="Times New Roman"/>
          <w:noProof/>
          <w:sz w:val="24"/>
          <w:szCs w:val="24"/>
          <w:lang w:val="en-GB"/>
        </w:rPr>
        <w:t>u</w:t>
      </w:r>
      <w:r w:rsidR="68C5C00D" w:rsidRPr="017DE087">
        <w:rPr>
          <w:rFonts w:ascii="Times New Roman" w:hAnsi="Times New Roman"/>
          <w:noProof/>
          <w:sz w:val="24"/>
          <w:szCs w:val="24"/>
          <w:lang w:val="en-GB"/>
        </w:rPr>
        <w:t xml:space="preserve">ser, </w:t>
      </w:r>
      <w:r w:rsidR="57DF0CB2" w:rsidRPr="017DE087">
        <w:rPr>
          <w:rFonts w:ascii="Times New Roman" w:hAnsi="Times New Roman"/>
          <w:noProof/>
          <w:sz w:val="24"/>
          <w:szCs w:val="24"/>
          <w:lang w:val="en-IE"/>
        </w:rPr>
        <w:t xml:space="preserve">the date of birth of the </w:t>
      </w:r>
      <w:r w:rsidR="4887A693" w:rsidRPr="017DE087">
        <w:rPr>
          <w:rFonts w:ascii="Times New Roman" w:hAnsi="Times New Roman"/>
          <w:noProof/>
          <w:sz w:val="24"/>
          <w:szCs w:val="24"/>
          <w:lang w:val="en-IE"/>
        </w:rPr>
        <w:t>user</w:t>
      </w:r>
      <w:r w:rsidR="4A4AB72A" w:rsidRPr="017DE087">
        <w:rPr>
          <w:rFonts w:ascii="Times New Roman" w:hAnsi="Times New Roman"/>
          <w:noProof/>
          <w:sz w:val="24"/>
          <w:szCs w:val="24"/>
          <w:lang w:val="en-IE"/>
        </w:rPr>
        <w:t>)</w:t>
      </w:r>
      <w:r w:rsidR="57DF0CB2" w:rsidRPr="017DE087">
        <w:rPr>
          <w:rFonts w:ascii="Times New Roman" w:hAnsi="Times New Roman"/>
          <w:noProof/>
          <w:sz w:val="24"/>
          <w:szCs w:val="24"/>
          <w:lang w:val="en-IE"/>
        </w:rPr>
        <w:t xml:space="preserve"> and then specific information about the transaction.</w:t>
      </w:r>
      <w:r w:rsidR="46882F90" w:rsidRPr="017DE087">
        <w:rPr>
          <w:rFonts w:ascii="Times New Roman" w:hAnsi="Times New Roman"/>
          <w:noProof/>
          <w:sz w:val="24"/>
          <w:szCs w:val="24"/>
          <w:lang w:val="en-IE"/>
        </w:rPr>
        <w:t xml:space="preserve"> The information will be made available to the </w:t>
      </w:r>
      <w:r w:rsidR="4A4AB72A" w:rsidRPr="017DE087">
        <w:rPr>
          <w:rFonts w:ascii="Times New Roman" w:hAnsi="Times New Roman"/>
          <w:noProof/>
          <w:sz w:val="24"/>
          <w:szCs w:val="24"/>
          <w:lang w:val="en-IE"/>
        </w:rPr>
        <w:t xml:space="preserve">relevant </w:t>
      </w:r>
      <w:r w:rsidR="46882F90" w:rsidRPr="017DE087">
        <w:rPr>
          <w:rFonts w:ascii="Times New Roman" w:hAnsi="Times New Roman"/>
          <w:noProof/>
          <w:sz w:val="24"/>
          <w:szCs w:val="24"/>
          <w:lang w:val="en-IE"/>
        </w:rPr>
        <w:t>tax administration</w:t>
      </w:r>
      <w:r w:rsidR="4A4AB72A" w:rsidRPr="017DE087">
        <w:rPr>
          <w:rFonts w:ascii="Times New Roman" w:hAnsi="Times New Roman"/>
          <w:noProof/>
          <w:sz w:val="24"/>
          <w:szCs w:val="24"/>
          <w:lang w:val="en-IE"/>
        </w:rPr>
        <w:t>s</w:t>
      </w:r>
      <w:r w:rsidR="46882F90" w:rsidRPr="017DE087">
        <w:rPr>
          <w:rFonts w:ascii="Times New Roman" w:hAnsi="Times New Roman"/>
          <w:noProof/>
          <w:sz w:val="24"/>
          <w:szCs w:val="24"/>
          <w:lang w:val="en-IE"/>
        </w:rPr>
        <w:t>.</w:t>
      </w:r>
    </w:p>
    <w:p w14:paraId="63F31BE7" w14:textId="7502036C" w:rsidR="00572424" w:rsidRPr="008704BD" w:rsidRDefault="79E3A236" w:rsidP="6E8C644F">
      <w:pPr>
        <w:jc w:val="both"/>
        <w:rPr>
          <w:rFonts w:ascii="Times New Roman" w:hAnsi="Times New Roman"/>
          <w:noProof/>
          <w:sz w:val="24"/>
          <w:lang w:val="en-GB"/>
        </w:rPr>
      </w:pPr>
      <w:r w:rsidRPr="008704BD">
        <w:rPr>
          <w:rFonts w:ascii="Times New Roman" w:hAnsi="Times New Roman"/>
          <w:noProof/>
          <w:sz w:val="24"/>
          <w:lang w:val="en-GB"/>
        </w:rPr>
        <w:t xml:space="preserve">Thus far, one of the main benefits </w:t>
      </w:r>
      <w:r w:rsidR="7789D5F4" w:rsidRPr="008704BD">
        <w:rPr>
          <w:rFonts w:ascii="Times New Roman" w:hAnsi="Times New Roman"/>
          <w:noProof/>
          <w:sz w:val="24"/>
          <w:lang w:val="en-GB"/>
        </w:rPr>
        <w:t xml:space="preserve">for taxpayers </w:t>
      </w:r>
      <w:r w:rsidRPr="008704BD">
        <w:rPr>
          <w:rFonts w:ascii="Times New Roman" w:hAnsi="Times New Roman"/>
          <w:noProof/>
          <w:sz w:val="24"/>
          <w:lang w:val="en-GB"/>
        </w:rPr>
        <w:t>of crypto-asset exchanges was the pseudo-anonymity of its users, and only a relatively restricted number of service providers have been asking for taxpayers’ identification numbers (TIN) upon their registration.</w:t>
      </w:r>
      <w:r w:rsidR="00572424" w:rsidRPr="008704BD">
        <w:rPr>
          <w:rStyle w:val="FootnoteReference"/>
          <w:rFonts w:ascii="Times New Roman" w:hAnsi="Times New Roman"/>
          <w:noProof/>
          <w:sz w:val="24"/>
          <w:lang w:val="en-GB"/>
        </w:rPr>
        <w:footnoteReference w:id="42"/>
      </w:r>
      <w:r w:rsidRPr="008704BD">
        <w:rPr>
          <w:rFonts w:ascii="Times New Roman" w:hAnsi="Times New Roman"/>
          <w:noProof/>
          <w:sz w:val="24"/>
          <w:lang w:val="en-GB"/>
        </w:rPr>
        <w:t xml:space="preserve"> TIN information, together with </w:t>
      </w:r>
      <w:r w:rsidR="006E5926" w:rsidRPr="008704BD">
        <w:rPr>
          <w:rFonts w:ascii="Times New Roman" w:hAnsi="Times New Roman"/>
          <w:noProof/>
          <w:sz w:val="24"/>
          <w:lang w:val="en-GB"/>
        </w:rPr>
        <w:t xml:space="preserve">information such as </w:t>
      </w:r>
      <w:r w:rsidR="00F04A29">
        <w:rPr>
          <w:rFonts w:ascii="Times New Roman" w:hAnsi="Times New Roman"/>
          <w:noProof/>
          <w:sz w:val="24"/>
          <w:lang w:val="en-GB"/>
        </w:rPr>
        <w:t>first</w:t>
      </w:r>
      <w:r w:rsidR="00F04A29" w:rsidRPr="008704BD">
        <w:rPr>
          <w:rFonts w:ascii="Times New Roman" w:hAnsi="Times New Roman"/>
          <w:noProof/>
          <w:sz w:val="24"/>
          <w:lang w:val="en-GB"/>
        </w:rPr>
        <w:t xml:space="preserve"> </w:t>
      </w:r>
      <w:r w:rsidRPr="008704BD">
        <w:rPr>
          <w:rFonts w:ascii="Times New Roman" w:hAnsi="Times New Roman"/>
          <w:noProof/>
          <w:sz w:val="24"/>
          <w:lang w:val="en-GB"/>
        </w:rPr>
        <w:t xml:space="preserve">names and surnames, are the most important data to ensure that </w:t>
      </w:r>
      <w:r w:rsidR="6CB4CD29" w:rsidRPr="008704BD">
        <w:rPr>
          <w:rFonts w:ascii="Times New Roman" w:hAnsi="Times New Roman"/>
          <w:noProof/>
          <w:sz w:val="24"/>
          <w:lang w:val="en-GB"/>
        </w:rPr>
        <w:t>the information</w:t>
      </w:r>
      <w:r w:rsidRPr="008704BD">
        <w:rPr>
          <w:rFonts w:ascii="Times New Roman" w:hAnsi="Times New Roman"/>
          <w:noProof/>
          <w:sz w:val="24"/>
          <w:lang w:val="en-GB"/>
        </w:rPr>
        <w:t xml:space="preserve"> exchanged can be used for the purpose of tax control.</w:t>
      </w:r>
      <w:r w:rsidR="00572424" w:rsidRPr="008704BD">
        <w:rPr>
          <w:rStyle w:val="FootnoteReference"/>
          <w:rFonts w:ascii="Times New Roman" w:hAnsi="Times New Roman"/>
          <w:noProof/>
          <w:sz w:val="24"/>
          <w:lang w:val="en-GB"/>
        </w:rPr>
        <w:footnoteReference w:id="43"/>
      </w:r>
      <w:r w:rsidRPr="008704BD">
        <w:rPr>
          <w:rFonts w:ascii="Times New Roman" w:hAnsi="Times New Roman"/>
          <w:noProof/>
          <w:sz w:val="24"/>
          <w:lang w:val="en-GB"/>
        </w:rPr>
        <w:t xml:space="preserve"> </w:t>
      </w:r>
      <w:r w:rsidR="002D3E4E">
        <w:rPr>
          <w:rFonts w:ascii="Times New Roman" w:hAnsi="Times New Roman"/>
          <w:noProof/>
          <w:sz w:val="24"/>
          <w:lang w:val="en-GB"/>
        </w:rPr>
        <w:t>T</w:t>
      </w:r>
      <w:r w:rsidR="4E3239EF" w:rsidRPr="008704BD">
        <w:rPr>
          <w:rFonts w:ascii="Times New Roman" w:hAnsi="Times New Roman"/>
          <w:noProof/>
          <w:sz w:val="24"/>
          <w:lang w:val="en-GB"/>
        </w:rPr>
        <w:t xml:space="preserve">his information </w:t>
      </w:r>
      <w:r w:rsidRPr="008704BD">
        <w:rPr>
          <w:rFonts w:ascii="Times New Roman" w:hAnsi="Times New Roman"/>
          <w:noProof/>
          <w:sz w:val="24"/>
          <w:lang w:val="en-GB"/>
        </w:rPr>
        <w:t xml:space="preserve">will be given to the tax administrations by CASPs. This does not mean that tax authorities will not be engaging in processes </w:t>
      </w:r>
      <w:r w:rsidR="2868AC90" w:rsidRPr="008704BD">
        <w:rPr>
          <w:rFonts w:ascii="Times New Roman" w:hAnsi="Times New Roman"/>
          <w:noProof/>
          <w:sz w:val="24"/>
          <w:lang w:val="en-GB"/>
        </w:rPr>
        <w:t>o</w:t>
      </w:r>
      <w:r w:rsidR="5E9836DE" w:rsidRPr="008704BD">
        <w:rPr>
          <w:rFonts w:ascii="Times New Roman" w:hAnsi="Times New Roman"/>
          <w:noProof/>
          <w:sz w:val="24"/>
          <w:lang w:val="en-GB"/>
        </w:rPr>
        <w:t>f</w:t>
      </w:r>
      <w:r w:rsidRPr="008704BD">
        <w:rPr>
          <w:rFonts w:ascii="Times New Roman" w:hAnsi="Times New Roman"/>
          <w:noProof/>
          <w:sz w:val="24"/>
          <w:lang w:val="en-GB"/>
        </w:rPr>
        <w:t xml:space="preserve"> their own </w:t>
      </w:r>
      <w:r w:rsidR="4B066971" w:rsidRPr="008704BD">
        <w:rPr>
          <w:rFonts w:ascii="Times New Roman" w:hAnsi="Times New Roman"/>
          <w:noProof/>
          <w:sz w:val="24"/>
          <w:lang w:val="en-GB"/>
        </w:rPr>
        <w:t>to</w:t>
      </w:r>
      <w:r w:rsidRPr="008704BD">
        <w:rPr>
          <w:rFonts w:ascii="Times New Roman" w:hAnsi="Times New Roman"/>
          <w:noProof/>
          <w:sz w:val="24"/>
          <w:lang w:val="en-GB"/>
        </w:rPr>
        <w:t xml:space="preserve"> find taxpayers behind the transactions.</w:t>
      </w:r>
    </w:p>
    <w:p w14:paraId="008253E0" w14:textId="77777777" w:rsidR="009D1C21" w:rsidRDefault="003E0EA6" w:rsidP="175F0380">
      <w:pPr>
        <w:jc w:val="both"/>
        <w:rPr>
          <w:rFonts w:ascii="Times New Roman" w:hAnsi="Times New Roman" w:cs="Times New Roman"/>
          <w:noProof/>
          <w:lang w:val="en-GB"/>
        </w:rPr>
      </w:pPr>
      <w:r w:rsidRPr="008704BD">
        <w:rPr>
          <w:rFonts w:ascii="Times New Roman" w:hAnsi="Times New Roman"/>
          <w:noProof/>
          <w:sz w:val="24"/>
          <w:lang w:val="en-GB"/>
        </w:rPr>
        <w:t>From the public perspective, an EU legislative proposal would also lead to an indisputable percentage of cost savings and public revenue gains due to the relevant information that will reach tax authorities. There would possibly be a better compliance effect stemming from taxpayers who know that tax authorities have access to the information related to their transactions with crypto-assets.</w:t>
      </w:r>
      <w:r w:rsidRPr="006E5F59">
        <w:rPr>
          <w:rFonts w:ascii="Times New Roman" w:hAnsi="Times New Roman" w:cs="Times New Roman"/>
          <w:noProof/>
          <w:lang w:val="en-GB"/>
        </w:rPr>
        <w:t xml:space="preserve"> </w:t>
      </w:r>
      <w:bookmarkStart w:id="407" w:name="_Toc81582171"/>
      <w:bookmarkStart w:id="408" w:name="_Toc83742030"/>
      <w:bookmarkStart w:id="409" w:name="_Toc83824409"/>
      <w:bookmarkStart w:id="410" w:name="_Toc84338489"/>
      <w:r w:rsidR="009D1C21">
        <w:rPr>
          <w:rFonts w:ascii="Times New Roman" w:hAnsi="Times New Roman" w:cs="Times New Roman"/>
          <w:noProof/>
          <w:lang w:val="en-GB"/>
        </w:rPr>
        <w:br w:type="page"/>
      </w:r>
    </w:p>
    <w:p w14:paraId="22D85B85" w14:textId="77777777" w:rsidR="00572424" w:rsidRPr="009D1C21" w:rsidRDefault="00572424" w:rsidP="009D1C21">
      <w:pPr>
        <w:pStyle w:val="Heading1"/>
        <w:rPr>
          <w:rFonts w:ascii="Times New Roman" w:hAnsi="Times New Roman" w:cs="Times New Roman"/>
          <w:noProof/>
        </w:rPr>
      </w:pPr>
      <w:bookmarkStart w:id="411" w:name="_Toc84520053"/>
      <w:bookmarkStart w:id="412" w:name="_Toc84579918"/>
      <w:bookmarkStart w:id="413" w:name="_Toc85052213"/>
      <w:bookmarkStart w:id="414" w:name="_Toc2093417884"/>
      <w:bookmarkStart w:id="415" w:name="_Toc870207104"/>
      <w:bookmarkStart w:id="416" w:name="_Toc1504899510"/>
      <w:bookmarkStart w:id="417" w:name="_Toc93306889"/>
      <w:r w:rsidRPr="41BAA3BB">
        <w:rPr>
          <w:rFonts w:ascii="Times New Roman" w:hAnsi="Times New Roman" w:cs="Times New Roman"/>
          <w:noProof/>
        </w:rPr>
        <w:t>7</w:t>
      </w:r>
      <w:r w:rsidR="00AB3F01" w:rsidRPr="41BAA3BB">
        <w:rPr>
          <w:rFonts w:ascii="Times New Roman" w:hAnsi="Times New Roman" w:cs="Times New Roman"/>
          <w:noProof/>
        </w:rPr>
        <w:t>.</w:t>
      </w:r>
      <w:r w:rsidRPr="41BAA3BB">
        <w:rPr>
          <w:rFonts w:ascii="Times New Roman" w:hAnsi="Times New Roman" w:cs="Times New Roman"/>
          <w:noProof/>
        </w:rPr>
        <w:t xml:space="preserve"> </w:t>
      </w:r>
      <w:r w:rsidR="006652BB" w:rsidRPr="41BAA3BB">
        <w:rPr>
          <w:rFonts w:ascii="Times New Roman" w:hAnsi="Times New Roman" w:cs="Times New Roman"/>
          <w:noProof/>
        </w:rPr>
        <w:t>HOW DO THE OPTIONS COMPARE</w:t>
      </w:r>
      <w:r w:rsidRPr="41BAA3BB">
        <w:rPr>
          <w:rFonts w:ascii="Times New Roman" w:hAnsi="Times New Roman" w:cs="Times New Roman"/>
          <w:noProof/>
        </w:rPr>
        <w:t>?</w:t>
      </w:r>
      <w:bookmarkEnd w:id="407"/>
      <w:bookmarkEnd w:id="408"/>
      <w:bookmarkEnd w:id="409"/>
      <w:bookmarkEnd w:id="410"/>
      <w:bookmarkEnd w:id="411"/>
      <w:bookmarkEnd w:id="412"/>
      <w:bookmarkEnd w:id="413"/>
      <w:bookmarkEnd w:id="414"/>
      <w:bookmarkEnd w:id="415"/>
      <w:bookmarkEnd w:id="416"/>
      <w:bookmarkEnd w:id="417"/>
    </w:p>
    <w:p w14:paraId="613BB80F" w14:textId="77777777" w:rsidR="00AF543D" w:rsidRPr="008704BD" w:rsidRDefault="79E3A236" w:rsidP="00840A61">
      <w:pPr>
        <w:jc w:val="both"/>
        <w:rPr>
          <w:rFonts w:ascii="Times New Roman" w:hAnsi="Times New Roman"/>
          <w:noProof/>
          <w:sz w:val="24"/>
          <w:lang w:val="en-GB"/>
        </w:rPr>
      </w:pPr>
      <w:r w:rsidRPr="008704BD">
        <w:rPr>
          <w:rFonts w:ascii="Times New Roman" w:hAnsi="Times New Roman"/>
          <w:noProof/>
          <w:sz w:val="24"/>
          <w:lang w:val="en-GB"/>
        </w:rPr>
        <w:t xml:space="preserve">This section compares the impacts of the </w:t>
      </w:r>
      <w:r w:rsidR="009A2A88">
        <w:rPr>
          <w:rFonts w:ascii="Times New Roman" w:hAnsi="Times New Roman"/>
          <w:noProof/>
          <w:sz w:val="24"/>
          <w:lang w:val="en-GB"/>
        </w:rPr>
        <w:t>available</w:t>
      </w:r>
      <w:r w:rsidR="009A2A88" w:rsidRPr="008704BD">
        <w:rPr>
          <w:rFonts w:ascii="Times New Roman" w:hAnsi="Times New Roman"/>
          <w:noProof/>
          <w:sz w:val="24"/>
          <w:lang w:val="en-GB"/>
        </w:rPr>
        <w:t xml:space="preserve"> </w:t>
      </w:r>
      <w:r w:rsidRPr="008704BD">
        <w:rPr>
          <w:rFonts w:ascii="Times New Roman" w:hAnsi="Times New Roman"/>
          <w:noProof/>
          <w:sz w:val="24"/>
          <w:lang w:val="en-GB"/>
        </w:rPr>
        <w:t>options</w:t>
      </w:r>
      <w:r w:rsidR="009A2A88">
        <w:rPr>
          <w:rFonts w:ascii="Times New Roman" w:hAnsi="Times New Roman"/>
          <w:noProof/>
          <w:sz w:val="24"/>
          <w:lang w:val="en-GB"/>
        </w:rPr>
        <w:t xml:space="preserve"> (see </w:t>
      </w:r>
      <w:r w:rsidR="006E5C13">
        <w:rPr>
          <w:rFonts w:ascii="Times New Roman" w:hAnsi="Times New Roman"/>
          <w:noProof/>
          <w:sz w:val="24"/>
          <w:lang w:val="en-GB"/>
        </w:rPr>
        <w:t>section 6.1</w:t>
      </w:r>
      <w:r w:rsidR="009A2A88">
        <w:rPr>
          <w:rFonts w:ascii="Times New Roman" w:hAnsi="Times New Roman"/>
          <w:noProof/>
          <w:sz w:val="24"/>
          <w:lang w:val="en-GB"/>
        </w:rPr>
        <w:t>)</w:t>
      </w:r>
      <w:r w:rsidRPr="008704BD">
        <w:rPr>
          <w:rFonts w:ascii="Times New Roman" w:hAnsi="Times New Roman"/>
          <w:noProof/>
          <w:sz w:val="24"/>
          <w:lang w:val="en-GB"/>
        </w:rPr>
        <w:t>. The options are assessed against the criteria of effectiveness in reaching the policy objectives, efficiency</w:t>
      </w:r>
      <w:r w:rsidR="45845D8C" w:rsidRPr="008704BD">
        <w:rPr>
          <w:rFonts w:ascii="Times New Roman" w:hAnsi="Times New Roman"/>
          <w:noProof/>
          <w:sz w:val="24"/>
          <w:lang w:val="en-GB"/>
        </w:rPr>
        <w:t xml:space="preserve"> </w:t>
      </w:r>
      <w:r w:rsidR="556419BB" w:rsidRPr="008704BD">
        <w:rPr>
          <w:rFonts w:ascii="Times New Roman" w:hAnsi="Times New Roman"/>
          <w:noProof/>
          <w:sz w:val="24"/>
          <w:lang w:val="en-GB"/>
        </w:rPr>
        <w:t>(in terms of</w:t>
      </w:r>
      <w:r w:rsidRPr="008704BD">
        <w:rPr>
          <w:rFonts w:ascii="Times New Roman" w:hAnsi="Times New Roman"/>
          <w:noProof/>
          <w:sz w:val="24"/>
          <w:lang w:val="en-GB"/>
        </w:rPr>
        <w:t xml:space="preserve"> costs and benefits</w:t>
      </w:r>
      <w:r w:rsidR="23FDB0FA" w:rsidRPr="008704BD">
        <w:rPr>
          <w:rFonts w:ascii="Times New Roman" w:hAnsi="Times New Roman"/>
          <w:noProof/>
          <w:sz w:val="24"/>
          <w:lang w:val="en-GB"/>
        </w:rPr>
        <w:t>)</w:t>
      </w:r>
      <w:r w:rsidRPr="008704BD">
        <w:rPr>
          <w:rFonts w:ascii="Times New Roman" w:hAnsi="Times New Roman"/>
          <w:noProof/>
          <w:sz w:val="24"/>
          <w:lang w:val="en-GB"/>
        </w:rPr>
        <w:t xml:space="preserve"> as well as coherence with other EU policies, namely GDPR. For each category, the options have been rated on a scale from </w:t>
      </w:r>
      <w:r w:rsidR="47F8E88C" w:rsidRPr="008704BD">
        <w:rPr>
          <w:rFonts w:ascii="Times New Roman" w:hAnsi="Times New Roman"/>
          <w:noProof/>
          <w:sz w:val="24"/>
          <w:lang w:val="en-GB"/>
        </w:rPr>
        <w:t xml:space="preserve">minus three </w:t>
      </w:r>
      <w:r w:rsidRPr="008704BD">
        <w:rPr>
          <w:rFonts w:ascii="Times New Roman" w:hAnsi="Times New Roman"/>
          <w:noProof/>
          <w:sz w:val="24"/>
          <w:lang w:val="en-GB"/>
        </w:rPr>
        <w:t>to</w:t>
      </w:r>
      <w:r w:rsidR="4CD843ED" w:rsidRPr="008704BD">
        <w:rPr>
          <w:rFonts w:ascii="Times New Roman" w:hAnsi="Times New Roman"/>
          <w:noProof/>
          <w:sz w:val="24"/>
          <w:lang w:val="en-GB"/>
        </w:rPr>
        <w:t xml:space="preserve"> plus</w:t>
      </w:r>
      <w:r w:rsidRPr="008704BD">
        <w:rPr>
          <w:rFonts w:ascii="Times New Roman" w:hAnsi="Times New Roman"/>
          <w:noProof/>
          <w:sz w:val="24"/>
          <w:lang w:val="en-GB"/>
        </w:rPr>
        <w:t xml:space="preserve"> three. The baseline is used as point of comparison</w:t>
      </w:r>
      <w:r w:rsidR="04AF8A27" w:rsidRPr="008704BD">
        <w:rPr>
          <w:rFonts w:ascii="Times New Roman" w:hAnsi="Times New Roman"/>
          <w:noProof/>
          <w:sz w:val="24"/>
          <w:lang w:val="en-GB"/>
        </w:rPr>
        <w:t>,</w:t>
      </w:r>
      <w:r w:rsidR="00D17518" w:rsidRPr="008704BD">
        <w:rPr>
          <w:rFonts w:ascii="Times New Roman" w:hAnsi="Times New Roman"/>
          <w:noProof/>
          <w:sz w:val="24"/>
          <w:lang w:val="en-GB"/>
        </w:rPr>
        <w:t xml:space="preserve"> </w:t>
      </w:r>
      <w:r w:rsidRPr="008704BD">
        <w:rPr>
          <w:rFonts w:ascii="Times New Roman" w:hAnsi="Times New Roman"/>
          <w:noProof/>
          <w:sz w:val="24"/>
          <w:lang w:val="en-GB"/>
        </w:rPr>
        <w:t>and it is scored as zero. The same zero mark has been given to categories that produce no effects whatsoever under the available options</w:t>
      </w:r>
      <w:r w:rsidR="00D17518" w:rsidRPr="008704BD">
        <w:rPr>
          <w:rFonts w:ascii="Times New Roman" w:hAnsi="Times New Roman"/>
          <w:noProof/>
          <w:sz w:val="24"/>
          <w:lang w:val="en-GB"/>
        </w:rPr>
        <w:t xml:space="preserve">. </w:t>
      </w:r>
      <w:r w:rsidRPr="008704BD">
        <w:rPr>
          <w:rFonts w:ascii="Times New Roman" w:hAnsi="Times New Roman"/>
          <w:noProof/>
          <w:sz w:val="24"/>
          <w:lang w:val="en-GB"/>
        </w:rPr>
        <w:t>Scores one, two and three indicate limited, sizeable and strong impacts</w:t>
      </w:r>
      <w:r w:rsidR="00B146FB" w:rsidRPr="008704BD">
        <w:rPr>
          <w:rStyle w:val="FootnoteReference"/>
          <w:rFonts w:ascii="Times New Roman" w:hAnsi="Times New Roman"/>
          <w:noProof/>
          <w:sz w:val="24"/>
          <w:lang w:val="en-GB"/>
        </w:rPr>
        <w:footnoteReference w:id="44"/>
      </w:r>
      <w:r w:rsidRPr="008704BD">
        <w:rPr>
          <w:rFonts w:ascii="Times New Roman" w:hAnsi="Times New Roman"/>
          <w:noProof/>
          <w:sz w:val="24"/>
          <w:lang w:val="en-GB"/>
        </w:rPr>
        <w:t xml:space="preserve"> respectively, while the signs (pluses and minuses) </w:t>
      </w:r>
      <w:r w:rsidR="2EE58785" w:rsidRPr="008704BD">
        <w:rPr>
          <w:rFonts w:ascii="Times New Roman" w:hAnsi="Times New Roman"/>
          <w:noProof/>
          <w:sz w:val="24"/>
          <w:lang w:val="en-GB"/>
        </w:rPr>
        <w:t xml:space="preserve">reflect </w:t>
      </w:r>
      <w:r w:rsidRPr="008704BD">
        <w:rPr>
          <w:rFonts w:ascii="Times New Roman" w:hAnsi="Times New Roman"/>
          <w:noProof/>
          <w:sz w:val="24"/>
          <w:lang w:val="en-GB"/>
        </w:rPr>
        <w:t xml:space="preserve">their positive or negative direction. </w:t>
      </w:r>
      <w:r w:rsidR="38F1C1D1" w:rsidRPr="008704BD">
        <w:rPr>
          <w:rFonts w:ascii="Times New Roman" w:hAnsi="Times New Roman"/>
          <w:noProof/>
          <w:sz w:val="24"/>
          <w:lang w:val="en-GB"/>
        </w:rPr>
        <w:t>The table</w:t>
      </w:r>
      <w:r w:rsidRPr="008704BD">
        <w:rPr>
          <w:rFonts w:ascii="Times New Roman" w:hAnsi="Times New Roman"/>
          <w:noProof/>
          <w:sz w:val="24"/>
          <w:lang w:val="en-GB"/>
        </w:rPr>
        <w:t xml:space="preserve"> below show</w:t>
      </w:r>
      <w:r w:rsidR="00F53214" w:rsidRPr="008704BD">
        <w:rPr>
          <w:rFonts w:ascii="Times New Roman" w:hAnsi="Times New Roman"/>
          <w:noProof/>
          <w:sz w:val="24"/>
          <w:lang w:val="en-GB"/>
        </w:rPr>
        <w:t>s</w:t>
      </w:r>
      <w:r w:rsidRPr="008704BD">
        <w:rPr>
          <w:rFonts w:ascii="Times New Roman" w:hAnsi="Times New Roman"/>
          <w:noProof/>
          <w:sz w:val="24"/>
          <w:lang w:val="en-GB"/>
        </w:rPr>
        <w:t xml:space="preserve"> the summarised assessment and displays </w:t>
      </w:r>
      <w:r w:rsidR="38F1C1D1" w:rsidRPr="008704BD">
        <w:rPr>
          <w:rFonts w:ascii="Times New Roman" w:hAnsi="Times New Roman"/>
          <w:noProof/>
          <w:sz w:val="24"/>
          <w:lang w:val="en-GB"/>
        </w:rPr>
        <w:t xml:space="preserve">ranks </w:t>
      </w:r>
      <w:r w:rsidRPr="008704BD">
        <w:rPr>
          <w:rFonts w:ascii="Times New Roman" w:hAnsi="Times New Roman"/>
          <w:noProof/>
          <w:sz w:val="24"/>
          <w:lang w:val="en-GB"/>
        </w:rPr>
        <w:t xml:space="preserve">between different </w:t>
      </w:r>
      <w:r w:rsidR="38F1C1D1" w:rsidRPr="008704BD">
        <w:rPr>
          <w:rFonts w:ascii="Times New Roman" w:hAnsi="Times New Roman"/>
          <w:noProof/>
          <w:sz w:val="24"/>
          <w:lang w:val="en-GB"/>
        </w:rPr>
        <w:t>options</w:t>
      </w:r>
      <w:r w:rsidRPr="008704BD">
        <w:rPr>
          <w:rFonts w:ascii="Times New Roman" w:hAnsi="Times New Roman"/>
          <w:noProof/>
          <w:sz w:val="24"/>
          <w:lang w:val="en-GB"/>
        </w:rPr>
        <w:t>.</w:t>
      </w:r>
    </w:p>
    <w:p w14:paraId="4B110C60" w14:textId="77777777" w:rsidR="00292BF9" w:rsidRPr="008704BD" w:rsidRDefault="00292BF9" w:rsidP="00292BF9">
      <w:pPr>
        <w:pStyle w:val="Caption"/>
        <w:keepNext/>
        <w:rPr>
          <w:noProof/>
          <w:sz w:val="24"/>
        </w:rPr>
      </w:pPr>
      <w:r w:rsidRPr="008704BD">
        <w:rPr>
          <w:noProof/>
          <w:sz w:val="24"/>
        </w:rPr>
        <w:t xml:space="preserve">Table </w:t>
      </w:r>
      <w:r w:rsidR="003449EB">
        <w:rPr>
          <w:noProof/>
          <w:sz w:val="24"/>
        </w:rPr>
        <w:t>11</w:t>
      </w:r>
      <w:r w:rsidRPr="008704BD">
        <w:rPr>
          <w:noProof/>
          <w:sz w:val="24"/>
        </w:rPr>
        <w:t xml:space="preserve"> Comparison of options</w:t>
      </w:r>
    </w:p>
    <w:tbl>
      <w:tblPr>
        <w:tblW w:w="5000" w:type="pct"/>
        <w:tblLayout w:type="fixed"/>
        <w:tblLook w:val="04A0" w:firstRow="1" w:lastRow="0" w:firstColumn="1" w:lastColumn="0" w:noHBand="0" w:noVBand="1"/>
      </w:tblPr>
      <w:tblGrid>
        <w:gridCol w:w="3869"/>
        <w:gridCol w:w="1075"/>
        <w:gridCol w:w="735"/>
        <w:gridCol w:w="735"/>
        <w:gridCol w:w="735"/>
        <w:gridCol w:w="735"/>
        <w:gridCol w:w="735"/>
        <w:gridCol w:w="731"/>
      </w:tblGrid>
      <w:tr w:rsidR="00DC431C" w:rsidRPr="00D312CE" w14:paraId="4D96E163" w14:textId="77777777" w:rsidTr="017DE087">
        <w:trPr>
          <w:trHeight w:val="572"/>
        </w:trPr>
        <w:tc>
          <w:tcPr>
            <w:tcW w:w="2069" w:type="pct"/>
            <w:tcBorders>
              <w:top w:val="single" w:sz="4" w:space="0" w:color="auto"/>
              <w:left w:val="single" w:sz="4" w:space="0" w:color="auto"/>
              <w:bottom w:val="single" w:sz="4" w:space="0" w:color="auto"/>
              <w:right w:val="single" w:sz="4" w:space="0" w:color="auto"/>
              <w:tl2br w:val="single" w:sz="4" w:space="0" w:color="auto"/>
            </w:tcBorders>
            <w:shd w:val="clear" w:color="auto" w:fill="5B9BD5" w:themeFill="accent1"/>
            <w:noWrap/>
            <w:vAlign w:val="bottom"/>
            <w:hideMark/>
          </w:tcPr>
          <w:p w14:paraId="681496D7" w14:textId="77777777" w:rsidR="00DC431C" w:rsidRPr="00D312CE" w:rsidRDefault="00DC431C" w:rsidP="00F27369">
            <w:pPr>
              <w:spacing w:after="0" w:line="240" w:lineRule="auto"/>
              <w:jc w:val="center"/>
              <w:rPr>
                <w:rFonts w:ascii="Times New Roman" w:eastAsia="Times New Roman" w:hAnsi="Times New Roman" w:cs="Times New Roman"/>
                <w:b/>
                <w:noProof/>
                <w:color w:val="000000"/>
                <w:sz w:val="18"/>
                <w:szCs w:val="18"/>
                <w:vertAlign w:val="subscript"/>
                <w:lang w:val="en-GB" w:eastAsia="en-GB"/>
              </w:rPr>
            </w:pPr>
            <w:r w:rsidRPr="00D312CE">
              <w:rPr>
                <w:rFonts w:ascii="Times New Roman" w:eastAsia="Times New Roman" w:hAnsi="Times New Roman" w:cs="Times New Roman"/>
                <w:b/>
                <w:noProof/>
                <w:color w:val="000000"/>
                <w:sz w:val="18"/>
                <w:szCs w:val="18"/>
                <w:vertAlign w:val="subscript"/>
                <w:lang w:val="en-GB" w:eastAsia="en-GB"/>
              </w:rPr>
              <w:t xml:space="preserve">                                   Options    </w:t>
            </w:r>
            <w:r w:rsidRPr="008704BD">
              <w:rPr>
                <w:rFonts w:ascii="Times New Roman" w:hAnsi="Times New Roman"/>
                <w:b/>
                <w:noProof/>
                <w:color w:val="000000"/>
                <w:sz w:val="18"/>
                <w:vertAlign w:val="subscript"/>
                <w:lang w:val="en-GB"/>
              </w:rPr>
              <w:t xml:space="preserve">                                                                     </w:t>
            </w:r>
            <w:r w:rsidRPr="00D312CE">
              <w:rPr>
                <w:rFonts w:ascii="Times New Roman" w:eastAsia="Times New Roman" w:hAnsi="Times New Roman" w:cs="Times New Roman"/>
                <w:b/>
                <w:noProof/>
                <w:color w:val="000000"/>
                <w:sz w:val="18"/>
                <w:szCs w:val="18"/>
                <w:vertAlign w:val="superscript"/>
                <w:lang w:val="en-GB" w:eastAsia="en-GB"/>
              </w:rPr>
              <w:t xml:space="preserve">Category               </w:t>
            </w:r>
          </w:p>
        </w:tc>
        <w:tc>
          <w:tcPr>
            <w:tcW w:w="575" w:type="pct"/>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78EB9962" w14:textId="77777777" w:rsidR="00DC431C" w:rsidRPr="008704BD" w:rsidRDefault="00DC431C" w:rsidP="00F27369">
            <w:pPr>
              <w:spacing w:after="0" w:line="240" w:lineRule="auto"/>
              <w:jc w:val="center"/>
              <w:rPr>
                <w:rFonts w:ascii="Times New Roman" w:hAnsi="Times New Roman"/>
                <w:b/>
                <w:noProof/>
                <w:color w:val="000000"/>
                <w:sz w:val="18"/>
                <w:lang w:val="en-GB"/>
              </w:rPr>
            </w:pPr>
            <w:r w:rsidRPr="008704BD">
              <w:rPr>
                <w:rFonts w:ascii="Times New Roman" w:hAnsi="Times New Roman"/>
                <w:b/>
                <w:noProof/>
                <w:color w:val="000000"/>
                <w:sz w:val="18"/>
                <w:lang w:val="en-GB"/>
              </w:rPr>
              <w:t>Baseline</w:t>
            </w:r>
          </w:p>
        </w:tc>
        <w:tc>
          <w:tcPr>
            <w:tcW w:w="393" w:type="pct"/>
            <w:tcBorders>
              <w:top w:val="single" w:sz="4" w:space="0" w:color="auto"/>
              <w:left w:val="nil"/>
              <w:bottom w:val="single" w:sz="4" w:space="0" w:color="auto"/>
              <w:right w:val="single" w:sz="4" w:space="0" w:color="000000" w:themeColor="text1"/>
            </w:tcBorders>
            <w:shd w:val="clear" w:color="auto" w:fill="5B9BD5" w:themeFill="accent1"/>
            <w:vAlign w:val="center"/>
          </w:tcPr>
          <w:p w14:paraId="16445A1C" w14:textId="3E1BF830" w:rsidR="00DC431C" w:rsidRPr="008704BD" w:rsidRDefault="0084734C" w:rsidP="00F27369">
            <w:pPr>
              <w:spacing w:after="0" w:line="240" w:lineRule="auto"/>
              <w:jc w:val="center"/>
              <w:rPr>
                <w:rFonts w:ascii="Times New Roman" w:hAnsi="Times New Roman"/>
                <w:b/>
                <w:noProof/>
                <w:color w:val="000000"/>
                <w:sz w:val="18"/>
                <w:lang w:val="en-GB"/>
              </w:rPr>
            </w:pPr>
            <w:r>
              <w:rPr>
                <w:rFonts w:ascii="Times New Roman" w:hAnsi="Times New Roman"/>
                <w:b/>
                <w:noProof/>
                <w:color w:val="000000"/>
                <w:sz w:val="18"/>
                <w:lang w:val="en-GB"/>
              </w:rPr>
              <w:t>1</w:t>
            </w:r>
          </w:p>
        </w:tc>
        <w:tc>
          <w:tcPr>
            <w:tcW w:w="393" w:type="pct"/>
            <w:tcBorders>
              <w:top w:val="single" w:sz="4" w:space="0" w:color="auto"/>
              <w:left w:val="nil"/>
              <w:bottom w:val="single" w:sz="4" w:space="0" w:color="auto"/>
              <w:right w:val="single" w:sz="4" w:space="0" w:color="auto"/>
            </w:tcBorders>
            <w:shd w:val="clear" w:color="auto" w:fill="5B9BD5" w:themeFill="accent1"/>
            <w:noWrap/>
            <w:vAlign w:val="center"/>
          </w:tcPr>
          <w:p w14:paraId="574194E0" w14:textId="520D109E" w:rsidR="00DC431C" w:rsidRPr="008704BD" w:rsidRDefault="0084734C" w:rsidP="00F27369">
            <w:pPr>
              <w:spacing w:after="0" w:line="240" w:lineRule="auto"/>
              <w:jc w:val="center"/>
              <w:rPr>
                <w:rFonts w:ascii="Times New Roman" w:hAnsi="Times New Roman"/>
                <w:b/>
                <w:noProof/>
                <w:color w:val="000000"/>
                <w:sz w:val="18"/>
                <w:lang w:val="en-GB"/>
              </w:rPr>
            </w:pPr>
            <w:r>
              <w:rPr>
                <w:rFonts w:ascii="Times New Roman" w:hAnsi="Times New Roman"/>
                <w:b/>
                <w:noProof/>
                <w:color w:val="000000"/>
                <w:sz w:val="18"/>
                <w:lang w:val="en-GB"/>
              </w:rPr>
              <w:t>2</w:t>
            </w:r>
          </w:p>
        </w:tc>
        <w:tc>
          <w:tcPr>
            <w:tcW w:w="393" w:type="pct"/>
            <w:tcBorders>
              <w:top w:val="single" w:sz="4" w:space="0" w:color="auto"/>
              <w:left w:val="nil"/>
              <w:bottom w:val="single" w:sz="4" w:space="0" w:color="auto"/>
              <w:right w:val="single" w:sz="4" w:space="0" w:color="auto"/>
            </w:tcBorders>
            <w:shd w:val="clear" w:color="auto" w:fill="5B9BD5" w:themeFill="accent1"/>
            <w:vAlign w:val="center"/>
          </w:tcPr>
          <w:p w14:paraId="09F93D44" w14:textId="5A436CAA" w:rsidR="00DC431C" w:rsidRPr="008704BD" w:rsidRDefault="0084734C" w:rsidP="00F27369">
            <w:pPr>
              <w:spacing w:after="0" w:line="240" w:lineRule="auto"/>
              <w:jc w:val="center"/>
              <w:rPr>
                <w:rFonts w:ascii="Times New Roman" w:hAnsi="Times New Roman"/>
                <w:b/>
                <w:noProof/>
                <w:color w:val="000000"/>
                <w:sz w:val="18"/>
                <w:lang w:val="en-GB"/>
              </w:rPr>
            </w:pPr>
            <w:r>
              <w:rPr>
                <w:rFonts w:ascii="Times New Roman" w:hAnsi="Times New Roman"/>
                <w:b/>
                <w:noProof/>
                <w:color w:val="000000"/>
                <w:sz w:val="18"/>
                <w:lang w:val="en-GB"/>
              </w:rPr>
              <w:t>3</w:t>
            </w:r>
          </w:p>
        </w:tc>
        <w:tc>
          <w:tcPr>
            <w:tcW w:w="393" w:type="pct"/>
            <w:tcBorders>
              <w:top w:val="single" w:sz="4" w:space="0" w:color="auto"/>
              <w:left w:val="nil"/>
              <w:bottom w:val="single" w:sz="4" w:space="0" w:color="auto"/>
              <w:right w:val="single" w:sz="4" w:space="0" w:color="auto"/>
            </w:tcBorders>
            <w:shd w:val="clear" w:color="auto" w:fill="5B9BD5" w:themeFill="accent1"/>
            <w:vAlign w:val="center"/>
          </w:tcPr>
          <w:p w14:paraId="39B01A71" w14:textId="67ACABD8" w:rsidR="00DC431C" w:rsidRDefault="0084734C">
            <w:pPr>
              <w:spacing w:after="0" w:line="240" w:lineRule="auto"/>
              <w:jc w:val="center"/>
              <w:rPr>
                <w:rFonts w:ascii="Times New Roman" w:hAnsi="Times New Roman"/>
                <w:b/>
                <w:noProof/>
                <w:color w:val="000000"/>
                <w:sz w:val="18"/>
                <w:lang w:val="en-GB"/>
              </w:rPr>
            </w:pPr>
            <w:r>
              <w:rPr>
                <w:rFonts w:ascii="Times New Roman" w:hAnsi="Times New Roman"/>
                <w:b/>
                <w:noProof/>
                <w:color w:val="000000"/>
                <w:sz w:val="18"/>
                <w:lang w:val="en-GB"/>
              </w:rPr>
              <w:t>4</w:t>
            </w:r>
          </w:p>
        </w:tc>
        <w:tc>
          <w:tcPr>
            <w:tcW w:w="393"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3F3387E" w14:textId="6649617F" w:rsidR="00DC431C" w:rsidRDefault="0084734C">
            <w:pPr>
              <w:spacing w:after="0" w:line="240" w:lineRule="auto"/>
              <w:jc w:val="center"/>
              <w:rPr>
                <w:rFonts w:ascii="Times New Roman" w:hAnsi="Times New Roman"/>
                <w:b/>
                <w:noProof/>
                <w:color w:val="000000"/>
                <w:sz w:val="18"/>
                <w:lang w:val="en-GB"/>
              </w:rPr>
            </w:pPr>
            <w:r>
              <w:rPr>
                <w:rFonts w:ascii="Times New Roman" w:hAnsi="Times New Roman"/>
                <w:b/>
                <w:noProof/>
                <w:color w:val="000000"/>
                <w:sz w:val="18"/>
                <w:lang w:val="en-GB"/>
              </w:rPr>
              <w:t>5</w:t>
            </w:r>
          </w:p>
        </w:tc>
        <w:tc>
          <w:tcPr>
            <w:tcW w:w="394" w:type="pct"/>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14CB12A4" w14:textId="282E31C9" w:rsidR="00DC431C" w:rsidRPr="008704BD" w:rsidRDefault="0084734C" w:rsidP="00F27369">
            <w:pPr>
              <w:spacing w:after="0" w:line="240" w:lineRule="auto"/>
              <w:jc w:val="center"/>
              <w:rPr>
                <w:rFonts w:ascii="Times New Roman" w:hAnsi="Times New Roman"/>
                <w:b/>
                <w:noProof/>
                <w:color w:val="000000"/>
                <w:sz w:val="18"/>
                <w:lang w:val="en-GB"/>
              </w:rPr>
            </w:pPr>
            <w:r>
              <w:rPr>
                <w:rFonts w:ascii="Times New Roman" w:hAnsi="Times New Roman"/>
                <w:b/>
                <w:noProof/>
                <w:color w:val="000000"/>
                <w:sz w:val="18"/>
                <w:lang w:val="en-GB"/>
              </w:rPr>
              <w:t>6</w:t>
            </w:r>
          </w:p>
        </w:tc>
      </w:tr>
      <w:tr w:rsidR="00DC431C" w:rsidRPr="00D312CE" w14:paraId="72F88D13" w14:textId="77777777" w:rsidTr="017DE087">
        <w:trPr>
          <w:gridAfter w:val="7"/>
          <w:wAfter w:w="2931" w:type="pct"/>
          <w:trHeight w:val="244"/>
        </w:trPr>
        <w:tc>
          <w:tcPr>
            <w:tcW w:w="2069" w:type="pct"/>
            <w:tcBorders>
              <w:top w:val="nil"/>
              <w:left w:val="single" w:sz="4" w:space="0" w:color="auto"/>
              <w:bottom w:val="single" w:sz="4" w:space="0" w:color="auto"/>
              <w:right w:val="single" w:sz="4" w:space="0" w:color="auto"/>
            </w:tcBorders>
            <w:shd w:val="clear" w:color="auto" w:fill="auto"/>
            <w:noWrap/>
            <w:vAlign w:val="center"/>
            <w:hideMark/>
          </w:tcPr>
          <w:p w14:paraId="30517B91" w14:textId="77777777" w:rsidR="00DC431C" w:rsidRPr="008704BD" w:rsidRDefault="00DC431C" w:rsidP="00F27369">
            <w:pPr>
              <w:spacing w:after="0" w:line="240" w:lineRule="auto"/>
              <w:rPr>
                <w:rFonts w:ascii="Times New Roman" w:hAnsi="Times New Roman"/>
                <w:b/>
                <w:noProof/>
                <w:color w:val="000000"/>
                <w:sz w:val="18"/>
                <w:lang w:val="en-GB"/>
              </w:rPr>
            </w:pPr>
            <w:r w:rsidRPr="008704BD">
              <w:rPr>
                <w:rFonts w:ascii="Times New Roman" w:hAnsi="Times New Roman"/>
                <w:b/>
                <w:noProof/>
                <w:color w:val="000000"/>
                <w:sz w:val="18"/>
                <w:lang w:val="en-GB"/>
              </w:rPr>
              <w:t>Effectiveness of the options</w:t>
            </w:r>
          </w:p>
        </w:tc>
      </w:tr>
      <w:tr w:rsidR="00DC431C" w:rsidRPr="00D312CE" w14:paraId="32C12594" w14:textId="77777777" w:rsidTr="017DE087">
        <w:trPr>
          <w:trHeight w:val="206"/>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44490392" w14:textId="77777777" w:rsidR="00DC431C" w:rsidRPr="008704BD" w:rsidRDefault="00DC431C" w:rsidP="00F27369">
            <w:pPr>
              <w:spacing w:after="0" w:line="240" w:lineRule="auto"/>
              <w:rPr>
                <w:rFonts w:ascii="Times New Roman" w:hAnsi="Times New Roman"/>
                <w:noProof/>
                <w:color w:val="000000"/>
                <w:sz w:val="18"/>
                <w:lang w:val="en-GB"/>
              </w:rPr>
            </w:pPr>
            <w:r w:rsidRPr="008704BD">
              <w:rPr>
                <w:rFonts w:ascii="Times New Roman" w:hAnsi="Times New Roman"/>
                <w:noProof/>
                <w:color w:val="000000"/>
                <w:sz w:val="18"/>
                <w:lang w:val="en-GB"/>
              </w:rPr>
              <w:t xml:space="preserve">Consistent functioning of the internal market </w:t>
            </w:r>
          </w:p>
        </w:tc>
        <w:tc>
          <w:tcPr>
            <w:tcW w:w="575" w:type="pct"/>
            <w:tcBorders>
              <w:top w:val="single" w:sz="4" w:space="0" w:color="auto"/>
              <w:left w:val="nil"/>
              <w:bottom w:val="nil"/>
              <w:right w:val="single" w:sz="4" w:space="0" w:color="auto"/>
            </w:tcBorders>
            <w:shd w:val="clear" w:color="auto" w:fill="F7CAAC" w:themeFill="accent2" w:themeFillTint="66"/>
            <w:noWrap/>
            <w:vAlign w:val="center"/>
            <w:hideMark/>
          </w:tcPr>
          <w:p w14:paraId="401AC0A5"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single" w:sz="4" w:space="0" w:color="auto"/>
              <w:left w:val="single" w:sz="4" w:space="0" w:color="auto"/>
              <w:bottom w:val="nil"/>
              <w:right w:val="single" w:sz="4" w:space="0" w:color="auto"/>
            </w:tcBorders>
            <w:shd w:val="clear" w:color="auto" w:fill="70AD47" w:themeFill="accent6"/>
            <w:noWrap/>
            <w:vAlign w:val="center"/>
            <w:hideMark/>
          </w:tcPr>
          <w:p w14:paraId="607250AE"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themeColor="text1"/>
                <w:sz w:val="18"/>
                <w:lang w:val="en-GB"/>
              </w:rPr>
              <w:t>3</w:t>
            </w:r>
          </w:p>
        </w:tc>
        <w:tc>
          <w:tcPr>
            <w:tcW w:w="393" w:type="pct"/>
            <w:tcBorders>
              <w:top w:val="single" w:sz="4" w:space="0" w:color="auto"/>
              <w:left w:val="nil"/>
              <w:right w:val="single" w:sz="4" w:space="0" w:color="auto"/>
            </w:tcBorders>
            <w:shd w:val="clear" w:color="auto" w:fill="92D050"/>
            <w:noWrap/>
            <w:vAlign w:val="center"/>
          </w:tcPr>
          <w:p w14:paraId="1C8E0E5C"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top w:val="single" w:sz="4" w:space="0" w:color="auto"/>
              <w:left w:val="single" w:sz="4" w:space="0" w:color="auto"/>
              <w:bottom w:val="nil"/>
              <w:right w:val="single" w:sz="4" w:space="0" w:color="auto"/>
            </w:tcBorders>
            <w:shd w:val="clear" w:color="auto" w:fill="70AD47" w:themeFill="accent6"/>
            <w:noWrap/>
            <w:vAlign w:val="center"/>
            <w:hideMark/>
          </w:tcPr>
          <w:p w14:paraId="10C9AF86"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3</w:t>
            </w:r>
          </w:p>
        </w:tc>
        <w:tc>
          <w:tcPr>
            <w:tcW w:w="393" w:type="pct"/>
            <w:tcBorders>
              <w:top w:val="single" w:sz="4" w:space="0" w:color="auto"/>
              <w:left w:val="nil"/>
              <w:bottom w:val="nil"/>
              <w:right w:val="single" w:sz="4" w:space="0" w:color="auto"/>
            </w:tcBorders>
            <w:shd w:val="clear" w:color="auto" w:fill="92D050"/>
            <w:vAlign w:val="center"/>
          </w:tcPr>
          <w:p w14:paraId="245F61D3"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top w:val="single" w:sz="4" w:space="0" w:color="auto"/>
              <w:left w:val="single" w:sz="4" w:space="0" w:color="auto"/>
              <w:bottom w:val="nil"/>
              <w:right w:val="single" w:sz="4" w:space="0" w:color="auto"/>
            </w:tcBorders>
            <w:shd w:val="clear" w:color="auto" w:fill="70AD47" w:themeFill="accent6"/>
            <w:vAlign w:val="center"/>
          </w:tcPr>
          <w:p w14:paraId="7A38B3B1"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3</w:t>
            </w:r>
          </w:p>
        </w:tc>
        <w:tc>
          <w:tcPr>
            <w:tcW w:w="394" w:type="pct"/>
            <w:tcBorders>
              <w:top w:val="single" w:sz="4" w:space="0" w:color="auto"/>
              <w:left w:val="single" w:sz="4" w:space="0" w:color="auto"/>
              <w:bottom w:val="nil"/>
              <w:right w:val="single" w:sz="4" w:space="0" w:color="auto"/>
            </w:tcBorders>
            <w:shd w:val="clear" w:color="auto" w:fill="92D050"/>
            <w:noWrap/>
            <w:vAlign w:val="center"/>
          </w:tcPr>
          <w:p w14:paraId="6C52778C"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r>
      <w:tr w:rsidR="00DC431C" w:rsidRPr="00D312CE" w14:paraId="7FB56069" w14:textId="77777777" w:rsidTr="017DE087">
        <w:trPr>
          <w:trHeight w:val="153"/>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36CB7203" w14:textId="77777777" w:rsidR="00DC431C" w:rsidRPr="008704BD" w:rsidRDefault="00DC431C" w:rsidP="00F27369">
            <w:pPr>
              <w:spacing w:after="0" w:line="240" w:lineRule="auto"/>
              <w:rPr>
                <w:rFonts w:ascii="Times New Roman" w:hAnsi="Times New Roman"/>
                <w:noProof/>
                <w:color w:val="000000"/>
                <w:sz w:val="18"/>
                <w:lang w:val="en-GB"/>
              </w:rPr>
            </w:pPr>
            <w:r w:rsidRPr="008704BD">
              <w:rPr>
                <w:rFonts w:ascii="Times New Roman" w:hAnsi="Times New Roman"/>
                <w:noProof/>
                <w:color w:val="000000"/>
                <w:sz w:val="18"/>
              </w:rPr>
              <w:t xml:space="preserve">Safeguarding tax revenues in Member States and </w:t>
            </w:r>
            <w:r w:rsidRPr="008704BD">
              <w:rPr>
                <w:rFonts w:ascii="Times New Roman" w:hAnsi="Times New Roman"/>
                <w:noProof/>
                <w:color w:val="000000"/>
                <w:sz w:val="18"/>
                <w:lang w:val="en-GB"/>
              </w:rPr>
              <w:t>improving fairness of tax systems</w:t>
            </w:r>
          </w:p>
        </w:tc>
        <w:tc>
          <w:tcPr>
            <w:tcW w:w="575" w:type="pct"/>
            <w:tcBorders>
              <w:top w:val="nil"/>
              <w:left w:val="nil"/>
              <w:bottom w:val="nil"/>
              <w:right w:val="single" w:sz="4" w:space="0" w:color="auto"/>
            </w:tcBorders>
            <w:shd w:val="clear" w:color="auto" w:fill="F7CAAC" w:themeFill="accent2" w:themeFillTint="66"/>
            <w:noWrap/>
            <w:vAlign w:val="center"/>
            <w:hideMark/>
          </w:tcPr>
          <w:p w14:paraId="35E1AF5D"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nil"/>
              <w:left w:val="single" w:sz="4" w:space="0" w:color="auto"/>
              <w:bottom w:val="nil"/>
              <w:right w:val="single" w:sz="4" w:space="0" w:color="auto"/>
            </w:tcBorders>
            <w:shd w:val="clear" w:color="auto" w:fill="92D050"/>
            <w:noWrap/>
            <w:vAlign w:val="center"/>
          </w:tcPr>
          <w:p w14:paraId="67E51CC8"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c>
          <w:tcPr>
            <w:tcW w:w="393" w:type="pct"/>
            <w:tcBorders>
              <w:left w:val="nil"/>
              <w:right w:val="single" w:sz="4" w:space="0" w:color="auto"/>
            </w:tcBorders>
            <w:shd w:val="clear" w:color="auto" w:fill="92D050"/>
            <w:noWrap/>
            <w:vAlign w:val="center"/>
          </w:tcPr>
          <w:p w14:paraId="5B8E19C5"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c>
          <w:tcPr>
            <w:tcW w:w="393" w:type="pct"/>
            <w:tcBorders>
              <w:top w:val="nil"/>
              <w:left w:val="single" w:sz="4" w:space="0" w:color="auto"/>
              <w:bottom w:val="nil"/>
              <w:right w:val="single" w:sz="4" w:space="0" w:color="auto"/>
            </w:tcBorders>
            <w:shd w:val="clear" w:color="auto" w:fill="92D050"/>
            <w:noWrap/>
            <w:vAlign w:val="center"/>
          </w:tcPr>
          <w:p w14:paraId="757F70BB"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top w:val="nil"/>
              <w:left w:val="nil"/>
              <w:bottom w:val="nil"/>
              <w:right w:val="single" w:sz="4" w:space="0" w:color="auto"/>
            </w:tcBorders>
            <w:shd w:val="clear" w:color="auto" w:fill="92D050"/>
            <w:vAlign w:val="center"/>
          </w:tcPr>
          <w:p w14:paraId="3514B1CB"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top w:val="nil"/>
              <w:left w:val="single" w:sz="4" w:space="0" w:color="auto"/>
              <w:bottom w:val="nil"/>
              <w:right w:val="single" w:sz="4" w:space="0" w:color="auto"/>
            </w:tcBorders>
            <w:shd w:val="clear" w:color="auto" w:fill="70AD47" w:themeFill="accent6"/>
            <w:vAlign w:val="center"/>
          </w:tcPr>
          <w:p w14:paraId="75F575F6"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3</w:t>
            </w:r>
          </w:p>
        </w:tc>
        <w:tc>
          <w:tcPr>
            <w:tcW w:w="394" w:type="pct"/>
            <w:tcBorders>
              <w:top w:val="nil"/>
              <w:left w:val="single" w:sz="4" w:space="0" w:color="auto"/>
              <w:bottom w:val="nil"/>
              <w:right w:val="single" w:sz="4" w:space="0" w:color="auto"/>
            </w:tcBorders>
            <w:shd w:val="clear" w:color="auto" w:fill="70AD47" w:themeFill="accent6"/>
            <w:noWrap/>
            <w:vAlign w:val="center"/>
          </w:tcPr>
          <w:p w14:paraId="64BB4791"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3</w:t>
            </w:r>
          </w:p>
        </w:tc>
      </w:tr>
      <w:tr w:rsidR="00DC431C" w:rsidRPr="00D312CE" w14:paraId="4C436892" w14:textId="77777777" w:rsidTr="017DE087">
        <w:trPr>
          <w:trHeight w:val="333"/>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6C409B12" w14:textId="77777777" w:rsidR="00DC431C" w:rsidRPr="008704BD" w:rsidRDefault="00DC431C" w:rsidP="00CD7866">
            <w:pPr>
              <w:spacing w:after="0" w:line="240" w:lineRule="auto"/>
              <w:rPr>
                <w:rFonts w:ascii="Times New Roman" w:hAnsi="Times New Roman"/>
                <w:noProof/>
                <w:color w:val="000000"/>
                <w:sz w:val="18"/>
                <w:lang w:val="en-GB"/>
              </w:rPr>
            </w:pPr>
            <w:r w:rsidRPr="008704BD">
              <w:rPr>
                <w:rFonts w:ascii="Times New Roman" w:hAnsi="Times New Roman"/>
                <w:noProof/>
                <w:color w:val="000000" w:themeColor="text1"/>
                <w:sz w:val="18"/>
                <w:lang w:val="en-GB"/>
              </w:rPr>
              <w:t>Improved ability of Member States to detect and counter tax fraud, evasion and avoidance</w:t>
            </w:r>
          </w:p>
        </w:tc>
        <w:tc>
          <w:tcPr>
            <w:tcW w:w="575" w:type="pct"/>
            <w:tcBorders>
              <w:top w:val="nil"/>
              <w:left w:val="nil"/>
              <w:right w:val="single" w:sz="4" w:space="0" w:color="auto"/>
            </w:tcBorders>
            <w:shd w:val="clear" w:color="auto" w:fill="F7CAAC" w:themeFill="accent2" w:themeFillTint="66"/>
            <w:noWrap/>
            <w:vAlign w:val="center"/>
            <w:hideMark/>
          </w:tcPr>
          <w:p w14:paraId="0589F65B"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nil"/>
              <w:left w:val="single" w:sz="4" w:space="0" w:color="auto"/>
              <w:right w:val="single" w:sz="4" w:space="0" w:color="auto"/>
            </w:tcBorders>
            <w:shd w:val="clear" w:color="auto" w:fill="FFFF00"/>
            <w:noWrap/>
            <w:vAlign w:val="center"/>
          </w:tcPr>
          <w:p w14:paraId="1B6F318C"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1</w:t>
            </w:r>
          </w:p>
        </w:tc>
        <w:tc>
          <w:tcPr>
            <w:tcW w:w="393" w:type="pct"/>
            <w:tcBorders>
              <w:left w:val="nil"/>
              <w:right w:val="single" w:sz="4" w:space="0" w:color="auto"/>
            </w:tcBorders>
            <w:shd w:val="clear" w:color="auto" w:fill="FFFF00"/>
            <w:noWrap/>
            <w:vAlign w:val="center"/>
          </w:tcPr>
          <w:p w14:paraId="13CC7F62"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1</w:t>
            </w:r>
          </w:p>
        </w:tc>
        <w:tc>
          <w:tcPr>
            <w:tcW w:w="393" w:type="pct"/>
            <w:tcBorders>
              <w:top w:val="nil"/>
              <w:left w:val="single" w:sz="4" w:space="0" w:color="auto"/>
              <w:right w:val="single" w:sz="4" w:space="0" w:color="auto"/>
            </w:tcBorders>
            <w:shd w:val="clear" w:color="auto" w:fill="92D050"/>
            <w:noWrap/>
            <w:vAlign w:val="center"/>
          </w:tcPr>
          <w:p w14:paraId="273F9CEF"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top w:val="nil"/>
              <w:left w:val="nil"/>
              <w:right w:val="single" w:sz="4" w:space="0" w:color="auto"/>
            </w:tcBorders>
            <w:shd w:val="clear" w:color="auto" w:fill="92D050"/>
            <w:vAlign w:val="center"/>
          </w:tcPr>
          <w:p w14:paraId="4E74377E"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2</w:t>
            </w:r>
          </w:p>
        </w:tc>
        <w:tc>
          <w:tcPr>
            <w:tcW w:w="393" w:type="pct"/>
            <w:tcBorders>
              <w:top w:val="nil"/>
              <w:left w:val="single" w:sz="4" w:space="0" w:color="auto"/>
              <w:right w:val="single" w:sz="4" w:space="0" w:color="auto"/>
            </w:tcBorders>
            <w:shd w:val="clear" w:color="auto" w:fill="70AD47" w:themeFill="accent6"/>
            <w:vAlign w:val="center"/>
          </w:tcPr>
          <w:p w14:paraId="5B81BF3A"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3</w:t>
            </w:r>
          </w:p>
        </w:tc>
        <w:tc>
          <w:tcPr>
            <w:tcW w:w="394" w:type="pct"/>
            <w:tcBorders>
              <w:top w:val="nil"/>
              <w:left w:val="single" w:sz="4" w:space="0" w:color="auto"/>
              <w:bottom w:val="nil"/>
              <w:right w:val="single" w:sz="4" w:space="0" w:color="auto"/>
            </w:tcBorders>
            <w:shd w:val="clear" w:color="auto" w:fill="92D050"/>
            <w:noWrap/>
            <w:vAlign w:val="center"/>
          </w:tcPr>
          <w:p w14:paraId="1B9207D6" w14:textId="0C7943B9"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themeColor="text1"/>
                <w:sz w:val="18"/>
                <w:lang w:val="en-GB"/>
              </w:rPr>
              <w:t>2</w:t>
            </w:r>
          </w:p>
        </w:tc>
      </w:tr>
      <w:tr w:rsidR="00E628A9" w:rsidRPr="00D312CE" w14:paraId="76D458CC" w14:textId="77777777" w:rsidTr="017DE087">
        <w:trPr>
          <w:trHeight w:val="103"/>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510F7BFC" w14:textId="77777777" w:rsidR="00DC431C" w:rsidRPr="008704BD" w:rsidRDefault="00DC431C" w:rsidP="00F27369">
            <w:pPr>
              <w:spacing w:after="0" w:line="240" w:lineRule="auto"/>
              <w:rPr>
                <w:rFonts w:ascii="Times New Roman" w:hAnsi="Times New Roman"/>
                <w:noProof/>
                <w:color w:val="000000"/>
                <w:sz w:val="18"/>
                <w:lang w:val="en-GB"/>
              </w:rPr>
            </w:pPr>
            <w:r w:rsidRPr="008704BD">
              <w:rPr>
                <w:rFonts w:ascii="Times New Roman" w:hAnsi="Times New Roman"/>
                <w:noProof/>
                <w:color w:val="000000" w:themeColor="text1"/>
                <w:sz w:val="18"/>
                <w:lang w:val="en-GB"/>
              </w:rPr>
              <w:t>Deterrent effects</w:t>
            </w:r>
          </w:p>
        </w:tc>
        <w:tc>
          <w:tcPr>
            <w:tcW w:w="575" w:type="pct"/>
            <w:tcBorders>
              <w:top w:val="nil"/>
              <w:left w:val="nil"/>
              <w:bottom w:val="single" w:sz="4" w:space="0" w:color="auto"/>
              <w:right w:val="single" w:sz="4" w:space="0" w:color="auto"/>
            </w:tcBorders>
            <w:shd w:val="clear" w:color="auto" w:fill="F7CAAC" w:themeFill="accent2" w:themeFillTint="66"/>
            <w:noWrap/>
            <w:vAlign w:val="center"/>
            <w:hideMark/>
          </w:tcPr>
          <w:p w14:paraId="5A144F4F"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nil"/>
              <w:left w:val="single" w:sz="4" w:space="0" w:color="auto"/>
              <w:bottom w:val="single" w:sz="4" w:space="0" w:color="auto"/>
              <w:right w:val="single" w:sz="4" w:space="0" w:color="auto"/>
            </w:tcBorders>
            <w:shd w:val="clear" w:color="auto" w:fill="70AD47" w:themeFill="accent6"/>
            <w:noWrap/>
            <w:vAlign w:val="center"/>
          </w:tcPr>
          <w:p w14:paraId="45C0BF57"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3</w:t>
            </w:r>
          </w:p>
        </w:tc>
        <w:tc>
          <w:tcPr>
            <w:tcW w:w="393" w:type="pct"/>
            <w:tcBorders>
              <w:left w:val="nil"/>
              <w:bottom w:val="single" w:sz="4" w:space="0" w:color="auto"/>
              <w:right w:val="single" w:sz="4" w:space="0" w:color="auto"/>
            </w:tcBorders>
            <w:shd w:val="clear" w:color="auto" w:fill="92D050"/>
            <w:noWrap/>
            <w:vAlign w:val="center"/>
          </w:tcPr>
          <w:p w14:paraId="0E794972"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top w:val="nil"/>
              <w:left w:val="single" w:sz="4" w:space="0" w:color="auto"/>
              <w:bottom w:val="single" w:sz="4" w:space="0" w:color="auto"/>
              <w:right w:val="single" w:sz="4" w:space="0" w:color="auto"/>
            </w:tcBorders>
            <w:shd w:val="clear" w:color="auto" w:fill="70AD47" w:themeFill="accent6"/>
            <w:noWrap/>
            <w:vAlign w:val="center"/>
          </w:tcPr>
          <w:p w14:paraId="5E034FE9"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themeColor="text1"/>
                <w:sz w:val="18"/>
                <w:lang w:val="en-GB"/>
              </w:rPr>
              <w:t>3</w:t>
            </w:r>
          </w:p>
        </w:tc>
        <w:tc>
          <w:tcPr>
            <w:tcW w:w="393" w:type="pct"/>
            <w:tcBorders>
              <w:top w:val="nil"/>
              <w:left w:val="nil"/>
              <w:bottom w:val="single" w:sz="4" w:space="0" w:color="auto"/>
              <w:right w:val="single" w:sz="4" w:space="0" w:color="auto"/>
            </w:tcBorders>
            <w:shd w:val="clear" w:color="auto" w:fill="92D050"/>
            <w:vAlign w:val="center"/>
          </w:tcPr>
          <w:p w14:paraId="401D9202"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2</w:t>
            </w:r>
          </w:p>
        </w:tc>
        <w:tc>
          <w:tcPr>
            <w:tcW w:w="393" w:type="pct"/>
            <w:tcBorders>
              <w:top w:val="nil"/>
              <w:left w:val="single" w:sz="4" w:space="0" w:color="auto"/>
              <w:bottom w:val="single" w:sz="4" w:space="0" w:color="auto"/>
              <w:right w:val="single" w:sz="4" w:space="0" w:color="auto"/>
            </w:tcBorders>
            <w:shd w:val="clear" w:color="auto" w:fill="70AD47" w:themeFill="accent6"/>
            <w:vAlign w:val="center"/>
          </w:tcPr>
          <w:p w14:paraId="497733F0"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3</w:t>
            </w:r>
          </w:p>
        </w:tc>
        <w:tc>
          <w:tcPr>
            <w:tcW w:w="394" w:type="pct"/>
            <w:tcBorders>
              <w:top w:val="nil"/>
              <w:left w:val="single" w:sz="4" w:space="0" w:color="auto"/>
              <w:bottom w:val="nil"/>
              <w:right w:val="single" w:sz="4" w:space="0" w:color="auto"/>
            </w:tcBorders>
            <w:shd w:val="clear" w:color="auto" w:fill="92D050"/>
            <w:noWrap/>
            <w:vAlign w:val="center"/>
          </w:tcPr>
          <w:p w14:paraId="7D105686"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themeColor="text1"/>
                <w:sz w:val="18"/>
                <w:lang w:val="en-GB"/>
              </w:rPr>
              <w:t>2</w:t>
            </w:r>
          </w:p>
        </w:tc>
      </w:tr>
      <w:tr w:rsidR="00DC431C" w:rsidRPr="00D312CE" w14:paraId="5275DDAF" w14:textId="77777777" w:rsidTr="017DE087">
        <w:trPr>
          <w:gridAfter w:val="7"/>
          <w:wAfter w:w="2931" w:type="pct"/>
          <w:trHeight w:val="88"/>
        </w:trPr>
        <w:tc>
          <w:tcPr>
            <w:tcW w:w="2069" w:type="pct"/>
            <w:tcBorders>
              <w:top w:val="nil"/>
              <w:left w:val="single" w:sz="4" w:space="0" w:color="auto"/>
              <w:bottom w:val="single" w:sz="4" w:space="0" w:color="auto"/>
              <w:right w:val="single" w:sz="4" w:space="0" w:color="auto"/>
            </w:tcBorders>
            <w:shd w:val="clear" w:color="auto" w:fill="auto"/>
            <w:noWrap/>
            <w:vAlign w:val="center"/>
            <w:hideMark/>
          </w:tcPr>
          <w:p w14:paraId="4B5F8FB5" w14:textId="77777777" w:rsidR="00DC431C" w:rsidRPr="008704BD" w:rsidRDefault="00DC431C" w:rsidP="00F27369">
            <w:pPr>
              <w:spacing w:after="0" w:line="240" w:lineRule="auto"/>
              <w:rPr>
                <w:rFonts w:ascii="Times New Roman" w:hAnsi="Times New Roman"/>
                <w:b/>
                <w:noProof/>
                <w:color w:val="000000"/>
                <w:sz w:val="18"/>
                <w:lang w:val="en-GB"/>
              </w:rPr>
            </w:pPr>
            <w:r w:rsidRPr="008704BD">
              <w:rPr>
                <w:rFonts w:ascii="Times New Roman" w:hAnsi="Times New Roman"/>
                <w:b/>
                <w:noProof/>
                <w:color w:val="000000"/>
                <w:sz w:val="18"/>
                <w:lang w:val="en-GB"/>
              </w:rPr>
              <w:t>Efficiency of the options</w:t>
            </w:r>
          </w:p>
        </w:tc>
      </w:tr>
      <w:tr w:rsidR="00DC431C" w:rsidRPr="00D312CE" w14:paraId="0BC4F40E" w14:textId="77777777" w:rsidTr="017DE087">
        <w:trPr>
          <w:trHeight w:val="405"/>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0EC667A8" w14:textId="2327C961" w:rsidR="00DC431C" w:rsidRPr="008704BD" w:rsidRDefault="00DC431C" w:rsidP="00652307">
            <w:pPr>
              <w:spacing w:after="0" w:line="240" w:lineRule="auto"/>
              <w:rPr>
                <w:rFonts w:ascii="Times New Roman" w:hAnsi="Times New Roman"/>
                <w:noProof/>
                <w:color w:val="000000"/>
                <w:sz w:val="18"/>
                <w:lang w:val="en-GB"/>
              </w:rPr>
            </w:pPr>
            <w:r w:rsidRPr="008704BD">
              <w:rPr>
                <w:rFonts w:ascii="Times New Roman" w:hAnsi="Times New Roman"/>
                <w:noProof/>
                <w:color w:val="000000"/>
                <w:sz w:val="18"/>
                <w:lang w:val="en-GB"/>
              </w:rPr>
              <w:t>Impact on compliance costs for service providers</w:t>
            </w:r>
          </w:p>
        </w:tc>
        <w:tc>
          <w:tcPr>
            <w:tcW w:w="575" w:type="pct"/>
            <w:tcBorders>
              <w:top w:val="single" w:sz="4" w:space="0" w:color="auto"/>
              <w:left w:val="nil"/>
              <w:bottom w:val="nil"/>
              <w:right w:val="single" w:sz="4" w:space="0" w:color="auto"/>
            </w:tcBorders>
            <w:shd w:val="clear" w:color="auto" w:fill="F7CAAC" w:themeFill="accent2" w:themeFillTint="66"/>
            <w:noWrap/>
            <w:vAlign w:val="center"/>
            <w:hideMark/>
          </w:tcPr>
          <w:p w14:paraId="6C834CC7"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single" w:sz="4" w:space="0" w:color="auto"/>
              <w:left w:val="single" w:sz="4" w:space="0" w:color="auto"/>
              <w:bottom w:val="nil"/>
              <w:right w:val="single" w:sz="4" w:space="0" w:color="auto"/>
            </w:tcBorders>
            <w:shd w:val="clear" w:color="auto" w:fill="FF0000"/>
            <w:noWrap/>
            <w:vAlign w:val="center"/>
          </w:tcPr>
          <w:p w14:paraId="2A54D829"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c>
          <w:tcPr>
            <w:tcW w:w="393" w:type="pct"/>
            <w:tcBorders>
              <w:top w:val="single" w:sz="4" w:space="0" w:color="auto"/>
              <w:left w:val="nil"/>
              <w:right w:val="single" w:sz="4" w:space="0" w:color="auto"/>
            </w:tcBorders>
            <w:shd w:val="clear" w:color="auto" w:fill="FFC000" w:themeFill="accent4"/>
            <w:noWrap/>
            <w:vAlign w:val="center"/>
          </w:tcPr>
          <w:p w14:paraId="13F57876"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w:t>
            </w:r>
            <w:r>
              <w:rPr>
                <w:rFonts w:ascii="Times New Roman" w:hAnsi="Times New Roman"/>
                <w:noProof/>
                <w:color w:val="000000"/>
                <w:sz w:val="18"/>
                <w:lang w:val="en-GB"/>
              </w:rPr>
              <w:t>1</w:t>
            </w:r>
          </w:p>
        </w:tc>
        <w:tc>
          <w:tcPr>
            <w:tcW w:w="393" w:type="pct"/>
            <w:tcBorders>
              <w:top w:val="single" w:sz="4" w:space="0" w:color="auto"/>
              <w:left w:val="single" w:sz="4" w:space="0" w:color="auto"/>
              <w:bottom w:val="nil"/>
              <w:right w:val="single" w:sz="4" w:space="0" w:color="auto"/>
            </w:tcBorders>
            <w:shd w:val="clear" w:color="auto" w:fill="C00000"/>
            <w:noWrap/>
            <w:vAlign w:val="center"/>
          </w:tcPr>
          <w:p w14:paraId="4B1AF8FE"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w:t>
            </w:r>
            <w:r>
              <w:rPr>
                <w:rFonts w:ascii="Times New Roman" w:hAnsi="Times New Roman"/>
                <w:noProof/>
                <w:color w:val="000000"/>
                <w:sz w:val="18"/>
                <w:lang w:val="en-GB"/>
              </w:rPr>
              <w:t>3</w:t>
            </w:r>
          </w:p>
        </w:tc>
        <w:tc>
          <w:tcPr>
            <w:tcW w:w="393" w:type="pct"/>
            <w:tcBorders>
              <w:top w:val="single" w:sz="4" w:space="0" w:color="auto"/>
              <w:left w:val="nil"/>
              <w:bottom w:val="nil"/>
              <w:right w:val="single" w:sz="4" w:space="0" w:color="auto"/>
            </w:tcBorders>
            <w:shd w:val="clear" w:color="auto" w:fill="FF0000"/>
            <w:vAlign w:val="center"/>
          </w:tcPr>
          <w:p w14:paraId="64CF15F7"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-2</w:t>
            </w:r>
          </w:p>
        </w:tc>
        <w:tc>
          <w:tcPr>
            <w:tcW w:w="393" w:type="pct"/>
            <w:tcBorders>
              <w:top w:val="single" w:sz="4" w:space="0" w:color="auto"/>
              <w:left w:val="single" w:sz="4" w:space="0" w:color="auto"/>
              <w:bottom w:val="nil"/>
              <w:right w:val="single" w:sz="4" w:space="0" w:color="auto"/>
            </w:tcBorders>
            <w:shd w:val="clear" w:color="auto" w:fill="C00000"/>
            <w:vAlign w:val="center"/>
          </w:tcPr>
          <w:p w14:paraId="778AA1EF"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-3</w:t>
            </w:r>
          </w:p>
        </w:tc>
        <w:tc>
          <w:tcPr>
            <w:tcW w:w="394" w:type="pct"/>
            <w:tcBorders>
              <w:top w:val="single" w:sz="4" w:space="0" w:color="auto"/>
              <w:left w:val="single" w:sz="4" w:space="0" w:color="auto"/>
              <w:bottom w:val="nil"/>
              <w:right w:val="single" w:sz="4" w:space="0" w:color="auto"/>
            </w:tcBorders>
            <w:shd w:val="clear" w:color="auto" w:fill="FF0000"/>
            <w:noWrap/>
            <w:vAlign w:val="center"/>
          </w:tcPr>
          <w:p w14:paraId="1C733BAC"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themeColor="text1"/>
                <w:sz w:val="18"/>
                <w:lang w:val="en-GB"/>
              </w:rPr>
              <w:t>-</w:t>
            </w:r>
            <w:r>
              <w:rPr>
                <w:rFonts w:ascii="Times New Roman" w:hAnsi="Times New Roman"/>
                <w:noProof/>
                <w:color w:val="000000" w:themeColor="text1"/>
                <w:sz w:val="18"/>
                <w:lang w:val="en-GB"/>
              </w:rPr>
              <w:t>2</w:t>
            </w:r>
          </w:p>
        </w:tc>
      </w:tr>
      <w:tr w:rsidR="00DC431C" w:rsidRPr="00D312CE" w14:paraId="7C897D61" w14:textId="77777777" w:rsidTr="017DE087">
        <w:trPr>
          <w:trHeight w:val="372"/>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1DD363E7" w14:textId="77777777" w:rsidR="00DC431C" w:rsidRPr="008704BD" w:rsidRDefault="00DC431C" w:rsidP="00F27369">
            <w:pPr>
              <w:spacing w:after="0" w:line="240" w:lineRule="auto"/>
              <w:rPr>
                <w:rFonts w:ascii="Times New Roman" w:hAnsi="Times New Roman"/>
                <w:noProof/>
                <w:color w:val="000000"/>
                <w:sz w:val="18"/>
                <w:lang w:val="en-GB"/>
              </w:rPr>
            </w:pPr>
            <w:r w:rsidRPr="008704BD">
              <w:rPr>
                <w:rFonts w:ascii="Times New Roman" w:hAnsi="Times New Roman"/>
                <w:noProof/>
                <w:color w:val="000000"/>
                <w:sz w:val="18"/>
                <w:lang w:val="en-GB"/>
              </w:rPr>
              <w:t>Impact on enforcement costs for tax administrations</w:t>
            </w:r>
          </w:p>
        </w:tc>
        <w:tc>
          <w:tcPr>
            <w:tcW w:w="575" w:type="pct"/>
            <w:tcBorders>
              <w:top w:val="nil"/>
              <w:left w:val="nil"/>
              <w:bottom w:val="nil"/>
              <w:right w:val="single" w:sz="4" w:space="0" w:color="auto"/>
            </w:tcBorders>
            <w:shd w:val="clear" w:color="auto" w:fill="F7CAAC" w:themeFill="accent2" w:themeFillTint="66"/>
            <w:noWrap/>
            <w:vAlign w:val="center"/>
            <w:hideMark/>
          </w:tcPr>
          <w:p w14:paraId="51AC4BD7"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nil"/>
              <w:left w:val="single" w:sz="4" w:space="0" w:color="auto"/>
              <w:bottom w:val="nil"/>
              <w:right w:val="single" w:sz="4" w:space="0" w:color="auto"/>
            </w:tcBorders>
            <w:shd w:val="clear" w:color="auto" w:fill="C00000"/>
            <w:noWrap/>
            <w:vAlign w:val="center"/>
          </w:tcPr>
          <w:p w14:paraId="748DFC24"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w:t>
            </w:r>
            <w:r>
              <w:rPr>
                <w:rFonts w:ascii="Times New Roman" w:hAnsi="Times New Roman"/>
                <w:noProof/>
                <w:color w:val="000000"/>
                <w:sz w:val="18"/>
                <w:lang w:val="en-GB"/>
              </w:rPr>
              <w:t>3</w:t>
            </w:r>
          </w:p>
        </w:tc>
        <w:tc>
          <w:tcPr>
            <w:tcW w:w="393" w:type="pct"/>
            <w:tcBorders>
              <w:left w:val="nil"/>
              <w:right w:val="single" w:sz="4" w:space="0" w:color="auto"/>
            </w:tcBorders>
            <w:shd w:val="clear" w:color="auto" w:fill="C00000"/>
            <w:noWrap/>
            <w:vAlign w:val="center"/>
          </w:tcPr>
          <w:p w14:paraId="060EF6E7"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w:t>
            </w:r>
            <w:r>
              <w:rPr>
                <w:rFonts w:ascii="Times New Roman" w:hAnsi="Times New Roman"/>
                <w:noProof/>
                <w:color w:val="000000"/>
                <w:sz w:val="18"/>
                <w:lang w:val="en-GB"/>
              </w:rPr>
              <w:t>3</w:t>
            </w:r>
          </w:p>
        </w:tc>
        <w:tc>
          <w:tcPr>
            <w:tcW w:w="393" w:type="pct"/>
            <w:tcBorders>
              <w:top w:val="nil"/>
              <w:left w:val="single" w:sz="4" w:space="0" w:color="auto"/>
              <w:bottom w:val="nil"/>
              <w:right w:val="single" w:sz="4" w:space="0" w:color="auto"/>
            </w:tcBorders>
            <w:shd w:val="clear" w:color="auto" w:fill="FF0000"/>
            <w:noWrap/>
            <w:vAlign w:val="center"/>
          </w:tcPr>
          <w:p w14:paraId="0722BF48"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c>
          <w:tcPr>
            <w:tcW w:w="393" w:type="pct"/>
            <w:tcBorders>
              <w:top w:val="nil"/>
              <w:left w:val="nil"/>
              <w:bottom w:val="nil"/>
              <w:right w:val="single" w:sz="4" w:space="0" w:color="auto"/>
            </w:tcBorders>
            <w:shd w:val="clear" w:color="auto" w:fill="FF0000"/>
            <w:vAlign w:val="center"/>
          </w:tcPr>
          <w:p w14:paraId="5B10EBF2"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-2</w:t>
            </w:r>
          </w:p>
        </w:tc>
        <w:tc>
          <w:tcPr>
            <w:tcW w:w="393" w:type="pct"/>
            <w:tcBorders>
              <w:top w:val="nil"/>
              <w:left w:val="single" w:sz="4" w:space="0" w:color="auto"/>
              <w:bottom w:val="nil"/>
              <w:right w:val="single" w:sz="4" w:space="0" w:color="auto"/>
            </w:tcBorders>
            <w:shd w:val="clear" w:color="auto" w:fill="FFC000" w:themeFill="accent4"/>
            <w:vAlign w:val="center"/>
          </w:tcPr>
          <w:p w14:paraId="333884FF" w14:textId="77777777" w:rsidR="00DC431C" w:rsidRPr="008704BD" w:rsidRDefault="00DC431C">
            <w:pPr>
              <w:spacing w:after="0" w:line="240" w:lineRule="auto"/>
              <w:jc w:val="center"/>
              <w:rPr>
                <w:rFonts w:ascii="Times New Roman" w:hAnsi="Times New Roman"/>
                <w:noProof/>
                <w:color w:val="000000" w:themeColor="text1"/>
                <w:sz w:val="18"/>
                <w:lang w:val="en-GB"/>
              </w:rPr>
            </w:pPr>
            <w:r>
              <w:rPr>
                <w:rFonts w:ascii="Times New Roman" w:hAnsi="Times New Roman"/>
                <w:noProof/>
                <w:color w:val="000000" w:themeColor="text1"/>
                <w:sz w:val="18"/>
                <w:lang w:val="en-GB"/>
              </w:rPr>
              <w:t>-1</w:t>
            </w:r>
          </w:p>
        </w:tc>
        <w:tc>
          <w:tcPr>
            <w:tcW w:w="394" w:type="pct"/>
            <w:tcBorders>
              <w:top w:val="nil"/>
              <w:left w:val="single" w:sz="4" w:space="0" w:color="auto"/>
              <w:bottom w:val="nil"/>
              <w:right w:val="single" w:sz="4" w:space="0" w:color="auto"/>
            </w:tcBorders>
            <w:shd w:val="clear" w:color="auto" w:fill="FFC000" w:themeFill="accent4"/>
            <w:noWrap/>
            <w:vAlign w:val="center"/>
          </w:tcPr>
          <w:p w14:paraId="1A52FB90" w14:textId="77777777" w:rsidR="00DC431C" w:rsidRPr="008704BD" w:rsidRDefault="00DC431C" w:rsidP="003B23D5">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themeColor="text1"/>
                <w:sz w:val="18"/>
                <w:lang w:val="en-GB"/>
              </w:rPr>
              <w:t>-</w:t>
            </w:r>
            <w:r>
              <w:rPr>
                <w:rFonts w:ascii="Times New Roman" w:hAnsi="Times New Roman"/>
                <w:noProof/>
                <w:color w:val="000000" w:themeColor="text1"/>
                <w:sz w:val="18"/>
                <w:lang w:val="en-GB"/>
              </w:rPr>
              <w:t>1</w:t>
            </w:r>
          </w:p>
        </w:tc>
      </w:tr>
      <w:tr w:rsidR="00DC431C" w:rsidRPr="00D312CE" w14:paraId="051725D4" w14:textId="77777777" w:rsidTr="017DE087">
        <w:trPr>
          <w:trHeight w:val="145"/>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419BE9AD" w14:textId="77777777" w:rsidR="00DC431C" w:rsidRPr="008704BD" w:rsidRDefault="00DC431C" w:rsidP="00F27369">
            <w:pPr>
              <w:spacing w:after="0" w:line="240" w:lineRule="auto"/>
              <w:rPr>
                <w:rFonts w:ascii="Times New Roman" w:hAnsi="Times New Roman"/>
                <w:noProof/>
                <w:color w:val="000000"/>
                <w:sz w:val="18"/>
                <w:lang w:val="en-GB"/>
              </w:rPr>
            </w:pPr>
            <w:r w:rsidRPr="008704BD">
              <w:rPr>
                <w:rFonts w:ascii="Times New Roman" w:hAnsi="Times New Roman"/>
                <w:noProof/>
                <w:color w:val="000000"/>
                <w:sz w:val="18"/>
                <w:lang w:val="en-GB"/>
              </w:rPr>
              <w:t>Impact on tax collection</w:t>
            </w:r>
          </w:p>
        </w:tc>
        <w:tc>
          <w:tcPr>
            <w:tcW w:w="575" w:type="pct"/>
            <w:tcBorders>
              <w:top w:val="nil"/>
              <w:left w:val="nil"/>
              <w:right w:val="single" w:sz="4" w:space="0" w:color="auto"/>
            </w:tcBorders>
            <w:shd w:val="clear" w:color="auto" w:fill="F7CAAC" w:themeFill="accent2" w:themeFillTint="66"/>
            <w:noWrap/>
            <w:vAlign w:val="center"/>
            <w:hideMark/>
          </w:tcPr>
          <w:p w14:paraId="15605A02"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nil"/>
              <w:left w:val="single" w:sz="4" w:space="0" w:color="auto"/>
              <w:right w:val="single" w:sz="4" w:space="0" w:color="auto"/>
            </w:tcBorders>
            <w:shd w:val="clear" w:color="auto" w:fill="FFFF00"/>
            <w:noWrap/>
            <w:vAlign w:val="center"/>
          </w:tcPr>
          <w:p w14:paraId="6D706BDD"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1</w:t>
            </w:r>
          </w:p>
        </w:tc>
        <w:tc>
          <w:tcPr>
            <w:tcW w:w="393" w:type="pct"/>
            <w:tcBorders>
              <w:left w:val="nil"/>
              <w:right w:val="single" w:sz="4" w:space="0" w:color="auto"/>
            </w:tcBorders>
            <w:shd w:val="clear" w:color="auto" w:fill="FFFF00"/>
            <w:noWrap/>
            <w:vAlign w:val="center"/>
          </w:tcPr>
          <w:p w14:paraId="0CE6E630"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1</w:t>
            </w:r>
          </w:p>
        </w:tc>
        <w:tc>
          <w:tcPr>
            <w:tcW w:w="393" w:type="pct"/>
            <w:tcBorders>
              <w:top w:val="nil"/>
              <w:left w:val="single" w:sz="4" w:space="0" w:color="auto"/>
              <w:right w:val="single" w:sz="4" w:space="0" w:color="auto"/>
            </w:tcBorders>
            <w:shd w:val="clear" w:color="auto" w:fill="FFFF00"/>
            <w:noWrap/>
            <w:vAlign w:val="center"/>
          </w:tcPr>
          <w:p w14:paraId="11197E4E"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1</w:t>
            </w:r>
          </w:p>
        </w:tc>
        <w:tc>
          <w:tcPr>
            <w:tcW w:w="393" w:type="pct"/>
            <w:tcBorders>
              <w:top w:val="nil"/>
              <w:left w:val="nil"/>
              <w:right w:val="single" w:sz="4" w:space="0" w:color="auto"/>
            </w:tcBorders>
            <w:shd w:val="clear" w:color="auto" w:fill="FFFF00"/>
            <w:vAlign w:val="center"/>
          </w:tcPr>
          <w:p w14:paraId="1A0F3906"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1</w:t>
            </w:r>
          </w:p>
        </w:tc>
        <w:tc>
          <w:tcPr>
            <w:tcW w:w="393" w:type="pct"/>
            <w:tcBorders>
              <w:top w:val="nil"/>
              <w:left w:val="single" w:sz="4" w:space="0" w:color="auto"/>
              <w:right w:val="single" w:sz="4" w:space="0" w:color="auto"/>
            </w:tcBorders>
            <w:shd w:val="clear" w:color="auto" w:fill="70AD47" w:themeFill="accent6"/>
            <w:vAlign w:val="center"/>
          </w:tcPr>
          <w:p w14:paraId="550B67FB" w14:textId="72FDD3F7" w:rsidR="00DC431C" w:rsidRPr="008704BD" w:rsidRDefault="005A159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3</w:t>
            </w:r>
          </w:p>
        </w:tc>
        <w:tc>
          <w:tcPr>
            <w:tcW w:w="394" w:type="pct"/>
            <w:tcBorders>
              <w:top w:val="nil"/>
              <w:left w:val="single" w:sz="4" w:space="0" w:color="auto"/>
              <w:right w:val="single" w:sz="4" w:space="0" w:color="auto"/>
            </w:tcBorders>
            <w:shd w:val="clear" w:color="auto" w:fill="92D050"/>
            <w:noWrap/>
            <w:vAlign w:val="center"/>
          </w:tcPr>
          <w:p w14:paraId="31A0E8FE" w14:textId="0EB9956F" w:rsidR="00DC431C" w:rsidRPr="008704BD" w:rsidRDefault="00492D86"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r>
      <w:tr w:rsidR="00DC431C" w:rsidRPr="00D312CE" w14:paraId="570B5AB9" w14:textId="77777777" w:rsidTr="017DE087">
        <w:trPr>
          <w:trHeight w:val="130"/>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6412E96A" w14:textId="77777777" w:rsidR="00DC431C" w:rsidRPr="008704BD" w:rsidRDefault="00DC431C" w:rsidP="00F27369">
            <w:pPr>
              <w:spacing w:after="0" w:line="240" w:lineRule="auto"/>
              <w:rPr>
                <w:rFonts w:ascii="Times New Roman" w:hAnsi="Times New Roman"/>
                <w:noProof/>
                <w:color w:val="000000"/>
                <w:sz w:val="18"/>
                <w:lang w:val="en-GB"/>
              </w:rPr>
            </w:pPr>
            <w:r w:rsidRPr="008704BD">
              <w:rPr>
                <w:rFonts w:ascii="Times New Roman" w:hAnsi="Times New Roman"/>
                <w:noProof/>
                <w:color w:val="000000"/>
                <w:sz w:val="18"/>
                <w:lang w:val="en-GB"/>
              </w:rPr>
              <w:t>Impact on SMEs</w:t>
            </w:r>
          </w:p>
        </w:tc>
        <w:tc>
          <w:tcPr>
            <w:tcW w:w="575" w:type="pct"/>
            <w:tcBorders>
              <w:top w:val="nil"/>
              <w:left w:val="nil"/>
              <w:bottom w:val="single" w:sz="4" w:space="0" w:color="auto"/>
              <w:right w:val="single" w:sz="4" w:space="0" w:color="auto"/>
            </w:tcBorders>
            <w:shd w:val="clear" w:color="auto" w:fill="F7CAAC" w:themeFill="accent2" w:themeFillTint="66"/>
            <w:noWrap/>
            <w:vAlign w:val="center"/>
            <w:hideMark/>
          </w:tcPr>
          <w:p w14:paraId="44917893"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nil"/>
              <w:left w:val="single" w:sz="4" w:space="0" w:color="auto"/>
              <w:bottom w:val="single" w:sz="4" w:space="0" w:color="auto"/>
              <w:right w:val="single" w:sz="4" w:space="0" w:color="auto"/>
            </w:tcBorders>
            <w:shd w:val="clear" w:color="auto" w:fill="FF0000"/>
            <w:noWrap/>
            <w:vAlign w:val="center"/>
          </w:tcPr>
          <w:p w14:paraId="6883EADB" w14:textId="77777777" w:rsidR="00DC431C" w:rsidRPr="008704BD" w:rsidRDefault="00DC431C" w:rsidP="00F27369">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left w:val="nil"/>
              <w:bottom w:val="single" w:sz="4" w:space="0" w:color="auto"/>
              <w:right w:val="single" w:sz="4" w:space="0" w:color="auto"/>
            </w:tcBorders>
            <w:shd w:val="clear" w:color="auto" w:fill="FFC000" w:themeFill="accent4"/>
            <w:noWrap/>
            <w:vAlign w:val="center"/>
          </w:tcPr>
          <w:p w14:paraId="27D5C933"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-1</w:t>
            </w:r>
          </w:p>
        </w:tc>
        <w:tc>
          <w:tcPr>
            <w:tcW w:w="393" w:type="pct"/>
            <w:tcBorders>
              <w:top w:val="nil"/>
              <w:left w:val="single" w:sz="4" w:space="0" w:color="auto"/>
              <w:bottom w:val="single" w:sz="4" w:space="0" w:color="auto"/>
              <w:right w:val="single" w:sz="4" w:space="0" w:color="auto"/>
            </w:tcBorders>
            <w:shd w:val="clear" w:color="auto" w:fill="FF0000"/>
            <w:noWrap/>
            <w:vAlign w:val="center"/>
          </w:tcPr>
          <w:p w14:paraId="4F9463BF" w14:textId="694A2CF5" w:rsidR="00DC431C" w:rsidRPr="008704BD" w:rsidRDefault="11DB6E9F" w:rsidP="017DE087">
            <w:pPr>
              <w:spacing w:after="0" w:line="240" w:lineRule="auto"/>
              <w:jc w:val="center"/>
              <w:rPr>
                <w:rFonts w:ascii="Times New Roman" w:hAnsi="Times New Roman"/>
                <w:noProof/>
                <w:color w:val="000000"/>
                <w:sz w:val="18"/>
                <w:szCs w:val="18"/>
                <w:lang w:val="en-GB"/>
              </w:rPr>
            </w:pPr>
            <w:r w:rsidRPr="017DE087">
              <w:rPr>
                <w:rFonts w:ascii="Times New Roman" w:hAnsi="Times New Roman"/>
                <w:noProof/>
                <w:color w:val="000000" w:themeColor="text1"/>
                <w:sz w:val="18"/>
                <w:szCs w:val="18"/>
                <w:lang w:val="en-GB"/>
              </w:rPr>
              <w:t>-3</w:t>
            </w:r>
          </w:p>
        </w:tc>
        <w:tc>
          <w:tcPr>
            <w:tcW w:w="393" w:type="pct"/>
            <w:tcBorders>
              <w:top w:val="nil"/>
              <w:left w:val="nil"/>
              <w:bottom w:val="single" w:sz="4" w:space="0" w:color="auto"/>
              <w:right w:val="single" w:sz="4" w:space="0" w:color="auto"/>
            </w:tcBorders>
            <w:shd w:val="clear" w:color="auto" w:fill="FFC000" w:themeFill="accent4"/>
            <w:vAlign w:val="center"/>
          </w:tcPr>
          <w:p w14:paraId="0AC37566"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-1</w:t>
            </w:r>
          </w:p>
        </w:tc>
        <w:tc>
          <w:tcPr>
            <w:tcW w:w="393" w:type="pct"/>
            <w:tcBorders>
              <w:top w:val="nil"/>
              <w:left w:val="single" w:sz="4" w:space="0" w:color="auto"/>
              <w:bottom w:val="single" w:sz="4" w:space="0" w:color="auto"/>
              <w:right w:val="single" w:sz="4" w:space="0" w:color="auto"/>
            </w:tcBorders>
            <w:shd w:val="clear" w:color="auto" w:fill="FF0000"/>
            <w:vAlign w:val="center"/>
          </w:tcPr>
          <w:p w14:paraId="077B89D3"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4" w:type="pct"/>
            <w:tcBorders>
              <w:top w:val="nil"/>
              <w:left w:val="single" w:sz="4" w:space="0" w:color="auto"/>
              <w:bottom w:val="single" w:sz="4" w:space="0" w:color="auto"/>
              <w:right w:val="single" w:sz="4" w:space="0" w:color="auto"/>
            </w:tcBorders>
            <w:shd w:val="clear" w:color="auto" w:fill="FFC000" w:themeFill="accent4"/>
            <w:noWrap/>
            <w:vAlign w:val="center"/>
          </w:tcPr>
          <w:p w14:paraId="296306DF"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-1</w:t>
            </w:r>
          </w:p>
        </w:tc>
      </w:tr>
      <w:tr w:rsidR="00DC431C" w:rsidRPr="00D312CE" w14:paraId="36D1E891" w14:textId="77777777" w:rsidTr="017DE087">
        <w:trPr>
          <w:gridAfter w:val="7"/>
          <w:wAfter w:w="2931" w:type="pct"/>
          <w:trHeight w:val="92"/>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69A45082" w14:textId="77777777" w:rsidR="00DC431C" w:rsidRPr="008704BD" w:rsidRDefault="00DC431C" w:rsidP="00F27369">
            <w:pPr>
              <w:spacing w:after="0" w:line="240" w:lineRule="auto"/>
              <w:rPr>
                <w:rFonts w:ascii="Times New Roman" w:hAnsi="Times New Roman"/>
                <w:b/>
                <w:noProof/>
                <w:color w:val="000000"/>
                <w:sz w:val="18"/>
                <w:lang w:val="en-GB"/>
              </w:rPr>
            </w:pPr>
            <w:r w:rsidRPr="008704BD">
              <w:rPr>
                <w:rFonts w:ascii="Times New Roman" w:hAnsi="Times New Roman"/>
                <w:b/>
                <w:noProof/>
                <w:color w:val="000000"/>
                <w:sz w:val="18"/>
                <w:lang w:val="en-GB"/>
              </w:rPr>
              <w:t>Coherence with other EU policies</w:t>
            </w:r>
          </w:p>
        </w:tc>
      </w:tr>
      <w:tr w:rsidR="00DC431C" w:rsidRPr="00D312CE" w14:paraId="5AF07F16" w14:textId="77777777" w:rsidTr="017DE087">
        <w:trPr>
          <w:trHeight w:val="95"/>
        </w:trPr>
        <w:tc>
          <w:tcPr>
            <w:tcW w:w="2069" w:type="pct"/>
            <w:tcBorders>
              <w:top w:val="nil"/>
              <w:left w:val="single" w:sz="4" w:space="0" w:color="auto"/>
              <w:bottom w:val="single" w:sz="4" w:space="0" w:color="auto"/>
              <w:right w:val="single" w:sz="4" w:space="0" w:color="auto"/>
            </w:tcBorders>
            <w:shd w:val="clear" w:color="auto" w:fill="auto"/>
            <w:vAlign w:val="center"/>
            <w:hideMark/>
          </w:tcPr>
          <w:p w14:paraId="2DD3E3DC" w14:textId="77777777" w:rsidR="00DC431C" w:rsidRPr="008704BD" w:rsidRDefault="00DC431C" w:rsidP="00F27369">
            <w:pPr>
              <w:spacing w:after="0" w:line="240" w:lineRule="auto"/>
              <w:rPr>
                <w:rFonts w:ascii="Times New Roman" w:hAnsi="Times New Roman"/>
                <w:noProof/>
                <w:color w:val="000000"/>
                <w:sz w:val="18"/>
                <w:lang w:val="en-GB"/>
              </w:rPr>
            </w:pPr>
            <w:r w:rsidRPr="008704BD">
              <w:rPr>
                <w:rFonts w:ascii="Times New Roman" w:hAnsi="Times New Roman"/>
                <w:noProof/>
                <w:color w:val="000000"/>
                <w:sz w:val="18"/>
                <w:lang w:val="en-GB"/>
              </w:rPr>
              <w:t>Coherence with GDPR</w:t>
            </w:r>
          </w:p>
        </w:tc>
        <w:tc>
          <w:tcPr>
            <w:tcW w:w="575" w:type="pct"/>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34D938F4"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0</w:t>
            </w:r>
          </w:p>
        </w:tc>
        <w:tc>
          <w:tcPr>
            <w:tcW w:w="393" w:type="pct"/>
            <w:tcBorders>
              <w:top w:val="single" w:sz="4" w:space="0" w:color="auto"/>
              <w:left w:val="single" w:sz="4" w:space="0" w:color="auto"/>
              <w:bottom w:val="single" w:sz="4" w:space="0" w:color="auto"/>
              <w:right w:val="single" w:sz="4" w:space="0" w:color="auto"/>
            </w:tcBorders>
            <w:shd w:val="clear" w:color="auto" w:fill="92D050"/>
            <w:noWrap/>
            <w:vAlign w:val="center"/>
          </w:tcPr>
          <w:p w14:paraId="739A5E0C"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c>
          <w:tcPr>
            <w:tcW w:w="393" w:type="pct"/>
            <w:tcBorders>
              <w:top w:val="single" w:sz="4" w:space="0" w:color="auto"/>
              <w:left w:val="nil"/>
              <w:bottom w:val="single" w:sz="4" w:space="0" w:color="auto"/>
              <w:right w:val="single" w:sz="4" w:space="0" w:color="auto"/>
            </w:tcBorders>
            <w:shd w:val="clear" w:color="auto" w:fill="92D050"/>
            <w:noWrap/>
            <w:vAlign w:val="center"/>
          </w:tcPr>
          <w:p w14:paraId="0416E4A1" w14:textId="77777777" w:rsidR="00DC431C" w:rsidRPr="008704BD" w:rsidRDefault="00DC431C">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c>
          <w:tcPr>
            <w:tcW w:w="393" w:type="pct"/>
            <w:tcBorders>
              <w:top w:val="single" w:sz="4" w:space="0" w:color="auto"/>
              <w:left w:val="single" w:sz="4" w:space="0" w:color="auto"/>
              <w:bottom w:val="single" w:sz="4" w:space="0" w:color="auto"/>
              <w:right w:val="single" w:sz="4" w:space="0" w:color="auto"/>
            </w:tcBorders>
            <w:shd w:val="clear" w:color="auto" w:fill="92D050"/>
            <w:noWrap/>
            <w:vAlign w:val="center"/>
          </w:tcPr>
          <w:p w14:paraId="7D4DA81C" w14:textId="77777777"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c>
          <w:tcPr>
            <w:tcW w:w="393" w:type="pct"/>
            <w:tcBorders>
              <w:top w:val="single" w:sz="4" w:space="0" w:color="auto"/>
              <w:left w:val="nil"/>
              <w:bottom w:val="single" w:sz="4" w:space="0" w:color="auto"/>
              <w:right w:val="single" w:sz="4" w:space="0" w:color="auto"/>
            </w:tcBorders>
            <w:shd w:val="clear" w:color="auto" w:fill="92D050"/>
            <w:vAlign w:val="center"/>
          </w:tcPr>
          <w:p w14:paraId="27374025"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3" w:type="pct"/>
            <w:tcBorders>
              <w:top w:val="single" w:sz="4" w:space="0" w:color="auto"/>
              <w:left w:val="single" w:sz="4" w:space="0" w:color="auto"/>
              <w:bottom w:val="single" w:sz="4" w:space="0" w:color="auto"/>
              <w:right w:val="single" w:sz="4" w:space="0" w:color="auto"/>
            </w:tcBorders>
            <w:shd w:val="clear" w:color="auto" w:fill="92D050"/>
            <w:vAlign w:val="center"/>
          </w:tcPr>
          <w:p w14:paraId="0DA49C98" w14:textId="77777777" w:rsidR="00DC431C" w:rsidRPr="008704BD" w:rsidRDefault="00DC431C">
            <w:pPr>
              <w:spacing w:after="0" w:line="240" w:lineRule="auto"/>
              <w:jc w:val="center"/>
              <w:rPr>
                <w:rFonts w:ascii="Times New Roman" w:hAnsi="Times New Roman"/>
                <w:noProof/>
                <w:color w:val="000000"/>
                <w:sz w:val="18"/>
                <w:lang w:val="en-GB"/>
              </w:rPr>
            </w:pPr>
            <w:r>
              <w:rPr>
                <w:rFonts w:ascii="Times New Roman" w:hAnsi="Times New Roman"/>
                <w:noProof/>
                <w:color w:val="000000"/>
                <w:sz w:val="18"/>
                <w:lang w:val="en-GB"/>
              </w:rPr>
              <w:t>2</w:t>
            </w:r>
          </w:p>
        </w:tc>
        <w:tc>
          <w:tcPr>
            <w:tcW w:w="394" w:type="pct"/>
            <w:tcBorders>
              <w:top w:val="single" w:sz="4" w:space="0" w:color="auto"/>
              <w:left w:val="single" w:sz="4" w:space="0" w:color="auto"/>
              <w:bottom w:val="single" w:sz="4" w:space="0" w:color="auto"/>
              <w:right w:val="single" w:sz="4" w:space="0" w:color="auto"/>
            </w:tcBorders>
            <w:shd w:val="clear" w:color="auto" w:fill="92D050"/>
            <w:noWrap/>
            <w:vAlign w:val="center"/>
          </w:tcPr>
          <w:p w14:paraId="7F181BD4" w14:textId="31CD22DF" w:rsidR="00DC431C" w:rsidRPr="008704BD" w:rsidRDefault="00DC431C" w:rsidP="00F27369">
            <w:pPr>
              <w:spacing w:after="0" w:line="240" w:lineRule="auto"/>
              <w:jc w:val="center"/>
              <w:rPr>
                <w:rFonts w:ascii="Times New Roman" w:hAnsi="Times New Roman"/>
                <w:noProof/>
                <w:color w:val="000000"/>
                <w:sz w:val="18"/>
                <w:lang w:val="en-GB"/>
              </w:rPr>
            </w:pPr>
            <w:r w:rsidRPr="008704BD">
              <w:rPr>
                <w:rFonts w:ascii="Times New Roman" w:hAnsi="Times New Roman"/>
                <w:noProof/>
                <w:color w:val="000000"/>
                <w:sz w:val="18"/>
                <w:lang w:val="en-GB"/>
              </w:rPr>
              <w:t>2</w:t>
            </w:r>
          </w:p>
        </w:tc>
      </w:tr>
    </w:tbl>
    <w:p w14:paraId="57485E8F" w14:textId="77777777" w:rsidR="00F27369" w:rsidRPr="006E5F59" w:rsidRDefault="00F27369" w:rsidP="00572424">
      <w:pPr>
        <w:rPr>
          <w:rFonts w:ascii="Times New Roman" w:hAnsi="Times New Roman" w:cs="Times New Roman"/>
          <w:noProof/>
          <w:lang w:val="en-GB" w:eastAsia="en-GB"/>
        </w:rPr>
      </w:pPr>
    </w:p>
    <w:p w14:paraId="0E607F8D" w14:textId="77777777" w:rsidR="00572424" w:rsidRPr="008704BD" w:rsidRDefault="7677ECB2" w:rsidP="00811206">
      <w:pPr>
        <w:jc w:val="both"/>
        <w:rPr>
          <w:rFonts w:ascii="Times New Roman" w:hAnsi="Times New Roman"/>
          <w:noProof/>
          <w:sz w:val="24"/>
          <w:lang w:val="en-GB"/>
        </w:rPr>
      </w:pPr>
      <w:r w:rsidRPr="008704BD">
        <w:rPr>
          <w:rFonts w:ascii="Times New Roman" w:hAnsi="Times New Roman"/>
          <w:noProof/>
          <w:sz w:val="24"/>
          <w:lang w:val="en-GB"/>
        </w:rPr>
        <w:t xml:space="preserve">As displayed in the above </w:t>
      </w:r>
      <w:r w:rsidR="0D7AB277" w:rsidRPr="008704BD">
        <w:rPr>
          <w:rFonts w:ascii="Times New Roman" w:hAnsi="Times New Roman"/>
          <w:noProof/>
          <w:sz w:val="24"/>
          <w:lang w:val="en-GB"/>
        </w:rPr>
        <w:t>tables</w:t>
      </w:r>
      <w:r w:rsidRPr="008704BD">
        <w:rPr>
          <w:rFonts w:ascii="Times New Roman" w:hAnsi="Times New Roman"/>
          <w:noProof/>
          <w:sz w:val="24"/>
          <w:lang w:val="en-GB"/>
        </w:rPr>
        <w:t>, all options would contribute to the safeguarding of tax revenues in the Member States</w:t>
      </w:r>
      <w:r w:rsidR="5D67FF9C" w:rsidRPr="008704BD">
        <w:rPr>
          <w:rFonts w:ascii="Times New Roman" w:hAnsi="Times New Roman"/>
          <w:noProof/>
          <w:sz w:val="24"/>
          <w:lang w:val="en-GB"/>
        </w:rPr>
        <w:t>.</w:t>
      </w:r>
      <w:r w:rsidRPr="008704BD">
        <w:rPr>
          <w:rFonts w:ascii="Times New Roman" w:hAnsi="Times New Roman"/>
          <w:noProof/>
          <w:sz w:val="24"/>
          <w:lang w:val="en-GB"/>
        </w:rPr>
        <w:t xml:space="preserve"> The available options also</w:t>
      </w:r>
      <w:r w:rsidRPr="008704BD" w:rsidDel="12AB499B">
        <w:rPr>
          <w:rFonts w:ascii="Times New Roman" w:hAnsi="Times New Roman"/>
          <w:noProof/>
          <w:sz w:val="24"/>
          <w:lang w:val="en-GB"/>
        </w:rPr>
        <w:t xml:space="preserve"> </w:t>
      </w:r>
      <w:r w:rsidR="3871B215" w:rsidRPr="008704BD">
        <w:rPr>
          <w:rFonts w:ascii="Times New Roman" w:hAnsi="Times New Roman"/>
          <w:noProof/>
          <w:sz w:val="24"/>
          <w:lang w:val="en-GB"/>
        </w:rPr>
        <w:t>improve</w:t>
      </w:r>
      <w:r w:rsidRPr="008704BD">
        <w:rPr>
          <w:rFonts w:ascii="Times New Roman" w:hAnsi="Times New Roman"/>
          <w:noProof/>
          <w:sz w:val="24"/>
          <w:lang w:val="en-GB"/>
        </w:rPr>
        <w:t xml:space="preserve"> the effectiveness aspects by increasing </w:t>
      </w:r>
      <w:r w:rsidR="7348E923" w:rsidRPr="008704BD">
        <w:rPr>
          <w:rFonts w:ascii="Times New Roman" w:hAnsi="Times New Roman"/>
          <w:noProof/>
          <w:sz w:val="24"/>
          <w:lang w:val="en-GB"/>
        </w:rPr>
        <w:t xml:space="preserve">the fairness and transparency of </w:t>
      </w:r>
      <w:r w:rsidRPr="008704BD">
        <w:rPr>
          <w:rFonts w:ascii="Times New Roman" w:hAnsi="Times New Roman"/>
          <w:noProof/>
          <w:sz w:val="24"/>
          <w:lang w:val="en-GB"/>
        </w:rPr>
        <w:t xml:space="preserve">tax systems’, reducing cross-border tax evasion and improving the overall functioning of the internal market. </w:t>
      </w:r>
    </w:p>
    <w:p w14:paraId="2709F168" w14:textId="340F5623" w:rsidR="1CD7074A" w:rsidRPr="008704BD" w:rsidRDefault="1CD7074A" w:rsidP="6D0B1F45">
      <w:pPr>
        <w:jc w:val="both"/>
        <w:rPr>
          <w:rFonts w:ascii="Times New Roman" w:hAnsi="Times New Roman"/>
          <w:noProof/>
          <w:sz w:val="24"/>
          <w:lang w:val="en-GB"/>
        </w:rPr>
      </w:pPr>
      <w:r w:rsidRPr="008704BD">
        <w:rPr>
          <w:rFonts w:ascii="Times New Roman" w:hAnsi="Times New Roman"/>
          <w:noProof/>
          <w:sz w:val="24"/>
          <w:lang w:val="en-GB"/>
        </w:rPr>
        <w:t>Without a binding regulation on EU level</w:t>
      </w:r>
      <w:r w:rsidR="007508E2" w:rsidRPr="008704BD">
        <w:rPr>
          <w:rFonts w:ascii="Times New Roman" w:hAnsi="Times New Roman"/>
          <w:noProof/>
          <w:sz w:val="24"/>
          <w:lang w:val="en-GB"/>
        </w:rPr>
        <w:t>,</w:t>
      </w:r>
      <w:r w:rsidRPr="008704BD">
        <w:rPr>
          <w:rFonts w:ascii="Times New Roman" w:hAnsi="Times New Roman"/>
          <w:noProof/>
          <w:sz w:val="24"/>
          <w:lang w:val="en-GB"/>
        </w:rPr>
        <w:t xml:space="preserve"> there is a risk that the functioning of the </w:t>
      </w:r>
      <w:r w:rsidR="1A82D1B9" w:rsidRPr="008704BD">
        <w:rPr>
          <w:rFonts w:ascii="Times New Roman" w:hAnsi="Times New Roman"/>
          <w:noProof/>
          <w:sz w:val="24"/>
          <w:lang w:val="en-GB"/>
        </w:rPr>
        <w:t>I</w:t>
      </w:r>
      <w:r w:rsidRPr="008704BD">
        <w:rPr>
          <w:rFonts w:ascii="Times New Roman" w:hAnsi="Times New Roman"/>
          <w:noProof/>
          <w:sz w:val="24"/>
          <w:lang w:val="en-GB"/>
        </w:rPr>
        <w:t xml:space="preserve">nternal </w:t>
      </w:r>
      <w:r w:rsidR="7DE259AA" w:rsidRPr="008704BD">
        <w:rPr>
          <w:rFonts w:ascii="Times New Roman" w:hAnsi="Times New Roman"/>
          <w:noProof/>
          <w:sz w:val="24"/>
          <w:lang w:val="en-GB"/>
        </w:rPr>
        <w:t>M</w:t>
      </w:r>
      <w:r w:rsidRPr="008704BD">
        <w:rPr>
          <w:rFonts w:ascii="Times New Roman" w:hAnsi="Times New Roman"/>
          <w:noProof/>
          <w:sz w:val="24"/>
          <w:lang w:val="en-GB"/>
        </w:rPr>
        <w:t xml:space="preserve">arket is </w:t>
      </w:r>
      <w:r w:rsidR="3467C8B0" w:rsidRPr="008704BD">
        <w:rPr>
          <w:rFonts w:ascii="Times New Roman" w:hAnsi="Times New Roman"/>
          <w:noProof/>
          <w:sz w:val="24"/>
          <w:lang w:val="en-GB"/>
        </w:rPr>
        <w:t xml:space="preserve">not ensured in the same way as in the presence of binding EU legislation. </w:t>
      </w:r>
      <w:r w:rsidR="00F169E3">
        <w:rPr>
          <w:rFonts w:ascii="Times New Roman" w:hAnsi="Times New Roman"/>
          <w:noProof/>
          <w:sz w:val="24"/>
          <w:lang w:val="en-GB"/>
        </w:rPr>
        <w:t xml:space="preserve">This is also the case when SMEs are being excluded (Options </w:t>
      </w:r>
      <w:r w:rsidR="0084734C">
        <w:rPr>
          <w:rFonts w:ascii="Times New Roman" w:hAnsi="Times New Roman"/>
          <w:noProof/>
          <w:sz w:val="24"/>
          <w:lang w:val="en-GB"/>
        </w:rPr>
        <w:t>2</w:t>
      </w:r>
      <w:r w:rsidR="00F169E3">
        <w:rPr>
          <w:rFonts w:ascii="Times New Roman" w:hAnsi="Times New Roman"/>
          <w:noProof/>
          <w:sz w:val="24"/>
          <w:lang w:val="en-GB"/>
        </w:rPr>
        <w:t xml:space="preserve">, </w:t>
      </w:r>
      <w:r w:rsidR="0084734C">
        <w:rPr>
          <w:rFonts w:ascii="Times New Roman" w:hAnsi="Times New Roman"/>
          <w:noProof/>
          <w:sz w:val="24"/>
          <w:lang w:val="en-GB"/>
        </w:rPr>
        <w:t>4</w:t>
      </w:r>
      <w:r w:rsidR="00F169E3">
        <w:rPr>
          <w:rFonts w:ascii="Times New Roman" w:hAnsi="Times New Roman"/>
          <w:noProof/>
          <w:sz w:val="24"/>
          <w:lang w:val="en-GB"/>
        </w:rPr>
        <w:t xml:space="preserve"> and </w:t>
      </w:r>
      <w:r w:rsidR="0084734C">
        <w:rPr>
          <w:rFonts w:ascii="Times New Roman" w:hAnsi="Times New Roman"/>
          <w:noProof/>
          <w:sz w:val="24"/>
          <w:lang w:val="en-GB"/>
        </w:rPr>
        <w:t>6</w:t>
      </w:r>
      <w:r w:rsidR="00F169E3">
        <w:rPr>
          <w:rFonts w:ascii="Times New Roman" w:hAnsi="Times New Roman"/>
          <w:noProof/>
          <w:sz w:val="24"/>
          <w:lang w:val="en-GB"/>
        </w:rPr>
        <w:t>) as there is an obvious</w:t>
      </w:r>
      <w:r w:rsidR="00292CCD" w:rsidRPr="008704BD">
        <w:rPr>
          <w:rFonts w:ascii="Times New Roman" w:hAnsi="Times New Roman"/>
          <w:noProof/>
          <w:sz w:val="24"/>
          <w:lang w:val="en-GB"/>
        </w:rPr>
        <w:t xml:space="preserve"> lack of level playing field.</w:t>
      </w:r>
    </w:p>
    <w:p w14:paraId="437EEA90" w14:textId="4D437285" w:rsidR="00E97CFF" w:rsidRPr="008704BD" w:rsidRDefault="00F169E3" w:rsidP="00FC5A00">
      <w:pPr>
        <w:jc w:val="both"/>
        <w:rPr>
          <w:rFonts w:ascii="Times New Roman" w:hAnsi="Times New Roman"/>
          <w:noProof/>
          <w:sz w:val="24"/>
          <w:lang w:val="en-GB"/>
        </w:rPr>
      </w:pPr>
      <w:r>
        <w:rPr>
          <w:rFonts w:ascii="Times New Roman" w:hAnsi="Times New Roman"/>
          <w:noProof/>
          <w:sz w:val="24"/>
          <w:lang w:val="en-GB"/>
        </w:rPr>
        <w:t>The</w:t>
      </w:r>
      <w:r w:rsidR="00292CCD" w:rsidRPr="008704BD">
        <w:rPr>
          <w:rFonts w:ascii="Times New Roman" w:hAnsi="Times New Roman"/>
          <w:noProof/>
          <w:sz w:val="24"/>
          <w:lang w:val="en-GB"/>
        </w:rPr>
        <w:t xml:space="preserve"> efficiency</w:t>
      </w:r>
      <w:r>
        <w:rPr>
          <w:rFonts w:ascii="Times New Roman" w:hAnsi="Times New Roman"/>
          <w:noProof/>
          <w:sz w:val="24"/>
          <w:lang w:val="en-GB"/>
        </w:rPr>
        <w:t xml:space="preserve"> of different options varies since</w:t>
      </w:r>
      <w:r w:rsidR="00292CCD" w:rsidRPr="008704BD">
        <w:rPr>
          <w:rFonts w:ascii="Times New Roman" w:hAnsi="Times New Roman"/>
          <w:noProof/>
          <w:sz w:val="24"/>
          <w:lang w:val="en-GB"/>
        </w:rPr>
        <w:t xml:space="preserve"> </w:t>
      </w:r>
      <w:r>
        <w:rPr>
          <w:rFonts w:ascii="Times New Roman" w:hAnsi="Times New Roman"/>
          <w:noProof/>
          <w:sz w:val="24"/>
          <w:lang w:val="en-GB"/>
        </w:rPr>
        <w:t>the type of reporting, as well as the application of a size threshold, affects CASPs and tax administrations oppositely (i.e. what i</w:t>
      </w:r>
      <w:r w:rsidR="001356B9">
        <w:rPr>
          <w:rFonts w:ascii="Times New Roman" w:hAnsi="Times New Roman"/>
          <w:noProof/>
          <w:sz w:val="24"/>
          <w:lang w:val="en-GB"/>
        </w:rPr>
        <w:t>s more costly for CASPs is more cost-saving for tax administrations and vice versa)</w:t>
      </w:r>
      <w:r>
        <w:rPr>
          <w:rFonts w:ascii="Times New Roman" w:hAnsi="Times New Roman"/>
          <w:noProof/>
          <w:sz w:val="24"/>
          <w:lang w:val="en-GB"/>
        </w:rPr>
        <w:t xml:space="preserve">. </w:t>
      </w:r>
      <w:r w:rsidR="001356B9">
        <w:rPr>
          <w:rFonts w:ascii="Times New Roman" w:hAnsi="Times New Roman"/>
          <w:noProof/>
          <w:sz w:val="24"/>
          <w:lang w:val="en-GB"/>
        </w:rPr>
        <w:t>In particular</w:t>
      </w:r>
      <w:r w:rsidR="00292CCD" w:rsidRPr="008704BD">
        <w:rPr>
          <w:rFonts w:ascii="Times New Roman" w:hAnsi="Times New Roman"/>
          <w:noProof/>
          <w:sz w:val="24"/>
          <w:lang w:val="en-GB"/>
        </w:rPr>
        <w:t xml:space="preserve">, providing a larger amount of information to the tax administrations </w:t>
      </w:r>
      <w:r w:rsidR="00C7597A">
        <w:rPr>
          <w:rFonts w:ascii="Times New Roman" w:hAnsi="Times New Roman"/>
          <w:noProof/>
          <w:sz w:val="24"/>
          <w:lang w:val="en-GB"/>
        </w:rPr>
        <w:t xml:space="preserve">(Options </w:t>
      </w:r>
      <w:r w:rsidR="0084734C">
        <w:rPr>
          <w:rFonts w:ascii="Times New Roman" w:hAnsi="Times New Roman"/>
          <w:noProof/>
          <w:sz w:val="24"/>
          <w:lang w:val="en-GB"/>
        </w:rPr>
        <w:t>1</w:t>
      </w:r>
      <w:r w:rsidR="00C7597A">
        <w:rPr>
          <w:rFonts w:ascii="Times New Roman" w:hAnsi="Times New Roman"/>
          <w:noProof/>
          <w:sz w:val="24"/>
          <w:lang w:val="en-GB"/>
        </w:rPr>
        <w:t xml:space="preserve"> and </w:t>
      </w:r>
      <w:r w:rsidR="0084734C">
        <w:rPr>
          <w:rFonts w:ascii="Times New Roman" w:hAnsi="Times New Roman"/>
          <w:noProof/>
          <w:sz w:val="24"/>
          <w:lang w:val="en-GB"/>
        </w:rPr>
        <w:t>2</w:t>
      </w:r>
      <w:r w:rsidR="00C7597A">
        <w:rPr>
          <w:rFonts w:ascii="Times New Roman" w:hAnsi="Times New Roman"/>
          <w:noProof/>
          <w:sz w:val="24"/>
          <w:lang w:val="en-GB"/>
        </w:rPr>
        <w:t xml:space="preserve">) </w:t>
      </w:r>
      <w:r w:rsidR="00292CCD" w:rsidRPr="008704BD">
        <w:rPr>
          <w:rFonts w:ascii="Times New Roman" w:hAnsi="Times New Roman"/>
          <w:noProof/>
          <w:sz w:val="24"/>
          <w:lang w:val="en-GB"/>
        </w:rPr>
        <w:t>may result in more control and taxes, but the additional costs stemming from the excess of data possibly leading to overburdening may not outweigh the benefits.</w:t>
      </w:r>
      <w:r w:rsidR="00292CCD" w:rsidRPr="008704BD">
        <w:rPr>
          <w:rFonts w:ascii="Times New Roman" w:hAnsi="Times New Roman"/>
          <w:noProof/>
          <w:sz w:val="24"/>
          <w:vertAlign w:val="superscript"/>
        </w:rPr>
        <w:footnoteReference w:id="45"/>
      </w:r>
      <w:r w:rsidR="00292CCD" w:rsidRPr="008704BD">
        <w:rPr>
          <w:rFonts w:ascii="Times New Roman" w:hAnsi="Times New Roman"/>
          <w:noProof/>
          <w:sz w:val="24"/>
          <w:lang w:val="en-GB"/>
        </w:rPr>
        <w:t xml:space="preserve"> </w:t>
      </w:r>
      <w:r w:rsidR="00C7597A">
        <w:rPr>
          <w:rFonts w:ascii="Times New Roman" w:hAnsi="Times New Roman"/>
          <w:noProof/>
          <w:sz w:val="24"/>
          <w:lang w:val="en-GB"/>
        </w:rPr>
        <w:t xml:space="preserve">For service providers, reporting detailed </w:t>
      </w:r>
      <w:r w:rsidR="00E97CFF">
        <w:rPr>
          <w:rFonts w:ascii="Times New Roman" w:hAnsi="Times New Roman"/>
          <w:noProof/>
          <w:sz w:val="24"/>
          <w:lang w:val="en-GB"/>
        </w:rPr>
        <w:t xml:space="preserve">(transaction-by-transaction) </w:t>
      </w:r>
      <w:r w:rsidR="00C7597A">
        <w:rPr>
          <w:rFonts w:ascii="Times New Roman" w:hAnsi="Times New Roman"/>
          <w:noProof/>
          <w:sz w:val="24"/>
          <w:lang w:val="en-GB"/>
        </w:rPr>
        <w:t>information is relatively easy with lesser costs</w:t>
      </w:r>
      <w:r w:rsidR="00E97CFF">
        <w:rPr>
          <w:rFonts w:ascii="Times New Roman" w:hAnsi="Times New Roman"/>
          <w:noProof/>
          <w:sz w:val="24"/>
          <w:lang w:val="en-GB"/>
        </w:rPr>
        <w:t xml:space="preserve"> since the data provided is raw</w:t>
      </w:r>
      <w:r w:rsidR="00C7597A">
        <w:rPr>
          <w:rFonts w:ascii="Times New Roman" w:hAnsi="Times New Roman"/>
          <w:noProof/>
          <w:sz w:val="24"/>
          <w:lang w:val="en-GB"/>
        </w:rPr>
        <w:t xml:space="preserve">, while data aggregation would require additional costs (Options </w:t>
      </w:r>
      <w:r w:rsidR="0084734C">
        <w:rPr>
          <w:rFonts w:ascii="Times New Roman" w:hAnsi="Times New Roman"/>
          <w:noProof/>
          <w:sz w:val="24"/>
          <w:lang w:val="en-GB"/>
        </w:rPr>
        <w:t>3</w:t>
      </w:r>
      <w:r w:rsidR="00C7597A">
        <w:rPr>
          <w:rFonts w:ascii="Times New Roman" w:hAnsi="Times New Roman"/>
          <w:noProof/>
          <w:sz w:val="24"/>
          <w:lang w:val="en-GB"/>
        </w:rPr>
        <w:t xml:space="preserve"> and </w:t>
      </w:r>
      <w:r w:rsidR="0084734C">
        <w:rPr>
          <w:rFonts w:ascii="Times New Roman" w:hAnsi="Times New Roman"/>
          <w:noProof/>
          <w:sz w:val="24"/>
          <w:lang w:val="en-GB"/>
        </w:rPr>
        <w:t>4</w:t>
      </w:r>
      <w:r w:rsidR="00C7597A">
        <w:rPr>
          <w:rFonts w:ascii="Times New Roman" w:hAnsi="Times New Roman"/>
          <w:noProof/>
          <w:sz w:val="24"/>
          <w:lang w:val="en-GB"/>
        </w:rPr>
        <w:t>)</w:t>
      </w:r>
      <w:r w:rsidR="0082656D" w:rsidRPr="008704BD">
        <w:rPr>
          <w:rFonts w:ascii="Times New Roman" w:hAnsi="Times New Roman"/>
          <w:noProof/>
          <w:sz w:val="24"/>
          <w:lang w:val="en-GB"/>
        </w:rPr>
        <w:t>.</w:t>
      </w:r>
      <w:r w:rsidR="6222AE4A" w:rsidRPr="008704BD">
        <w:rPr>
          <w:rFonts w:ascii="Times New Roman" w:hAnsi="Times New Roman"/>
          <w:noProof/>
          <w:sz w:val="24"/>
          <w:lang w:val="en-GB"/>
        </w:rPr>
        <w:t xml:space="preserve"> </w:t>
      </w:r>
      <w:r w:rsidR="00E97CFF">
        <w:rPr>
          <w:rFonts w:ascii="Times New Roman" w:hAnsi="Times New Roman"/>
          <w:noProof/>
          <w:sz w:val="24"/>
          <w:lang w:val="en-GB"/>
        </w:rPr>
        <w:t xml:space="preserve">Hybrid reporting (Options </w:t>
      </w:r>
      <w:r w:rsidR="0084734C">
        <w:rPr>
          <w:rFonts w:ascii="Times New Roman" w:hAnsi="Times New Roman"/>
          <w:noProof/>
          <w:sz w:val="24"/>
          <w:lang w:val="en-GB"/>
        </w:rPr>
        <w:t>5</w:t>
      </w:r>
      <w:r w:rsidR="00E97CFF">
        <w:rPr>
          <w:rFonts w:ascii="Times New Roman" w:hAnsi="Times New Roman"/>
          <w:noProof/>
          <w:sz w:val="24"/>
          <w:lang w:val="en-GB"/>
        </w:rPr>
        <w:t xml:space="preserve"> and </w:t>
      </w:r>
      <w:r w:rsidR="0084734C">
        <w:rPr>
          <w:rFonts w:ascii="Times New Roman" w:hAnsi="Times New Roman"/>
          <w:noProof/>
          <w:sz w:val="24"/>
          <w:lang w:val="en-GB"/>
        </w:rPr>
        <w:t>6</w:t>
      </w:r>
      <w:r w:rsidR="00E97CFF">
        <w:rPr>
          <w:rFonts w:ascii="Times New Roman" w:hAnsi="Times New Roman"/>
          <w:noProof/>
          <w:sz w:val="24"/>
          <w:lang w:val="en-GB"/>
        </w:rPr>
        <w:t xml:space="preserve">) provides for a middle-ground solution when it comes to bearing costs as it considers data aggregation (more work on the CASP side) while processing additionally requested raw data only when relevant (more work for tax administrations). Size thresholds also affects costs for both CASPs and tax administrations. </w:t>
      </w:r>
      <w:r w:rsidR="00E97CFF" w:rsidRPr="008704BD">
        <w:rPr>
          <w:rFonts w:ascii="Times New Roman" w:hAnsi="Times New Roman"/>
          <w:noProof/>
          <w:sz w:val="24"/>
          <w:lang w:val="en-GB"/>
        </w:rPr>
        <w:t>This is due to positive correlation between the two variables (</w:t>
      </w:r>
      <w:r w:rsidR="00E97CFF">
        <w:rPr>
          <w:rFonts w:ascii="Times New Roman" w:hAnsi="Times New Roman"/>
          <w:noProof/>
          <w:sz w:val="24"/>
          <w:lang w:val="en-GB"/>
        </w:rPr>
        <w:t>number of service providers needing to report</w:t>
      </w:r>
      <w:r w:rsidR="00E97CFF" w:rsidRPr="008704BD">
        <w:rPr>
          <w:rFonts w:ascii="Times New Roman" w:hAnsi="Times New Roman"/>
          <w:noProof/>
          <w:sz w:val="24"/>
          <w:lang w:val="en-GB"/>
        </w:rPr>
        <w:t xml:space="preserve"> and costs).</w:t>
      </w:r>
    </w:p>
    <w:p w14:paraId="76F97099" w14:textId="77777777" w:rsidR="2E8C6D2A" w:rsidRPr="008704BD" w:rsidRDefault="2E8C6D2A" w:rsidP="6D0B1F45">
      <w:pPr>
        <w:jc w:val="both"/>
        <w:rPr>
          <w:rFonts w:ascii="Times New Roman" w:hAnsi="Times New Roman"/>
          <w:noProof/>
          <w:sz w:val="24"/>
          <w:lang w:val="en-GB"/>
        </w:rPr>
      </w:pPr>
      <w:r w:rsidRPr="008704BD">
        <w:rPr>
          <w:rFonts w:ascii="Times New Roman" w:hAnsi="Times New Roman"/>
          <w:noProof/>
          <w:sz w:val="24"/>
          <w:lang w:val="en-GB"/>
        </w:rPr>
        <w:t xml:space="preserve">The deterrent effect and tax collection are improved with more detailed information and with a wider scope. Reporting of information on transactions rather than balances will therefore </w:t>
      </w:r>
      <w:r w:rsidR="6D31525B" w:rsidRPr="008704BD">
        <w:rPr>
          <w:rFonts w:ascii="Times New Roman" w:hAnsi="Times New Roman"/>
          <w:noProof/>
          <w:sz w:val="24"/>
          <w:lang w:val="en-GB"/>
        </w:rPr>
        <w:t>have a stronger deterrent effect and will improve tax collection.</w:t>
      </w:r>
      <w:r w:rsidR="110B0E68" w:rsidRPr="008704BD">
        <w:rPr>
          <w:rFonts w:ascii="Times New Roman" w:hAnsi="Times New Roman"/>
          <w:noProof/>
          <w:sz w:val="24"/>
          <w:lang w:val="en-GB"/>
        </w:rPr>
        <w:t xml:space="preserve"> The increased scope and the transactional reporting will also improve the ability to detect and counter tax</w:t>
      </w:r>
      <w:r w:rsidR="00CD7866" w:rsidRPr="008704BD">
        <w:rPr>
          <w:rFonts w:ascii="Times New Roman" w:hAnsi="Times New Roman"/>
          <w:noProof/>
          <w:sz w:val="24"/>
          <w:lang w:val="en-GB"/>
        </w:rPr>
        <w:t xml:space="preserve"> fraud,</w:t>
      </w:r>
      <w:r w:rsidR="110B0E68" w:rsidRPr="008704BD">
        <w:rPr>
          <w:rFonts w:ascii="Times New Roman" w:hAnsi="Times New Roman"/>
          <w:noProof/>
          <w:sz w:val="24"/>
          <w:lang w:val="en-GB"/>
        </w:rPr>
        <w:t xml:space="preserve"> evasion</w:t>
      </w:r>
      <w:r w:rsidR="00CD7866" w:rsidRPr="008704BD">
        <w:rPr>
          <w:rFonts w:ascii="Times New Roman" w:hAnsi="Times New Roman"/>
          <w:noProof/>
          <w:sz w:val="24"/>
          <w:lang w:val="en-GB"/>
        </w:rPr>
        <w:t xml:space="preserve"> and avoidance</w:t>
      </w:r>
      <w:r w:rsidR="110B0E68" w:rsidRPr="008704BD">
        <w:rPr>
          <w:rFonts w:ascii="Times New Roman" w:hAnsi="Times New Roman"/>
          <w:noProof/>
          <w:sz w:val="24"/>
          <w:lang w:val="en-GB"/>
        </w:rPr>
        <w:t xml:space="preserve"> </w:t>
      </w:r>
      <w:r w:rsidR="0DD0A6A9" w:rsidRPr="008704BD">
        <w:rPr>
          <w:rFonts w:ascii="Times New Roman" w:hAnsi="Times New Roman"/>
          <w:noProof/>
          <w:sz w:val="24"/>
          <w:lang w:val="en-GB"/>
        </w:rPr>
        <w:t xml:space="preserve">as there is more information on a wider scope of taxpayers. In the end, this will contribute to safeguarding tax revenues and </w:t>
      </w:r>
      <w:r w:rsidR="167070E6" w:rsidRPr="008704BD">
        <w:rPr>
          <w:rFonts w:ascii="Times New Roman" w:hAnsi="Times New Roman"/>
          <w:noProof/>
          <w:sz w:val="24"/>
          <w:lang w:val="en-GB"/>
        </w:rPr>
        <w:t>bolster the fairness of the tax system.</w:t>
      </w:r>
    </w:p>
    <w:p w14:paraId="5A619910" w14:textId="77777777" w:rsidR="00CF0E79" w:rsidRPr="008704BD" w:rsidRDefault="683ECAFC" w:rsidP="00FC5A00">
      <w:pPr>
        <w:jc w:val="both"/>
        <w:rPr>
          <w:rFonts w:ascii="Times New Roman" w:hAnsi="Times New Roman"/>
          <w:noProof/>
          <w:sz w:val="24"/>
          <w:lang w:val="en-GB"/>
        </w:rPr>
      </w:pPr>
      <w:r w:rsidRPr="008704BD">
        <w:rPr>
          <w:rFonts w:ascii="Times New Roman" w:hAnsi="Times New Roman"/>
          <w:noProof/>
          <w:sz w:val="24"/>
          <w:lang w:val="en-GB"/>
        </w:rPr>
        <w:t xml:space="preserve">To sum up, all options share certain similarities once contrasted with the baseline scenario. Nevertheless, larger effectiveness and efficiency gains for service providers and tax administrations are obtainable </w:t>
      </w:r>
      <w:r w:rsidR="00200F64">
        <w:rPr>
          <w:rFonts w:ascii="Times New Roman" w:hAnsi="Times New Roman"/>
          <w:noProof/>
          <w:sz w:val="24"/>
          <w:lang w:val="en-GB"/>
        </w:rPr>
        <w:t>under hybrid reporting and with no differentiation in terms of size</w:t>
      </w:r>
      <w:r w:rsidRPr="008704BD">
        <w:rPr>
          <w:rFonts w:ascii="Times New Roman" w:hAnsi="Times New Roman"/>
          <w:noProof/>
          <w:sz w:val="24"/>
          <w:lang w:val="en-GB"/>
        </w:rPr>
        <w:t>.</w:t>
      </w:r>
      <w:r w:rsidR="0D90B428" w:rsidRPr="008704BD">
        <w:rPr>
          <w:rFonts w:ascii="Times New Roman" w:hAnsi="Times New Roman"/>
          <w:noProof/>
          <w:sz w:val="24"/>
          <w:lang w:val="en-GB"/>
        </w:rPr>
        <w:t xml:space="preserve"> </w:t>
      </w:r>
    </w:p>
    <w:p w14:paraId="063D9BE8" w14:textId="3C059EFF" w:rsidR="00AF43B7" w:rsidRDefault="551C5ED3" w:rsidP="00F020C1">
      <w:pPr>
        <w:jc w:val="both"/>
        <w:rPr>
          <w:rFonts w:ascii="Times New Roman" w:eastAsiaTheme="majorEastAsia" w:hAnsi="Times New Roman" w:cs="Times New Roman"/>
          <w:b/>
          <w:noProof/>
          <w:sz w:val="28"/>
          <w:szCs w:val="28"/>
          <w:lang w:val="en-GB"/>
        </w:rPr>
      </w:pPr>
      <w:r w:rsidRPr="008704BD">
        <w:rPr>
          <w:rFonts w:ascii="Times New Roman" w:hAnsi="Times New Roman"/>
          <w:noProof/>
          <w:sz w:val="24"/>
        </w:rPr>
        <w:t xml:space="preserve">The absence of a threshold would mean that SMEs face </w:t>
      </w:r>
      <w:r w:rsidR="00CD7866" w:rsidRPr="008704BD">
        <w:rPr>
          <w:rFonts w:ascii="Times New Roman" w:hAnsi="Times New Roman"/>
          <w:noProof/>
          <w:sz w:val="24"/>
        </w:rPr>
        <w:t xml:space="preserve">an </w:t>
      </w:r>
      <w:r w:rsidRPr="008704BD">
        <w:rPr>
          <w:rFonts w:ascii="Times New Roman" w:hAnsi="Times New Roman"/>
          <w:noProof/>
          <w:sz w:val="24"/>
        </w:rPr>
        <w:t>administrative burden</w:t>
      </w:r>
      <w:r w:rsidR="00292CCD" w:rsidRPr="008704BD">
        <w:rPr>
          <w:rFonts w:ascii="Times New Roman" w:hAnsi="Times New Roman"/>
          <w:noProof/>
          <w:sz w:val="24"/>
        </w:rPr>
        <w:t>,</w:t>
      </w:r>
      <w:r w:rsidRPr="008704BD">
        <w:rPr>
          <w:rFonts w:ascii="Times New Roman" w:hAnsi="Times New Roman"/>
          <w:noProof/>
          <w:sz w:val="24"/>
        </w:rPr>
        <w:t xml:space="preserve"> which is proportionately heavier than for larger CASPs. However, </w:t>
      </w:r>
      <w:r w:rsidR="705650A2" w:rsidRPr="008704BD">
        <w:rPr>
          <w:rFonts w:ascii="Times New Roman" w:hAnsi="Times New Roman"/>
          <w:noProof/>
          <w:sz w:val="24"/>
        </w:rPr>
        <w:t>t</w:t>
      </w:r>
      <w:r w:rsidR="00CF0E79" w:rsidRPr="008704BD">
        <w:rPr>
          <w:rFonts w:ascii="Times New Roman" w:hAnsi="Times New Roman"/>
          <w:noProof/>
          <w:sz w:val="24"/>
        </w:rPr>
        <w:t xml:space="preserve">he fast evolution of the market and the participating entities’ growth pattern mean that CASPs can easily and quickly grow in size. As the market grows fast, they could within a very short time change from being out of scope to being in scope, which would make it difficult for CASPs to collect the necessary data on short notice. </w:t>
      </w:r>
      <w:r w:rsidR="00D629CC" w:rsidRPr="008704BD">
        <w:rPr>
          <w:rFonts w:ascii="Times New Roman" w:hAnsi="Times New Roman"/>
          <w:noProof/>
          <w:sz w:val="24"/>
        </w:rPr>
        <w:t xml:space="preserve">Setting a threshold to leave out of scope CASPs that have a more limited size is therefore not necessarily a better option for SMEs. </w:t>
      </w:r>
      <w:r w:rsidR="00CF0E79" w:rsidRPr="008704BD">
        <w:rPr>
          <w:rFonts w:ascii="Times New Roman" w:hAnsi="Times New Roman"/>
          <w:noProof/>
          <w:sz w:val="24"/>
        </w:rPr>
        <w:t xml:space="preserve">In addition, this threshold could lead to a non-desired fragmentation of the market and imply risks of not detecting transactions that are potentially significant from a tax perspective. </w:t>
      </w:r>
      <w:bookmarkStart w:id="418" w:name="_Toc81582172"/>
      <w:bookmarkStart w:id="419" w:name="_Toc83742031"/>
      <w:bookmarkStart w:id="420" w:name="_Toc83824410"/>
      <w:bookmarkStart w:id="421" w:name="_Toc84338490"/>
      <w:r w:rsidR="00AF43B7">
        <w:rPr>
          <w:rFonts w:ascii="Times New Roman" w:hAnsi="Times New Roman" w:cs="Times New Roman"/>
          <w:noProof/>
          <w:lang w:val="en-GB"/>
        </w:rPr>
        <w:br w:type="page"/>
      </w:r>
    </w:p>
    <w:p w14:paraId="0492BE4B" w14:textId="77777777" w:rsidR="00151FED" w:rsidRPr="006E5F59" w:rsidRDefault="00151FED" w:rsidP="00811206">
      <w:pPr>
        <w:pStyle w:val="Heading1"/>
        <w:rPr>
          <w:rFonts w:ascii="Times New Roman" w:hAnsi="Times New Roman" w:cs="Times New Roman"/>
          <w:noProof/>
          <w:lang w:val="en-GB"/>
        </w:rPr>
      </w:pPr>
      <w:bookmarkStart w:id="422" w:name="_Toc84520054"/>
      <w:bookmarkStart w:id="423" w:name="_Toc84579919"/>
      <w:bookmarkStart w:id="424" w:name="_Toc85052214"/>
      <w:bookmarkStart w:id="425" w:name="_Toc35482224"/>
      <w:bookmarkStart w:id="426" w:name="_Toc326795988"/>
      <w:bookmarkStart w:id="427" w:name="_Toc1385685732"/>
      <w:bookmarkStart w:id="428" w:name="_Toc93306890"/>
      <w:r w:rsidRPr="41BAA3BB">
        <w:rPr>
          <w:rFonts w:ascii="Times New Roman" w:hAnsi="Times New Roman" w:cs="Times New Roman"/>
          <w:noProof/>
          <w:lang w:val="en-GB"/>
        </w:rPr>
        <w:t>8. PREFERRED OPTION</w:t>
      </w:r>
      <w:bookmarkEnd w:id="418"/>
      <w:bookmarkEnd w:id="419"/>
      <w:bookmarkEnd w:id="420"/>
      <w:bookmarkEnd w:id="421"/>
      <w:bookmarkEnd w:id="422"/>
      <w:bookmarkEnd w:id="423"/>
      <w:bookmarkEnd w:id="424"/>
      <w:bookmarkEnd w:id="425"/>
      <w:bookmarkEnd w:id="426"/>
      <w:bookmarkEnd w:id="427"/>
      <w:bookmarkEnd w:id="428"/>
    </w:p>
    <w:p w14:paraId="0C9B00C4" w14:textId="5DABB467" w:rsidR="00151FED" w:rsidRPr="008704BD" w:rsidRDefault="1E33C84C" w:rsidP="6161997B">
      <w:pPr>
        <w:jc w:val="both"/>
        <w:rPr>
          <w:rFonts w:ascii="Times New Roman" w:hAnsi="Times New Roman"/>
          <w:noProof/>
          <w:sz w:val="24"/>
          <w:highlight w:val="yellow"/>
          <w:lang w:val="en-GB"/>
        </w:rPr>
      </w:pPr>
      <w:r w:rsidRPr="008704BD">
        <w:rPr>
          <w:rFonts w:ascii="Times New Roman" w:hAnsi="Times New Roman"/>
          <w:noProof/>
          <w:sz w:val="24"/>
          <w:lang w:val="en-GB"/>
        </w:rPr>
        <w:t xml:space="preserve">The above analysis indicates that </w:t>
      </w:r>
      <w:r w:rsidR="2806657F" w:rsidRPr="008704BD">
        <w:rPr>
          <w:rFonts w:ascii="Times New Roman" w:hAnsi="Times New Roman"/>
          <w:noProof/>
          <w:sz w:val="24"/>
          <w:lang w:val="en-GB"/>
        </w:rPr>
        <w:t xml:space="preserve">Option </w:t>
      </w:r>
      <w:r w:rsidR="00DC3B56">
        <w:rPr>
          <w:rFonts w:ascii="Times New Roman" w:hAnsi="Times New Roman"/>
          <w:noProof/>
          <w:sz w:val="24"/>
          <w:lang w:val="en-GB"/>
        </w:rPr>
        <w:t>5</w:t>
      </w:r>
      <w:r w:rsidR="00391B5F" w:rsidRPr="008704BD">
        <w:rPr>
          <w:rFonts w:ascii="Times New Roman" w:hAnsi="Times New Roman"/>
          <w:noProof/>
          <w:sz w:val="24"/>
          <w:lang w:val="en-GB"/>
        </w:rPr>
        <w:t xml:space="preserve"> </w:t>
      </w:r>
      <w:r w:rsidR="00391B5F">
        <w:rPr>
          <w:rFonts w:ascii="Times New Roman" w:hAnsi="Times New Roman"/>
          <w:noProof/>
          <w:sz w:val="24"/>
          <w:lang w:val="en-GB"/>
        </w:rPr>
        <w:t>hybrid reporting by all CASPs, irrespective of size</w:t>
      </w:r>
      <w:r w:rsidR="00A841F3">
        <w:rPr>
          <w:rFonts w:ascii="Times New Roman" w:hAnsi="Times New Roman"/>
          <w:noProof/>
          <w:sz w:val="24"/>
          <w:lang w:val="en-GB"/>
        </w:rPr>
        <w:t>,</w:t>
      </w:r>
      <w:r w:rsidR="2806657F" w:rsidRPr="008704BD">
        <w:rPr>
          <w:rFonts w:ascii="Times New Roman" w:hAnsi="Times New Roman"/>
          <w:noProof/>
          <w:sz w:val="24"/>
          <w:lang w:val="en-GB"/>
        </w:rPr>
        <w:t xml:space="preserve"> </w:t>
      </w:r>
      <w:r w:rsidRPr="008704BD">
        <w:rPr>
          <w:rFonts w:ascii="Times New Roman" w:hAnsi="Times New Roman"/>
          <w:noProof/>
          <w:sz w:val="24"/>
          <w:lang w:val="en-GB"/>
        </w:rPr>
        <w:t xml:space="preserve">is the most appropriate </w:t>
      </w:r>
      <w:r w:rsidR="0FC7929C" w:rsidRPr="008704BD">
        <w:rPr>
          <w:rFonts w:ascii="Times New Roman" w:hAnsi="Times New Roman"/>
          <w:noProof/>
          <w:sz w:val="24"/>
          <w:lang w:val="en-GB"/>
        </w:rPr>
        <w:t xml:space="preserve">option </w:t>
      </w:r>
      <w:r w:rsidRPr="008704BD">
        <w:rPr>
          <w:rFonts w:ascii="Times New Roman" w:hAnsi="Times New Roman"/>
          <w:noProof/>
          <w:sz w:val="24"/>
          <w:lang w:val="en-GB"/>
        </w:rPr>
        <w:t xml:space="preserve">to meet the objectives of the </w:t>
      </w:r>
      <w:r w:rsidR="4A8B7084" w:rsidRPr="008704BD">
        <w:rPr>
          <w:rFonts w:ascii="Times New Roman" w:hAnsi="Times New Roman"/>
          <w:noProof/>
          <w:sz w:val="24"/>
          <w:lang w:val="en-GB"/>
        </w:rPr>
        <w:t>initiative</w:t>
      </w:r>
      <w:r w:rsidRPr="008704BD">
        <w:rPr>
          <w:rFonts w:ascii="Times New Roman" w:hAnsi="Times New Roman"/>
          <w:noProof/>
          <w:sz w:val="24"/>
          <w:lang w:val="en-GB"/>
        </w:rPr>
        <w:t xml:space="preserve">. The </w:t>
      </w:r>
      <w:r w:rsidRPr="008704BD">
        <w:rPr>
          <w:rFonts w:ascii="Times New Roman" w:hAnsi="Times New Roman"/>
          <w:i/>
          <w:noProof/>
          <w:sz w:val="24"/>
          <w:lang w:val="en-GB"/>
        </w:rPr>
        <w:t>status quo</w:t>
      </w:r>
      <w:r w:rsidRPr="008704BD">
        <w:rPr>
          <w:rFonts w:ascii="Times New Roman" w:hAnsi="Times New Roman"/>
          <w:noProof/>
          <w:sz w:val="24"/>
          <w:lang w:val="en-GB"/>
        </w:rPr>
        <w:t xml:space="preserve"> baseline scenario is the least effective, efficient and coherent. When compared with the baseline scenario, having an EU mandatory common standard would ensure that all EU tax administrati</w:t>
      </w:r>
      <w:r w:rsidR="0F2D26CD" w:rsidRPr="008704BD">
        <w:rPr>
          <w:rFonts w:ascii="Times New Roman" w:hAnsi="Times New Roman"/>
          <w:noProof/>
          <w:sz w:val="24"/>
          <w:lang w:val="en-GB"/>
        </w:rPr>
        <w:t>ons have access to the same</w:t>
      </w:r>
      <w:r w:rsidRPr="008704BD">
        <w:rPr>
          <w:rFonts w:ascii="Times New Roman" w:hAnsi="Times New Roman"/>
          <w:noProof/>
          <w:sz w:val="24"/>
          <w:lang w:val="en-GB"/>
        </w:rPr>
        <w:t xml:space="preserve"> type</w:t>
      </w:r>
      <w:r w:rsidR="0F2D26CD" w:rsidRPr="008704BD">
        <w:rPr>
          <w:rFonts w:ascii="Times New Roman" w:hAnsi="Times New Roman"/>
          <w:noProof/>
          <w:sz w:val="24"/>
          <w:lang w:val="en-GB"/>
        </w:rPr>
        <w:t xml:space="preserve"> of</w:t>
      </w:r>
      <w:r w:rsidR="2A1148C5" w:rsidRPr="008704BD">
        <w:rPr>
          <w:rFonts w:ascii="Times New Roman" w:hAnsi="Times New Roman"/>
          <w:noProof/>
          <w:sz w:val="24"/>
          <w:lang w:val="en-GB"/>
        </w:rPr>
        <w:t xml:space="preserve"> information</w:t>
      </w:r>
      <w:r w:rsidRPr="008704BD">
        <w:rPr>
          <w:rFonts w:ascii="Times New Roman" w:hAnsi="Times New Roman"/>
          <w:noProof/>
          <w:sz w:val="24"/>
          <w:lang w:val="en-GB"/>
        </w:rPr>
        <w:t xml:space="preserve">. In other words, an EU legislative </w:t>
      </w:r>
      <w:r w:rsidR="6CAD10B3" w:rsidRPr="008704BD">
        <w:rPr>
          <w:rFonts w:ascii="Times New Roman" w:hAnsi="Times New Roman"/>
          <w:noProof/>
          <w:sz w:val="24"/>
          <w:lang w:val="en-GB"/>
        </w:rPr>
        <w:t>initiative</w:t>
      </w:r>
      <w:r w:rsidRPr="008704BD">
        <w:rPr>
          <w:rFonts w:ascii="Times New Roman" w:hAnsi="Times New Roman"/>
          <w:noProof/>
          <w:sz w:val="24"/>
          <w:lang w:val="en-GB"/>
        </w:rPr>
        <w:t xml:space="preserve"> would put all tax authorities on an equal footing. A</w:t>
      </w:r>
      <w:r w:rsidRPr="008704BD" w:rsidDel="007B478F">
        <w:rPr>
          <w:rFonts w:ascii="Times New Roman" w:hAnsi="Times New Roman"/>
          <w:noProof/>
          <w:sz w:val="24"/>
          <w:lang w:val="en-GB"/>
        </w:rPr>
        <w:t xml:space="preserve"> </w:t>
      </w:r>
      <w:r w:rsidR="007B478F" w:rsidRPr="008704BD">
        <w:rPr>
          <w:rFonts w:ascii="Times New Roman" w:hAnsi="Times New Roman"/>
          <w:noProof/>
          <w:sz w:val="24"/>
          <w:lang w:val="en-GB"/>
        </w:rPr>
        <w:t xml:space="preserve">legislative </w:t>
      </w:r>
      <w:r w:rsidR="6F0C57C9" w:rsidRPr="008704BD">
        <w:rPr>
          <w:rFonts w:ascii="Times New Roman" w:hAnsi="Times New Roman"/>
          <w:noProof/>
          <w:sz w:val="24"/>
          <w:lang w:val="en-GB"/>
        </w:rPr>
        <w:t>initiative</w:t>
      </w:r>
      <w:r w:rsidRPr="008704BD">
        <w:rPr>
          <w:rFonts w:ascii="Times New Roman" w:hAnsi="Times New Roman"/>
          <w:noProof/>
          <w:sz w:val="24"/>
          <w:lang w:val="en-GB"/>
        </w:rPr>
        <w:t xml:space="preserve"> is also the only one that allows for the automatic exchange of information at the EU level, based on common standards and specifications. </w:t>
      </w:r>
    </w:p>
    <w:p w14:paraId="3179178D" w14:textId="1F34C7DC" w:rsidR="00151FED" w:rsidRPr="008704BD" w:rsidRDefault="1E33C84C" w:rsidP="00151FED">
      <w:pPr>
        <w:jc w:val="both"/>
        <w:rPr>
          <w:rFonts w:ascii="Times New Roman" w:hAnsi="Times New Roman"/>
          <w:noProof/>
          <w:sz w:val="24"/>
          <w:lang w:val="en-GB"/>
        </w:rPr>
      </w:pPr>
      <w:r w:rsidRPr="008704BD">
        <w:rPr>
          <w:rFonts w:ascii="Times New Roman" w:hAnsi="Times New Roman"/>
          <w:noProof/>
          <w:sz w:val="24"/>
          <w:lang w:val="en-GB"/>
        </w:rPr>
        <w:t>The</w:t>
      </w:r>
      <w:r w:rsidR="00484B08" w:rsidRPr="008704BD">
        <w:rPr>
          <w:rFonts w:ascii="Times New Roman" w:hAnsi="Times New Roman"/>
          <w:noProof/>
          <w:sz w:val="24"/>
          <w:lang w:val="en-GB"/>
        </w:rPr>
        <w:t xml:space="preserve"> approach</w:t>
      </w:r>
      <w:r w:rsidR="09FF64B2" w:rsidRPr="008704BD">
        <w:rPr>
          <w:rFonts w:ascii="Times New Roman" w:hAnsi="Times New Roman"/>
          <w:noProof/>
          <w:sz w:val="24"/>
          <w:lang w:val="en-GB"/>
        </w:rPr>
        <w:t xml:space="preserve"> outlined under Option </w:t>
      </w:r>
      <w:r w:rsidR="00DC3B56">
        <w:rPr>
          <w:rFonts w:ascii="Times New Roman" w:hAnsi="Times New Roman"/>
          <w:noProof/>
          <w:sz w:val="24"/>
          <w:lang w:val="en-GB"/>
        </w:rPr>
        <w:t>5</w:t>
      </w:r>
      <w:r w:rsidRPr="008704BD">
        <w:rPr>
          <w:rFonts w:ascii="Times New Roman" w:hAnsi="Times New Roman"/>
          <w:noProof/>
          <w:sz w:val="24"/>
          <w:lang w:val="en-GB"/>
        </w:rPr>
        <w:t>, once implemented, would allow the tax a</w:t>
      </w:r>
      <w:r w:rsidR="0F2D26CD" w:rsidRPr="008704BD">
        <w:rPr>
          <w:rFonts w:ascii="Times New Roman" w:hAnsi="Times New Roman"/>
          <w:noProof/>
          <w:sz w:val="24"/>
          <w:lang w:val="en-GB"/>
        </w:rPr>
        <w:t>uthorities where a crypto-asset</w:t>
      </w:r>
      <w:r w:rsidRPr="008704BD">
        <w:rPr>
          <w:rFonts w:ascii="Times New Roman" w:hAnsi="Times New Roman"/>
          <w:noProof/>
          <w:sz w:val="24"/>
          <w:lang w:val="en-GB"/>
        </w:rPr>
        <w:t xml:space="preserve"> user is a </w:t>
      </w:r>
      <w:r w:rsidR="0F2D26CD" w:rsidRPr="008704BD">
        <w:rPr>
          <w:rFonts w:ascii="Times New Roman" w:hAnsi="Times New Roman"/>
          <w:noProof/>
          <w:sz w:val="24"/>
          <w:lang w:val="en-GB"/>
        </w:rPr>
        <w:t xml:space="preserve">resident to verify that the user has accurately reported </w:t>
      </w:r>
      <w:r w:rsidR="44C848DE" w:rsidRPr="008704BD">
        <w:rPr>
          <w:rFonts w:ascii="Times New Roman" w:hAnsi="Times New Roman"/>
          <w:noProof/>
          <w:sz w:val="24"/>
          <w:lang w:val="en-GB"/>
        </w:rPr>
        <w:t>their</w:t>
      </w:r>
      <w:r w:rsidRPr="008704BD">
        <w:rPr>
          <w:rFonts w:ascii="Times New Roman" w:hAnsi="Times New Roman"/>
          <w:noProof/>
          <w:sz w:val="24"/>
          <w:lang w:val="en-GB"/>
        </w:rPr>
        <w:t xml:space="preserve"> proceed</w:t>
      </w:r>
      <w:r w:rsidR="0F2D26CD" w:rsidRPr="008704BD">
        <w:rPr>
          <w:rFonts w:ascii="Times New Roman" w:hAnsi="Times New Roman"/>
          <w:noProof/>
          <w:sz w:val="24"/>
          <w:lang w:val="en-GB"/>
        </w:rPr>
        <w:t>s obtained through crypto-asset</w:t>
      </w:r>
      <w:r w:rsidRPr="008704BD">
        <w:rPr>
          <w:rFonts w:ascii="Times New Roman" w:hAnsi="Times New Roman"/>
          <w:noProof/>
          <w:sz w:val="24"/>
          <w:lang w:val="en-GB"/>
        </w:rPr>
        <w:t xml:space="preserve"> transactions</w:t>
      </w:r>
      <w:r w:rsidR="727026E9" w:rsidRPr="008704BD">
        <w:rPr>
          <w:rFonts w:ascii="Times New Roman" w:hAnsi="Times New Roman"/>
          <w:noProof/>
          <w:sz w:val="24"/>
          <w:lang w:val="en-GB"/>
        </w:rPr>
        <w:t>.</w:t>
      </w:r>
      <w:r w:rsidRPr="008704BD">
        <w:rPr>
          <w:rFonts w:ascii="Times New Roman" w:hAnsi="Times New Roman"/>
          <w:noProof/>
          <w:sz w:val="24"/>
          <w:lang w:val="en-GB"/>
        </w:rPr>
        <w:t xml:space="preserve"> Besides, it would positively influence sector competitiveness because it would </w:t>
      </w:r>
      <w:r w:rsidR="340755F5" w:rsidRPr="008704BD">
        <w:rPr>
          <w:rFonts w:ascii="Times New Roman" w:hAnsi="Times New Roman"/>
          <w:noProof/>
          <w:sz w:val="24"/>
          <w:lang w:val="en-GB"/>
        </w:rPr>
        <w:t xml:space="preserve">level the playing field between actors </w:t>
      </w:r>
      <w:r w:rsidR="6CF236BC" w:rsidRPr="008704BD">
        <w:rPr>
          <w:rFonts w:ascii="Times New Roman" w:hAnsi="Times New Roman"/>
          <w:noProof/>
          <w:sz w:val="24"/>
          <w:lang w:val="en-GB"/>
        </w:rPr>
        <w:t xml:space="preserve">of the </w:t>
      </w:r>
      <w:r w:rsidR="340755F5" w:rsidRPr="008704BD">
        <w:rPr>
          <w:rFonts w:ascii="Times New Roman" w:hAnsi="Times New Roman"/>
          <w:noProof/>
          <w:sz w:val="24"/>
          <w:lang w:val="en-GB"/>
        </w:rPr>
        <w:t xml:space="preserve">traditional financial </w:t>
      </w:r>
      <w:r w:rsidR="6CF236BC" w:rsidRPr="008704BD">
        <w:rPr>
          <w:rFonts w:ascii="Times New Roman" w:hAnsi="Times New Roman"/>
          <w:noProof/>
          <w:sz w:val="24"/>
          <w:lang w:val="en-GB"/>
        </w:rPr>
        <w:t>sector</w:t>
      </w:r>
      <w:r w:rsidR="340755F5" w:rsidRPr="008704BD">
        <w:rPr>
          <w:rFonts w:ascii="Times New Roman" w:hAnsi="Times New Roman"/>
          <w:noProof/>
          <w:sz w:val="24"/>
          <w:lang w:val="en-GB"/>
        </w:rPr>
        <w:t xml:space="preserve"> and crypto</w:t>
      </w:r>
      <w:r w:rsidR="0DFC0281" w:rsidRPr="008704BD">
        <w:rPr>
          <w:rFonts w:ascii="Times New Roman" w:hAnsi="Times New Roman"/>
          <w:noProof/>
          <w:sz w:val="24"/>
          <w:lang w:val="en-GB"/>
        </w:rPr>
        <w:t>-</w:t>
      </w:r>
      <w:r w:rsidR="340755F5" w:rsidRPr="008704BD">
        <w:rPr>
          <w:rFonts w:ascii="Times New Roman" w:hAnsi="Times New Roman"/>
          <w:noProof/>
          <w:sz w:val="24"/>
          <w:lang w:val="en-GB"/>
        </w:rPr>
        <w:t xml:space="preserve">assets, as well as </w:t>
      </w:r>
      <w:r w:rsidRPr="008704BD">
        <w:rPr>
          <w:rFonts w:ascii="Times New Roman" w:hAnsi="Times New Roman"/>
          <w:noProof/>
          <w:sz w:val="24"/>
          <w:lang w:val="en-GB"/>
        </w:rPr>
        <w:t>bring a higher degree of tax fairness, increasing trust in all sector players.</w:t>
      </w:r>
    </w:p>
    <w:p w14:paraId="0D89467B" w14:textId="77777777" w:rsidR="003C5540" w:rsidRPr="008704BD" w:rsidRDefault="00151FED" w:rsidP="00151FED">
      <w:pPr>
        <w:jc w:val="both"/>
        <w:rPr>
          <w:rFonts w:ascii="Times New Roman" w:hAnsi="Times New Roman"/>
          <w:noProof/>
          <w:sz w:val="24"/>
          <w:lang w:val="en-GB"/>
        </w:rPr>
      </w:pPr>
      <w:r w:rsidRPr="008704BD">
        <w:rPr>
          <w:rFonts w:ascii="Times New Roman" w:hAnsi="Times New Roman"/>
          <w:noProof/>
          <w:sz w:val="24"/>
          <w:lang w:val="en-GB"/>
        </w:rPr>
        <w:t xml:space="preserve">This proposal would design a legal framework to </w:t>
      </w:r>
      <w:r w:rsidR="00AD75C1" w:rsidRPr="008704BD">
        <w:rPr>
          <w:rFonts w:ascii="Times New Roman" w:hAnsi="Times New Roman"/>
          <w:noProof/>
          <w:sz w:val="24"/>
          <w:lang w:val="en-GB"/>
        </w:rPr>
        <w:t xml:space="preserve">report and </w:t>
      </w:r>
      <w:r w:rsidRPr="008704BD">
        <w:rPr>
          <w:rFonts w:ascii="Times New Roman" w:hAnsi="Times New Roman"/>
          <w:noProof/>
          <w:sz w:val="24"/>
          <w:lang w:val="en-GB"/>
        </w:rPr>
        <w:t xml:space="preserve">exchange tax-related information efficiently, effectively, and securely. </w:t>
      </w:r>
    </w:p>
    <w:p w14:paraId="1C2819A9" w14:textId="77777777" w:rsidR="0052179F" w:rsidRDefault="00AA7799" w:rsidP="00151FED">
      <w:pPr>
        <w:jc w:val="both"/>
        <w:rPr>
          <w:rFonts w:ascii="Times New Roman" w:hAnsi="Times New Roman"/>
          <w:noProof/>
          <w:sz w:val="24"/>
          <w:lang w:val="en-GB"/>
        </w:rPr>
      </w:pPr>
      <w:r w:rsidRPr="008704BD">
        <w:rPr>
          <w:rFonts w:ascii="Times New Roman" w:hAnsi="Times New Roman"/>
          <w:noProof/>
          <w:sz w:val="24"/>
          <w:lang w:val="en-GB"/>
        </w:rPr>
        <w:t xml:space="preserve">All CASPs regardless of their size and location need to collect and report information on their customers that are resident in the EU. </w:t>
      </w:r>
      <w:r w:rsidR="0052179F" w:rsidRPr="008704BD">
        <w:rPr>
          <w:rFonts w:ascii="Times New Roman" w:hAnsi="Times New Roman"/>
          <w:noProof/>
          <w:sz w:val="24"/>
          <w:lang w:val="en-GB"/>
        </w:rPr>
        <w:t xml:space="preserve">This would ensure a level playing </w:t>
      </w:r>
      <w:r w:rsidR="0052179F">
        <w:rPr>
          <w:rFonts w:ascii="Times New Roman" w:hAnsi="Times New Roman"/>
          <w:noProof/>
          <w:sz w:val="24"/>
          <w:lang w:val="en-GB"/>
        </w:rPr>
        <w:t xml:space="preserve">field </w:t>
      </w:r>
      <w:r w:rsidR="0052179F" w:rsidRPr="008704BD">
        <w:rPr>
          <w:rFonts w:ascii="Times New Roman" w:hAnsi="Times New Roman"/>
          <w:noProof/>
          <w:sz w:val="24"/>
          <w:lang w:val="en-GB"/>
        </w:rPr>
        <w:t xml:space="preserve">in the Internal Market. </w:t>
      </w:r>
      <w:r w:rsidR="0052179F">
        <w:rPr>
          <w:rFonts w:ascii="Times New Roman" w:hAnsi="Times New Roman"/>
          <w:noProof/>
          <w:sz w:val="24"/>
          <w:lang w:val="en-GB"/>
        </w:rPr>
        <w:t xml:space="preserve">Moreover </w:t>
      </w:r>
      <w:r w:rsidR="0052179F" w:rsidRPr="008704BD">
        <w:rPr>
          <w:rFonts w:ascii="Times New Roman" w:hAnsi="Times New Roman"/>
          <w:noProof/>
          <w:sz w:val="24"/>
          <w:lang w:val="en-GB"/>
        </w:rPr>
        <w:t xml:space="preserve">all CASPs offering their services to EU resident users would have to be registered in the EU in accordance with the proposed Regulation on MiCA. </w:t>
      </w:r>
    </w:p>
    <w:p w14:paraId="66619062" w14:textId="581441AB" w:rsidR="00151FED" w:rsidRPr="008704BD" w:rsidRDefault="00A93BC0" w:rsidP="00151FED">
      <w:pPr>
        <w:jc w:val="both"/>
        <w:rPr>
          <w:rFonts w:ascii="Times New Roman" w:hAnsi="Times New Roman"/>
          <w:noProof/>
          <w:sz w:val="24"/>
          <w:lang w:val="en-GB"/>
        </w:rPr>
      </w:pPr>
      <w:r w:rsidRPr="008704BD">
        <w:rPr>
          <w:rFonts w:ascii="Times New Roman" w:hAnsi="Times New Roman"/>
          <w:noProof/>
          <w:sz w:val="24"/>
          <w:lang w:val="en-GB"/>
        </w:rPr>
        <w:t xml:space="preserve">This initiative would not set a threshold for reporting obligations to apply, which would reduce the risk of creating loopholes and contribute to creating a level playing field in the global crypto-asset market. </w:t>
      </w:r>
      <w:r w:rsidR="007B478F" w:rsidRPr="008704BD">
        <w:rPr>
          <w:rFonts w:ascii="Times New Roman" w:hAnsi="Times New Roman"/>
          <w:noProof/>
          <w:sz w:val="24"/>
          <w:lang w:val="en-GB"/>
        </w:rPr>
        <w:t>C</w:t>
      </w:r>
      <w:r w:rsidR="1E33C84C" w:rsidRPr="008704BD">
        <w:rPr>
          <w:rFonts w:ascii="Times New Roman" w:hAnsi="Times New Roman"/>
          <w:noProof/>
          <w:sz w:val="24"/>
          <w:lang w:val="en-GB"/>
        </w:rPr>
        <w:t xml:space="preserve">ASPs </w:t>
      </w:r>
      <w:r w:rsidR="00BB6395" w:rsidRPr="008704BD">
        <w:rPr>
          <w:rFonts w:ascii="Times New Roman" w:hAnsi="Times New Roman"/>
          <w:noProof/>
          <w:sz w:val="24"/>
          <w:lang w:val="en-GB"/>
        </w:rPr>
        <w:t xml:space="preserve">already </w:t>
      </w:r>
      <w:r w:rsidR="1E33C84C" w:rsidRPr="008704BD">
        <w:rPr>
          <w:rFonts w:ascii="Times New Roman" w:hAnsi="Times New Roman"/>
          <w:noProof/>
          <w:sz w:val="24"/>
          <w:lang w:val="en-GB"/>
        </w:rPr>
        <w:t>need to gather information</w:t>
      </w:r>
      <w:r w:rsidR="5CE0C18C" w:rsidRPr="008704BD">
        <w:rPr>
          <w:rFonts w:ascii="Times New Roman" w:hAnsi="Times New Roman"/>
          <w:noProof/>
          <w:sz w:val="24"/>
          <w:lang w:val="en-GB"/>
        </w:rPr>
        <w:t xml:space="preserve"> for AML/KYC purposes</w:t>
      </w:r>
      <w:r w:rsidR="727026E9" w:rsidRPr="008704BD">
        <w:rPr>
          <w:rFonts w:ascii="Times New Roman" w:hAnsi="Times New Roman"/>
          <w:noProof/>
          <w:sz w:val="24"/>
          <w:lang w:val="en-GB"/>
        </w:rPr>
        <w:t xml:space="preserve"> </w:t>
      </w:r>
      <w:r w:rsidR="1D2F2A57" w:rsidRPr="008704BD">
        <w:rPr>
          <w:rFonts w:ascii="Times New Roman" w:hAnsi="Times New Roman"/>
          <w:noProof/>
          <w:sz w:val="24"/>
          <w:lang w:val="en-GB"/>
        </w:rPr>
        <w:t>hence</w:t>
      </w:r>
      <w:r w:rsidR="1E33C84C" w:rsidRPr="008704BD">
        <w:rPr>
          <w:rFonts w:ascii="Times New Roman" w:hAnsi="Times New Roman"/>
          <w:noProof/>
          <w:sz w:val="24"/>
          <w:lang w:val="en-GB"/>
        </w:rPr>
        <w:t xml:space="preserve"> they are already obliged to identify their customers. </w:t>
      </w:r>
      <w:r w:rsidR="6A82FCCB" w:rsidRPr="008704BD">
        <w:rPr>
          <w:rFonts w:ascii="Times New Roman" w:hAnsi="Times New Roman"/>
          <w:noProof/>
          <w:sz w:val="24"/>
          <w:lang w:val="en-GB"/>
        </w:rPr>
        <w:t>The administrative burden linked to data collection would therefore remain limited for service providers</w:t>
      </w:r>
      <w:r w:rsidR="6D57C5A2" w:rsidRPr="008704BD">
        <w:rPr>
          <w:rFonts w:ascii="Times New Roman" w:hAnsi="Times New Roman"/>
          <w:noProof/>
          <w:sz w:val="24"/>
          <w:lang w:val="en-GB"/>
        </w:rPr>
        <w:t xml:space="preserve">. </w:t>
      </w:r>
    </w:p>
    <w:p w14:paraId="47ECE62E" w14:textId="1DD30F07" w:rsidR="00AA7799" w:rsidRPr="008704BD" w:rsidRDefault="1E33C84C" w:rsidP="02355236">
      <w:pPr>
        <w:jc w:val="both"/>
        <w:rPr>
          <w:rFonts w:ascii="Times New Roman" w:hAnsi="Times New Roman"/>
          <w:noProof/>
          <w:sz w:val="24"/>
          <w:szCs w:val="24"/>
          <w:lang w:val="en-GB"/>
        </w:rPr>
      </w:pPr>
      <w:r w:rsidRPr="02355236">
        <w:rPr>
          <w:rFonts w:ascii="Times New Roman" w:hAnsi="Times New Roman"/>
          <w:noProof/>
          <w:sz w:val="24"/>
          <w:szCs w:val="24"/>
          <w:lang w:val="en-GB"/>
        </w:rPr>
        <w:t xml:space="preserve">Concerning the scope </w:t>
      </w:r>
      <w:r w:rsidR="00AA7799" w:rsidRPr="02355236">
        <w:rPr>
          <w:rFonts w:ascii="Times New Roman" w:hAnsi="Times New Roman"/>
          <w:noProof/>
          <w:sz w:val="24"/>
          <w:szCs w:val="24"/>
          <w:lang w:val="en-GB"/>
        </w:rPr>
        <w:t>in terms of</w:t>
      </w:r>
      <w:r w:rsidR="5CD36E6E" w:rsidRPr="02355236">
        <w:rPr>
          <w:rFonts w:ascii="Times New Roman" w:hAnsi="Times New Roman"/>
          <w:noProof/>
          <w:sz w:val="24"/>
          <w:szCs w:val="24"/>
          <w:lang w:val="en-GB"/>
        </w:rPr>
        <w:t xml:space="preserve"> crypto</w:t>
      </w:r>
      <w:r w:rsidR="290D0420" w:rsidRPr="02355236">
        <w:rPr>
          <w:rFonts w:ascii="Times New Roman" w:hAnsi="Times New Roman"/>
          <w:noProof/>
          <w:sz w:val="24"/>
          <w:szCs w:val="24"/>
          <w:lang w:val="en-GB"/>
        </w:rPr>
        <w:t>-</w:t>
      </w:r>
      <w:r w:rsidR="5CD36E6E" w:rsidRPr="02355236">
        <w:rPr>
          <w:rFonts w:ascii="Times New Roman" w:hAnsi="Times New Roman"/>
          <w:noProof/>
          <w:sz w:val="24"/>
          <w:szCs w:val="24"/>
          <w:lang w:val="en-GB"/>
        </w:rPr>
        <w:t>assets</w:t>
      </w:r>
      <w:r w:rsidRPr="02355236">
        <w:rPr>
          <w:rFonts w:ascii="Times New Roman" w:hAnsi="Times New Roman"/>
          <w:noProof/>
          <w:sz w:val="24"/>
          <w:szCs w:val="24"/>
          <w:lang w:val="en-GB"/>
        </w:rPr>
        <w:t xml:space="preserve">, the preferred option </w:t>
      </w:r>
      <w:r w:rsidR="0FC7929C" w:rsidRPr="02355236">
        <w:rPr>
          <w:rFonts w:ascii="Times New Roman" w:hAnsi="Times New Roman"/>
          <w:noProof/>
          <w:sz w:val="24"/>
          <w:szCs w:val="24"/>
          <w:lang w:val="en-GB"/>
        </w:rPr>
        <w:t>w</w:t>
      </w:r>
      <w:r w:rsidR="69CD445E" w:rsidRPr="02355236">
        <w:rPr>
          <w:rFonts w:ascii="Times New Roman" w:hAnsi="Times New Roman"/>
          <w:noProof/>
          <w:sz w:val="24"/>
          <w:szCs w:val="24"/>
          <w:lang w:val="en-GB"/>
        </w:rPr>
        <w:t>ould</w:t>
      </w:r>
      <w:r w:rsidRPr="02355236">
        <w:rPr>
          <w:rFonts w:ascii="Times New Roman" w:hAnsi="Times New Roman"/>
          <w:noProof/>
          <w:sz w:val="24"/>
          <w:szCs w:val="24"/>
          <w:lang w:val="en-GB"/>
        </w:rPr>
        <w:t xml:space="preserve"> </w:t>
      </w:r>
      <w:r w:rsidR="484166A7" w:rsidRPr="02355236">
        <w:rPr>
          <w:rFonts w:ascii="Times New Roman" w:hAnsi="Times New Roman"/>
          <w:noProof/>
          <w:sz w:val="24"/>
          <w:szCs w:val="24"/>
          <w:lang w:val="en-GB"/>
        </w:rPr>
        <w:t>aim at</w:t>
      </w:r>
      <w:r w:rsidRPr="02355236">
        <w:rPr>
          <w:rFonts w:ascii="Times New Roman" w:hAnsi="Times New Roman"/>
          <w:noProof/>
          <w:sz w:val="24"/>
          <w:szCs w:val="24"/>
          <w:lang w:val="en-GB"/>
        </w:rPr>
        <w:t xml:space="preserve"> set</w:t>
      </w:r>
      <w:r w:rsidR="484166A7" w:rsidRPr="02355236">
        <w:rPr>
          <w:rFonts w:ascii="Times New Roman" w:hAnsi="Times New Roman"/>
          <w:noProof/>
          <w:sz w:val="24"/>
          <w:szCs w:val="24"/>
          <w:lang w:val="en-GB"/>
        </w:rPr>
        <w:t>ting</w:t>
      </w:r>
      <w:r w:rsidRPr="02355236">
        <w:rPr>
          <w:rFonts w:ascii="Times New Roman" w:hAnsi="Times New Roman"/>
          <w:noProof/>
          <w:sz w:val="24"/>
          <w:szCs w:val="24"/>
          <w:lang w:val="en-GB"/>
        </w:rPr>
        <w:t xml:space="preserve"> rules for the exchange of information concerning marketable crypto-assets</w:t>
      </w:r>
      <w:r w:rsidR="222A4032" w:rsidRPr="02355236">
        <w:rPr>
          <w:rFonts w:ascii="Times New Roman" w:hAnsi="Times New Roman"/>
          <w:noProof/>
          <w:sz w:val="24"/>
          <w:szCs w:val="24"/>
          <w:lang w:val="en-GB"/>
        </w:rPr>
        <w:t xml:space="preserve">. </w:t>
      </w:r>
    </w:p>
    <w:p w14:paraId="66473FBC" w14:textId="689CC0FB" w:rsidR="008D6889" w:rsidRPr="008704BD" w:rsidRDefault="00AA7799" w:rsidP="017DE087">
      <w:pPr>
        <w:jc w:val="both"/>
        <w:rPr>
          <w:rFonts w:ascii="Times New Roman" w:hAnsi="Times New Roman"/>
          <w:noProof/>
          <w:sz w:val="24"/>
          <w:szCs w:val="24"/>
          <w:lang w:val="en-GB"/>
        </w:rPr>
      </w:pPr>
      <w:r w:rsidRPr="017DE087">
        <w:rPr>
          <w:rFonts w:ascii="Times New Roman" w:hAnsi="Times New Roman"/>
          <w:noProof/>
          <w:sz w:val="24"/>
          <w:szCs w:val="24"/>
          <w:lang w:val="en-GB"/>
        </w:rPr>
        <w:t>Concerning the transmission and reporting of information for crypto-assets, the preferred option would be a middle-ground between aggregate reporting and transaction-by-transaction reporting.</w:t>
      </w:r>
      <w:r w:rsidR="7BAC51EB" w:rsidRPr="017DE087">
        <w:rPr>
          <w:rFonts w:ascii="Times New Roman" w:hAnsi="Times New Roman"/>
          <w:noProof/>
          <w:sz w:val="24"/>
          <w:szCs w:val="24"/>
          <w:lang w:val="en-GB"/>
        </w:rPr>
        <w:t xml:space="preserve"> </w:t>
      </w:r>
      <w:r w:rsidRPr="017DE087">
        <w:rPr>
          <w:rFonts w:ascii="Times New Roman" w:hAnsi="Times New Roman"/>
          <w:noProof/>
          <w:sz w:val="24"/>
          <w:szCs w:val="24"/>
          <w:lang w:val="en-GB"/>
        </w:rPr>
        <w:t>Some additional data such as number of transactions or any commissions or fees, would be collected as well in order to enable a faster, more accurate and effective tax assessment by tax authorities. This system would allow tax administrations to enhance the usability of the data and increase the efficiency of implementing risk analysis for tax purposes. For two types of crypto-assets,</w:t>
      </w:r>
      <w:r w:rsidR="6217770D" w:rsidRPr="017DE087">
        <w:rPr>
          <w:rFonts w:ascii="Times New Roman" w:hAnsi="Times New Roman"/>
          <w:noProof/>
          <w:sz w:val="24"/>
          <w:szCs w:val="24"/>
          <w:lang w:val="en-GB"/>
        </w:rPr>
        <w:t xml:space="preserve"> CBDCs and e-money t</w:t>
      </w:r>
      <w:r w:rsidR="35911720" w:rsidRPr="017DE087">
        <w:rPr>
          <w:rFonts w:ascii="Times New Roman" w:hAnsi="Times New Roman"/>
          <w:noProof/>
          <w:sz w:val="24"/>
          <w:szCs w:val="24"/>
          <w:lang w:val="en-GB"/>
        </w:rPr>
        <w:t>okens</w:t>
      </w:r>
      <w:r w:rsidRPr="017DE087">
        <w:rPr>
          <w:rFonts w:ascii="Times New Roman" w:hAnsi="Times New Roman"/>
          <w:noProof/>
          <w:sz w:val="24"/>
          <w:szCs w:val="24"/>
          <w:lang w:val="en-GB"/>
        </w:rPr>
        <w:t xml:space="preserve"> </w:t>
      </w:r>
      <w:r w:rsidR="1E33C84C" w:rsidRPr="017DE087">
        <w:rPr>
          <w:rFonts w:ascii="Times New Roman" w:hAnsi="Times New Roman"/>
          <w:noProof/>
          <w:sz w:val="24"/>
          <w:szCs w:val="24"/>
          <w:lang w:val="en-GB"/>
        </w:rPr>
        <w:t>CASPs w</w:t>
      </w:r>
      <w:r w:rsidR="0FC7929C" w:rsidRPr="017DE087">
        <w:rPr>
          <w:rFonts w:ascii="Times New Roman" w:hAnsi="Times New Roman"/>
          <w:noProof/>
          <w:sz w:val="24"/>
          <w:szCs w:val="24"/>
          <w:lang w:val="en-GB"/>
        </w:rPr>
        <w:t>ould</w:t>
      </w:r>
      <w:r w:rsidR="1E33C84C" w:rsidRPr="017DE087">
        <w:rPr>
          <w:rFonts w:ascii="Times New Roman" w:hAnsi="Times New Roman"/>
          <w:noProof/>
          <w:sz w:val="24"/>
          <w:szCs w:val="24"/>
          <w:lang w:val="en-GB"/>
        </w:rPr>
        <w:t xml:space="preserve"> exchange </w:t>
      </w:r>
      <w:r w:rsidR="2A1148C5" w:rsidRPr="017DE087">
        <w:rPr>
          <w:rFonts w:ascii="Times New Roman" w:hAnsi="Times New Roman"/>
          <w:noProof/>
          <w:sz w:val="24"/>
          <w:szCs w:val="24"/>
          <w:lang w:val="en-GB"/>
        </w:rPr>
        <w:t xml:space="preserve">information on </w:t>
      </w:r>
      <w:r w:rsidR="36F07594" w:rsidRPr="017DE087">
        <w:rPr>
          <w:rFonts w:ascii="Times New Roman" w:hAnsi="Times New Roman"/>
          <w:noProof/>
          <w:sz w:val="24"/>
          <w:szCs w:val="24"/>
          <w:lang w:val="en-GB"/>
        </w:rPr>
        <w:t xml:space="preserve">balances and not </w:t>
      </w:r>
      <w:r w:rsidR="4E73E6EF" w:rsidRPr="017DE087">
        <w:rPr>
          <w:rFonts w:ascii="Times New Roman" w:hAnsi="Times New Roman"/>
          <w:noProof/>
          <w:sz w:val="24"/>
          <w:szCs w:val="24"/>
          <w:lang w:val="en-GB"/>
        </w:rPr>
        <w:t xml:space="preserve">on </w:t>
      </w:r>
      <w:r w:rsidR="36F07594" w:rsidRPr="017DE087">
        <w:rPr>
          <w:rFonts w:ascii="Times New Roman" w:hAnsi="Times New Roman"/>
          <w:noProof/>
          <w:sz w:val="24"/>
          <w:szCs w:val="24"/>
          <w:lang w:val="en-GB"/>
        </w:rPr>
        <w:t>transactions</w:t>
      </w:r>
      <w:r w:rsidR="4E73E6EF" w:rsidRPr="017DE087">
        <w:rPr>
          <w:rFonts w:ascii="Times New Roman" w:hAnsi="Times New Roman"/>
          <w:noProof/>
          <w:sz w:val="24"/>
          <w:szCs w:val="24"/>
          <w:lang w:val="en-GB"/>
        </w:rPr>
        <w:t>,</w:t>
      </w:r>
      <w:r w:rsidR="36F07594" w:rsidRPr="017DE087">
        <w:rPr>
          <w:rFonts w:ascii="Times New Roman" w:hAnsi="Times New Roman"/>
          <w:noProof/>
          <w:sz w:val="24"/>
          <w:szCs w:val="24"/>
          <w:lang w:val="en-GB"/>
        </w:rPr>
        <w:t xml:space="preserve"> </w:t>
      </w:r>
      <w:r w:rsidR="4F688565" w:rsidRPr="017DE087">
        <w:rPr>
          <w:rFonts w:ascii="Times New Roman" w:hAnsi="Times New Roman"/>
          <w:noProof/>
          <w:sz w:val="24"/>
          <w:szCs w:val="24"/>
          <w:lang w:val="en-GB"/>
        </w:rPr>
        <w:t>under similar conditions to those that apply to financial assets.</w:t>
      </w:r>
      <w:r w:rsidR="222A4032" w:rsidRPr="017DE087">
        <w:rPr>
          <w:rFonts w:ascii="Times New Roman" w:hAnsi="Times New Roman"/>
          <w:noProof/>
          <w:sz w:val="24"/>
          <w:szCs w:val="24"/>
          <w:lang w:val="en-GB"/>
        </w:rPr>
        <w:t xml:space="preserve"> </w:t>
      </w:r>
      <w:r w:rsidR="003768F3" w:rsidRPr="017DE087">
        <w:rPr>
          <w:rFonts w:ascii="Times New Roman" w:hAnsi="Times New Roman"/>
          <w:noProof/>
          <w:sz w:val="24"/>
          <w:szCs w:val="24"/>
          <w:lang w:val="en-GB"/>
        </w:rPr>
        <w:t xml:space="preserve">The IT solution that would best facilitate reporting and exchange of information with the best available balance between </w:t>
      </w:r>
      <w:r w:rsidR="003768F3" w:rsidRPr="009E2CE3">
        <w:rPr>
          <w:rFonts w:ascii="Times New Roman" w:hAnsi="Times New Roman"/>
          <w:noProof/>
          <w:sz w:val="24"/>
          <w:szCs w:val="24"/>
          <w:lang w:val="en-GB"/>
        </w:rPr>
        <w:t>costs</w:t>
      </w:r>
      <w:r w:rsidR="003016F3">
        <w:rPr>
          <w:rFonts w:ascii="Times New Roman" w:hAnsi="Times New Roman"/>
          <w:noProof/>
          <w:sz w:val="24"/>
          <w:szCs w:val="24"/>
          <w:lang w:val="en-GB"/>
        </w:rPr>
        <w:t xml:space="preserve"> and </w:t>
      </w:r>
      <w:r w:rsidR="003768F3" w:rsidRPr="017DE087">
        <w:rPr>
          <w:rFonts w:ascii="Times New Roman" w:hAnsi="Times New Roman"/>
          <w:noProof/>
          <w:sz w:val="24"/>
          <w:szCs w:val="24"/>
          <w:lang w:val="en-GB"/>
        </w:rPr>
        <w:t xml:space="preserve">usability benefits for all parties involved – CASPs, the Member States and </w:t>
      </w:r>
      <w:r w:rsidR="00BB791A" w:rsidRPr="017DE087">
        <w:rPr>
          <w:rFonts w:ascii="Times New Roman" w:hAnsi="Times New Roman"/>
          <w:noProof/>
          <w:sz w:val="24"/>
          <w:szCs w:val="24"/>
          <w:lang w:val="en-GB"/>
        </w:rPr>
        <w:t xml:space="preserve">the </w:t>
      </w:r>
      <w:r w:rsidR="003768F3" w:rsidRPr="017DE087">
        <w:rPr>
          <w:rFonts w:ascii="Times New Roman" w:hAnsi="Times New Roman"/>
          <w:noProof/>
          <w:sz w:val="24"/>
          <w:szCs w:val="24"/>
          <w:lang w:val="en-GB"/>
        </w:rPr>
        <w:t>Commission – is the one of Central Directory</w:t>
      </w:r>
      <w:r w:rsidR="006B10B6" w:rsidRPr="017DE087">
        <w:rPr>
          <w:rFonts w:ascii="Times New Roman" w:hAnsi="Times New Roman"/>
          <w:noProof/>
          <w:sz w:val="24"/>
          <w:szCs w:val="24"/>
          <w:lang w:val="en-GB"/>
        </w:rPr>
        <w:t xml:space="preserve"> (</w:t>
      </w:r>
      <w:r w:rsidR="00E2096B" w:rsidRPr="017DE087">
        <w:rPr>
          <w:rFonts w:ascii="Times New Roman" w:hAnsi="Times New Roman"/>
          <w:noProof/>
          <w:sz w:val="24"/>
          <w:szCs w:val="24"/>
          <w:lang w:val="en-GB"/>
        </w:rPr>
        <w:t>already</w:t>
      </w:r>
      <w:r w:rsidR="006B10B6" w:rsidRPr="017DE087">
        <w:rPr>
          <w:rFonts w:ascii="Times New Roman" w:hAnsi="Times New Roman"/>
          <w:noProof/>
          <w:sz w:val="24"/>
          <w:szCs w:val="24"/>
          <w:lang w:val="en-GB"/>
        </w:rPr>
        <w:t xml:space="preserve"> used for </w:t>
      </w:r>
      <w:r w:rsidR="00E2096B" w:rsidRPr="017DE087">
        <w:rPr>
          <w:rFonts w:ascii="Times New Roman" w:hAnsi="Times New Roman"/>
          <w:noProof/>
          <w:sz w:val="24"/>
          <w:szCs w:val="24"/>
          <w:lang w:val="en-GB"/>
        </w:rPr>
        <w:t xml:space="preserve">exchanges under </w:t>
      </w:r>
      <w:r w:rsidR="006B10B6" w:rsidRPr="017DE087">
        <w:rPr>
          <w:rFonts w:ascii="Times New Roman" w:hAnsi="Times New Roman"/>
          <w:noProof/>
          <w:sz w:val="24"/>
          <w:szCs w:val="24"/>
          <w:lang w:val="en-GB"/>
        </w:rPr>
        <w:t>DAC</w:t>
      </w:r>
      <w:r w:rsidR="00E2096B" w:rsidRPr="017DE087">
        <w:rPr>
          <w:rFonts w:ascii="Times New Roman" w:hAnsi="Times New Roman"/>
          <w:noProof/>
          <w:sz w:val="24"/>
          <w:szCs w:val="24"/>
          <w:lang w:val="en-GB"/>
        </w:rPr>
        <w:t>3 and DAC6</w:t>
      </w:r>
      <w:r w:rsidR="006B10B6" w:rsidRPr="017DE087">
        <w:rPr>
          <w:rFonts w:ascii="Times New Roman" w:hAnsi="Times New Roman"/>
          <w:noProof/>
          <w:sz w:val="24"/>
          <w:szCs w:val="24"/>
          <w:lang w:val="en-GB"/>
        </w:rPr>
        <w:t>)</w:t>
      </w:r>
      <w:r w:rsidR="003768F3" w:rsidRPr="017DE087">
        <w:rPr>
          <w:rFonts w:ascii="Times New Roman" w:hAnsi="Times New Roman"/>
          <w:noProof/>
          <w:sz w:val="24"/>
          <w:szCs w:val="24"/>
          <w:lang w:val="en-GB"/>
        </w:rPr>
        <w:t>.</w:t>
      </w:r>
    </w:p>
    <w:p w14:paraId="56650502" w14:textId="413789CA" w:rsidR="00C07FED" w:rsidRDefault="00C07FED" w:rsidP="00151FED">
      <w:pPr>
        <w:jc w:val="both"/>
        <w:rPr>
          <w:rFonts w:ascii="Times New Roman" w:hAnsi="Times New Roman"/>
          <w:noProof/>
          <w:sz w:val="24"/>
          <w:lang w:val="en-GB"/>
        </w:rPr>
      </w:pPr>
      <w:r w:rsidRPr="008704BD">
        <w:rPr>
          <w:rFonts w:ascii="Times New Roman" w:hAnsi="Times New Roman"/>
          <w:noProof/>
          <w:sz w:val="24"/>
          <w:lang w:val="en-GB"/>
        </w:rPr>
        <w:t xml:space="preserve">The preferred option would be proportionate and would not go beyond what is needed to achieve the goals. </w:t>
      </w:r>
      <w:r w:rsidR="006B5745" w:rsidRPr="008704BD">
        <w:rPr>
          <w:rFonts w:ascii="Times New Roman" w:hAnsi="Times New Roman"/>
          <w:noProof/>
          <w:sz w:val="24"/>
          <w:lang w:val="en-GB"/>
        </w:rPr>
        <w:t>The data that crypto-asset</w:t>
      </w:r>
      <w:r w:rsidR="00151FED" w:rsidRPr="008704BD">
        <w:rPr>
          <w:rFonts w:ascii="Times New Roman" w:hAnsi="Times New Roman"/>
          <w:noProof/>
          <w:sz w:val="24"/>
          <w:lang w:val="en-GB"/>
        </w:rPr>
        <w:t xml:space="preserve"> service providers would need to provide, according to the experience with previous DAC</w:t>
      </w:r>
      <w:r w:rsidR="006B5745" w:rsidRPr="008704BD">
        <w:rPr>
          <w:rFonts w:ascii="Times New Roman" w:hAnsi="Times New Roman"/>
          <w:noProof/>
          <w:sz w:val="24"/>
          <w:lang w:val="en-GB"/>
        </w:rPr>
        <w:t>s</w:t>
      </w:r>
      <w:r w:rsidR="00151FED" w:rsidRPr="008704BD">
        <w:rPr>
          <w:rFonts w:ascii="Times New Roman" w:hAnsi="Times New Roman"/>
          <w:noProof/>
          <w:sz w:val="24"/>
          <w:lang w:val="en-GB"/>
        </w:rPr>
        <w:t xml:space="preserve">, is the minimum required to ensure that tax administrations can adequately execute their tax control commitments. </w:t>
      </w:r>
      <w:r w:rsidRPr="008704BD">
        <w:rPr>
          <w:rFonts w:ascii="Times New Roman" w:hAnsi="Times New Roman"/>
          <w:noProof/>
          <w:sz w:val="24"/>
          <w:lang w:val="en-GB"/>
        </w:rPr>
        <w:t xml:space="preserve">The cost-benefit ratio is positive: the expected return in terms of additional tax revenues is higher than the estimated costs. </w:t>
      </w:r>
      <w:r w:rsidR="00FF4210" w:rsidRPr="008704BD">
        <w:rPr>
          <w:rFonts w:ascii="Times New Roman" w:hAnsi="Times New Roman"/>
          <w:noProof/>
          <w:sz w:val="24"/>
          <w:lang w:val="en-GB"/>
        </w:rPr>
        <w:t>While there is an</w:t>
      </w:r>
      <w:r w:rsidRPr="008704BD">
        <w:rPr>
          <w:rFonts w:ascii="Times New Roman" w:hAnsi="Times New Roman"/>
          <w:noProof/>
          <w:sz w:val="24"/>
          <w:lang w:val="en-GB"/>
        </w:rPr>
        <w:t xml:space="preserve"> administrative burden for businesses and tax administrations </w:t>
      </w:r>
      <w:r w:rsidR="00FF4210" w:rsidRPr="008704BD">
        <w:rPr>
          <w:rFonts w:ascii="Times New Roman" w:hAnsi="Times New Roman"/>
          <w:noProof/>
          <w:sz w:val="24"/>
          <w:lang w:val="en-GB"/>
        </w:rPr>
        <w:t xml:space="preserve">linked to the proposed initiative, it is less burdensome than </w:t>
      </w:r>
      <w:r w:rsidR="00456CE3" w:rsidRPr="008704BD">
        <w:rPr>
          <w:rFonts w:ascii="Times New Roman" w:hAnsi="Times New Roman"/>
          <w:noProof/>
          <w:sz w:val="24"/>
          <w:lang w:val="en-GB"/>
        </w:rPr>
        <w:t xml:space="preserve">having a patchwork of national rules. </w:t>
      </w:r>
      <w:r w:rsidRPr="008704BD">
        <w:rPr>
          <w:rFonts w:ascii="Times New Roman" w:hAnsi="Times New Roman"/>
          <w:noProof/>
          <w:sz w:val="24"/>
          <w:lang w:val="en-GB"/>
        </w:rPr>
        <w:t xml:space="preserve">The impact on personal data protection is </w:t>
      </w:r>
      <w:r w:rsidR="00FF4210" w:rsidRPr="008704BD">
        <w:rPr>
          <w:rFonts w:ascii="Times New Roman" w:hAnsi="Times New Roman"/>
          <w:noProof/>
          <w:sz w:val="24"/>
          <w:lang w:val="en-GB"/>
        </w:rPr>
        <w:t>in line with data protection rules</w:t>
      </w:r>
      <w:r w:rsidRPr="008704BD">
        <w:rPr>
          <w:rFonts w:ascii="Times New Roman" w:hAnsi="Times New Roman"/>
          <w:noProof/>
          <w:sz w:val="24"/>
          <w:lang w:val="en-GB"/>
        </w:rPr>
        <w:t>, and the expected effect on the sector’s competitiveness and the overall social impact is deemed positive.</w:t>
      </w:r>
    </w:p>
    <w:p w14:paraId="0AADF1CA" w14:textId="6F7AA4BD" w:rsidR="00F611AC" w:rsidRPr="008704BD" w:rsidRDefault="00F611AC" w:rsidP="00151FED">
      <w:pPr>
        <w:jc w:val="both"/>
        <w:rPr>
          <w:rFonts w:ascii="Times New Roman" w:hAnsi="Times New Roman"/>
          <w:noProof/>
          <w:sz w:val="24"/>
          <w:lang w:val="en-GB"/>
        </w:rPr>
      </w:pPr>
      <w:r w:rsidRPr="00F611AC">
        <w:rPr>
          <w:rFonts w:ascii="Times New Roman" w:hAnsi="Times New Roman"/>
          <w:noProof/>
          <w:sz w:val="24"/>
          <w:lang w:val="en-GB"/>
        </w:rPr>
        <w:t xml:space="preserve">Concerning the administrative costs related to the ‘one in, one out’ approach, there will be administrative costs for crypto-assets service providers. The total one-off costs for crypto-assets service providers are estimated at EUR 259 million (or EUR 1.5 million per CASP) while the recurrent costs are estimated at 22.6 million for all CASPs but it is estimated that they will not surpass EUR 135 000 per entity on a yearly basis. However, </w:t>
      </w:r>
      <w:r w:rsidR="006B3769">
        <w:rPr>
          <w:rFonts w:ascii="Times New Roman" w:hAnsi="Times New Roman"/>
          <w:noProof/>
          <w:sz w:val="24"/>
          <w:lang w:val="en-GB"/>
        </w:rPr>
        <w:t>as a result of the directive c</w:t>
      </w:r>
      <w:r w:rsidRPr="00F611AC">
        <w:rPr>
          <w:rFonts w:ascii="Times New Roman" w:hAnsi="Times New Roman"/>
          <w:noProof/>
          <w:sz w:val="24"/>
          <w:lang w:val="en-GB"/>
        </w:rPr>
        <w:t>rypto-assets service providers will benefit from homogeneous reporting requirements throughout the EU, rather than having multiple standards across each Member State. They will not be faced with burdensome individual information requests as the preferred option provides tax administrations with the right level of information and the process to report the information will be very much automated and digitalised.</w:t>
      </w:r>
    </w:p>
    <w:p w14:paraId="621F8E68" w14:textId="61F08055" w:rsidR="003F3EBF" w:rsidRPr="006E5F59" w:rsidRDefault="00C07FED" w:rsidP="00151FED">
      <w:pPr>
        <w:jc w:val="both"/>
        <w:rPr>
          <w:rFonts w:ascii="Times New Roman" w:hAnsi="Times New Roman" w:cs="Times New Roman"/>
          <w:noProof/>
          <w:lang w:val="en-GB"/>
        </w:rPr>
      </w:pPr>
      <w:r w:rsidRPr="008704BD">
        <w:rPr>
          <w:rFonts w:ascii="Times New Roman" w:hAnsi="Times New Roman"/>
          <w:noProof/>
          <w:sz w:val="24"/>
          <w:lang w:val="en-GB"/>
        </w:rPr>
        <w:t xml:space="preserve">It </w:t>
      </w:r>
      <w:r w:rsidR="00151FED" w:rsidRPr="008704BD">
        <w:rPr>
          <w:rFonts w:ascii="Times New Roman" w:hAnsi="Times New Roman"/>
          <w:noProof/>
          <w:sz w:val="24"/>
          <w:lang w:val="en-GB"/>
        </w:rPr>
        <w:t xml:space="preserve">would also respect the principle of subsidiarity, </w:t>
      </w:r>
      <w:r w:rsidR="006B5745" w:rsidRPr="008704BD">
        <w:rPr>
          <w:rFonts w:ascii="Times New Roman" w:hAnsi="Times New Roman"/>
          <w:noProof/>
          <w:sz w:val="24"/>
          <w:lang w:val="en-GB"/>
        </w:rPr>
        <w:t xml:space="preserve">as the main problem – which is </w:t>
      </w:r>
      <w:r w:rsidR="704DDF1F" w:rsidRPr="008704BD">
        <w:rPr>
          <w:rFonts w:ascii="Times New Roman" w:hAnsi="Times New Roman"/>
          <w:noProof/>
          <w:sz w:val="24"/>
          <w:lang w:val="en-GB"/>
        </w:rPr>
        <w:t xml:space="preserve">that </w:t>
      </w:r>
      <w:r w:rsidR="006B5745" w:rsidRPr="008704BD">
        <w:rPr>
          <w:rFonts w:ascii="Times New Roman" w:hAnsi="Times New Roman"/>
          <w:noProof/>
          <w:sz w:val="24"/>
          <w:lang w:val="en-GB"/>
        </w:rPr>
        <w:t>t</w:t>
      </w:r>
      <w:r w:rsidR="00151FED" w:rsidRPr="008704BD">
        <w:rPr>
          <w:rFonts w:ascii="Times New Roman" w:hAnsi="Times New Roman"/>
          <w:noProof/>
          <w:sz w:val="24"/>
          <w:lang w:val="en-GB"/>
        </w:rPr>
        <w:t xml:space="preserve">ax authorities lack </w:t>
      </w:r>
      <w:r w:rsidR="3CA50C21" w:rsidRPr="008704BD">
        <w:rPr>
          <w:rFonts w:ascii="Times New Roman" w:hAnsi="Times New Roman"/>
          <w:noProof/>
          <w:sz w:val="24"/>
          <w:lang w:val="en-GB"/>
        </w:rPr>
        <w:t>the information necessary</w:t>
      </w:r>
      <w:r w:rsidR="00151FED" w:rsidRPr="008704BD">
        <w:rPr>
          <w:rFonts w:ascii="Times New Roman" w:hAnsi="Times New Roman"/>
          <w:noProof/>
          <w:sz w:val="24"/>
          <w:lang w:val="en-GB"/>
        </w:rPr>
        <w:t xml:space="preserve"> to monitor the </w:t>
      </w:r>
      <w:r w:rsidR="1EEBBF28" w:rsidRPr="008704BD">
        <w:rPr>
          <w:rFonts w:ascii="Times New Roman" w:hAnsi="Times New Roman"/>
          <w:noProof/>
          <w:sz w:val="24"/>
          <w:lang w:val="en-GB"/>
        </w:rPr>
        <w:t>income</w:t>
      </w:r>
      <w:r w:rsidR="00151FED" w:rsidRPr="008704BD">
        <w:rPr>
          <w:rFonts w:ascii="Times New Roman" w:hAnsi="Times New Roman"/>
          <w:noProof/>
          <w:sz w:val="24"/>
          <w:lang w:val="en-GB"/>
        </w:rPr>
        <w:t xml:space="preserve"> obtained using crypto-assets</w:t>
      </w:r>
      <w:r w:rsidR="00456CE3" w:rsidRPr="008704BD">
        <w:rPr>
          <w:rFonts w:ascii="Times New Roman" w:hAnsi="Times New Roman"/>
          <w:noProof/>
          <w:sz w:val="24"/>
          <w:lang w:val="en-GB"/>
        </w:rPr>
        <w:t xml:space="preserve"> </w:t>
      </w:r>
      <w:r w:rsidR="00151FED" w:rsidRPr="008704BD">
        <w:rPr>
          <w:rFonts w:ascii="Times New Roman" w:hAnsi="Times New Roman"/>
          <w:noProof/>
          <w:sz w:val="24"/>
          <w:lang w:val="en-GB"/>
        </w:rPr>
        <w:t>– requires EU solutions, providing</w:t>
      </w:r>
      <w:r w:rsidR="00456CE3" w:rsidRPr="008704BD">
        <w:rPr>
          <w:rFonts w:ascii="Times New Roman" w:hAnsi="Times New Roman"/>
          <w:noProof/>
          <w:sz w:val="24"/>
          <w:lang w:val="en-GB"/>
        </w:rPr>
        <w:t xml:space="preserve"> </w:t>
      </w:r>
      <w:r w:rsidR="00151FED" w:rsidRPr="008704BD">
        <w:rPr>
          <w:rFonts w:ascii="Times New Roman" w:hAnsi="Times New Roman"/>
          <w:noProof/>
          <w:sz w:val="24"/>
          <w:lang w:val="en-GB"/>
        </w:rPr>
        <w:t xml:space="preserve">new tools to </w:t>
      </w:r>
      <w:r w:rsidR="76B47583" w:rsidRPr="008704BD">
        <w:rPr>
          <w:rFonts w:ascii="Times New Roman" w:hAnsi="Times New Roman"/>
          <w:noProof/>
          <w:sz w:val="24"/>
          <w:lang w:val="en-GB"/>
        </w:rPr>
        <w:t xml:space="preserve">enable </w:t>
      </w:r>
      <w:r w:rsidR="00151FED" w:rsidRPr="008704BD">
        <w:rPr>
          <w:rFonts w:ascii="Times New Roman" w:hAnsi="Times New Roman"/>
          <w:noProof/>
          <w:sz w:val="24"/>
          <w:lang w:val="en-GB"/>
        </w:rPr>
        <w:t xml:space="preserve">tax administrations to do their job efficiently. In the absence of </w:t>
      </w:r>
      <w:r w:rsidR="00BB5440" w:rsidRPr="008704BD">
        <w:rPr>
          <w:rFonts w:ascii="Times New Roman" w:hAnsi="Times New Roman"/>
          <w:noProof/>
          <w:sz w:val="24"/>
          <w:lang w:val="en-GB"/>
        </w:rPr>
        <w:t xml:space="preserve">administrative </w:t>
      </w:r>
      <w:r w:rsidR="00151FED" w:rsidRPr="008704BD">
        <w:rPr>
          <w:rFonts w:ascii="Times New Roman" w:hAnsi="Times New Roman"/>
          <w:noProof/>
          <w:sz w:val="24"/>
          <w:lang w:val="en-GB"/>
        </w:rPr>
        <w:t>cooperation, a Member State on its own would not be able to ensure the correct compliance of its residents. Therefore, t</w:t>
      </w:r>
      <w:r w:rsidR="006B5745" w:rsidRPr="008704BD">
        <w:rPr>
          <w:rFonts w:ascii="Times New Roman" w:hAnsi="Times New Roman"/>
          <w:noProof/>
          <w:sz w:val="24"/>
          <w:lang w:val="en-GB"/>
        </w:rPr>
        <w:t>he possibility for</w:t>
      </w:r>
      <w:r w:rsidR="00151FED" w:rsidRPr="008704BD">
        <w:rPr>
          <w:rFonts w:ascii="Times New Roman" w:hAnsi="Times New Roman"/>
          <w:noProof/>
          <w:sz w:val="24"/>
          <w:lang w:val="en-GB"/>
        </w:rPr>
        <w:t xml:space="preserve"> tax authorities to obtain the necessary information clearly offers EU added</w:t>
      </w:r>
      <w:r w:rsidR="00456CE3" w:rsidRPr="008704BD">
        <w:rPr>
          <w:rFonts w:ascii="Times New Roman" w:hAnsi="Times New Roman"/>
          <w:noProof/>
          <w:sz w:val="24"/>
          <w:lang w:val="en-GB"/>
        </w:rPr>
        <w:t>-</w:t>
      </w:r>
      <w:r w:rsidR="00151FED" w:rsidRPr="008704BD">
        <w:rPr>
          <w:rFonts w:ascii="Times New Roman" w:hAnsi="Times New Roman"/>
          <w:noProof/>
          <w:sz w:val="24"/>
          <w:lang w:val="en-GB"/>
        </w:rPr>
        <w:t xml:space="preserve">value, over and above what can be achieved at the </w:t>
      </w:r>
      <w:r w:rsidR="1E3761F9" w:rsidRPr="008704BD">
        <w:rPr>
          <w:rFonts w:ascii="Times New Roman" w:hAnsi="Times New Roman"/>
          <w:noProof/>
          <w:sz w:val="24"/>
          <w:lang w:val="en-GB"/>
        </w:rPr>
        <w:t xml:space="preserve">individual </w:t>
      </w:r>
      <w:r w:rsidR="00151FED" w:rsidRPr="008704BD">
        <w:rPr>
          <w:rFonts w:ascii="Times New Roman" w:hAnsi="Times New Roman"/>
          <w:noProof/>
          <w:sz w:val="24"/>
          <w:lang w:val="en-GB"/>
        </w:rPr>
        <w:t>Member State level.</w:t>
      </w:r>
    </w:p>
    <w:p w14:paraId="6FA7217E" w14:textId="77777777" w:rsidR="003F3EBF" w:rsidRPr="006E5F59" w:rsidRDefault="003F3EBF" w:rsidP="00151FED">
      <w:pPr>
        <w:jc w:val="both"/>
        <w:rPr>
          <w:rFonts w:ascii="Times New Roman" w:hAnsi="Times New Roman" w:cs="Times New Roman"/>
          <w:noProof/>
          <w:lang w:val="en-GB"/>
        </w:rPr>
      </w:pPr>
    </w:p>
    <w:p w14:paraId="79BCC652" w14:textId="77777777" w:rsidR="003F3EBF" w:rsidRPr="006E5F59" w:rsidRDefault="003F3EBF" w:rsidP="00151FED">
      <w:pPr>
        <w:jc w:val="both"/>
        <w:rPr>
          <w:rFonts w:ascii="Times New Roman" w:hAnsi="Times New Roman" w:cs="Times New Roman"/>
          <w:noProof/>
          <w:lang w:val="en-GB"/>
        </w:rPr>
      </w:pPr>
    </w:p>
    <w:p w14:paraId="66B0B650" w14:textId="5C72772D" w:rsidR="0006025D" w:rsidRDefault="0006025D">
      <w:pPr>
        <w:rPr>
          <w:rFonts w:ascii="Times New Roman" w:hAnsi="Times New Roman" w:cs="Times New Roman"/>
          <w:noProof/>
          <w:lang w:val="en-GB"/>
        </w:rPr>
      </w:pPr>
      <w:r>
        <w:rPr>
          <w:rFonts w:ascii="Times New Roman" w:hAnsi="Times New Roman" w:cs="Times New Roman"/>
          <w:noProof/>
          <w:lang w:val="en-GB"/>
        </w:rPr>
        <w:br w:type="page"/>
      </w:r>
    </w:p>
    <w:p w14:paraId="4E057A3B" w14:textId="06A64833" w:rsidR="006B5745" w:rsidRPr="006E5F59" w:rsidRDefault="006B5745" w:rsidP="00811206">
      <w:pPr>
        <w:pStyle w:val="Heading1"/>
        <w:rPr>
          <w:rFonts w:ascii="Times New Roman" w:hAnsi="Times New Roman" w:cs="Times New Roman"/>
          <w:noProof/>
          <w:lang w:val="en-GB"/>
        </w:rPr>
      </w:pPr>
      <w:bookmarkStart w:id="429" w:name="_Toc81582173"/>
      <w:bookmarkStart w:id="430" w:name="_Toc83742032"/>
      <w:bookmarkStart w:id="431" w:name="_Toc83824411"/>
      <w:bookmarkStart w:id="432" w:name="_Toc84338491"/>
      <w:bookmarkStart w:id="433" w:name="_Toc84520055"/>
      <w:bookmarkStart w:id="434" w:name="_Toc84579920"/>
      <w:bookmarkStart w:id="435" w:name="_Toc85052215"/>
      <w:bookmarkStart w:id="436" w:name="_Toc93306891"/>
      <w:bookmarkStart w:id="437" w:name="_Toc949433464"/>
      <w:bookmarkStart w:id="438" w:name="_Toc1131913743"/>
      <w:bookmarkStart w:id="439" w:name="_Toc206162370"/>
      <w:r w:rsidRPr="41BAA3BB">
        <w:rPr>
          <w:rFonts w:ascii="Times New Roman" w:hAnsi="Times New Roman" w:cs="Times New Roman"/>
          <w:noProof/>
          <w:lang w:val="en-GB"/>
        </w:rPr>
        <w:t xml:space="preserve">9. </w:t>
      </w:r>
      <w:r w:rsidR="006652BB" w:rsidRPr="41BAA3BB">
        <w:rPr>
          <w:rFonts w:ascii="Times New Roman" w:hAnsi="Times New Roman" w:cs="Times New Roman"/>
          <w:noProof/>
          <w:lang w:val="en-GB"/>
        </w:rPr>
        <w:t>HOW WILL ACTUAL IMPACTS BE MONITORED AND EV</w:t>
      </w:r>
      <w:r w:rsidR="00A14EB3" w:rsidRPr="41BAA3BB">
        <w:rPr>
          <w:rFonts w:ascii="Times New Roman" w:hAnsi="Times New Roman" w:cs="Times New Roman"/>
          <w:noProof/>
          <w:lang w:val="en-GB"/>
        </w:rPr>
        <w:t>A</w:t>
      </w:r>
      <w:r w:rsidR="006652BB" w:rsidRPr="41BAA3BB">
        <w:rPr>
          <w:rFonts w:ascii="Times New Roman" w:hAnsi="Times New Roman" w:cs="Times New Roman"/>
          <w:noProof/>
          <w:lang w:val="en-GB"/>
        </w:rPr>
        <w:t>LUATED</w:t>
      </w:r>
      <w:r w:rsidRPr="41BAA3BB">
        <w:rPr>
          <w:rFonts w:ascii="Times New Roman" w:hAnsi="Times New Roman" w:cs="Times New Roman"/>
          <w:noProof/>
          <w:lang w:val="en-GB"/>
        </w:rPr>
        <w:t>?</w:t>
      </w:r>
      <w:bookmarkEnd w:id="429"/>
      <w:bookmarkEnd w:id="430"/>
      <w:bookmarkEnd w:id="431"/>
      <w:bookmarkEnd w:id="432"/>
      <w:bookmarkEnd w:id="433"/>
      <w:bookmarkEnd w:id="434"/>
      <w:bookmarkEnd w:id="435"/>
      <w:bookmarkEnd w:id="436"/>
      <w:r w:rsidRPr="41BAA3BB">
        <w:rPr>
          <w:rFonts w:ascii="Times New Roman" w:hAnsi="Times New Roman" w:cs="Times New Roman"/>
          <w:noProof/>
          <w:lang w:val="en-GB"/>
        </w:rPr>
        <w:t xml:space="preserve"> </w:t>
      </w:r>
      <w:bookmarkEnd w:id="437"/>
      <w:bookmarkEnd w:id="438"/>
      <w:bookmarkEnd w:id="439"/>
    </w:p>
    <w:p w14:paraId="432F0153" w14:textId="77777777" w:rsidR="006B5745" w:rsidRPr="006E5F59" w:rsidRDefault="006B5745" w:rsidP="00811206">
      <w:pPr>
        <w:pStyle w:val="Heading2"/>
        <w:rPr>
          <w:rFonts w:cs="Times New Roman"/>
          <w:noProof/>
          <w:lang w:val="en-GB"/>
        </w:rPr>
      </w:pPr>
      <w:bookmarkStart w:id="440" w:name="_Toc81582174"/>
      <w:bookmarkStart w:id="441" w:name="_Toc83742033"/>
      <w:bookmarkStart w:id="442" w:name="_Toc83824412"/>
      <w:bookmarkStart w:id="443" w:name="_Toc84338492"/>
      <w:bookmarkStart w:id="444" w:name="_Toc84520056"/>
      <w:bookmarkStart w:id="445" w:name="_Toc84579921"/>
      <w:bookmarkStart w:id="446" w:name="_Toc85052216"/>
      <w:bookmarkStart w:id="447" w:name="_Toc1061446730"/>
      <w:bookmarkStart w:id="448" w:name="_Toc1536979780"/>
      <w:bookmarkStart w:id="449" w:name="_Toc92979860"/>
      <w:bookmarkStart w:id="450" w:name="_Toc93306892"/>
      <w:r w:rsidRPr="41BAA3BB">
        <w:rPr>
          <w:rFonts w:cs="Times New Roman"/>
          <w:noProof/>
          <w:lang w:val="en-GB"/>
        </w:rPr>
        <w:t>9.1 Indicators for monitoring and evaluation</w:t>
      </w:r>
      <w:bookmarkEnd w:id="440"/>
      <w:bookmarkEnd w:id="441"/>
      <w:bookmarkEnd w:id="442"/>
      <w:bookmarkEnd w:id="443"/>
      <w:bookmarkEnd w:id="444"/>
      <w:bookmarkEnd w:id="445"/>
      <w:bookmarkEnd w:id="446"/>
      <w:bookmarkEnd w:id="447"/>
      <w:bookmarkEnd w:id="448"/>
      <w:bookmarkEnd w:id="449"/>
      <w:bookmarkEnd w:id="450"/>
    </w:p>
    <w:p w14:paraId="7D52A976" w14:textId="77777777" w:rsidR="006B5745" w:rsidRPr="008704BD" w:rsidRDefault="006B5745" w:rsidP="00811206">
      <w:pPr>
        <w:jc w:val="both"/>
        <w:rPr>
          <w:rFonts w:ascii="Times New Roman" w:hAnsi="Times New Roman"/>
          <w:noProof/>
          <w:sz w:val="24"/>
        </w:rPr>
      </w:pPr>
      <w:r w:rsidRPr="008704BD">
        <w:rPr>
          <w:rFonts w:ascii="Times New Roman" w:hAnsi="Times New Roman"/>
          <w:noProof/>
          <w:sz w:val="24"/>
        </w:rPr>
        <w:t xml:space="preserve">The table below gives an overview of the objectives, the indicators to measure whether they will be achieved, the tool for monitoring them and the operational objective. In the medium term, the initiative is expected to </w:t>
      </w:r>
      <w:r w:rsidR="00B80A3C" w:rsidRPr="008704BD">
        <w:rPr>
          <w:rFonts w:ascii="Times New Roman" w:hAnsi="Times New Roman"/>
          <w:noProof/>
          <w:sz w:val="24"/>
        </w:rPr>
        <w:t xml:space="preserve">have </w:t>
      </w:r>
      <w:r w:rsidRPr="008704BD">
        <w:rPr>
          <w:rFonts w:ascii="Times New Roman" w:hAnsi="Times New Roman"/>
          <w:noProof/>
          <w:sz w:val="24"/>
        </w:rPr>
        <w:t>a positive impact with respect to the general objectives presented in chapter 4.</w:t>
      </w:r>
    </w:p>
    <w:p w14:paraId="673C0BAD" w14:textId="77777777" w:rsidR="006B5745" w:rsidRPr="008704BD" w:rsidRDefault="006B5745" w:rsidP="00811206">
      <w:pPr>
        <w:jc w:val="both"/>
        <w:rPr>
          <w:rFonts w:ascii="Times New Roman" w:hAnsi="Times New Roman"/>
          <w:i/>
          <w:noProof/>
          <w:color w:val="44546A" w:themeColor="text2"/>
          <w:sz w:val="24"/>
          <w:lang w:val="en-GB"/>
        </w:rPr>
      </w:pPr>
      <w:r w:rsidRPr="008704BD">
        <w:rPr>
          <w:rFonts w:ascii="Times New Roman" w:hAnsi="Times New Roman"/>
          <w:i/>
          <w:noProof/>
          <w:color w:val="44546A" w:themeColor="text2"/>
          <w:sz w:val="24"/>
          <w:lang w:val="en-GB"/>
        </w:rPr>
        <w:t xml:space="preserve">Table </w:t>
      </w:r>
      <w:r w:rsidR="00760B09" w:rsidRPr="008704BD">
        <w:rPr>
          <w:rFonts w:ascii="Times New Roman" w:hAnsi="Times New Roman"/>
          <w:i/>
          <w:noProof/>
          <w:color w:val="44546A" w:themeColor="text2"/>
          <w:sz w:val="24"/>
          <w:lang w:val="en-GB"/>
        </w:rPr>
        <w:t>1</w:t>
      </w:r>
      <w:r w:rsidR="004F22DD">
        <w:rPr>
          <w:rFonts w:ascii="Times New Roman" w:hAnsi="Times New Roman"/>
          <w:i/>
          <w:noProof/>
          <w:color w:val="44546A" w:themeColor="text2"/>
          <w:sz w:val="24"/>
          <w:lang w:val="en-GB"/>
        </w:rPr>
        <w:t>2</w:t>
      </w:r>
      <w:r w:rsidRPr="008704BD">
        <w:rPr>
          <w:rFonts w:ascii="Times New Roman" w:hAnsi="Times New Roman"/>
          <w:i/>
          <w:noProof/>
          <w:color w:val="44546A" w:themeColor="text2"/>
          <w:sz w:val="24"/>
          <w:lang w:val="en-GB"/>
        </w:rPr>
        <w:t xml:space="preserve"> Indicators for monitoring</w:t>
      </w:r>
    </w:p>
    <w:tbl>
      <w:tblPr>
        <w:tblStyle w:val="TableGrid"/>
        <w:tblW w:w="0" w:type="auto"/>
        <w:tblLook w:val="04A0" w:firstRow="1" w:lastRow="0" w:firstColumn="1" w:lastColumn="0" w:noHBand="0" w:noVBand="1"/>
      </w:tblPr>
      <w:tblGrid>
        <w:gridCol w:w="3105"/>
        <w:gridCol w:w="3121"/>
        <w:gridCol w:w="3124"/>
      </w:tblGrid>
      <w:tr w:rsidR="006B5745" w:rsidRPr="006E5F59" w14:paraId="6CA20644" w14:textId="77777777" w:rsidTr="00F42C0E">
        <w:tc>
          <w:tcPr>
            <w:tcW w:w="3105" w:type="dxa"/>
            <w:shd w:val="clear" w:color="auto" w:fill="DEEAF6" w:themeFill="accent1" w:themeFillTint="33"/>
          </w:tcPr>
          <w:p w14:paraId="0598D6C6" w14:textId="77777777" w:rsidR="006B5745" w:rsidRPr="006E5F59" w:rsidRDefault="006B5745" w:rsidP="006B5745">
            <w:pPr>
              <w:jc w:val="both"/>
              <w:rPr>
                <w:rFonts w:ascii="Times New Roman" w:hAnsi="Times New Roman" w:cs="Times New Roman"/>
                <w:noProof/>
              </w:rPr>
            </w:pPr>
            <w:r w:rsidRPr="006E5F59">
              <w:rPr>
                <w:rFonts w:ascii="Times New Roman" w:hAnsi="Times New Roman" w:cs="Times New Roman"/>
                <w:noProof/>
              </w:rPr>
              <w:t>Specific objectives</w:t>
            </w:r>
          </w:p>
        </w:tc>
        <w:tc>
          <w:tcPr>
            <w:tcW w:w="3121" w:type="dxa"/>
            <w:shd w:val="clear" w:color="auto" w:fill="DEEAF6" w:themeFill="accent1" w:themeFillTint="33"/>
          </w:tcPr>
          <w:p w14:paraId="5374251F" w14:textId="77777777" w:rsidR="006B5745" w:rsidRPr="006E5F59" w:rsidRDefault="006B5745" w:rsidP="006B5745">
            <w:pPr>
              <w:jc w:val="both"/>
              <w:rPr>
                <w:rFonts w:ascii="Times New Roman" w:hAnsi="Times New Roman" w:cs="Times New Roman"/>
                <w:noProof/>
              </w:rPr>
            </w:pPr>
            <w:r w:rsidRPr="006E5F59">
              <w:rPr>
                <w:rFonts w:ascii="Times New Roman" w:hAnsi="Times New Roman" w:cs="Times New Roman"/>
                <w:noProof/>
              </w:rPr>
              <w:t>Indicators</w:t>
            </w:r>
          </w:p>
        </w:tc>
        <w:tc>
          <w:tcPr>
            <w:tcW w:w="3124" w:type="dxa"/>
            <w:shd w:val="clear" w:color="auto" w:fill="DEEAF6" w:themeFill="accent1" w:themeFillTint="33"/>
          </w:tcPr>
          <w:p w14:paraId="29C10322" w14:textId="77777777" w:rsidR="006B5745" w:rsidRPr="006E5F59" w:rsidRDefault="006B5745" w:rsidP="006B5745">
            <w:pPr>
              <w:jc w:val="both"/>
              <w:rPr>
                <w:rFonts w:ascii="Times New Roman" w:hAnsi="Times New Roman" w:cs="Times New Roman"/>
                <w:noProof/>
              </w:rPr>
            </w:pPr>
            <w:r w:rsidRPr="006E5F59">
              <w:rPr>
                <w:rFonts w:ascii="Times New Roman" w:hAnsi="Times New Roman" w:cs="Times New Roman"/>
                <w:noProof/>
              </w:rPr>
              <w:t>Measurement tools</w:t>
            </w:r>
          </w:p>
        </w:tc>
      </w:tr>
      <w:tr w:rsidR="006B5745" w:rsidRPr="006E5F59" w14:paraId="080D2F40" w14:textId="77777777" w:rsidTr="00F42C0E">
        <w:tc>
          <w:tcPr>
            <w:tcW w:w="3105" w:type="dxa"/>
          </w:tcPr>
          <w:p w14:paraId="1ED75385" w14:textId="77777777" w:rsidR="006B5745" w:rsidRPr="006E5F59" w:rsidRDefault="006B5745" w:rsidP="006B5745">
            <w:pPr>
              <w:pStyle w:val="Default"/>
              <w:jc w:val="both"/>
              <w:rPr>
                <w:rFonts w:ascii="Times New Roman" w:eastAsiaTheme="minorHAnsi" w:hAnsi="Times New Roman" w:cs="Times New Roman"/>
                <w:noProof/>
                <w:color w:val="auto"/>
                <w:sz w:val="22"/>
                <w:szCs w:val="22"/>
                <w:lang w:eastAsia="en-US"/>
              </w:rPr>
            </w:pPr>
            <w:r w:rsidRPr="006E5F59">
              <w:rPr>
                <w:rFonts w:ascii="Times New Roman" w:eastAsiaTheme="minorHAnsi" w:hAnsi="Times New Roman" w:cs="Times New Roman"/>
                <w:noProof/>
                <w:color w:val="auto"/>
                <w:sz w:val="22"/>
                <w:szCs w:val="22"/>
                <w:lang w:eastAsia="en-US"/>
              </w:rPr>
              <w:t xml:space="preserve">Improve the ability of Member States to detect and contrast cross-border tax evasion </w:t>
            </w:r>
          </w:p>
          <w:p w14:paraId="45ABCFAF" w14:textId="77777777" w:rsidR="006B5745" w:rsidRPr="006E5F59" w:rsidRDefault="006B5745" w:rsidP="006B5745">
            <w:pPr>
              <w:jc w:val="both"/>
              <w:rPr>
                <w:rFonts w:ascii="Times New Roman" w:hAnsi="Times New Roman" w:cs="Times New Roman"/>
                <w:noProof/>
              </w:rPr>
            </w:pPr>
          </w:p>
        </w:tc>
        <w:tc>
          <w:tcPr>
            <w:tcW w:w="3121" w:type="dxa"/>
          </w:tcPr>
          <w:p w14:paraId="6B4B5985" w14:textId="77777777" w:rsidR="006B5745" w:rsidRPr="006E5F59" w:rsidRDefault="006B5745" w:rsidP="006B5745">
            <w:pPr>
              <w:pStyle w:val="Default"/>
              <w:jc w:val="both"/>
              <w:rPr>
                <w:rFonts w:ascii="Times New Roman" w:eastAsiaTheme="minorEastAsia" w:hAnsi="Times New Roman" w:cs="Times New Roman"/>
                <w:noProof/>
                <w:color w:val="auto"/>
                <w:sz w:val="22"/>
                <w:szCs w:val="22"/>
                <w:lang w:eastAsia="en-US"/>
              </w:rPr>
            </w:pPr>
            <w:r w:rsidRPr="006E5F59">
              <w:rPr>
                <w:rFonts w:ascii="Times New Roman" w:eastAsiaTheme="minorEastAsia" w:hAnsi="Times New Roman" w:cs="Times New Roman"/>
                <w:noProof/>
                <w:color w:val="auto"/>
                <w:sz w:val="22"/>
                <w:szCs w:val="22"/>
                <w:lang w:eastAsia="en-US"/>
              </w:rPr>
              <w:t xml:space="preserve">Number of controls carried out based on data tax administrations gather via the </w:t>
            </w:r>
            <w:r w:rsidR="0F761881" w:rsidRPr="006E5F59">
              <w:rPr>
                <w:rFonts w:ascii="Times New Roman" w:eastAsiaTheme="minorEastAsia" w:hAnsi="Times New Roman" w:cs="Times New Roman"/>
                <w:noProof/>
                <w:color w:val="auto"/>
                <w:sz w:val="22"/>
                <w:szCs w:val="22"/>
                <w:lang w:eastAsia="en-US"/>
              </w:rPr>
              <w:t>initiative</w:t>
            </w:r>
            <w:r w:rsidRPr="006E5F59">
              <w:rPr>
                <w:rFonts w:ascii="Times New Roman" w:eastAsiaTheme="minorEastAsia" w:hAnsi="Times New Roman" w:cs="Times New Roman"/>
                <w:noProof/>
                <w:color w:val="auto"/>
                <w:sz w:val="22"/>
                <w:szCs w:val="22"/>
                <w:lang w:eastAsia="en-US"/>
              </w:rPr>
              <w:t xml:space="preserve"> (either only or including these data) </w:t>
            </w:r>
          </w:p>
          <w:p w14:paraId="44B62134" w14:textId="77777777" w:rsidR="006B5745" w:rsidRPr="006E5F59" w:rsidRDefault="006B5745" w:rsidP="006B5745">
            <w:pPr>
              <w:jc w:val="both"/>
              <w:rPr>
                <w:rFonts w:ascii="Times New Roman" w:hAnsi="Times New Roman" w:cs="Times New Roman"/>
                <w:noProof/>
              </w:rPr>
            </w:pPr>
          </w:p>
        </w:tc>
        <w:tc>
          <w:tcPr>
            <w:tcW w:w="3124" w:type="dxa"/>
          </w:tcPr>
          <w:p w14:paraId="1A24924C" w14:textId="77777777" w:rsidR="006B5745" w:rsidRPr="006E5F59" w:rsidRDefault="006B5745" w:rsidP="00811206">
            <w:pPr>
              <w:pStyle w:val="Default"/>
              <w:jc w:val="both"/>
              <w:rPr>
                <w:rFonts w:ascii="Times New Roman" w:eastAsiaTheme="minorHAnsi" w:hAnsi="Times New Roman" w:cs="Times New Roman"/>
                <w:noProof/>
                <w:color w:val="auto"/>
                <w:sz w:val="22"/>
                <w:szCs w:val="22"/>
                <w:lang w:eastAsia="en-US"/>
              </w:rPr>
            </w:pPr>
            <w:r w:rsidRPr="006E5F59">
              <w:rPr>
                <w:rFonts w:ascii="Times New Roman" w:eastAsiaTheme="minorHAnsi" w:hAnsi="Times New Roman" w:cs="Times New Roman"/>
                <w:noProof/>
                <w:color w:val="auto"/>
                <w:sz w:val="22"/>
                <w:szCs w:val="22"/>
                <w:lang w:eastAsia="en-US"/>
              </w:rPr>
              <w:t>Yearly assessment of automatic exchange of information (source: Member States’ tax administrations)</w:t>
            </w:r>
          </w:p>
        </w:tc>
      </w:tr>
      <w:tr w:rsidR="006B5745" w:rsidRPr="006E5F59" w14:paraId="58CFF79E" w14:textId="77777777" w:rsidTr="00F42C0E">
        <w:tc>
          <w:tcPr>
            <w:tcW w:w="3105" w:type="dxa"/>
          </w:tcPr>
          <w:p w14:paraId="7CDA6238" w14:textId="77777777" w:rsidR="006B5745" w:rsidRPr="006E5F59" w:rsidRDefault="006B5745" w:rsidP="006B5745">
            <w:pPr>
              <w:jc w:val="both"/>
              <w:rPr>
                <w:rFonts w:ascii="Times New Roman" w:hAnsi="Times New Roman" w:cs="Times New Roman"/>
                <w:noProof/>
              </w:rPr>
            </w:pPr>
          </w:p>
        </w:tc>
        <w:tc>
          <w:tcPr>
            <w:tcW w:w="3121" w:type="dxa"/>
          </w:tcPr>
          <w:p w14:paraId="60F6F27B" w14:textId="77777777" w:rsidR="006B5745" w:rsidRPr="006E5F59" w:rsidRDefault="006B5745" w:rsidP="006B5745">
            <w:pPr>
              <w:pStyle w:val="Default"/>
              <w:jc w:val="both"/>
              <w:rPr>
                <w:rFonts w:ascii="Times New Roman" w:eastAsiaTheme="minorEastAsia" w:hAnsi="Times New Roman" w:cs="Times New Roman"/>
                <w:noProof/>
                <w:color w:val="auto"/>
                <w:sz w:val="22"/>
                <w:szCs w:val="22"/>
                <w:lang w:eastAsia="en-US"/>
              </w:rPr>
            </w:pPr>
            <w:r w:rsidRPr="006E5F59">
              <w:rPr>
                <w:rFonts w:ascii="Times New Roman" w:eastAsiaTheme="minorEastAsia" w:hAnsi="Times New Roman" w:cs="Times New Roman"/>
                <w:noProof/>
                <w:color w:val="auto"/>
                <w:sz w:val="22"/>
                <w:szCs w:val="22"/>
                <w:lang w:eastAsia="en-US"/>
              </w:rPr>
              <w:t xml:space="preserve">Additional tax revenues secured thanks to the </w:t>
            </w:r>
            <w:r w:rsidR="53EFEBC3" w:rsidRPr="006E5F59">
              <w:rPr>
                <w:rFonts w:ascii="Times New Roman" w:eastAsiaTheme="minorEastAsia" w:hAnsi="Times New Roman" w:cs="Times New Roman"/>
                <w:noProof/>
                <w:color w:val="auto"/>
                <w:sz w:val="22"/>
                <w:szCs w:val="22"/>
                <w:lang w:eastAsia="en-US"/>
              </w:rPr>
              <w:t>initiative</w:t>
            </w:r>
            <w:r w:rsidRPr="006E5F59">
              <w:rPr>
                <w:rFonts w:ascii="Times New Roman" w:eastAsiaTheme="minorEastAsia" w:hAnsi="Times New Roman" w:cs="Times New Roman"/>
                <w:noProof/>
                <w:color w:val="auto"/>
                <w:sz w:val="22"/>
                <w:szCs w:val="22"/>
                <w:lang w:eastAsia="en-US"/>
              </w:rPr>
              <w:t xml:space="preserve">, measured either as increase in tax base and/or increase in tax assessed </w:t>
            </w:r>
          </w:p>
          <w:p w14:paraId="7CC14780" w14:textId="77777777" w:rsidR="006B5745" w:rsidRPr="006E5F59" w:rsidRDefault="006B5745" w:rsidP="006B5745">
            <w:pPr>
              <w:jc w:val="both"/>
              <w:rPr>
                <w:rFonts w:ascii="Times New Roman" w:hAnsi="Times New Roman" w:cs="Times New Roman"/>
                <w:noProof/>
              </w:rPr>
            </w:pPr>
          </w:p>
        </w:tc>
        <w:tc>
          <w:tcPr>
            <w:tcW w:w="3124" w:type="dxa"/>
          </w:tcPr>
          <w:p w14:paraId="1DE0EC25" w14:textId="77777777" w:rsidR="006B5745" w:rsidRPr="006E5F59" w:rsidRDefault="006B5745" w:rsidP="00811206">
            <w:pPr>
              <w:pStyle w:val="Default"/>
              <w:jc w:val="both"/>
              <w:rPr>
                <w:rFonts w:ascii="Times New Roman" w:eastAsiaTheme="minorHAnsi" w:hAnsi="Times New Roman" w:cs="Times New Roman"/>
                <w:noProof/>
                <w:color w:val="auto"/>
                <w:sz w:val="22"/>
                <w:szCs w:val="22"/>
                <w:lang w:eastAsia="en-US"/>
              </w:rPr>
            </w:pPr>
            <w:r w:rsidRPr="006E5F59">
              <w:rPr>
                <w:rFonts w:ascii="Times New Roman" w:eastAsiaTheme="minorHAnsi" w:hAnsi="Times New Roman" w:cs="Times New Roman"/>
                <w:noProof/>
                <w:color w:val="auto"/>
                <w:sz w:val="22"/>
                <w:szCs w:val="22"/>
                <w:lang w:eastAsia="en-US"/>
              </w:rPr>
              <w:t xml:space="preserve">Yearly assessment of automatic exchange of information (source: Member States’ tax administrations) </w:t>
            </w:r>
          </w:p>
        </w:tc>
      </w:tr>
      <w:tr w:rsidR="006B5745" w:rsidRPr="006E5F59" w14:paraId="074FB152" w14:textId="77777777" w:rsidTr="00F42C0E">
        <w:tc>
          <w:tcPr>
            <w:tcW w:w="3105" w:type="dxa"/>
          </w:tcPr>
          <w:p w14:paraId="3D5B60BC" w14:textId="77777777" w:rsidR="006B5745" w:rsidRPr="006E5F59" w:rsidRDefault="42131550" w:rsidP="6C00D841">
            <w:pPr>
              <w:pStyle w:val="Default"/>
              <w:jc w:val="both"/>
              <w:rPr>
                <w:rFonts w:ascii="Times New Roman" w:eastAsiaTheme="minorEastAsia" w:hAnsi="Times New Roman" w:cs="Times New Roman"/>
                <w:noProof/>
                <w:color w:val="auto"/>
                <w:sz w:val="22"/>
                <w:szCs w:val="22"/>
                <w:lang w:eastAsia="en-US"/>
              </w:rPr>
            </w:pPr>
            <w:r w:rsidRPr="006E5F59">
              <w:rPr>
                <w:rFonts w:ascii="Times New Roman" w:eastAsiaTheme="minorEastAsia" w:hAnsi="Times New Roman" w:cs="Times New Roman"/>
                <w:noProof/>
                <w:color w:val="auto"/>
                <w:sz w:val="22"/>
                <w:szCs w:val="22"/>
                <w:lang w:eastAsia="en-US"/>
              </w:rPr>
              <w:t xml:space="preserve">Improve the deterrent effect through the reporting </w:t>
            </w:r>
            <w:r w:rsidR="01391DCB" w:rsidRPr="006E5F59">
              <w:rPr>
                <w:rFonts w:ascii="Times New Roman" w:eastAsiaTheme="minorEastAsia" w:hAnsi="Times New Roman" w:cs="Times New Roman"/>
                <w:noProof/>
                <w:color w:val="auto"/>
                <w:sz w:val="22"/>
                <w:szCs w:val="22"/>
                <w:lang w:eastAsia="en-US"/>
              </w:rPr>
              <w:t>o</w:t>
            </w:r>
            <w:r w:rsidRPr="006E5F59">
              <w:rPr>
                <w:rFonts w:ascii="Times New Roman" w:eastAsiaTheme="minorEastAsia" w:hAnsi="Times New Roman" w:cs="Times New Roman"/>
                <w:noProof/>
                <w:color w:val="auto"/>
                <w:sz w:val="22"/>
                <w:szCs w:val="22"/>
                <w:lang w:eastAsia="en-US"/>
              </w:rPr>
              <w:t>bligations and subsequent risk of detection</w:t>
            </w:r>
            <w:r w:rsidR="1B6DBA2F" w:rsidRPr="006E5F59">
              <w:rPr>
                <w:rFonts w:ascii="Times New Roman" w:eastAsiaTheme="minorEastAsia" w:hAnsi="Times New Roman" w:cs="Times New Roman"/>
                <w:noProof/>
                <w:color w:val="auto"/>
                <w:sz w:val="22"/>
                <w:szCs w:val="22"/>
                <w:lang w:eastAsia="en-US"/>
              </w:rPr>
              <w:t xml:space="preserve">. </w:t>
            </w:r>
            <w:r w:rsidRPr="006E5F59">
              <w:rPr>
                <w:rFonts w:ascii="Times New Roman" w:eastAsiaTheme="minorEastAsia" w:hAnsi="Times New Roman" w:cs="Times New Roman"/>
                <w:noProof/>
                <w:color w:val="auto"/>
                <w:sz w:val="22"/>
                <w:szCs w:val="22"/>
                <w:lang w:eastAsia="en-US"/>
              </w:rPr>
              <w:t xml:space="preserve"> </w:t>
            </w:r>
          </w:p>
        </w:tc>
        <w:tc>
          <w:tcPr>
            <w:tcW w:w="3121" w:type="dxa"/>
          </w:tcPr>
          <w:p w14:paraId="759ADB32" w14:textId="77777777" w:rsidR="006B5745" w:rsidRPr="006E5F59" w:rsidRDefault="006B5745" w:rsidP="00B80A3C">
            <w:pPr>
              <w:pStyle w:val="Default"/>
              <w:jc w:val="both"/>
              <w:rPr>
                <w:rFonts w:ascii="Times New Roman" w:eastAsiaTheme="minorEastAsia" w:hAnsi="Times New Roman" w:cs="Times New Roman"/>
                <w:noProof/>
                <w:color w:val="auto"/>
                <w:sz w:val="22"/>
                <w:szCs w:val="22"/>
                <w:lang w:eastAsia="en-US"/>
              </w:rPr>
            </w:pPr>
            <w:r w:rsidRPr="61C59DD1">
              <w:rPr>
                <w:rFonts w:ascii="Times New Roman" w:eastAsiaTheme="minorEastAsia" w:hAnsi="Times New Roman" w:cs="Times New Roman"/>
                <w:noProof/>
                <w:color w:val="auto"/>
                <w:sz w:val="22"/>
                <w:szCs w:val="22"/>
                <w:lang w:eastAsia="en-US"/>
              </w:rPr>
              <w:t>Qualitative assessment of the rate of crypto-asset users’ compliance</w:t>
            </w:r>
            <w:r w:rsidR="00C07FED" w:rsidRPr="61C59DD1">
              <w:rPr>
                <w:rFonts w:ascii="Times New Roman" w:eastAsiaTheme="minorEastAsia" w:hAnsi="Times New Roman" w:cs="Times New Roman"/>
                <w:noProof/>
                <w:color w:val="auto"/>
                <w:sz w:val="22"/>
                <w:szCs w:val="22"/>
                <w:lang w:eastAsia="en-US"/>
              </w:rPr>
              <w:t>.</w:t>
            </w:r>
          </w:p>
        </w:tc>
        <w:tc>
          <w:tcPr>
            <w:tcW w:w="3124" w:type="dxa"/>
          </w:tcPr>
          <w:p w14:paraId="50D7F144" w14:textId="77777777" w:rsidR="006B5745" w:rsidRPr="006E5F59" w:rsidRDefault="006B5745" w:rsidP="00811206">
            <w:pPr>
              <w:pStyle w:val="Default"/>
              <w:jc w:val="both"/>
              <w:rPr>
                <w:rFonts w:ascii="Times New Roman" w:eastAsiaTheme="minorHAnsi" w:hAnsi="Times New Roman" w:cs="Times New Roman"/>
                <w:noProof/>
                <w:color w:val="auto"/>
                <w:sz w:val="22"/>
                <w:szCs w:val="22"/>
                <w:lang w:eastAsia="en-US"/>
              </w:rPr>
            </w:pPr>
            <w:r w:rsidRPr="006E5F59">
              <w:rPr>
                <w:rFonts w:ascii="Times New Roman" w:eastAsiaTheme="minorHAnsi" w:hAnsi="Times New Roman" w:cs="Times New Roman"/>
                <w:noProof/>
                <w:color w:val="auto"/>
                <w:sz w:val="22"/>
                <w:szCs w:val="22"/>
                <w:lang w:eastAsia="en-US"/>
              </w:rPr>
              <w:t xml:space="preserve">Yearly assessment of automatic exchange of information (source: Member States’ tax administrations) </w:t>
            </w:r>
          </w:p>
        </w:tc>
      </w:tr>
    </w:tbl>
    <w:p w14:paraId="175254AF" w14:textId="77777777" w:rsidR="00973547" w:rsidRPr="006E5F59" w:rsidRDefault="00973547" w:rsidP="00811206">
      <w:pPr>
        <w:pStyle w:val="Heading2"/>
        <w:rPr>
          <w:rFonts w:cs="Times New Roman"/>
          <w:noProof/>
          <w:lang w:val="en-GB"/>
        </w:rPr>
      </w:pPr>
      <w:bookmarkStart w:id="451" w:name="_Toc81582175"/>
      <w:bookmarkStart w:id="452" w:name="_Toc83742034"/>
      <w:bookmarkStart w:id="453" w:name="_Toc83824413"/>
      <w:bookmarkStart w:id="454" w:name="_Toc84338493"/>
      <w:bookmarkStart w:id="455" w:name="_Toc84520057"/>
      <w:bookmarkStart w:id="456" w:name="_Toc84579922"/>
      <w:bookmarkStart w:id="457" w:name="_Toc85052217"/>
      <w:bookmarkStart w:id="458" w:name="_Toc333847474"/>
      <w:bookmarkStart w:id="459" w:name="_Toc6563525"/>
      <w:bookmarkStart w:id="460" w:name="_Toc1230229912"/>
      <w:bookmarkStart w:id="461" w:name="_Toc93306893"/>
      <w:r w:rsidRPr="41BAA3BB">
        <w:rPr>
          <w:rFonts w:cs="Times New Roman"/>
          <w:noProof/>
          <w:lang w:val="en-GB"/>
        </w:rPr>
        <w:t>9.2. Monitoring and reporting</w:t>
      </w:r>
      <w:bookmarkEnd w:id="451"/>
      <w:bookmarkEnd w:id="452"/>
      <w:bookmarkEnd w:id="453"/>
      <w:bookmarkEnd w:id="454"/>
      <w:bookmarkEnd w:id="455"/>
      <w:bookmarkEnd w:id="456"/>
      <w:bookmarkEnd w:id="457"/>
      <w:bookmarkEnd w:id="458"/>
      <w:bookmarkEnd w:id="459"/>
      <w:bookmarkEnd w:id="460"/>
      <w:bookmarkEnd w:id="461"/>
    </w:p>
    <w:p w14:paraId="4C877266" w14:textId="77777777" w:rsidR="00973547" w:rsidRPr="008704BD" w:rsidRDefault="00973547" w:rsidP="00811206">
      <w:pPr>
        <w:jc w:val="both"/>
        <w:rPr>
          <w:rFonts w:ascii="Times New Roman" w:hAnsi="Times New Roman"/>
          <w:noProof/>
          <w:sz w:val="24"/>
        </w:rPr>
      </w:pPr>
      <w:r w:rsidRPr="008704BD">
        <w:rPr>
          <w:rFonts w:ascii="Times New Roman" w:hAnsi="Times New Roman"/>
          <w:noProof/>
          <w:sz w:val="24"/>
        </w:rPr>
        <w:t xml:space="preserve">The results of the yearly assessment by Member States are presented and discussed in the </w:t>
      </w:r>
      <w:r w:rsidR="06299ECF" w:rsidRPr="008704BD">
        <w:rPr>
          <w:rFonts w:ascii="Times New Roman" w:hAnsi="Times New Roman"/>
          <w:noProof/>
          <w:sz w:val="24"/>
        </w:rPr>
        <w:t>Expert Group on</w:t>
      </w:r>
      <w:r w:rsidRPr="008704BD">
        <w:rPr>
          <w:rFonts w:ascii="Times New Roman" w:hAnsi="Times New Roman"/>
          <w:noProof/>
          <w:sz w:val="24"/>
        </w:rPr>
        <w:t xml:space="preserve"> Administrative Cooperation in Direct Taxation Commission</w:t>
      </w:r>
      <w:r w:rsidR="71DBBF6C" w:rsidRPr="008704BD">
        <w:rPr>
          <w:rFonts w:ascii="Times New Roman" w:hAnsi="Times New Roman"/>
          <w:noProof/>
          <w:sz w:val="24"/>
        </w:rPr>
        <w:t>.</w:t>
      </w:r>
      <w:r w:rsidRPr="008704BD">
        <w:rPr>
          <w:rFonts w:ascii="Times New Roman" w:hAnsi="Times New Roman"/>
          <w:noProof/>
          <w:sz w:val="24"/>
        </w:rPr>
        <w:t xml:space="preserve"> The yearly assessment is conducted on the basis of the relevant provisions of the D</w:t>
      </w:r>
      <w:r w:rsidR="00B80A3C" w:rsidRPr="008704BD">
        <w:rPr>
          <w:rFonts w:ascii="Times New Roman" w:hAnsi="Times New Roman"/>
          <w:noProof/>
          <w:sz w:val="24"/>
        </w:rPr>
        <w:t>AC</w:t>
      </w:r>
      <w:r w:rsidRPr="008704BD">
        <w:rPr>
          <w:rFonts w:ascii="Times New Roman" w:hAnsi="Times New Roman"/>
          <w:noProof/>
          <w:sz w:val="24"/>
        </w:rPr>
        <w:t xml:space="preserve"> and its implementing regulation.</w:t>
      </w:r>
    </w:p>
    <w:p w14:paraId="033C8F12" w14:textId="77777777" w:rsidR="006E5F59" w:rsidRPr="008704BD" w:rsidRDefault="005856FF" w:rsidP="00811206">
      <w:pPr>
        <w:jc w:val="both"/>
        <w:rPr>
          <w:rFonts w:ascii="Times New Roman" w:hAnsi="Times New Roman"/>
          <w:noProof/>
          <w:sz w:val="24"/>
        </w:rPr>
      </w:pPr>
      <w:r w:rsidRPr="008704BD">
        <w:rPr>
          <w:rFonts w:ascii="Times New Roman" w:hAnsi="Times New Roman"/>
          <w:noProof/>
          <w:sz w:val="24"/>
        </w:rPr>
        <w:t>As</w:t>
      </w:r>
      <w:r w:rsidR="00973547" w:rsidRPr="008704BD">
        <w:rPr>
          <w:rFonts w:ascii="Times New Roman" w:hAnsi="Times New Roman"/>
          <w:noProof/>
          <w:sz w:val="24"/>
        </w:rPr>
        <w:t xml:space="preserve"> the implementation of the </w:t>
      </w:r>
      <w:r w:rsidR="60A47A8C" w:rsidRPr="008704BD">
        <w:rPr>
          <w:rFonts w:ascii="Times New Roman" w:hAnsi="Times New Roman"/>
          <w:noProof/>
          <w:sz w:val="24"/>
        </w:rPr>
        <w:t>initiative</w:t>
      </w:r>
      <w:r w:rsidRPr="008704BD">
        <w:rPr>
          <w:rFonts w:ascii="Times New Roman" w:hAnsi="Times New Roman"/>
          <w:noProof/>
          <w:sz w:val="24"/>
        </w:rPr>
        <w:t xml:space="preserve"> is likely to</w:t>
      </w:r>
      <w:r w:rsidR="00973547" w:rsidRPr="008704BD">
        <w:rPr>
          <w:rFonts w:ascii="Times New Roman" w:hAnsi="Times New Roman"/>
          <w:noProof/>
          <w:sz w:val="24"/>
        </w:rPr>
        <w:t xml:space="preserve"> start after 2022, the Commission will report </w:t>
      </w:r>
      <w:r w:rsidR="13502AC9" w:rsidRPr="008704BD">
        <w:rPr>
          <w:rFonts w:ascii="Times New Roman" w:hAnsi="Times New Roman"/>
          <w:noProof/>
          <w:sz w:val="24"/>
        </w:rPr>
        <w:t xml:space="preserve">on this initiative </w:t>
      </w:r>
      <w:r w:rsidR="00973547" w:rsidRPr="008704BD">
        <w:rPr>
          <w:rFonts w:ascii="Times New Roman" w:hAnsi="Times New Roman"/>
          <w:noProof/>
          <w:sz w:val="24"/>
        </w:rPr>
        <w:t xml:space="preserve">as part of the third report </w:t>
      </w:r>
      <w:r w:rsidRPr="008704BD">
        <w:rPr>
          <w:rFonts w:ascii="Times New Roman" w:hAnsi="Times New Roman"/>
          <w:noProof/>
          <w:sz w:val="24"/>
        </w:rPr>
        <w:t xml:space="preserve">to the European Parliament and the Council on the effectiveness and efficiency </w:t>
      </w:r>
      <w:r w:rsidR="00973547" w:rsidRPr="008704BD">
        <w:rPr>
          <w:rFonts w:ascii="Times New Roman" w:hAnsi="Times New Roman"/>
          <w:noProof/>
          <w:sz w:val="24"/>
        </w:rPr>
        <w:t>o</w:t>
      </w:r>
      <w:r w:rsidR="3EEC1FBE" w:rsidRPr="008704BD">
        <w:rPr>
          <w:rFonts w:ascii="Times New Roman" w:hAnsi="Times New Roman"/>
          <w:noProof/>
          <w:sz w:val="24"/>
        </w:rPr>
        <w:t>f</w:t>
      </w:r>
      <w:r w:rsidR="00973547" w:rsidRPr="008704BD">
        <w:rPr>
          <w:rFonts w:ascii="Times New Roman" w:hAnsi="Times New Roman"/>
          <w:noProof/>
          <w:sz w:val="24"/>
        </w:rPr>
        <w:t xml:space="preserve"> the application of the DAC, currently due by 1 January 2028.</w:t>
      </w:r>
      <w:r w:rsidRPr="008704BD">
        <w:rPr>
          <w:rStyle w:val="FootnoteReference"/>
          <w:rFonts w:ascii="Times New Roman" w:hAnsi="Times New Roman"/>
          <w:noProof/>
          <w:sz w:val="24"/>
        </w:rPr>
        <w:footnoteReference w:id="46"/>
      </w:r>
    </w:p>
    <w:p w14:paraId="45495B1D" w14:textId="77777777" w:rsidR="001E4DF5" w:rsidRPr="007D50F0" w:rsidRDefault="001E4DF5" w:rsidP="003449EB">
      <w:pPr>
        <w:jc w:val="both"/>
        <w:rPr>
          <w:noProof/>
        </w:rPr>
      </w:pPr>
      <w:r w:rsidRPr="003449EB">
        <w:rPr>
          <w:rFonts w:ascii="Times New Roman" w:hAnsi="Times New Roman"/>
          <w:noProof/>
          <w:sz w:val="24"/>
        </w:rPr>
        <w:t xml:space="preserve">The initiative's overall success would mean Member States’ tax authorities obtain the necessary information to complete one of their core missions, which is to efficiently control and assess the correctness of taxpayers' income tax returns. In other words, it would improve the ability of Member States to detect and address cross-border tax fraud, tax evasion and tax avoidance. Currently, tax authorities lack the necessary information to control the correctness of the capital gains resulting from crypto-assets declared. Success would also mean that taxpayers would be deterred from </w:t>
      </w:r>
      <w:r w:rsidR="004A749B">
        <w:rPr>
          <w:rFonts w:ascii="Times New Roman" w:hAnsi="Times New Roman"/>
          <w:noProof/>
          <w:sz w:val="24"/>
        </w:rPr>
        <w:t>non-complying</w:t>
      </w:r>
      <w:r w:rsidRPr="003449EB">
        <w:rPr>
          <w:rFonts w:ascii="Times New Roman" w:hAnsi="Times New Roman"/>
          <w:noProof/>
          <w:sz w:val="24"/>
        </w:rPr>
        <w:t xml:space="preserve"> </w:t>
      </w:r>
      <w:r w:rsidR="004A749B">
        <w:rPr>
          <w:rFonts w:ascii="Times New Roman" w:hAnsi="Times New Roman"/>
          <w:noProof/>
          <w:sz w:val="24"/>
        </w:rPr>
        <w:t>with</w:t>
      </w:r>
      <w:r w:rsidRPr="003449EB">
        <w:rPr>
          <w:rFonts w:ascii="Times New Roman" w:hAnsi="Times New Roman"/>
          <w:noProof/>
          <w:sz w:val="24"/>
        </w:rPr>
        <w:t xml:space="preserve"> their tax obligation, would change their behaviour and </w:t>
      </w:r>
      <w:r w:rsidR="004A749B">
        <w:rPr>
          <w:rFonts w:ascii="Times New Roman" w:hAnsi="Times New Roman"/>
          <w:noProof/>
          <w:sz w:val="24"/>
        </w:rPr>
        <w:t xml:space="preserve">correctly </w:t>
      </w:r>
      <w:r w:rsidRPr="003449EB">
        <w:rPr>
          <w:rFonts w:ascii="Times New Roman" w:hAnsi="Times New Roman"/>
          <w:noProof/>
          <w:sz w:val="24"/>
        </w:rPr>
        <w:t>report the</w:t>
      </w:r>
      <w:r w:rsidR="004A749B">
        <w:rPr>
          <w:rFonts w:ascii="Times New Roman" w:hAnsi="Times New Roman"/>
          <w:noProof/>
          <w:sz w:val="24"/>
        </w:rPr>
        <w:t>ir</w:t>
      </w:r>
      <w:r>
        <w:rPr>
          <w:rFonts w:ascii="Times New Roman" w:hAnsi="Times New Roman"/>
          <w:noProof/>
          <w:sz w:val="24"/>
        </w:rPr>
        <w:t xml:space="preserve"> </w:t>
      </w:r>
      <w:r w:rsidRPr="003449EB">
        <w:rPr>
          <w:rFonts w:ascii="Times New Roman" w:hAnsi="Times New Roman"/>
          <w:noProof/>
          <w:sz w:val="24"/>
        </w:rPr>
        <w:t>income.</w:t>
      </w:r>
    </w:p>
    <w:p w14:paraId="2A393C82" w14:textId="77777777" w:rsidR="001E4DF5" w:rsidRPr="0025486F" w:rsidRDefault="001E4DF5" w:rsidP="003449EB">
      <w:pPr>
        <w:jc w:val="both"/>
        <w:rPr>
          <w:rFonts w:ascii="Times New Roman" w:hAnsi="Times New Roman" w:cs="Times New Roman"/>
          <w:noProof/>
          <w:sz w:val="24"/>
          <w:szCs w:val="24"/>
        </w:rPr>
      </w:pPr>
      <w:r w:rsidRPr="0025486F">
        <w:rPr>
          <w:rFonts w:ascii="Times New Roman" w:hAnsi="Times New Roman" w:cs="Times New Roman"/>
          <w:noProof/>
          <w:sz w:val="24"/>
          <w:szCs w:val="24"/>
        </w:rPr>
        <w:t xml:space="preserve">The data used to measure the success of this initiative, such as the number of controls carried out based on data tax administrations gather via the initiative, the additional tax revenues secured thanks to the initiative or the rate of compliance, are collected mainly through the yearly assessment of the automatic exchange of information. Based on existing provisions of DAC, each Member State has to complete annually a questionnaire (“the DAC yearly assessment”) by providing information on the effectiveness of the automatic exchange of information and the practical results. This questionnaire will be expanded to include this initiative. Similarly to what exists for other provisions of DAC, the Commission will determine, by means of an implementing regulation, a list of statistical data which shall be provided by the Member States for the purposes of the evaluation of this initiative. In particular, the outcome of a Fiscalis Working Group on Key Performance Indicators for DAC </w:t>
      </w:r>
      <w:r w:rsidR="003449EB" w:rsidRPr="0025486F">
        <w:rPr>
          <w:rFonts w:ascii="Times New Roman" w:hAnsi="Times New Roman" w:cs="Times New Roman"/>
          <w:noProof/>
          <w:sz w:val="24"/>
          <w:szCs w:val="24"/>
        </w:rPr>
        <w:t xml:space="preserve">will be used </w:t>
      </w:r>
      <w:r w:rsidRPr="0025486F">
        <w:rPr>
          <w:rFonts w:ascii="Times New Roman" w:hAnsi="Times New Roman" w:cs="Times New Roman"/>
          <w:noProof/>
          <w:sz w:val="24"/>
          <w:szCs w:val="24"/>
        </w:rPr>
        <w:t>in order to improve indicators and controls of the performance of the initiative. This would measure for instance the number of times information received is used as part of a compliance intervention and the number of times the tax base of a taxpayer is adjusted as a result of received information.</w:t>
      </w:r>
    </w:p>
    <w:p w14:paraId="70D310F4" w14:textId="77777777" w:rsidR="006E5F59" w:rsidRPr="003449EB" w:rsidRDefault="006E5F59" w:rsidP="003449EB">
      <w:pPr>
        <w:jc w:val="both"/>
        <w:rPr>
          <w:rFonts w:ascii="Times New Roman" w:hAnsi="Times New Roman" w:cs="Times New Roman"/>
          <w:noProof/>
          <w:sz w:val="24"/>
        </w:rPr>
      </w:pPr>
      <w:r w:rsidRPr="003449EB">
        <w:rPr>
          <w:rFonts w:ascii="Times New Roman" w:hAnsi="Times New Roman" w:cs="Times New Roman"/>
          <w:noProof/>
          <w:sz w:val="24"/>
        </w:rPr>
        <w:br w:type="page"/>
      </w:r>
    </w:p>
    <w:p w14:paraId="6C3E56A6" w14:textId="77777777" w:rsidR="006E5F59" w:rsidRPr="006E5F59" w:rsidRDefault="006E5F59" w:rsidP="006E5F59">
      <w:pPr>
        <w:pStyle w:val="Heading1"/>
        <w:rPr>
          <w:rFonts w:ascii="Times New Roman" w:hAnsi="Times New Roman" w:cs="Times New Roman"/>
          <w:noProof/>
        </w:rPr>
      </w:pPr>
      <w:bookmarkStart w:id="462" w:name="_Toc84520058"/>
      <w:bookmarkStart w:id="463" w:name="_Toc84579923"/>
      <w:bookmarkStart w:id="464" w:name="_Toc85052218"/>
      <w:bookmarkStart w:id="465" w:name="_Toc139233990"/>
      <w:bookmarkStart w:id="466" w:name="_Toc598047680"/>
      <w:bookmarkStart w:id="467" w:name="_Toc1804039037"/>
      <w:bookmarkStart w:id="468" w:name="_Toc93306894"/>
      <w:r w:rsidRPr="41BAA3BB">
        <w:rPr>
          <w:rFonts w:ascii="Times New Roman" w:hAnsi="Times New Roman" w:cs="Times New Roman"/>
          <w:noProof/>
        </w:rPr>
        <w:t>ANNEX 1:</w:t>
      </w:r>
      <w:r>
        <w:rPr>
          <w:noProof/>
        </w:rPr>
        <w:tab/>
      </w:r>
      <w:r w:rsidRPr="41BAA3BB">
        <w:rPr>
          <w:rFonts w:ascii="Times New Roman" w:hAnsi="Times New Roman" w:cs="Times New Roman"/>
          <w:noProof/>
        </w:rPr>
        <w:t>PROCEDURAL INFORMATION</w:t>
      </w:r>
      <w:bookmarkEnd w:id="462"/>
      <w:bookmarkEnd w:id="463"/>
      <w:bookmarkEnd w:id="464"/>
      <w:bookmarkEnd w:id="465"/>
      <w:bookmarkEnd w:id="466"/>
      <w:bookmarkEnd w:id="467"/>
      <w:bookmarkEnd w:id="468"/>
    </w:p>
    <w:p w14:paraId="4410AD48" w14:textId="61F3B430" w:rsidR="006E5F59" w:rsidRPr="008704BD" w:rsidRDefault="006E5F59" w:rsidP="006E5F59">
      <w:pPr>
        <w:pStyle w:val="Default"/>
        <w:rPr>
          <w:rFonts w:ascii="Times New Roman" w:hAnsi="Times New Roman"/>
          <w:noProof/>
          <w:lang w:val="en-GB"/>
        </w:rPr>
      </w:pPr>
    </w:p>
    <w:p w14:paraId="4ED48E01" w14:textId="77777777" w:rsidR="006E5F59" w:rsidRPr="009E2CE3" w:rsidRDefault="006E5F59" w:rsidP="009E2CE3">
      <w:pPr>
        <w:pStyle w:val="Default"/>
        <w:rPr>
          <w:rFonts w:ascii="Times New Roman" w:hAnsi="Times New Roman" w:cs="Times New Roman"/>
          <w:b/>
          <w:bCs/>
          <w:noProof/>
          <w:lang w:val="en-GB"/>
        </w:rPr>
      </w:pPr>
      <w:r w:rsidRPr="009E2CE3">
        <w:rPr>
          <w:rFonts w:ascii="Times New Roman" w:hAnsi="Times New Roman" w:cs="Times New Roman"/>
          <w:b/>
          <w:bCs/>
          <w:noProof/>
          <w:lang w:val="en-GB"/>
        </w:rPr>
        <w:t xml:space="preserve">DG TAXUD, PLAN/2020/8658. </w:t>
      </w:r>
    </w:p>
    <w:p w14:paraId="4B5896F4" w14:textId="77777777" w:rsidR="006E5F59" w:rsidRPr="008704BD" w:rsidRDefault="006E5F59" w:rsidP="006E5F59">
      <w:pPr>
        <w:pStyle w:val="Default"/>
        <w:jc w:val="both"/>
        <w:rPr>
          <w:rFonts w:ascii="Times New Roman" w:hAnsi="Times New Roman"/>
          <w:noProof/>
          <w:lang w:val="en-GB"/>
        </w:rPr>
      </w:pPr>
    </w:p>
    <w:p w14:paraId="20A3D945"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 initiative is part of the Action plan for fair and simple taxation supporting the recovery strategy</w:t>
      </w:r>
      <w:r w:rsidRPr="008704BD">
        <w:rPr>
          <w:rStyle w:val="FootnoteReference"/>
          <w:rFonts w:ascii="Times New Roman" w:hAnsi="Times New Roman"/>
          <w:noProof/>
          <w:sz w:val="24"/>
        </w:rPr>
        <w:footnoteReference w:id="47"/>
      </w:r>
      <w:r w:rsidRPr="008704BD">
        <w:rPr>
          <w:rFonts w:ascii="Times New Roman" w:hAnsi="Times New Roman"/>
          <w:noProof/>
          <w:sz w:val="24"/>
        </w:rPr>
        <w:t xml:space="preserve"> and listed in the Commission Work Program 2021, Annex I, priority: “An economy that works for people”, initiative number 15.</w:t>
      </w:r>
    </w:p>
    <w:p w14:paraId="48D3029C" w14:textId="77777777" w:rsidR="006E5F59" w:rsidRPr="008704BD" w:rsidRDefault="006E5F59" w:rsidP="006E5F59">
      <w:pPr>
        <w:autoSpaceDE w:val="0"/>
        <w:autoSpaceDN w:val="0"/>
        <w:adjustRightInd w:val="0"/>
        <w:spacing w:after="0"/>
        <w:jc w:val="both"/>
        <w:rPr>
          <w:rFonts w:ascii="Times New Roman" w:hAnsi="Times New Roman"/>
          <w:b/>
          <w:noProof/>
          <w:color w:val="000000"/>
          <w:sz w:val="24"/>
        </w:rPr>
      </w:pPr>
      <w:r w:rsidRPr="008704BD">
        <w:rPr>
          <w:rFonts w:ascii="Times New Roman" w:hAnsi="Times New Roman"/>
          <w:b/>
          <w:noProof/>
          <w:color w:val="000000"/>
          <w:sz w:val="24"/>
        </w:rPr>
        <w:t xml:space="preserve">Organisation and timing </w:t>
      </w:r>
    </w:p>
    <w:p w14:paraId="6217ECA4" w14:textId="77777777" w:rsidR="006E5F59" w:rsidRPr="008704BD" w:rsidRDefault="006E5F59" w:rsidP="006E5F59">
      <w:pPr>
        <w:autoSpaceDE w:val="0"/>
        <w:autoSpaceDN w:val="0"/>
        <w:adjustRightInd w:val="0"/>
        <w:spacing w:after="0"/>
        <w:jc w:val="both"/>
        <w:rPr>
          <w:rFonts w:ascii="Times New Roman" w:hAnsi="Times New Roman"/>
          <w:noProof/>
          <w:color w:val="000000"/>
          <w:sz w:val="24"/>
        </w:rPr>
      </w:pPr>
    </w:p>
    <w:p w14:paraId="4ADE44D7" w14:textId="77777777" w:rsidR="006E5F59" w:rsidRPr="008704BD" w:rsidRDefault="006E5F59" w:rsidP="006E5F59">
      <w:pPr>
        <w:jc w:val="both"/>
        <w:rPr>
          <w:rFonts w:ascii="Times New Roman" w:hAnsi="Times New Roman"/>
          <w:noProof/>
          <w:color w:val="000000"/>
          <w:sz w:val="24"/>
        </w:rPr>
      </w:pPr>
      <w:r w:rsidRPr="008704BD">
        <w:rPr>
          <w:rFonts w:ascii="Times New Roman" w:hAnsi="Times New Roman"/>
          <w:noProof/>
          <w:color w:val="000000"/>
          <w:sz w:val="24"/>
        </w:rPr>
        <w:t xml:space="preserve">An inter-service steering group was set up to steer and provide input to this impact assessment report. The steering group met 3 times before the report was submitted to the Regulatory Scrutiny </w:t>
      </w:r>
      <w:r w:rsidR="0030003D">
        <w:rPr>
          <w:rFonts w:ascii="Times New Roman" w:hAnsi="Times New Roman"/>
          <w:noProof/>
          <w:color w:val="000000"/>
          <w:sz w:val="24"/>
        </w:rPr>
        <w:t>Board</w:t>
      </w:r>
      <w:r w:rsidRPr="008704BD">
        <w:rPr>
          <w:rFonts w:ascii="Times New Roman" w:hAnsi="Times New Roman"/>
          <w:noProof/>
          <w:color w:val="000000"/>
          <w:sz w:val="24"/>
        </w:rPr>
        <w:t>.</w:t>
      </w:r>
    </w:p>
    <w:p w14:paraId="4C03D036" w14:textId="77777777" w:rsidR="006E5F59" w:rsidRPr="008704BD" w:rsidRDefault="006E5F59" w:rsidP="006E5F59">
      <w:pPr>
        <w:autoSpaceDE w:val="0"/>
        <w:autoSpaceDN w:val="0"/>
        <w:adjustRightInd w:val="0"/>
        <w:spacing w:after="0"/>
        <w:jc w:val="both"/>
        <w:rPr>
          <w:rFonts w:ascii="Times New Roman" w:hAnsi="Times New Roman"/>
          <w:b/>
          <w:noProof/>
          <w:color w:val="000000"/>
          <w:sz w:val="24"/>
        </w:rPr>
      </w:pPr>
      <w:r w:rsidRPr="008704BD">
        <w:rPr>
          <w:rFonts w:ascii="Times New Roman" w:hAnsi="Times New Roman"/>
          <w:b/>
          <w:noProof/>
          <w:color w:val="000000"/>
          <w:sz w:val="24"/>
        </w:rPr>
        <w:t xml:space="preserve">Consultation of the Regulatory Scrutiny Board </w:t>
      </w:r>
    </w:p>
    <w:p w14:paraId="495774DE" w14:textId="77777777" w:rsidR="006E5F59" w:rsidRPr="008704BD" w:rsidRDefault="006E5F59" w:rsidP="006E5F59">
      <w:pPr>
        <w:autoSpaceDE w:val="0"/>
        <w:autoSpaceDN w:val="0"/>
        <w:adjustRightInd w:val="0"/>
        <w:spacing w:after="0"/>
        <w:jc w:val="both"/>
        <w:rPr>
          <w:rFonts w:ascii="Times New Roman" w:hAnsi="Times New Roman"/>
          <w:noProof/>
          <w:color w:val="000000"/>
          <w:sz w:val="24"/>
        </w:rPr>
      </w:pPr>
    </w:p>
    <w:p w14:paraId="3B2B4CE7" w14:textId="77777777" w:rsidR="006E5F59" w:rsidRPr="008704BD" w:rsidRDefault="006E5F59" w:rsidP="006E5F59">
      <w:pPr>
        <w:jc w:val="both"/>
        <w:rPr>
          <w:rFonts w:ascii="Times New Roman" w:hAnsi="Times New Roman"/>
          <w:noProof/>
          <w:color w:val="000000"/>
          <w:sz w:val="24"/>
        </w:rPr>
      </w:pPr>
      <w:r w:rsidRPr="008704BD">
        <w:rPr>
          <w:rFonts w:ascii="Times New Roman" w:hAnsi="Times New Roman"/>
          <w:noProof/>
          <w:color w:val="000000"/>
          <w:sz w:val="24"/>
        </w:rPr>
        <w:t xml:space="preserve">On </w:t>
      </w:r>
      <w:r w:rsidR="003449EB">
        <w:rPr>
          <w:rFonts w:ascii="Times New Roman" w:hAnsi="Times New Roman"/>
          <w:noProof/>
          <w:color w:val="000000"/>
          <w:sz w:val="24"/>
        </w:rPr>
        <w:t>11</w:t>
      </w:r>
      <w:r w:rsidR="0030003D">
        <w:rPr>
          <w:rFonts w:ascii="Times New Roman" w:hAnsi="Times New Roman"/>
          <w:noProof/>
          <w:color w:val="000000"/>
          <w:sz w:val="24"/>
        </w:rPr>
        <w:t xml:space="preserve"> </w:t>
      </w:r>
      <w:r w:rsidR="003449EB">
        <w:rPr>
          <w:rFonts w:ascii="Times New Roman" w:hAnsi="Times New Roman"/>
          <w:noProof/>
          <w:color w:val="000000"/>
          <w:sz w:val="24"/>
        </w:rPr>
        <w:t>October 2021</w:t>
      </w:r>
      <w:r w:rsidRPr="008704BD">
        <w:rPr>
          <w:rFonts w:ascii="Times New Roman" w:hAnsi="Times New Roman"/>
          <w:noProof/>
          <w:color w:val="000000"/>
          <w:sz w:val="24"/>
        </w:rPr>
        <w:t xml:space="preserve">, a draft version of the impact assessment was presented to the Regulatory Scrutiny Board. On </w:t>
      </w:r>
      <w:r w:rsidR="004239BF">
        <w:rPr>
          <w:rFonts w:ascii="Times New Roman" w:hAnsi="Times New Roman"/>
          <w:noProof/>
          <w:color w:val="000000"/>
          <w:sz w:val="24"/>
        </w:rPr>
        <w:t>12</w:t>
      </w:r>
      <w:r w:rsidR="003449EB">
        <w:rPr>
          <w:rFonts w:ascii="Times New Roman" w:hAnsi="Times New Roman"/>
          <w:noProof/>
          <w:color w:val="000000"/>
          <w:sz w:val="24"/>
        </w:rPr>
        <w:t xml:space="preserve"> November 2021</w:t>
      </w:r>
      <w:r w:rsidRPr="008704BD">
        <w:rPr>
          <w:rFonts w:ascii="Times New Roman" w:hAnsi="Times New Roman"/>
          <w:noProof/>
          <w:color w:val="000000"/>
          <w:sz w:val="24"/>
        </w:rPr>
        <w:t>, the RSB issued a positive opinion with reservations. Afterwards, the draft report has been revised in order to take into account the recommendations for improvement, as explained in more detail in the table below.</w:t>
      </w:r>
    </w:p>
    <w:tbl>
      <w:tblPr>
        <w:tblStyle w:val="TableGrid"/>
        <w:tblW w:w="0" w:type="auto"/>
        <w:tblLook w:val="04A0" w:firstRow="1" w:lastRow="0" w:firstColumn="1" w:lastColumn="0" w:noHBand="0" w:noVBand="1"/>
      </w:tblPr>
      <w:tblGrid>
        <w:gridCol w:w="4644"/>
        <w:gridCol w:w="4644"/>
      </w:tblGrid>
      <w:tr w:rsidR="006E5F59" w:rsidRPr="00D312CE" w14:paraId="3D6DBC3A" w14:textId="77777777" w:rsidTr="00314F02">
        <w:tc>
          <w:tcPr>
            <w:tcW w:w="4644" w:type="dxa"/>
          </w:tcPr>
          <w:p w14:paraId="0732151C" w14:textId="77777777" w:rsidR="006E5F59" w:rsidRPr="0025486F" w:rsidRDefault="006E5F59" w:rsidP="00314F02">
            <w:pPr>
              <w:rPr>
                <w:rFonts w:ascii="Times New Roman" w:hAnsi="Times New Roman"/>
                <w:noProof/>
                <w:color w:val="000000"/>
                <w:sz w:val="24"/>
              </w:rPr>
            </w:pPr>
            <w:r w:rsidRPr="0025486F">
              <w:rPr>
                <w:rFonts w:ascii="Times New Roman" w:hAnsi="Times New Roman"/>
                <w:noProof/>
                <w:color w:val="000000"/>
                <w:sz w:val="24"/>
              </w:rPr>
              <w:t>RSB recommendations</w:t>
            </w:r>
          </w:p>
        </w:tc>
        <w:tc>
          <w:tcPr>
            <w:tcW w:w="4644" w:type="dxa"/>
          </w:tcPr>
          <w:p w14:paraId="276088D3" w14:textId="77777777" w:rsidR="006E5F59" w:rsidRPr="008704BD" w:rsidRDefault="006E5F59" w:rsidP="00314F02">
            <w:pPr>
              <w:rPr>
                <w:rFonts w:ascii="Times New Roman" w:hAnsi="Times New Roman"/>
                <w:noProof/>
                <w:color w:val="000000"/>
                <w:sz w:val="24"/>
              </w:rPr>
            </w:pPr>
            <w:r w:rsidRPr="0025486F">
              <w:rPr>
                <w:rFonts w:ascii="Times New Roman" w:hAnsi="Times New Roman"/>
                <w:noProof/>
                <w:color w:val="000000"/>
                <w:sz w:val="24"/>
              </w:rPr>
              <w:t>How have the recommendations led to changes to the report?</w:t>
            </w:r>
          </w:p>
        </w:tc>
      </w:tr>
      <w:tr w:rsidR="006E5F59" w:rsidRPr="00D312CE" w14:paraId="482F09CB" w14:textId="77777777" w:rsidTr="00314F02">
        <w:tc>
          <w:tcPr>
            <w:tcW w:w="4644" w:type="dxa"/>
          </w:tcPr>
          <w:p w14:paraId="35DAD20A"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The report should define in more depth the different types of crypto-assets, and clarify </w:t>
            </w:r>
          </w:p>
          <w:p w14:paraId="26B8A2B9"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which types are in and out of scope for this initiative. This is particularly relevant as </w:t>
            </w:r>
          </w:p>
          <w:p w14:paraId="14476BED"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regards utility tokens and non-marketable crypto-assets. In addition, the report should </w:t>
            </w:r>
          </w:p>
          <w:p w14:paraId="130418F9" w14:textId="77777777" w:rsidR="006E5F59" w:rsidRPr="008704BD" w:rsidRDefault="004239BF" w:rsidP="004239BF">
            <w:pPr>
              <w:rPr>
                <w:rFonts w:ascii="Times New Roman" w:hAnsi="Times New Roman"/>
                <w:noProof/>
                <w:color w:val="000000"/>
                <w:sz w:val="24"/>
              </w:rPr>
            </w:pPr>
            <w:r w:rsidRPr="004239BF">
              <w:rPr>
                <w:rFonts w:ascii="Times New Roman" w:hAnsi="Times New Roman"/>
                <w:noProof/>
                <w:color w:val="000000"/>
                <w:sz w:val="24"/>
              </w:rPr>
              <w:t>provide a more detailed definition on crypto-asset service providers (CASPs) in scope.</w:t>
            </w:r>
          </w:p>
        </w:tc>
        <w:tc>
          <w:tcPr>
            <w:tcW w:w="4644" w:type="dxa"/>
          </w:tcPr>
          <w:p w14:paraId="1F3ED2F0" w14:textId="77777777" w:rsidR="006E5F59" w:rsidRPr="008704BD" w:rsidRDefault="00416FB5" w:rsidP="00314F02">
            <w:pPr>
              <w:rPr>
                <w:rFonts w:ascii="Times New Roman" w:hAnsi="Times New Roman"/>
                <w:noProof/>
                <w:color w:val="000000"/>
                <w:sz w:val="24"/>
              </w:rPr>
            </w:pPr>
            <w:r>
              <w:rPr>
                <w:rFonts w:ascii="Times New Roman" w:hAnsi="Times New Roman"/>
                <w:noProof/>
                <w:color w:val="000000"/>
                <w:sz w:val="24"/>
              </w:rPr>
              <w:t>Further definitions have been added in chapter 5.</w:t>
            </w:r>
          </w:p>
        </w:tc>
      </w:tr>
      <w:tr w:rsidR="006E5F59" w:rsidRPr="00D312CE" w14:paraId="0860B868" w14:textId="77777777" w:rsidTr="00314F02">
        <w:tc>
          <w:tcPr>
            <w:tcW w:w="4644" w:type="dxa"/>
          </w:tcPr>
          <w:p w14:paraId="4F978AF6"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The report should clarify what legislative gaps it aims to fill. It should better explain </w:t>
            </w:r>
          </w:p>
          <w:p w14:paraId="03BACD85"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how overlaps will be avoided with the ongoing AML Directive and how it will build on the MiCA initiative. It should describe in more detail how this initiative will build on and interact with the evolving measures emerging from the OECD discussions. It should clearly explain how this initiative will ensure compatibility and avoid duplication, </w:t>
            </w:r>
          </w:p>
          <w:p w14:paraId="306B2C1A"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including by recalling the standard practice to bring OECD agreements into EU law </w:t>
            </w:r>
          </w:p>
          <w:p w14:paraId="1A87B18C" w14:textId="77777777" w:rsidR="006E5F59" w:rsidRPr="0025486F" w:rsidRDefault="004239BF" w:rsidP="00416FB5">
            <w:pPr>
              <w:rPr>
                <w:rFonts w:ascii="Times New Roman" w:hAnsi="Times New Roman"/>
                <w:noProof/>
                <w:color w:val="000000"/>
                <w:sz w:val="24"/>
              </w:rPr>
            </w:pPr>
            <w:r w:rsidRPr="004239BF">
              <w:rPr>
                <w:rFonts w:ascii="Times New Roman" w:hAnsi="Times New Roman"/>
                <w:noProof/>
                <w:color w:val="000000"/>
                <w:sz w:val="24"/>
              </w:rPr>
              <w:t>through directives. The report should also more explicitly describe the changes referred to as ‘fine-tuning’, clarifying their content and impact as well as to what extent there remains any policy choice.</w:t>
            </w:r>
          </w:p>
        </w:tc>
        <w:tc>
          <w:tcPr>
            <w:tcW w:w="4644" w:type="dxa"/>
          </w:tcPr>
          <w:p w14:paraId="62B30200" w14:textId="4372E627" w:rsidR="006E5F59" w:rsidRPr="008704BD" w:rsidRDefault="00416FB5" w:rsidP="00314F02">
            <w:pPr>
              <w:rPr>
                <w:rFonts w:ascii="Times New Roman" w:hAnsi="Times New Roman"/>
                <w:noProof/>
                <w:color w:val="000000"/>
                <w:sz w:val="24"/>
              </w:rPr>
            </w:pPr>
            <w:r>
              <w:rPr>
                <w:rFonts w:ascii="Times New Roman" w:hAnsi="Times New Roman"/>
                <w:noProof/>
                <w:color w:val="000000"/>
                <w:sz w:val="24"/>
              </w:rPr>
              <w:t>Explanations have been developed further in Chapter 2</w:t>
            </w:r>
            <w:r w:rsidR="00DE7BF1">
              <w:rPr>
                <w:rFonts w:ascii="Times New Roman" w:hAnsi="Times New Roman"/>
                <w:noProof/>
                <w:color w:val="000000"/>
                <w:sz w:val="24"/>
              </w:rPr>
              <w:t xml:space="preserve"> and annex 6 has been added</w:t>
            </w:r>
            <w:r>
              <w:rPr>
                <w:rFonts w:ascii="Times New Roman" w:hAnsi="Times New Roman"/>
                <w:noProof/>
                <w:color w:val="000000"/>
                <w:sz w:val="24"/>
              </w:rPr>
              <w:t>.</w:t>
            </w:r>
          </w:p>
        </w:tc>
      </w:tr>
      <w:tr w:rsidR="006E5F59" w:rsidRPr="00D312CE" w14:paraId="0C1BC2CF" w14:textId="77777777" w:rsidTr="00314F02">
        <w:tc>
          <w:tcPr>
            <w:tcW w:w="4644" w:type="dxa"/>
          </w:tcPr>
          <w:p w14:paraId="018F31AC"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The report should outline and discuss all feasible options, realistic combinations of </w:t>
            </w:r>
          </w:p>
          <w:p w14:paraId="6D713653"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measures and discarded options. Based on the clarification of the crypto-assets in scope, it </w:t>
            </w:r>
          </w:p>
          <w:p w14:paraId="2B3DF9C1"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should present the options in a way that their differences, for instance in terms of measures </w:t>
            </w:r>
          </w:p>
          <w:p w14:paraId="03A319D7"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included, can be effectively assessed and compared with each other. The report should </w:t>
            </w:r>
          </w:p>
          <w:p w14:paraId="2322ED7A"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present the precise content of some options as regards SME thresholds and aggregated </w:t>
            </w:r>
          </w:p>
          <w:p w14:paraId="0DFD26C8" w14:textId="77777777" w:rsidR="006E5F59" w:rsidRPr="008704BD" w:rsidRDefault="004239BF" w:rsidP="00416FB5">
            <w:pPr>
              <w:rPr>
                <w:rFonts w:ascii="Times New Roman" w:hAnsi="Times New Roman"/>
                <w:noProof/>
                <w:color w:val="000000"/>
                <w:sz w:val="24"/>
              </w:rPr>
            </w:pPr>
            <w:r w:rsidRPr="004239BF">
              <w:rPr>
                <w:rFonts w:ascii="Times New Roman" w:hAnsi="Times New Roman"/>
                <w:noProof/>
                <w:color w:val="000000"/>
                <w:sz w:val="24"/>
              </w:rPr>
              <w:t>reporting forms. It should systematically consider suitable exemptions or lighter regimes for SMEs, or explain why these are not appropriate under all options. It should explain how ‘future-proof’ the options are. It should describe how the proposed IT solutions are applicable to the different options.</w:t>
            </w:r>
          </w:p>
        </w:tc>
        <w:tc>
          <w:tcPr>
            <w:tcW w:w="4644" w:type="dxa"/>
          </w:tcPr>
          <w:p w14:paraId="43C588BE" w14:textId="77777777" w:rsidR="006E5F59" w:rsidRPr="008704BD" w:rsidRDefault="00416FB5" w:rsidP="00314F02">
            <w:pPr>
              <w:rPr>
                <w:rFonts w:ascii="Times New Roman" w:hAnsi="Times New Roman"/>
                <w:noProof/>
                <w:color w:val="000000"/>
                <w:sz w:val="24"/>
              </w:rPr>
            </w:pPr>
            <w:r>
              <w:rPr>
                <w:rFonts w:ascii="Times New Roman" w:hAnsi="Times New Roman"/>
                <w:noProof/>
                <w:color w:val="000000"/>
                <w:sz w:val="24"/>
              </w:rPr>
              <w:t>The options have been re-worked for increased clarity in Chapter 5. SME thresholds are discussed. The different IT solutions are analysed further in Annex 5.</w:t>
            </w:r>
          </w:p>
        </w:tc>
      </w:tr>
      <w:tr w:rsidR="006E5F59" w:rsidRPr="00D312CE" w14:paraId="3D279825" w14:textId="77777777" w:rsidTr="00314F02">
        <w:tc>
          <w:tcPr>
            <w:tcW w:w="4644" w:type="dxa"/>
          </w:tcPr>
          <w:p w14:paraId="200D3440"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The report should better explain the evidence underpinning the cost and benefit </w:t>
            </w:r>
          </w:p>
          <w:p w14:paraId="359A45CE"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estimates, as well as the robustness of the underlying assumptions and the reliability of the data used. It should assess the risk that the estimated costs and benefits may not </w:t>
            </w:r>
          </w:p>
          <w:p w14:paraId="7A74BF68"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materialise. It should undertake a sensitivity analysis on a uniform 25% tax rate used for </w:t>
            </w:r>
          </w:p>
          <w:p w14:paraId="6BDFF53C"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the additional tax revenue estimates to reflect the variety of tax rates across Member </w:t>
            </w:r>
          </w:p>
          <w:p w14:paraId="09CFF3C3" w14:textId="77777777" w:rsidR="006E5F59" w:rsidRPr="008704BD" w:rsidRDefault="00416FB5" w:rsidP="004239BF">
            <w:pPr>
              <w:rPr>
                <w:rFonts w:ascii="Times New Roman" w:hAnsi="Times New Roman"/>
                <w:noProof/>
                <w:color w:val="000000"/>
                <w:sz w:val="24"/>
              </w:rPr>
            </w:pPr>
            <w:r>
              <w:rPr>
                <w:rFonts w:ascii="Times New Roman" w:hAnsi="Times New Roman"/>
                <w:noProof/>
                <w:color w:val="000000"/>
                <w:sz w:val="24"/>
              </w:rPr>
              <w:t>States.</w:t>
            </w:r>
          </w:p>
        </w:tc>
        <w:tc>
          <w:tcPr>
            <w:tcW w:w="4644" w:type="dxa"/>
          </w:tcPr>
          <w:p w14:paraId="09C74826" w14:textId="77777777" w:rsidR="006E5F59" w:rsidRPr="008704BD" w:rsidRDefault="0025486F" w:rsidP="00314F02">
            <w:pPr>
              <w:rPr>
                <w:rFonts w:ascii="Times New Roman" w:hAnsi="Times New Roman"/>
                <w:noProof/>
                <w:color w:val="000000"/>
                <w:sz w:val="24"/>
              </w:rPr>
            </w:pPr>
            <w:r>
              <w:rPr>
                <w:rFonts w:ascii="Times New Roman" w:hAnsi="Times New Roman"/>
                <w:noProof/>
                <w:color w:val="000000"/>
                <w:sz w:val="24"/>
              </w:rPr>
              <w:t>The evidence and the robustness of assumptions has been explained further in Chapter 6. A sensitivity analysis of the tax rate used has also been carried out.</w:t>
            </w:r>
          </w:p>
        </w:tc>
      </w:tr>
      <w:tr w:rsidR="006E5F59" w:rsidRPr="00D312CE" w14:paraId="44A32AAC" w14:textId="77777777" w:rsidTr="00314F02">
        <w:tc>
          <w:tcPr>
            <w:tcW w:w="4644" w:type="dxa"/>
          </w:tcPr>
          <w:p w14:paraId="3304A214"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When assessing the impacts of the different options, the report should account for the </w:t>
            </w:r>
          </w:p>
          <w:p w14:paraId="53CA9C8D"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costs of second-round requests by tax administrations, both for tax administrations and service providers. It should discuss how the different types of reporting affects the </w:t>
            </w:r>
          </w:p>
          <w:p w14:paraId="1EE4AB69"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effectiveness and efficiency of collecting information on crypto-assets for tax purposes. </w:t>
            </w:r>
          </w:p>
          <w:p w14:paraId="45909AFC" w14:textId="77777777" w:rsidR="006E5F59" w:rsidRPr="008704BD" w:rsidRDefault="004239BF" w:rsidP="004239BF">
            <w:pPr>
              <w:rPr>
                <w:rFonts w:ascii="Times New Roman" w:hAnsi="Times New Roman"/>
                <w:noProof/>
                <w:color w:val="000000"/>
                <w:sz w:val="24"/>
              </w:rPr>
            </w:pPr>
            <w:r w:rsidRPr="004239BF">
              <w:rPr>
                <w:rFonts w:ascii="Times New Roman" w:hAnsi="Times New Roman"/>
                <w:noProof/>
                <w:color w:val="000000"/>
                <w:sz w:val="24"/>
              </w:rPr>
              <w:t>The report should also integrate the impact analysis of the options on the IT system.</w:t>
            </w:r>
          </w:p>
        </w:tc>
        <w:tc>
          <w:tcPr>
            <w:tcW w:w="4644" w:type="dxa"/>
          </w:tcPr>
          <w:p w14:paraId="57968618" w14:textId="77777777" w:rsidR="006E5F59" w:rsidRPr="008704BD" w:rsidRDefault="00416FB5" w:rsidP="00314F02">
            <w:pPr>
              <w:rPr>
                <w:rFonts w:ascii="Times New Roman" w:hAnsi="Times New Roman"/>
                <w:noProof/>
                <w:color w:val="000000"/>
                <w:sz w:val="24"/>
              </w:rPr>
            </w:pPr>
            <w:r>
              <w:rPr>
                <w:rFonts w:ascii="Times New Roman" w:hAnsi="Times New Roman"/>
                <w:noProof/>
                <w:color w:val="000000"/>
                <w:sz w:val="24"/>
              </w:rPr>
              <w:t>Further explanations and clarifications are provided in Chapter 6 and Annexes 3 and 4.</w:t>
            </w:r>
          </w:p>
        </w:tc>
      </w:tr>
      <w:tr w:rsidR="006E5F59" w:rsidRPr="00D312CE" w14:paraId="0BCCFF43" w14:textId="77777777" w:rsidTr="00314F02">
        <w:tc>
          <w:tcPr>
            <w:tcW w:w="4644" w:type="dxa"/>
          </w:tcPr>
          <w:p w14:paraId="42A8EE2A" w14:textId="77777777" w:rsidR="004239BF" w:rsidRPr="004239BF" w:rsidRDefault="004239BF" w:rsidP="004239BF">
            <w:pPr>
              <w:rPr>
                <w:rFonts w:ascii="Times New Roman" w:hAnsi="Times New Roman"/>
                <w:noProof/>
                <w:color w:val="000000"/>
                <w:sz w:val="24"/>
              </w:rPr>
            </w:pPr>
            <w:r w:rsidRPr="004239BF">
              <w:rPr>
                <w:rFonts w:ascii="Times New Roman" w:hAnsi="Times New Roman"/>
                <w:noProof/>
                <w:color w:val="000000"/>
                <w:sz w:val="24"/>
              </w:rPr>
              <w:t xml:space="preserve">The report should provide a better overview of the size and role of different market </w:t>
            </w:r>
          </w:p>
          <w:p w14:paraId="65C58764" w14:textId="77777777" w:rsidR="006E5F59" w:rsidRPr="0025486F" w:rsidRDefault="004239BF" w:rsidP="00416FB5">
            <w:pPr>
              <w:rPr>
                <w:rFonts w:ascii="Times New Roman" w:hAnsi="Times New Roman"/>
                <w:noProof/>
                <w:color w:val="000000"/>
                <w:sz w:val="24"/>
              </w:rPr>
            </w:pPr>
            <w:r w:rsidRPr="004239BF">
              <w:rPr>
                <w:rFonts w:ascii="Times New Roman" w:hAnsi="Times New Roman"/>
                <w:noProof/>
                <w:color w:val="000000"/>
                <w:sz w:val="24"/>
              </w:rPr>
              <w:t xml:space="preserve">actors on the EU crypto-asset market, in particular with respect to third-country players and European SMEs. It should better describe the market dynamics and assess the impacts of the options on the competitiveness of SMEs. It should better explain how proportionate the estimated costs are for SMEs and whether these may prevent the market entry of </w:t>
            </w:r>
            <w:r w:rsidR="00416FB5">
              <w:rPr>
                <w:rFonts w:ascii="Times New Roman" w:hAnsi="Times New Roman"/>
                <w:noProof/>
                <w:color w:val="000000"/>
                <w:sz w:val="24"/>
              </w:rPr>
              <w:t>innovative EU start-ups.</w:t>
            </w:r>
          </w:p>
        </w:tc>
        <w:tc>
          <w:tcPr>
            <w:tcW w:w="4644" w:type="dxa"/>
          </w:tcPr>
          <w:p w14:paraId="65E7E1C4" w14:textId="77777777" w:rsidR="006E5F59" w:rsidRPr="008704BD" w:rsidRDefault="0025486F" w:rsidP="00314F02">
            <w:pPr>
              <w:rPr>
                <w:rFonts w:ascii="Times New Roman" w:hAnsi="Times New Roman"/>
                <w:noProof/>
                <w:color w:val="000000"/>
                <w:sz w:val="24"/>
              </w:rPr>
            </w:pPr>
            <w:r>
              <w:rPr>
                <w:rFonts w:ascii="Times New Roman" w:hAnsi="Times New Roman"/>
                <w:noProof/>
                <w:color w:val="000000"/>
                <w:sz w:val="24"/>
              </w:rPr>
              <w:t>Further descriptions of the market and the assets and actors has been added. The potential effects on SMEs have been elaborated further in Chapters 5 and 6.</w:t>
            </w:r>
          </w:p>
        </w:tc>
      </w:tr>
      <w:tr w:rsidR="006E5F59" w:rsidRPr="00D312CE" w14:paraId="37CF1511" w14:textId="77777777" w:rsidTr="00314F02">
        <w:tc>
          <w:tcPr>
            <w:tcW w:w="4644" w:type="dxa"/>
          </w:tcPr>
          <w:p w14:paraId="526965C3" w14:textId="77777777" w:rsidR="004239BF" w:rsidRPr="0025486F" w:rsidRDefault="004239BF" w:rsidP="004239BF">
            <w:pPr>
              <w:rPr>
                <w:rFonts w:ascii="Times New Roman" w:hAnsi="Times New Roman"/>
                <w:noProof/>
                <w:color w:val="000000"/>
                <w:sz w:val="24"/>
              </w:rPr>
            </w:pPr>
            <w:r w:rsidRPr="0025486F">
              <w:rPr>
                <w:rFonts w:ascii="Times New Roman" w:hAnsi="Times New Roman"/>
                <w:noProof/>
                <w:color w:val="000000"/>
                <w:sz w:val="24"/>
              </w:rPr>
              <w:t xml:space="preserve">The description of the objectives as well as the future monitoring framework should </w:t>
            </w:r>
          </w:p>
          <w:p w14:paraId="3071BB10" w14:textId="77777777" w:rsidR="006E5F59" w:rsidRPr="008704BD" w:rsidRDefault="004239BF" w:rsidP="00416FB5">
            <w:pPr>
              <w:rPr>
                <w:rFonts w:ascii="Times New Roman" w:hAnsi="Times New Roman"/>
                <w:noProof/>
                <w:color w:val="000000"/>
                <w:sz w:val="24"/>
              </w:rPr>
            </w:pPr>
            <w:r w:rsidRPr="0025486F">
              <w:rPr>
                <w:rFonts w:ascii="Times New Roman" w:hAnsi="Times New Roman"/>
                <w:noProof/>
                <w:color w:val="000000"/>
                <w:sz w:val="24"/>
              </w:rPr>
              <w:t>better reflect what success would look like. The report should also better describe how the data collection and the indicators used will ensure that succ</w:t>
            </w:r>
            <w:r w:rsidR="00416FB5" w:rsidRPr="0025486F">
              <w:rPr>
                <w:rFonts w:ascii="Times New Roman" w:hAnsi="Times New Roman"/>
                <w:noProof/>
                <w:color w:val="000000"/>
                <w:sz w:val="24"/>
              </w:rPr>
              <w:t>ess can be measured. It should e</w:t>
            </w:r>
            <w:r w:rsidRPr="0025486F">
              <w:rPr>
                <w:rFonts w:ascii="Times New Roman" w:hAnsi="Times New Roman"/>
                <w:noProof/>
                <w:color w:val="000000"/>
                <w:sz w:val="24"/>
              </w:rPr>
              <w:t>xplain the role that the envisaged implementing measures will play in this regard.</w:t>
            </w:r>
          </w:p>
        </w:tc>
        <w:tc>
          <w:tcPr>
            <w:tcW w:w="4644" w:type="dxa"/>
          </w:tcPr>
          <w:p w14:paraId="16222AC2" w14:textId="77777777" w:rsidR="006E5F59" w:rsidRPr="008704BD" w:rsidRDefault="0025486F" w:rsidP="00314F02">
            <w:pPr>
              <w:rPr>
                <w:rFonts w:ascii="Times New Roman" w:hAnsi="Times New Roman"/>
                <w:noProof/>
                <w:color w:val="000000"/>
                <w:sz w:val="24"/>
              </w:rPr>
            </w:pPr>
            <w:r>
              <w:rPr>
                <w:rFonts w:ascii="Times New Roman" w:hAnsi="Times New Roman"/>
                <w:noProof/>
                <w:color w:val="000000"/>
                <w:sz w:val="24"/>
              </w:rPr>
              <w:t>A description of what success should look like as well as of how to measure results has been added to chapter 9.</w:t>
            </w:r>
          </w:p>
        </w:tc>
      </w:tr>
      <w:tr w:rsidR="004239BF" w:rsidRPr="00D312CE" w14:paraId="6B9D3E85" w14:textId="77777777" w:rsidTr="00314F02">
        <w:tc>
          <w:tcPr>
            <w:tcW w:w="4644" w:type="dxa"/>
          </w:tcPr>
          <w:p w14:paraId="1E67F6AF" w14:textId="77777777" w:rsidR="00416FB5" w:rsidRPr="00416FB5" w:rsidRDefault="00416FB5" w:rsidP="00416FB5">
            <w:pPr>
              <w:rPr>
                <w:rFonts w:ascii="Times New Roman" w:hAnsi="Times New Roman"/>
                <w:noProof/>
                <w:color w:val="000000"/>
                <w:sz w:val="24"/>
              </w:rPr>
            </w:pPr>
            <w:r w:rsidRPr="00416FB5">
              <w:rPr>
                <w:rFonts w:ascii="Times New Roman" w:hAnsi="Times New Roman"/>
                <w:noProof/>
                <w:color w:val="000000"/>
                <w:sz w:val="24"/>
              </w:rPr>
              <w:t xml:space="preserve">The report should better engage with the different stakeholder views in the main </w:t>
            </w:r>
          </w:p>
          <w:p w14:paraId="156F5252" w14:textId="77777777" w:rsidR="00416FB5" w:rsidRPr="00416FB5" w:rsidRDefault="00416FB5" w:rsidP="00416FB5">
            <w:pPr>
              <w:rPr>
                <w:rFonts w:ascii="Times New Roman" w:hAnsi="Times New Roman"/>
                <w:noProof/>
                <w:color w:val="000000"/>
                <w:sz w:val="24"/>
              </w:rPr>
            </w:pPr>
            <w:r w:rsidRPr="00416FB5">
              <w:rPr>
                <w:rFonts w:ascii="Times New Roman" w:hAnsi="Times New Roman"/>
                <w:noProof/>
                <w:color w:val="000000"/>
                <w:sz w:val="24"/>
              </w:rPr>
              <w:t xml:space="preserve">analysis. It should more clearly outline the different views from the main stakeholder </w:t>
            </w:r>
          </w:p>
          <w:p w14:paraId="6AB5D6D9" w14:textId="77777777" w:rsidR="004239BF" w:rsidRPr="004239BF" w:rsidRDefault="00416FB5" w:rsidP="00416FB5">
            <w:pPr>
              <w:rPr>
                <w:rFonts w:ascii="Times New Roman" w:hAnsi="Times New Roman"/>
                <w:noProof/>
                <w:color w:val="000000"/>
                <w:sz w:val="24"/>
              </w:rPr>
            </w:pPr>
            <w:r w:rsidRPr="00416FB5">
              <w:rPr>
                <w:rFonts w:ascii="Times New Roman" w:hAnsi="Times New Roman"/>
                <w:noProof/>
                <w:color w:val="000000"/>
                <w:sz w:val="24"/>
              </w:rPr>
              <w:t>groups such as Member States, CASPs (including SMEs) and tax administrations.</w:t>
            </w:r>
          </w:p>
        </w:tc>
        <w:tc>
          <w:tcPr>
            <w:tcW w:w="4644" w:type="dxa"/>
          </w:tcPr>
          <w:p w14:paraId="5D003279" w14:textId="77777777" w:rsidR="004239BF" w:rsidRPr="008704BD" w:rsidRDefault="00C773F2" w:rsidP="00314F02">
            <w:pPr>
              <w:rPr>
                <w:rFonts w:ascii="Times New Roman" w:hAnsi="Times New Roman"/>
                <w:noProof/>
                <w:color w:val="000000"/>
                <w:sz w:val="24"/>
              </w:rPr>
            </w:pPr>
            <w:r>
              <w:rPr>
                <w:rFonts w:ascii="Times New Roman" w:hAnsi="Times New Roman"/>
                <w:noProof/>
                <w:color w:val="000000"/>
                <w:sz w:val="24"/>
              </w:rPr>
              <w:t xml:space="preserve">Further details on </w:t>
            </w:r>
            <w:r w:rsidR="0025486F">
              <w:rPr>
                <w:rFonts w:ascii="Times New Roman" w:hAnsi="Times New Roman"/>
                <w:noProof/>
                <w:color w:val="000000"/>
                <w:sz w:val="24"/>
              </w:rPr>
              <w:t>consultations</w:t>
            </w:r>
            <w:r>
              <w:rPr>
                <w:rFonts w:ascii="Times New Roman" w:hAnsi="Times New Roman"/>
                <w:noProof/>
                <w:color w:val="000000"/>
                <w:sz w:val="24"/>
              </w:rPr>
              <w:t xml:space="preserve"> have been added to Annex 2.</w:t>
            </w:r>
          </w:p>
        </w:tc>
      </w:tr>
    </w:tbl>
    <w:p w14:paraId="0A746A1B" w14:textId="77777777" w:rsidR="006E5F59" w:rsidRPr="006E5F59" w:rsidRDefault="006E5F59" w:rsidP="006E5F59">
      <w:pPr>
        <w:rPr>
          <w:rFonts w:ascii="Times New Roman" w:hAnsi="Times New Roman" w:cs="Times New Roman"/>
          <w:noProof/>
          <w:color w:val="000000"/>
        </w:rPr>
      </w:pPr>
    </w:p>
    <w:p w14:paraId="2F1755F7" w14:textId="77777777" w:rsidR="006E5F59" w:rsidRPr="008704BD" w:rsidRDefault="006E5F59" w:rsidP="006E5F59">
      <w:pPr>
        <w:autoSpaceDE w:val="0"/>
        <w:autoSpaceDN w:val="0"/>
        <w:adjustRightInd w:val="0"/>
        <w:spacing w:after="0"/>
        <w:jc w:val="both"/>
        <w:rPr>
          <w:rFonts w:ascii="Times New Roman" w:hAnsi="Times New Roman"/>
          <w:b/>
          <w:noProof/>
          <w:color w:val="000000"/>
          <w:sz w:val="24"/>
        </w:rPr>
      </w:pPr>
      <w:r w:rsidRPr="008704BD">
        <w:rPr>
          <w:rFonts w:ascii="Times New Roman" w:hAnsi="Times New Roman"/>
          <w:b/>
          <w:noProof/>
          <w:color w:val="000000" w:themeColor="text1"/>
          <w:sz w:val="24"/>
        </w:rPr>
        <w:t>Evidence, sources and consultations</w:t>
      </w:r>
    </w:p>
    <w:p w14:paraId="2D49BB80" w14:textId="77777777" w:rsidR="006E5F59" w:rsidRPr="008704BD" w:rsidRDefault="006E5F59" w:rsidP="006E5F59">
      <w:pPr>
        <w:autoSpaceDE w:val="0"/>
        <w:autoSpaceDN w:val="0"/>
        <w:adjustRightInd w:val="0"/>
        <w:spacing w:after="0"/>
        <w:jc w:val="both"/>
        <w:rPr>
          <w:rFonts w:ascii="Times New Roman" w:hAnsi="Times New Roman"/>
          <w:noProof/>
          <w:color w:val="000000"/>
          <w:sz w:val="24"/>
        </w:rPr>
      </w:pPr>
    </w:p>
    <w:p w14:paraId="00AADE04" w14:textId="77777777" w:rsidR="006E5F59" w:rsidRPr="008704BD" w:rsidRDefault="006E5F59" w:rsidP="006E5F59">
      <w:pPr>
        <w:autoSpaceDE w:val="0"/>
        <w:autoSpaceDN w:val="0"/>
        <w:adjustRightInd w:val="0"/>
        <w:spacing w:after="0"/>
        <w:jc w:val="both"/>
        <w:rPr>
          <w:rFonts w:ascii="Times New Roman" w:hAnsi="Times New Roman"/>
          <w:noProof/>
          <w:color w:val="000000"/>
          <w:sz w:val="24"/>
        </w:rPr>
      </w:pPr>
      <w:r w:rsidRPr="008704BD">
        <w:rPr>
          <w:rFonts w:ascii="Times New Roman" w:hAnsi="Times New Roman"/>
          <w:noProof/>
          <w:color w:val="000000" w:themeColor="text1"/>
          <w:sz w:val="24"/>
        </w:rPr>
        <w:t xml:space="preserve">The evidence for the impact assessment report was gathered through various activities and from different sources: </w:t>
      </w:r>
    </w:p>
    <w:p w14:paraId="361401FE" w14:textId="77777777" w:rsidR="006E5F59" w:rsidRPr="008704BD" w:rsidRDefault="006E5F59" w:rsidP="006E5F59">
      <w:pPr>
        <w:autoSpaceDE w:val="0"/>
        <w:autoSpaceDN w:val="0"/>
        <w:adjustRightInd w:val="0"/>
        <w:spacing w:after="47"/>
        <w:jc w:val="both"/>
        <w:rPr>
          <w:rFonts w:ascii="Times New Roman" w:hAnsi="Times New Roman"/>
          <w:noProof/>
          <w:color w:val="000000"/>
          <w:sz w:val="24"/>
        </w:rPr>
      </w:pPr>
    </w:p>
    <w:p w14:paraId="389D2C24" w14:textId="77777777" w:rsidR="006E5F59" w:rsidRPr="008704BD" w:rsidRDefault="2F519E63" w:rsidP="006E5F59">
      <w:pPr>
        <w:pStyle w:val="ListParagraph"/>
        <w:numPr>
          <w:ilvl w:val="0"/>
          <w:numId w:val="81"/>
        </w:numPr>
        <w:autoSpaceDE w:val="0"/>
        <w:autoSpaceDN w:val="0"/>
        <w:adjustRightInd w:val="0"/>
        <w:spacing w:after="47" w:line="240" w:lineRule="auto"/>
        <w:jc w:val="both"/>
        <w:rPr>
          <w:rFonts w:ascii="Times New Roman" w:hAnsi="Times New Roman"/>
          <w:noProof/>
          <w:color w:val="000000"/>
          <w:sz w:val="24"/>
        </w:rPr>
      </w:pPr>
      <w:r w:rsidRPr="008704BD">
        <w:rPr>
          <w:rFonts w:ascii="Times New Roman" w:hAnsi="Times New Roman"/>
          <w:noProof/>
          <w:color w:val="000000" w:themeColor="text1"/>
          <w:sz w:val="24"/>
        </w:rPr>
        <w:t>Consultation with the Working Party IV Commission Expert group on direct taxation</w:t>
      </w:r>
    </w:p>
    <w:p w14:paraId="00B32F3C" w14:textId="77777777" w:rsidR="006E5F59" w:rsidRPr="008704BD" w:rsidRDefault="2F519E63" w:rsidP="006E5F59">
      <w:pPr>
        <w:pStyle w:val="ListParagraph"/>
        <w:numPr>
          <w:ilvl w:val="0"/>
          <w:numId w:val="81"/>
        </w:numPr>
        <w:autoSpaceDE w:val="0"/>
        <w:autoSpaceDN w:val="0"/>
        <w:adjustRightInd w:val="0"/>
        <w:spacing w:after="47" w:line="240" w:lineRule="auto"/>
        <w:jc w:val="both"/>
        <w:rPr>
          <w:rFonts w:ascii="Times New Roman" w:hAnsi="Times New Roman"/>
          <w:noProof/>
          <w:color w:val="000000"/>
          <w:sz w:val="24"/>
        </w:rPr>
      </w:pPr>
      <w:r w:rsidRPr="008704BD">
        <w:rPr>
          <w:rFonts w:ascii="Times New Roman" w:hAnsi="Times New Roman"/>
          <w:noProof/>
          <w:color w:val="000000" w:themeColor="text1"/>
          <w:sz w:val="24"/>
        </w:rPr>
        <w:t>Targeted consultation with relevant stakeholders, such as business associations and leading corporations in the global market</w:t>
      </w:r>
    </w:p>
    <w:p w14:paraId="7527AF37" w14:textId="77777777" w:rsidR="006E5F59" w:rsidRPr="008704BD" w:rsidRDefault="2F519E63" w:rsidP="006E5F59">
      <w:pPr>
        <w:pStyle w:val="ListParagraph"/>
        <w:numPr>
          <w:ilvl w:val="0"/>
          <w:numId w:val="81"/>
        </w:numPr>
        <w:autoSpaceDE w:val="0"/>
        <w:autoSpaceDN w:val="0"/>
        <w:adjustRightInd w:val="0"/>
        <w:spacing w:after="47" w:line="240" w:lineRule="auto"/>
        <w:jc w:val="both"/>
        <w:rPr>
          <w:rFonts w:ascii="Times New Roman" w:hAnsi="Times New Roman"/>
          <w:noProof/>
          <w:color w:val="000000"/>
          <w:sz w:val="24"/>
        </w:rPr>
      </w:pPr>
      <w:r w:rsidRPr="008704BD">
        <w:rPr>
          <w:rFonts w:ascii="Times New Roman" w:hAnsi="Times New Roman"/>
          <w:noProof/>
          <w:color w:val="000000" w:themeColor="text1"/>
          <w:sz w:val="24"/>
        </w:rPr>
        <w:t xml:space="preserve">Targeted consultation addressed to tax authorities on the problems covered by the initiative and possible solutions </w:t>
      </w:r>
    </w:p>
    <w:p w14:paraId="0E79C772" w14:textId="77777777" w:rsidR="006E5F59" w:rsidRPr="008704BD" w:rsidRDefault="2F519E63" w:rsidP="006E5F59">
      <w:pPr>
        <w:pStyle w:val="ListParagraph"/>
        <w:numPr>
          <w:ilvl w:val="0"/>
          <w:numId w:val="81"/>
        </w:numPr>
        <w:autoSpaceDE w:val="0"/>
        <w:autoSpaceDN w:val="0"/>
        <w:adjustRightInd w:val="0"/>
        <w:spacing w:after="47" w:line="240" w:lineRule="auto"/>
        <w:rPr>
          <w:rFonts w:ascii="Times New Roman" w:hAnsi="Times New Roman"/>
          <w:noProof/>
          <w:color w:val="000000"/>
          <w:sz w:val="24"/>
        </w:rPr>
      </w:pPr>
      <w:r w:rsidRPr="008704BD">
        <w:rPr>
          <w:rFonts w:ascii="Times New Roman" w:hAnsi="Times New Roman"/>
          <w:noProof/>
          <w:color w:val="000000" w:themeColor="text1"/>
          <w:sz w:val="24"/>
        </w:rPr>
        <w:t xml:space="preserve">Public consultation </w:t>
      </w:r>
    </w:p>
    <w:p w14:paraId="70E5262B" w14:textId="77777777" w:rsidR="006E5F59" w:rsidRPr="008704BD" w:rsidRDefault="2F519E63" w:rsidP="006E5F59">
      <w:pPr>
        <w:pStyle w:val="ListParagraph"/>
        <w:numPr>
          <w:ilvl w:val="0"/>
          <w:numId w:val="81"/>
        </w:numPr>
        <w:autoSpaceDE w:val="0"/>
        <w:autoSpaceDN w:val="0"/>
        <w:adjustRightInd w:val="0"/>
        <w:spacing w:after="47" w:line="240" w:lineRule="auto"/>
        <w:rPr>
          <w:rFonts w:ascii="Times New Roman" w:hAnsi="Times New Roman"/>
          <w:noProof/>
          <w:color w:val="000000"/>
          <w:sz w:val="24"/>
        </w:rPr>
      </w:pPr>
      <w:r w:rsidRPr="008704BD">
        <w:rPr>
          <w:rFonts w:ascii="Times New Roman" w:hAnsi="Times New Roman"/>
          <w:noProof/>
          <w:color w:val="000000" w:themeColor="text1"/>
          <w:sz w:val="24"/>
        </w:rPr>
        <w:t xml:space="preserve">Feedback on the inception impact assessment </w:t>
      </w:r>
    </w:p>
    <w:p w14:paraId="21F643F2" w14:textId="77777777" w:rsidR="006E5F59" w:rsidRPr="008704BD" w:rsidRDefault="2F519E63" w:rsidP="006E5F59">
      <w:pPr>
        <w:pStyle w:val="ListParagraph"/>
        <w:numPr>
          <w:ilvl w:val="0"/>
          <w:numId w:val="81"/>
        </w:numPr>
        <w:autoSpaceDE w:val="0"/>
        <w:autoSpaceDN w:val="0"/>
        <w:adjustRightInd w:val="0"/>
        <w:spacing w:after="47" w:line="240" w:lineRule="auto"/>
        <w:rPr>
          <w:rFonts w:ascii="Times New Roman" w:hAnsi="Times New Roman"/>
          <w:noProof/>
          <w:color w:val="000000"/>
          <w:sz w:val="24"/>
        </w:rPr>
      </w:pPr>
      <w:r w:rsidRPr="008704BD">
        <w:rPr>
          <w:rFonts w:ascii="Times New Roman" w:hAnsi="Times New Roman"/>
          <w:noProof/>
          <w:color w:val="000000" w:themeColor="text1"/>
          <w:sz w:val="24"/>
        </w:rPr>
        <w:t>Joint Research Centre (JRC) study</w:t>
      </w:r>
      <w:r w:rsidR="00A409B3" w:rsidRPr="008704BD">
        <w:rPr>
          <w:rStyle w:val="FootnoteReference"/>
          <w:rFonts w:ascii="Times New Roman" w:hAnsi="Times New Roman"/>
          <w:noProof/>
          <w:color w:val="000000" w:themeColor="text1"/>
          <w:sz w:val="24"/>
        </w:rPr>
        <w:footnoteReference w:id="48"/>
      </w:r>
      <w:r w:rsidRPr="008704BD">
        <w:rPr>
          <w:rFonts w:ascii="Times New Roman" w:hAnsi="Times New Roman"/>
          <w:noProof/>
          <w:color w:val="000000" w:themeColor="text1"/>
          <w:sz w:val="24"/>
        </w:rPr>
        <w:t>: Crypto-currencies – An empirical view from a tax perspective</w:t>
      </w:r>
    </w:p>
    <w:p w14:paraId="7F996C5C" w14:textId="77777777" w:rsidR="006E5F59" w:rsidRPr="008704BD" w:rsidRDefault="2F519E63" w:rsidP="006E5F59">
      <w:pPr>
        <w:pStyle w:val="ListParagraph"/>
        <w:numPr>
          <w:ilvl w:val="0"/>
          <w:numId w:val="81"/>
        </w:numPr>
        <w:autoSpaceDE w:val="0"/>
        <w:autoSpaceDN w:val="0"/>
        <w:adjustRightInd w:val="0"/>
        <w:spacing w:after="47" w:line="240" w:lineRule="auto"/>
        <w:rPr>
          <w:rFonts w:ascii="Times New Roman" w:hAnsi="Times New Roman"/>
          <w:noProof/>
          <w:color w:val="000000"/>
          <w:sz w:val="24"/>
        </w:rPr>
      </w:pPr>
      <w:r w:rsidRPr="008704BD">
        <w:rPr>
          <w:rFonts w:ascii="Times New Roman" w:hAnsi="Times New Roman"/>
          <w:noProof/>
          <w:color w:val="000000" w:themeColor="text1"/>
          <w:sz w:val="24"/>
        </w:rPr>
        <w:t xml:space="preserve">Desk research </w:t>
      </w:r>
    </w:p>
    <w:p w14:paraId="72B461CD" w14:textId="77777777" w:rsidR="006E5F59" w:rsidRPr="006E5F59" w:rsidRDefault="006E5F59" w:rsidP="006E5F59">
      <w:pPr>
        <w:pStyle w:val="Heading1"/>
        <w:rPr>
          <w:rFonts w:ascii="Times New Roman" w:hAnsi="Times New Roman" w:cs="Times New Roman"/>
          <w:noProof/>
        </w:rPr>
      </w:pPr>
      <w:bookmarkStart w:id="469" w:name="_Toc84520059"/>
      <w:bookmarkStart w:id="470" w:name="_Toc84579924"/>
      <w:bookmarkStart w:id="471" w:name="_Toc85052219"/>
      <w:bookmarkStart w:id="472" w:name="_Toc1053311131"/>
      <w:bookmarkStart w:id="473" w:name="_Toc541532877"/>
      <w:bookmarkStart w:id="474" w:name="_Toc1879048490"/>
      <w:bookmarkStart w:id="475" w:name="_Toc93306895"/>
      <w:r w:rsidRPr="41BAA3BB">
        <w:rPr>
          <w:rFonts w:ascii="Times New Roman" w:hAnsi="Times New Roman" w:cs="Times New Roman"/>
          <w:noProof/>
        </w:rPr>
        <w:t>ANNEX 2:</w:t>
      </w:r>
      <w:r>
        <w:rPr>
          <w:noProof/>
        </w:rPr>
        <w:tab/>
      </w:r>
      <w:r w:rsidRPr="41BAA3BB">
        <w:rPr>
          <w:rFonts w:ascii="Times New Roman" w:hAnsi="Times New Roman" w:cs="Times New Roman"/>
          <w:noProof/>
        </w:rPr>
        <w:t>STAKEHOLDER CONSULTATION</w:t>
      </w:r>
      <w:bookmarkEnd w:id="469"/>
      <w:bookmarkEnd w:id="470"/>
      <w:bookmarkEnd w:id="471"/>
      <w:bookmarkEnd w:id="472"/>
      <w:bookmarkEnd w:id="473"/>
      <w:bookmarkEnd w:id="474"/>
      <w:bookmarkEnd w:id="475"/>
    </w:p>
    <w:p w14:paraId="0D18F468" w14:textId="77777777" w:rsidR="006E5F59" w:rsidRPr="008704BD" w:rsidRDefault="006E5F59" w:rsidP="006E5F59">
      <w:pPr>
        <w:pStyle w:val="ListParagraph"/>
        <w:numPr>
          <w:ilvl w:val="0"/>
          <w:numId w:val="77"/>
        </w:numPr>
        <w:jc w:val="both"/>
        <w:rPr>
          <w:rFonts w:ascii="Times New Roman" w:hAnsi="Times New Roman"/>
          <w:b/>
          <w:noProof/>
          <w:sz w:val="24"/>
        </w:rPr>
      </w:pPr>
      <w:r w:rsidRPr="008704BD">
        <w:rPr>
          <w:rFonts w:ascii="Times New Roman" w:hAnsi="Times New Roman"/>
          <w:b/>
          <w:noProof/>
          <w:sz w:val="24"/>
        </w:rPr>
        <w:t>Introduction</w:t>
      </w:r>
    </w:p>
    <w:p w14:paraId="1164E1DF"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For the preparation of this initiative, the European Commission designed a stakeholder’s consultation strategy, which is summarized in this synopsis report. The aim of the synopsis report is to present the outcome of the consultation activities and to show how the input has been taken into account. </w:t>
      </w:r>
    </w:p>
    <w:p w14:paraId="6639E24E"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 consultation strategy encompasses both, public and targeted consultations. Further details are provided in the </w:t>
      </w:r>
      <w:r w:rsidR="00E74C45" w:rsidRPr="008704BD">
        <w:rPr>
          <w:rFonts w:ascii="Times New Roman" w:hAnsi="Times New Roman"/>
          <w:noProof/>
          <w:sz w:val="24"/>
        </w:rPr>
        <w:t xml:space="preserve">table </w:t>
      </w:r>
      <w:r w:rsidRPr="008704BD">
        <w:rPr>
          <w:rFonts w:ascii="Times New Roman" w:hAnsi="Times New Roman"/>
          <w:noProof/>
          <w:sz w:val="24"/>
        </w:rPr>
        <w:t xml:space="preserve">below: </w:t>
      </w:r>
    </w:p>
    <w:p w14:paraId="55ABB050" w14:textId="1260DC9A" w:rsidR="00E74C45" w:rsidRPr="008704BD" w:rsidRDefault="00E74C45" w:rsidP="005B0C83">
      <w:pPr>
        <w:pStyle w:val="Caption"/>
        <w:keepNext/>
        <w:rPr>
          <w:noProof/>
          <w:sz w:val="24"/>
        </w:rPr>
      </w:pPr>
      <w:r w:rsidRPr="008704BD">
        <w:rPr>
          <w:noProof/>
          <w:sz w:val="24"/>
        </w:rPr>
        <w:t xml:space="preserve">Table </w:t>
      </w:r>
      <w:r w:rsidRPr="008704BD">
        <w:rPr>
          <w:noProof/>
          <w:sz w:val="24"/>
        </w:rPr>
        <w:fldChar w:fldCharType="begin"/>
      </w:r>
      <w:r w:rsidRPr="008704BD">
        <w:rPr>
          <w:noProof/>
          <w:sz w:val="24"/>
        </w:rPr>
        <w:instrText xml:space="preserve"> SEQ Table \* ARABIC </w:instrText>
      </w:r>
      <w:r w:rsidRPr="008704BD">
        <w:rPr>
          <w:noProof/>
          <w:sz w:val="24"/>
        </w:rPr>
        <w:fldChar w:fldCharType="separate"/>
      </w:r>
      <w:r w:rsidR="00C972ED">
        <w:rPr>
          <w:noProof/>
          <w:sz w:val="24"/>
        </w:rPr>
        <w:t>2</w:t>
      </w:r>
      <w:r w:rsidRPr="008704BD">
        <w:rPr>
          <w:noProof/>
          <w:sz w:val="24"/>
        </w:rPr>
        <w:fldChar w:fldCharType="end"/>
      </w:r>
      <w:r w:rsidRPr="008704BD">
        <w:rPr>
          <w:noProof/>
          <w:sz w:val="24"/>
        </w:rPr>
        <w:t xml:space="preserve"> Overview of consultation activities</w:t>
      </w:r>
    </w:p>
    <w:tbl>
      <w:tblPr>
        <w:tblStyle w:val="TableGrid"/>
        <w:tblW w:w="0" w:type="auto"/>
        <w:tblLook w:val="04A0" w:firstRow="1" w:lastRow="0" w:firstColumn="1" w:lastColumn="0" w:noHBand="0" w:noVBand="1"/>
      </w:tblPr>
      <w:tblGrid>
        <w:gridCol w:w="1809"/>
        <w:gridCol w:w="1426"/>
        <w:gridCol w:w="2279"/>
        <w:gridCol w:w="1827"/>
        <w:gridCol w:w="2009"/>
      </w:tblGrid>
      <w:tr w:rsidR="008704BD" w:rsidRPr="00D312CE" w14:paraId="660A0D71" w14:textId="77777777" w:rsidTr="00F42C0E">
        <w:tc>
          <w:tcPr>
            <w:tcW w:w="1811" w:type="dxa"/>
            <w:shd w:val="clear" w:color="auto" w:fill="BDD6EE" w:themeFill="accent1" w:themeFillTint="66"/>
          </w:tcPr>
          <w:p w14:paraId="3697CF12" w14:textId="77777777" w:rsidR="006E5F59" w:rsidRPr="008704BD" w:rsidRDefault="006E5F59" w:rsidP="00314F02">
            <w:pPr>
              <w:rPr>
                <w:rFonts w:ascii="Times New Roman" w:hAnsi="Times New Roman"/>
                <w:b/>
                <w:noProof/>
              </w:rPr>
            </w:pPr>
            <w:r w:rsidRPr="008704BD">
              <w:rPr>
                <w:rFonts w:ascii="Times New Roman" w:hAnsi="Times New Roman"/>
                <w:b/>
                <w:noProof/>
              </w:rPr>
              <w:t>Methods of consultation</w:t>
            </w:r>
          </w:p>
        </w:tc>
        <w:tc>
          <w:tcPr>
            <w:tcW w:w="1419" w:type="dxa"/>
            <w:shd w:val="clear" w:color="auto" w:fill="BDD6EE" w:themeFill="accent1" w:themeFillTint="66"/>
          </w:tcPr>
          <w:p w14:paraId="78EFAF7D" w14:textId="77777777" w:rsidR="006E5F59" w:rsidRPr="008704BD" w:rsidRDefault="006E5F59" w:rsidP="00314F02">
            <w:pPr>
              <w:rPr>
                <w:rFonts w:ascii="Times New Roman" w:hAnsi="Times New Roman"/>
                <w:b/>
                <w:noProof/>
              </w:rPr>
            </w:pPr>
          </w:p>
        </w:tc>
        <w:tc>
          <w:tcPr>
            <w:tcW w:w="2280" w:type="dxa"/>
            <w:shd w:val="clear" w:color="auto" w:fill="BDD6EE" w:themeFill="accent1" w:themeFillTint="66"/>
          </w:tcPr>
          <w:p w14:paraId="1E2C5954" w14:textId="77777777" w:rsidR="006E5F59" w:rsidRPr="008704BD" w:rsidRDefault="006E5F59" w:rsidP="00314F02">
            <w:pPr>
              <w:rPr>
                <w:rFonts w:ascii="Times New Roman" w:hAnsi="Times New Roman"/>
                <w:b/>
                <w:noProof/>
              </w:rPr>
            </w:pPr>
            <w:r w:rsidRPr="008704BD">
              <w:rPr>
                <w:rFonts w:ascii="Times New Roman" w:hAnsi="Times New Roman"/>
                <w:b/>
                <w:noProof/>
              </w:rPr>
              <w:t>Stakeholder group</w:t>
            </w:r>
          </w:p>
        </w:tc>
        <w:tc>
          <w:tcPr>
            <w:tcW w:w="1829" w:type="dxa"/>
            <w:shd w:val="clear" w:color="auto" w:fill="BDD6EE" w:themeFill="accent1" w:themeFillTint="66"/>
          </w:tcPr>
          <w:p w14:paraId="266BBC5D" w14:textId="77777777" w:rsidR="006E5F59" w:rsidRPr="008704BD" w:rsidRDefault="006E5F59" w:rsidP="00314F02">
            <w:pPr>
              <w:rPr>
                <w:rFonts w:ascii="Times New Roman" w:hAnsi="Times New Roman"/>
                <w:b/>
                <w:noProof/>
              </w:rPr>
            </w:pPr>
            <w:r w:rsidRPr="008704BD">
              <w:rPr>
                <w:rFonts w:ascii="Times New Roman" w:hAnsi="Times New Roman"/>
                <w:b/>
                <w:noProof/>
              </w:rPr>
              <w:t xml:space="preserve">Consultation period </w:t>
            </w:r>
          </w:p>
        </w:tc>
        <w:tc>
          <w:tcPr>
            <w:tcW w:w="2011" w:type="dxa"/>
            <w:shd w:val="clear" w:color="auto" w:fill="BDD6EE" w:themeFill="accent1" w:themeFillTint="66"/>
          </w:tcPr>
          <w:p w14:paraId="0E261541" w14:textId="77777777" w:rsidR="006E5F59" w:rsidRPr="008704BD" w:rsidRDefault="006E5F59" w:rsidP="00314F02">
            <w:pPr>
              <w:rPr>
                <w:rFonts w:ascii="Times New Roman" w:hAnsi="Times New Roman"/>
                <w:b/>
                <w:noProof/>
              </w:rPr>
            </w:pPr>
            <w:r w:rsidRPr="008704BD">
              <w:rPr>
                <w:rFonts w:ascii="Times New Roman" w:hAnsi="Times New Roman"/>
                <w:b/>
                <w:noProof/>
              </w:rPr>
              <w:t>Objective/Scope of consultation</w:t>
            </w:r>
          </w:p>
        </w:tc>
      </w:tr>
      <w:tr w:rsidR="006E5F59" w:rsidRPr="00D312CE" w14:paraId="71FD3A5A" w14:textId="77777777" w:rsidTr="008704BD">
        <w:tc>
          <w:tcPr>
            <w:tcW w:w="3230" w:type="dxa"/>
            <w:gridSpan w:val="2"/>
            <w:shd w:val="clear" w:color="auto" w:fill="D0CECE" w:themeFill="background2" w:themeFillShade="E6"/>
          </w:tcPr>
          <w:p w14:paraId="2AB2960C"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Inception Impact Assessment (feedback mechanism)</w:t>
            </w:r>
          </w:p>
        </w:tc>
        <w:tc>
          <w:tcPr>
            <w:tcW w:w="2280" w:type="dxa"/>
          </w:tcPr>
          <w:tbl>
            <w:tblPr>
              <w:tblW w:w="0" w:type="auto"/>
              <w:tblBorders>
                <w:top w:val="nil"/>
                <w:left w:val="nil"/>
                <w:bottom w:val="nil"/>
                <w:right w:val="nil"/>
              </w:tblBorders>
              <w:tblLook w:val="0000" w:firstRow="0" w:lastRow="0" w:firstColumn="0" w:lastColumn="0" w:noHBand="0" w:noVBand="0"/>
            </w:tblPr>
            <w:tblGrid>
              <w:gridCol w:w="2063"/>
            </w:tblGrid>
            <w:tr w:rsidR="006E5F59" w:rsidRPr="00D312CE" w14:paraId="4622E56C" w14:textId="77777777" w:rsidTr="008704BD">
              <w:trPr>
                <w:trHeight w:val="100"/>
              </w:trPr>
              <w:tc>
                <w:tcPr>
                  <w:tcW w:w="0" w:type="auto"/>
                </w:tcPr>
                <w:p w14:paraId="203316B7"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Academic/research institution</w:t>
                  </w:r>
                </w:p>
                <w:p w14:paraId="62FB217A"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Business association</w:t>
                  </w:r>
                </w:p>
                <w:p w14:paraId="57402B99"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 xml:space="preserve">Company </w:t>
                  </w:r>
                </w:p>
                <w:p w14:paraId="53D56419"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EU citizen</w:t>
                  </w:r>
                </w:p>
                <w:p w14:paraId="3C6DF2EA"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Non-EU citizen</w:t>
                  </w:r>
                </w:p>
                <w:p w14:paraId="610CE10F"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Trade Union</w:t>
                  </w:r>
                </w:p>
              </w:tc>
            </w:tr>
          </w:tbl>
          <w:p w14:paraId="43C84C6E" w14:textId="77777777" w:rsidR="006E5F59" w:rsidRPr="008704BD" w:rsidRDefault="006E5F59" w:rsidP="00314F02">
            <w:pPr>
              <w:rPr>
                <w:rFonts w:ascii="Times New Roman" w:hAnsi="Times New Roman"/>
                <w:noProof/>
              </w:rPr>
            </w:pPr>
          </w:p>
        </w:tc>
        <w:tc>
          <w:tcPr>
            <w:tcW w:w="1829" w:type="dxa"/>
          </w:tcPr>
          <w:p w14:paraId="7628FCE3" w14:textId="77777777" w:rsidR="006E5F59" w:rsidRPr="008704BD" w:rsidRDefault="006E5F59" w:rsidP="00314F02">
            <w:pPr>
              <w:rPr>
                <w:rFonts w:ascii="Times New Roman" w:hAnsi="Times New Roman"/>
                <w:noProof/>
              </w:rPr>
            </w:pPr>
            <w:r w:rsidRPr="008704BD">
              <w:rPr>
                <w:rFonts w:ascii="Times New Roman" w:hAnsi="Times New Roman"/>
                <w:noProof/>
              </w:rPr>
              <w:t>23 Nov. 2020 – 21 Dec. 2020</w:t>
            </w:r>
          </w:p>
        </w:tc>
        <w:tc>
          <w:tcPr>
            <w:tcW w:w="2011" w:type="dxa"/>
          </w:tcPr>
          <w:p w14:paraId="1D7A8402"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 xml:space="preserve">Collect feedback on the Inception Impact Assessment outlining the initial structure of the project. </w:t>
            </w:r>
          </w:p>
          <w:p w14:paraId="0026F7CE" w14:textId="77777777" w:rsidR="006E5F59" w:rsidRPr="008704BD" w:rsidRDefault="006E5F59" w:rsidP="00314F02">
            <w:pPr>
              <w:rPr>
                <w:rFonts w:ascii="Times New Roman" w:hAnsi="Times New Roman"/>
                <w:noProof/>
                <w:color w:val="000000"/>
              </w:rPr>
            </w:pPr>
          </w:p>
        </w:tc>
      </w:tr>
      <w:tr w:rsidR="006E5F59" w:rsidRPr="00D312CE" w14:paraId="22AC1EFF" w14:textId="77777777" w:rsidTr="008704BD">
        <w:tc>
          <w:tcPr>
            <w:tcW w:w="1811" w:type="dxa"/>
            <w:vMerge w:val="restart"/>
            <w:shd w:val="clear" w:color="auto" w:fill="D0CECE" w:themeFill="background2" w:themeFillShade="E6"/>
          </w:tcPr>
          <w:p w14:paraId="1AB48875" w14:textId="77777777" w:rsidR="006E5F59" w:rsidRPr="008704BD" w:rsidRDefault="006E5F59" w:rsidP="00314F02">
            <w:pPr>
              <w:rPr>
                <w:rFonts w:ascii="Times New Roman" w:hAnsi="Times New Roman"/>
                <w:noProof/>
              </w:rPr>
            </w:pPr>
            <w:r w:rsidRPr="008704BD">
              <w:rPr>
                <w:rFonts w:ascii="Times New Roman" w:hAnsi="Times New Roman"/>
                <w:noProof/>
              </w:rPr>
              <w:t>Targeted Consultation</w:t>
            </w:r>
          </w:p>
        </w:tc>
        <w:tc>
          <w:tcPr>
            <w:tcW w:w="1419" w:type="dxa"/>
            <w:shd w:val="clear" w:color="auto" w:fill="D0CECE" w:themeFill="background2" w:themeFillShade="E6"/>
          </w:tcPr>
          <w:p w14:paraId="1AE3B8D0" w14:textId="77777777" w:rsidR="006E5F59" w:rsidRPr="008704BD" w:rsidRDefault="006E5F59" w:rsidP="00314F02">
            <w:pPr>
              <w:rPr>
                <w:rFonts w:ascii="Times New Roman" w:hAnsi="Times New Roman"/>
                <w:noProof/>
              </w:rPr>
            </w:pPr>
            <w:r w:rsidRPr="008704BD">
              <w:rPr>
                <w:rFonts w:ascii="Times New Roman" w:hAnsi="Times New Roman"/>
                <w:noProof/>
              </w:rPr>
              <w:t>Working Party on Taxation</w:t>
            </w:r>
          </w:p>
        </w:tc>
        <w:tc>
          <w:tcPr>
            <w:tcW w:w="2280" w:type="dxa"/>
          </w:tcPr>
          <w:p w14:paraId="2D35C1E8" w14:textId="77777777" w:rsidR="006E5F59" w:rsidRPr="008704BD" w:rsidRDefault="006E5F59" w:rsidP="00314F02">
            <w:pPr>
              <w:rPr>
                <w:rFonts w:ascii="Times New Roman" w:hAnsi="Times New Roman"/>
                <w:noProof/>
              </w:rPr>
            </w:pPr>
            <w:r w:rsidRPr="008704BD">
              <w:rPr>
                <w:rFonts w:ascii="Times New Roman" w:hAnsi="Times New Roman"/>
                <w:noProof/>
              </w:rPr>
              <w:t>Public authorities</w:t>
            </w:r>
          </w:p>
        </w:tc>
        <w:tc>
          <w:tcPr>
            <w:tcW w:w="1829" w:type="dxa"/>
          </w:tcPr>
          <w:p w14:paraId="025C998E" w14:textId="77777777" w:rsidR="006E5F59" w:rsidRPr="008704BD" w:rsidRDefault="006E5F59" w:rsidP="00314F02">
            <w:pPr>
              <w:rPr>
                <w:rFonts w:ascii="Times New Roman" w:hAnsi="Times New Roman"/>
                <w:noProof/>
              </w:rPr>
            </w:pPr>
            <w:r w:rsidRPr="008704BD">
              <w:rPr>
                <w:rFonts w:ascii="Times New Roman" w:hAnsi="Times New Roman"/>
                <w:noProof/>
              </w:rPr>
              <w:t>13 Nov. 2020</w:t>
            </w:r>
          </w:p>
        </w:tc>
        <w:tc>
          <w:tcPr>
            <w:tcW w:w="2011" w:type="dxa"/>
          </w:tcPr>
          <w:p w14:paraId="357B9FDF"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Investigate the need for EU action.</w:t>
            </w:r>
          </w:p>
          <w:p w14:paraId="62B10C32"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Gather views on a possible EU initiative.</w:t>
            </w:r>
          </w:p>
          <w:p w14:paraId="3D2DD75F"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Define possible scope of an EU initiative.</w:t>
            </w:r>
          </w:p>
        </w:tc>
      </w:tr>
      <w:tr w:rsidR="006E5F59" w:rsidRPr="00D312CE" w14:paraId="435BD18F" w14:textId="77777777" w:rsidTr="008704BD">
        <w:tc>
          <w:tcPr>
            <w:tcW w:w="1811" w:type="dxa"/>
            <w:vMerge/>
          </w:tcPr>
          <w:p w14:paraId="402DDB0D" w14:textId="77777777" w:rsidR="006E5F59" w:rsidRPr="008704BD" w:rsidRDefault="006E5F59" w:rsidP="00314F02">
            <w:pPr>
              <w:rPr>
                <w:rFonts w:ascii="Times New Roman" w:hAnsi="Times New Roman"/>
                <w:noProof/>
              </w:rPr>
            </w:pPr>
          </w:p>
        </w:tc>
        <w:tc>
          <w:tcPr>
            <w:tcW w:w="1419" w:type="dxa"/>
            <w:shd w:val="clear" w:color="auto" w:fill="D0CECE" w:themeFill="background2" w:themeFillShade="E6"/>
          </w:tcPr>
          <w:p w14:paraId="3A396753" w14:textId="77777777" w:rsidR="006E5F59" w:rsidRPr="008704BD" w:rsidRDefault="006E5F59" w:rsidP="00314F02">
            <w:pPr>
              <w:rPr>
                <w:rFonts w:ascii="Times New Roman" w:hAnsi="Times New Roman"/>
                <w:noProof/>
              </w:rPr>
            </w:pPr>
            <w:r w:rsidRPr="008704BD">
              <w:rPr>
                <w:rFonts w:ascii="Times New Roman" w:hAnsi="Times New Roman"/>
                <w:noProof/>
              </w:rPr>
              <w:t>Working Party on Taxation</w:t>
            </w:r>
          </w:p>
        </w:tc>
        <w:tc>
          <w:tcPr>
            <w:tcW w:w="2280" w:type="dxa"/>
          </w:tcPr>
          <w:p w14:paraId="473DC0AE" w14:textId="77777777" w:rsidR="006E5F59" w:rsidRPr="008704BD" w:rsidRDefault="006E5F59" w:rsidP="00314F02">
            <w:pPr>
              <w:rPr>
                <w:rFonts w:ascii="Times New Roman" w:hAnsi="Times New Roman"/>
                <w:noProof/>
              </w:rPr>
            </w:pPr>
            <w:r w:rsidRPr="008704BD">
              <w:rPr>
                <w:rFonts w:ascii="Times New Roman" w:hAnsi="Times New Roman"/>
                <w:noProof/>
              </w:rPr>
              <w:t>Public authorities</w:t>
            </w:r>
          </w:p>
        </w:tc>
        <w:tc>
          <w:tcPr>
            <w:tcW w:w="1829" w:type="dxa"/>
          </w:tcPr>
          <w:p w14:paraId="2715B1C6" w14:textId="77777777" w:rsidR="006E5F59" w:rsidRPr="008704BD" w:rsidRDefault="006E5F59" w:rsidP="00314F02">
            <w:pPr>
              <w:rPr>
                <w:rFonts w:ascii="Times New Roman" w:hAnsi="Times New Roman"/>
                <w:noProof/>
              </w:rPr>
            </w:pPr>
            <w:r w:rsidRPr="008704BD">
              <w:rPr>
                <w:rFonts w:ascii="Times New Roman" w:hAnsi="Times New Roman"/>
                <w:noProof/>
              </w:rPr>
              <w:t>24 Mar. 2021</w:t>
            </w:r>
          </w:p>
        </w:tc>
        <w:tc>
          <w:tcPr>
            <w:tcW w:w="2011" w:type="dxa"/>
          </w:tcPr>
          <w:p w14:paraId="0651B540"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Investigate the need for EU action.</w:t>
            </w:r>
          </w:p>
          <w:p w14:paraId="07A31432"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Gather views on a possible EU initiative.</w:t>
            </w:r>
          </w:p>
          <w:p w14:paraId="164A81A2"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 xml:space="preserve">Define possible scope of an EU initiative. </w:t>
            </w:r>
          </w:p>
        </w:tc>
      </w:tr>
      <w:tr w:rsidR="006E5F59" w:rsidRPr="00D312CE" w14:paraId="4234C038" w14:textId="77777777" w:rsidTr="008704BD">
        <w:tc>
          <w:tcPr>
            <w:tcW w:w="1811" w:type="dxa"/>
            <w:vMerge/>
          </w:tcPr>
          <w:p w14:paraId="34832D26" w14:textId="77777777" w:rsidR="006E5F59" w:rsidRPr="008704BD" w:rsidRDefault="006E5F59" w:rsidP="00314F02">
            <w:pPr>
              <w:rPr>
                <w:rFonts w:ascii="Times New Roman" w:hAnsi="Times New Roman"/>
                <w:noProof/>
              </w:rPr>
            </w:pPr>
          </w:p>
        </w:tc>
        <w:tc>
          <w:tcPr>
            <w:tcW w:w="1419" w:type="dxa"/>
            <w:shd w:val="clear" w:color="auto" w:fill="D0CECE" w:themeFill="background2" w:themeFillShade="E6"/>
          </w:tcPr>
          <w:p w14:paraId="2767C83F" w14:textId="77777777" w:rsidR="006E5F59" w:rsidRPr="008704BD" w:rsidRDefault="006E5F59" w:rsidP="00314F02">
            <w:pPr>
              <w:rPr>
                <w:rFonts w:ascii="Times New Roman" w:hAnsi="Times New Roman"/>
                <w:noProof/>
              </w:rPr>
            </w:pPr>
            <w:r w:rsidRPr="008704BD">
              <w:rPr>
                <w:rFonts w:ascii="Times New Roman" w:hAnsi="Times New Roman"/>
                <w:noProof/>
              </w:rPr>
              <w:t>Private Stakeholder’s meetings</w:t>
            </w:r>
          </w:p>
        </w:tc>
        <w:tc>
          <w:tcPr>
            <w:tcW w:w="2280" w:type="dxa"/>
          </w:tcPr>
          <w:p w14:paraId="5379F0A0" w14:textId="77777777" w:rsidR="006E5F59" w:rsidRPr="008704BD" w:rsidRDefault="006E5F59" w:rsidP="00314F02">
            <w:pPr>
              <w:rPr>
                <w:rFonts w:ascii="Times New Roman" w:hAnsi="Times New Roman"/>
                <w:noProof/>
              </w:rPr>
            </w:pPr>
            <w:r w:rsidRPr="008704BD">
              <w:rPr>
                <w:rFonts w:ascii="Times New Roman" w:hAnsi="Times New Roman"/>
                <w:noProof/>
              </w:rPr>
              <w:t>Business involved</w:t>
            </w:r>
          </w:p>
        </w:tc>
        <w:tc>
          <w:tcPr>
            <w:tcW w:w="1829" w:type="dxa"/>
          </w:tcPr>
          <w:p w14:paraId="08111EDE" w14:textId="77777777" w:rsidR="006E5F59" w:rsidRPr="008704BD" w:rsidRDefault="006E5F59" w:rsidP="00314F02">
            <w:pPr>
              <w:rPr>
                <w:rFonts w:ascii="Times New Roman" w:hAnsi="Times New Roman"/>
                <w:noProof/>
              </w:rPr>
            </w:pPr>
            <w:r w:rsidRPr="008704BD">
              <w:rPr>
                <w:rFonts w:ascii="Times New Roman" w:hAnsi="Times New Roman"/>
                <w:noProof/>
              </w:rPr>
              <w:t>23 Mar. 2021</w:t>
            </w:r>
          </w:p>
        </w:tc>
        <w:tc>
          <w:tcPr>
            <w:tcW w:w="2011" w:type="dxa"/>
          </w:tcPr>
          <w:p w14:paraId="13D9DDFA"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Gather experience from service providers on their current reporting requirements.</w:t>
            </w:r>
          </w:p>
          <w:p w14:paraId="2825838F"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Gather views on a possible EU initiative.</w:t>
            </w:r>
          </w:p>
        </w:tc>
      </w:tr>
      <w:tr w:rsidR="006E5F59" w:rsidRPr="00D312CE" w14:paraId="7447B69E" w14:textId="77777777" w:rsidTr="008704BD">
        <w:tc>
          <w:tcPr>
            <w:tcW w:w="3230" w:type="dxa"/>
            <w:gridSpan w:val="2"/>
            <w:shd w:val="clear" w:color="auto" w:fill="D0CECE" w:themeFill="background2" w:themeFillShade="E6"/>
          </w:tcPr>
          <w:p w14:paraId="7CBEF1D1"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Public Consultation</w:t>
            </w:r>
          </w:p>
        </w:tc>
        <w:tc>
          <w:tcPr>
            <w:tcW w:w="2280" w:type="dxa"/>
          </w:tcPr>
          <w:tbl>
            <w:tblPr>
              <w:tblW w:w="0" w:type="auto"/>
              <w:tblBorders>
                <w:top w:val="nil"/>
                <w:left w:val="nil"/>
                <w:bottom w:val="nil"/>
                <w:right w:val="nil"/>
              </w:tblBorders>
              <w:tblLook w:val="0000" w:firstRow="0" w:lastRow="0" w:firstColumn="0" w:lastColumn="0" w:noHBand="0" w:noVBand="0"/>
            </w:tblPr>
            <w:tblGrid>
              <w:gridCol w:w="2063"/>
            </w:tblGrid>
            <w:tr w:rsidR="006E5F59" w:rsidRPr="00D312CE" w14:paraId="3E825613" w14:textId="77777777" w:rsidTr="008704BD">
              <w:trPr>
                <w:trHeight w:val="975"/>
              </w:trPr>
              <w:tc>
                <w:tcPr>
                  <w:tcW w:w="0" w:type="auto"/>
                </w:tcPr>
                <w:p w14:paraId="444FD816"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Academic/research institution</w:t>
                  </w:r>
                </w:p>
                <w:p w14:paraId="462192E4"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Business association</w:t>
                  </w:r>
                </w:p>
                <w:p w14:paraId="110D18EF"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 xml:space="preserve">Company </w:t>
                  </w:r>
                </w:p>
              </w:tc>
            </w:tr>
            <w:tr w:rsidR="006E5F59" w:rsidRPr="00D312CE" w14:paraId="3DAC08B8" w14:textId="77777777" w:rsidTr="008704BD">
              <w:trPr>
                <w:trHeight w:val="100"/>
              </w:trPr>
              <w:tc>
                <w:tcPr>
                  <w:tcW w:w="0" w:type="auto"/>
                </w:tcPr>
                <w:p w14:paraId="292CFB28"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 xml:space="preserve">EU citizen </w:t>
                  </w:r>
                </w:p>
              </w:tc>
            </w:tr>
            <w:tr w:rsidR="006E5F59" w:rsidRPr="00D312CE" w14:paraId="5F2BEB7E" w14:textId="77777777" w:rsidTr="008704BD">
              <w:trPr>
                <w:trHeight w:val="100"/>
              </w:trPr>
              <w:tc>
                <w:tcPr>
                  <w:tcW w:w="0" w:type="auto"/>
                </w:tcPr>
                <w:p w14:paraId="0BD756DC"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 xml:space="preserve">Non-EU citizen </w:t>
                  </w:r>
                </w:p>
              </w:tc>
            </w:tr>
            <w:tr w:rsidR="006E5F59" w:rsidRPr="00D312CE" w14:paraId="03CB4046" w14:textId="77777777" w:rsidTr="008704BD">
              <w:trPr>
                <w:trHeight w:val="100"/>
              </w:trPr>
              <w:tc>
                <w:tcPr>
                  <w:tcW w:w="0" w:type="auto"/>
                </w:tcPr>
                <w:p w14:paraId="32F63C1B"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 xml:space="preserve">Trade union </w:t>
                  </w:r>
                </w:p>
                <w:p w14:paraId="2B6CB0E6" w14:textId="77777777" w:rsidR="006E5F59" w:rsidRPr="008704BD" w:rsidRDefault="006E5F59" w:rsidP="00314F02">
                  <w:pPr>
                    <w:pStyle w:val="Default"/>
                    <w:jc w:val="both"/>
                    <w:rPr>
                      <w:rFonts w:ascii="Times New Roman" w:hAnsi="Times New Roman"/>
                      <w:noProof/>
                      <w:sz w:val="22"/>
                      <w:lang w:val="en-GB"/>
                    </w:rPr>
                  </w:pPr>
                  <w:r w:rsidRPr="008704BD">
                    <w:rPr>
                      <w:rFonts w:ascii="Times New Roman" w:hAnsi="Times New Roman"/>
                      <w:noProof/>
                      <w:sz w:val="22"/>
                      <w:lang w:val="en-GB"/>
                    </w:rPr>
                    <w:t>NGOs</w:t>
                  </w:r>
                </w:p>
              </w:tc>
            </w:tr>
          </w:tbl>
          <w:p w14:paraId="276D734E" w14:textId="77777777" w:rsidR="006E5F59" w:rsidRPr="008704BD" w:rsidRDefault="006E5F59" w:rsidP="00314F02">
            <w:pPr>
              <w:rPr>
                <w:rFonts w:ascii="Times New Roman" w:hAnsi="Times New Roman"/>
                <w:noProof/>
              </w:rPr>
            </w:pPr>
          </w:p>
        </w:tc>
        <w:tc>
          <w:tcPr>
            <w:tcW w:w="1829" w:type="dxa"/>
          </w:tcPr>
          <w:p w14:paraId="2CED41D1" w14:textId="77777777" w:rsidR="006E5F59" w:rsidRPr="008704BD" w:rsidRDefault="006E5F59" w:rsidP="00314F02">
            <w:pPr>
              <w:rPr>
                <w:rFonts w:ascii="Times New Roman" w:hAnsi="Times New Roman"/>
                <w:noProof/>
              </w:rPr>
            </w:pPr>
            <w:r w:rsidRPr="008704BD">
              <w:rPr>
                <w:rFonts w:ascii="Times New Roman" w:hAnsi="Times New Roman"/>
                <w:noProof/>
              </w:rPr>
              <w:t>10 Mar. – 2 Jun 2021</w:t>
            </w:r>
          </w:p>
        </w:tc>
        <w:tc>
          <w:tcPr>
            <w:tcW w:w="2011" w:type="dxa"/>
          </w:tcPr>
          <w:p w14:paraId="2502B789" w14:textId="77777777" w:rsidR="006E5F59" w:rsidRPr="008704BD" w:rsidRDefault="006E5F59" w:rsidP="00314F02">
            <w:pPr>
              <w:pStyle w:val="Default"/>
              <w:jc w:val="both"/>
              <w:rPr>
                <w:rFonts w:ascii="Times New Roman" w:hAnsi="Times New Roman"/>
                <w:noProof/>
                <w:sz w:val="22"/>
              </w:rPr>
            </w:pPr>
            <w:r w:rsidRPr="008704BD">
              <w:rPr>
                <w:rFonts w:ascii="Times New Roman" w:hAnsi="Times New Roman"/>
                <w:noProof/>
                <w:sz w:val="22"/>
              </w:rPr>
              <w:t xml:space="preserve">Ascertain the views of a broad range of stakeholders mainly on the added value of a European action and the potential scope of the initiative </w:t>
            </w:r>
          </w:p>
        </w:tc>
      </w:tr>
    </w:tbl>
    <w:p w14:paraId="7E35BFE9" w14:textId="77777777" w:rsidR="006E5F59" w:rsidRPr="006E5F59" w:rsidRDefault="006E5F59" w:rsidP="006E5F59">
      <w:pPr>
        <w:rPr>
          <w:rFonts w:ascii="Times New Roman" w:hAnsi="Times New Roman" w:cs="Times New Roman"/>
          <w:noProof/>
        </w:rPr>
      </w:pPr>
    </w:p>
    <w:p w14:paraId="6F1038DD"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 different objectives of the different consultations were to:</w:t>
      </w:r>
    </w:p>
    <w:p w14:paraId="5C6273CA" w14:textId="77777777" w:rsidR="006E5F59" w:rsidRPr="008704BD" w:rsidRDefault="2F519E63" w:rsidP="006E5F59">
      <w:pPr>
        <w:pStyle w:val="ListParagraph"/>
        <w:numPr>
          <w:ilvl w:val="0"/>
          <w:numId w:val="74"/>
        </w:numPr>
        <w:jc w:val="both"/>
        <w:rPr>
          <w:rFonts w:ascii="Times New Roman" w:hAnsi="Times New Roman"/>
          <w:noProof/>
          <w:sz w:val="24"/>
        </w:rPr>
      </w:pPr>
      <w:r w:rsidRPr="008704BD">
        <w:rPr>
          <w:rFonts w:ascii="Times New Roman" w:hAnsi="Times New Roman"/>
          <w:noProof/>
          <w:sz w:val="24"/>
        </w:rPr>
        <w:t xml:space="preserve">Provide stakeholders and the wider public with the opportunity to express their views on all relevant elements. </w:t>
      </w:r>
    </w:p>
    <w:p w14:paraId="4800EFD0" w14:textId="77777777" w:rsidR="006E5F59" w:rsidRPr="008704BD" w:rsidRDefault="2F519E63" w:rsidP="006E5F59">
      <w:pPr>
        <w:pStyle w:val="ListParagraph"/>
        <w:numPr>
          <w:ilvl w:val="0"/>
          <w:numId w:val="74"/>
        </w:numPr>
        <w:jc w:val="both"/>
        <w:rPr>
          <w:rFonts w:ascii="Times New Roman" w:hAnsi="Times New Roman"/>
          <w:noProof/>
          <w:sz w:val="24"/>
        </w:rPr>
      </w:pPr>
      <w:r w:rsidRPr="008704BD">
        <w:rPr>
          <w:rFonts w:ascii="Times New Roman" w:hAnsi="Times New Roman"/>
          <w:noProof/>
          <w:sz w:val="24"/>
        </w:rPr>
        <w:t xml:space="preserve">Gather specialised input to support the analysis of the impact of the initiative. </w:t>
      </w:r>
    </w:p>
    <w:p w14:paraId="66FCD9D3" w14:textId="77777777" w:rsidR="006E5F59" w:rsidRPr="008704BD" w:rsidRDefault="2F519E63" w:rsidP="006E5F59">
      <w:pPr>
        <w:pStyle w:val="ListParagraph"/>
        <w:numPr>
          <w:ilvl w:val="0"/>
          <w:numId w:val="74"/>
        </w:numPr>
        <w:jc w:val="both"/>
        <w:rPr>
          <w:rFonts w:ascii="Times New Roman" w:hAnsi="Times New Roman"/>
          <w:noProof/>
          <w:sz w:val="24"/>
        </w:rPr>
      </w:pPr>
      <w:r w:rsidRPr="008704BD">
        <w:rPr>
          <w:rFonts w:ascii="Times New Roman" w:hAnsi="Times New Roman"/>
          <w:noProof/>
          <w:sz w:val="24"/>
        </w:rPr>
        <w:t xml:space="preserve">Contribute to the design of the technical aspects of the future initiative. </w:t>
      </w:r>
    </w:p>
    <w:p w14:paraId="0D3D56A3" w14:textId="77777777" w:rsidR="006E5F59" w:rsidRPr="008704BD" w:rsidRDefault="2F519E63" w:rsidP="006E5F59">
      <w:pPr>
        <w:pStyle w:val="ListParagraph"/>
        <w:numPr>
          <w:ilvl w:val="0"/>
          <w:numId w:val="74"/>
        </w:numPr>
        <w:jc w:val="both"/>
        <w:rPr>
          <w:rFonts w:ascii="Times New Roman" w:hAnsi="Times New Roman"/>
          <w:noProof/>
          <w:sz w:val="24"/>
        </w:rPr>
      </w:pPr>
      <w:r w:rsidRPr="008704BD">
        <w:rPr>
          <w:rFonts w:ascii="Times New Roman" w:hAnsi="Times New Roman"/>
          <w:noProof/>
          <w:sz w:val="24"/>
        </w:rPr>
        <w:t xml:space="preserve">Satisfy transparency principles and help to define priorities for the future initiative. </w:t>
      </w:r>
    </w:p>
    <w:p w14:paraId="05315CAC"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As reflected above by the different methods of consultation used and the stakeholders</w:t>
      </w:r>
      <w:r w:rsidR="07698BAC" w:rsidRPr="008704BD">
        <w:rPr>
          <w:rFonts w:ascii="Times New Roman" w:hAnsi="Times New Roman"/>
          <w:noProof/>
          <w:sz w:val="24"/>
        </w:rPr>
        <w:t>’</w:t>
      </w:r>
      <w:r w:rsidRPr="008704BD">
        <w:rPr>
          <w:rFonts w:ascii="Times New Roman" w:hAnsi="Times New Roman"/>
          <w:noProof/>
          <w:sz w:val="24"/>
        </w:rPr>
        <w:t xml:space="preserve"> groups consulted, the stakeholder consultation strategy has formed an integral part of the policy development process. The consultation began with the launch of the Inception Impact Assessment published on 23 November 2020 and continued until 2 June 2021 when the Public Consultation ended.</w:t>
      </w:r>
    </w:p>
    <w:p w14:paraId="51BCE177" w14:textId="77777777" w:rsidR="006E5F59" w:rsidRPr="008704BD" w:rsidRDefault="006E5F59" w:rsidP="006E5F59">
      <w:pPr>
        <w:pStyle w:val="ListParagraph"/>
        <w:numPr>
          <w:ilvl w:val="0"/>
          <w:numId w:val="77"/>
        </w:numPr>
        <w:jc w:val="both"/>
        <w:rPr>
          <w:rFonts w:ascii="Times New Roman" w:hAnsi="Times New Roman"/>
          <w:b/>
          <w:noProof/>
          <w:sz w:val="24"/>
        </w:rPr>
      </w:pPr>
      <w:r w:rsidRPr="008704BD">
        <w:rPr>
          <w:rFonts w:ascii="Times New Roman" w:hAnsi="Times New Roman"/>
          <w:b/>
          <w:noProof/>
          <w:sz w:val="24"/>
        </w:rPr>
        <w:t>Consultation participation</w:t>
      </w:r>
    </w:p>
    <w:p w14:paraId="562267CC" w14:textId="77777777" w:rsidR="006E5F59" w:rsidRPr="008704BD" w:rsidRDefault="006E5F59" w:rsidP="006E5F59">
      <w:pPr>
        <w:pStyle w:val="ListParagraph"/>
        <w:numPr>
          <w:ilvl w:val="0"/>
          <w:numId w:val="75"/>
        </w:numPr>
        <w:jc w:val="both"/>
        <w:rPr>
          <w:rFonts w:ascii="Times New Roman" w:hAnsi="Times New Roman"/>
          <w:b/>
          <w:noProof/>
          <w:sz w:val="24"/>
        </w:rPr>
      </w:pPr>
      <w:r w:rsidRPr="008704BD">
        <w:rPr>
          <w:rFonts w:ascii="Times New Roman" w:hAnsi="Times New Roman"/>
          <w:b/>
          <w:noProof/>
          <w:sz w:val="24"/>
        </w:rPr>
        <w:t>Feedback on the Inception Impact Assessment</w:t>
      </w:r>
    </w:p>
    <w:p w14:paraId="00F4E796" w14:textId="77777777" w:rsidR="006E5F59" w:rsidRPr="008704BD" w:rsidRDefault="006E5F59" w:rsidP="00425F11">
      <w:pPr>
        <w:jc w:val="both"/>
        <w:rPr>
          <w:rFonts w:ascii="Times New Roman" w:hAnsi="Times New Roman"/>
          <w:b/>
          <w:noProof/>
          <w:sz w:val="24"/>
        </w:rPr>
      </w:pPr>
      <w:r w:rsidRPr="008704BD">
        <w:rPr>
          <w:rFonts w:ascii="Times New Roman" w:hAnsi="Times New Roman"/>
          <w:noProof/>
          <w:sz w:val="24"/>
        </w:rPr>
        <w:t>The consultation period through this feedback mechanism took place between 23 November and 21 December 2020 via the Commission website</w:t>
      </w:r>
      <w:r w:rsidRPr="008704BD">
        <w:rPr>
          <w:rStyle w:val="FootnoteReference"/>
          <w:rFonts w:ascii="Times New Roman" w:hAnsi="Times New Roman"/>
          <w:noProof/>
          <w:sz w:val="24"/>
        </w:rPr>
        <w:footnoteReference w:id="49"/>
      </w:r>
      <w:r w:rsidRPr="008704BD">
        <w:rPr>
          <w:rFonts w:ascii="Times New Roman" w:hAnsi="Times New Roman"/>
          <w:noProof/>
          <w:sz w:val="24"/>
        </w:rPr>
        <w:t>. The period started when the Inception Impact Assessment was published outlining the initial structure and options of the project. Nine comments were submitted during this consultation period by individuals, service providers and umbrella organisations for the crypto/e-money sectors.</w:t>
      </w:r>
    </w:p>
    <w:p w14:paraId="4E651D3D" w14:textId="77777777" w:rsidR="006E5F59" w:rsidRPr="008704BD" w:rsidRDefault="006E5F59" w:rsidP="006E5F59">
      <w:pPr>
        <w:pStyle w:val="ListParagraph"/>
        <w:numPr>
          <w:ilvl w:val="0"/>
          <w:numId w:val="75"/>
        </w:numPr>
        <w:jc w:val="both"/>
        <w:rPr>
          <w:rFonts w:ascii="Times New Roman" w:hAnsi="Times New Roman"/>
          <w:b/>
          <w:noProof/>
          <w:sz w:val="24"/>
        </w:rPr>
      </w:pPr>
      <w:r w:rsidRPr="008704BD">
        <w:rPr>
          <w:rFonts w:ascii="Times New Roman" w:hAnsi="Times New Roman"/>
          <w:b/>
          <w:noProof/>
          <w:sz w:val="24"/>
        </w:rPr>
        <w:t>Targeted consultation</w:t>
      </w:r>
    </w:p>
    <w:p w14:paraId="181F8C66" w14:textId="77777777" w:rsidR="006E5F59" w:rsidRPr="008704BD" w:rsidRDefault="006E5F59" w:rsidP="006E5F59">
      <w:pPr>
        <w:pStyle w:val="ListParagraph"/>
        <w:numPr>
          <w:ilvl w:val="1"/>
          <w:numId w:val="75"/>
        </w:numPr>
        <w:jc w:val="both"/>
        <w:rPr>
          <w:rFonts w:ascii="Times New Roman" w:hAnsi="Times New Roman"/>
          <w:b/>
          <w:noProof/>
          <w:sz w:val="24"/>
        </w:rPr>
      </w:pPr>
      <w:r w:rsidRPr="008704BD">
        <w:rPr>
          <w:rFonts w:ascii="Times New Roman" w:hAnsi="Times New Roman"/>
          <w:b/>
          <w:noProof/>
          <w:sz w:val="24"/>
        </w:rPr>
        <w:t xml:space="preserve"> Targeted consultation via an expert group (Working Party IV)</w:t>
      </w:r>
    </w:p>
    <w:p w14:paraId="0D59DED4" w14:textId="5D54721F"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 Working Party IV met on two occasions on 13 November 2020 and 24 March 2021 in order to discuss the future possible amendments to DAC</w:t>
      </w:r>
      <w:r w:rsidR="0000646A">
        <w:rPr>
          <w:rFonts w:ascii="Times New Roman" w:hAnsi="Times New Roman"/>
          <w:noProof/>
          <w:sz w:val="24"/>
        </w:rPr>
        <w:t>.A</w:t>
      </w:r>
      <w:r w:rsidRPr="008704BD">
        <w:rPr>
          <w:rFonts w:ascii="Times New Roman" w:hAnsi="Times New Roman"/>
          <w:noProof/>
          <w:sz w:val="24"/>
        </w:rPr>
        <w:t xml:space="preserve"> draft concept paper </w:t>
      </w:r>
      <w:r w:rsidRPr="008704BD">
        <w:rPr>
          <w:rFonts w:ascii="Times New Roman" w:hAnsi="Times New Roman"/>
          <w:i/>
          <w:noProof/>
          <w:sz w:val="24"/>
        </w:rPr>
        <w:t>“Possible expansion of the exchange of information framework in the field of taxation to include crypto-assets and e-money”</w:t>
      </w:r>
      <w:r w:rsidRPr="008704BD">
        <w:rPr>
          <w:rFonts w:ascii="Times New Roman" w:hAnsi="Times New Roman"/>
          <w:noProof/>
          <w:sz w:val="24"/>
        </w:rPr>
        <w:t xml:space="preserve"> prepared by TAXUD D2 on crypto-assets and e-money</w:t>
      </w:r>
      <w:r w:rsidR="0000646A">
        <w:rPr>
          <w:rFonts w:ascii="Times New Roman" w:hAnsi="Times New Roman"/>
          <w:noProof/>
          <w:sz w:val="24"/>
        </w:rPr>
        <w:t xml:space="preserve"> was discussed</w:t>
      </w:r>
      <w:r w:rsidRPr="008704BD">
        <w:rPr>
          <w:rFonts w:ascii="Times New Roman" w:hAnsi="Times New Roman"/>
          <w:noProof/>
          <w:sz w:val="24"/>
        </w:rPr>
        <w:t xml:space="preserve">. Participating Member States took the floor and expressed their support for an expansion of the existing DAC to encompass the sharing of information reported on crypto-assets and e-money. However, Member States emphasised the importance of closely following the work of the OECD on the same subject in order to avoid two different reporting frameworks. </w:t>
      </w:r>
    </w:p>
    <w:p w14:paraId="4BC62037" w14:textId="77777777" w:rsidR="00425F11"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In order to </w:t>
      </w:r>
      <w:r w:rsidR="003A1FD5" w:rsidRPr="008704BD">
        <w:rPr>
          <w:rFonts w:ascii="Times New Roman" w:hAnsi="Times New Roman"/>
          <w:noProof/>
          <w:sz w:val="24"/>
        </w:rPr>
        <w:t xml:space="preserve">complement </w:t>
      </w:r>
      <w:r w:rsidRPr="008704BD">
        <w:rPr>
          <w:rFonts w:ascii="Times New Roman" w:hAnsi="Times New Roman"/>
          <w:noProof/>
          <w:sz w:val="24"/>
        </w:rPr>
        <w:t>the discussions with the Member States</w:t>
      </w:r>
      <w:r w:rsidR="003A1FD5" w:rsidRPr="008704BD">
        <w:rPr>
          <w:rFonts w:ascii="Times New Roman" w:hAnsi="Times New Roman"/>
          <w:noProof/>
          <w:sz w:val="24"/>
        </w:rPr>
        <w:t>,</w:t>
      </w:r>
      <w:r w:rsidRPr="008704BD">
        <w:rPr>
          <w:rFonts w:ascii="Times New Roman" w:hAnsi="Times New Roman"/>
          <w:noProof/>
          <w:sz w:val="24"/>
        </w:rPr>
        <w:t xml:space="preserve"> a questionnaire, which was based on the draft concept paper and issues that were raised during the November 2020 meeting, was circulated to the Member States for input. </w:t>
      </w:r>
    </w:p>
    <w:p w14:paraId="0ACEB679" w14:textId="77777777" w:rsidR="006E5F59" w:rsidRPr="008704BD" w:rsidRDefault="006E5F59" w:rsidP="006E5F59">
      <w:pPr>
        <w:pStyle w:val="ListParagraph"/>
        <w:numPr>
          <w:ilvl w:val="1"/>
          <w:numId w:val="75"/>
        </w:numPr>
        <w:jc w:val="both"/>
        <w:rPr>
          <w:rFonts w:ascii="Times New Roman" w:hAnsi="Times New Roman"/>
          <w:b/>
          <w:noProof/>
          <w:sz w:val="24"/>
        </w:rPr>
      </w:pPr>
      <w:r w:rsidRPr="008704BD">
        <w:rPr>
          <w:rFonts w:ascii="Times New Roman" w:hAnsi="Times New Roman"/>
          <w:b/>
          <w:noProof/>
          <w:sz w:val="24"/>
        </w:rPr>
        <w:t>Targeted consultation via private stakeholders’ meeting</w:t>
      </w:r>
    </w:p>
    <w:p w14:paraId="373B074A" w14:textId="77777777" w:rsidR="00B602B1" w:rsidRDefault="006E5F59" w:rsidP="20204D08">
      <w:pPr>
        <w:autoSpaceDE w:val="0"/>
        <w:autoSpaceDN w:val="0"/>
        <w:adjustRightInd w:val="0"/>
        <w:spacing w:after="0"/>
        <w:jc w:val="both"/>
        <w:rPr>
          <w:rFonts w:ascii="Times New Roman" w:hAnsi="Times New Roman"/>
          <w:noProof/>
          <w:sz w:val="24"/>
          <w:szCs w:val="24"/>
        </w:rPr>
      </w:pPr>
      <w:r w:rsidRPr="20204D08">
        <w:rPr>
          <w:rFonts w:ascii="Times New Roman" w:hAnsi="Times New Roman"/>
          <w:noProof/>
          <w:sz w:val="24"/>
          <w:szCs w:val="24"/>
        </w:rPr>
        <w:t xml:space="preserve">On 23 March 2021, a meeting with </w:t>
      </w:r>
      <w:r w:rsidR="479943AC" w:rsidRPr="20204D08">
        <w:rPr>
          <w:rFonts w:ascii="Times New Roman" w:hAnsi="Times New Roman"/>
          <w:noProof/>
          <w:sz w:val="24"/>
          <w:szCs w:val="24"/>
        </w:rPr>
        <w:t xml:space="preserve">six </w:t>
      </w:r>
      <w:r w:rsidRPr="20204D08">
        <w:rPr>
          <w:rFonts w:ascii="Times New Roman" w:hAnsi="Times New Roman"/>
          <w:noProof/>
          <w:sz w:val="24"/>
          <w:szCs w:val="24"/>
        </w:rPr>
        <w:t xml:space="preserve">representatives of </w:t>
      </w:r>
      <w:r w:rsidR="67E1FE3A" w:rsidRPr="20204D08">
        <w:rPr>
          <w:rFonts w:ascii="Times New Roman" w:hAnsi="Times New Roman"/>
          <w:noProof/>
          <w:sz w:val="24"/>
          <w:szCs w:val="24"/>
        </w:rPr>
        <w:t>different</w:t>
      </w:r>
      <w:r w:rsidRPr="20204D08">
        <w:rPr>
          <w:rFonts w:ascii="Times New Roman" w:hAnsi="Times New Roman"/>
          <w:noProof/>
          <w:sz w:val="24"/>
          <w:szCs w:val="24"/>
        </w:rPr>
        <w:t xml:space="preserve"> service providers</w:t>
      </w:r>
      <w:r w:rsidR="772266C5" w:rsidRPr="20204D08">
        <w:rPr>
          <w:rFonts w:ascii="Times New Roman" w:hAnsi="Times New Roman"/>
          <w:noProof/>
          <w:sz w:val="24"/>
          <w:szCs w:val="24"/>
        </w:rPr>
        <w:t xml:space="preserve"> and delegates of 24 Member States (</w:t>
      </w:r>
      <w:r w:rsidR="772266C5" w:rsidRPr="20204D08">
        <w:rPr>
          <w:rFonts w:ascii="Times New Roman" w:eastAsia="Times New Roman" w:hAnsi="Times New Roman" w:cs="Times New Roman"/>
          <w:noProof/>
        </w:rPr>
        <w:t>BE, BG, DK, DE, EE, IE, EL, ES, HR, IT, CY, LV, LT, LU, HU, MT, NL, AT, PL, RO, SI, SK, FI, SE)</w:t>
      </w:r>
      <w:r w:rsidRPr="20204D08">
        <w:rPr>
          <w:rFonts w:ascii="Times New Roman" w:hAnsi="Times New Roman"/>
          <w:noProof/>
          <w:sz w:val="24"/>
          <w:szCs w:val="24"/>
        </w:rPr>
        <w:t xml:space="preserve"> was held virtually. Large as well as small service providers active in different sectors were represented: crypto-asset exchanges, other types of CASPS and digital assets associations. </w:t>
      </w:r>
    </w:p>
    <w:p w14:paraId="6E9378B9" w14:textId="77777777" w:rsidR="006E5F59" w:rsidRPr="008704BD" w:rsidRDefault="006E5F59" w:rsidP="20204D08">
      <w:pPr>
        <w:autoSpaceDE w:val="0"/>
        <w:autoSpaceDN w:val="0"/>
        <w:adjustRightInd w:val="0"/>
        <w:spacing w:after="0"/>
        <w:jc w:val="both"/>
        <w:rPr>
          <w:rFonts w:ascii="Times New Roman" w:hAnsi="Times New Roman"/>
          <w:noProof/>
          <w:sz w:val="24"/>
          <w:szCs w:val="24"/>
        </w:rPr>
      </w:pPr>
      <w:r w:rsidRPr="20204D08">
        <w:rPr>
          <w:rFonts w:ascii="Times New Roman" w:hAnsi="Times New Roman"/>
          <w:noProof/>
          <w:sz w:val="24"/>
          <w:szCs w:val="24"/>
        </w:rPr>
        <w:t xml:space="preserve"> </w:t>
      </w:r>
    </w:p>
    <w:p w14:paraId="2A8B3F0E"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 objective of the meeting was to gather views from stakeholders on their current experience with respect to reporting requirements based on national provisions, as well as to gather their views on a possible EU initiative to provide tax administrations with information on taxpayers who generate income and revenues through crypto-assets and e-money. Ahead of the meeting, a questionnaire was issued. </w:t>
      </w:r>
    </w:p>
    <w:p w14:paraId="3AFEBAA7" w14:textId="77777777" w:rsidR="006E5F59" w:rsidRPr="008704BD" w:rsidRDefault="006E5F59" w:rsidP="006E5F59">
      <w:pPr>
        <w:pStyle w:val="ListParagraph"/>
        <w:numPr>
          <w:ilvl w:val="0"/>
          <w:numId w:val="75"/>
        </w:numPr>
        <w:jc w:val="both"/>
        <w:rPr>
          <w:rFonts w:ascii="Times New Roman" w:hAnsi="Times New Roman"/>
          <w:b/>
          <w:noProof/>
          <w:sz w:val="24"/>
        </w:rPr>
      </w:pPr>
      <w:r w:rsidRPr="008704BD">
        <w:rPr>
          <w:rFonts w:ascii="Times New Roman" w:hAnsi="Times New Roman"/>
          <w:b/>
          <w:noProof/>
          <w:sz w:val="24"/>
        </w:rPr>
        <w:t>Public Consultation</w:t>
      </w:r>
    </w:p>
    <w:p w14:paraId="594B65D8"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 </w:t>
      </w:r>
      <w:r w:rsidR="003A1FD5" w:rsidRPr="008704BD">
        <w:rPr>
          <w:rFonts w:ascii="Times New Roman" w:hAnsi="Times New Roman"/>
          <w:noProof/>
          <w:sz w:val="24"/>
        </w:rPr>
        <w:t>public c</w:t>
      </w:r>
      <w:r w:rsidRPr="008704BD">
        <w:rPr>
          <w:rFonts w:ascii="Times New Roman" w:hAnsi="Times New Roman"/>
          <w:noProof/>
          <w:sz w:val="24"/>
        </w:rPr>
        <w:t>onsultation was launched on 10 March 2021. It remained open until 2 June 2021 respecting the usual 12 weeks limit.</w:t>
      </w:r>
    </w:p>
    <w:p w14:paraId="3C8EECC1" w14:textId="77777777" w:rsidR="006E5F59" w:rsidRPr="008704BD"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 xml:space="preserve">In addition to the general identification questions, the </w:t>
      </w:r>
      <w:r w:rsidR="003A1FD5" w:rsidRPr="008704BD">
        <w:rPr>
          <w:rFonts w:ascii="Times New Roman" w:hAnsi="Times New Roman"/>
          <w:noProof/>
          <w:sz w:val="24"/>
        </w:rPr>
        <w:t>public c</w:t>
      </w:r>
      <w:r w:rsidRPr="008704BD">
        <w:rPr>
          <w:rFonts w:ascii="Times New Roman" w:hAnsi="Times New Roman"/>
          <w:noProof/>
          <w:sz w:val="24"/>
        </w:rPr>
        <w:t xml:space="preserve">onsultation questionnaire consisted of 36 questions which covered all elements of the impact assessment; problem, subsidiarity, options and impacts of the initiative. Stakeholders could also upload additional contributions. In order to increase the visibility of the public consultation, the Commission promoted this consultation on social media. Despite the diversity of channels used, the number of contributions received remained small. Such a limited response to the </w:t>
      </w:r>
      <w:r w:rsidR="003A1FD5" w:rsidRPr="008704BD">
        <w:rPr>
          <w:rFonts w:ascii="Times New Roman" w:hAnsi="Times New Roman"/>
          <w:noProof/>
          <w:sz w:val="24"/>
        </w:rPr>
        <w:t>public c</w:t>
      </w:r>
      <w:r w:rsidRPr="008704BD">
        <w:rPr>
          <w:rFonts w:ascii="Times New Roman" w:hAnsi="Times New Roman"/>
          <w:noProof/>
          <w:sz w:val="24"/>
        </w:rPr>
        <w:t xml:space="preserve">onsultation could be explained by the rather widespread support and non-contentious character of the initiative at stake or the still small but growing market. </w:t>
      </w:r>
    </w:p>
    <w:p w14:paraId="521D876C" w14:textId="77777777" w:rsidR="006E5F59" w:rsidRPr="008704BD" w:rsidRDefault="006E5F59" w:rsidP="006E5F59">
      <w:pPr>
        <w:autoSpaceDE w:val="0"/>
        <w:autoSpaceDN w:val="0"/>
        <w:adjustRightInd w:val="0"/>
        <w:spacing w:after="0"/>
        <w:jc w:val="both"/>
        <w:rPr>
          <w:rFonts w:ascii="Times New Roman" w:hAnsi="Times New Roman"/>
          <w:noProof/>
          <w:sz w:val="24"/>
        </w:rPr>
      </w:pPr>
    </w:p>
    <w:p w14:paraId="51E115DF"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In total, 33 responses were received, coming from the following respondents:</w:t>
      </w:r>
    </w:p>
    <w:p w14:paraId="4310EB78" w14:textId="77777777" w:rsidR="006E5F59" w:rsidRPr="006E5F59" w:rsidRDefault="006E5F59" w:rsidP="006E5F59">
      <w:pPr>
        <w:rPr>
          <w:rFonts w:ascii="Times New Roman" w:hAnsi="Times New Roman" w:cs="Times New Roman"/>
          <w:b/>
          <w:noProof/>
        </w:rPr>
      </w:pPr>
      <w:r w:rsidRPr="008704BD">
        <w:rPr>
          <w:rFonts w:ascii="Times New Roman" w:hAnsi="Times New Roman"/>
          <w:b/>
          <w:noProof/>
          <w:sz w:val="24"/>
        </w:rPr>
        <w:t>Annex figure 1: categories of stakeholders commenting on the public consultation</w:t>
      </w:r>
    </w:p>
    <w:p w14:paraId="7B26442A" w14:textId="77777777" w:rsidR="006E5F59" w:rsidRPr="006E5F59" w:rsidRDefault="006E5F59" w:rsidP="006E5F59">
      <w:pPr>
        <w:spacing w:after="0"/>
        <w:rPr>
          <w:rFonts w:ascii="Times New Roman" w:hAnsi="Times New Roman" w:cs="Times New Roman"/>
          <w:b/>
          <w:noProof/>
        </w:rPr>
      </w:pPr>
      <w:r w:rsidRPr="006E5F59">
        <w:rPr>
          <w:rFonts w:ascii="Times New Roman" w:hAnsi="Times New Roman" w:cs="Times New Roman"/>
          <w:noProof/>
          <w:color w:val="2B579A"/>
          <w:shd w:val="clear" w:color="auto" w:fill="E6E6E6"/>
          <w:lang w:val="en-GB" w:eastAsia="en-GB"/>
        </w:rPr>
        <w:drawing>
          <wp:inline distT="0" distB="0" distL="0" distR="0" wp14:anchorId="65CD7162" wp14:editId="15839877">
            <wp:extent cx="3975652" cy="267733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3">
                      <a:extLst>
                        <a:ext uri="{28A0092B-C50C-407E-A947-70E740481C1C}">
                          <a14:useLocalDpi xmlns:a14="http://schemas.microsoft.com/office/drawing/2010/main" val="0"/>
                        </a:ext>
                      </a:extLst>
                    </a:blip>
                    <a:stretch>
                      <a:fillRect/>
                    </a:stretch>
                  </pic:blipFill>
                  <pic:spPr>
                    <a:xfrm>
                      <a:off x="0" y="0"/>
                      <a:ext cx="3975652" cy="2677330"/>
                    </a:xfrm>
                    <a:prstGeom prst="rect">
                      <a:avLst/>
                    </a:prstGeom>
                  </pic:spPr>
                </pic:pic>
              </a:graphicData>
            </a:graphic>
          </wp:inline>
        </w:drawing>
      </w:r>
    </w:p>
    <w:p w14:paraId="0611FCD7" w14:textId="77777777" w:rsidR="006E5F59" w:rsidRPr="008704BD" w:rsidRDefault="006E5F59" w:rsidP="006E5F59">
      <w:pPr>
        <w:spacing w:after="0"/>
        <w:rPr>
          <w:rFonts w:ascii="Times New Roman" w:hAnsi="Times New Roman"/>
          <w:i/>
          <w:noProof/>
          <w:sz w:val="24"/>
        </w:rPr>
      </w:pPr>
      <w:r w:rsidRPr="008704BD">
        <w:rPr>
          <w:rFonts w:ascii="Times New Roman" w:hAnsi="Times New Roman"/>
          <w:i/>
          <w:noProof/>
          <w:sz w:val="24"/>
        </w:rPr>
        <w:t>Source: responses to the public consultation questionnaire</w:t>
      </w:r>
    </w:p>
    <w:p w14:paraId="7B1D8810" w14:textId="77777777" w:rsidR="006E5F59" w:rsidRPr="006E5F59" w:rsidRDefault="006E5F59" w:rsidP="006E5F59">
      <w:pPr>
        <w:rPr>
          <w:rFonts w:ascii="Times New Roman" w:hAnsi="Times New Roman" w:cs="Times New Roman"/>
          <w:b/>
          <w:noProof/>
        </w:rPr>
      </w:pPr>
    </w:p>
    <w:p w14:paraId="36F9C45A" w14:textId="77777777" w:rsidR="002156B3" w:rsidRPr="008704BD" w:rsidRDefault="006E5F59" w:rsidP="006E5F59">
      <w:pPr>
        <w:rPr>
          <w:rFonts w:ascii="Times New Roman" w:hAnsi="Times New Roman"/>
          <w:noProof/>
          <w:sz w:val="24"/>
        </w:rPr>
      </w:pPr>
      <w:r w:rsidRPr="008704BD">
        <w:rPr>
          <w:rFonts w:ascii="Times New Roman" w:hAnsi="Times New Roman"/>
          <w:noProof/>
          <w:sz w:val="24"/>
        </w:rPr>
        <w:t>In terms of breakdown by country of origin of the respondents, the chart below shows a diverse representation:</w:t>
      </w:r>
    </w:p>
    <w:p w14:paraId="26EE71F6" w14:textId="77777777" w:rsidR="002156B3" w:rsidRPr="008704BD" w:rsidRDefault="002156B3" w:rsidP="006E5F59">
      <w:pPr>
        <w:rPr>
          <w:rFonts w:ascii="Times New Roman" w:hAnsi="Times New Roman"/>
          <w:noProof/>
          <w:sz w:val="24"/>
        </w:rPr>
      </w:pPr>
    </w:p>
    <w:p w14:paraId="2496A5DD" w14:textId="77777777" w:rsidR="006E5F59" w:rsidRPr="008704BD" w:rsidRDefault="006E5F59" w:rsidP="006E5F59">
      <w:pPr>
        <w:rPr>
          <w:rFonts w:ascii="Times New Roman" w:hAnsi="Times New Roman"/>
          <w:b/>
          <w:noProof/>
          <w:sz w:val="24"/>
        </w:rPr>
      </w:pPr>
      <w:r w:rsidRPr="008704BD">
        <w:rPr>
          <w:rFonts w:ascii="Times New Roman" w:hAnsi="Times New Roman"/>
          <w:b/>
          <w:noProof/>
          <w:sz w:val="24"/>
        </w:rPr>
        <w:t>Annex figure 2: Stakeholder’s origin country</w:t>
      </w:r>
    </w:p>
    <w:p w14:paraId="4265CB4E" w14:textId="77777777" w:rsidR="006E5F59" w:rsidRPr="006E5F59" w:rsidRDefault="006E5F59" w:rsidP="006E5F59">
      <w:pPr>
        <w:spacing w:after="0"/>
        <w:rPr>
          <w:rFonts w:ascii="Times New Roman" w:hAnsi="Times New Roman" w:cs="Times New Roman"/>
          <w:b/>
          <w:noProof/>
        </w:rPr>
      </w:pPr>
      <w:r w:rsidRPr="006E5F59">
        <w:rPr>
          <w:rFonts w:ascii="Times New Roman" w:hAnsi="Times New Roman" w:cs="Times New Roman"/>
          <w:noProof/>
          <w:color w:val="2B579A"/>
          <w:shd w:val="clear" w:color="auto" w:fill="E6E6E6"/>
          <w:lang w:val="en-GB" w:eastAsia="en-GB"/>
        </w:rPr>
        <w:drawing>
          <wp:inline distT="0" distB="0" distL="0" distR="0" wp14:anchorId="747CDB3A" wp14:editId="74F343A4">
            <wp:extent cx="3939190" cy="261399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4">
                      <a:extLst>
                        <a:ext uri="{28A0092B-C50C-407E-A947-70E740481C1C}">
                          <a14:useLocalDpi xmlns:a14="http://schemas.microsoft.com/office/drawing/2010/main" val="0"/>
                        </a:ext>
                      </a:extLst>
                    </a:blip>
                    <a:stretch>
                      <a:fillRect/>
                    </a:stretch>
                  </pic:blipFill>
                  <pic:spPr>
                    <a:xfrm>
                      <a:off x="0" y="0"/>
                      <a:ext cx="3939190" cy="2613991"/>
                    </a:xfrm>
                    <a:prstGeom prst="rect">
                      <a:avLst/>
                    </a:prstGeom>
                  </pic:spPr>
                </pic:pic>
              </a:graphicData>
            </a:graphic>
          </wp:inline>
        </w:drawing>
      </w:r>
    </w:p>
    <w:p w14:paraId="563535C4" w14:textId="77777777" w:rsidR="006E5F59" w:rsidRPr="008704BD" w:rsidRDefault="006E5F59" w:rsidP="006E5F59">
      <w:pPr>
        <w:spacing w:after="0"/>
        <w:rPr>
          <w:rFonts w:ascii="Times New Roman" w:hAnsi="Times New Roman"/>
          <w:i/>
          <w:noProof/>
          <w:sz w:val="24"/>
        </w:rPr>
      </w:pPr>
      <w:r w:rsidRPr="008704BD">
        <w:rPr>
          <w:rFonts w:ascii="Times New Roman" w:hAnsi="Times New Roman"/>
          <w:i/>
          <w:noProof/>
          <w:sz w:val="24"/>
        </w:rPr>
        <w:t>Source: responses to the public consultation questionnaire</w:t>
      </w:r>
    </w:p>
    <w:p w14:paraId="525C9684" w14:textId="77777777" w:rsidR="006E5F59" w:rsidRPr="008704BD" w:rsidRDefault="006E5F59" w:rsidP="006E5F59">
      <w:pPr>
        <w:rPr>
          <w:rFonts w:ascii="Times New Roman" w:hAnsi="Times New Roman"/>
          <w:b/>
          <w:noProof/>
          <w:sz w:val="24"/>
        </w:rPr>
      </w:pPr>
    </w:p>
    <w:p w14:paraId="45071886"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With regard to the publication of privacy settings, 2 respondents agreed to the publication of their personal details and 31 answered as anonymous participants. From the point of view of the size of the organizations involved, 7 are micro (1 to 9 employees), 4 small (10 to 49 employees), 4 medium (50 to 249 employees) and 8 large (more than 250 employees).</w:t>
      </w:r>
    </w:p>
    <w:p w14:paraId="3C44ACF7"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From the replies received, at least 7 of them acknowledged using crypto-assets for investment and/or payment purposes.</w:t>
      </w:r>
    </w:p>
    <w:p w14:paraId="31AC42DE" w14:textId="77777777" w:rsidR="006E5F59" w:rsidRPr="008704BD" w:rsidRDefault="003A1FD5" w:rsidP="006E5F59">
      <w:pPr>
        <w:jc w:val="both"/>
        <w:rPr>
          <w:rFonts w:ascii="Times New Roman" w:hAnsi="Times New Roman"/>
          <w:noProof/>
          <w:sz w:val="24"/>
        </w:rPr>
      </w:pPr>
      <w:r w:rsidRPr="008704BD">
        <w:rPr>
          <w:rFonts w:ascii="Times New Roman" w:hAnsi="Times New Roman"/>
          <w:noProof/>
          <w:sz w:val="24"/>
        </w:rPr>
        <w:t xml:space="preserve">Twelve </w:t>
      </w:r>
      <w:r w:rsidR="006E5F59" w:rsidRPr="008704BD">
        <w:rPr>
          <w:rFonts w:ascii="Times New Roman" w:hAnsi="Times New Roman"/>
          <w:noProof/>
          <w:sz w:val="24"/>
        </w:rPr>
        <w:t>position papers were submitted by stakeholders in addition to the answers provided by them to the standardized questionnaire. Position papers were submitted, mainly, by business associations.</w:t>
      </w:r>
    </w:p>
    <w:p w14:paraId="388E0EE6" w14:textId="77777777" w:rsidR="006E5F59" w:rsidRPr="008704BD" w:rsidRDefault="006E5F59" w:rsidP="006E5F59">
      <w:pPr>
        <w:pStyle w:val="ListParagraph"/>
        <w:numPr>
          <w:ilvl w:val="0"/>
          <w:numId w:val="77"/>
        </w:numPr>
        <w:autoSpaceDE w:val="0"/>
        <w:autoSpaceDN w:val="0"/>
        <w:adjustRightInd w:val="0"/>
        <w:spacing w:after="0" w:line="240" w:lineRule="auto"/>
        <w:jc w:val="both"/>
        <w:rPr>
          <w:rFonts w:ascii="Times New Roman" w:hAnsi="Times New Roman"/>
          <w:b/>
          <w:noProof/>
          <w:sz w:val="24"/>
        </w:rPr>
      </w:pPr>
      <w:r w:rsidRPr="008704BD">
        <w:rPr>
          <w:rFonts w:ascii="Times New Roman" w:hAnsi="Times New Roman"/>
          <w:b/>
          <w:noProof/>
          <w:sz w:val="24"/>
        </w:rPr>
        <w:t>Methodology and tools for processing the data</w:t>
      </w:r>
    </w:p>
    <w:p w14:paraId="3CDE55A3" w14:textId="77777777" w:rsidR="006E5F59" w:rsidRPr="008704BD" w:rsidRDefault="006E5F59" w:rsidP="006E5F59">
      <w:pPr>
        <w:autoSpaceDE w:val="0"/>
        <w:autoSpaceDN w:val="0"/>
        <w:adjustRightInd w:val="0"/>
        <w:spacing w:after="0"/>
        <w:rPr>
          <w:rFonts w:ascii="Times New Roman" w:hAnsi="Times New Roman"/>
          <w:noProof/>
          <w:sz w:val="24"/>
        </w:rPr>
      </w:pPr>
      <w:r w:rsidRPr="008704BD">
        <w:rPr>
          <w:rFonts w:ascii="Times New Roman" w:hAnsi="Times New Roman"/>
          <w:noProof/>
          <w:sz w:val="24"/>
        </w:rPr>
        <w:t xml:space="preserve"> </w:t>
      </w:r>
    </w:p>
    <w:p w14:paraId="38881E04"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 consultation activities allowed for the collection of data of both qualitative and quantitative nature, which were processed and analysed systematically. Qualitative data was structured according to key themes. Quantitative data (including survey responses and figures provided by stakeholders) was processed using an Excel spreadsheet, and analysed using statistical methods, ensuring the appropriate protection of personal data without publishing the information of the respondents that did not provide their consent.</w:t>
      </w:r>
    </w:p>
    <w:p w14:paraId="58F44416" w14:textId="77777777" w:rsidR="006E5F59" w:rsidRPr="008704BD" w:rsidRDefault="006E5F59" w:rsidP="006E5F59">
      <w:pPr>
        <w:pStyle w:val="ListParagraph"/>
        <w:numPr>
          <w:ilvl w:val="0"/>
          <w:numId w:val="77"/>
        </w:numPr>
        <w:jc w:val="both"/>
        <w:rPr>
          <w:rFonts w:ascii="Times New Roman" w:hAnsi="Times New Roman"/>
          <w:b/>
          <w:noProof/>
          <w:sz w:val="24"/>
        </w:rPr>
      </w:pPr>
      <w:r w:rsidRPr="008704BD">
        <w:rPr>
          <w:rFonts w:ascii="Times New Roman" w:hAnsi="Times New Roman"/>
          <w:b/>
          <w:noProof/>
          <w:sz w:val="24"/>
        </w:rPr>
        <w:t xml:space="preserve">Consultation result </w:t>
      </w:r>
    </w:p>
    <w:p w14:paraId="2DE4E885" w14:textId="77777777" w:rsidR="006E5F59" w:rsidRPr="008704BD" w:rsidRDefault="006E5F59" w:rsidP="006E5F59">
      <w:pPr>
        <w:pStyle w:val="ListParagraph"/>
        <w:numPr>
          <w:ilvl w:val="0"/>
          <w:numId w:val="76"/>
        </w:numPr>
        <w:jc w:val="both"/>
        <w:rPr>
          <w:rFonts w:ascii="Times New Roman" w:hAnsi="Times New Roman"/>
          <w:b/>
          <w:noProof/>
          <w:sz w:val="24"/>
        </w:rPr>
      </w:pPr>
      <w:r w:rsidRPr="008704BD">
        <w:rPr>
          <w:rFonts w:ascii="Times New Roman" w:hAnsi="Times New Roman"/>
          <w:b/>
          <w:noProof/>
          <w:sz w:val="24"/>
        </w:rPr>
        <w:t>Inception Impact Assessment feedback</w:t>
      </w:r>
    </w:p>
    <w:p w14:paraId="41B8F8B4"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Overall, the initiative to create a common EU framework for reporting obligations was welcomed by the majority of stakeholders involved. Several comments concerned the need for clearly defining crypto-assets and e-money, as well as the service providers in scope of the amendment to the DAC. Most agreed that MiCA’s definitional framework should be used as starting point. Furthermore, stakeholders pointed out the need for aligning any action with the ongoing work being undertaken by the OECD and the FATF on the regulation of cryptocurrencies.</w:t>
      </w:r>
    </w:p>
    <w:p w14:paraId="7029E8AE"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Some stakeholders insisted on keeping the global approach - </w:t>
      </w:r>
      <w:r w:rsidRPr="008704BD">
        <w:rPr>
          <w:rFonts w:ascii="Times New Roman" w:hAnsi="Times New Roman"/>
          <w:i/>
          <w:noProof/>
          <w:sz w:val="24"/>
        </w:rPr>
        <w:t>“combat tax evasion by taxpayers seeking to hide their assets in offshore accounts and at the same time ensures a global level playing field”.</w:t>
      </w:r>
      <w:r w:rsidRPr="008704BD">
        <w:rPr>
          <w:rFonts w:ascii="Times New Roman" w:hAnsi="Times New Roman"/>
          <w:noProof/>
          <w:sz w:val="24"/>
        </w:rPr>
        <w:t xml:space="preserve"> It was highlighted that the principles of subsidiarity and proportionality should be the drivers when scoping out the amendments to the DAC.</w:t>
      </w:r>
    </w:p>
    <w:p w14:paraId="12D04C81"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There was widespread agreement</w:t>
      </w:r>
      <w:r w:rsidRPr="008704BD" w:rsidDel="00FB3425">
        <w:rPr>
          <w:rFonts w:ascii="Times New Roman" w:hAnsi="Times New Roman"/>
          <w:noProof/>
          <w:sz w:val="24"/>
        </w:rPr>
        <w:t xml:space="preserve"> </w:t>
      </w:r>
      <w:r w:rsidRPr="008704BD">
        <w:rPr>
          <w:rFonts w:ascii="Times New Roman" w:hAnsi="Times New Roman"/>
          <w:noProof/>
          <w:sz w:val="24"/>
        </w:rPr>
        <w:t>on the need for providing a harmonized, fair and robust tax system. While a precise and targeted regulation is needed to address illicit activity, it is important that such a regulation is proportional and not prohibitively complex to adversely affect crypto-assets as an important component of the financial services industry.</w:t>
      </w:r>
    </w:p>
    <w:p w14:paraId="5C13BCEA" w14:textId="77777777" w:rsidR="006E5F59" w:rsidRPr="008704BD" w:rsidRDefault="006E5F59" w:rsidP="006E5F59">
      <w:pPr>
        <w:pStyle w:val="ListParagraph"/>
        <w:numPr>
          <w:ilvl w:val="0"/>
          <w:numId w:val="76"/>
        </w:numPr>
        <w:jc w:val="both"/>
        <w:rPr>
          <w:rFonts w:ascii="Times New Roman" w:hAnsi="Times New Roman"/>
          <w:b/>
          <w:noProof/>
          <w:sz w:val="24"/>
        </w:rPr>
      </w:pPr>
      <w:r w:rsidRPr="008704BD">
        <w:rPr>
          <w:rFonts w:ascii="Times New Roman" w:hAnsi="Times New Roman"/>
          <w:b/>
          <w:noProof/>
          <w:sz w:val="24"/>
        </w:rPr>
        <w:t>Targeted consultation</w:t>
      </w:r>
    </w:p>
    <w:p w14:paraId="7C4344DB" w14:textId="77777777" w:rsidR="006E5F59" w:rsidRPr="008704BD" w:rsidRDefault="006E5F59" w:rsidP="006E5F59">
      <w:pPr>
        <w:pStyle w:val="ListParagraph"/>
        <w:numPr>
          <w:ilvl w:val="1"/>
          <w:numId w:val="76"/>
        </w:numPr>
        <w:jc w:val="both"/>
        <w:rPr>
          <w:rFonts w:ascii="Times New Roman" w:hAnsi="Times New Roman"/>
          <w:b/>
          <w:noProof/>
          <w:sz w:val="24"/>
        </w:rPr>
      </w:pPr>
      <w:r w:rsidRPr="008704BD">
        <w:rPr>
          <w:rFonts w:ascii="Times New Roman" w:hAnsi="Times New Roman"/>
          <w:b/>
          <w:noProof/>
          <w:sz w:val="24"/>
        </w:rPr>
        <w:t>Targeted consultation via expert group (Working Party IV)</w:t>
      </w:r>
      <w:r w:rsidRPr="008704BD">
        <w:rPr>
          <w:rStyle w:val="FootnoteReference"/>
          <w:rFonts w:ascii="Times New Roman" w:hAnsi="Times New Roman"/>
          <w:b/>
          <w:noProof/>
          <w:sz w:val="24"/>
        </w:rPr>
        <w:footnoteReference w:id="50"/>
      </w:r>
    </w:p>
    <w:p w14:paraId="3BB57C52"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 expert group of Working Party IV met in November 2020, where the European Commission presented for the first time the proposal to expand the scope of the DAC to include crypto-assets and e-money. The corresponding </w:t>
      </w:r>
      <w:r w:rsidR="00AE5294" w:rsidRPr="008704BD">
        <w:rPr>
          <w:rFonts w:ascii="Times New Roman" w:hAnsi="Times New Roman"/>
          <w:noProof/>
          <w:sz w:val="24"/>
        </w:rPr>
        <w:t>concept</w:t>
      </w:r>
      <w:r w:rsidRPr="008704BD" w:rsidDel="00AE5294">
        <w:rPr>
          <w:rFonts w:ascii="Times New Roman" w:hAnsi="Times New Roman"/>
          <w:noProof/>
          <w:sz w:val="24"/>
        </w:rPr>
        <w:t xml:space="preserve"> </w:t>
      </w:r>
      <w:r w:rsidR="00AE5294" w:rsidRPr="008704BD">
        <w:rPr>
          <w:rFonts w:ascii="Times New Roman" w:hAnsi="Times New Roman"/>
          <w:noProof/>
          <w:sz w:val="24"/>
        </w:rPr>
        <w:t xml:space="preserve">note </w:t>
      </w:r>
      <w:r w:rsidRPr="008704BD">
        <w:rPr>
          <w:rFonts w:ascii="Times New Roman" w:hAnsi="Times New Roman"/>
          <w:noProof/>
          <w:sz w:val="24"/>
        </w:rPr>
        <w:t xml:space="preserve">on expanding the scope of automatic exchange of information to crypto-assets and e-money was presented and discussed with the Member States during this meeting. </w:t>
      </w:r>
    </w:p>
    <w:p w14:paraId="3C6F2BE2"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In general, Member States expressed strong support for the expansion of the scope of automatic exchange of information to include crypto-assets and e-money. Questions raised by the Member States mostly revolved around the level of detail of such reporting, the extent of such reporting (in terms of assets covered, intermediaries covered, etc.) or the consistency with the OECD work in this area. </w:t>
      </w:r>
    </w:p>
    <w:p w14:paraId="0FF34BA1"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 transfers from one wallet to another wallet held by the same taxpayer was seen as the only valid exemption. Another aspect raised was the consideration of data protection in case of reporting on transaction-by-transaction basis. In this context, some Member States highlighted that an aggregate approach would be easier to reconcile with GDPR obligations.</w:t>
      </w:r>
    </w:p>
    <w:p w14:paraId="03A920C1"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 questionnaire circulated to Member States consisted of questions about the treatment of crypto-assets and e-money as well as their tax treatment in each specific Member State. Regarding the treatment of e-money, Member States agreed that e-money providers just like financial institutions must determine whether they are a reporting Financial Institution according to DAC2. Thus, most Member States apply the CRS related FAQs to E-money providers. In terms of crypto-assets, the outcome of the questionnaire showed that most Member States have not introduced specific provisions for crypto-assets and even those who have find it difficult to obtain the necessary information for taxation based on their national legislation.</w:t>
      </w:r>
    </w:p>
    <w:p w14:paraId="0A5A479C" w14:textId="77777777" w:rsidR="006E5F59" w:rsidRPr="008704BD" w:rsidRDefault="006E5F59" w:rsidP="006E5F59">
      <w:pPr>
        <w:pStyle w:val="Default"/>
        <w:spacing w:after="160" w:line="259" w:lineRule="auto"/>
        <w:jc w:val="both"/>
        <w:rPr>
          <w:rFonts w:ascii="Times New Roman" w:hAnsi="Times New Roman"/>
          <w:noProof/>
          <w:color w:val="auto"/>
          <w:lang w:val="en-GB"/>
        </w:rPr>
      </w:pPr>
      <w:r w:rsidRPr="008704BD">
        <w:rPr>
          <w:rFonts w:ascii="Times New Roman" w:hAnsi="Times New Roman"/>
          <w:noProof/>
          <w:color w:val="auto"/>
          <w:lang w:val="en-GB"/>
        </w:rPr>
        <w:t xml:space="preserve">Member States considered that the expansion of the scope of reportable information under DAC2 may not be entirely sufficient and as such should be adapted for crypto-assets.   </w:t>
      </w:r>
    </w:p>
    <w:p w14:paraId="4479E7B1" w14:textId="77777777" w:rsidR="006E5F59" w:rsidRPr="008704BD" w:rsidRDefault="006E5F59" w:rsidP="006E5F59">
      <w:pPr>
        <w:pStyle w:val="Default"/>
        <w:spacing w:after="160" w:line="259" w:lineRule="auto"/>
        <w:jc w:val="both"/>
        <w:rPr>
          <w:rFonts w:ascii="Times New Roman" w:hAnsi="Times New Roman"/>
          <w:noProof/>
          <w:color w:val="auto"/>
          <w:lang w:val="en-GB"/>
        </w:rPr>
      </w:pPr>
      <w:r w:rsidRPr="008704BD">
        <w:rPr>
          <w:rFonts w:ascii="Times New Roman" w:hAnsi="Times New Roman"/>
          <w:noProof/>
          <w:color w:val="auto"/>
          <w:lang w:val="en-GB"/>
        </w:rPr>
        <w:t xml:space="preserve">Stakeholders expressed a preference to exchange the information on an aggregate basis. Similarly, most of the Member States were in favour of aggregate reporting as a basis for carrying out risk assessments although some still expressed their preference for transaction-by-transaction reporting for the purpose of tax assessments. Furthermore, Member States discussed the possibility of obliging CASPs to report more than once a year or to adapt the standard to the reporting entities or reported taxpayers. </w:t>
      </w:r>
    </w:p>
    <w:p w14:paraId="13BA37BD" w14:textId="77777777" w:rsidR="006E5F59" w:rsidRPr="008704BD" w:rsidRDefault="006E5F59" w:rsidP="006E5F59">
      <w:pPr>
        <w:pStyle w:val="Default"/>
        <w:spacing w:after="160" w:line="259" w:lineRule="auto"/>
        <w:jc w:val="both"/>
        <w:rPr>
          <w:rFonts w:ascii="Times New Roman" w:hAnsi="Times New Roman"/>
          <w:noProof/>
          <w:color w:val="auto"/>
          <w:lang w:val="en-GB"/>
        </w:rPr>
      </w:pPr>
      <w:r w:rsidRPr="008704BD">
        <w:rPr>
          <w:rFonts w:ascii="Times New Roman" w:hAnsi="Times New Roman"/>
          <w:noProof/>
          <w:color w:val="auto"/>
          <w:lang w:val="en-GB"/>
        </w:rPr>
        <w:t>Member States expressed the need for considering the MiCA and AML proposals for extending the scope of the DAC. Some Member States consider that the provisions in these proposals may offer possibilities for the enforcement of reporting obligations for third country CASPs. Regarding cold wallets, Member States agreed that it would be difficult to cover them due to the difficulties in having information on crypto-assets held but not exchanged.</w:t>
      </w:r>
    </w:p>
    <w:p w14:paraId="69F8F73E" w14:textId="77777777" w:rsidR="006E5F59" w:rsidRPr="008704BD" w:rsidRDefault="006E5F59" w:rsidP="711DF1FC">
      <w:pPr>
        <w:spacing w:after="0"/>
        <w:jc w:val="both"/>
        <w:rPr>
          <w:rFonts w:ascii="Times New Roman" w:hAnsi="Times New Roman"/>
          <w:noProof/>
          <w:sz w:val="24"/>
        </w:rPr>
      </w:pPr>
      <w:r w:rsidRPr="008704BD">
        <w:rPr>
          <w:rFonts w:ascii="Times New Roman" w:hAnsi="Times New Roman"/>
          <w:noProof/>
          <w:sz w:val="24"/>
        </w:rPr>
        <w:t xml:space="preserve">As a summary of both meetings, the Member States agreed on the need to expand the scope of automatic exchange of information to crypto-assets. In addition, the reporting framework including aggregate versus transaction-by-transaction and the reporting frequency remained as open issues. </w:t>
      </w:r>
    </w:p>
    <w:p w14:paraId="0F31FE76" w14:textId="77777777" w:rsidR="711DF1FC" w:rsidRPr="008704BD" w:rsidRDefault="711DF1FC" w:rsidP="711DF1FC">
      <w:pPr>
        <w:spacing w:after="0"/>
        <w:jc w:val="both"/>
        <w:rPr>
          <w:rFonts w:ascii="Times New Roman" w:hAnsi="Times New Roman"/>
          <w:noProof/>
          <w:sz w:val="24"/>
        </w:rPr>
      </w:pPr>
    </w:p>
    <w:p w14:paraId="0BFBAECA" w14:textId="77777777" w:rsidR="006E5F59" w:rsidRPr="008704BD" w:rsidRDefault="006E5F59" w:rsidP="006E5F59">
      <w:pPr>
        <w:pStyle w:val="ListParagraph"/>
        <w:numPr>
          <w:ilvl w:val="1"/>
          <w:numId w:val="76"/>
        </w:numPr>
        <w:jc w:val="both"/>
        <w:rPr>
          <w:rFonts w:ascii="Times New Roman" w:hAnsi="Times New Roman"/>
          <w:b/>
          <w:noProof/>
          <w:sz w:val="24"/>
        </w:rPr>
      </w:pPr>
      <w:r w:rsidRPr="008704BD">
        <w:rPr>
          <w:rFonts w:ascii="Times New Roman" w:hAnsi="Times New Roman"/>
          <w:b/>
          <w:noProof/>
          <w:sz w:val="24"/>
        </w:rPr>
        <w:t>Targeted consultation via stakeholder’s meeting</w:t>
      </w:r>
    </w:p>
    <w:p w14:paraId="516D3E85" w14:textId="7FCEDAB7" w:rsidR="006E5F59" w:rsidRPr="008704BD"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 xml:space="preserve">On the topic of the crypto-assets in scope, stakeholders highlighted that important discussions on definitions are still ongoing on MiCA and AML. Therefore, the majority of stakeholders </w:t>
      </w:r>
      <w:r w:rsidR="00332D8D" w:rsidRPr="008704BD">
        <w:rPr>
          <w:rFonts w:ascii="Times New Roman" w:hAnsi="Times New Roman"/>
          <w:noProof/>
          <w:sz w:val="24"/>
        </w:rPr>
        <w:t>signaled</w:t>
      </w:r>
      <w:r w:rsidRPr="008704BD">
        <w:rPr>
          <w:rFonts w:ascii="Times New Roman" w:hAnsi="Times New Roman"/>
          <w:noProof/>
          <w:sz w:val="24"/>
        </w:rPr>
        <w:t xml:space="preserve"> the need to follow existing provisions from MiCA and AML, as well as the work done by the OECD on cryptocurrencies. Some stakeholders consider crypto-assets to be similar to financial assets and even money. Therefore, this initiative should only target crypto-assets that are </w:t>
      </w:r>
      <w:r w:rsidR="00DD5B27">
        <w:rPr>
          <w:rFonts w:ascii="Times New Roman" w:hAnsi="Times New Roman"/>
          <w:noProof/>
          <w:sz w:val="24"/>
        </w:rPr>
        <w:t>admitted to trading</w:t>
      </w:r>
      <w:r w:rsidRPr="008704BD">
        <w:rPr>
          <w:rFonts w:ascii="Times New Roman" w:hAnsi="Times New Roman"/>
          <w:noProof/>
          <w:sz w:val="24"/>
        </w:rPr>
        <w:t xml:space="preserve">. </w:t>
      </w:r>
      <w:r w:rsidR="00DD5B27" w:rsidRPr="00DD5B27">
        <w:rPr>
          <w:rFonts w:ascii="Times New Roman" w:hAnsi="Times New Roman"/>
          <w:noProof/>
          <w:sz w:val="24"/>
        </w:rPr>
        <w:t>This is also due to the fact, as stakeholders unanimously say, that information on peer-to-peer transactions cannot be easily obtained through private or cold wallets. </w:t>
      </w:r>
    </w:p>
    <w:p w14:paraId="67044490" w14:textId="77777777" w:rsidR="007B625E" w:rsidRPr="008704BD" w:rsidRDefault="007B625E" w:rsidP="006E5F59">
      <w:pPr>
        <w:autoSpaceDE w:val="0"/>
        <w:autoSpaceDN w:val="0"/>
        <w:adjustRightInd w:val="0"/>
        <w:spacing w:after="0"/>
        <w:jc w:val="both"/>
        <w:rPr>
          <w:rFonts w:ascii="Times New Roman" w:hAnsi="Times New Roman"/>
          <w:noProof/>
          <w:sz w:val="24"/>
        </w:rPr>
      </w:pPr>
    </w:p>
    <w:p w14:paraId="29C736C2"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There was a general consensus on the need to maintain a level playing field with traditional financial institutions subject to DAC2 reporting obligations and thus to avoid unnecessary administrative burdens. There was unanimous support for the view that keeping it simple will help to define a successful reporting standard.</w:t>
      </w:r>
    </w:p>
    <w:p w14:paraId="5A8C8046" w14:textId="77777777" w:rsidR="006E5F59" w:rsidRPr="008704BD"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On the reporting, stakeholders supported the idea of reporting aggregate data rather than transaction-by-transaction. According to the stakeholders, it is more appropriate from the IT point of view as there may be an excessive volume of transactional data to be reported. In this regard, the objective should be the targeting of tax evasion and not the collection of mass data that cannot be processed. Consequently, stakeholders also proposed the introduction of a reporting threshold in order to reduce the administrative burden.</w:t>
      </w:r>
    </w:p>
    <w:p w14:paraId="5B21E86D" w14:textId="77777777" w:rsidR="006E5F59" w:rsidRPr="008704BD" w:rsidRDefault="006E5F59" w:rsidP="006E5F59">
      <w:pPr>
        <w:autoSpaceDE w:val="0"/>
        <w:autoSpaceDN w:val="0"/>
        <w:adjustRightInd w:val="0"/>
        <w:spacing w:after="0"/>
        <w:jc w:val="both"/>
        <w:rPr>
          <w:rFonts w:ascii="Times New Roman" w:hAnsi="Times New Roman"/>
          <w:noProof/>
          <w:sz w:val="24"/>
        </w:rPr>
      </w:pPr>
    </w:p>
    <w:p w14:paraId="3EDE861F" w14:textId="77777777" w:rsidR="006E5F59" w:rsidRPr="008704BD"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Based on the AML/KYC due diligence procedures, stakeholders also confirmed that they could track information by jurisdiction.</w:t>
      </w:r>
    </w:p>
    <w:p w14:paraId="79CC3C02" w14:textId="77777777" w:rsidR="006E5F59" w:rsidRPr="008704BD" w:rsidRDefault="006E5F59" w:rsidP="006E5F59">
      <w:pPr>
        <w:autoSpaceDE w:val="0"/>
        <w:autoSpaceDN w:val="0"/>
        <w:adjustRightInd w:val="0"/>
        <w:spacing w:after="0"/>
        <w:jc w:val="both"/>
        <w:rPr>
          <w:rFonts w:ascii="Times New Roman" w:hAnsi="Times New Roman"/>
          <w:noProof/>
          <w:sz w:val="24"/>
        </w:rPr>
      </w:pPr>
    </w:p>
    <w:p w14:paraId="2B271662" w14:textId="77777777" w:rsidR="006E5F59" w:rsidRPr="008704BD"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In summary, stakeholders and Member States agreed that the expansion of the scope of automatic exchange of information to crypto-assets would increase legal certainty resulting in benefits for stakeholders and tax administrations. Tax administrations will obtain the ability to increase tax revenues and stakeholders may achieve a better-regulated market.</w:t>
      </w:r>
    </w:p>
    <w:p w14:paraId="1592789C" w14:textId="77777777" w:rsidR="006E5F59" w:rsidRPr="008704BD" w:rsidRDefault="006E5F59" w:rsidP="006E5F59">
      <w:pPr>
        <w:pStyle w:val="ListParagraph"/>
        <w:jc w:val="both"/>
        <w:rPr>
          <w:rFonts w:ascii="Times New Roman" w:hAnsi="Times New Roman"/>
          <w:b/>
          <w:noProof/>
          <w:sz w:val="24"/>
        </w:rPr>
      </w:pPr>
    </w:p>
    <w:p w14:paraId="2F29A555" w14:textId="77777777" w:rsidR="006E5F59" w:rsidRPr="008704BD" w:rsidRDefault="006E5F59" w:rsidP="006E5F59">
      <w:pPr>
        <w:pStyle w:val="ListParagraph"/>
        <w:numPr>
          <w:ilvl w:val="0"/>
          <w:numId w:val="76"/>
        </w:numPr>
        <w:jc w:val="both"/>
        <w:rPr>
          <w:rFonts w:ascii="Times New Roman" w:hAnsi="Times New Roman"/>
          <w:b/>
          <w:noProof/>
          <w:sz w:val="24"/>
        </w:rPr>
      </w:pPr>
      <w:r w:rsidRPr="008704BD">
        <w:rPr>
          <w:rFonts w:ascii="Times New Roman" w:hAnsi="Times New Roman"/>
          <w:b/>
          <w:noProof/>
          <w:sz w:val="24"/>
        </w:rPr>
        <w:t>Public Consultation</w:t>
      </w:r>
    </w:p>
    <w:p w14:paraId="6BB86B3E"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A concerted effort was made to ensure that the views and concerns of all affected stakeholders were carefully considered throughout the impact assessment exercise. </w:t>
      </w:r>
    </w:p>
    <w:p w14:paraId="1CF720A9"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Overall, there has been strong support to lay down a single set of rules across the EU for </w:t>
      </w:r>
      <w:r w:rsidR="00A93BC0" w:rsidRPr="008704BD">
        <w:rPr>
          <w:rFonts w:ascii="Times New Roman" w:hAnsi="Times New Roman"/>
          <w:noProof/>
          <w:sz w:val="24"/>
        </w:rPr>
        <w:t>CASPs</w:t>
      </w:r>
      <w:r w:rsidRPr="008704BD">
        <w:rPr>
          <w:rFonts w:ascii="Times New Roman" w:hAnsi="Times New Roman"/>
          <w:noProof/>
          <w:sz w:val="24"/>
        </w:rPr>
        <w:t xml:space="preserve">, e-money service providers and other financial institutions operating with crypto-assets and to have the same reporting obligations for tax purposes throughout the EU (18 affirmative responses out of 33 – 11 no answers).  The reason might be that most of the respondents consider that common reporting obligations in the EU would reduce the administrative burden for service providers and/or users, while, at the same time, ensuring a level playing field with traditional service providers (19 out of 33 confirm this statement – 12 no answers). </w:t>
      </w:r>
    </w:p>
    <w:p w14:paraId="4FACC60A" w14:textId="289BC7B2" w:rsidR="00E0240F" w:rsidRDefault="006E5F59" w:rsidP="017DE087">
      <w:pPr>
        <w:jc w:val="both"/>
        <w:rPr>
          <w:rFonts w:ascii="Times New Roman" w:hAnsi="Times New Roman"/>
          <w:noProof/>
          <w:sz w:val="24"/>
          <w:szCs w:val="24"/>
        </w:rPr>
      </w:pPr>
      <w:r w:rsidRPr="017DE087">
        <w:rPr>
          <w:rFonts w:ascii="Times New Roman" w:hAnsi="Times New Roman"/>
          <w:noProof/>
          <w:sz w:val="24"/>
          <w:szCs w:val="24"/>
        </w:rPr>
        <w:t xml:space="preserve">In relation to the perception of the problem, 11 respondents </w:t>
      </w:r>
      <w:r w:rsidR="00DD5B27" w:rsidRPr="017DE087">
        <w:rPr>
          <w:rFonts w:ascii="Times New Roman" w:hAnsi="Times New Roman"/>
          <w:noProof/>
          <w:sz w:val="24"/>
          <w:szCs w:val="24"/>
        </w:rPr>
        <w:t xml:space="preserve">from different categories and also sizes of stakeholders (be it EU citizens, business associations, trade unions, companies/business organisations or non-governmental organisations between micro and large of size)   confirmed </w:t>
      </w:r>
      <w:r w:rsidRPr="017DE087">
        <w:rPr>
          <w:rFonts w:ascii="Times New Roman" w:hAnsi="Times New Roman"/>
          <w:noProof/>
          <w:sz w:val="24"/>
          <w:szCs w:val="24"/>
        </w:rPr>
        <w:t xml:space="preserve">that there is significant lack of reporting for tax purposes of revenues obtained through crypto-assets. </w:t>
      </w:r>
      <w:r w:rsidR="00E0240F" w:rsidRPr="017DE087">
        <w:rPr>
          <w:rFonts w:ascii="Times New Roman" w:hAnsi="Times New Roman"/>
          <w:noProof/>
          <w:sz w:val="24"/>
          <w:szCs w:val="24"/>
        </w:rPr>
        <w:t>Only six disagree and five neither agree nor disagree with this statement. Thirteen respondents of different categories and sizes of stakeholders agree that the lack of tax revenues obtained through crypto-asset investments negatively impact</w:t>
      </w:r>
      <w:r w:rsidR="00507DB5" w:rsidRPr="017DE087">
        <w:rPr>
          <w:rFonts w:ascii="Times New Roman" w:hAnsi="Times New Roman"/>
          <w:noProof/>
          <w:sz w:val="24"/>
          <w:szCs w:val="24"/>
        </w:rPr>
        <w:t>s</w:t>
      </w:r>
      <w:r w:rsidR="00E0240F" w:rsidRPr="017DE087">
        <w:rPr>
          <w:rFonts w:ascii="Times New Roman" w:hAnsi="Times New Roman"/>
          <w:noProof/>
          <w:sz w:val="24"/>
          <w:szCs w:val="24"/>
        </w:rPr>
        <w:t xml:space="preserve"> fair competition between the traditional and crypto-asset economy</w:t>
      </w:r>
      <w:r w:rsidR="00507DB5" w:rsidRPr="017DE087">
        <w:rPr>
          <w:rFonts w:ascii="Times New Roman" w:hAnsi="Times New Roman"/>
          <w:noProof/>
          <w:sz w:val="24"/>
          <w:szCs w:val="24"/>
        </w:rPr>
        <w:t>, w</w:t>
      </w:r>
      <w:r w:rsidR="00E0240F" w:rsidRPr="017DE087">
        <w:rPr>
          <w:rFonts w:ascii="Times New Roman" w:hAnsi="Times New Roman"/>
          <w:noProof/>
          <w:sz w:val="24"/>
          <w:szCs w:val="24"/>
        </w:rPr>
        <w:t>hereas 6 EU citizens disagree strongly with this statement. Two respondents neither agree nor disagree. </w:t>
      </w:r>
      <w:r w:rsidRPr="017DE087">
        <w:rPr>
          <w:rFonts w:ascii="Times New Roman" w:hAnsi="Times New Roman"/>
          <w:noProof/>
          <w:sz w:val="24"/>
          <w:szCs w:val="24"/>
        </w:rPr>
        <w:t xml:space="preserve"> It seems that this problem comes from the fact that individual Member States are insufficiently equipped to track revenues generated through crypto-assets as pointed out by 13 respondents. </w:t>
      </w:r>
    </w:p>
    <w:p w14:paraId="323654E3" w14:textId="77777777" w:rsidR="006E5F59" w:rsidRPr="008704BD" w:rsidRDefault="00E0240F" w:rsidP="006E5F59">
      <w:pPr>
        <w:jc w:val="both"/>
        <w:rPr>
          <w:rFonts w:ascii="Times New Roman" w:hAnsi="Times New Roman"/>
          <w:noProof/>
          <w:sz w:val="24"/>
        </w:rPr>
      </w:pPr>
      <w:r w:rsidRPr="004346BC">
        <w:rPr>
          <w:rFonts w:ascii="Times New Roman" w:hAnsi="Times New Roman"/>
          <w:noProof/>
          <w:sz w:val="24"/>
        </w:rPr>
        <w:t>The conclusion is that there is support for an EU action. </w:t>
      </w:r>
    </w:p>
    <w:p w14:paraId="6963477A"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When it comes to introducing harmonised reporting obligations for tax purposes, respondents are of the opinion that the main challenges are the cost of implementation, the complexity of handling and migrating existing accounts and the achievement of a level playing field in the EU. Furthermore, disadvantages for EU companies on a global level need to be avoided. A harmonised reporting framework may result in operations re-locating out of the EU to jurisdictions where reporting is not mandatory. Another challenge for harmonised reporting obligations is the issue of double reporting where the same information is already collected and exchanged under other legislation. Ensuring an accurate, transparent and efficient identification mechanism on the crypto-asset and e-money service providers, as well as the financial institutions involved in these transactions will not be an easy task. Finally, the decentralized nature of cryptocurrencies makes it almost impossible to capture all cryptocurrencies within an EU reporting framework.</w:t>
      </w:r>
    </w:p>
    <w:p w14:paraId="20BA0A4F" w14:textId="7B48B0AE"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In relation to the entities in scope of a crypto-asset reporting framework, 14 respondents </w:t>
      </w:r>
      <w:r w:rsidR="006B731D">
        <w:rPr>
          <w:rFonts w:ascii="Times New Roman" w:hAnsi="Times New Roman"/>
          <w:noProof/>
          <w:sz w:val="24"/>
        </w:rPr>
        <w:t>of which 28% were EU citizen</w:t>
      </w:r>
      <w:r w:rsidR="00507DB5">
        <w:rPr>
          <w:rFonts w:ascii="Times New Roman" w:hAnsi="Times New Roman"/>
          <w:noProof/>
          <w:sz w:val="24"/>
        </w:rPr>
        <w:t>s</w:t>
      </w:r>
      <w:r w:rsidR="006B731D">
        <w:rPr>
          <w:rFonts w:ascii="Times New Roman" w:hAnsi="Times New Roman"/>
          <w:noProof/>
          <w:sz w:val="24"/>
        </w:rPr>
        <w:t xml:space="preserve"> and the rest divided between the different categories</w:t>
      </w:r>
      <w:r w:rsidR="00507DB5">
        <w:rPr>
          <w:rFonts w:ascii="Times New Roman" w:hAnsi="Times New Roman"/>
          <w:noProof/>
          <w:sz w:val="24"/>
        </w:rPr>
        <w:t>,</w:t>
      </w:r>
      <w:r w:rsidR="006B731D">
        <w:rPr>
          <w:rFonts w:ascii="Times New Roman" w:hAnsi="Times New Roman"/>
          <w:noProof/>
          <w:sz w:val="24"/>
        </w:rPr>
        <w:t xml:space="preserve"> </w:t>
      </w:r>
      <w:r w:rsidRPr="008704BD">
        <w:rPr>
          <w:rFonts w:ascii="Times New Roman" w:hAnsi="Times New Roman"/>
          <w:noProof/>
          <w:sz w:val="24"/>
        </w:rPr>
        <w:t xml:space="preserve">deem that all entities providing services in the crypto-asset field should be subject to reporting obligations in order to avoid potential loopholes. Only four respondents </w:t>
      </w:r>
      <w:r w:rsidR="006B731D">
        <w:rPr>
          <w:rFonts w:ascii="Times New Roman" w:hAnsi="Times New Roman"/>
          <w:noProof/>
          <w:sz w:val="24"/>
        </w:rPr>
        <w:t>(two EU citizen</w:t>
      </w:r>
      <w:r w:rsidR="00507DB5">
        <w:rPr>
          <w:rFonts w:ascii="Times New Roman" w:hAnsi="Times New Roman"/>
          <w:noProof/>
          <w:sz w:val="24"/>
        </w:rPr>
        <w:t>s</w:t>
      </w:r>
      <w:r w:rsidR="006B731D">
        <w:rPr>
          <w:rFonts w:ascii="Times New Roman" w:hAnsi="Times New Roman"/>
          <w:noProof/>
          <w:sz w:val="24"/>
        </w:rPr>
        <w:t xml:space="preserve">, one large business organization and one business association) </w:t>
      </w:r>
      <w:r w:rsidRPr="008704BD">
        <w:rPr>
          <w:rFonts w:ascii="Times New Roman" w:hAnsi="Times New Roman"/>
          <w:noProof/>
          <w:sz w:val="24"/>
        </w:rPr>
        <w:t xml:space="preserve">would allow some exemptions. </w:t>
      </w:r>
      <w:r w:rsidR="00507DB5" w:rsidRPr="008704BD">
        <w:rPr>
          <w:rFonts w:ascii="Times New Roman" w:hAnsi="Times New Roman"/>
          <w:noProof/>
          <w:sz w:val="24"/>
        </w:rPr>
        <w:t>13</w:t>
      </w:r>
      <w:r w:rsidR="00507DB5">
        <w:rPr>
          <w:rFonts w:ascii="Times New Roman" w:hAnsi="Times New Roman"/>
          <w:noProof/>
          <w:sz w:val="24"/>
        </w:rPr>
        <w:t xml:space="preserve"> provided no answer.</w:t>
      </w:r>
    </w:p>
    <w:p w14:paraId="1C2A3D43"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With regard to entities that could benefit from a reporting exemption, respondents indicated providers primarily concerned with enabling the use of blockchain without direct links to marketplaces, such as custodial wallet providers without an investment focus, tax reporting services, account software, and portfolio tracking applications as well as small companies.</w:t>
      </w:r>
    </w:p>
    <w:p w14:paraId="1B7CEE89" w14:textId="21E0FEBF" w:rsidR="006E5F59" w:rsidRPr="008704BD" w:rsidRDefault="006E5F59" w:rsidP="006E5F59">
      <w:pPr>
        <w:jc w:val="both"/>
        <w:rPr>
          <w:rFonts w:ascii="Times New Roman" w:hAnsi="Times New Roman"/>
          <w:noProof/>
          <w:sz w:val="24"/>
        </w:rPr>
      </w:pPr>
      <w:r w:rsidRPr="008704BD">
        <w:rPr>
          <w:rFonts w:ascii="Times New Roman" w:hAnsi="Times New Roman"/>
          <w:noProof/>
          <w:sz w:val="24"/>
        </w:rPr>
        <w:t>In relation to crypto-asset operations in scope of reporting, 10 respondents</w:t>
      </w:r>
      <w:r w:rsidR="006B731D">
        <w:rPr>
          <w:rFonts w:ascii="Times New Roman" w:hAnsi="Times New Roman"/>
          <w:noProof/>
          <w:sz w:val="24"/>
        </w:rPr>
        <w:t xml:space="preserve"> </w:t>
      </w:r>
      <w:r w:rsidR="00786617">
        <w:rPr>
          <w:rFonts w:ascii="Times New Roman" w:hAnsi="Times New Roman"/>
          <w:noProof/>
          <w:sz w:val="24"/>
        </w:rPr>
        <w:t>from different categories and sizes of stakeholder</w:t>
      </w:r>
      <w:r w:rsidRPr="008704BD">
        <w:rPr>
          <w:rFonts w:ascii="Times New Roman" w:hAnsi="Times New Roman"/>
          <w:noProof/>
          <w:sz w:val="24"/>
        </w:rPr>
        <w:t xml:space="preserve"> deem that all crypto-asset operations should be reported in order to avoid potential loopholes</w:t>
      </w:r>
      <w:r w:rsidR="00507DB5">
        <w:rPr>
          <w:rFonts w:ascii="Times New Roman" w:hAnsi="Times New Roman"/>
          <w:noProof/>
          <w:sz w:val="24"/>
        </w:rPr>
        <w:t>, w</w:t>
      </w:r>
      <w:r w:rsidRPr="008704BD">
        <w:rPr>
          <w:rFonts w:ascii="Times New Roman" w:hAnsi="Times New Roman"/>
          <w:noProof/>
          <w:sz w:val="24"/>
        </w:rPr>
        <w:t>hereas some respondents</w:t>
      </w:r>
      <w:r w:rsidR="003016F3">
        <w:rPr>
          <w:rFonts w:ascii="Times New Roman" w:hAnsi="Times New Roman"/>
          <w:noProof/>
          <w:sz w:val="24"/>
        </w:rPr>
        <w:t xml:space="preserve"> </w:t>
      </w:r>
      <w:r w:rsidR="00507DB5">
        <w:rPr>
          <w:rFonts w:ascii="Times New Roman" w:hAnsi="Times New Roman"/>
          <w:noProof/>
          <w:sz w:val="24"/>
        </w:rPr>
        <w:t>(</w:t>
      </w:r>
      <w:r w:rsidR="00786617">
        <w:rPr>
          <w:rFonts w:ascii="Times New Roman" w:hAnsi="Times New Roman"/>
          <w:noProof/>
          <w:sz w:val="24"/>
        </w:rPr>
        <w:t>three EU citizen</w:t>
      </w:r>
      <w:r w:rsidR="00507DB5">
        <w:rPr>
          <w:rFonts w:ascii="Times New Roman" w:hAnsi="Times New Roman"/>
          <w:noProof/>
          <w:sz w:val="24"/>
        </w:rPr>
        <w:t>s</w:t>
      </w:r>
      <w:r w:rsidR="00786617">
        <w:rPr>
          <w:rFonts w:ascii="Times New Roman" w:hAnsi="Times New Roman"/>
          <w:noProof/>
          <w:sz w:val="24"/>
        </w:rPr>
        <w:t>, three business associations and one business organization</w:t>
      </w:r>
      <w:r w:rsidR="00507DB5">
        <w:rPr>
          <w:rFonts w:ascii="Times New Roman" w:hAnsi="Times New Roman"/>
          <w:noProof/>
          <w:sz w:val="24"/>
        </w:rPr>
        <w:t>)</w:t>
      </w:r>
      <w:r w:rsidR="00786617">
        <w:rPr>
          <w:rFonts w:ascii="Times New Roman" w:hAnsi="Times New Roman"/>
          <w:noProof/>
          <w:sz w:val="24"/>
        </w:rPr>
        <w:t xml:space="preserve"> </w:t>
      </w:r>
      <w:r w:rsidRPr="008704BD">
        <w:rPr>
          <w:rFonts w:ascii="Times New Roman" w:hAnsi="Times New Roman"/>
          <w:noProof/>
          <w:sz w:val="24"/>
        </w:rPr>
        <w:t xml:space="preserve">indicated supporting some exemptions from reporting.  </w:t>
      </w:r>
      <w:r w:rsidR="00507DB5" w:rsidRPr="008704BD">
        <w:rPr>
          <w:rFonts w:ascii="Times New Roman" w:hAnsi="Times New Roman"/>
          <w:noProof/>
          <w:sz w:val="24"/>
        </w:rPr>
        <w:t>11</w:t>
      </w:r>
      <w:r w:rsidR="00507DB5">
        <w:rPr>
          <w:rFonts w:ascii="Times New Roman" w:hAnsi="Times New Roman"/>
          <w:noProof/>
          <w:sz w:val="24"/>
        </w:rPr>
        <w:t xml:space="preserve"> contributors did not provide an </w:t>
      </w:r>
      <w:r w:rsidR="00507DB5" w:rsidRPr="008704BD">
        <w:rPr>
          <w:rFonts w:ascii="Times New Roman" w:hAnsi="Times New Roman"/>
          <w:noProof/>
          <w:sz w:val="24"/>
        </w:rPr>
        <w:t>answer</w:t>
      </w:r>
      <w:r w:rsidR="00507DB5">
        <w:rPr>
          <w:rFonts w:ascii="Times New Roman" w:hAnsi="Times New Roman"/>
          <w:noProof/>
          <w:sz w:val="24"/>
        </w:rPr>
        <w:t>.</w:t>
      </w:r>
    </w:p>
    <w:p w14:paraId="22D7C447" w14:textId="77777777" w:rsidR="006E5F59" w:rsidRPr="008704BD" w:rsidRDefault="006E5F59" w:rsidP="006E5F59">
      <w:pPr>
        <w:rPr>
          <w:rFonts w:ascii="Times New Roman" w:hAnsi="Times New Roman"/>
          <w:b/>
          <w:noProof/>
          <w:sz w:val="24"/>
        </w:rPr>
      </w:pPr>
      <w:r w:rsidRPr="008704BD">
        <w:rPr>
          <w:rFonts w:ascii="Times New Roman" w:hAnsi="Times New Roman"/>
          <w:b/>
          <w:noProof/>
          <w:sz w:val="24"/>
        </w:rPr>
        <w:t xml:space="preserve">Annex figure </w:t>
      </w:r>
      <w:r w:rsidR="003449EB">
        <w:rPr>
          <w:rFonts w:ascii="Times New Roman" w:hAnsi="Times New Roman"/>
          <w:b/>
          <w:noProof/>
          <w:sz w:val="24"/>
        </w:rPr>
        <w:t>3</w:t>
      </w:r>
      <w:r w:rsidRPr="008704BD">
        <w:rPr>
          <w:rFonts w:ascii="Times New Roman" w:hAnsi="Times New Roman"/>
          <w:b/>
          <w:noProof/>
          <w:sz w:val="24"/>
        </w:rPr>
        <w:t>:</w:t>
      </w:r>
      <w:r w:rsidRPr="008704BD">
        <w:rPr>
          <w:rFonts w:ascii="Times New Roman" w:hAnsi="Times New Roman"/>
          <w:noProof/>
          <w:sz w:val="24"/>
        </w:rPr>
        <w:t xml:space="preserve"> </w:t>
      </w:r>
      <w:r w:rsidRPr="008704BD">
        <w:rPr>
          <w:rFonts w:ascii="Times New Roman" w:hAnsi="Times New Roman"/>
          <w:b/>
          <w:noProof/>
          <w:sz w:val="24"/>
        </w:rPr>
        <w:t>Public consultation results – respondents’ opinions on main policy options</w:t>
      </w:r>
    </w:p>
    <w:p w14:paraId="4A91AEB6" w14:textId="77777777" w:rsidR="006E5F59" w:rsidRPr="006E5F59" w:rsidRDefault="006E5F59" w:rsidP="006E5F59">
      <w:pPr>
        <w:spacing w:after="0"/>
        <w:rPr>
          <w:rFonts w:ascii="Times New Roman" w:hAnsi="Times New Roman" w:cs="Times New Roman"/>
          <w:noProof/>
        </w:rPr>
      </w:pPr>
      <w:r w:rsidRPr="006E5F59">
        <w:rPr>
          <w:rFonts w:ascii="Times New Roman" w:hAnsi="Times New Roman" w:cs="Times New Roman"/>
          <w:noProof/>
          <w:color w:val="2B579A"/>
          <w:shd w:val="clear" w:color="auto" w:fill="E6E6E6"/>
          <w:lang w:val="en-GB" w:eastAsia="en-GB"/>
        </w:rPr>
        <w:drawing>
          <wp:inline distT="0" distB="0" distL="0" distR="0" wp14:anchorId="3376E948" wp14:editId="73E04EFD">
            <wp:extent cx="5258536" cy="2676899"/>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35">
                      <a:extLst>
                        <a:ext uri="{28A0092B-C50C-407E-A947-70E740481C1C}">
                          <a14:useLocalDpi xmlns:a14="http://schemas.microsoft.com/office/drawing/2010/main" val="0"/>
                        </a:ext>
                      </a:extLst>
                    </a:blip>
                    <a:stretch>
                      <a:fillRect/>
                    </a:stretch>
                  </pic:blipFill>
                  <pic:spPr>
                    <a:xfrm>
                      <a:off x="0" y="0"/>
                      <a:ext cx="5258536" cy="2676899"/>
                    </a:xfrm>
                    <a:prstGeom prst="rect">
                      <a:avLst/>
                    </a:prstGeom>
                  </pic:spPr>
                </pic:pic>
              </a:graphicData>
            </a:graphic>
          </wp:inline>
        </w:drawing>
      </w:r>
    </w:p>
    <w:p w14:paraId="51E84A91" w14:textId="77777777" w:rsidR="006E5F59" w:rsidRPr="006E5F59" w:rsidRDefault="006E5F59" w:rsidP="006E5F59">
      <w:pPr>
        <w:spacing w:after="0"/>
        <w:rPr>
          <w:rFonts w:ascii="Times New Roman" w:hAnsi="Times New Roman" w:cs="Times New Roman"/>
          <w:noProof/>
        </w:rPr>
      </w:pPr>
      <w:r w:rsidRPr="006E5F59">
        <w:rPr>
          <w:rFonts w:ascii="Times New Roman" w:hAnsi="Times New Roman" w:cs="Times New Roman"/>
          <w:noProof/>
          <w:color w:val="2B579A"/>
          <w:shd w:val="clear" w:color="auto" w:fill="E6E6E6"/>
          <w:lang w:val="en-GB" w:eastAsia="en-GB"/>
        </w:rPr>
        <w:drawing>
          <wp:inline distT="0" distB="0" distL="0" distR="0" wp14:anchorId="7F4325F5" wp14:editId="4E14377E">
            <wp:extent cx="5258436" cy="2772810"/>
            <wp:effectExtent l="0" t="0" r="0"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36">
                      <a:extLst>
                        <a:ext uri="{28A0092B-C50C-407E-A947-70E740481C1C}">
                          <a14:useLocalDpi xmlns:a14="http://schemas.microsoft.com/office/drawing/2010/main" val="0"/>
                        </a:ext>
                      </a:extLst>
                    </a:blip>
                    <a:stretch>
                      <a:fillRect/>
                    </a:stretch>
                  </pic:blipFill>
                  <pic:spPr>
                    <a:xfrm>
                      <a:off x="0" y="0"/>
                      <a:ext cx="5258436" cy="2772810"/>
                    </a:xfrm>
                    <a:prstGeom prst="rect">
                      <a:avLst/>
                    </a:prstGeom>
                  </pic:spPr>
                </pic:pic>
              </a:graphicData>
            </a:graphic>
          </wp:inline>
        </w:drawing>
      </w:r>
    </w:p>
    <w:p w14:paraId="57817D55" w14:textId="77777777" w:rsidR="006E5F59" w:rsidRPr="008704BD" w:rsidRDefault="006E5F59" w:rsidP="006E5F59">
      <w:pPr>
        <w:spacing w:after="0"/>
        <w:rPr>
          <w:rFonts w:ascii="Times New Roman" w:hAnsi="Times New Roman"/>
          <w:i/>
          <w:noProof/>
          <w:sz w:val="24"/>
        </w:rPr>
      </w:pPr>
      <w:r w:rsidRPr="008704BD">
        <w:rPr>
          <w:rFonts w:ascii="Times New Roman" w:hAnsi="Times New Roman"/>
          <w:i/>
          <w:noProof/>
          <w:sz w:val="24"/>
        </w:rPr>
        <w:t>Source: responses to the public consultation questionnaire</w:t>
      </w:r>
    </w:p>
    <w:p w14:paraId="1DB20BDC" w14:textId="77777777" w:rsidR="00D879E8" w:rsidRPr="006E5F59" w:rsidRDefault="00D879E8" w:rsidP="006E5F59">
      <w:pPr>
        <w:spacing w:after="0"/>
        <w:rPr>
          <w:rFonts w:ascii="Times New Roman" w:hAnsi="Times New Roman" w:cs="Times New Roman"/>
          <w:i/>
          <w:noProof/>
        </w:rPr>
      </w:pPr>
    </w:p>
    <w:p w14:paraId="527DB290" w14:textId="77777777" w:rsidR="006E5F59" w:rsidRPr="008704BD" w:rsidRDefault="006E5F59" w:rsidP="006E5F59">
      <w:pPr>
        <w:pStyle w:val="ListParagraph"/>
        <w:numPr>
          <w:ilvl w:val="0"/>
          <w:numId w:val="77"/>
        </w:numPr>
        <w:jc w:val="both"/>
        <w:rPr>
          <w:rFonts w:ascii="Times New Roman" w:hAnsi="Times New Roman"/>
          <w:b/>
          <w:noProof/>
          <w:sz w:val="24"/>
        </w:rPr>
      </w:pPr>
      <w:r w:rsidRPr="008704BD">
        <w:rPr>
          <w:rFonts w:ascii="Times New Roman" w:hAnsi="Times New Roman"/>
          <w:b/>
          <w:noProof/>
          <w:sz w:val="24"/>
        </w:rPr>
        <w:t>Conclusion</w:t>
      </w:r>
    </w:p>
    <w:p w14:paraId="3B382EA1" w14:textId="77777777" w:rsidR="006E5F59" w:rsidRPr="008704BD"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 xml:space="preserve">The results of the public and targeted consultations allowed the European Commission to collect a number of views and opinions on the initiative. </w:t>
      </w:r>
    </w:p>
    <w:p w14:paraId="7561BB0A" w14:textId="77777777" w:rsidR="006E5F59" w:rsidRPr="008704BD" w:rsidRDefault="006E5F59" w:rsidP="006E5F59">
      <w:pPr>
        <w:autoSpaceDE w:val="0"/>
        <w:autoSpaceDN w:val="0"/>
        <w:adjustRightInd w:val="0"/>
        <w:spacing w:after="0"/>
        <w:jc w:val="both"/>
        <w:rPr>
          <w:rFonts w:ascii="Times New Roman" w:hAnsi="Times New Roman"/>
          <w:noProof/>
          <w:sz w:val="24"/>
        </w:rPr>
      </w:pPr>
    </w:p>
    <w:p w14:paraId="415165B2" w14:textId="77777777" w:rsidR="006E5F59" w:rsidRPr="008704BD"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 xml:space="preserve">Both public and targeted consultations showed wide agreement about the existence of the problems identified in the impact assessment: no reporting of income and revenues earned through crypto-assets. </w:t>
      </w:r>
    </w:p>
    <w:p w14:paraId="6AB72944" w14:textId="77777777" w:rsidR="006E5F59" w:rsidRPr="008704BD" w:rsidRDefault="006E5F59" w:rsidP="006E5F59">
      <w:pPr>
        <w:autoSpaceDE w:val="0"/>
        <w:autoSpaceDN w:val="0"/>
        <w:adjustRightInd w:val="0"/>
        <w:spacing w:after="0"/>
        <w:jc w:val="both"/>
        <w:rPr>
          <w:rFonts w:ascii="Times New Roman" w:hAnsi="Times New Roman"/>
          <w:noProof/>
          <w:sz w:val="24"/>
        </w:rPr>
      </w:pPr>
    </w:p>
    <w:p w14:paraId="0FB6FA1C" w14:textId="77777777" w:rsidR="006E5F59" w:rsidRDefault="006E5F59" w:rsidP="006E5F59">
      <w:pPr>
        <w:autoSpaceDE w:val="0"/>
        <w:autoSpaceDN w:val="0"/>
        <w:adjustRightInd w:val="0"/>
        <w:spacing w:after="0"/>
        <w:jc w:val="both"/>
        <w:rPr>
          <w:rFonts w:ascii="Times New Roman" w:hAnsi="Times New Roman"/>
          <w:noProof/>
          <w:sz w:val="24"/>
        </w:rPr>
      </w:pPr>
      <w:r w:rsidRPr="008704BD">
        <w:rPr>
          <w:rFonts w:ascii="Times New Roman" w:hAnsi="Times New Roman"/>
          <w:noProof/>
          <w:sz w:val="24"/>
        </w:rPr>
        <w:t xml:space="preserve">Regarding the reporting of information on crypto-asset users, a broad majority of stakeholders (Member States, private entities and </w:t>
      </w:r>
      <w:r w:rsidR="00786617">
        <w:rPr>
          <w:rFonts w:ascii="Times New Roman" w:hAnsi="Times New Roman"/>
          <w:noProof/>
          <w:sz w:val="24"/>
        </w:rPr>
        <w:t xml:space="preserve">EU </w:t>
      </w:r>
      <w:r w:rsidRPr="008704BD">
        <w:rPr>
          <w:rFonts w:ascii="Times New Roman" w:hAnsi="Times New Roman"/>
          <w:noProof/>
          <w:sz w:val="24"/>
        </w:rPr>
        <w:t xml:space="preserve">citizens) agreed on the need for a European framework for reporting obligations in favour of achieving a sound level playing field and a true internal market. </w:t>
      </w:r>
    </w:p>
    <w:p w14:paraId="79A5C6EE" w14:textId="77777777" w:rsidR="00786617" w:rsidRDefault="00786617" w:rsidP="006E5F59">
      <w:pPr>
        <w:autoSpaceDE w:val="0"/>
        <w:autoSpaceDN w:val="0"/>
        <w:adjustRightInd w:val="0"/>
        <w:spacing w:after="0"/>
        <w:jc w:val="both"/>
        <w:rPr>
          <w:rFonts w:ascii="Times New Roman" w:hAnsi="Times New Roman"/>
          <w:noProof/>
          <w:sz w:val="24"/>
        </w:rPr>
      </w:pPr>
    </w:p>
    <w:p w14:paraId="67CD9298" w14:textId="77777777" w:rsidR="00786617" w:rsidRPr="008704BD" w:rsidRDefault="00786617" w:rsidP="006E5F59">
      <w:pPr>
        <w:autoSpaceDE w:val="0"/>
        <w:autoSpaceDN w:val="0"/>
        <w:adjustRightInd w:val="0"/>
        <w:spacing w:after="0"/>
        <w:jc w:val="both"/>
        <w:rPr>
          <w:rFonts w:ascii="Times New Roman" w:hAnsi="Times New Roman"/>
          <w:noProof/>
          <w:sz w:val="24"/>
        </w:rPr>
      </w:pPr>
      <w:r w:rsidRPr="003449EB">
        <w:rPr>
          <w:rFonts w:ascii="Times New Roman" w:hAnsi="Times New Roman"/>
          <w:noProof/>
          <w:sz w:val="24"/>
        </w:rPr>
        <w:t>As a conclusion, during the different consultations, neither stakeholders nor Member States questioned the need of a reporting framework. In general, there was a unanimous consent in going forward with a legal proposal. The main point of divergence was on the type and granularity of reporting. </w:t>
      </w:r>
    </w:p>
    <w:p w14:paraId="547DAE0E" w14:textId="77777777" w:rsidR="006E5F59" w:rsidRPr="008704BD" w:rsidRDefault="006E5F59" w:rsidP="006E5F59">
      <w:pPr>
        <w:autoSpaceDE w:val="0"/>
        <w:autoSpaceDN w:val="0"/>
        <w:adjustRightInd w:val="0"/>
        <w:spacing w:after="0"/>
        <w:jc w:val="both"/>
        <w:rPr>
          <w:rFonts w:ascii="Times New Roman" w:hAnsi="Times New Roman"/>
          <w:noProof/>
          <w:sz w:val="24"/>
        </w:rPr>
      </w:pPr>
    </w:p>
    <w:p w14:paraId="748B2AF2"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Finally, it is worth noting that the feedback received throughout the public and the targeted consultations has been used to inform the choice of the preferred policy options.</w:t>
      </w:r>
    </w:p>
    <w:p w14:paraId="19FB7A48" w14:textId="77777777" w:rsidR="006E5F59" w:rsidRPr="006E5F59" w:rsidRDefault="006E5F59" w:rsidP="006E5F59">
      <w:pPr>
        <w:pStyle w:val="Heading1"/>
        <w:jc w:val="both"/>
        <w:rPr>
          <w:rFonts w:ascii="Times New Roman" w:hAnsi="Times New Roman" w:cs="Times New Roman"/>
          <w:noProof/>
          <w:sz w:val="22"/>
          <w:szCs w:val="22"/>
        </w:rPr>
      </w:pPr>
    </w:p>
    <w:p w14:paraId="5F8ED314" w14:textId="77777777" w:rsidR="006E5F59" w:rsidRPr="006E5F59" w:rsidRDefault="006E5F59" w:rsidP="006E5F59">
      <w:pPr>
        <w:spacing w:line="276" w:lineRule="auto"/>
        <w:rPr>
          <w:rFonts w:ascii="Times New Roman" w:eastAsia="Times New Roman" w:hAnsi="Times New Roman" w:cs="Times New Roman"/>
          <w:b/>
          <w:smallCaps/>
          <w:noProof/>
          <w:sz w:val="28"/>
          <w:szCs w:val="20"/>
        </w:rPr>
      </w:pPr>
      <w:r w:rsidRPr="006E5F59">
        <w:rPr>
          <w:rFonts w:ascii="Times New Roman" w:hAnsi="Times New Roman" w:cs="Times New Roman"/>
          <w:noProof/>
        </w:rPr>
        <w:br w:type="page"/>
      </w:r>
    </w:p>
    <w:p w14:paraId="05448594" w14:textId="77777777" w:rsidR="006E5F59" w:rsidRPr="006E5F59" w:rsidRDefault="006E5F59" w:rsidP="006E5F59">
      <w:pPr>
        <w:pStyle w:val="Heading1"/>
        <w:rPr>
          <w:rFonts w:ascii="Times New Roman" w:hAnsi="Times New Roman" w:cs="Times New Roman"/>
          <w:noProof/>
        </w:rPr>
      </w:pPr>
      <w:bookmarkStart w:id="476" w:name="_Toc84520060"/>
      <w:bookmarkStart w:id="477" w:name="_Toc84579925"/>
      <w:bookmarkStart w:id="478" w:name="_Toc85052220"/>
      <w:bookmarkStart w:id="479" w:name="_Toc101020343"/>
      <w:bookmarkStart w:id="480" w:name="_Toc1805679294"/>
      <w:bookmarkStart w:id="481" w:name="_Toc896848935"/>
      <w:bookmarkStart w:id="482" w:name="_Toc93306896"/>
      <w:r w:rsidRPr="41BAA3BB">
        <w:rPr>
          <w:rFonts w:ascii="Times New Roman" w:hAnsi="Times New Roman" w:cs="Times New Roman"/>
          <w:noProof/>
        </w:rPr>
        <w:t>ANNEX 3:</w:t>
      </w:r>
      <w:r>
        <w:rPr>
          <w:noProof/>
        </w:rPr>
        <w:tab/>
      </w:r>
      <w:r w:rsidRPr="41BAA3BB">
        <w:rPr>
          <w:rFonts w:ascii="Times New Roman" w:hAnsi="Times New Roman" w:cs="Times New Roman"/>
          <w:noProof/>
        </w:rPr>
        <w:t>WHO IS AFFECTED AND HOW?</w:t>
      </w:r>
      <w:bookmarkEnd w:id="476"/>
      <w:bookmarkEnd w:id="477"/>
      <w:bookmarkEnd w:id="478"/>
      <w:bookmarkEnd w:id="479"/>
      <w:bookmarkEnd w:id="480"/>
      <w:bookmarkEnd w:id="481"/>
      <w:bookmarkEnd w:id="482"/>
    </w:p>
    <w:p w14:paraId="5BE0D36E" w14:textId="77777777" w:rsidR="00E53E87" w:rsidRPr="00E53E87" w:rsidRDefault="00E53E87" w:rsidP="00E53E87">
      <w:pPr>
        <w:pStyle w:val="ListParagraph"/>
        <w:numPr>
          <w:ilvl w:val="0"/>
          <w:numId w:val="85"/>
        </w:numPr>
        <w:jc w:val="both"/>
        <w:rPr>
          <w:rFonts w:ascii="Times New Roman" w:hAnsi="Times New Roman"/>
          <w:b/>
          <w:noProof/>
          <w:sz w:val="24"/>
        </w:rPr>
      </w:pPr>
      <w:r w:rsidRPr="00E53E87">
        <w:rPr>
          <w:rFonts w:ascii="Times New Roman" w:hAnsi="Times New Roman"/>
          <w:b/>
          <w:noProof/>
          <w:sz w:val="24"/>
        </w:rPr>
        <w:t>Practical implications of the initiative</w:t>
      </w:r>
    </w:p>
    <w:p w14:paraId="5B1C1839" w14:textId="04FE749D" w:rsidR="00E53E87" w:rsidRPr="00E53E87" w:rsidRDefault="00E53E87" w:rsidP="0065394A">
      <w:pPr>
        <w:jc w:val="both"/>
        <w:rPr>
          <w:rFonts w:ascii="Times New Roman" w:hAnsi="Times New Roman"/>
          <w:noProof/>
          <w:sz w:val="24"/>
        </w:rPr>
      </w:pPr>
      <w:r w:rsidRPr="00E53E87">
        <w:rPr>
          <w:rFonts w:ascii="Times New Roman" w:hAnsi="Times New Roman"/>
          <w:noProof/>
          <w:sz w:val="24"/>
        </w:rPr>
        <w:t>Under the preferred option, the initiative is meant to provide a legal basis at the EU level for setting up a reporting and exchange system that will allow (i) CASPs to collect and transmit periodically (once a year) to the tax administrations aggregate tax relevant information on its users and their underlying transactions and, (ii) tax administrations to then exchange the reported information with relevant Member States, in order to use it for the administration and enforcement of relevant tax laws (e.g. tax code on personal income).</w:t>
      </w:r>
    </w:p>
    <w:p w14:paraId="5FDA26CF" w14:textId="30CC4B68" w:rsidR="00E53E87" w:rsidRPr="00E53E87" w:rsidRDefault="00E53E87" w:rsidP="0065394A">
      <w:pPr>
        <w:jc w:val="both"/>
        <w:rPr>
          <w:rFonts w:ascii="Times New Roman" w:hAnsi="Times New Roman"/>
          <w:noProof/>
          <w:sz w:val="24"/>
        </w:rPr>
      </w:pPr>
      <w:r w:rsidRPr="00E53E87">
        <w:rPr>
          <w:rFonts w:ascii="Times New Roman" w:hAnsi="Times New Roman"/>
          <w:noProof/>
          <w:sz w:val="24"/>
        </w:rPr>
        <w:t xml:space="preserve">Due to the existence of </w:t>
      </w:r>
      <w:r w:rsidR="004B6575">
        <w:rPr>
          <w:rFonts w:ascii="Times New Roman" w:hAnsi="Times New Roman"/>
          <w:noProof/>
          <w:sz w:val="24"/>
        </w:rPr>
        <w:t xml:space="preserve">other </w:t>
      </w:r>
      <w:r w:rsidRPr="00E53E87">
        <w:rPr>
          <w:rFonts w:ascii="Times New Roman" w:hAnsi="Times New Roman"/>
          <w:noProof/>
          <w:sz w:val="24"/>
        </w:rPr>
        <w:t xml:space="preserve">EU initiatives relative to crypto-assets, in particular the MiCA Regulation and AML Package (i.e. Transfers of Funds Regulation), the estimated costs for DAC8 should be considered upper bound as there could be commonalities already taken into account in the estimations of those </w:t>
      </w:r>
      <w:r w:rsidR="00903C34">
        <w:rPr>
          <w:rFonts w:ascii="Times New Roman" w:hAnsi="Times New Roman"/>
          <w:noProof/>
          <w:sz w:val="24"/>
        </w:rPr>
        <w:t>other initiatives</w:t>
      </w:r>
      <w:r w:rsidRPr="00E53E87">
        <w:rPr>
          <w:rFonts w:ascii="Times New Roman" w:hAnsi="Times New Roman"/>
          <w:noProof/>
          <w:sz w:val="24"/>
        </w:rPr>
        <w:t xml:space="preserve">. Furthermore, these figures took into account the volatility of the crypto-assets market as well as cost-savings stemming from the harmonisation of legal requirements.  </w:t>
      </w:r>
    </w:p>
    <w:p w14:paraId="4F0FC6D0" w14:textId="77777777" w:rsidR="00E53E87" w:rsidRDefault="00E53E87" w:rsidP="00E53E87">
      <w:pPr>
        <w:pStyle w:val="ListParagraph"/>
        <w:rPr>
          <w:noProof/>
        </w:rPr>
      </w:pPr>
    </w:p>
    <w:p w14:paraId="2B4AFDD1" w14:textId="77777777" w:rsidR="00E53E87" w:rsidRPr="00E53E87" w:rsidRDefault="00E53E87" w:rsidP="00E53E87">
      <w:pPr>
        <w:pStyle w:val="ListParagraph"/>
        <w:numPr>
          <w:ilvl w:val="0"/>
          <w:numId w:val="85"/>
        </w:numPr>
        <w:jc w:val="both"/>
        <w:rPr>
          <w:rFonts w:ascii="Times New Roman" w:hAnsi="Times New Roman"/>
          <w:b/>
          <w:noProof/>
          <w:sz w:val="24"/>
        </w:rPr>
      </w:pPr>
      <w:bookmarkStart w:id="483" w:name="_Toc88562936"/>
      <w:bookmarkStart w:id="484" w:name="_Toc118098956"/>
      <w:bookmarkStart w:id="485" w:name="_Toc118109588"/>
      <w:bookmarkStart w:id="486" w:name="_Toc118111676"/>
      <w:bookmarkStart w:id="487" w:name="_Toc118112746"/>
      <w:r w:rsidRPr="00E53E87">
        <w:rPr>
          <w:rFonts w:ascii="Times New Roman" w:hAnsi="Times New Roman"/>
          <w:b/>
          <w:noProof/>
          <w:sz w:val="24"/>
        </w:rPr>
        <w:t>Summary of costs and benefits</w:t>
      </w:r>
      <w:bookmarkEnd w:id="483"/>
      <w:bookmarkEnd w:id="484"/>
      <w:bookmarkEnd w:id="485"/>
      <w:r w:rsidRPr="00E53E87">
        <w:rPr>
          <w:rFonts w:ascii="Times New Roman" w:hAnsi="Times New Roman"/>
          <w:b/>
          <w:noProof/>
          <w:sz w:val="24"/>
        </w:rPr>
        <w:t xml:space="preserve"> </w:t>
      </w:r>
      <w:bookmarkEnd w:id="486"/>
      <w:bookmarkEnd w:id="487"/>
    </w:p>
    <w:tbl>
      <w:tblPr>
        <w:tblStyle w:val="CV12"/>
        <w:tblW w:w="10200"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10"/>
        <w:gridCol w:w="4041"/>
        <w:gridCol w:w="3649"/>
      </w:tblGrid>
      <w:tr w:rsidR="00E53E87" w14:paraId="2675328D" w14:textId="77777777" w:rsidTr="00E53E87">
        <w:tc>
          <w:tcPr>
            <w:tcW w:w="10206" w:type="dxa"/>
            <w:gridSpan w:val="3"/>
            <w:tcBorders>
              <w:top w:val="double" w:sz="4" w:space="0" w:color="auto"/>
              <w:left w:val="double" w:sz="4" w:space="0" w:color="auto"/>
              <w:bottom w:val="single" w:sz="4" w:space="0" w:color="auto"/>
              <w:right w:val="double" w:sz="4" w:space="0" w:color="auto"/>
            </w:tcBorders>
            <w:shd w:val="clear" w:color="auto" w:fill="D5DCE4" w:themeFill="text2" w:themeFillTint="33"/>
            <w:hideMark/>
          </w:tcPr>
          <w:p w14:paraId="76F8161C" w14:textId="77777777" w:rsidR="00E53E87" w:rsidRDefault="00E53E87">
            <w:pPr>
              <w:rPr>
                <w:b/>
                <w:noProof/>
              </w:rPr>
            </w:pPr>
            <w:r>
              <w:rPr>
                <w:b/>
                <w:noProof/>
              </w:rPr>
              <w:t>I. Overview of Benefits (total for all provisions) – Preferred option 5 – Hybrid reporting by all CASPs</w:t>
            </w:r>
          </w:p>
        </w:tc>
      </w:tr>
      <w:tr w:rsidR="00E53E87" w14:paraId="28B59285" w14:textId="77777777" w:rsidTr="00E53E87">
        <w:tc>
          <w:tcPr>
            <w:tcW w:w="2512" w:type="dxa"/>
            <w:tcBorders>
              <w:top w:val="single" w:sz="4" w:space="0" w:color="auto"/>
              <w:left w:val="double" w:sz="4" w:space="0" w:color="auto"/>
              <w:bottom w:val="single" w:sz="4" w:space="0" w:color="auto"/>
              <w:right w:val="single" w:sz="4" w:space="0" w:color="auto"/>
            </w:tcBorders>
            <w:shd w:val="clear" w:color="auto" w:fill="D5DCE4" w:themeFill="text2" w:themeFillTint="33"/>
            <w:hideMark/>
          </w:tcPr>
          <w:p w14:paraId="792100CB" w14:textId="77777777" w:rsidR="00E53E87" w:rsidRDefault="00E53E87">
            <w:pPr>
              <w:jc w:val="center"/>
              <w:rPr>
                <w:b/>
                <w:i/>
                <w:noProof/>
              </w:rPr>
            </w:pPr>
            <w:r>
              <w:rPr>
                <w:b/>
                <w:i/>
                <w:noProof/>
              </w:rPr>
              <w:t>Description</w:t>
            </w:r>
          </w:p>
        </w:tc>
        <w:tc>
          <w:tcPr>
            <w:tcW w:w="40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286715" w14:textId="77777777" w:rsidR="00E53E87" w:rsidRDefault="00E53E87">
            <w:pPr>
              <w:jc w:val="center"/>
              <w:rPr>
                <w:b/>
                <w:i/>
                <w:noProof/>
              </w:rPr>
            </w:pPr>
            <w:r>
              <w:rPr>
                <w:b/>
                <w:i/>
                <w:noProof/>
              </w:rPr>
              <w:t>Amount</w:t>
            </w:r>
          </w:p>
        </w:tc>
        <w:tc>
          <w:tcPr>
            <w:tcW w:w="3651" w:type="dxa"/>
            <w:tcBorders>
              <w:top w:val="single" w:sz="4" w:space="0" w:color="auto"/>
              <w:left w:val="single" w:sz="4" w:space="0" w:color="auto"/>
              <w:bottom w:val="single" w:sz="4" w:space="0" w:color="auto"/>
              <w:right w:val="double" w:sz="4" w:space="0" w:color="auto"/>
            </w:tcBorders>
            <w:shd w:val="clear" w:color="auto" w:fill="D5DCE4" w:themeFill="text2" w:themeFillTint="33"/>
            <w:tcMar>
              <w:top w:w="57" w:type="dxa"/>
              <w:left w:w="57" w:type="dxa"/>
              <w:bottom w:w="57" w:type="dxa"/>
              <w:right w:w="57" w:type="dxa"/>
            </w:tcMar>
            <w:hideMark/>
          </w:tcPr>
          <w:p w14:paraId="63074381" w14:textId="77777777" w:rsidR="00E53E87" w:rsidRDefault="00E53E87">
            <w:pPr>
              <w:jc w:val="center"/>
              <w:rPr>
                <w:b/>
                <w:i/>
                <w:noProof/>
              </w:rPr>
            </w:pPr>
            <w:r>
              <w:rPr>
                <w:b/>
                <w:i/>
                <w:noProof/>
              </w:rPr>
              <w:t>Comments</w:t>
            </w:r>
          </w:p>
        </w:tc>
      </w:tr>
      <w:tr w:rsidR="00E53E87" w14:paraId="41D79ECD" w14:textId="77777777" w:rsidTr="00E53E87">
        <w:tc>
          <w:tcPr>
            <w:tcW w:w="10206" w:type="dxa"/>
            <w:gridSpan w:val="3"/>
            <w:tcBorders>
              <w:top w:val="double" w:sz="4" w:space="0" w:color="auto"/>
              <w:left w:val="double" w:sz="4" w:space="0" w:color="auto"/>
              <w:bottom w:val="single" w:sz="4" w:space="0" w:color="auto"/>
              <w:right w:val="double" w:sz="4" w:space="0" w:color="auto"/>
            </w:tcBorders>
            <w:shd w:val="clear" w:color="auto" w:fill="F2F2F2" w:themeFill="background1" w:themeFillShade="F2"/>
            <w:hideMark/>
          </w:tcPr>
          <w:p w14:paraId="58C2BCF3" w14:textId="77777777" w:rsidR="00E53E87" w:rsidRDefault="00E53E87">
            <w:pPr>
              <w:jc w:val="center"/>
              <w:rPr>
                <w:b/>
                <w:i/>
                <w:noProof/>
              </w:rPr>
            </w:pPr>
            <w:r>
              <w:rPr>
                <w:b/>
                <w:i/>
                <w:noProof/>
              </w:rPr>
              <w:t>Direct benefits</w:t>
            </w:r>
          </w:p>
        </w:tc>
      </w:tr>
      <w:tr w:rsidR="00E53E87" w14:paraId="1231ED84" w14:textId="77777777" w:rsidTr="00E53E87">
        <w:tc>
          <w:tcPr>
            <w:tcW w:w="2512" w:type="dxa"/>
            <w:tcBorders>
              <w:top w:val="double" w:sz="4" w:space="0" w:color="auto"/>
              <w:left w:val="double" w:sz="4" w:space="0" w:color="auto"/>
              <w:bottom w:val="single" w:sz="4" w:space="0" w:color="auto"/>
              <w:right w:val="single" w:sz="4" w:space="0" w:color="auto"/>
            </w:tcBorders>
            <w:hideMark/>
          </w:tcPr>
          <w:p w14:paraId="07F4073A" w14:textId="77777777" w:rsidR="00E53E87" w:rsidRDefault="00E53E87">
            <w:pPr>
              <w:rPr>
                <w:noProof/>
              </w:rPr>
            </w:pPr>
            <w:r>
              <w:rPr>
                <w:noProof/>
              </w:rPr>
              <w:t xml:space="preserve">Crypto-assets users – More tax transparency will result in increasing legal certainty and a fairer taxation of the revenues and income earned on crypto-assets. </w:t>
            </w:r>
          </w:p>
        </w:tc>
        <w:tc>
          <w:tcPr>
            <w:tcW w:w="4043"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C5ED00" w14:textId="77777777" w:rsidR="00E53E87" w:rsidRDefault="00E53E87">
            <w:pPr>
              <w:rPr>
                <w:noProof/>
              </w:rPr>
            </w:pPr>
            <w:r>
              <w:rPr>
                <w:noProof/>
              </w:rPr>
              <w:t xml:space="preserve">No quantification available. </w:t>
            </w:r>
          </w:p>
        </w:tc>
        <w:tc>
          <w:tcPr>
            <w:tcW w:w="3651"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14:paraId="3F21E3EE" w14:textId="77777777" w:rsidR="00E53E87" w:rsidRDefault="00E53E87">
            <w:pPr>
              <w:rPr>
                <w:noProof/>
              </w:rPr>
            </w:pPr>
            <w:r>
              <w:rPr>
                <w:noProof/>
              </w:rPr>
              <w:t xml:space="preserve">Crypto-assets users will benefit of a more transparent crypto-assets market. Some tax authorities may even be able to pre-fill tax income statements making easier for the users to comply with their tax duties.  </w:t>
            </w:r>
          </w:p>
        </w:tc>
      </w:tr>
      <w:tr w:rsidR="00E53E87" w14:paraId="1BC3A7AB" w14:textId="77777777" w:rsidTr="00E53E87">
        <w:tc>
          <w:tcPr>
            <w:tcW w:w="2512" w:type="dxa"/>
            <w:tcBorders>
              <w:top w:val="single" w:sz="4" w:space="0" w:color="auto"/>
              <w:left w:val="double" w:sz="4" w:space="0" w:color="auto"/>
              <w:bottom w:val="double" w:sz="4" w:space="0" w:color="auto"/>
              <w:right w:val="single" w:sz="4" w:space="0" w:color="auto"/>
            </w:tcBorders>
            <w:hideMark/>
          </w:tcPr>
          <w:p w14:paraId="2071A271" w14:textId="77777777" w:rsidR="00E53E87" w:rsidRDefault="00E53E87">
            <w:pPr>
              <w:rPr>
                <w:noProof/>
              </w:rPr>
            </w:pPr>
            <w:r>
              <w:rPr>
                <w:noProof/>
              </w:rPr>
              <w:t xml:space="preserve">Tax administrations – Gaining access to the relevant information will enable tax administrations to ensure that taxes due are paid (e.g. improved risk analysis and accuracy of tax audits). </w:t>
            </w:r>
          </w:p>
        </w:tc>
        <w:tc>
          <w:tcPr>
            <w:tcW w:w="4043"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42719973" w14:textId="77777777" w:rsidR="00E53E87" w:rsidRDefault="00E53E87">
            <w:pPr>
              <w:rPr>
                <w:noProof/>
              </w:rPr>
            </w:pPr>
            <w:r>
              <w:rPr>
                <w:noProof/>
              </w:rPr>
              <w:t>Direct benefits in terms of additional tax revenues could reach EUR 2.4 billion. The hybrid reporting approach (preferred option) would ensure a balance between too detailed transactional information to be reported by all CASPs with EU users regardless of the size, and the need for second round information requests.</w:t>
            </w:r>
          </w:p>
        </w:tc>
        <w:tc>
          <w:tcPr>
            <w:tcW w:w="3651"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1B18A6CC" w14:textId="77777777" w:rsidR="00E53E87" w:rsidRDefault="00E53E87">
            <w:pPr>
              <w:rPr>
                <w:noProof/>
              </w:rPr>
            </w:pPr>
            <w:r>
              <w:rPr>
                <w:noProof/>
              </w:rPr>
              <w:t xml:space="preserve">Tax administrations will benefit from the reporting and exchange of information, which they can use to ensure that taxes dues are paid. The extent of the benefits will depend on how adequate Member States’ internal systems are to utilise such data. Benefits will also depend on the profitability and size of the crypto-assets market. Periods of intense growth of the market will translate into more public revenue that will be transparently reported. </w:t>
            </w:r>
          </w:p>
        </w:tc>
      </w:tr>
      <w:tr w:rsidR="00E53E87" w14:paraId="39829D0D" w14:textId="77777777" w:rsidTr="00E53E87">
        <w:tc>
          <w:tcPr>
            <w:tcW w:w="2512" w:type="dxa"/>
            <w:tcBorders>
              <w:top w:val="single" w:sz="4" w:space="0" w:color="auto"/>
              <w:left w:val="double" w:sz="4" w:space="0" w:color="auto"/>
              <w:bottom w:val="double" w:sz="4" w:space="0" w:color="auto"/>
              <w:right w:val="single" w:sz="4" w:space="0" w:color="auto"/>
            </w:tcBorders>
            <w:hideMark/>
          </w:tcPr>
          <w:p w14:paraId="3C041081" w14:textId="77777777" w:rsidR="00E53E87" w:rsidRDefault="00E53E87">
            <w:pPr>
              <w:rPr>
                <w:noProof/>
              </w:rPr>
            </w:pPr>
            <w:r>
              <w:rPr>
                <w:noProof/>
              </w:rPr>
              <w:t>Crypto-assets service providers</w:t>
            </w:r>
          </w:p>
        </w:tc>
        <w:tc>
          <w:tcPr>
            <w:tcW w:w="4043"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02FA0659" w14:textId="77777777" w:rsidR="00E53E87" w:rsidRDefault="00E53E87">
            <w:pPr>
              <w:rPr>
                <w:noProof/>
              </w:rPr>
            </w:pPr>
            <w:r>
              <w:rPr>
                <w:noProof/>
              </w:rPr>
              <w:t>No quantification available.</w:t>
            </w:r>
          </w:p>
        </w:tc>
        <w:tc>
          <w:tcPr>
            <w:tcW w:w="3651"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4CD243DF" w14:textId="5A387B06" w:rsidR="00E53E87" w:rsidRDefault="00E53E87">
            <w:pPr>
              <w:rPr>
                <w:noProof/>
                <w:szCs w:val="24"/>
              </w:rPr>
            </w:pPr>
            <w:r>
              <w:rPr>
                <w:noProof/>
              </w:rPr>
              <w:t xml:space="preserve">There will be benefits derived from having homogeneous reporting requirements throughout the EU, rather than having multiple standards across each Member States. This would make it easier to comply with existing tax rules and would improve compliance. Providers will not be faced with burdensome individualised information requests that would be needed </w:t>
            </w:r>
            <w:r w:rsidR="003016F3">
              <w:rPr>
                <w:noProof/>
              </w:rPr>
              <w:t xml:space="preserve">by </w:t>
            </w:r>
            <w:r>
              <w:rPr>
                <w:noProof/>
              </w:rPr>
              <w:t>tax authorities to make their control/checks in the absence of automatic reporting.</w:t>
            </w:r>
          </w:p>
        </w:tc>
      </w:tr>
      <w:tr w:rsidR="00E53E87" w14:paraId="5BEFF396" w14:textId="77777777" w:rsidTr="00E53E87">
        <w:tc>
          <w:tcPr>
            <w:tcW w:w="1020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hideMark/>
          </w:tcPr>
          <w:p w14:paraId="62CFE0CD" w14:textId="77777777" w:rsidR="00E53E87" w:rsidRDefault="00E53E87">
            <w:pPr>
              <w:jc w:val="center"/>
              <w:rPr>
                <w:b/>
                <w:i/>
                <w:noProof/>
              </w:rPr>
            </w:pPr>
            <w:bookmarkStart w:id="488" w:name="_Hlk119008537"/>
            <w:r>
              <w:rPr>
                <w:b/>
                <w:i/>
                <w:noProof/>
              </w:rPr>
              <w:t>Indirect benefits</w:t>
            </w:r>
          </w:p>
        </w:tc>
      </w:tr>
      <w:tr w:rsidR="00E53E87" w14:paraId="019C7A7B" w14:textId="77777777" w:rsidTr="00E53E87">
        <w:tc>
          <w:tcPr>
            <w:tcW w:w="2512" w:type="dxa"/>
            <w:tcBorders>
              <w:top w:val="double" w:sz="4" w:space="0" w:color="auto"/>
              <w:left w:val="double" w:sz="4" w:space="0" w:color="auto"/>
              <w:bottom w:val="single" w:sz="4" w:space="0" w:color="auto"/>
              <w:right w:val="single" w:sz="4" w:space="0" w:color="auto"/>
            </w:tcBorders>
          </w:tcPr>
          <w:p w14:paraId="1F60968A" w14:textId="77777777" w:rsidR="00E53E87" w:rsidRDefault="00E53E87">
            <w:pPr>
              <w:rPr>
                <w:noProof/>
                <w:szCs w:val="24"/>
              </w:rPr>
            </w:pPr>
          </w:p>
          <w:p w14:paraId="577BE5D4" w14:textId="77777777" w:rsidR="00E53E87" w:rsidRDefault="00E53E87">
            <w:pPr>
              <w:rPr>
                <w:noProof/>
              </w:rPr>
            </w:pPr>
            <w:r>
              <w:rPr>
                <w:noProof/>
              </w:rPr>
              <w:t>Member States – macro-economic impact</w:t>
            </w:r>
          </w:p>
        </w:tc>
        <w:tc>
          <w:tcPr>
            <w:tcW w:w="4043"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2CCA9C" w14:textId="77777777" w:rsidR="00E53E87" w:rsidRDefault="00E53E87">
            <w:pPr>
              <w:rPr>
                <w:noProof/>
                <w:szCs w:val="24"/>
              </w:rPr>
            </w:pPr>
            <w:r>
              <w:rPr>
                <w:noProof/>
              </w:rPr>
              <w:t xml:space="preserve">The increase in tax revenues stemming from greater transparency will indirectly benefit the economy as a whole as it will provide revenues to fund Member States’ economic and social policies, </w:t>
            </w:r>
          </w:p>
        </w:tc>
        <w:tc>
          <w:tcPr>
            <w:tcW w:w="3651"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tcPr>
          <w:p w14:paraId="1C659F49" w14:textId="77777777" w:rsidR="00E53E87" w:rsidRDefault="00E53E87">
            <w:pPr>
              <w:rPr>
                <w:noProof/>
              </w:rPr>
            </w:pPr>
          </w:p>
        </w:tc>
        <w:bookmarkEnd w:id="488"/>
      </w:tr>
      <w:tr w:rsidR="00E53E87" w14:paraId="62ED45C6" w14:textId="77777777" w:rsidTr="00E53E87">
        <w:tc>
          <w:tcPr>
            <w:tcW w:w="2512" w:type="dxa"/>
            <w:tcBorders>
              <w:top w:val="single" w:sz="4" w:space="0" w:color="auto"/>
              <w:left w:val="double" w:sz="4" w:space="0" w:color="auto"/>
              <w:bottom w:val="single" w:sz="4" w:space="0" w:color="auto"/>
              <w:right w:val="single" w:sz="4" w:space="0" w:color="auto"/>
            </w:tcBorders>
            <w:hideMark/>
          </w:tcPr>
          <w:p w14:paraId="6B1374AE" w14:textId="77777777" w:rsidR="00E53E87" w:rsidRDefault="00E53E87">
            <w:pPr>
              <w:rPr>
                <w:noProof/>
              </w:rPr>
            </w:pPr>
            <w:r>
              <w:rPr>
                <w:noProof/>
              </w:rPr>
              <w:t xml:space="preserve">Crypto-assets users  </w:t>
            </w:r>
          </w:p>
        </w:tc>
        <w:tc>
          <w:tcPr>
            <w:tcW w:w="40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7039A9" w14:textId="77777777" w:rsidR="00E53E87" w:rsidRDefault="00E53E87">
            <w:pPr>
              <w:rPr>
                <w:noProof/>
              </w:rPr>
            </w:pPr>
            <w:r>
              <w:rPr>
                <w:noProof/>
              </w:rPr>
              <w:t>No quantification available</w:t>
            </w:r>
          </w:p>
        </w:tc>
        <w:tc>
          <w:tcPr>
            <w:tcW w:w="3651"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14:paraId="4060F6EA" w14:textId="77777777" w:rsidR="00E53E87" w:rsidRDefault="00E53E87">
            <w:pPr>
              <w:rPr>
                <w:noProof/>
              </w:rPr>
            </w:pPr>
            <w:r>
              <w:rPr>
                <w:noProof/>
              </w:rPr>
              <w:t>Improvement in the perception of tax fairness, resulting from taxpayers paying their fair share in all Member States equally.</w:t>
            </w:r>
          </w:p>
        </w:tc>
      </w:tr>
      <w:tr w:rsidR="00E53E87" w14:paraId="2C3998BB" w14:textId="77777777" w:rsidTr="00E53E87">
        <w:tc>
          <w:tcPr>
            <w:tcW w:w="2512" w:type="dxa"/>
            <w:tcBorders>
              <w:top w:val="single" w:sz="4" w:space="0" w:color="auto"/>
              <w:left w:val="double" w:sz="4" w:space="0" w:color="auto"/>
              <w:bottom w:val="double" w:sz="4" w:space="0" w:color="auto"/>
              <w:right w:val="single" w:sz="4" w:space="0" w:color="auto"/>
            </w:tcBorders>
            <w:hideMark/>
          </w:tcPr>
          <w:p w14:paraId="439AA3CE" w14:textId="77777777" w:rsidR="00E53E87" w:rsidRDefault="00E53E87">
            <w:pPr>
              <w:rPr>
                <w:noProof/>
              </w:rPr>
            </w:pPr>
            <w:r>
              <w:rPr>
                <w:noProof/>
              </w:rPr>
              <w:t xml:space="preserve">Crypto-assets service providers - </w:t>
            </w:r>
          </w:p>
        </w:tc>
        <w:tc>
          <w:tcPr>
            <w:tcW w:w="4043"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1E8AFEBD" w14:textId="77777777" w:rsidR="00E53E87" w:rsidRDefault="00E53E87">
            <w:pPr>
              <w:rPr>
                <w:noProof/>
              </w:rPr>
            </w:pPr>
            <w:r>
              <w:rPr>
                <w:noProof/>
              </w:rPr>
              <w:t>No quantification available</w:t>
            </w:r>
          </w:p>
        </w:tc>
        <w:tc>
          <w:tcPr>
            <w:tcW w:w="3651"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555B5786" w14:textId="77777777" w:rsidR="00E53E87" w:rsidRDefault="00E53E87">
            <w:pPr>
              <w:rPr>
                <w:noProof/>
              </w:rPr>
            </w:pPr>
            <w:r>
              <w:rPr>
                <w:noProof/>
              </w:rPr>
              <w:t>Greater transparency and standardisation of rules will increase the trust in the system and could even attract new users who appreciate reputational and trusted providers.</w:t>
            </w:r>
          </w:p>
        </w:tc>
      </w:tr>
      <w:tr w:rsidR="00E53E87" w14:paraId="2E99AF1B" w14:textId="77777777" w:rsidTr="00E53E87">
        <w:tc>
          <w:tcPr>
            <w:tcW w:w="10206"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8A50ABC" w14:textId="77777777" w:rsidR="00E53E87" w:rsidRDefault="00E53E87">
            <w:pPr>
              <w:jc w:val="center"/>
              <w:rPr>
                <w:b/>
                <w:i/>
                <w:noProof/>
              </w:rPr>
            </w:pPr>
            <w:r>
              <w:rPr>
                <w:b/>
                <w:i/>
                <w:noProof/>
              </w:rPr>
              <w:t>Administrative cost savings related to the ‘one in, one out’ approach*</w:t>
            </w:r>
          </w:p>
        </w:tc>
      </w:tr>
      <w:tr w:rsidR="00E53E87" w14:paraId="44BAE597" w14:textId="77777777" w:rsidTr="00E53E87">
        <w:tc>
          <w:tcPr>
            <w:tcW w:w="2512" w:type="dxa"/>
            <w:tcBorders>
              <w:top w:val="double" w:sz="4" w:space="0" w:color="auto"/>
              <w:left w:val="double" w:sz="4" w:space="0" w:color="auto"/>
              <w:bottom w:val="single" w:sz="4" w:space="0" w:color="auto"/>
              <w:right w:val="single" w:sz="4" w:space="0" w:color="auto"/>
            </w:tcBorders>
            <w:hideMark/>
          </w:tcPr>
          <w:p w14:paraId="58DF6C5C" w14:textId="77777777" w:rsidR="00E53E87" w:rsidRDefault="00E53E87">
            <w:pPr>
              <w:rPr>
                <w:noProof/>
              </w:rPr>
            </w:pPr>
            <w:r>
              <w:rPr>
                <w:noProof/>
              </w:rPr>
              <w:t>(direct/indirect)</w:t>
            </w:r>
          </w:p>
        </w:tc>
        <w:tc>
          <w:tcPr>
            <w:tcW w:w="4043"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4CDF30" w14:textId="77777777" w:rsidR="00E53E87" w:rsidRDefault="00E53E87">
            <w:pPr>
              <w:rPr>
                <w:noProof/>
                <w:szCs w:val="24"/>
              </w:rPr>
            </w:pPr>
            <w:r>
              <w:rPr>
                <w:noProof/>
              </w:rPr>
              <w:t xml:space="preserve">There will be a decrease in costs for crypto-assets service providers due to homogeneous compliance requirements throughout the EU, rather than having multiple standards across each Member State.  However, there is no quantification available. </w:t>
            </w:r>
          </w:p>
        </w:tc>
        <w:tc>
          <w:tcPr>
            <w:tcW w:w="3651"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tcPr>
          <w:p w14:paraId="361AFF24" w14:textId="77777777" w:rsidR="00E53E87" w:rsidRDefault="00E53E87">
            <w:pPr>
              <w:rPr>
                <w:noProof/>
              </w:rPr>
            </w:pPr>
          </w:p>
        </w:tc>
      </w:tr>
      <w:tr w:rsidR="00E53E87" w14:paraId="6D7585A2" w14:textId="77777777" w:rsidTr="00E53E87">
        <w:tc>
          <w:tcPr>
            <w:tcW w:w="2512" w:type="dxa"/>
            <w:tcBorders>
              <w:top w:val="single" w:sz="4" w:space="0" w:color="auto"/>
              <w:left w:val="double" w:sz="4" w:space="0" w:color="auto"/>
              <w:bottom w:val="single" w:sz="4" w:space="0" w:color="auto"/>
              <w:right w:val="single" w:sz="4" w:space="0" w:color="auto"/>
            </w:tcBorders>
          </w:tcPr>
          <w:p w14:paraId="51069FB5" w14:textId="77777777" w:rsidR="00E53E87" w:rsidRDefault="00E53E87">
            <w:pPr>
              <w:rPr>
                <w:noProof/>
              </w:rPr>
            </w:pPr>
          </w:p>
        </w:tc>
        <w:tc>
          <w:tcPr>
            <w:tcW w:w="40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29B208" w14:textId="77777777" w:rsidR="00E53E87" w:rsidRDefault="00E53E87">
            <w:pPr>
              <w:rPr>
                <w:noProof/>
              </w:rPr>
            </w:pPr>
            <w:r>
              <w:rPr>
                <w:noProof/>
              </w:rPr>
              <w:t xml:space="preserve">Crypto-assets service providers will also benefit from not to being in a situation where there is need to answer a multitude of individual information requests from tax authorities. </w:t>
            </w:r>
          </w:p>
        </w:tc>
        <w:tc>
          <w:tcPr>
            <w:tcW w:w="3651"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14:paraId="089F9721" w14:textId="77777777" w:rsidR="00E53E87" w:rsidRDefault="00E53E87">
            <w:pPr>
              <w:rPr>
                <w:noProof/>
              </w:rPr>
            </w:pPr>
          </w:p>
        </w:tc>
      </w:tr>
      <w:tr w:rsidR="00E53E87" w14:paraId="6DF28759" w14:textId="77777777" w:rsidTr="00E53E87">
        <w:tc>
          <w:tcPr>
            <w:tcW w:w="2512" w:type="dxa"/>
            <w:tcBorders>
              <w:top w:val="single" w:sz="4" w:space="0" w:color="auto"/>
              <w:left w:val="double" w:sz="4" w:space="0" w:color="auto"/>
              <w:bottom w:val="double" w:sz="4" w:space="0" w:color="auto"/>
              <w:right w:val="single" w:sz="4" w:space="0" w:color="auto"/>
            </w:tcBorders>
          </w:tcPr>
          <w:p w14:paraId="50947DFA" w14:textId="77777777" w:rsidR="00E53E87" w:rsidRDefault="00E53E87">
            <w:pPr>
              <w:rPr>
                <w:noProof/>
              </w:rPr>
            </w:pPr>
          </w:p>
        </w:tc>
        <w:tc>
          <w:tcPr>
            <w:tcW w:w="4043"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6BB1CFD6" w14:textId="77777777" w:rsidR="00E53E87" w:rsidRDefault="00E53E87">
            <w:pPr>
              <w:rPr>
                <w:noProof/>
              </w:rPr>
            </w:pPr>
          </w:p>
        </w:tc>
        <w:tc>
          <w:tcPr>
            <w:tcW w:w="3651"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1F7F33CA" w14:textId="77777777" w:rsidR="00E53E87" w:rsidRDefault="00E53E87">
            <w:pPr>
              <w:rPr>
                <w:noProof/>
              </w:rPr>
            </w:pPr>
          </w:p>
        </w:tc>
      </w:tr>
    </w:tbl>
    <w:p w14:paraId="0C3F5FAA" w14:textId="77777777" w:rsidR="00E53E87" w:rsidRDefault="00E53E87" w:rsidP="00E53E87">
      <w:pPr>
        <w:rPr>
          <w:i/>
          <w:noProof/>
          <w:sz w:val="20"/>
          <w:szCs w:val="20"/>
          <w:lang w:val="en-GB"/>
        </w:rPr>
      </w:pPr>
      <w:r>
        <w:rPr>
          <w:i/>
          <w:noProof/>
          <w:sz w:val="20"/>
          <w:szCs w:val="20"/>
        </w:rPr>
        <w:t xml:space="preserve">(1) Estimates are gross values relative to the baseline for the preferred option as a whole (i.e. the impact of individual actions/obligations of the </w:t>
      </w:r>
      <w:r>
        <w:rPr>
          <w:i/>
          <w:noProof/>
          <w:sz w:val="20"/>
          <w:szCs w:val="20"/>
          <w:u w:val="single"/>
        </w:rPr>
        <w:t>preferred</w:t>
      </w:r>
      <w:r>
        <w:rPr>
          <w:i/>
          <w:noProof/>
          <w:sz w:val="20"/>
          <w:szCs w:val="20"/>
        </w:rPr>
        <w:t xml:space="preserve"> option are aggregated together); (2) Please indicate which stakeholder group is the main recipient of the benefit in the comment section;(3) For reductions in regulatory costs, please describe details as to how the saving arises (e.g. reductions in adjustment costs, administrative costs, regulatory charges, enforcement costs, etc.;); (4) Cost savings related to the ’one in, one out’ approach are detailed in Tool #58 and #59 of the ‘better regulation’ toolbox. * if relevant</w:t>
      </w:r>
    </w:p>
    <w:p w14:paraId="7645B9D2" w14:textId="77777777" w:rsidR="00E53E87" w:rsidRDefault="00E53E87" w:rsidP="00E53E87">
      <w:pPr>
        <w:rPr>
          <w:noProof/>
          <w:sz w:val="24"/>
          <w:szCs w:val="24"/>
        </w:rPr>
      </w:pPr>
    </w:p>
    <w:p w14:paraId="6BF6AEEA" w14:textId="77777777" w:rsidR="00E53E87" w:rsidRDefault="00E53E87" w:rsidP="00E53E87">
      <w:pPr>
        <w:rPr>
          <w:noProof/>
        </w:rPr>
      </w:pPr>
    </w:p>
    <w:tbl>
      <w:tblPr>
        <w:tblStyle w:val="CV11"/>
        <w:tblW w:w="10200"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2"/>
        <w:gridCol w:w="1575"/>
        <w:gridCol w:w="1109"/>
        <w:gridCol w:w="1414"/>
        <w:gridCol w:w="1387"/>
        <w:gridCol w:w="1386"/>
        <w:gridCol w:w="1109"/>
        <w:gridCol w:w="1248"/>
      </w:tblGrid>
      <w:tr w:rsidR="00E53E87" w14:paraId="4EDA668B" w14:textId="77777777" w:rsidTr="00E53E87">
        <w:tc>
          <w:tcPr>
            <w:tcW w:w="10206" w:type="dxa"/>
            <w:gridSpan w:val="8"/>
            <w:tcBorders>
              <w:top w:val="double" w:sz="4" w:space="0" w:color="auto"/>
              <w:left w:val="double" w:sz="4" w:space="0" w:color="auto"/>
              <w:bottom w:val="single" w:sz="4" w:space="0" w:color="auto"/>
              <w:right w:val="double" w:sz="4" w:space="0" w:color="auto"/>
            </w:tcBorders>
            <w:shd w:val="clear" w:color="auto" w:fill="D5DCE4" w:themeFill="text2" w:themeFillTint="33"/>
            <w:tcMar>
              <w:top w:w="57" w:type="dxa"/>
              <w:left w:w="57" w:type="dxa"/>
              <w:bottom w:w="57" w:type="dxa"/>
              <w:right w:w="57" w:type="dxa"/>
            </w:tcMar>
            <w:hideMark/>
          </w:tcPr>
          <w:p w14:paraId="71A12A23" w14:textId="77777777" w:rsidR="00E53E87" w:rsidRDefault="00E53E87">
            <w:pPr>
              <w:rPr>
                <w:b/>
                <w:noProof/>
              </w:rPr>
            </w:pPr>
            <w:r>
              <w:rPr>
                <w:b/>
                <w:noProof/>
              </w:rPr>
              <w:t>II. Overview of costs – Preferred option- option 5 - Hybrid reporting by all CASPs</w:t>
            </w:r>
            <w:r>
              <w:rPr>
                <w:rStyle w:val="FootnoteReference"/>
                <w:b/>
                <w:noProof/>
              </w:rPr>
              <w:footnoteReference w:id="51"/>
            </w:r>
          </w:p>
        </w:tc>
      </w:tr>
      <w:tr w:rsidR="00E53E87" w14:paraId="1910BADE" w14:textId="77777777" w:rsidTr="00E53E87">
        <w:tc>
          <w:tcPr>
            <w:tcW w:w="2547" w:type="dxa"/>
            <w:gridSpan w:val="2"/>
            <w:vMerge w:val="restart"/>
            <w:tcBorders>
              <w:top w:val="double" w:sz="4" w:space="0" w:color="auto"/>
              <w:left w:val="double" w:sz="4" w:space="0" w:color="auto"/>
              <w:bottom w:val="double" w:sz="4" w:space="0" w:color="auto"/>
              <w:right w:val="double" w:sz="4" w:space="0" w:color="auto"/>
              <w:tl2br w:val="double" w:sz="4" w:space="0" w:color="auto"/>
            </w:tcBorders>
            <w:tcMar>
              <w:top w:w="57" w:type="dxa"/>
              <w:left w:w="57" w:type="dxa"/>
              <w:bottom w:w="57" w:type="dxa"/>
              <w:right w:w="57" w:type="dxa"/>
            </w:tcMar>
          </w:tcPr>
          <w:p w14:paraId="2B9CB6A4" w14:textId="77777777" w:rsidR="00E53E87" w:rsidRDefault="00E53E87">
            <w:pPr>
              <w:rPr>
                <w:b/>
                <w:noProof/>
              </w:rPr>
            </w:pPr>
          </w:p>
        </w:tc>
        <w:tc>
          <w:tcPr>
            <w:tcW w:w="2525" w:type="dxa"/>
            <w:gridSpan w:val="2"/>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hideMark/>
          </w:tcPr>
          <w:p w14:paraId="36178ABE" w14:textId="77777777" w:rsidR="00E53E87" w:rsidRDefault="00E53E87">
            <w:pPr>
              <w:jc w:val="center"/>
              <w:rPr>
                <w:b/>
                <w:noProof/>
              </w:rPr>
            </w:pPr>
            <w:r>
              <w:rPr>
                <w:b/>
                <w:noProof/>
              </w:rPr>
              <w:t>Crypto-assets service providers</w:t>
            </w:r>
          </w:p>
        </w:tc>
        <w:tc>
          <w:tcPr>
            <w:tcW w:w="277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327AB5" w14:textId="77777777" w:rsidR="00E53E87" w:rsidRDefault="00E53E87">
            <w:pPr>
              <w:jc w:val="center"/>
              <w:rPr>
                <w:b/>
                <w:noProof/>
              </w:rPr>
            </w:pPr>
            <w:r>
              <w:rPr>
                <w:b/>
                <w:noProof/>
              </w:rPr>
              <w:t>Tax Administrations (Member States)</w:t>
            </w:r>
          </w:p>
        </w:tc>
        <w:tc>
          <w:tcPr>
            <w:tcW w:w="2359" w:type="dxa"/>
            <w:gridSpan w:val="2"/>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14:paraId="6B9A49DE" w14:textId="77777777" w:rsidR="00E53E87" w:rsidRDefault="00E53E87">
            <w:pPr>
              <w:jc w:val="center"/>
              <w:rPr>
                <w:b/>
                <w:noProof/>
              </w:rPr>
            </w:pPr>
            <w:r>
              <w:rPr>
                <w:b/>
                <w:noProof/>
              </w:rPr>
              <w:t>European Commission</w:t>
            </w:r>
          </w:p>
        </w:tc>
      </w:tr>
      <w:tr w:rsidR="00E53E87" w14:paraId="312FCBF6" w14:textId="77777777" w:rsidTr="00E53E87">
        <w:tc>
          <w:tcPr>
            <w:tcW w:w="11781" w:type="dxa"/>
            <w:gridSpan w:val="2"/>
            <w:vMerge/>
            <w:tcBorders>
              <w:top w:val="double" w:sz="4" w:space="0" w:color="auto"/>
              <w:left w:val="double" w:sz="4" w:space="0" w:color="auto"/>
              <w:bottom w:val="double" w:sz="4" w:space="0" w:color="auto"/>
              <w:right w:val="double" w:sz="4" w:space="0" w:color="auto"/>
            </w:tcBorders>
            <w:vAlign w:val="center"/>
            <w:hideMark/>
          </w:tcPr>
          <w:p w14:paraId="31DD9BCF" w14:textId="77777777" w:rsidR="00E53E87" w:rsidRDefault="00E53E87">
            <w:pPr>
              <w:rPr>
                <w:b/>
                <w:noProof/>
              </w:rPr>
            </w:pP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hideMark/>
          </w:tcPr>
          <w:p w14:paraId="1DAF20C7" w14:textId="77777777" w:rsidR="00E53E87" w:rsidRDefault="00E53E87">
            <w:pPr>
              <w:jc w:val="center"/>
              <w:rPr>
                <w:b/>
                <w:noProof/>
              </w:rPr>
            </w:pPr>
            <w:r>
              <w:rPr>
                <w:b/>
                <w:noProof/>
              </w:rPr>
              <w:t>One-off</w:t>
            </w: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62893E32" w14:textId="77777777" w:rsidR="00E53E87" w:rsidRDefault="00E53E87">
            <w:pPr>
              <w:jc w:val="center"/>
              <w:rPr>
                <w:b/>
                <w:noProof/>
              </w:rPr>
            </w:pPr>
            <w:r>
              <w:rPr>
                <w:b/>
                <w:noProof/>
              </w:rPr>
              <w:t>Recurrent</w:t>
            </w: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4623DE14" w14:textId="77777777" w:rsidR="00E53E87" w:rsidRDefault="00E53E87">
            <w:pPr>
              <w:jc w:val="center"/>
              <w:rPr>
                <w:b/>
                <w:noProof/>
              </w:rPr>
            </w:pPr>
            <w:r>
              <w:rPr>
                <w:b/>
                <w:noProof/>
              </w:rPr>
              <w:t>One-off</w:t>
            </w: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690B7DE7" w14:textId="77777777" w:rsidR="00E53E87" w:rsidRDefault="00E53E87">
            <w:pPr>
              <w:jc w:val="center"/>
              <w:rPr>
                <w:b/>
                <w:noProof/>
              </w:rPr>
            </w:pPr>
            <w:r>
              <w:rPr>
                <w:b/>
                <w:noProof/>
              </w:rPr>
              <w:t>Recurrent</w:t>
            </w: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78EA028C" w14:textId="77777777" w:rsidR="00E53E87" w:rsidRDefault="00E53E87">
            <w:pPr>
              <w:jc w:val="center"/>
              <w:rPr>
                <w:b/>
                <w:noProof/>
              </w:rPr>
            </w:pPr>
            <w:r>
              <w:rPr>
                <w:b/>
                <w:noProof/>
              </w:rPr>
              <w:t>One-off</w:t>
            </w: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4470A9D3" w14:textId="77777777" w:rsidR="00E53E87" w:rsidRDefault="00E53E87">
            <w:pPr>
              <w:jc w:val="center"/>
              <w:rPr>
                <w:b/>
                <w:noProof/>
              </w:rPr>
            </w:pPr>
            <w:r>
              <w:rPr>
                <w:b/>
                <w:noProof/>
              </w:rPr>
              <w:t>Recurrent</w:t>
            </w:r>
          </w:p>
        </w:tc>
      </w:tr>
      <w:tr w:rsidR="00E53E87" w14:paraId="08016408" w14:textId="77777777" w:rsidTr="00E53E87">
        <w:trPr>
          <w:trHeight w:val="307"/>
        </w:trPr>
        <w:tc>
          <w:tcPr>
            <w:tcW w:w="972" w:type="dxa"/>
            <w:vMerge w:val="restart"/>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vAlign w:val="center"/>
            <w:hideMark/>
          </w:tcPr>
          <w:p w14:paraId="11B05AB6" w14:textId="77777777" w:rsidR="00E53E87" w:rsidRDefault="00E53E87">
            <w:pPr>
              <w:rPr>
                <w:noProof/>
              </w:rPr>
            </w:pPr>
            <w:r>
              <w:rPr>
                <w:noProof/>
              </w:rPr>
              <w:t>Implementing an IT tool (Central Directory)</w:t>
            </w:r>
          </w:p>
        </w:tc>
        <w:tc>
          <w:tcPr>
            <w:tcW w:w="1575"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3594B064" w14:textId="77777777" w:rsidR="00E53E87" w:rsidRDefault="00E53E87">
            <w:pPr>
              <w:rPr>
                <w:noProof/>
              </w:rPr>
            </w:pPr>
            <w:r>
              <w:rPr>
                <w:noProof/>
              </w:rPr>
              <w:t>Direct administrative costs</w:t>
            </w:r>
          </w:p>
        </w:tc>
        <w:tc>
          <w:tcPr>
            <w:tcW w:w="1110"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vAlign w:val="center"/>
          </w:tcPr>
          <w:p w14:paraId="243FAF9E" w14:textId="77777777" w:rsidR="00E53E87" w:rsidRDefault="00E53E87">
            <w:pPr>
              <w:rPr>
                <w:noProof/>
              </w:rPr>
            </w:pP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40F838" w14:textId="77777777" w:rsidR="00E53E87" w:rsidRDefault="00E53E87">
            <w:pPr>
              <w:rPr>
                <w:noProof/>
              </w:rPr>
            </w:pPr>
          </w:p>
        </w:tc>
        <w:tc>
          <w:tcPr>
            <w:tcW w:w="13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97F628B" w14:textId="77777777" w:rsidR="00E53E87" w:rsidRDefault="00E53E87">
            <w:pPr>
              <w:rPr>
                <w:noProof/>
              </w:rPr>
            </w:pPr>
            <w:r>
              <w:rPr>
                <w:noProof/>
              </w:rPr>
              <w:t>1-13</w:t>
            </w:r>
          </w:p>
        </w:tc>
        <w:tc>
          <w:tcPr>
            <w:tcW w:w="138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6F46568" w14:textId="77777777" w:rsidR="00E53E87" w:rsidRDefault="00E53E87">
            <w:pPr>
              <w:rPr>
                <w:noProof/>
              </w:rPr>
            </w:pPr>
            <w:r>
              <w:rPr>
                <w:noProof/>
              </w:rPr>
              <w:t>0.1-5.7</w:t>
            </w:r>
          </w:p>
        </w:tc>
        <w:tc>
          <w:tcPr>
            <w:tcW w:w="11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E32ABC" w14:textId="77777777" w:rsidR="00E53E87" w:rsidRDefault="00E53E87">
            <w:pPr>
              <w:rPr>
                <w:noProof/>
              </w:rPr>
            </w:pPr>
            <w:r>
              <w:rPr>
                <w:noProof/>
              </w:rPr>
              <w:t xml:space="preserve">0.48 </w:t>
            </w:r>
          </w:p>
        </w:tc>
        <w:tc>
          <w:tcPr>
            <w:tcW w:w="1249"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3DEB53FA" w14:textId="77777777" w:rsidR="00E53E87" w:rsidRDefault="00E53E87">
            <w:pPr>
              <w:rPr>
                <w:noProof/>
              </w:rPr>
            </w:pPr>
            <w:r>
              <w:rPr>
                <w:noProof/>
              </w:rPr>
              <w:t>0.21</w:t>
            </w:r>
          </w:p>
        </w:tc>
      </w:tr>
      <w:tr w:rsidR="00E53E87" w14:paraId="4604C557" w14:textId="77777777" w:rsidTr="00E53E87">
        <w:trPr>
          <w:trHeight w:val="307"/>
        </w:trPr>
        <w:tc>
          <w:tcPr>
            <w:tcW w:w="10206" w:type="dxa"/>
            <w:vMerge/>
            <w:tcBorders>
              <w:top w:val="single" w:sz="4" w:space="0" w:color="auto"/>
              <w:left w:val="double" w:sz="4" w:space="0" w:color="auto"/>
              <w:bottom w:val="double" w:sz="4" w:space="0" w:color="auto"/>
              <w:right w:val="single" w:sz="4" w:space="0" w:color="auto"/>
            </w:tcBorders>
            <w:vAlign w:val="center"/>
            <w:hideMark/>
          </w:tcPr>
          <w:p w14:paraId="386741F3" w14:textId="77777777" w:rsidR="00E53E87" w:rsidRDefault="00E53E87">
            <w:pPr>
              <w:rPr>
                <w:noProof/>
              </w:rPr>
            </w:pPr>
          </w:p>
        </w:tc>
        <w:tc>
          <w:tcPr>
            <w:tcW w:w="1575"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6C59E636" w14:textId="77777777" w:rsidR="00E53E87" w:rsidRDefault="00E53E87">
            <w:pPr>
              <w:rPr>
                <w:noProof/>
              </w:rPr>
            </w:pPr>
            <w:r>
              <w:rPr>
                <w:noProof/>
              </w:rPr>
              <w:t>Direct adjustment costs</w:t>
            </w:r>
          </w:p>
        </w:tc>
        <w:tc>
          <w:tcPr>
            <w:tcW w:w="1110"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vAlign w:val="center"/>
          </w:tcPr>
          <w:p w14:paraId="4FE184C7" w14:textId="77777777" w:rsidR="00E53E87" w:rsidRDefault="00E53E87">
            <w:pPr>
              <w:rPr>
                <w:noProof/>
              </w:rPr>
            </w:pP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AF9425" w14:textId="77777777" w:rsidR="00E53E87" w:rsidRDefault="00E53E87">
            <w:pPr>
              <w:rPr>
                <w:noProof/>
              </w:rPr>
            </w:pPr>
          </w:p>
        </w:tc>
        <w:tc>
          <w:tcPr>
            <w:tcW w:w="13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D31EB6" w14:textId="77777777" w:rsidR="00E53E87" w:rsidRDefault="00E53E87">
            <w:pPr>
              <w:rPr>
                <w:noProof/>
              </w:rPr>
            </w:pPr>
          </w:p>
        </w:tc>
        <w:tc>
          <w:tcPr>
            <w:tcW w:w="138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4E3310" w14:textId="77777777" w:rsidR="00E53E87" w:rsidRDefault="00E53E87">
            <w:pPr>
              <w:rPr>
                <w:noProof/>
              </w:rPr>
            </w:pPr>
          </w:p>
        </w:tc>
        <w:tc>
          <w:tcPr>
            <w:tcW w:w="11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09CBE6" w14:textId="77777777" w:rsidR="00E53E87" w:rsidRDefault="00E53E87">
            <w:pPr>
              <w:rPr>
                <w:noProof/>
              </w:rPr>
            </w:pPr>
          </w:p>
        </w:tc>
        <w:tc>
          <w:tcPr>
            <w:tcW w:w="1249"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tcPr>
          <w:p w14:paraId="62DFFD49" w14:textId="77777777" w:rsidR="00E53E87" w:rsidRDefault="00E53E87">
            <w:pPr>
              <w:rPr>
                <w:noProof/>
              </w:rPr>
            </w:pPr>
          </w:p>
        </w:tc>
      </w:tr>
      <w:tr w:rsidR="00E53E87" w14:paraId="7CEC3AB1" w14:textId="77777777" w:rsidTr="00E53E87">
        <w:trPr>
          <w:trHeight w:val="307"/>
        </w:trPr>
        <w:tc>
          <w:tcPr>
            <w:tcW w:w="10206" w:type="dxa"/>
            <w:vMerge/>
            <w:tcBorders>
              <w:top w:val="single" w:sz="4" w:space="0" w:color="auto"/>
              <w:left w:val="double" w:sz="4" w:space="0" w:color="auto"/>
              <w:bottom w:val="double" w:sz="4" w:space="0" w:color="auto"/>
              <w:right w:val="single" w:sz="4" w:space="0" w:color="auto"/>
            </w:tcBorders>
            <w:vAlign w:val="center"/>
            <w:hideMark/>
          </w:tcPr>
          <w:p w14:paraId="4013830E" w14:textId="77777777" w:rsidR="00E53E87" w:rsidRDefault="00E53E87">
            <w:pPr>
              <w:rPr>
                <w:noProof/>
              </w:rPr>
            </w:pPr>
          </w:p>
        </w:tc>
        <w:tc>
          <w:tcPr>
            <w:tcW w:w="1575"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479791DE" w14:textId="77777777" w:rsidR="00E53E87" w:rsidRDefault="00E53E87">
            <w:pPr>
              <w:rPr>
                <w:noProof/>
              </w:rPr>
            </w:pPr>
            <w:r>
              <w:rPr>
                <w:noProof/>
              </w:rPr>
              <w:t>Direct regulatory fees and charges</w:t>
            </w:r>
          </w:p>
        </w:tc>
        <w:tc>
          <w:tcPr>
            <w:tcW w:w="1110"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vAlign w:val="center"/>
          </w:tcPr>
          <w:p w14:paraId="1CC3CD10" w14:textId="77777777" w:rsidR="00E53E87" w:rsidRDefault="00E53E87">
            <w:pPr>
              <w:rPr>
                <w:noProof/>
              </w:rPr>
            </w:pP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9EA95E" w14:textId="77777777" w:rsidR="00E53E87" w:rsidRDefault="00E53E87">
            <w:pPr>
              <w:rPr>
                <w:noProof/>
              </w:rPr>
            </w:pPr>
          </w:p>
        </w:tc>
        <w:tc>
          <w:tcPr>
            <w:tcW w:w="13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D44AB9" w14:textId="77777777" w:rsidR="00E53E87" w:rsidRDefault="00E53E87">
            <w:pPr>
              <w:rPr>
                <w:noProof/>
              </w:rPr>
            </w:pPr>
          </w:p>
        </w:tc>
        <w:tc>
          <w:tcPr>
            <w:tcW w:w="138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43714D" w14:textId="77777777" w:rsidR="00E53E87" w:rsidRDefault="00E53E87">
            <w:pPr>
              <w:rPr>
                <w:noProof/>
              </w:rPr>
            </w:pPr>
          </w:p>
        </w:tc>
        <w:tc>
          <w:tcPr>
            <w:tcW w:w="11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5E657F" w14:textId="77777777" w:rsidR="00E53E87" w:rsidRDefault="00E53E87">
            <w:pPr>
              <w:rPr>
                <w:noProof/>
              </w:rPr>
            </w:pPr>
          </w:p>
        </w:tc>
        <w:tc>
          <w:tcPr>
            <w:tcW w:w="1249"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tcPr>
          <w:p w14:paraId="4468A0C3" w14:textId="77777777" w:rsidR="00E53E87" w:rsidRDefault="00E53E87">
            <w:pPr>
              <w:rPr>
                <w:noProof/>
              </w:rPr>
            </w:pPr>
          </w:p>
        </w:tc>
      </w:tr>
      <w:tr w:rsidR="00E53E87" w14:paraId="2172876E" w14:textId="77777777" w:rsidTr="00E53E87">
        <w:trPr>
          <w:trHeight w:val="307"/>
        </w:trPr>
        <w:tc>
          <w:tcPr>
            <w:tcW w:w="10206" w:type="dxa"/>
            <w:vMerge/>
            <w:tcBorders>
              <w:top w:val="single" w:sz="4" w:space="0" w:color="auto"/>
              <w:left w:val="double" w:sz="4" w:space="0" w:color="auto"/>
              <w:bottom w:val="double" w:sz="4" w:space="0" w:color="auto"/>
              <w:right w:val="single" w:sz="4" w:space="0" w:color="auto"/>
            </w:tcBorders>
            <w:vAlign w:val="center"/>
            <w:hideMark/>
          </w:tcPr>
          <w:p w14:paraId="0D94A10C" w14:textId="77777777" w:rsidR="00E53E87" w:rsidRDefault="00E53E87">
            <w:pPr>
              <w:rPr>
                <w:noProof/>
              </w:rPr>
            </w:pPr>
          </w:p>
        </w:tc>
        <w:tc>
          <w:tcPr>
            <w:tcW w:w="1575"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19F30FDF" w14:textId="77777777" w:rsidR="00E53E87" w:rsidRDefault="00E53E87">
            <w:pPr>
              <w:rPr>
                <w:noProof/>
              </w:rPr>
            </w:pPr>
            <w:r>
              <w:rPr>
                <w:noProof/>
              </w:rPr>
              <w:t>Direct enforcement costs</w:t>
            </w:r>
          </w:p>
        </w:tc>
        <w:tc>
          <w:tcPr>
            <w:tcW w:w="1110"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vAlign w:val="center"/>
          </w:tcPr>
          <w:p w14:paraId="1CB48E91" w14:textId="77777777" w:rsidR="00E53E87" w:rsidRDefault="00E53E87">
            <w:pPr>
              <w:rPr>
                <w:noProof/>
              </w:rPr>
            </w:pP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CE1F20" w14:textId="77777777" w:rsidR="00E53E87" w:rsidRDefault="00E53E87">
            <w:pPr>
              <w:rPr>
                <w:noProof/>
              </w:rPr>
            </w:pPr>
          </w:p>
        </w:tc>
        <w:tc>
          <w:tcPr>
            <w:tcW w:w="13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8CEF48" w14:textId="77777777" w:rsidR="00E53E87" w:rsidRDefault="00E53E87">
            <w:pPr>
              <w:rPr>
                <w:noProof/>
              </w:rPr>
            </w:pPr>
          </w:p>
        </w:tc>
        <w:tc>
          <w:tcPr>
            <w:tcW w:w="138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C48322" w14:textId="77777777" w:rsidR="00E53E87" w:rsidRDefault="00E53E87">
            <w:pPr>
              <w:rPr>
                <w:noProof/>
              </w:rPr>
            </w:pPr>
          </w:p>
        </w:tc>
        <w:tc>
          <w:tcPr>
            <w:tcW w:w="11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E7915B" w14:textId="77777777" w:rsidR="00E53E87" w:rsidRDefault="00E53E87">
            <w:pPr>
              <w:rPr>
                <w:noProof/>
              </w:rPr>
            </w:pPr>
          </w:p>
        </w:tc>
        <w:tc>
          <w:tcPr>
            <w:tcW w:w="1249"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tcPr>
          <w:p w14:paraId="23C04061" w14:textId="77777777" w:rsidR="00E53E87" w:rsidRDefault="00E53E87">
            <w:pPr>
              <w:rPr>
                <w:noProof/>
              </w:rPr>
            </w:pPr>
          </w:p>
        </w:tc>
      </w:tr>
      <w:tr w:rsidR="00E53E87" w14:paraId="28F61A04"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41C257A9"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57A9B9EC" w14:textId="77777777" w:rsidR="00E53E87" w:rsidRDefault="00E53E87">
            <w:pPr>
              <w:rPr>
                <w:noProof/>
              </w:rPr>
            </w:pPr>
            <w:r>
              <w:rPr>
                <w:noProof/>
              </w:rPr>
              <w:t>Indirect costs</w:t>
            </w: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254E702C"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4D320EDE"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4712E0C"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55003C34"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0512796D"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30C8F89B" w14:textId="77777777" w:rsidR="00E53E87" w:rsidRDefault="00E53E87">
            <w:pPr>
              <w:rPr>
                <w:noProof/>
              </w:rPr>
            </w:pPr>
          </w:p>
        </w:tc>
      </w:tr>
      <w:tr w:rsidR="00E53E87" w14:paraId="7A70144A" w14:textId="77777777" w:rsidTr="00E53E87">
        <w:tc>
          <w:tcPr>
            <w:tcW w:w="972" w:type="dxa"/>
            <w:vMerge w:val="restart"/>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hideMark/>
          </w:tcPr>
          <w:p w14:paraId="0450DEC7" w14:textId="77777777" w:rsidR="00E53E87" w:rsidRDefault="00E53E87">
            <w:pPr>
              <w:rPr>
                <w:noProof/>
              </w:rPr>
            </w:pPr>
            <w:r>
              <w:rPr>
                <w:noProof/>
              </w:rPr>
              <w:t xml:space="preserve">Reporting requirements </w:t>
            </w: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hideMark/>
          </w:tcPr>
          <w:p w14:paraId="2D7F2B2C" w14:textId="77777777" w:rsidR="00E53E87" w:rsidRDefault="00E53E87">
            <w:pPr>
              <w:rPr>
                <w:noProof/>
              </w:rPr>
            </w:pPr>
            <w:r>
              <w:rPr>
                <w:noProof/>
              </w:rPr>
              <w:t>Direct administrative costs</w:t>
            </w: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hideMark/>
          </w:tcPr>
          <w:p w14:paraId="02A7F747" w14:textId="77777777" w:rsidR="00E53E87" w:rsidRDefault="00E53E87">
            <w:pPr>
              <w:rPr>
                <w:noProof/>
              </w:rPr>
            </w:pPr>
            <w:r>
              <w:rPr>
                <w:noProof/>
              </w:rPr>
              <w:t xml:space="preserve">Total one-off costs estimate are estimated at EUR 259 million (or EUR 1.5 million per CASP). </w:t>
            </w: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00C60C6E" w14:textId="77777777" w:rsidR="00E53E87" w:rsidRDefault="00E53E87">
            <w:pPr>
              <w:rPr>
                <w:noProof/>
              </w:rPr>
            </w:pPr>
            <w:r>
              <w:rPr>
                <w:noProof/>
              </w:rPr>
              <w:t>The recurrent costs are estimated at 22.6 million for all CASPs and it is estimated that they will not surpass EUR 135 000 per entity on a yearly basis.</w:t>
            </w: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48D77CD4" w14:textId="77777777" w:rsidR="00E53E87" w:rsidRDefault="00E53E87">
            <w:pPr>
              <w:rPr>
                <w:noProof/>
                <w:szCs w:val="24"/>
              </w:rPr>
            </w:pPr>
            <w:r>
              <w:rPr>
                <w:noProof/>
              </w:rPr>
              <w:t xml:space="preserve"> One-off costs incurred by tax administrations in the EU-27 are estimated to range between EUR 500 000 and EUR 64.8 million or between EUR 18 000 and EUR 2.4 million per tax administration on average, depending on the IT solution chosen.</w:t>
            </w: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0DDCA994" w14:textId="77777777" w:rsidR="00E53E87" w:rsidRDefault="00E53E87">
            <w:pPr>
              <w:rPr>
                <w:noProof/>
              </w:rPr>
            </w:pPr>
            <w:r>
              <w:rPr>
                <w:noProof/>
              </w:rPr>
              <w:t>The estimated recurrent costs vary approximately between EUR 100 000 and EUR 6 million on a yearly basis for all Member States, or between EUR 3 700 and EUR 220 000 on average per Member State.</w:t>
            </w: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65624DF5" w14:textId="77777777" w:rsidR="00E53E87" w:rsidRDefault="00E53E87">
            <w:pPr>
              <w:rPr>
                <w:noProof/>
                <w:szCs w:val="24"/>
              </w:rPr>
            </w:pPr>
            <w:r>
              <w:rPr>
                <w:noProof/>
              </w:rPr>
              <w:t>The development costs for defining the common EU reporting specifications (i.e. the type of data to be reported, collected and exchanged), and for setting up new and/or adapting the existing IT systems to enable the exchange of information could vary between EUR 500 000 and EUR 1.4 million.</w:t>
            </w: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07559CE1" w14:textId="77777777" w:rsidR="00E53E87" w:rsidRDefault="00E53E87">
            <w:pPr>
              <w:rPr>
                <w:noProof/>
              </w:rPr>
            </w:pPr>
            <w:r>
              <w:rPr>
                <w:noProof/>
              </w:rPr>
              <w:t>The recurrent costs are estimated to range between EUR 100 000 and EUR 200 000 on a yearly basis, and mainly relate to operating and maintaining the IT system for data storage and exchange relative to crypto-assets</w:t>
            </w:r>
          </w:p>
        </w:tc>
      </w:tr>
      <w:tr w:rsidR="00E53E87" w14:paraId="75570729"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38C74FB2"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hideMark/>
          </w:tcPr>
          <w:p w14:paraId="51494065" w14:textId="77777777" w:rsidR="00E53E87" w:rsidRDefault="00E53E87">
            <w:pPr>
              <w:rPr>
                <w:noProof/>
              </w:rPr>
            </w:pPr>
            <w:r>
              <w:rPr>
                <w:noProof/>
              </w:rPr>
              <w:t>Direct adjustment costs</w:t>
            </w: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02384FA4"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4553FE1A"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4247F5C7"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5DACA4F7"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4341711F"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409D807D" w14:textId="77777777" w:rsidR="00E53E87" w:rsidRDefault="00E53E87">
            <w:pPr>
              <w:rPr>
                <w:noProof/>
              </w:rPr>
            </w:pPr>
          </w:p>
        </w:tc>
      </w:tr>
      <w:tr w:rsidR="00E53E87" w14:paraId="76FD4F48"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26BAA23D"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hideMark/>
          </w:tcPr>
          <w:p w14:paraId="60EEB8D4" w14:textId="77777777" w:rsidR="00E53E87" w:rsidRDefault="00E53E87">
            <w:pPr>
              <w:rPr>
                <w:noProof/>
              </w:rPr>
            </w:pPr>
            <w:r>
              <w:rPr>
                <w:noProof/>
              </w:rPr>
              <w:t>Direct regulatory fees and charges</w:t>
            </w: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41357F79"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3C68125C"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7F951F3F"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6DCAD33"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2AED3400"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68F0BFDC" w14:textId="77777777" w:rsidR="00E53E87" w:rsidRDefault="00E53E87">
            <w:pPr>
              <w:rPr>
                <w:noProof/>
              </w:rPr>
            </w:pPr>
          </w:p>
        </w:tc>
      </w:tr>
      <w:tr w:rsidR="00E53E87" w14:paraId="71BB6056"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6ED780BA"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hideMark/>
          </w:tcPr>
          <w:p w14:paraId="5C725E46" w14:textId="77777777" w:rsidR="00E53E87" w:rsidRDefault="00E53E87">
            <w:pPr>
              <w:rPr>
                <w:noProof/>
              </w:rPr>
            </w:pPr>
            <w:r>
              <w:rPr>
                <w:noProof/>
              </w:rPr>
              <w:t>Direct enforcement costs</w:t>
            </w: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2A978344"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1938765"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63BDF04D"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08B8A62C"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2ECBA48D"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55748266" w14:textId="77777777" w:rsidR="00E53E87" w:rsidRDefault="00E53E87">
            <w:pPr>
              <w:rPr>
                <w:noProof/>
              </w:rPr>
            </w:pPr>
          </w:p>
        </w:tc>
      </w:tr>
      <w:tr w:rsidR="00E53E87" w14:paraId="0DD8665D"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3C6BC8EA"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0E0794A6" w14:textId="77777777" w:rsidR="00E53E87" w:rsidRDefault="00E53E87">
            <w:pPr>
              <w:rPr>
                <w:noProof/>
              </w:rPr>
            </w:pPr>
            <w:r>
              <w:rPr>
                <w:noProof/>
              </w:rPr>
              <w:t>Indirect costs</w:t>
            </w: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53DE5D66"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4B1FBA2"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0B0F26B5"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5F4CB1B6"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C4A89A8"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728FB324" w14:textId="77777777" w:rsidR="00E53E87" w:rsidRDefault="00E53E87">
            <w:pPr>
              <w:rPr>
                <w:noProof/>
              </w:rPr>
            </w:pPr>
          </w:p>
        </w:tc>
      </w:tr>
      <w:tr w:rsidR="00E53E87" w14:paraId="16E0B3AE" w14:textId="77777777" w:rsidTr="00E53E87">
        <w:tc>
          <w:tcPr>
            <w:tcW w:w="972" w:type="dxa"/>
            <w:vMerge w:val="restart"/>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41DBC20C"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tcPr>
          <w:p w14:paraId="26B00C0B" w14:textId="77777777" w:rsidR="00E53E87" w:rsidRDefault="00E53E87">
            <w:pPr>
              <w:rPr>
                <w:noProof/>
              </w:rPr>
            </w:pP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4ACAD8FD"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62F33754"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279E6E0E"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03F0CF14" w14:textId="77777777" w:rsidR="00E53E87" w:rsidRDefault="00E53E87">
            <w:pPr>
              <w:rPr>
                <w:noProof/>
              </w:rPr>
            </w:pPr>
          </w:p>
        </w:tc>
        <w:tc>
          <w:tcPr>
            <w:tcW w:w="2359" w:type="dxa"/>
            <w:gridSpan w:val="2"/>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4844EA63" w14:textId="77777777" w:rsidR="00E53E87" w:rsidRDefault="00E53E87">
            <w:pPr>
              <w:rPr>
                <w:noProof/>
              </w:rPr>
            </w:pPr>
          </w:p>
        </w:tc>
      </w:tr>
      <w:tr w:rsidR="00E53E87" w14:paraId="20386E26"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4559DA46"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tcPr>
          <w:p w14:paraId="231794E2" w14:textId="77777777" w:rsidR="00E53E87" w:rsidRDefault="00E53E87">
            <w:pPr>
              <w:rPr>
                <w:noProof/>
              </w:rPr>
            </w:pP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5AB779B1"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4BC4621A"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47F46160"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0548893A"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4AC53862"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0B10D7EE" w14:textId="77777777" w:rsidR="00E53E87" w:rsidRDefault="00E53E87">
            <w:pPr>
              <w:rPr>
                <w:noProof/>
              </w:rPr>
            </w:pPr>
          </w:p>
        </w:tc>
      </w:tr>
      <w:tr w:rsidR="00E53E87" w14:paraId="5A9DD9D6"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2FE6737C"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tcPr>
          <w:p w14:paraId="36E9210F" w14:textId="77777777" w:rsidR="00E53E87" w:rsidRDefault="00E53E87">
            <w:pPr>
              <w:rPr>
                <w:noProof/>
              </w:rPr>
            </w:pP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28A5FB17"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029E7581"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40E88AB"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0C9DC172"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B12FB2C"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423A88C6" w14:textId="77777777" w:rsidR="00E53E87" w:rsidRDefault="00E53E87">
            <w:pPr>
              <w:rPr>
                <w:noProof/>
              </w:rPr>
            </w:pPr>
          </w:p>
        </w:tc>
      </w:tr>
      <w:tr w:rsidR="00E53E87" w14:paraId="53548F82"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74BAD2A3"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vAlign w:val="center"/>
          </w:tcPr>
          <w:p w14:paraId="3E2FA6A2" w14:textId="77777777" w:rsidR="00E53E87" w:rsidRDefault="00E53E87">
            <w:pPr>
              <w:rPr>
                <w:noProof/>
              </w:rPr>
            </w:pP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45187296"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55F0C73F"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118A52A"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7984F799"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7D1BA363"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28580214" w14:textId="77777777" w:rsidR="00E53E87" w:rsidRDefault="00E53E87">
            <w:pPr>
              <w:rPr>
                <w:noProof/>
              </w:rPr>
            </w:pPr>
          </w:p>
        </w:tc>
      </w:tr>
      <w:tr w:rsidR="00E53E87" w14:paraId="01099A33" w14:textId="77777777" w:rsidTr="00E53E87">
        <w:tc>
          <w:tcPr>
            <w:tcW w:w="10206" w:type="dxa"/>
            <w:vMerge/>
            <w:tcBorders>
              <w:top w:val="single" w:sz="4" w:space="0" w:color="auto"/>
              <w:left w:val="double" w:sz="4" w:space="0" w:color="auto"/>
              <w:bottom w:val="double" w:sz="4" w:space="0" w:color="auto"/>
              <w:right w:val="single" w:sz="4" w:space="0" w:color="auto"/>
            </w:tcBorders>
            <w:vAlign w:val="center"/>
            <w:hideMark/>
          </w:tcPr>
          <w:p w14:paraId="6E124AB0" w14:textId="77777777" w:rsidR="00E53E87" w:rsidRDefault="00E53E87">
            <w:pPr>
              <w:rPr>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4EC82152" w14:textId="77777777" w:rsidR="00E53E87" w:rsidRDefault="00E53E87">
            <w:pPr>
              <w:rPr>
                <w:noProof/>
              </w:rPr>
            </w:pP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14:paraId="6EB32978" w14:textId="77777777" w:rsidR="00E53E87" w:rsidRDefault="00E53E87">
            <w:pPr>
              <w:rPr>
                <w:noProof/>
              </w:rPr>
            </w:pP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6A4AC2E6" w14:textId="77777777" w:rsidR="00E53E87" w:rsidRDefault="00E53E87">
            <w:pPr>
              <w:rPr>
                <w:noProof/>
              </w:rPr>
            </w:pP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5123D762" w14:textId="77777777" w:rsidR="00E53E87" w:rsidRDefault="00E53E87">
            <w:pPr>
              <w:rPr>
                <w:noProof/>
              </w:rPr>
            </w:pP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670A9EAB" w14:textId="77777777" w:rsidR="00E53E87" w:rsidRDefault="00E53E87">
            <w:pPr>
              <w:rPr>
                <w:noProof/>
              </w:rPr>
            </w:pPr>
          </w:p>
        </w:tc>
        <w:tc>
          <w:tcPr>
            <w:tcW w:w="1110"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D75FEAF"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52B83D04" w14:textId="77777777" w:rsidR="00E53E87" w:rsidRDefault="00E53E87">
            <w:pPr>
              <w:rPr>
                <w:noProof/>
              </w:rPr>
            </w:pPr>
          </w:p>
        </w:tc>
      </w:tr>
      <w:tr w:rsidR="00E53E87" w14:paraId="42050DD3" w14:textId="77777777" w:rsidTr="00E53E87">
        <w:tc>
          <w:tcPr>
            <w:tcW w:w="10206" w:type="dxa"/>
            <w:gridSpan w:val="8"/>
            <w:tcBorders>
              <w:top w:val="single" w:sz="4" w:space="0" w:color="auto"/>
              <w:left w:val="double" w:sz="4" w:space="0" w:color="auto"/>
              <w:bottom w:val="single" w:sz="4" w:space="0" w:color="auto"/>
              <w:right w:val="double" w:sz="4" w:space="0" w:color="auto"/>
            </w:tcBorders>
            <w:shd w:val="clear" w:color="auto" w:fill="D5DCE4" w:themeFill="text2" w:themeFillTint="33"/>
            <w:tcMar>
              <w:top w:w="57" w:type="dxa"/>
              <w:left w:w="57" w:type="dxa"/>
              <w:bottom w:w="57" w:type="dxa"/>
              <w:right w:w="57" w:type="dxa"/>
            </w:tcMar>
            <w:hideMark/>
          </w:tcPr>
          <w:p w14:paraId="686D3E89" w14:textId="77777777" w:rsidR="00E53E87" w:rsidRDefault="00E53E87">
            <w:pPr>
              <w:jc w:val="center"/>
              <w:rPr>
                <w:b/>
                <w:i/>
                <w:noProof/>
              </w:rPr>
            </w:pPr>
            <w:bookmarkStart w:id="489" w:name="_Hlk120096671"/>
            <w:r>
              <w:rPr>
                <w:b/>
                <w:i/>
                <w:noProof/>
              </w:rPr>
              <w:t>Costs related to the ‘one in, one out’ approach</w:t>
            </w:r>
            <w:bookmarkEnd w:id="489"/>
          </w:p>
        </w:tc>
      </w:tr>
      <w:tr w:rsidR="00E53E87" w14:paraId="3822BD60" w14:textId="77777777" w:rsidTr="00E53E87">
        <w:trPr>
          <w:trHeight w:val="637"/>
        </w:trPr>
        <w:tc>
          <w:tcPr>
            <w:tcW w:w="972" w:type="dxa"/>
            <w:vMerge w:val="restart"/>
            <w:tcBorders>
              <w:top w:val="double" w:sz="4" w:space="0" w:color="auto"/>
              <w:left w:val="double" w:sz="4" w:space="0" w:color="auto"/>
              <w:bottom w:val="double" w:sz="4" w:space="0" w:color="auto"/>
              <w:right w:val="single" w:sz="4" w:space="0" w:color="auto"/>
            </w:tcBorders>
            <w:tcMar>
              <w:top w:w="57" w:type="dxa"/>
              <w:left w:w="57" w:type="dxa"/>
              <w:bottom w:w="57" w:type="dxa"/>
              <w:right w:w="57" w:type="dxa"/>
            </w:tcMar>
            <w:vAlign w:val="center"/>
            <w:hideMark/>
          </w:tcPr>
          <w:p w14:paraId="56F026DA" w14:textId="77777777" w:rsidR="00E53E87" w:rsidRDefault="00E53E87">
            <w:pPr>
              <w:rPr>
                <w:b/>
                <w:noProof/>
              </w:rPr>
            </w:pPr>
            <w:r>
              <w:rPr>
                <w:b/>
                <w:noProof/>
              </w:rPr>
              <w:t xml:space="preserve">Total  </w:t>
            </w:r>
          </w:p>
        </w:tc>
        <w:tc>
          <w:tcPr>
            <w:tcW w:w="1575"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14:paraId="560F52CF" w14:textId="77777777" w:rsidR="00E53E87" w:rsidRDefault="00E53E87">
            <w:pPr>
              <w:rPr>
                <w:noProof/>
              </w:rPr>
            </w:pPr>
            <w:r>
              <w:rPr>
                <w:noProof/>
              </w:rPr>
              <w:t xml:space="preserve">Direct adjustment costs </w:t>
            </w:r>
          </w:p>
        </w:tc>
        <w:tc>
          <w:tcPr>
            <w:tcW w:w="1110" w:type="dxa"/>
            <w:tcBorders>
              <w:top w:val="double" w:sz="4" w:space="0" w:color="auto"/>
              <w:left w:val="double" w:sz="4" w:space="0" w:color="auto"/>
              <w:bottom w:val="single" w:sz="4" w:space="0" w:color="auto"/>
              <w:right w:val="single" w:sz="4" w:space="0" w:color="auto"/>
            </w:tcBorders>
            <w:tcMar>
              <w:top w:w="57" w:type="dxa"/>
              <w:left w:w="57" w:type="dxa"/>
              <w:bottom w:w="57" w:type="dxa"/>
              <w:right w:w="57" w:type="dxa"/>
            </w:tcMar>
          </w:tcPr>
          <w:p w14:paraId="24E8B255" w14:textId="77777777" w:rsidR="00E53E87" w:rsidRDefault="00E53E87">
            <w:pPr>
              <w:rPr>
                <w:noProof/>
              </w:rPr>
            </w:pPr>
          </w:p>
        </w:tc>
        <w:tc>
          <w:tcPr>
            <w:tcW w:w="1415"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0E2646" w14:textId="77777777" w:rsidR="00E53E87" w:rsidRDefault="00E53E87">
            <w:pPr>
              <w:rPr>
                <w:noProof/>
              </w:rPr>
            </w:pPr>
          </w:p>
        </w:tc>
        <w:tc>
          <w:tcPr>
            <w:tcW w:w="1388"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DEF22B" w14:textId="77777777" w:rsidR="00E53E87" w:rsidRDefault="00E53E87">
            <w:pPr>
              <w:rPr>
                <w:noProof/>
              </w:rPr>
            </w:pPr>
          </w:p>
        </w:tc>
        <w:tc>
          <w:tcPr>
            <w:tcW w:w="1387"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FD31F0" w14:textId="77777777" w:rsidR="00E53E87" w:rsidRDefault="00E53E87">
            <w:pPr>
              <w:rPr>
                <w:noProof/>
              </w:rPr>
            </w:pPr>
          </w:p>
        </w:tc>
        <w:tc>
          <w:tcPr>
            <w:tcW w:w="1110" w:type="dxa"/>
            <w:tcBorders>
              <w:top w:val="double" w:sz="4" w:space="0" w:color="auto"/>
              <w:left w:val="single" w:sz="4" w:space="0" w:color="auto"/>
              <w:bottom w:val="double" w:sz="4" w:space="0" w:color="auto"/>
              <w:right w:val="single" w:sz="4" w:space="0" w:color="auto"/>
              <w:tl2br w:val="double" w:sz="4" w:space="0" w:color="auto"/>
            </w:tcBorders>
            <w:tcMar>
              <w:top w:w="57" w:type="dxa"/>
              <w:left w:w="57" w:type="dxa"/>
              <w:bottom w:w="57" w:type="dxa"/>
              <w:right w:w="57" w:type="dxa"/>
            </w:tcMar>
          </w:tcPr>
          <w:p w14:paraId="2A71A79E" w14:textId="77777777" w:rsidR="00E53E87" w:rsidRDefault="00E53E87">
            <w:pPr>
              <w:rPr>
                <w:noProof/>
              </w:rPr>
            </w:pPr>
          </w:p>
        </w:tc>
        <w:tc>
          <w:tcPr>
            <w:tcW w:w="1249" w:type="dxa"/>
            <w:tcBorders>
              <w:top w:val="double" w:sz="4" w:space="0" w:color="auto"/>
              <w:left w:val="single" w:sz="4" w:space="0" w:color="auto"/>
              <w:bottom w:val="double" w:sz="4" w:space="0" w:color="auto"/>
              <w:right w:val="double" w:sz="4" w:space="0" w:color="auto"/>
              <w:tl2br w:val="double" w:sz="4" w:space="0" w:color="auto"/>
            </w:tcBorders>
            <w:tcMar>
              <w:top w:w="57" w:type="dxa"/>
              <w:left w:w="57" w:type="dxa"/>
              <w:bottom w:w="57" w:type="dxa"/>
              <w:right w:w="57" w:type="dxa"/>
            </w:tcMar>
          </w:tcPr>
          <w:p w14:paraId="653833A9" w14:textId="77777777" w:rsidR="00E53E87" w:rsidRDefault="00E53E87">
            <w:pPr>
              <w:rPr>
                <w:noProof/>
              </w:rPr>
            </w:pPr>
          </w:p>
        </w:tc>
      </w:tr>
      <w:tr w:rsidR="00E53E87" w14:paraId="170B1F37" w14:textId="77777777" w:rsidTr="00E53E87">
        <w:trPr>
          <w:trHeight w:val="544"/>
        </w:trPr>
        <w:tc>
          <w:tcPr>
            <w:tcW w:w="10206" w:type="dxa"/>
            <w:vMerge/>
            <w:tcBorders>
              <w:top w:val="double" w:sz="4" w:space="0" w:color="auto"/>
              <w:left w:val="double" w:sz="4" w:space="0" w:color="auto"/>
              <w:bottom w:val="double" w:sz="4" w:space="0" w:color="auto"/>
              <w:right w:val="single" w:sz="4" w:space="0" w:color="auto"/>
            </w:tcBorders>
            <w:vAlign w:val="center"/>
            <w:hideMark/>
          </w:tcPr>
          <w:p w14:paraId="27C7E3B1" w14:textId="77777777" w:rsidR="00E53E87" w:rsidRDefault="00E53E87">
            <w:pPr>
              <w:rPr>
                <w:b/>
                <w:noProof/>
              </w:rPr>
            </w:pPr>
          </w:p>
        </w:tc>
        <w:tc>
          <w:tcPr>
            <w:tcW w:w="1575"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14:paraId="3A76D2A5" w14:textId="77777777" w:rsidR="00E53E87" w:rsidRDefault="00E53E87">
            <w:pPr>
              <w:rPr>
                <w:noProof/>
              </w:rPr>
            </w:pPr>
            <w:r>
              <w:rPr>
                <w:noProof/>
              </w:rPr>
              <w:t>Indirect adjustment costs</w:t>
            </w:r>
          </w:p>
        </w:tc>
        <w:tc>
          <w:tcPr>
            <w:tcW w:w="1110"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14:paraId="7B7BD982" w14:textId="77777777" w:rsidR="00E53E87" w:rsidRDefault="00E53E87">
            <w:pPr>
              <w:rPr>
                <w:noProof/>
              </w:rPr>
            </w:pP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543AB3" w14:textId="77777777" w:rsidR="00E53E87" w:rsidRDefault="00E53E87">
            <w:pPr>
              <w:rPr>
                <w:noProof/>
              </w:rPr>
            </w:pPr>
          </w:p>
        </w:tc>
        <w:tc>
          <w:tcPr>
            <w:tcW w:w="13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5CC337" w14:textId="77777777" w:rsidR="00E53E87" w:rsidRDefault="00E53E87">
            <w:pPr>
              <w:rPr>
                <w:noProof/>
              </w:rPr>
            </w:pPr>
          </w:p>
        </w:tc>
        <w:tc>
          <w:tcPr>
            <w:tcW w:w="138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B9D4D1" w14:textId="77777777" w:rsidR="00E53E87" w:rsidRDefault="00E53E87">
            <w:pPr>
              <w:rPr>
                <w:noProof/>
              </w:rPr>
            </w:pPr>
          </w:p>
        </w:tc>
        <w:tc>
          <w:tcPr>
            <w:tcW w:w="1110" w:type="dxa"/>
            <w:tcBorders>
              <w:top w:val="double" w:sz="4" w:space="0" w:color="auto"/>
              <w:left w:val="single" w:sz="4" w:space="0" w:color="auto"/>
              <w:bottom w:val="double" w:sz="4" w:space="0" w:color="auto"/>
              <w:right w:val="single" w:sz="4" w:space="0" w:color="auto"/>
              <w:tl2br w:val="double" w:sz="4" w:space="0" w:color="auto"/>
            </w:tcBorders>
            <w:tcMar>
              <w:top w:w="57" w:type="dxa"/>
              <w:left w:w="57" w:type="dxa"/>
              <w:bottom w:w="57" w:type="dxa"/>
              <w:right w:w="57" w:type="dxa"/>
            </w:tcMar>
          </w:tcPr>
          <w:p w14:paraId="18264CD7" w14:textId="77777777" w:rsidR="00E53E87" w:rsidRDefault="00E53E87">
            <w:pPr>
              <w:rPr>
                <w:noProof/>
              </w:rPr>
            </w:pPr>
          </w:p>
        </w:tc>
        <w:tc>
          <w:tcPr>
            <w:tcW w:w="1249" w:type="dxa"/>
            <w:tcBorders>
              <w:top w:val="double" w:sz="4" w:space="0" w:color="auto"/>
              <w:left w:val="single" w:sz="4" w:space="0" w:color="auto"/>
              <w:bottom w:val="double" w:sz="4" w:space="0" w:color="auto"/>
              <w:right w:val="double" w:sz="4" w:space="0" w:color="auto"/>
              <w:tl2br w:val="double" w:sz="4" w:space="0" w:color="auto"/>
            </w:tcBorders>
            <w:tcMar>
              <w:top w:w="57" w:type="dxa"/>
              <w:left w:w="57" w:type="dxa"/>
              <w:bottom w:w="57" w:type="dxa"/>
              <w:right w:w="57" w:type="dxa"/>
            </w:tcMar>
          </w:tcPr>
          <w:p w14:paraId="105E91C6" w14:textId="77777777" w:rsidR="00E53E87" w:rsidRDefault="00E53E87">
            <w:pPr>
              <w:rPr>
                <w:noProof/>
              </w:rPr>
            </w:pPr>
          </w:p>
        </w:tc>
      </w:tr>
      <w:tr w:rsidR="00E53E87" w14:paraId="6D40E1B0" w14:textId="77777777" w:rsidTr="00E53E87">
        <w:tc>
          <w:tcPr>
            <w:tcW w:w="10206" w:type="dxa"/>
            <w:vMerge/>
            <w:tcBorders>
              <w:top w:val="double" w:sz="4" w:space="0" w:color="auto"/>
              <w:left w:val="double" w:sz="4" w:space="0" w:color="auto"/>
              <w:bottom w:val="double" w:sz="4" w:space="0" w:color="auto"/>
              <w:right w:val="single" w:sz="4" w:space="0" w:color="auto"/>
            </w:tcBorders>
            <w:vAlign w:val="center"/>
            <w:hideMark/>
          </w:tcPr>
          <w:p w14:paraId="20B942FF" w14:textId="77777777" w:rsidR="00E53E87" w:rsidRDefault="00E53E87">
            <w:pPr>
              <w:rPr>
                <w:b/>
                <w:noProof/>
              </w:rPr>
            </w:pPr>
          </w:p>
        </w:tc>
        <w:tc>
          <w:tcPr>
            <w:tcW w:w="1575"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14:paraId="7E4BE515" w14:textId="77777777" w:rsidR="00E53E87" w:rsidRDefault="00E53E87">
            <w:pPr>
              <w:rPr>
                <w:noProof/>
              </w:rPr>
            </w:pPr>
            <w:r>
              <w:rPr>
                <w:noProof/>
              </w:rPr>
              <w:t>Administrative costs (for offsetting)</w:t>
            </w:r>
          </w:p>
        </w:tc>
        <w:tc>
          <w:tcPr>
            <w:tcW w:w="1110"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hideMark/>
          </w:tcPr>
          <w:p w14:paraId="40A05C87" w14:textId="77777777" w:rsidR="00E53E87" w:rsidRDefault="00E53E87">
            <w:pPr>
              <w:rPr>
                <w:noProof/>
              </w:rPr>
            </w:pPr>
            <w:r>
              <w:rPr>
                <w:noProof/>
              </w:rPr>
              <w:t>Total one-off costs are estimated at EUR 259 million (or EUR 1.5 million per CASP).</w:t>
            </w:r>
          </w:p>
        </w:tc>
        <w:tc>
          <w:tcPr>
            <w:tcW w:w="1415"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630A714C" w14:textId="77777777" w:rsidR="00E53E87" w:rsidRDefault="00E53E87">
            <w:pPr>
              <w:rPr>
                <w:noProof/>
              </w:rPr>
            </w:pPr>
            <w:r>
              <w:rPr>
                <w:noProof/>
              </w:rPr>
              <w:t>The recurrent costs are estimated at 22.6 million for all CASPs and it is estimated that they will not surpass EUR 135 000 per entity on a yearly basis.</w:t>
            </w:r>
          </w:p>
        </w:tc>
        <w:tc>
          <w:tcPr>
            <w:tcW w:w="1388"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22A94AAD" w14:textId="3472798F" w:rsidR="00E53E87" w:rsidRDefault="00E53E87">
            <w:pPr>
              <w:rPr>
                <w:noProof/>
              </w:rPr>
            </w:pPr>
            <w:r>
              <w:rPr>
                <w:noProof/>
                <w:sz w:val="24"/>
                <w:szCs w:val="24"/>
              </w:rPr>
              <mc:AlternateContent>
                <mc:Choice Requires="wps">
                  <w:drawing>
                    <wp:anchor distT="0" distB="0" distL="114300" distR="114300" simplePos="0" relativeHeight="251657216" behindDoc="0" locked="0" layoutInCell="1" allowOverlap="1" wp14:anchorId="437B9949" wp14:editId="03AA39A7">
                      <wp:simplePos x="0" y="0"/>
                      <wp:positionH relativeFrom="column">
                        <wp:posOffset>-34290</wp:posOffset>
                      </wp:positionH>
                      <wp:positionV relativeFrom="paragraph">
                        <wp:posOffset>-31750</wp:posOffset>
                      </wp:positionV>
                      <wp:extent cx="866775" cy="1654175"/>
                      <wp:effectExtent l="0" t="0" r="28575" b="22225"/>
                      <wp:wrapNone/>
                      <wp:docPr id="6" name="Straight Connector 6"/>
                      <wp:cNvGraphicFramePr/>
                      <a:graphic xmlns:a="http://schemas.openxmlformats.org/drawingml/2006/main">
                        <a:graphicData uri="http://schemas.microsoft.com/office/word/2010/wordprocessingShape">
                          <wps:wsp>
                            <wps:cNvCnPr/>
                            <wps:spPr>
                              <a:xfrm>
                                <a:off x="0" y="0"/>
                                <a:ext cx="866140" cy="165354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294C05"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5pt" to="65.55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" strokecolor="gray [1629]" strokeweight="1.5pt">
                      <v:stroke joinstyle="miter"/>
                    </v:line>
                  </w:pict>
                </mc:Fallback>
              </mc:AlternateContent>
            </w:r>
          </w:p>
        </w:tc>
        <w:tc>
          <w:tcPr>
            <w:tcW w:w="138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14:paraId="53A28F0F" w14:textId="3945F4E4" w:rsidR="00E53E87" w:rsidRDefault="00E53E87">
            <w:pPr>
              <w:rPr>
                <w:noProof/>
              </w:rPr>
            </w:pPr>
            <w:r>
              <w:rPr>
                <w:noProof/>
                <w:sz w:val="24"/>
                <w:szCs w:val="24"/>
              </w:rPr>
              <mc:AlternateContent>
                <mc:Choice Requires="wps">
                  <w:drawing>
                    <wp:anchor distT="0" distB="0" distL="114300" distR="114300" simplePos="0" relativeHeight="251658240" behindDoc="0" locked="0" layoutInCell="1" allowOverlap="1" wp14:anchorId="77B452FE" wp14:editId="4315E02D">
                      <wp:simplePos x="0" y="0"/>
                      <wp:positionH relativeFrom="column">
                        <wp:posOffset>-48260</wp:posOffset>
                      </wp:positionH>
                      <wp:positionV relativeFrom="paragraph">
                        <wp:posOffset>-34925</wp:posOffset>
                      </wp:positionV>
                      <wp:extent cx="866775" cy="1654175"/>
                      <wp:effectExtent l="0" t="0" r="28575" b="22225"/>
                      <wp:wrapNone/>
                      <wp:docPr id="2" name="Straight Connector 2"/>
                      <wp:cNvGraphicFramePr/>
                      <a:graphic xmlns:a="http://schemas.openxmlformats.org/drawingml/2006/main">
                        <a:graphicData uri="http://schemas.microsoft.com/office/word/2010/wordprocessingShape">
                          <wps:wsp>
                            <wps:cNvCnPr/>
                            <wps:spPr>
                              <a:xfrm>
                                <a:off x="0" y="0"/>
                                <a:ext cx="866140" cy="1653540"/>
                              </a:xfrm>
                              <a:prstGeom prst="line">
                                <a:avLst/>
                              </a:prstGeom>
                              <a:noFill/>
                              <a:ln w="19050" cap="flat" cmpd="sng" algn="ctr">
                                <a:solidFill>
                                  <a:sysClr val="windowText" lastClr="000000">
                                    <a:lumMod val="50000"/>
                                    <a:lumOff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2C077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75pt" to="64.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" strokecolor="#7f7f7f" strokeweight="1.5pt">
                      <v:stroke joinstyle="miter"/>
                    </v:line>
                  </w:pict>
                </mc:Fallback>
              </mc:AlternateContent>
            </w:r>
          </w:p>
        </w:tc>
        <w:tc>
          <w:tcPr>
            <w:tcW w:w="1110" w:type="dxa"/>
            <w:tcBorders>
              <w:top w:val="single" w:sz="4" w:space="0" w:color="auto"/>
              <w:left w:val="single" w:sz="4" w:space="0" w:color="auto"/>
              <w:bottom w:val="double" w:sz="4" w:space="0" w:color="auto"/>
              <w:right w:val="single" w:sz="4" w:space="0" w:color="auto"/>
              <w:tl2br w:val="double" w:sz="4" w:space="0" w:color="auto"/>
            </w:tcBorders>
            <w:tcMar>
              <w:top w:w="57" w:type="dxa"/>
              <w:left w:w="57" w:type="dxa"/>
              <w:bottom w:w="57" w:type="dxa"/>
              <w:right w:w="57" w:type="dxa"/>
            </w:tcMar>
          </w:tcPr>
          <w:p w14:paraId="1E5725D7" w14:textId="77777777" w:rsidR="00E53E87" w:rsidRDefault="00E53E87">
            <w:pPr>
              <w:rPr>
                <w:noProof/>
              </w:rPr>
            </w:pPr>
          </w:p>
        </w:tc>
        <w:tc>
          <w:tcPr>
            <w:tcW w:w="1249" w:type="dxa"/>
            <w:tcBorders>
              <w:top w:val="single" w:sz="4" w:space="0" w:color="auto"/>
              <w:left w:val="single" w:sz="4" w:space="0" w:color="auto"/>
              <w:bottom w:val="double" w:sz="4" w:space="0" w:color="auto"/>
              <w:right w:val="double" w:sz="4" w:space="0" w:color="auto"/>
              <w:tl2br w:val="double" w:sz="4" w:space="0" w:color="auto"/>
            </w:tcBorders>
            <w:tcMar>
              <w:top w:w="57" w:type="dxa"/>
              <w:left w:w="57" w:type="dxa"/>
              <w:bottom w:w="57" w:type="dxa"/>
              <w:right w:w="57" w:type="dxa"/>
            </w:tcMar>
          </w:tcPr>
          <w:p w14:paraId="10537875" w14:textId="77777777" w:rsidR="00E53E87" w:rsidRDefault="00E53E87">
            <w:pPr>
              <w:rPr>
                <w:noProof/>
              </w:rPr>
            </w:pPr>
          </w:p>
        </w:tc>
      </w:tr>
    </w:tbl>
    <w:p w14:paraId="6D1F1E30" w14:textId="77777777" w:rsidR="00E53E87" w:rsidRPr="00774D84" w:rsidRDefault="00E53E87" w:rsidP="00E53E87">
      <w:pPr>
        <w:pStyle w:val="ListParagraph"/>
        <w:numPr>
          <w:ilvl w:val="0"/>
          <w:numId w:val="101"/>
        </w:numPr>
        <w:spacing w:after="240" w:line="240" w:lineRule="auto"/>
        <w:jc w:val="both"/>
        <w:rPr>
          <w:rFonts w:ascii="Times New Roman" w:hAnsi="Times New Roman" w:cs="Times New Roman"/>
          <w:i/>
          <w:noProof/>
          <w:sz w:val="20"/>
          <w:szCs w:val="20"/>
          <w:lang w:val="en-GB"/>
        </w:rPr>
      </w:pPr>
      <w:r w:rsidRPr="00774D84">
        <w:rPr>
          <w:rFonts w:ascii="Times New Roman" w:hAnsi="Times New Roman" w:cs="Times New Roman"/>
          <w:i/>
          <w:noProof/>
          <w:sz w:val="20"/>
          <w:szCs w:val="20"/>
        </w:rPr>
        <w:t xml:space="preserve">Estimates (gross values) to be provided with respect to the baseline; (2) costs are provided for each identifiable action/obligation of the </w:t>
      </w:r>
      <w:r w:rsidRPr="00774D84">
        <w:rPr>
          <w:rFonts w:ascii="Times New Roman" w:hAnsi="Times New Roman" w:cs="Times New Roman"/>
          <w:i/>
          <w:noProof/>
          <w:sz w:val="20"/>
          <w:szCs w:val="20"/>
          <w:u w:val="single"/>
        </w:rPr>
        <w:t>preferred</w:t>
      </w:r>
      <w:r w:rsidRPr="00774D84">
        <w:rPr>
          <w:rFonts w:ascii="Times New Roman" w:hAnsi="Times New Roman" w:cs="Times New Roman"/>
          <w:i/>
          <w:noProof/>
          <w:sz w:val="20"/>
          <w:szCs w:val="20"/>
        </w:rPr>
        <w:t xml:space="preserve"> option otherwise for all retained options when no preferred option is specified; (3) If relevant and available, please present information on costs according to the standard typology of costs (adjustment costs, administrative costs, regulatory charges, enforcement costs, indirect costs;). (4) Administrative costs for offsetting as explained in Tool #58 and #59 of the ‘better regulation’ toolbox. The total adjustment costs should equal the sum of the adjustment costs presented in the upper part of the table (whenever they are quantifiable and/or can be monetised). Measures taken with a view to compensate adjustment costs to the greatest extent possible are presented in the section of the impact assessment report presenting the preferred option.</w:t>
      </w:r>
    </w:p>
    <w:p w14:paraId="5DD5FE03" w14:textId="77777777" w:rsidR="00E53E87" w:rsidRDefault="00E53E87" w:rsidP="00E53E87">
      <w:pPr>
        <w:rPr>
          <w:noProof/>
          <w:sz w:val="24"/>
          <w:szCs w:val="24"/>
        </w:rPr>
      </w:pPr>
      <w:bookmarkStart w:id="490" w:name="_Toc118098958"/>
      <w:bookmarkStart w:id="491" w:name="_Toc118100239"/>
    </w:p>
    <w:p w14:paraId="757EAC8D" w14:textId="77777777" w:rsidR="00E53E87" w:rsidRPr="00E53E87" w:rsidRDefault="00E53E87" w:rsidP="00E53E87">
      <w:pPr>
        <w:pStyle w:val="ListParagraph"/>
        <w:numPr>
          <w:ilvl w:val="0"/>
          <w:numId w:val="85"/>
        </w:numPr>
        <w:jc w:val="both"/>
        <w:rPr>
          <w:rFonts w:ascii="Times New Roman" w:hAnsi="Times New Roman"/>
          <w:b/>
          <w:noProof/>
          <w:sz w:val="24"/>
        </w:rPr>
      </w:pPr>
      <w:bookmarkStart w:id="492" w:name="_Toc88562937"/>
      <w:bookmarkStart w:id="493" w:name="_Toc118111677"/>
      <w:bookmarkStart w:id="494" w:name="_Toc118112747"/>
      <w:r w:rsidRPr="00E53E87">
        <w:rPr>
          <w:rFonts w:ascii="Times New Roman" w:hAnsi="Times New Roman"/>
          <w:b/>
          <w:noProof/>
          <w:sz w:val="24"/>
        </w:rPr>
        <w:t>Relevant sustainable development goals</w:t>
      </w:r>
      <w:bookmarkEnd w:id="492"/>
      <w:bookmarkEnd w:id="493"/>
      <w:bookmarkEnd w:id="494"/>
    </w:p>
    <w:tbl>
      <w:tblPr>
        <w:tblStyle w:val="CV11"/>
        <w:tblW w:w="10380" w:type="dxa"/>
        <w:tblInd w:w="-45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53"/>
        <w:gridCol w:w="4112"/>
        <w:gridCol w:w="3715"/>
      </w:tblGrid>
      <w:tr w:rsidR="00E53E87" w14:paraId="2053165A" w14:textId="77777777" w:rsidTr="00E53E87">
        <w:tc>
          <w:tcPr>
            <w:tcW w:w="10377" w:type="dxa"/>
            <w:gridSpan w:val="3"/>
            <w:tcBorders>
              <w:top w:val="double" w:sz="4" w:space="0" w:color="auto"/>
              <w:left w:val="double" w:sz="4" w:space="0" w:color="auto"/>
              <w:bottom w:val="single" w:sz="4" w:space="0" w:color="auto"/>
              <w:right w:val="double" w:sz="4" w:space="0" w:color="auto"/>
            </w:tcBorders>
            <w:shd w:val="clear" w:color="auto" w:fill="D5DCE4" w:themeFill="text2" w:themeFillTint="33"/>
            <w:hideMark/>
          </w:tcPr>
          <w:p w14:paraId="17AE99E8" w14:textId="77777777" w:rsidR="00E53E87" w:rsidRDefault="00E53E87">
            <w:pPr>
              <w:rPr>
                <w:b/>
                <w:noProof/>
              </w:rPr>
            </w:pPr>
            <w:r>
              <w:rPr>
                <w:b/>
                <w:noProof/>
              </w:rPr>
              <w:t>III. Overview of relevant Sustainable Development Goals – Preferred option(s)</w:t>
            </w:r>
          </w:p>
        </w:tc>
      </w:tr>
      <w:tr w:rsidR="00E53E87" w14:paraId="67EF764F" w14:textId="77777777" w:rsidTr="00E53E87">
        <w:tc>
          <w:tcPr>
            <w:tcW w:w="2552" w:type="dxa"/>
            <w:tcBorders>
              <w:top w:val="single" w:sz="4" w:space="0" w:color="auto"/>
              <w:left w:val="double" w:sz="4" w:space="0" w:color="auto"/>
              <w:bottom w:val="single" w:sz="4" w:space="0" w:color="auto"/>
              <w:right w:val="single" w:sz="4" w:space="0" w:color="auto"/>
            </w:tcBorders>
            <w:shd w:val="clear" w:color="auto" w:fill="D5DCE4" w:themeFill="text2" w:themeFillTint="33"/>
            <w:hideMark/>
          </w:tcPr>
          <w:p w14:paraId="2E8D2F99" w14:textId="77777777" w:rsidR="00E53E87" w:rsidRDefault="00E53E87">
            <w:pPr>
              <w:rPr>
                <w:b/>
                <w:noProof/>
              </w:rPr>
            </w:pPr>
            <w:r>
              <w:rPr>
                <w:b/>
                <w:noProof/>
              </w:rPr>
              <w:t>Relevant SDG</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67BD32" w14:textId="77777777" w:rsidR="00E53E87" w:rsidRDefault="00E53E87">
            <w:pPr>
              <w:rPr>
                <w:b/>
                <w:noProof/>
              </w:rPr>
            </w:pPr>
            <w:r>
              <w:rPr>
                <w:b/>
                <w:noProof/>
              </w:rPr>
              <w:t>Expected progress towards the Goal</w:t>
            </w:r>
          </w:p>
        </w:tc>
        <w:tc>
          <w:tcPr>
            <w:tcW w:w="3714" w:type="dxa"/>
            <w:tcBorders>
              <w:top w:val="single" w:sz="4" w:space="0" w:color="auto"/>
              <w:left w:val="single" w:sz="4" w:space="0" w:color="auto"/>
              <w:bottom w:val="single" w:sz="4" w:space="0" w:color="auto"/>
              <w:right w:val="double" w:sz="4" w:space="0" w:color="auto"/>
            </w:tcBorders>
            <w:shd w:val="clear" w:color="auto" w:fill="D5DCE4" w:themeFill="text2" w:themeFillTint="33"/>
            <w:tcMar>
              <w:top w:w="57" w:type="dxa"/>
              <w:left w:w="57" w:type="dxa"/>
              <w:bottom w:w="57" w:type="dxa"/>
              <w:right w:w="57" w:type="dxa"/>
            </w:tcMar>
            <w:hideMark/>
          </w:tcPr>
          <w:p w14:paraId="1BD22559" w14:textId="77777777" w:rsidR="00E53E87" w:rsidRDefault="00E53E87">
            <w:pPr>
              <w:rPr>
                <w:b/>
                <w:noProof/>
              </w:rPr>
            </w:pPr>
            <w:r>
              <w:rPr>
                <w:b/>
                <w:noProof/>
              </w:rPr>
              <w:t>Comments</w:t>
            </w:r>
          </w:p>
        </w:tc>
      </w:tr>
      <w:tr w:rsidR="00E53E87" w14:paraId="70EE608D" w14:textId="77777777" w:rsidTr="00E53E87">
        <w:tc>
          <w:tcPr>
            <w:tcW w:w="2552" w:type="dxa"/>
            <w:tcBorders>
              <w:top w:val="single" w:sz="4" w:space="0" w:color="auto"/>
              <w:left w:val="double" w:sz="4" w:space="0" w:color="auto"/>
              <w:bottom w:val="single" w:sz="4" w:space="0" w:color="auto"/>
              <w:right w:val="single" w:sz="4" w:space="0" w:color="auto"/>
            </w:tcBorders>
            <w:hideMark/>
          </w:tcPr>
          <w:p w14:paraId="689AB0A1" w14:textId="77777777" w:rsidR="00E53E87" w:rsidRDefault="00E53E87">
            <w:pPr>
              <w:rPr>
                <w:noProof/>
                <w:szCs w:val="24"/>
              </w:rPr>
            </w:pPr>
            <w:r>
              <w:rPr>
                <w:noProof/>
              </w:rPr>
              <w:t>SDG – 8 Decent work and economic growth</w:t>
            </w:r>
          </w:p>
        </w:tc>
        <w:tc>
          <w:tcPr>
            <w:tcW w:w="41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76FAF7" w14:textId="28759A3E" w:rsidR="00E53E87" w:rsidRDefault="00E53E87">
            <w:pPr>
              <w:rPr>
                <w:noProof/>
              </w:rPr>
            </w:pPr>
            <w:r>
              <w:rPr>
                <w:noProof/>
              </w:rPr>
              <w:t xml:space="preserve">The initiative will have a positive effect on tax revenues, which can in turn be used to fund Member States’ economic and social policies.  Common rules at EU level would also be beneficial for competitiveness of the Single Market as the level playing field would be guaranteed, thus not leaving certain business in a less advantageous position; </w:t>
            </w:r>
          </w:p>
        </w:tc>
        <w:tc>
          <w:tcPr>
            <w:tcW w:w="3714"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14:paraId="1C868D7B" w14:textId="77777777" w:rsidR="00E53E87" w:rsidRDefault="00E53E87">
            <w:pPr>
              <w:rPr>
                <w:noProof/>
              </w:rPr>
            </w:pPr>
          </w:p>
        </w:tc>
      </w:tr>
      <w:tr w:rsidR="00E53E87" w14:paraId="4503A085" w14:textId="77777777" w:rsidTr="00E53E87">
        <w:tc>
          <w:tcPr>
            <w:tcW w:w="2552" w:type="dxa"/>
            <w:tcBorders>
              <w:top w:val="single" w:sz="4" w:space="0" w:color="auto"/>
              <w:left w:val="double" w:sz="4" w:space="0" w:color="auto"/>
              <w:bottom w:val="single" w:sz="4" w:space="0" w:color="auto"/>
              <w:right w:val="single" w:sz="4" w:space="0" w:color="auto"/>
            </w:tcBorders>
            <w:hideMark/>
          </w:tcPr>
          <w:p w14:paraId="03FAFC42" w14:textId="77777777" w:rsidR="00E53E87" w:rsidRDefault="00E53E87">
            <w:pPr>
              <w:rPr>
                <w:noProof/>
              </w:rPr>
            </w:pPr>
            <w:r>
              <w:rPr>
                <w:noProof/>
              </w:rPr>
              <w:t xml:space="preserve">SDG – 9 Industry, innovation and infrastructure </w:t>
            </w:r>
          </w:p>
        </w:tc>
        <w:tc>
          <w:tcPr>
            <w:tcW w:w="41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AC2D58" w14:textId="77777777" w:rsidR="00E53E87" w:rsidRDefault="00E53E87">
            <w:pPr>
              <w:rPr>
                <w:noProof/>
              </w:rPr>
            </w:pPr>
            <w:r>
              <w:rPr>
                <w:noProof/>
              </w:rPr>
              <w:t xml:space="preserve">Having a streamlined process to report electronically all the specified data will promote digitalisation and the upgrading of technology.  </w:t>
            </w:r>
          </w:p>
        </w:tc>
        <w:tc>
          <w:tcPr>
            <w:tcW w:w="3714"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14:paraId="3E5459BE" w14:textId="77777777" w:rsidR="00E53E87" w:rsidRDefault="00E53E87">
            <w:pPr>
              <w:rPr>
                <w:noProof/>
              </w:rPr>
            </w:pPr>
          </w:p>
        </w:tc>
      </w:tr>
      <w:tr w:rsidR="00E53E87" w14:paraId="6F150BD8" w14:textId="77777777" w:rsidTr="00E53E87">
        <w:tc>
          <w:tcPr>
            <w:tcW w:w="2552" w:type="dxa"/>
            <w:tcBorders>
              <w:top w:val="single" w:sz="4" w:space="0" w:color="auto"/>
              <w:left w:val="double" w:sz="4" w:space="0" w:color="auto"/>
              <w:bottom w:val="double" w:sz="4" w:space="0" w:color="auto"/>
              <w:right w:val="single" w:sz="4" w:space="0" w:color="auto"/>
            </w:tcBorders>
            <w:hideMark/>
          </w:tcPr>
          <w:p w14:paraId="3731E7A2" w14:textId="77777777" w:rsidR="00E53E87" w:rsidRDefault="00E53E87">
            <w:pPr>
              <w:rPr>
                <w:noProof/>
              </w:rPr>
            </w:pPr>
            <w:r>
              <w:rPr>
                <w:noProof/>
              </w:rPr>
              <w:t>SDG 10 - “Reduced inequalities”</w:t>
            </w:r>
          </w:p>
        </w:tc>
        <w:tc>
          <w:tcPr>
            <w:tcW w:w="4111"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14:paraId="108FF91D" w14:textId="77777777" w:rsidR="00E53E87" w:rsidRDefault="00E53E87">
            <w:pPr>
              <w:pStyle w:val="CommentText"/>
              <w:rPr>
                <w:noProof/>
              </w:rPr>
            </w:pPr>
            <w:r>
              <w:rPr>
                <w:noProof/>
              </w:rPr>
              <w:t>The initiative aims at fighting tax evasion through greater tax transparency. Ensuring that all taxpayers pay the taxes dues contributes to greater equality because Member States can avail themselves of more revenues to fund their policies and because it prevents that some taxpayers escape their obligations leaving it to other taxpayers to shoulder the burden.</w:t>
            </w:r>
          </w:p>
          <w:p w14:paraId="7E54770B" w14:textId="77777777" w:rsidR="00E53E87" w:rsidRDefault="00E53E87">
            <w:pPr>
              <w:rPr>
                <w:noProof/>
              </w:rPr>
            </w:pPr>
          </w:p>
        </w:tc>
        <w:tc>
          <w:tcPr>
            <w:tcW w:w="3714"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14:paraId="0967D2F7" w14:textId="77777777" w:rsidR="00E53E87" w:rsidRDefault="00E53E87">
            <w:pPr>
              <w:rPr>
                <w:noProof/>
              </w:rPr>
            </w:pPr>
          </w:p>
        </w:tc>
      </w:tr>
      <w:bookmarkEnd w:id="490"/>
      <w:bookmarkEnd w:id="491"/>
    </w:tbl>
    <w:p w14:paraId="15744D90" w14:textId="77777777" w:rsidR="00E53E87" w:rsidRDefault="00E53E87" w:rsidP="00E53E87">
      <w:pPr>
        <w:spacing w:after="200" w:line="276" w:lineRule="auto"/>
        <w:rPr>
          <w:noProof/>
          <w:sz w:val="24"/>
          <w:szCs w:val="24"/>
          <w:lang w:val="en-GB"/>
        </w:rPr>
      </w:pPr>
    </w:p>
    <w:p w14:paraId="19131394" w14:textId="5547EDD3" w:rsidR="006E5F59" w:rsidRPr="00E53E87" w:rsidRDefault="006E5F59" w:rsidP="005F0A85">
      <w:pPr>
        <w:rPr>
          <w:rFonts w:ascii="Times New Roman" w:hAnsi="Times New Roman"/>
          <w:noProof/>
          <w:sz w:val="24"/>
          <w:lang w:val="en-GB"/>
        </w:rPr>
      </w:pPr>
    </w:p>
    <w:p w14:paraId="0BE2C300" w14:textId="77777777" w:rsidR="006E5F59" w:rsidRPr="006E5F59" w:rsidRDefault="006E5F59" w:rsidP="006E5F59">
      <w:pPr>
        <w:rPr>
          <w:rFonts w:ascii="Times New Roman" w:eastAsia="Times New Roman" w:hAnsi="Times New Roman" w:cs="Times New Roman"/>
          <w:noProof/>
          <w:sz w:val="28"/>
          <w:szCs w:val="28"/>
        </w:rPr>
      </w:pPr>
      <w:r w:rsidRPr="006E5F59">
        <w:rPr>
          <w:rFonts w:ascii="Times New Roman" w:hAnsi="Times New Roman" w:cs="Times New Roman"/>
          <w:noProof/>
        </w:rPr>
        <w:br w:type="page"/>
      </w:r>
    </w:p>
    <w:p w14:paraId="155F8D40" w14:textId="77777777" w:rsidR="006E5F59" w:rsidRPr="006E5F59" w:rsidRDefault="006E5F59" w:rsidP="006E5F59">
      <w:pPr>
        <w:pStyle w:val="Heading1"/>
        <w:rPr>
          <w:rFonts w:ascii="Times New Roman" w:hAnsi="Times New Roman" w:cs="Times New Roman"/>
          <w:noProof/>
        </w:rPr>
      </w:pPr>
      <w:bookmarkStart w:id="495" w:name="_Toc84520061"/>
      <w:bookmarkStart w:id="496" w:name="_Toc84579926"/>
      <w:bookmarkStart w:id="497" w:name="_Toc85052221"/>
      <w:bookmarkStart w:id="498" w:name="_Toc40471882"/>
      <w:bookmarkStart w:id="499" w:name="_Toc1044681170"/>
      <w:bookmarkStart w:id="500" w:name="_Toc344612624"/>
      <w:bookmarkStart w:id="501" w:name="_Toc93306897"/>
      <w:r w:rsidRPr="41BAA3BB">
        <w:rPr>
          <w:rFonts w:ascii="Times New Roman" w:hAnsi="Times New Roman" w:cs="Times New Roman"/>
          <w:noProof/>
        </w:rPr>
        <w:t>ANNEX 4:</w:t>
      </w:r>
      <w:r>
        <w:rPr>
          <w:noProof/>
        </w:rPr>
        <w:tab/>
      </w:r>
      <w:r w:rsidRPr="41BAA3BB">
        <w:rPr>
          <w:rFonts w:ascii="Times New Roman" w:hAnsi="Times New Roman" w:cs="Times New Roman"/>
          <w:noProof/>
        </w:rPr>
        <w:t>ANALYTICAL METHODS</w:t>
      </w:r>
      <w:bookmarkEnd w:id="495"/>
      <w:bookmarkEnd w:id="496"/>
      <w:bookmarkEnd w:id="497"/>
      <w:bookmarkEnd w:id="498"/>
      <w:bookmarkEnd w:id="499"/>
      <w:bookmarkEnd w:id="500"/>
      <w:bookmarkEnd w:id="501"/>
    </w:p>
    <w:p w14:paraId="0DBA9736" w14:textId="77777777" w:rsidR="006E5F59" w:rsidRPr="008704BD" w:rsidRDefault="006E5F59">
      <w:pPr>
        <w:jc w:val="both"/>
        <w:rPr>
          <w:rFonts w:ascii="Times New Roman" w:hAnsi="Times New Roman"/>
          <w:noProof/>
          <w:sz w:val="24"/>
        </w:rPr>
      </w:pPr>
      <w:r w:rsidRPr="008704BD">
        <w:rPr>
          <w:rFonts w:ascii="Times New Roman" w:hAnsi="Times New Roman"/>
          <w:noProof/>
          <w:sz w:val="24"/>
        </w:rPr>
        <w:t xml:space="preserve">In this section, </w:t>
      </w:r>
      <w:r w:rsidRPr="008704BD" w:rsidDel="00A93BC0">
        <w:rPr>
          <w:rFonts w:ascii="Times New Roman" w:hAnsi="Times New Roman"/>
          <w:noProof/>
          <w:sz w:val="24"/>
        </w:rPr>
        <w:t xml:space="preserve">we </w:t>
      </w:r>
      <w:r w:rsidRPr="008704BD">
        <w:rPr>
          <w:rFonts w:ascii="Times New Roman" w:hAnsi="Times New Roman"/>
          <w:noProof/>
          <w:sz w:val="24"/>
        </w:rPr>
        <w:t>explain the underlying assumptions relevant for</w:t>
      </w:r>
      <w:r w:rsidR="00A93BC0" w:rsidRPr="008704BD">
        <w:rPr>
          <w:rFonts w:ascii="Times New Roman" w:hAnsi="Times New Roman"/>
          <w:noProof/>
          <w:sz w:val="24"/>
        </w:rPr>
        <w:t xml:space="preserve"> estimating</w:t>
      </w:r>
      <w:r w:rsidRPr="008704BD">
        <w:rPr>
          <w:rFonts w:ascii="Times New Roman" w:hAnsi="Times New Roman"/>
          <w:noProof/>
          <w:sz w:val="24"/>
        </w:rPr>
        <w:t xml:space="preserve"> both benefit and cost estimates. It is worthwhile noting that the estimates presented below are significantly limited as the data on crypto-assets is scarce. </w:t>
      </w:r>
    </w:p>
    <w:p w14:paraId="4A47A69E" w14:textId="77777777" w:rsidR="006E5F59" w:rsidRPr="008704BD" w:rsidRDefault="006E5F59" w:rsidP="006E5F59">
      <w:pPr>
        <w:rPr>
          <w:rFonts w:ascii="Times New Roman" w:hAnsi="Times New Roman"/>
          <w:noProof/>
          <w:sz w:val="24"/>
          <w:u w:val="single"/>
        </w:rPr>
      </w:pPr>
      <w:r w:rsidRPr="008704BD">
        <w:rPr>
          <w:rFonts w:ascii="Times New Roman" w:hAnsi="Times New Roman"/>
          <w:noProof/>
          <w:sz w:val="24"/>
          <w:u w:val="single"/>
        </w:rPr>
        <w:t>Benefits</w:t>
      </w:r>
    </w:p>
    <w:p w14:paraId="39CFD77C" w14:textId="77777777" w:rsidR="00EE2327" w:rsidRPr="008704BD" w:rsidRDefault="6ADB9E0C" w:rsidP="006E5F59">
      <w:pPr>
        <w:pStyle w:val="ListParagraph"/>
        <w:numPr>
          <w:ilvl w:val="0"/>
          <w:numId w:val="78"/>
        </w:numPr>
        <w:spacing w:after="200" w:line="276" w:lineRule="auto"/>
        <w:jc w:val="both"/>
        <w:rPr>
          <w:rFonts w:ascii="Times New Roman" w:hAnsi="Times New Roman"/>
          <w:noProof/>
          <w:sz w:val="24"/>
        </w:rPr>
      </w:pPr>
      <w:r w:rsidRPr="008704BD">
        <w:rPr>
          <w:rFonts w:ascii="Times New Roman" w:hAnsi="Times New Roman"/>
          <w:noProof/>
          <w:sz w:val="24"/>
        </w:rPr>
        <w:t>We first estimate the number of CASPs operating in the EU by assuming the following:</w:t>
      </w:r>
    </w:p>
    <w:p w14:paraId="758A92F3" w14:textId="77777777" w:rsidR="00B53181" w:rsidRDefault="6ADB9E0C">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Exchanges are defined as businesses that allow customers to trade cryptocurrency for fiat money or other cryptocurrency.</w:t>
      </w:r>
      <w:r w:rsidR="00EE2327" w:rsidRPr="008704BD">
        <w:rPr>
          <w:rStyle w:val="FootnoteReference"/>
          <w:rFonts w:ascii="Times New Roman" w:hAnsi="Times New Roman"/>
          <w:noProof/>
          <w:sz w:val="24"/>
        </w:rPr>
        <w:footnoteReference w:id="52"/>
      </w:r>
      <w:r w:rsidRPr="008704BD">
        <w:rPr>
          <w:rFonts w:ascii="Times New Roman" w:hAnsi="Times New Roman"/>
          <w:noProof/>
          <w:sz w:val="24"/>
        </w:rPr>
        <w:t xml:space="preserve"> </w:t>
      </w:r>
      <w:r w:rsidR="00B53181" w:rsidRPr="008704BD">
        <w:rPr>
          <w:rFonts w:ascii="Times New Roman" w:hAnsi="Times New Roman"/>
          <w:noProof/>
          <w:sz w:val="24"/>
        </w:rPr>
        <w:t>Our assumption is that this definition comes close enough in describing CASPs and thus, we give equal footing to the two notions.</w:t>
      </w:r>
    </w:p>
    <w:p w14:paraId="60346B7D" w14:textId="77777777" w:rsidR="004632D4" w:rsidRPr="003449EB" w:rsidRDefault="00B53181">
      <w:pPr>
        <w:pStyle w:val="ListParagraph"/>
        <w:numPr>
          <w:ilvl w:val="1"/>
          <w:numId w:val="78"/>
        </w:numPr>
        <w:spacing w:after="200" w:line="276" w:lineRule="auto"/>
        <w:jc w:val="both"/>
        <w:rPr>
          <w:rFonts w:ascii="Times New Roman" w:hAnsi="Times New Roman"/>
          <w:noProof/>
          <w:sz w:val="24"/>
        </w:rPr>
      </w:pPr>
      <w:r>
        <w:rPr>
          <w:rFonts w:ascii="Times New Roman" w:hAnsi="Times New Roman"/>
          <w:noProof/>
          <w:sz w:val="24"/>
        </w:rPr>
        <w:t>In August 2021, t</w:t>
      </w:r>
      <w:r w:rsidR="6ADB9E0C" w:rsidRPr="008704BD">
        <w:rPr>
          <w:rFonts w:ascii="Times New Roman" w:hAnsi="Times New Roman"/>
          <w:noProof/>
          <w:sz w:val="24"/>
        </w:rPr>
        <w:t xml:space="preserve">here were </w:t>
      </w:r>
      <w:r>
        <w:rPr>
          <w:rFonts w:ascii="Times New Roman" w:hAnsi="Times New Roman"/>
          <w:noProof/>
          <w:sz w:val="24"/>
        </w:rPr>
        <w:t>672</w:t>
      </w:r>
      <w:r w:rsidR="6ADB9E0C" w:rsidRPr="008704BD">
        <w:rPr>
          <w:rFonts w:ascii="Times New Roman" w:hAnsi="Times New Roman"/>
          <w:noProof/>
          <w:sz w:val="24"/>
        </w:rPr>
        <w:t xml:space="preserve"> exchanges worldwide.</w:t>
      </w:r>
      <w:r>
        <w:rPr>
          <w:rStyle w:val="FootnoteReference"/>
          <w:rFonts w:ascii="Times New Roman" w:hAnsi="Times New Roman"/>
          <w:noProof/>
          <w:sz w:val="24"/>
        </w:rPr>
        <w:footnoteReference w:id="53"/>
      </w:r>
      <w:r w:rsidR="6ADB9E0C" w:rsidRPr="008704BD">
        <w:rPr>
          <w:rFonts w:ascii="Times New Roman" w:hAnsi="Times New Roman"/>
          <w:noProof/>
          <w:sz w:val="24"/>
        </w:rPr>
        <w:t xml:space="preserve"> </w:t>
      </w:r>
      <w:r w:rsidR="5ED1B748" w:rsidRPr="003449EB">
        <w:rPr>
          <w:rFonts w:ascii="Times New Roman" w:hAnsi="Times New Roman"/>
          <w:noProof/>
          <w:sz w:val="24"/>
        </w:rPr>
        <w:t xml:space="preserve">Therefore, </w:t>
      </w:r>
      <w:r w:rsidRPr="003449EB">
        <w:rPr>
          <w:rFonts w:ascii="Times New Roman" w:hAnsi="Times New Roman"/>
          <w:b/>
          <w:noProof/>
          <w:sz w:val="24"/>
        </w:rPr>
        <w:t>672</w:t>
      </w:r>
      <w:r w:rsidR="5ED1B748" w:rsidRPr="003449EB">
        <w:rPr>
          <w:rFonts w:ascii="Times New Roman" w:hAnsi="Times New Roman"/>
          <w:b/>
          <w:noProof/>
          <w:sz w:val="24"/>
        </w:rPr>
        <w:t xml:space="preserve"> CASPs</w:t>
      </w:r>
      <w:r w:rsidR="00A545D6">
        <w:rPr>
          <w:rFonts w:ascii="Times New Roman" w:hAnsi="Times New Roman"/>
          <w:b/>
          <w:noProof/>
          <w:sz w:val="24"/>
        </w:rPr>
        <w:t>.</w:t>
      </w:r>
      <w:r w:rsidR="5ED1B748" w:rsidRPr="003449EB">
        <w:rPr>
          <w:rFonts w:ascii="Times New Roman" w:hAnsi="Times New Roman"/>
          <w:noProof/>
          <w:sz w:val="24"/>
        </w:rPr>
        <w:t xml:space="preserve"> </w:t>
      </w:r>
    </w:p>
    <w:p w14:paraId="560C73F3" w14:textId="77777777" w:rsidR="00B53181" w:rsidRPr="003449EB" w:rsidRDefault="00B53181">
      <w:pPr>
        <w:pStyle w:val="ListParagraph"/>
        <w:numPr>
          <w:ilvl w:val="1"/>
          <w:numId w:val="78"/>
        </w:numPr>
        <w:spacing w:after="200" w:line="276" w:lineRule="auto"/>
        <w:jc w:val="both"/>
        <w:rPr>
          <w:rFonts w:ascii="Times New Roman" w:hAnsi="Times New Roman"/>
          <w:noProof/>
          <w:sz w:val="24"/>
        </w:rPr>
      </w:pPr>
      <w:r w:rsidRPr="00B53181">
        <w:rPr>
          <w:rFonts w:ascii="Times New Roman" w:hAnsi="Times New Roman"/>
          <w:noProof/>
          <w:sz w:val="24"/>
        </w:rPr>
        <w:t>25%</w:t>
      </w:r>
      <w:r>
        <w:rPr>
          <w:rFonts w:ascii="Times New Roman" w:hAnsi="Times New Roman"/>
          <w:noProof/>
          <w:sz w:val="24"/>
        </w:rPr>
        <w:t xml:space="preserve"> </w:t>
      </w:r>
      <w:r w:rsidRPr="003449EB">
        <w:rPr>
          <w:rFonts w:ascii="Times New Roman" w:hAnsi="Times New Roman"/>
          <w:noProof/>
          <w:sz w:val="24"/>
        </w:rPr>
        <w:t>share of global</w:t>
      </w:r>
      <w:r>
        <w:rPr>
          <w:rFonts w:ascii="Times New Roman" w:hAnsi="Times New Roman"/>
          <w:noProof/>
          <w:sz w:val="24"/>
        </w:rPr>
        <w:t xml:space="preserve"> </w:t>
      </w:r>
      <w:r w:rsidR="00945433" w:rsidRPr="008704BD">
        <w:rPr>
          <w:rFonts w:ascii="Times New Roman" w:hAnsi="Times New Roman"/>
          <w:noProof/>
          <w:sz w:val="24"/>
        </w:rPr>
        <w:t>cryptocurrency</w:t>
      </w:r>
      <w:r w:rsidR="00945433" w:rsidRPr="00B53181">
        <w:rPr>
          <w:rFonts w:ascii="Times New Roman" w:hAnsi="Times New Roman"/>
          <w:noProof/>
          <w:sz w:val="24"/>
        </w:rPr>
        <w:t xml:space="preserve"> </w:t>
      </w:r>
      <w:r w:rsidRPr="003449EB">
        <w:rPr>
          <w:rFonts w:ascii="Times New Roman" w:hAnsi="Times New Roman"/>
          <w:noProof/>
          <w:sz w:val="24"/>
        </w:rPr>
        <w:t xml:space="preserve">value </w:t>
      </w:r>
      <w:r w:rsidR="00945433">
        <w:rPr>
          <w:rFonts w:ascii="Times New Roman" w:hAnsi="Times New Roman"/>
          <w:noProof/>
          <w:sz w:val="24"/>
        </w:rPr>
        <w:t xml:space="preserve">is </w:t>
      </w:r>
      <w:r w:rsidRPr="003449EB">
        <w:rPr>
          <w:rFonts w:ascii="Times New Roman" w:hAnsi="Times New Roman"/>
          <w:noProof/>
          <w:sz w:val="24"/>
        </w:rPr>
        <w:t>received by</w:t>
      </w:r>
      <w:r>
        <w:rPr>
          <w:rFonts w:ascii="Times New Roman" w:hAnsi="Times New Roman"/>
          <w:noProof/>
          <w:sz w:val="24"/>
        </w:rPr>
        <w:t xml:space="preserve"> </w:t>
      </w:r>
      <w:r w:rsidRPr="003449EB">
        <w:rPr>
          <w:rFonts w:ascii="Times New Roman" w:hAnsi="Times New Roman"/>
          <w:noProof/>
          <w:sz w:val="24"/>
        </w:rPr>
        <w:t>Central, Northern &amp;</w:t>
      </w:r>
      <w:r>
        <w:rPr>
          <w:rFonts w:ascii="Times New Roman" w:hAnsi="Times New Roman"/>
          <w:noProof/>
          <w:sz w:val="24"/>
        </w:rPr>
        <w:t xml:space="preserve"> </w:t>
      </w:r>
      <w:r w:rsidRPr="003449EB">
        <w:rPr>
          <w:rFonts w:ascii="Times New Roman" w:hAnsi="Times New Roman"/>
          <w:noProof/>
          <w:sz w:val="24"/>
        </w:rPr>
        <w:t>Western Europe</w:t>
      </w:r>
      <w:r w:rsidR="00945433">
        <w:rPr>
          <w:rFonts w:ascii="Times New Roman" w:hAnsi="Times New Roman"/>
          <w:noProof/>
          <w:sz w:val="24"/>
        </w:rPr>
        <w:t>.</w:t>
      </w:r>
      <w:r w:rsidR="00945433">
        <w:rPr>
          <w:rStyle w:val="FootnoteReference"/>
          <w:rFonts w:ascii="Times New Roman" w:hAnsi="Times New Roman"/>
          <w:noProof/>
          <w:sz w:val="24"/>
        </w:rPr>
        <w:footnoteReference w:id="54"/>
      </w:r>
    </w:p>
    <w:p w14:paraId="36C90D71" w14:textId="77777777" w:rsidR="004632D4" w:rsidRPr="008704BD" w:rsidRDefault="6ADB9E0C">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 xml:space="preserve">By applying the </w:t>
      </w:r>
      <w:r w:rsidR="00945433">
        <w:rPr>
          <w:rFonts w:ascii="Times New Roman" w:hAnsi="Times New Roman"/>
          <w:noProof/>
          <w:sz w:val="24"/>
        </w:rPr>
        <w:t xml:space="preserve">aforesaid </w:t>
      </w:r>
      <w:r w:rsidRPr="008704BD">
        <w:rPr>
          <w:rFonts w:ascii="Times New Roman" w:hAnsi="Times New Roman"/>
          <w:noProof/>
          <w:sz w:val="24"/>
        </w:rPr>
        <w:t xml:space="preserve">share (i.e. 25%) to the overall number of CASPs, we approximate that there are </w:t>
      </w:r>
      <w:r w:rsidR="00945433">
        <w:rPr>
          <w:rFonts w:ascii="Times New Roman" w:hAnsi="Times New Roman"/>
          <w:b/>
          <w:noProof/>
          <w:sz w:val="24"/>
        </w:rPr>
        <w:t>168</w:t>
      </w:r>
      <w:r w:rsidRPr="008704BD">
        <w:rPr>
          <w:rFonts w:ascii="Times New Roman" w:hAnsi="Times New Roman"/>
          <w:b/>
          <w:noProof/>
          <w:sz w:val="24"/>
        </w:rPr>
        <w:t xml:space="preserve"> CASPs </w:t>
      </w:r>
      <w:r w:rsidR="5ED1B748" w:rsidRPr="008704BD">
        <w:rPr>
          <w:rFonts w:ascii="Times New Roman" w:hAnsi="Times New Roman"/>
          <w:b/>
          <w:noProof/>
          <w:sz w:val="24"/>
        </w:rPr>
        <w:t>with EU users</w:t>
      </w:r>
      <w:r w:rsidR="00945433">
        <w:rPr>
          <w:rFonts w:ascii="Times New Roman" w:hAnsi="Times New Roman"/>
          <w:noProof/>
          <w:sz w:val="24"/>
        </w:rPr>
        <w:t xml:space="preserve">. </w:t>
      </w:r>
      <w:r w:rsidRPr="008704BD">
        <w:rPr>
          <w:rFonts w:ascii="Times New Roman" w:hAnsi="Times New Roman"/>
          <w:noProof/>
          <w:sz w:val="24"/>
        </w:rPr>
        <w:t xml:space="preserve">This assumption is </w:t>
      </w:r>
      <w:r w:rsidR="00945433">
        <w:rPr>
          <w:rFonts w:ascii="Times New Roman" w:hAnsi="Times New Roman"/>
          <w:noProof/>
          <w:sz w:val="24"/>
        </w:rPr>
        <w:t xml:space="preserve">simplistic and </w:t>
      </w:r>
      <w:r w:rsidRPr="008704BD">
        <w:rPr>
          <w:rFonts w:ascii="Times New Roman" w:hAnsi="Times New Roman"/>
          <w:noProof/>
          <w:sz w:val="24"/>
        </w:rPr>
        <w:t xml:space="preserve">significantly limited as users and intermediaries cannot be </w:t>
      </w:r>
      <w:r w:rsidR="00945433">
        <w:rPr>
          <w:rFonts w:ascii="Times New Roman" w:hAnsi="Times New Roman"/>
          <w:noProof/>
          <w:sz w:val="24"/>
        </w:rPr>
        <w:t>equaled, but it gives an indication on how many CASPs operate in the EU</w:t>
      </w:r>
      <w:r w:rsidR="00091B72">
        <w:rPr>
          <w:rFonts w:ascii="Times New Roman" w:hAnsi="Times New Roman"/>
          <w:noProof/>
          <w:sz w:val="24"/>
        </w:rPr>
        <w:t xml:space="preserve"> (the real number might be higher)</w:t>
      </w:r>
      <w:r w:rsidR="63A4B4FA" w:rsidRPr="008704BD">
        <w:rPr>
          <w:rFonts w:ascii="Times New Roman" w:hAnsi="Times New Roman"/>
          <w:noProof/>
          <w:sz w:val="24"/>
        </w:rPr>
        <w:t>.</w:t>
      </w:r>
      <w:r w:rsidRPr="008704BD">
        <w:rPr>
          <w:rFonts w:ascii="Times New Roman" w:hAnsi="Times New Roman"/>
          <w:noProof/>
          <w:sz w:val="24"/>
        </w:rPr>
        <w:t xml:space="preserve"> </w:t>
      </w:r>
      <w:r w:rsidR="63A4B4FA" w:rsidRPr="008704BD">
        <w:rPr>
          <w:rFonts w:ascii="Times New Roman" w:hAnsi="Times New Roman"/>
          <w:noProof/>
          <w:sz w:val="24"/>
        </w:rPr>
        <w:t>A</w:t>
      </w:r>
      <w:r w:rsidRPr="008704BD">
        <w:rPr>
          <w:rFonts w:ascii="Times New Roman" w:hAnsi="Times New Roman"/>
          <w:noProof/>
          <w:sz w:val="24"/>
        </w:rPr>
        <w:t>ny conclusion stemming from it should therefore be interpreted with caution.</w:t>
      </w:r>
    </w:p>
    <w:p w14:paraId="5A156B8F" w14:textId="77777777" w:rsidR="00EE2327" w:rsidRPr="008704BD" w:rsidRDefault="6ADB9E0C" w:rsidP="00EE2327">
      <w:pPr>
        <w:pStyle w:val="ListParagraph"/>
        <w:numPr>
          <w:ilvl w:val="0"/>
          <w:numId w:val="78"/>
        </w:numPr>
        <w:spacing w:after="200" w:line="276" w:lineRule="auto"/>
        <w:jc w:val="both"/>
        <w:rPr>
          <w:rFonts w:ascii="Times New Roman" w:hAnsi="Times New Roman"/>
          <w:noProof/>
          <w:sz w:val="24"/>
        </w:rPr>
      </w:pPr>
      <w:r w:rsidRPr="008704BD">
        <w:rPr>
          <w:rFonts w:ascii="Times New Roman" w:hAnsi="Times New Roman"/>
          <w:noProof/>
          <w:sz w:val="24"/>
        </w:rPr>
        <w:t>In order to estimate the benefits of introducing a compulsory reporting and exchange of information on crypto-assets, we rely on the findings from a study</w:t>
      </w:r>
      <w:r w:rsidR="63A4B4FA" w:rsidRPr="008704BD">
        <w:rPr>
          <w:rFonts w:ascii="Times New Roman" w:hAnsi="Times New Roman"/>
          <w:noProof/>
          <w:sz w:val="24"/>
        </w:rPr>
        <w:t xml:space="preserve"> by Thiemann (2021)</w:t>
      </w:r>
      <w:r w:rsidRPr="008704BD">
        <w:rPr>
          <w:rFonts w:ascii="Times New Roman" w:hAnsi="Times New Roman"/>
          <w:noProof/>
          <w:sz w:val="24"/>
        </w:rPr>
        <w:t xml:space="preserve"> on realised capital gains</w:t>
      </w:r>
      <w:r w:rsidR="00EE2327" w:rsidRPr="008704BD">
        <w:rPr>
          <w:rStyle w:val="FootnoteReference"/>
          <w:rFonts w:ascii="Times New Roman" w:hAnsi="Times New Roman"/>
          <w:noProof/>
          <w:sz w:val="24"/>
        </w:rPr>
        <w:footnoteReference w:id="55"/>
      </w:r>
      <w:r w:rsidRPr="008704BD">
        <w:rPr>
          <w:rFonts w:ascii="Times New Roman" w:hAnsi="Times New Roman"/>
          <w:noProof/>
          <w:sz w:val="24"/>
          <w:vertAlign w:val="superscript"/>
        </w:rPr>
        <w:t>,</w:t>
      </w:r>
      <w:r w:rsidR="00EE2327" w:rsidRPr="008704BD">
        <w:rPr>
          <w:rStyle w:val="FootnoteReference"/>
          <w:rFonts w:ascii="Times New Roman" w:hAnsi="Times New Roman"/>
          <w:noProof/>
          <w:sz w:val="24"/>
        </w:rPr>
        <w:footnoteReference w:id="56"/>
      </w:r>
      <w:r w:rsidRPr="008704BD">
        <w:rPr>
          <w:rFonts w:ascii="Times New Roman" w:hAnsi="Times New Roman"/>
          <w:noProof/>
          <w:sz w:val="24"/>
        </w:rPr>
        <w:t xml:space="preserve"> in the EU Member States. Realised capital gains accrue when the selling price of an asset exceeds the price of their initial purchase and the asset is sold.</w:t>
      </w:r>
      <w:r w:rsidR="00EE2327" w:rsidRPr="008704BD">
        <w:rPr>
          <w:rStyle w:val="FootnoteReference"/>
          <w:rFonts w:ascii="Times New Roman" w:hAnsi="Times New Roman"/>
          <w:noProof/>
          <w:sz w:val="24"/>
        </w:rPr>
        <w:footnoteReference w:id="57"/>
      </w:r>
      <w:r w:rsidRPr="008704BD">
        <w:rPr>
          <w:rFonts w:ascii="Times New Roman" w:hAnsi="Times New Roman"/>
          <w:noProof/>
          <w:sz w:val="24"/>
        </w:rPr>
        <w:t xml:space="preserve"> The</w:t>
      </w:r>
      <w:r w:rsidR="00EE2327" w:rsidRPr="008704BD" w:rsidDel="6ADB9E0C">
        <w:rPr>
          <w:rFonts w:ascii="Times New Roman" w:hAnsi="Times New Roman"/>
          <w:noProof/>
          <w:sz w:val="24"/>
        </w:rPr>
        <w:t xml:space="preserve"> </w:t>
      </w:r>
      <w:r w:rsidR="63A4B4FA" w:rsidRPr="008704BD">
        <w:rPr>
          <w:rFonts w:ascii="Times New Roman" w:hAnsi="Times New Roman"/>
          <w:noProof/>
          <w:sz w:val="24"/>
        </w:rPr>
        <w:t xml:space="preserve">study </w:t>
      </w:r>
      <w:r w:rsidRPr="008704BD">
        <w:rPr>
          <w:rFonts w:ascii="Times New Roman" w:hAnsi="Times New Roman"/>
          <w:noProof/>
          <w:sz w:val="24"/>
        </w:rPr>
        <w:t xml:space="preserve">based </w:t>
      </w:r>
      <w:r w:rsidR="63A4B4FA" w:rsidRPr="008704BD">
        <w:rPr>
          <w:rFonts w:ascii="Times New Roman" w:hAnsi="Times New Roman"/>
          <w:noProof/>
          <w:sz w:val="24"/>
        </w:rPr>
        <w:t xml:space="preserve">its </w:t>
      </w:r>
      <w:r w:rsidRPr="008704BD">
        <w:rPr>
          <w:rFonts w:ascii="Times New Roman" w:hAnsi="Times New Roman"/>
          <w:noProof/>
          <w:sz w:val="24"/>
        </w:rPr>
        <w:t>findings on Bitcoin data only that had been received from Chainalysis (a blockchain data platform).</w:t>
      </w:r>
    </w:p>
    <w:p w14:paraId="02CC400B" w14:textId="77777777" w:rsidR="00EE2327" w:rsidRPr="008704BD" w:rsidRDefault="6ADB9E0C">
      <w:pPr>
        <w:pStyle w:val="ListParagraph"/>
        <w:numPr>
          <w:ilvl w:val="0"/>
          <w:numId w:val="78"/>
        </w:numPr>
        <w:spacing w:after="200" w:line="276" w:lineRule="auto"/>
        <w:jc w:val="both"/>
        <w:rPr>
          <w:rFonts w:ascii="Times New Roman" w:hAnsi="Times New Roman"/>
          <w:noProof/>
          <w:sz w:val="24"/>
        </w:rPr>
      </w:pPr>
      <w:r w:rsidRPr="008704BD">
        <w:rPr>
          <w:rFonts w:ascii="Times New Roman" w:hAnsi="Times New Roman"/>
          <w:noProof/>
          <w:sz w:val="24"/>
        </w:rPr>
        <w:t>In 2020, EU citizens accrued EUR 3.6 billion of total realised capital gains according to the analysis</w:t>
      </w:r>
      <w:r w:rsidR="63A4B4FA" w:rsidRPr="008704BD">
        <w:rPr>
          <w:rFonts w:ascii="Times New Roman" w:hAnsi="Times New Roman"/>
          <w:noProof/>
          <w:sz w:val="24"/>
        </w:rPr>
        <w:t xml:space="preserve"> by Thiemann (2021)</w:t>
      </w:r>
      <w:r w:rsidRPr="008704BD">
        <w:rPr>
          <w:rFonts w:ascii="Times New Roman" w:hAnsi="Times New Roman"/>
          <w:noProof/>
          <w:sz w:val="24"/>
        </w:rPr>
        <w:t xml:space="preserve">. This amount is unevenly distributed amongst the EU countries and unevenly taxed (if at all). </w:t>
      </w:r>
      <w:r w:rsidR="63A4B4FA" w:rsidRPr="008704BD">
        <w:rPr>
          <w:rFonts w:ascii="Times New Roman" w:hAnsi="Times New Roman"/>
          <w:noProof/>
          <w:sz w:val="24"/>
        </w:rPr>
        <w:t xml:space="preserve">In the study, </w:t>
      </w:r>
      <w:r w:rsidRPr="008704BD">
        <w:rPr>
          <w:rFonts w:ascii="Times New Roman" w:hAnsi="Times New Roman"/>
          <w:noProof/>
          <w:sz w:val="24"/>
        </w:rPr>
        <w:t xml:space="preserve">a uniform EU tax rate of 25% </w:t>
      </w:r>
      <w:r w:rsidR="63A4B4FA" w:rsidRPr="008704BD">
        <w:rPr>
          <w:rFonts w:ascii="Times New Roman" w:hAnsi="Times New Roman"/>
          <w:noProof/>
          <w:sz w:val="24"/>
        </w:rPr>
        <w:t xml:space="preserve">is therefore applied, leading to an </w:t>
      </w:r>
      <w:r w:rsidRPr="008704BD">
        <w:rPr>
          <w:rFonts w:ascii="Times New Roman" w:hAnsi="Times New Roman"/>
          <w:noProof/>
          <w:sz w:val="24"/>
        </w:rPr>
        <w:t>estimated EUR 0.9 billion of tax revenues from Bitcoin.</w:t>
      </w:r>
    </w:p>
    <w:p w14:paraId="70C19978" w14:textId="77777777" w:rsidR="006E5F59" w:rsidRPr="008704BD" w:rsidRDefault="2F519E63" w:rsidP="006E5F59">
      <w:pPr>
        <w:pStyle w:val="ListParagraph"/>
        <w:numPr>
          <w:ilvl w:val="0"/>
          <w:numId w:val="78"/>
        </w:numPr>
        <w:spacing w:after="200" w:line="276" w:lineRule="auto"/>
        <w:jc w:val="both"/>
        <w:rPr>
          <w:rFonts w:ascii="Times New Roman" w:hAnsi="Times New Roman"/>
          <w:noProof/>
          <w:sz w:val="24"/>
        </w:rPr>
      </w:pPr>
      <w:r w:rsidRPr="008704BD">
        <w:rPr>
          <w:rFonts w:ascii="Times New Roman" w:hAnsi="Times New Roman"/>
          <w:noProof/>
          <w:sz w:val="24"/>
        </w:rPr>
        <w:t>In order to estimate tax revenues from all crypto-assets</w:t>
      </w:r>
      <w:r w:rsidR="5EBDEE58" w:rsidRPr="008704BD">
        <w:rPr>
          <w:rFonts w:ascii="Times New Roman" w:hAnsi="Times New Roman"/>
          <w:noProof/>
          <w:sz w:val="24"/>
        </w:rPr>
        <w:t xml:space="preserve"> </w:t>
      </w:r>
      <w:r w:rsidR="00463998">
        <w:rPr>
          <w:rFonts w:ascii="Times New Roman" w:hAnsi="Times New Roman"/>
          <w:noProof/>
          <w:sz w:val="24"/>
        </w:rPr>
        <w:t xml:space="preserve">(all options) </w:t>
      </w:r>
      <w:r w:rsidRPr="008704BD">
        <w:rPr>
          <w:rFonts w:ascii="Times New Roman" w:hAnsi="Times New Roman"/>
          <w:noProof/>
          <w:sz w:val="24"/>
        </w:rPr>
        <w:t>we assume the following:</w:t>
      </w:r>
    </w:p>
    <w:p w14:paraId="4E2988A1" w14:textId="77777777" w:rsidR="006E5F59" w:rsidRPr="008704BD" w:rsidRDefault="2F519E63" w:rsidP="006E5F59">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 xml:space="preserve">We approximate Bitcoin </w:t>
      </w:r>
      <w:r w:rsidR="63A4B4FA" w:rsidRPr="008704BD">
        <w:rPr>
          <w:rFonts w:ascii="Times New Roman" w:hAnsi="Times New Roman"/>
          <w:noProof/>
          <w:sz w:val="24"/>
        </w:rPr>
        <w:t>market</w:t>
      </w:r>
      <w:r w:rsidR="006E5F59" w:rsidRPr="008704BD" w:rsidDel="2F519E63">
        <w:rPr>
          <w:rFonts w:ascii="Times New Roman" w:hAnsi="Times New Roman"/>
          <w:noProof/>
          <w:sz w:val="24"/>
        </w:rPr>
        <w:t xml:space="preserve"> </w:t>
      </w:r>
      <w:r w:rsidR="63A4B4FA" w:rsidRPr="008704BD">
        <w:rPr>
          <w:rFonts w:ascii="Times New Roman" w:hAnsi="Times New Roman"/>
          <w:noProof/>
          <w:sz w:val="24"/>
        </w:rPr>
        <w:t xml:space="preserve">share </w:t>
      </w:r>
      <w:r w:rsidRPr="008704BD">
        <w:rPr>
          <w:rFonts w:ascii="Times New Roman" w:hAnsi="Times New Roman"/>
          <w:noProof/>
          <w:sz w:val="24"/>
        </w:rPr>
        <w:t xml:space="preserve">to 50% (47% dominance according to Coin Market Cap as </w:t>
      </w:r>
      <w:r w:rsidR="2F4392C3" w:rsidRPr="008704BD">
        <w:rPr>
          <w:rFonts w:ascii="Times New Roman" w:hAnsi="Times New Roman"/>
          <w:noProof/>
          <w:sz w:val="24"/>
        </w:rPr>
        <w:t xml:space="preserve">of </w:t>
      </w:r>
      <w:r w:rsidRPr="008704BD">
        <w:rPr>
          <w:rFonts w:ascii="Times New Roman" w:hAnsi="Times New Roman"/>
          <w:noProof/>
          <w:sz w:val="24"/>
        </w:rPr>
        <w:t xml:space="preserve">27/6/2021). </w:t>
      </w:r>
    </w:p>
    <w:p w14:paraId="2A6B78F5" w14:textId="77777777" w:rsidR="006E5F59" w:rsidRPr="008704BD" w:rsidRDefault="2F519E63" w:rsidP="006E5F59">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The other 50% is relative to the remaining cryptocurrencies on the market (almost 11 000 cryptocurrencies in total according to Coin Market Cap).</w:t>
      </w:r>
    </w:p>
    <w:p w14:paraId="780C1B21" w14:textId="77777777" w:rsidR="00EE2327" w:rsidRPr="008704BD" w:rsidRDefault="2F4392C3">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In order to estimate revenues from all crypto-assets</w:t>
      </w:r>
      <w:r w:rsidR="000C2391">
        <w:rPr>
          <w:rFonts w:ascii="Times New Roman" w:hAnsi="Times New Roman"/>
          <w:noProof/>
          <w:sz w:val="24"/>
        </w:rPr>
        <w:t xml:space="preserve">, </w:t>
      </w:r>
      <w:r w:rsidRPr="008704BD">
        <w:rPr>
          <w:rFonts w:ascii="Times New Roman" w:hAnsi="Times New Roman"/>
          <w:noProof/>
          <w:sz w:val="24"/>
        </w:rPr>
        <w:t xml:space="preserve">we </w:t>
      </w:r>
      <w:r w:rsidR="2F519E63" w:rsidRPr="008704BD">
        <w:rPr>
          <w:rFonts w:ascii="Times New Roman" w:hAnsi="Times New Roman"/>
          <w:noProof/>
          <w:sz w:val="24"/>
        </w:rPr>
        <w:t xml:space="preserve">double the tax revenues previously projected by the </w:t>
      </w:r>
      <w:r w:rsidR="63A4B4FA" w:rsidRPr="008704BD">
        <w:rPr>
          <w:rFonts w:ascii="Times New Roman" w:hAnsi="Times New Roman"/>
          <w:noProof/>
          <w:sz w:val="24"/>
        </w:rPr>
        <w:t xml:space="preserve">above-mentioned study </w:t>
      </w:r>
      <w:r w:rsidR="2F519E63" w:rsidRPr="008704BD">
        <w:rPr>
          <w:rFonts w:ascii="Times New Roman" w:hAnsi="Times New Roman"/>
          <w:noProof/>
          <w:sz w:val="24"/>
        </w:rPr>
        <w:t xml:space="preserve">and estimate a new figure of </w:t>
      </w:r>
      <w:r w:rsidR="2F519E63" w:rsidRPr="003449EB">
        <w:rPr>
          <w:rFonts w:ascii="Times New Roman" w:hAnsi="Times New Roman"/>
          <w:noProof/>
          <w:sz w:val="24"/>
        </w:rPr>
        <w:t>EUR 1.8 billion</w:t>
      </w:r>
      <w:r w:rsidR="2F519E63" w:rsidRPr="008704BD">
        <w:rPr>
          <w:rFonts w:ascii="Times New Roman" w:hAnsi="Times New Roman"/>
          <w:b/>
          <w:noProof/>
          <w:sz w:val="24"/>
        </w:rPr>
        <w:t xml:space="preserve"> </w:t>
      </w:r>
      <w:r w:rsidR="2F519E63" w:rsidRPr="008704BD">
        <w:rPr>
          <w:rFonts w:ascii="Times New Roman" w:hAnsi="Times New Roman"/>
          <w:noProof/>
          <w:sz w:val="24"/>
        </w:rPr>
        <w:t xml:space="preserve">(EUR 0.9 * 2). Please note that this is a simplifying assumption since cryptocurrencies differ in value and consequently in possible realised capital gains. For a more precise estimate one should dispose of reliable data on cryptocurrencies other than Bitcoin, and employ sophisticated empirical methods. Since we do not </w:t>
      </w:r>
      <w:r w:rsidR="63A4B4FA" w:rsidRPr="008704BD">
        <w:rPr>
          <w:rFonts w:ascii="Times New Roman" w:hAnsi="Times New Roman"/>
          <w:noProof/>
          <w:sz w:val="24"/>
        </w:rPr>
        <w:t>have</w:t>
      </w:r>
      <w:r w:rsidR="2F519E63" w:rsidRPr="008704BD">
        <w:rPr>
          <w:rFonts w:ascii="Times New Roman" w:hAnsi="Times New Roman"/>
          <w:noProof/>
          <w:sz w:val="24"/>
        </w:rPr>
        <w:t xml:space="preserve"> such data, caution in interpreting the results is advised.</w:t>
      </w:r>
    </w:p>
    <w:p w14:paraId="0379AFD0" w14:textId="77777777" w:rsidR="006E5F59" w:rsidRPr="008704BD" w:rsidRDefault="00463998" w:rsidP="003449EB">
      <w:pPr>
        <w:pStyle w:val="ListParagraph"/>
        <w:numPr>
          <w:ilvl w:val="1"/>
          <w:numId w:val="78"/>
        </w:numPr>
        <w:spacing w:after="200" w:line="276" w:lineRule="auto"/>
        <w:jc w:val="both"/>
        <w:rPr>
          <w:rFonts w:ascii="Times New Roman" w:hAnsi="Times New Roman"/>
          <w:noProof/>
          <w:sz w:val="24"/>
        </w:rPr>
      </w:pPr>
      <w:r>
        <w:rPr>
          <w:rFonts w:ascii="Times New Roman" w:hAnsi="Times New Roman"/>
          <w:noProof/>
          <w:sz w:val="24"/>
        </w:rPr>
        <w:t>From newly estimated tax revenues, w</w:t>
      </w:r>
      <w:r w:rsidR="2F519E63" w:rsidRPr="008704BD">
        <w:rPr>
          <w:rFonts w:ascii="Times New Roman" w:hAnsi="Times New Roman"/>
          <w:noProof/>
          <w:sz w:val="24"/>
        </w:rPr>
        <w:t xml:space="preserve">e </w:t>
      </w:r>
      <w:r>
        <w:rPr>
          <w:rFonts w:ascii="Times New Roman" w:hAnsi="Times New Roman"/>
          <w:noProof/>
          <w:sz w:val="24"/>
        </w:rPr>
        <w:t xml:space="preserve">further </w:t>
      </w:r>
      <w:r w:rsidR="2F519E63" w:rsidRPr="008704BD">
        <w:rPr>
          <w:rFonts w:ascii="Times New Roman" w:hAnsi="Times New Roman"/>
          <w:noProof/>
          <w:sz w:val="24"/>
        </w:rPr>
        <w:t xml:space="preserve">exclude the transactions under </w:t>
      </w:r>
      <w:r w:rsidR="3DB8E395" w:rsidRPr="008704BD">
        <w:rPr>
          <w:rFonts w:ascii="Times New Roman" w:hAnsi="Times New Roman"/>
          <w:noProof/>
          <w:sz w:val="24"/>
        </w:rPr>
        <w:t xml:space="preserve">the </w:t>
      </w:r>
      <w:r w:rsidR="2F519E63" w:rsidRPr="008704BD">
        <w:rPr>
          <w:rFonts w:ascii="Times New Roman" w:hAnsi="Times New Roman"/>
          <w:noProof/>
          <w:sz w:val="24"/>
        </w:rPr>
        <w:t>following crypto-asset categories</w:t>
      </w:r>
      <w:r w:rsidR="00333AB7">
        <w:rPr>
          <w:rFonts w:ascii="Times New Roman" w:hAnsi="Times New Roman"/>
          <w:noProof/>
          <w:sz w:val="24"/>
        </w:rPr>
        <w:t xml:space="preserve"> (i.e. discarded options)</w:t>
      </w:r>
      <w:r w:rsidR="2F519E63" w:rsidRPr="008704BD">
        <w:rPr>
          <w:rFonts w:ascii="Times New Roman" w:hAnsi="Times New Roman"/>
          <w:noProof/>
          <w:sz w:val="24"/>
        </w:rPr>
        <w:t xml:space="preserve">: non-marketable crypto-assets and utility tokens. Determining their respective shares in the total crypto-asset market, however, is challenging due to lack of official statistics. Bitcoin remains the dominant cryptocurrency representing almost half of the total market according to Coin Market Cap. The market share of the remaining cryptocurrencies is relatively small. To illustrate this better, already the sixth most dominant crypto-asset (XRP) comes with a share of less than 3% in the total cryptocurrency spectrum. As we are unable to sum up different cryptocurrencies per asset type and determine their corresponding shares in the total market, we artificially assign a </w:t>
      </w:r>
      <w:r w:rsidR="2F519E63" w:rsidRPr="008704BD">
        <w:rPr>
          <w:rFonts w:ascii="Times New Roman" w:hAnsi="Times New Roman"/>
          <w:b/>
          <w:noProof/>
          <w:sz w:val="24"/>
        </w:rPr>
        <w:t xml:space="preserve">3% share per reported asset category (i.e. 6% in total) to be excluded in </w:t>
      </w:r>
      <w:r w:rsidR="6849D7A3" w:rsidRPr="008704BD">
        <w:rPr>
          <w:rFonts w:ascii="Times New Roman" w:hAnsi="Times New Roman"/>
          <w:b/>
          <w:noProof/>
          <w:sz w:val="24"/>
        </w:rPr>
        <w:t>these options</w:t>
      </w:r>
      <w:r w:rsidR="2F519E63" w:rsidRPr="008704BD">
        <w:rPr>
          <w:rFonts w:ascii="Times New Roman" w:hAnsi="Times New Roman"/>
          <w:noProof/>
          <w:sz w:val="24"/>
        </w:rPr>
        <w:t xml:space="preserve">. This assumption is imperfect and might also be inflated. Any estimates deriving from it should be therefore be cautiously interpreted. </w:t>
      </w:r>
    </w:p>
    <w:p w14:paraId="6E5A648C" w14:textId="77777777" w:rsidR="006E5F59" w:rsidRPr="008704BD" w:rsidRDefault="2F519E63" w:rsidP="003449EB">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 xml:space="preserve">By reducing the benefits by 3% per asset category, this gives roughly </w:t>
      </w:r>
      <w:r w:rsidRPr="008704BD">
        <w:rPr>
          <w:rFonts w:ascii="Times New Roman" w:hAnsi="Times New Roman"/>
          <w:b/>
          <w:noProof/>
          <w:sz w:val="24"/>
        </w:rPr>
        <w:t xml:space="preserve">EUR 1.7 </w:t>
      </w:r>
      <w:r w:rsidR="00AD52D6">
        <w:rPr>
          <w:rFonts w:ascii="Times New Roman" w:hAnsi="Times New Roman"/>
          <w:b/>
          <w:noProof/>
          <w:sz w:val="24"/>
        </w:rPr>
        <w:t>b</w:t>
      </w:r>
      <w:r w:rsidRPr="008704BD">
        <w:rPr>
          <w:rFonts w:ascii="Times New Roman" w:hAnsi="Times New Roman"/>
          <w:b/>
          <w:noProof/>
          <w:sz w:val="24"/>
        </w:rPr>
        <w:t>illion</w:t>
      </w:r>
      <w:r w:rsidRPr="008704BD">
        <w:rPr>
          <w:rFonts w:ascii="Times New Roman" w:hAnsi="Times New Roman"/>
          <w:noProof/>
          <w:sz w:val="24"/>
        </w:rPr>
        <w:t xml:space="preserve"> (EUR 1.8 - EUR 1.8 * 0.06) in tax revenues.</w:t>
      </w:r>
    </w:p>
    <w:p w14:paraId="1CD05296" w14:textId="77777777" w:rsidR="002E7BC2" w:rsidRDefault="2F519E63" w:rsidP="003449EB">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 xml:space="preserve">As gains from crypto-assets are subject to high volatility, this consequently affects collected tax revenues from such gains. We have therefore performed a sensitivity analysis </w:t>
      </w:r>
      <w:r w:rsidR="002E7BC2">
        <w:rPr>
          <w:rFonts w:ascii="Times New Roman" w:hAnsi="Times New Roman"/>
          <w:noProof/>
          <w:sz w:val="24"/>
        </w:rPr>
        <w:t xml:space="preserve">on the applied </w:t>
      </w:r>
      <w:r w:rsidR="000C2391">
        <w:rPr>
          <w:rFonts w:ascii="Times New Roman" w:hAnsi="Times New Roman"/>
          <w:noProof/>
          <w:sz w:val="24"/>
        </w:rPr>
        <w:t xml:space="preserve">25% </w:t>
      </w:r>
      <w:r w:rsidR="002E7BC2">
        <w:rPr>
          <w:rFonts w:ascii="Times New Roman" w:hAnsi="Times New Roman"/>
          <w:noProof/>
          <w:sz w:val="24"/>
        </w:rPr>
        <w:t xml:space="preserve">uniform tax rate (i.e. adding 15% and 35% tax rates to the analysis). This increase/decrease of 10 percentage points was motivated </w:t>
      </w:r>
      <w:r w:rsidR="001E71A2">
        <w:rPr>
          <w:rFonts w:ascii="Times New Roman" w:hAnsi="Times New Roman"/>
          <w:noProof/>
          <w:sz w:val="24"/>
        </w:rPr>
        <w:t xml:space="preserve">by the current use of tax rates on capital gains in the Member States </w:t>
      </w:r>
      <w:r w:rsidR="000C2391">
        <w:rPr>
          <w:rFonts w:ascii="Times New Roman" w:hAnsi="Times New Roman"/>
          <w:noProof/>
          <w:sz w:val="24"/>
        </w:rPr>
        <w:t>(see the table below). A</w:t>
      </w:r>
      <w:r w:rsidR="001E71A2">
        <w:rPr>
          <w:rFonts w:ascii="Times New Roman" w:hAnsi="Times New Roman"/>
          <w:noProof/>
          <w:sz w:val="24"/>
        </w:rPr>
        <w:t>s the majority of countries legislates tax rates above 15%</w:t>
      </w:r>
      <w:r w:rsidR="000C2391">
        <w:rPr>
          <w:rFonts w:ascii="Times New Roman" w:hAnsi="Times New Roman"/>
          <w:noProof/>
          <w:sz w:val="24"/>
        </w:rPr>
        <w:t xml:space="preserve">, this has been used as the lower bound. A 35% tax rate has been used as the upper bound to maintain the same </w:t>
      </w:r>
      <w:r w:rsidR="00240ECA">
        <w:rPr>
          <w:rFonts w:ascii="Times New Roman" w:hAnsi="Times New Roman"/>
          <w:noProof/>
          <w:sz w:val="24"/>
        </w:rPr>
        <w:t>sensitivity interval</w:t>
      </w:r>
      <w:r w:rsidR="000C2391">
        <w:rPr>
          <w:rFonts w:ascii="Times New Roman" w:hAnsi="Times New Roman"/>
          <w:noProof/>
          <w:sz w:val="24"/>
        </w:rPr>
        <w:t xml:space="preserve"> from the central rate and to signal that no capital gains are being taxed above this rate.</w:t>
      </w:r>
    </w:p>
    <w:p w14:paraId="7EFD048D" w14:textId="77777777" w:rsidR="001E71A2" w:rsidRPr="0069696D" w:rsidRDefault="001E71A2" w:rsidP="003449EB">
      <w:pPr>
        <w:pStyle w:val="Caption"/>
        <w:keepNext/>
        <w:ind w:left="1080"/>
        <w:rPr>
          <w:noProof/>
          <w:sz w:val="24"/>
          <w:szCs w:val="24"/>
        </w:rPr>
      </w:pPr>
      <w:r w:rsidRPr="0069696D">
        <w:rPr>
          <w:noProof/>
          <w:sz w:val="24"/>
          <w:szCs w:val="24"/>
        </w:rPr>
        <w:t xml:space="preserve">Table </w:t>
      </w:r>
      <w:r w:rsidR="003449EB" w:rsidRPr="0069696D">
        <w:rPr>
          <w:noProof/>
          <w:sz w:val="24"/>
          <w:szCs w:val="24"/>
        </w:rPr>
        <w:t>7</w:t>
      </w:r>
      <w:r w:rsidRPr="0069696D">
        <w:rPr>
          <w:noProof/>
          <w:sz w:val="24"/>
          <w:szCs w:val="24"/>
        </w:rPr>
        <w:t xml:space="preserve"> EU country distribution based on legislated tax rates on capital gains</w:t>
      </w:r>
    </w:p>
    <w:tbl>
      <w:tblPr>
        <w:tblW w:w="817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960"/>
        <w:gridCol w:w="960"/>
        <w:gridCol w:w="960"/>
        <w:gridCol w:w="960"/>
        <w:gridCol w:w="960"/>
        <w:gridCol w:w="960"/>
        <w:gridCol w:w="960"/>
      </w:tblGrid>
      <w:tr w:rsidR="001E71A2" w:rsidRPr="001E71A2" w14:paraId="5AE4327C" w14:textId="77777777" w:rsidTr="001E71A2">
        <w:trPr>
          <w:trHeight w:val="300"/>
        </w:trPr>
        <w:tc>
          <w:tcPr>
            <w:tcW w:w="1452" w:type="dxa"/>
            <w:shd w:val="clear" w:color="auto" w:fill="auto"/>
            <w:noWrap/>
            <w:vAlign w:val="center"/>
            <w:hideMark/>
          </w:tcPr>
          <w:p w14:paraId="4BA4A10A" w14:textId="77777777" w:rsidR="001E71A2" w:rsidRPr="003449EB" w:rsidRDefault="001E71A2" w:rsidP="003449EB">
            <w:pPr>
              <w:spacing w:after="0" w:line="240" w:lineRule="auto"/>
              <w:jc w:val="center"/>
              <w:rPr>
                <w:rFonts w:ascii="Times New Roman" w:eastAsia="Times New Roman" w:hAnsi="Times New Roman" w:cs="Times New Roman"/>
                <w:b/>
                <w:noProof/>
                <w:color w:val="000000"/>
                <w:sz w:val="20"/>
                <w:szCs w:val="20"/>
                <w:lang w:val="en-GB" w:eastAsia="en-GB"/>
              </w:rPr>
            </w:pPr>
            <w:r w:rsidRPr="003449EB">
              <w:rPr>
                <w:rFonts w:ascii="Times New Roman" w:eastAsia="Times New Roman" w:hAnsi="Times New Roman" w:cs="Times New Roman"/>
                <w:b/>
                <w:noProof/>
                <w:color w:val="000000"/>
                <w:sz w:val="20"/>
                <w:szCs w:val="20"/>
                <w:lang w:val="en-GB" w:eastAsia="en-GB"/>
              </w:rPr>
              <w:t>Tax rates on capital gains</w:t>
            </w:r>
          </w:p>
        </w:tc>
        <w:tc>
          <w:tcPr>
            <w:tcW w:w="960" w:type="dxa"/>
            <w:shd w:val="clear" w:color="auto" w:fill="auto"/>
            <w:noWrap/>
            <w:vAlign w:val="center"/>
            <w:hideMark/>
          </w:tcPr>
          <w:p w14:paraId="05C2D461"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0-5%</w:t>
            </w:r>
          </w:p>
        </w:tc>
        <w:tc>
          <w:tcPr>
            <w:tcW w:w="960" w:type="dxa"/>
            <w:shd w:val="clear" w:color="auto" w:fill="auto"/>
            <w:noWrap/>
            <w:vAlign w:val="center"/>
            <w:hideMark/>
          </w:tcPr>
          <w:p w14:paraId="1E5A3541"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6-10%</w:t>
            </w:r>
          </w:p>
        </w:tc>
        <w:tc>
          <w:tcPr>
            <w:tcW w:w="960" w:type="dxa"/>
            <w:shd w:val="clear" w:color="auto" w:fill="auto"/>
            <w:noWrap/>
            <w:vAlign w:val="center"/>
            <w:hideMark/>
          </w:tcPr>
          <w:p w14:paraId="05B9B1F1"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11-15%</w:t>
            </w:r>
          </w:p>
        </w:tc>
        <w:tc>
          <w:tcPr>
            <w:tcW w:w="960" w:type="dxa"/>
            <w:shd w:val="clear" w:color="auto" w:fill="auto"/>
            <w:noWrap/>
            <w:vAlign w:val="center"/>
            <w:hideMark/>
          </w:tcPr>
          <w:p w14:paraId="3FEC2E49"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16-20%</w:t>
            </w:r>
          </w:p>
        </w:tc>
        <w:tc>
          <w:tcPr>
            <w:tcW w:w="960" w:type="dxa"/>
            <w:shd w:val="clear" w:color="auto" w:fill="auto"/>
            <w:noWrap/>
            <w:vAlign w:val="center"/>
            <w:hideMark/>
          </w:tcPr>
          <w:p w14:paraId="62B88826"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21-25%</w:t>
            </w:r>
          </w:p>
        </w:tc>
        <w:tc>
          <w:tcPr>
            <w:tcW w:w="960" w:type="dxa"/>
            <w:shd w:val="clear" w:color="auto" w:fill="auto"/>
            <w:noWrap/>
            <w:vAlign w:val="center"/>
            <w:hideMark/>
          </w:tcPr>
          <w:p w14:paraId="5C4C0DA4"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26-30%</w:t>
            </w:r>
          </w:p>
        </w:tc>
        <w:tc>
          <w:tcPr>
            <w:tcW w:w="960" w:type="dxa"/>
            <w:shd w:val="clear" w:color="auto" w:fill="auto"/>
            <w:noWrap/>
            <w:vAlign w:val="center"/>
            <w:hideMark/>
          </w:tcPr>
          <w:p w14:paraId="6CB445BC"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31-35%</w:t>
            </w:r>
          </w:p>
        </w:tc>
      </w:tr>
      <w:tr w:rsidR="001E71A2" w:rsidRPr="001E71A2" w14:paraId="378772C0" w14:textId="77777777" w:rsidTr="001E71A2">
        <w:trPr>
          <w:trHeight w:val="300"/>
        </w:trPr>
        <w:tc>
          <w:tcPr>
            <w:tcW w:w="1452" w:type="dxa"/>
            <w:shd w:val="clear" w:color="auto" w:fill="auto"/>
            <w:noWrap/>
            <w:vAlign w:val="center"/>
            <w:hideMark/>
          </w:tcPr>
          <w:p w14:paraId="7F719C2E" w14:textId="77777777" w:rsidR="001E71A2" w:rsidRPr="003449EB" w:rsidRDefault="001E71A2" w:rsidP="003449EB">
            <w:pPr>
              <w:spacing w:after="0" w:line="240" w:lineRule="auto"/>
              <w:jc w:val="center"/>
              <w:rPr>
                <w:rFonts w:ascii="Times New Roman" w:eastAsia="Times New Roman" w:hAnsi="Times New Roman" w:cs="Times New Roman"/>
                <w:b/>
                <w:noProof/>
                <w:color w:val="000000"/>
                <w:sz w:val="20"/>
                <w:szCs w:val="20"/>
                <w:lang w:val="en-GB" w:eastAsia="en-GB"/>
              </w:rPr>
            </w:pPr>
            <w:r w:rsidRPr="003449EB">
              <w:rPr>
                <w:rFonts w:ascii="Times New Roman" w:eastAsia="Times New Roman" w:hAnsi="Times New Roman" w:cs="Times New Roman"/>
                <w:b/>
                <w:noProof/>
                <w:color w:val="000000"/>
                <w:sz w:val="20"/>
                <w:szCs w:val="20"/>
                <w:lang w:val="en-GB" w:eastAsia="en-GB"/>
              </w:rPr>
              <w:t>Number of countries</w:t>
            </w:r>
          </w:p>
        </w:tc>
        <w:tc>
          <w:tcPr>
            <w:tcW w:w="960" w:type="dxa"/>
            <w:shd w:val="clear" w:color="auto" w:fill="auto"/>
            <w:noWrap/>
            <w:vAlign w:val="center"/>
            <w:hideMark/>
          </w:tcPr>
          <w:p w14:paraId="44818872"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1</w:t>
            </w:r>
          </w:p>
        </w:tc>
        <w:tc>
          <w:tcPr>
            <w:tcW w:w="960" w:type="dxa"/>
            <w:shd w:val="clear" w:color="auto" w:fill="auto"/>
            <w:noWrap/>
            <w:vAlign w:val="center"/>
            <w:hideMark/>
          </w:tcPr>
          <w:p w14:paraId="385C6172"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2</w:t>
            </w:r>
          </w:p>
        </w:tc>
        <w:tc>
          <w:tcPr>
            <w:tcW w:w="960" w:type="dxa"/>
            <w:shd w:val="clear" w:color="auto" w:fill="auto"/>
            <w:noWrap/>
            <w:vAlign w:val="center"/>
            <w:hideMark/>
          </w:tcPr>
          <w:p w14:paraId="4B1318B2"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1</w:t>
            </w:r>
          </w:p>
        </w:tc>
        <w:tc>
          <w:tcPr>
            <w:tcW w:w="960" w:type="dxa"/>
            <w:shd w:val="clear" w:color="auto" w:fill="auto"/>
            <w:noWrap/>
            <w:vAlign w:val="center"/>
            <w:hideMark/>
          </w:tcPr>
          <w:p w14:paraId="36A74D0A"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8</w:t>
            </w:r>
          </w:p>
        </w:tc>
        <w:tc>
          <w:tcPr>
            <w:tcW w:w="960" w:type="dxa"/>
            <w:shd w:val="clear" w:color="auto" w:fill="auto"/>
            <w:noWrap/>
            <w:vAlign w:val="center"/>
            <w:hideMark/>
          </w:tcPr>
          <w:p w14:paraId="4B435372"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10</w:t>
            </w:r>
          </w:p>
        </w:tc>
        <w:tc>
          <w:tcPr>
            <w:tcW w:w="960" w:type="dxa"/>
            <w:shd w:val="clear" w:color="auto" w:fill="auto"/>
            <w:noWrap/>
            <w:vAlign w:val="center"/>
            <w:hideMark/>
          </w:tcPr>
          <w:p w14:paraId="70E51BF2"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2</w:t>
            </w:r>
          </w:p>
        </w:tc>
        <w:tc>
          <w:tcPr>
            <w:tcW w:w="960" w:type="dxa"/>
            <w:shd w:val="clear" w:color="auto" w:fill="auto"/>
            <w:noWrap/>
            <w:vAlign w:val="center"/>
            <w:hideMark/>
          </w:tcPr>
          <w:p w14:paraId="206E0375" w14:textId="77777777" w:rsidR="001E71A2" w:rsidRPr="003449EB" w:rsidRDefault="001E71A2">
            <w:pPr>
              <w:spacing w:after="0" w:line="240" w:lineRule="auto"/>
              <w:jc w:val="center"/>
              <w:rPr>
                <w:rFonts w:ascii="Times New Roman" w:eastAsia="Times New Roman" w:hAnsi="Times New Roman" w:cs="Times New Roman"/>
                <w:noProof/>
                <w:color w:val="000000"/>
                <w:sz w:val="20"/>
                <w:szCs w:val="20"/>
                <w:lang w:val="en-GB" w:eastAsia="en-GB"/>
              </w:rPr>
            </w:pPr>
            <w:r w:rsidRPr="003449EB">
              <w:rPr>
                <w:rFonts w:ascii="Times New Roman" w:eastAsia="Times New Roman" w:hAnsi="Times New Roman" w:cs="Times New Roman"/>
                <w:noProof/>
                <w:color w:val="000000"/>
                <w:sz w:val="20"/>
                <w:szCs w:val="20"/>
                <w:lang w:val="en-GB" w:eastAsia="en-GB"/>
              </w:rPr>
              <w:t>3</w:t>
            </w:r>
          </w:p>
        </w:tc>
      </w:tr>
    </w:tbl>
    <w:p w14:paraId="624A0205" w14:textId="77777777" w:rsidR="001E71A2" w:rsidRDefault="008266C9" w:rsidP="003449EB">
      <w:pPr>
        <w:pStyle w:val="ListParagraph"/>
        <w:spacing w:after="200" w:line="276" w:lineRule="auto"/>
        <w:ind w:left="1080"/>
        <w:jc w:val="both"/>
        <w:rPr>
          <w:rFonts w:ascii="Times New Roman" w:hAnsi="Times New Roman"/>
          <w:noProof/>
          <w:sz w:val="20"/>
          <w:szCs w:val="20"/>
        </w:rPr>
      </w:pPr>
      <w:r w:rsidRPr="003449EB">
        <w:rPr>
          <w:rFonts w:ascii="Times New Roman" w:hAnsi="Times New Roman"/>
          <w:b/>
          <w:noProof/>
          <w:sz w:val="20"/>
          <w:szCs w:val="20"/>
        </w:rPr>
        <w:t>Notes:</w:t>
      </w:r>
      <w:r>
        <w:rPr>
          <w:rFonts w:ascii="Times New Roman" w:hAnsi="Times New Roman"/>
          <w:noProof/>
          <w:sz w:val="20"/>
          <w:szCs w:val="20"/>
        </w:rPr>
        <w:t xml:space="preserve"> In cases where countries do not legislate tax rates on capital gains specifically, corporate income tax rate is used instead. </w:t>
      </w:r>
      <w:r w:rsidR="001E71A2" w:rsidRPr="003449EB">
        <w:rPr>
          <w:rFonts w:ascii="Times New Roman" w:hAnsi="Times New Roman"/>
          <w:b/>
          <w:noProof/>
          <w:sz w:val="20"/>
          <w:szCs w:val="20"/>
        </w:rPr>
        <w:t>Source:</w:t>
      </w:r>
      <w:r w:rsidR="001E71A2" w:rsidRPr="003449EB">
        <w:rPr>
          <w:rFonts w:ascii="Times New Roman" w:hAnsi="Times New Roman"/>
          <w:noProof/>
          <w:sz w:val="20"/>
          <w:szCs w:val="20"/>
        </w:rPr>
        <w:t xml:space="preserve"> Own work based on information from Taxes in Europe Data Base (TEDB)</w:t>
      </w:r>
      <w:r>
        <w:rPr>
          <w:rFonts w:ascii="Times New Roman" w:hAnsi="Times New Roman"/>
          <w:noProof/>
          <w:sz w:val="20"/>
          <w:szCs w:val="20"/>
        </w:rPr>
        <w:t>.</w:t>
      </w:r>
    </w:p>
    <w:p w14:paraId="4C3C6497" w14:textId="77777777" w:rsidR="001E71A2" w:rsidRPr="003449EB" w:rsidRDefault="001E71A2" w:rsidP="003449EB">
      <w:pPr>
        <w:pStyle w:val="ListParagraph"/>
        <w:spacing w:after="200" w:line="276" w:lineRule="auto"/>
        <w:ind w:left="1080"/>
        <w:jc w:val="both"/>
        <w:rPr>
          <w:rFonts w:ascii="Times New Roman" w:hAnsi="Times New Roman"/>
          <w:noProof/>
          <w:sz w:val="20"/>
          <w:szCs w:val="20"/>
        </w:rPr>
      </w:pPr>
    </w:p>
    <w:p w14:paraId="43EBC87A" w14:textId="77777777" w:rsidR="00164FA2" w:rsidRDefault="00333AB7" w:rsidP="003449EB">
      <w:pPr>
        <w:pStyle w:val="ListParagraph"/>
        <w:numPr>
          <w:ilvl w:val="1"/>
          <w:numId w:val="78"/>
        </w:numPr>
        <w:spacing w:after="200" w:line="276" w:lineRule="auto"/>
        <w:jc w:val="both"/>
        <w:rPr>
          <w:rFonts w:ascii="Times New Roman" w:hAnsi="Times New Roman"/>
          <w:noProof/>
          <w:sz w:val="24"/>
        </w:rPr>
      </w:pPr>
      <w:r>
        <w:rPr>
          <w:rFonts w:ascii="Times New Roman" w:hAnsi="Times New Roman"/>
          <w:noProof/>
          <w:sz w:val="24"/>
        </w:rPr>
        <w:t>By applying a 15% tax rate and also accounting for the crypto assets on top of Bitcoin (i.e. the other 50% of the market as done above), this gives EUR 1.08 billion (3.6 * 0.15 * 2).</w:t>
      </w:r>
      <w:r w:rsidR="2F519E63" w:rsidRPr="008704BD">
        <w:rPr>
          <w:rFonts w:ascii="Times New Roman" w:hAnsi="Times New Roman"/>
          <w:noProof/>
          <w:sz w:val="24"/>
        </w:rPr>
        <w:t xml:space="preserve"> </w:t>
      </w:r>
      <w:r>
        <w:rPr>
          <w:rFonts w:ascii="Times New Roman" w:hAnsi="Times New Roman"/>
          <w:noProof/>
          <w:sz w:val="24"/>
        </w:rPr>
        <w:t xml:space="preserve">We further exclude the two non-considered crypto-asset types, which brings the total amount </w:t>
      </w:r>
      <w:r w:rsidR="00164FA2">
        <w:rPr>
          <w:rFonts w:ascii="Times New Roman" w:hAnsi="Times New Roman"/>
          <w:noProof/>
          <w:sz w:val="24"/>
        </w:rPr>
        <w:t xml:space="preserve">down to </w:t>
      </w:r>
      <w:r w:rsidR="00164FA2" w:rsidRPr="003449EB">
        <w:rPr>
          <w:rFonts w:ascii="Times New Roman" w:hAnsi="Times New Roman"/>
          <w:b/>
          <w:noProof/>
          <w:sz w:val="24"/>
        </w:rPr>
        <w:t>EUR 1.02 billion</w:t>
      </w:r>
      <w:r w:rsidR="00164FA2">
        <w:rPr>
          <w:rFonts w:ascii="Times New Roman" w:hAnsi="Times New Roman"/>
          <w:noProof/>
          <w:sz w:val="24"/>
        </w:rPr>
        <w:t xml:space="preserve"> (1.08 – 1.08 * 0.06). </w:t>
      </w:r>
    </w:p>
    <w:p w14:paraId="4776BF12" w14:textId="77777777" w:rsidR="00164FA2" w:rsidRPr="003449EB" w:rsidRDefault="00164FA2" w:rsidP="003449EB">
      <w:pPr>
        <w:pStyle w:val="ListParagraph"/>
        <w:numPr>
          <w:ilvl w:val="1"/>
          <w:numId w:val="78"/>
        </w:numPr>
        <w:spacing w:after="200" w:line="276" w:lineRule="auto"/>
        <w:jc w:val="both"/>
        <w:rPr>
          <w:rFonts w:ascii="Times New Roman" w:hAnsi="Times New Roman"/>
          <w:noProof/>
          <w:sz w:val="24"/>
        </w:rPr>
      </w:pPr>
      <w:r>
        <w:rPr>
          <w:rFonts w:ascii="Times New Roman" w:hAnsi="Times New Roman"/>
          <w:noProof/>
          <w:sz w:val="24"/>
        </w:rPr>
        <w:t>By applying a 35% tax rate and also accounting for the crypto assets on top of Bitcoin (i.e. the other 50% of the market as done above), this gives EUR 2.52 billion (3.6 * 0.35 * 2).</w:t>
      </w:r>
      <w:r w:rsidRPr="008704BD">
        <w:rPr>
          <w:rFonts w:ascii="Times New Roman" w:hAnsi="Times New Roman"/>
          <w:noProof/>
          <w:sz w:val="24"/>
        </w:rPr>
        <w:t xml:space="preserve"> </w:t>
      </w:r>
      <w:r>
        <w:rPr>
          <w:rFonts w:ascii="Times New Roman" w:hAnsi="Times New Roman"/>
          <w:noProof/>
          <w:sz w:val="24"/>
        </w:rPr>
        <w:t xml:space="preserve">We further exclude the two non-considered crypto-asset types, which brings the total amount down to EUR </w:t>
      </w:r>
      <w:r w:rsidRPr="003449EB">
        <w:rPr>
          <w:rFonts w:ascii="Times New Roman" w:hAnsi="Times New Roman"/>
          <w:b/>
          <w:noProof/>
          <w:sz w:val="24"/>
        </w:rPr>
        <w:t>2.37 billion</w:t>
      </w:r>
      <w:r>
        <w:rPr>
          <w:rFonts w:ascii="Times New Roman" w:hAnsi="Times New Roman"/>
          <w:noProof/>
          <w:sz w:val="24"/>
        </w:rPr>
        <w:t xml:space="preserve"> (2.52 – 2.52 * 0.06). </w:t>
      </w:r>
    </w:p>
    <w:p w14:paraId="318CEBB5" w14:textId="77777777" w:rsidR="006E5F59" w:rsidRPr="008704BD" w:rsidRDefault="2F519E63" w:rsidP="003449EB">
      <w:pPr>
        <w:pStyle w:val="ListParagraph"/>
        <w:numPr>
          <w:ilvl w:val="1"/>
          <w:numId w:val="78"/>
        </w:numPr>
        <w:spacing w:after="200" w:line="276" w:lineRule="auto"/>
        <w:jc w:val="both"/>
        <w:rPr>
          <w:rFonts w:ascii="Times New Roman" w:hAnsi="Times New Roman"/>
          <w:noProof/>
          <w:sz w:val="24"/>
        </w:rPr>
      </w:pPr>
      <w:r w:rsidRPr="008704BD">
        <w:rPr>
          <w:rFonts w:ascii="Times New Roman" w:hAnsi="Times New Roman"/>
          <w:noProof/>
          <w:sz w:val="24"/>
        </w:rPr>
        <w:t xml:space="preserve">We estimate an absolute difference of EUR </w:t>
      </w:r>
      <w:r w:rsidR="00164FA2">
        <w:rPr>
          <w:rFonts w:ascii="Times New Roman" w:hAnsi="Times New Roman"/>
          <w:noProof/>
          <w:sz w:val="24"/>
        </w:rPr>
        <w:t>1</w:t>
      </w:r>
      <w:r w:rsidRPr="008704BD">
        <w:rPr>
          <w:rFonts w:ascii="Times New Roman" w:hAnsi="Times New Roman"/>
          <w:noProof/>
          <w:sz w:val="24"/>
        </w:rPr>
        <w:t>.</w:t>
      </w:r>
      <w:r w:rsidR="00164FA2">
        <w:rPr>
          <w:rFonts w:ascii="Times New Roman" w:hAnsi="Times New Roman"/>
          <w:noProof/>
          <w:sz w:val="24"/>
        </w:rPr>
        <w:t>35</w:t>
      </w:r>
      <w:r w:rsidRPr="008704BD">
        <w:rPr>
          <w:rFonts w:ascii="Times New Roman" w:hAnsi="Times New Roman"/>
          <w:noProof/>
          <w:sz w:val="24"/>
        </w:rPr>
        <w:t xml:space="preserve"> </w:t>
      </w:r>
      <w:r w:rsidR="00164FA2">
        <w:rPr>
          <w:rFonts w:ascii="Times New Roman" w:hAnsi="Times New Roman"/>
          <w:noProof/>
          <w:sz w:val="24"/>
        </w:rPr>
        <w:t>b</w:t>
      </w:r>
      <w:r w:rsidRPr="008704BD">
        <w:rPr>
          <w:rFonts w:ascii="Times New Roman" w:hAnsi="Times New Roman"/>
          <w:noProof/>
          <w:sz w:val="24"/>
        </w:rPr>
        <w:t xml:space="preserve">illion between the lower and the higher bound. Please note, however, that </w:t>
      </w:r>
      <w:r w:rsidR="00091B72">
        <w:rPr>
          <w:rFonts w:ascii="Times New Roman" w:hAnsi="Times New Roman"/>
          <w:noProof/>
          <w:sz w:val="24"/>
        </w:rPr>
        <w:t xml:space="preserve">the </w:t>
      </w:r>
      <w:r w:rsidRPr="008704BD">
        <w:rPr>
          <w:rFonts w:ascii="Times New Roman" w:hAnsi="Times New Roman"/>
          <w:noProof/>
          <w:sz w:val="24"/>
        </w:rPr>
        <w:t xml:space="preserve">oscillations in cryptocurrency value may be higher than the ones employed in this sensitivity analysis. </w:t>
      </w:r>
    </w:p>
    <w:p w14:paraId="063B5440" w14:textId="77777777" w:rsidR="006E5F59" w:rsidRPr="008704BD" w:rsidRDefault="006E5F59" w:rsidP="006E5F59">
      <w:pPr>
        <w:rPr>
          <w:rFonts w:ascii="Times New Roman" w:hAnsi="Times New Roman"/>
          <w:noProof/>
          <w:sz w:val="24"/>
          <w:u w:val="single"/>
        </w:rPr>
      </w:pPr>
      <w:r w:rsidRPr="008704BD">
        <w:rPr>
          <w:rFonts w:ascii="Times New Roman" w:hAnsi="Times New Roman"/>
          <w:noProof/>
          <w:sz w:val="24"/>
          <w:u w:val="single"/>
        </w:rPr>
        <w:t>Costs</w:t>
      </w:r>
    </w:p>
    <w:p w14:paraId="2D1BD865" w14:textId="77777777" w:rsidR="006E5F59" w:rsidRPr="008704BD" w:rsidRDefault="006E5F59" w:rsidP="3CB93237">
      <w:pPr>
        <w:jc w:val="both"/>
        <w:rPr>
          <w:rFonts w:ascii="Times New Roman" w:hAnsi="Times New Roman"/>
          <w:noProof/>
          <w:sz w:val="24"/>
        </w:rPr>
      </w:pPr>
      <w:r w:rsidRPr="008704BD">
        <w:rPr>
          <w:rFonts w:ascii="Times New Roman" w:hAnsi="Times New Roman"/>
          <w:noProof/>
          <w:sz w:val="24"/>
        </w:rPr>
        <w:t>The methodology employed for the estimation of the costs follows the Standard Cost Model, where each option can be projected and monetised by multiplying the total quantity (estimate) of reportable users (Qs) under each option by a cost (P).</w:t>
      </w:r>
    </w:p>
    <w:p w14:paraId="20495690" w14:textId="77777777" w:rsidR="006E5F59" w:rsidRPr="008704BD" w:rsidRDefault="006E5F59" w:rsidP="006E5F59">
      <w:pPr>
        <w:pStyle w:val="Text2"/>
        <w:ind w:left="0"/>
        <w:rPr>
          <w:noProof/>
        </w:rPr>
      </w:pPr>
      <m:oMathPara>
        <m:oMath>
          <m:r>
            <w:rPr>
              <w:rFonts w:ascii="Cambria Math" w:hAnsi="Cambria Math"/>
              <w:noProof/>
            </w:rPr>
            <m:t xml:space="preserve">Costs=Qs*P </m:t>
          </m:r>
        </m:oMath>
      </m:oMathPara>
    </w:p>
    <w:p w14:paraId="388A8ACF" w14:textId="77777777" w:rsidR="006E5F59" w:rsidRPr="008704BD" w:rsidRDefault="006E5F59" w:rsidP="3CB93237">
      <w:pPr>
        <w:jc w:val="both"/>
        <w:rPr>
          <w:rFonts w:ascii="Times New Roman" w:hAnsi="Times New Roman"/>
          <w:noProof/>
          <w:sz w:val="24"/>
        </w:rPr>
      </w:pPr>
      <w:r w:rsidRPr="008704BD">
        <w:rPr>
          <w:rFonts w:ascii="Times New Roman" w:hAnsi="Times New Roman"/>
          <w:noProof/>
          <w:sz w:val="24"/>
        </w:rPr>
        <w:t xml:space="preserve">The average costs per service provider, as shown in the equation below, are obtained by dividing the total estimated costs (one-off or recurrent) by the number of service providers that would have to comply. The average costs per tax administrations are obtained by dividing the total costs (one-off or recurrent) for tax administrations by twenty-seven. These are simplifying assumptions and the costs will vary given the size of the service provider and of the tax administration. We lack available data for a more granular estimation. </w:t>
      </w:r>
    </w:p>
    <w:p w14:paraId="35FBFF64" w14:textId="77777777" w:rsidR="006E5F59" w:rsidRPr="008704BD" w:rsidRDefault="003A04A1" w:rsidP="00D90D38">
      <w:pPr>
        <w:pStyle w:val="Text2"/>
        <w:ind w:left="0"/>
        <w:rPr>
          <w:rFonts w:eastAsiaTheme="minorEastAsia"/>
          <w:noProof/>
        </w:rPr>
      </w:pPr>
      <m:oMathPara>
        <m:oMath>
          <m:f>
            <m:fPr>
              <m:ctrlPr>
                <w:rPr>
                  <w:rFonts w:ascii="Cambria Math" w:eastAsiaTheme="minorEastAsia" w:hAnsi="Cambria Math"/>
                  <w:i/>
                  <w:noProof/>
                </w:rPr>
              </m:ctrlPr>
            </m:fPr>
            <m:num>
              <m:r>
                <w:rPr>
                  <w:rFonts w:ascii="Cambria Math" w:eastAsiaTheme="minorEastAsia" w:hAnsi="Cambria Math"/>
                  <w:noProof/>
                </w:rPr>
                <m:t>Costs</m:t>
              </m:r>
            </m:num>
            <m:den>
              <m:r>
                <w:rPr>
                  <w:rFonts w:ascii="Cambria Math" w:eastAsiaTheme="minorEastAsia" w:hAnsi="Cambria Math"/>
                  <w:noProof/>
                </w:rPr>
                <m:t>CASPs or Tax Authorities</m:t>
              </m:r>
            </m:den>
          </m:f>
        </m:oMath>
      </m:oMathPara>
    </w:p>
    <w:p w14:paraId="1F817127" w14:textId="77777777" w:rsidR="006E5F59" w:rsidRPr="008704BD" w:rsidRDefault="006E5F59" w:rsidP="3CB93237">
      <w:pPr>
        <w:jc w:val="both"/>
        <w:rPr>
          <w:rFonts w:ascii="Times New Roman" w:hAnsi="Times New Roman"/>
          <w:noProof/>
          <w:sz w:val="24"/>
        </w:rPr>
      </w:pPr>
      <w:r w:rsidRPr="008704BD">
        <w:rPr>
          <w:rFonts w:ascii="Times New Roman" w:hAnsi="Times New Roman"/>
          <w:noProof/>
          <w:sz w:val="24"/>
        </w:rPr>
        <w:t>Table 1 below summarises all the cost estimates for all parties concerns (CASPs, tax administrations and the European Commission). The total costs that would be incurred due to these legislative interventions are grouped according to the available options under the intervention.</w:t>
      </w:r>
    </w:p>
    <w:p w14:paraId="43DEA622" w14:textId="77777777" w:rsidR="006E5F59" w:rsidRPr="008704BD" w:rsidRDefault="006E5F59" w:rsidP="006E5F59">
      <w:pPr>
        <w:pStyle w:val="Caption"/>
        <w:keepNext/>
        <w:rPr>
          <w:noProof/>
          <w:sz w:val="24"/>
        </w:rPr>
      </w:pPr>
      <w:r w:rsidRPr="008704BD">
        <w:rPr>
          <w:noProof/>
          <w:sz w:val="24"/>
          <w:shd w:val="clear" w:color="auto" w:fill="FFFFFF" w:themeFill="background1"/>
        </w:rPr>
        <w:t xml:space="preserve">Table </w:t>
      </w:r>
      <w:r w:rsidR="003449EB">
        <w:rPr>
          <w:noProof/>
          <w:color w:val="2B579A"/>
          <w:sz w:val="24"/>
          <w:shd w:val="clear" w:color="auto" w:fill="FFFFFF" w:themeFill="background1"/>
        </w:rPr>
        <w:t>8</w:t>
      </w:r>
      <w:r w:rsidR="001E71A2" w:rsidRPr="008704BD">
        <w:rPr>
          <w:noProof/>
          <w:sz w:val="24"/>
          <w:shd w:val="clear" w:color="auto" w:fill="FFFFFF" w:themeFill="background1"/>
        </w:rPr>
        <w:t xml:space="preserve"> </w:t>
      </w:r>
      <w:r w:rsidRPr="008704BD">
        <w:rPr>
          <w:noProof/>
          <w:sz w:val="24"/>
          <w:shd w:val="clear" w:color="auto" w:fill="FFFFFF" w:themeFill="background1"/>
        </w:rPr>
        <w:t>Estimated</w:t>
      </w:r>
      <w:r w:rsidRPr="008704BD">
        <w:rPr>
          <w:noProof/>
          <w:sz w:val="24"/>
        </w:rPr>
        <w:t xml:space="preserve"> costs and comparison (DAC2 vs DAC8)</w:t>
      </w:r>
    </w:p>
    <w:tbl>
      <w:tblPr>
        <w:tblStyle w:val="TableGrid"/>
        <w:tblW w:w="0" w:type="auto"/>
        <w:tblLook w:val="04A0" w:firstRow="1" w:lastRow="0" w:firstColumn="1" w:lastColumn="0" w:noHBand="0" w:noVBand="1"/>
      </w:tblPr>
      <w:tblGrid>
        <w:gridCol w:w="3084"/>
        <w:gridCol w:w="11"/>
        <w:gridCol w:w="3074"/>
        <w:gridCol w:w="22"/>
        <w:gridCol w:w="2989"/>
      </w:tblGrid>
      <w:tr w:rsidR="006E5F59" w:rsidRPr="00D312CE" w14:paraId="1BE9ABBF" w14:textId="77777777" w:rsidTr="00314F02">
        <w:tc>
          <w:tcPr>
            <w:tcW w:w="9180" w:type="dxa"/>
            <w:gridSpan w:val="5"/>
            <w:shd w:val="clear" w:color="auto" w:fill="92D050"/>
          </w:tcPr>
          <w:p w14:paraId="4F982C55" w14:textId="77777777" w:rsidR="006E5F59" w:rsidRPr="008704BD" w:rsidRDefault="006E5F59" w:rsidP="00314F02">
            <w:pPr>
              <w:jc w:val="center"/>
              <w:rPr>
                <w:rFonts w:ascii="Times New Roman" w:hAnsi="Times New Roman"/>
                <w:b/>
                <w:noProof/>
                <w:sz w:val="24"/>
              </w:rPr>
            </w:pPr>
            <w:r w:rsidRPr="008704BD">
              <w:rPr>
                <w:rFonts w:ascii="Times New Roman" w:hAnsi="Times New Roman"/>
                <w:b/>
                <w:noProof/>
                <w:sz w:val="24"/>
              </w:rPr>
              <w:t>DAC2 estimate (DAC evaluation)</w:t>
            </w:r>
          </w:p>
        </w:tc>
      </w:tr>
      <w:tr w:rsidR="006E5F59" w:rsidRPr="00D312CE" w14:paraId="7CE8FC07" w14:textId="77777777" w:rsidTr="00314F02">
        <w:tc>
          <w:tcPr>
            <w:tcW w:w="3084" w:type="dxa"/>
          </w:tcPr>
          <w:p w14:paraId="6E6E8351" w14:textId="77777777" w:rsidR="006E5F59" w:rsidRPr="008704BD" w:rsidRDefault="006E5F59" w:rsidP="00314F02">
            <w:pPr>
              <w:rPr>
                <w:rFonts w:ascii="Times New Roman" w:hAnsi="Times New Roman"/>
                <w:b/>
                <w:noProof/>
                <w:sz w:val="24"/>
              </w:rPr>
            </w:pPr>
            <w:r w:rsidRPr="008704BD">
              <w:rPr>
                <w:rFonts w:ascii="Times New Roman" w:hAnsi="Times New Roman"/>
                <w:b/>
                <w:noProof/>
                <w:sz w:val="24"/>
              </w:rPr>
              <w:t>Affected Party / Costs</w:t>
            </w:r>
          </w:p>
        </w:tc>
        <w:tc>
          <w:tcPr>
            <w:tcW w:w="3085" w:type="dxa"/>
            <w:gridSpan w:val="2"/>
          </w:tcPr>
          <w:p w14:paraId="20B0BED4" w14:textId="77777777" w:rsidR="006E5F59" w:rsidRPr="008704BD" w:rsidRDefault="006E5F59" w:rsidP="00314F02">
            <w:pPr>
              <w:rPr>
                <w:rFonts w:ascii="Times New Roman" w:hAnsi="Times New Roman"/>
                <w:b/>
                <w:noProof/>
                <w:sz w:val="24"/>
              </w:rPr>
            </w:pPr>
            <w:r w:rsidRPr="008704BD">
              <w:rPr>
                <w:rFonts w:ascii="Times New Roman" w:hAnsi="Times New Roman"/>
                <w:b/>
                <w:noProof/>
                <w:sz w:val="24"/>
              </w:rPr>
              <w:t>One-off</w:t>
            </w:r>
          </w:p>
        </w:tc>
        <w:tc>
          <w:tcPr>
            <w:tcW w:w="3011" w:type="dxa"/>
            <w:gridSpan w:val="2"/>
          </w:tcPr>
          <w:p w14:paraId="37957CFE" w14:textId="77777777" w:rsidR="006E5F59" w:rsidRPr="008704BD" w:rsidRDefault="006E5F59" w:rsidP="00314F02">
            <w:pPr>
              <w:rPr>
                <w:rFonts w:ascii="Times New Roman" w:hAnsi="Times New Roman"/>
                <w:b/>
                <w:noProof/>
                <w:sz w:val="24"/>
              </w:rPr>
            </w:pPr>
            <w:r w:rsidRPr="008704BD">
              <w:rPr>
                <w:rFonts w:ascii="Times New Roman" w:hAnsi="Times New Roman"/>
                <w:b/>
                <w:noProof/>
                <w:sz w:val="24"/>
              </w:rPr>
              <w:t>Recurrent</w:t>
            </w:r>
          </w:p>
        </w:tc>
      </w:tr>
      <w:tr w:rsidR="006E5F59" w:rsidRPr="00D312CE" w14:paraId="5993C76A" w14:textId="77777777" w:rsidTr="00314F02">
        <w:tc>
          <w:tcPr>
            <w:tcW w:w="3084" w:type="dxa"/>
            <w:shd w:val="clear" w:color="auto" w:fill="F2F2F2" w:themeFill="background1" w:themeFillShade="F2"/>
          </w:tcPr>
          <w:p w14:paraId="11199DFE"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Traditional financial institutions</w:t>
            </w:r>
          </w:p>
        </w:tc>
        <w:tc>
          <w:tcPr>
            <w:tcW w:w="3085" w:type="dxa"/>
            <w:gridSpan w:val="2"/>
          </w:tcPr>
          <w:p w14:paraId="1ECEE015"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EUR 491 million</w:t>
            </w:r>
          </w:p>
        </w:tc>
        <w:tc>
          <w:tcPr>
            <w:tcW w:w="3011" w:type="dxa"/>
            <w:gridSpan w:val="2"/>
          </w:tcPr>
          <w:p w14:paraId="0177520F"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EUR 42 million</w:t>
            </w:r>
          </w:p>
        </w:tc>
      </w:tr>
      <w:tr w:rsidR="006E5F59" w:rsidRPr="00D312CE" w14:paraId="071FF81F" w14:textId="77777777" w:rsidTr="00314F02">
        <w:tc>
          <w:tcPr>
            <w:tcW w:w="3084" w:type="dxa"/>
            <w:shd w:val="clear" w:color="auto" w:fill="BFBFBF" w:themeFill="background1" w:themeFillShade="BF"/>
          </w:tcPr>
          <w:p w14:paraId="15560FAB"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TA</w:t>
            </w:r>
          </w:p>
        </w:tc>
        <w:tc>
          <w:tcPr>
            <w:tcW w:w="3085" w:type="dxa"/>
            <w:gridSpan w:val="2"/>
          </w:tcPr>
          <w:p w14:paraId="21A3D01D"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EUR 49.1 million</w:t>
            </w:r>
          </w:p>
        </w:tc>
        <w:tc>
          <w:tcPr>
            <w:tcW w:w="3011" w:type="dxa"/>
            <w:gridSpan w:val="2"/>
          </w:tcPr>
          <w:p w14:paraId="2473BCD5"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EUR 4.2 million</w:t>
            </w:r>
          </w:p>
        </w:tc>
      </w:tr>
      <w:tr w:rsidR="006E5F59" w:rsidRPr="00D312CE" w14:paraId="2EFBD08C" w14:textId="77777777" w:rsidTr="00314F02">
        <w:tc>
          <w:tcPr>
            <w:tcW w:w="3084" w:type="dxa"/>
            <w:shd w:val="clear" w:color="auto" w:fill="A6A6A6" w:themeFill="background1" w:themeFillShade="A6"/>
          </w:tcPr>
          <w:p w14:paraId="707E6E56"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European Commission</w:t>
            </w:r>
          </w:p>
        </w:tc>
        <w:tc>
          <w:tcPr>
            <w:tcW w:w="3085" w:type="dxa"/>
            <w:gridSpan w:val="2"/>
          </w:tcPr>
          <w:p w14:paraId="3D5BD879"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n/a</w:t>
            </w:r>
          </w:p>
        </w:tc>
        <w:tc>
          <w:tcPr>
            <w:tcW w:w="3011" w:type="dxa"/>
            <w:gridSpan w:val="2"/>
          </w:tcPr>
          <w:p w14:paraId="078C5DEC" w14:textId="77777777" w:rsidR="006E5F59" w:rsidRPr="008704BD" w:rsidRDefault="006E5F59" w:rsidP="00314F02">
            <w:pPr>
              <w:rPr>
                <w:rFonts w:ascii="Times New Roman" w:hAnsi="Times New Roman"/>
                <w:noProof/>
                <w:sz w:val="24"/>
              </w:rPr>
            </w:pPr>
            <w:r w:rsidRPr="008704BD">
              <w:rPr>
                <w:rFonts w:ascii="Times New Roman" w:hAnsi="Times New Roman"/>
                <w:noProof/>
                <w:sz w:val="24"/>
              </w:rPr>
              <w:t>n/a</w:t>
            </w:r>
          </w:p>
        </w:tc>
      </w:tr>
      <w:tr w:rsidR="006E5F59" w:rsidRPr="00D312CE" w14:paraId="747B6360" w14:textId="77777777" w:rsidTr="0840BA63">
        <w:tc>
          <w:tcPr>
            <w:tcW w:w="9180" w:type="dxa"/>
            <w:gridSpan w:val="5"/>
            <w:shd w:val="clear" w:color="auto" w:fill="FFC000" w:themeFill="accent4"/>
            <w:vAlign w:val="center"/>
          </w:tcPr>
          <w:p w14:paraId="0D7C4BFA" w14:textId="77777777" w:rsidR="006E5F59" w:rsidRPr="008704BD" w:rsidRDefault="006E5F59" w:rsidP="00314F02">
            <w:pPr>
              <w:contextualSpacing/>
              <w:jc w:val="center"/>
              <w:rPr>
                <w:rFonts w:ascii="Times New Roman" w:hAnsi="Times New Roman"/>
                <w:b/>
                <w:noProof/>
                <w:sz w:val="24"/>
              </w:rPr>
            </w:pPr>
            <w:r w:rsidRPr="008704BD">
              <w:rPr>
                <w:rFonts w:ascii="Times New Roman" w:hAnsi="Times New Roman"/>
                <w:b/>
                <w:noProof/>
                <w:sz w:val="24"/>
              </w:rPr>
              <w:t>DAC8 own estimates</w:t>
            </w:r>
          </w:p>
        </w:tc>
      </w:tr>
      <w:tr w:rsidR="006E5F59" w:rsidRPr="00D312CE" w14:paraId="3296CDA3" w14:textId="77777777" w:rsidTr="00314F02">
        <w:tc>
          <w:tcPr>
            <w:tcW w:w="3095" w:type="dxa"/>
            <w:gridSpan w:val="2"/>
            <w:vAlign w:val="center"/>
          </w:tcPr>
          <w:p w14:paraId="3CA04480" w14:textId="77777777" w:rsidR="006E5F59" w:rsidRPr="008704BD" w:rsidRDefault="006E5F59" w:rsidP="00314F02">
            <w:pPr>
              <w:contextualSpacing/>
              <w:rPr>
                <w:rFonts w:ascii="Times New Roman" w:hAnsi="Times New Roman"/>
                <w:b/>
                <w:noProof/>
                <w:sz w:val="24"/>
              </w:rPr>
            </w:pPr>
            <w:r w:rsidRPr="008704BD">
              <w:rPr>
                <w:rFonts w:ascii="Times New Roman" w:hAnsi="Times New Roman"/>
                <w:b/>
                <w:noProof/>
                <w:sz w:val="24"/>
              </w:rPr>
              <w:t>Affected Party / Costs</w:t>
            </w:r>
          </w:p>
        </w:tc>
        <w:tc>
          <w:tcPr>
            <w:tcW w:w="3096" w:type="dxa"/>
            <w:gridSpan w:val="2"/>
            <w:vAlign w:val="center"/>
          </w:tcPr>
          <w:p w14:paraId="6B70A842" w14:textId="77777777" w:rsidR="006E5F59" w:rsidRPr="008704BD" w:rsidRDefault="006E5F59" w:rsidP="00314F02">
            <w:pPr>
              <w:contextualSpacing/>
              <w:rPr>
                <w:rFonts w:ascii="Times New Roman" w:hAnsi="Times New Roman"/>
                <w:b/>
                <w:noProof/>
                <w:sz w:val="24"/>
              </w:rPr>
            </w:pPr>
            <w:r w:rsidRPr="008704BD">
              <w:rPr>
                <w:rFonts w:ascii="Times New Roman" w:hAnsi="Times New Roman"/>
                <w:b/>
                <w:noProof/>
                <w:sz w:val="24"/>
              </w:rPr>
              <w:t>One-off</w:t>
            </w:r>
          </w:p>
        </w:tc>
        <w:tc>
          <w:tcPr>
            <w:tcW w:w="2989" w:type="dxa"/>
            <w:vAlign w:val="center"/>
          </w:tcPr>
          <w:p w14:paraId="5BF3C9EF" w14:textId="77777777" w:rsidR="006E5F59" w:rsidRPr="008704BD" w:rsidRDefault="006E5F59" w:rsidP="00314F02">
            <w:pPr>
              <w:contextualSpacing/>
              <w:rPr>
                <w:rFonts w:ascii="Times New Roman" w:hAnsi="Times New Roman"/>
                <w:b/>
                <w:noProof/>
                <w:sz w:val="24"/>
              </w:rPr>
            </w:pPr>
            <w:r w:rsidRPr="008704BD">
              <w:rPr>
                <w:rFonts w:ascii="Times New Roman" w:hAnsi="Times New Roman"/>
                <w:b/>
                <w:noProof/>
                <w:sz w:val="24"/>
              </w:rPr>
              <w:t>Recurrent</w:t>
            </w:r>
          </w:p>
        </w:tc>
      </w:tr>
      <w:tr w:rsidR="006E5F59" w:rsidRPr="00B355AD" w14:paraId="2397A216" w14:textId="77777777" w:rsidTr="00314F02">
        <w:trPr>
          <w:cantSplit/>
          <w:trHeight w:val="567"/>
        </w:trPr>
        <w:tc>
          <w:tcPr>
            <w:tcW w:w="3095" w:type="dxa"/>
            <w:gridSpan w:val="2"/>
            <w:shd w:val="clear" w:color="auto" w:fill="F2F2F2" w:themeFill="background1" w:themeFillShade="F2"/>
            <w:vAlign w:val="center"/>
          </w:tcPr>
          <w:p w14:paraId="5E5BAAB3" w14:textId="77777777" w:rsidR="006E5F59" w:rsidRPr="008704BD" w:rsidRDefault="006E5F59" w:rsidP="00314F02">
            <w:pPr>
              <w:contextualSpacing/>
              <w:rPr>
                <w:rFonts w:ascii="Times New Roman" w:hAnsi="Times New Roman"/>
                <w:noProof/>
                <w:sz w:val="24"/>
              </w:rPr>
            </w:pPr>
            <w:r w:rsidRPr="008704BD">
              <w:rPr>
                <w:rFonts w:ascii="Times New Roman" w:hAnsi="Times New Roman"/>
                <w:noProof/>
                <w:sz w:val="24"/>
              </w:rPr>
              <w:t>CASPs (</w:t>
            </w:r>
            <w:r w:rsidR="00EE2327" w:rsidRPr="008704BD">
              <w:rPr>
                <w:rFonts w:ascii="Times New Roman" w:hAnsi="Times New Roman"/>
                <w:noProof/>
                <w:sz w:val="24"/>
              </w:rPr>
              <w:t>all crypto-assets, except non-marketable crypto-assets and utility tokens</w:t>
            </w:r>
            <w:r w:rsidRPr="008704BD">
              <w:rPr>
                <w:rFonts w:ascii="Times New Roman" w:hAnsi="Times New Roman"/>
                <w:noProof/>
                <w:sz w:val="24"/>
              </w:rPr>
              <w:t>)</w:t>
            </w:r>
          </w:p>
        </w:tc>
        <w:tc>
          <w:tcPr>
            <w:tcW w:w="3096" w:type="dxa"/>
            <w:gridSpan w:val="2"/>
            <w:vAlign w:val="center"/>
          </w:tcPr>
          <w:p w14:paraId="7DB06F9D" w14:textId="77777777" w:rsidR="006E5F59" w:rsidRPr="008704BD" w:rsidRDefault="006E5F59" w:rsidP="00314F02">
            <w:pPr>
              <w:contextualSpacing/>
              <w:rPr>
                <w:rFonts w:ascii="Times New Roman" w:hAnsi="Times New Roman"/>
                <w:b/>
                <w:noProof/>
                <w:sz w:val="24"/>
                <w:lang w:val="fr-BE"/>
              </w:rPr>
            </w:pPr>
            <w:r w:rsidRPr="008704BD">
              <w:rPr>
                <w:rFonts w:ascii="Times New Roman" w:hAnsi="Times New Roman"/>
                <w:noProof/>
                <w:sz w:val="24"/>
                <w:lang w:val="fr-BE"/>
              </w:rPr>
              <w:t xml:space="preserve">EUR </w:t>
            </w:r>
            <w:r w:rsidR="00622BEC">
              <w:rPr>
                <w:rFonts w:ascii="Times New Roman" w:hAnsi="Times New Roman"/>
                <w:noProof/>
                <w:sz w:val="24"/>
                <w:lang w:val="fr-BE"/>
              </w:rPr>
              <w:t>233.1 – 284</w:t>
            </w:r>
            <w:r w:rsidRPr="008704BD">
              <w:rPr>
                <w:rFonts w:ascii="Times New Roman" w:hAnsi="Times New Roman"/>
                <w:noProof/>
                <w:sz w:val="24"/>
                <w:lang w:val="fr-BE"/>
              </w:rPr>
              <w:t xml:space="preserve"> million (EUR </w:t>
            </w:r>
            <w:r w:rsidR="00622BEC">
              <w:rPr>
                <w:rFonts w:ascii="Times New Roman" w:hAnsi="Times New Roman"/>
                <w:noProof/>
                <w:sz w:val="24"/>
                <w:lang w:val="fr-BE"/>
              </w:rPr>
              <w:t>1</w:t>
            </w:r>
            <w:r w:rsidRPr="008704BD">
              <w:rPr>
                <w:rFonts w:ascii="Times New Roman" w:hAnsi="Times New Roman"/>
                <w:noProof/>
                <w:sz w:val="24"/>
                <w:lang w:val="fr-BE"/>
              </w:rPr>
              <w:t>.</w:t>
            </w:r>
            <w:r w:rsidR="00622BEC">
              <w:rPr>
                <w:rFonts w:ascii="Times New Roman" w:hAnsi="Times New Roman"/>
                <w:noProof/>
                <w:sz w:val="24"/>
                <w:lang w:val="fr-BE"/>
              </w:rPr>
              <w:t xml:space="preserve">4 – 1.7 </w:t>
            </w:r>
            <w:r w:rsidRPr="008704BD">
              <w:rPr>
                <w:rFonts w:ascii="Times New Roman" w:hAnsi="Times New Roman"/>
                <w:noProof/>
                <w:sz w:val="24"/>
                <w:lang w:val="fr-BE"/>
              </w:rPr>
              <w:t>million/CASP)</w:t>
            </w:r>
          </w:p>
        </w:tc>
        <w:tc>
          <w:tcPr>
            <w:tcW w:w="2989" w:type="dxa"/>
            <w:vAlign w:val="center"/>
          </w:tcPr>
          <w:p w14:paraId="74B6CB06"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2</w:t>
            </w:r>
            <w:r w:rsidR="00622BEC">
              <w:rPr>
                <w:rFonts w:ascii="Times New Roman" w:hAnsi="Times New Roman"/>
                <w:noProof/>
                <w:sz w:val="24"/>
                <w:lang w:val="fr-BE"/>
              </w:rPr>
              <w:t>0</w:t>
            </w:r>
            <w:r w:rsidRPr="008704BD">
              <w:rPr>
                <w:rFonts w:ascii="Times New Roman" w:hAnsi="Times New Roman"/>
                <w:noProof/>
                <w:sz w:val="24"/>
                <w:lang w:val="fr-BE"/>
              </w:rPr>
              <w:t>.</w:t>
            </w:r>
            <w:r w:rsidR="00622BEC">
              <w:rPr>
                <w:rFonts w:ascii="Times New Roman" w:hAnsi="Times New Roman"/>
                <w:noProof/>
                <w:sz w:val="24"/>
                <w:lang w:val="fr-BE"/>
              </w:rPr>
              <w:t>3 – 24.9</w:t>
            </w:r>
            <w:r w:rsidRPr="008704BD">
              <w:rPr>
                <w:rFonts w:ascii="Times New Roman" w:hAnsi="Times New Roman"/>
                <w:noProof/>
                <w:sz w:val="24"/>
                <w:lang w:val="fr-BE"/>
              </w:rPr>
              <w:t xml:space="preserve"> million (EUR 0.</w:t>
            </w:r>
            <w:r w:rsidR="00622BEC">
              <w:rPr>
                <w:rFonts w:ascii="Times New Roman" w:hAnsi="Times New Roman"/>
                <w:noProof/>
                <w:sz w:val="24"/>
                <w:lang w:val="fr-BE"/>
              </w:rPr>
              <w:t>1</w:t>
            </w:r>
            <w:r w:rsidR="007A3E35">
              <w:rPr>
                <w:rFonts w:ascii="Times New Roman" w:hAnsi="Times New Roman"/>
                <w:noProof/>
                <w:sz w:val="24"/>
                <w:lang w:val="fr-BE"/>
              </w:rPr>
              <w:t xml:space="preserve">2 – 0.14 </w:t>
            </w:r>
            <w:r w:rsidRPr="008704BD">
              <w:rPr>
                <w:rFonts w:ascii="Times New Roman" w:hAnsi="Times New Roman"/>
                <w:noProof/>
                <w:sz w:val="24"/>
                <w:lang w:val="fr-BE"/>
              </w:rPr>
              <w:t>million/CASP)</w:t>
            </w:r>
          </w:p>
        </w:tc>
      </w:tr>
      <w:tr w:rsidR="006E5F59" w:rsidRPr="00B355AD" w14:paraId="1F940DAD" w14:textId="77777777" w:rsidTr="00314F02">
        <w:trPr>
          <w:cantSplit/>
          <w:trHeight w:val="490"/>
        </w:trPr>
        <w:tc>
          <w:tcPr>
            <w:tcW w:w="3095" w:type="dxa"/>
            <w:gridSpan w:val="2"/>
            <w:shd w:val="clear" w:color="auto" w:fill="BFBFBF" w:themeFill="background1" w:themeFillShade="BF"/>
            <w:vAlign w:val="center"/>
          </w:tcPr>
          <w:p w14:paraId="0B31F80B" w14:textId="77777777" w:rsidR="006E5F59" w:rsidRPr="008704BD" w:rsidRDefault="006E5F59" w:rsidP="00314F02">
            <w:pPr>
              <w:contextualSpacing/>
              <w:rPr>
                <w:rFonts w:ascii="Times New Roman" w:hAnsi="Times New Roman"/>
                <w:noProof/>
                <w:sz w:val="24"/>
              </w:rPr>
            </w:pPr>
            <w:r w:rsidRPr="008704BD">
              <w:rPr>
                <w:rFonts w:ascii="Times New Roman" w:hAnsi="Times New Roman"/>
                <w:noProof/>
                <w:sz w:val="24"/>
              </w:rPr>
              <w:t>TA (decentralised IT solution)</w:t>
            </w:r>
          </w:p>
        </w:tc>
        <w:tc>
          <w:tcPr>
            <w:tcW w:w="3096" w:type="dxa"/>
            <w:gridSpan w:val="2"/>
            <w:vAlign w:val="center"/>
          </w:tcPr>
          <w:p w14:paraId="17056D81"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 xml:space="preserve">EUR </w:t>
            </w:r>
            <w:r w:rsidR="00483A43" w:rsidRPr="008704BD">
              <w:rPr>
                <w:rFonts w:ascii="Times New Roman" w:hAnsi="Times New Roman"/>
                <w:noProof/>
                <w:sz w:val="24"/>
                <w:lang w:val="fr-BE"/>
              </w:rPr>
              <w:t>64.8</w:t>
            </w:r>
            <w:r w:rsidRPr="008704BD">
              <w:rPr>
                <w:rFonts w:ascii="Times New Roman" w:hAnsi="Times New Roman"/>
                <w:noProof/>
                <w:sz w:val="24"/>
                <w:lang w:val="fr-BE"/>
              </w:rPr>
              <w:t xml:space="preserve"> million (EUR </w:t>
            </w:r>
            <w:r w:rsidR="009B0D5F" w:rsidRPr="008704BD">
              <w:rPr>
                <w:rFonts w:ascii="Times New Roman" w:hAnsi="Times New Roman"/>
                <w:noProof/>
                <w:sz w:val="24"/>
                <w:lang w:val="fr-BE"/>
              </w:rPr>
              <w:t>2.</w:t>
            </w:r>
            <w:r w:rsidR="00483A43" w:rsidRPr="008704BD">
              <w:rPr>
                <w:rFonts w:ascii="Times New Roman" w:hAnsi="Times New Roman"/>
                <w:noProof/>
                <w:sz w:val="24"/>
                <w:lang w:val="fr-BE"/>
              </w:rPr>
              <w:t>4</w:t>
            </w:r>
            <w:r w:rsidRPr="008704BD">
              <w:rPr>
                <w:rFonts w:ascii="Times New Roman" w:hAnsi="Times New Roman"/>
                <w:noProof/>
                <w:sz w:val="24"/>
                <w:lang w:val="fr-BE"/>
              </w:rPr>
              <w:t xml:space="preserve"> million/TA)</w:t>
            </w:r>
          </w:p>
        </w:tc>
        <w:tc>
          <w:tcPr>
            <w:tcW w:w="2989" w:type="dxa"/>
            <w:vAlign w:val="center"/>
          </w:tcPr>
          <w:p w14:paraId="4646A77C"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 xml:space="preserve">EUR </w:t>
            </w:r>
            <w:r w:rsidR="009B0D5F" w:rsidRPr="008704BD">
              <w:rPr>
                <w:rFonts w:ascii="Times New Roman" w:hAnsi="Times New Roman"/>
                <w:noProof/>
                <w:sz w:val="24"/>
                <w:lang w:val="fr-BE"/>
              </w:rPr>
              <w:t>6</w:t>
            </w:r>
            <w:r w:rsidRPr="008704BD">
              <w:rPr>
                <w:rFonts w:ascii="Times New Roman" w:hAnsi="Times New Roman"/>
                <w:noProof/>
                <w:sz w:val="24"/>
                <w:lang w:val="fr-BE"/>
              </w:rPr>
              <w:t xml:space="preserve"> million (EUR </w:t>
            </w:r>
            <w:r w:rsidR="00C77499" w:rsidRPr="008704BD">
              <w:rPr>
                <w:rFonts w:ascii="Times New Roman" w:hAnsi="Times New Roman"/>
                <w:noProof/>
                <w:sz w:val="24"/>
                <w:lang w:val="fr-BE"/>
              </w:rPr>
              <w:t>0.</w:t>
            </w:r>
            <w:r w:rsidR="009B0D5F" w:rsidRPr="008704BD">
              <w:rPr>
                <w:rFonts w:ascii="Times New Roman" w:hAnsi="Times New Roman"/>
                <w:noProof/>
                <w:sz w:val="24"/>
                <w:lang w:val="fr-BE"/>
              </w:rPr>
              <w:t>22</w:t>
            </w:r>
            <w:r w:rsidR="0089152F" w:rsidRPr="008704BD">
              <w:rPr>
                <w:rFonts w:ascii="Times New Roman" w:hAnsi="Times New Roman"/>
                <w:noProof/>
                <w:sz w:val="24"/>
                <w:lang w:val="fr-BE"/>
              </w:rPr>
              <w:t xml:space="preserve"> </w:t>
            </w:r>
            <w:r w:rsidRPr="008704BD">
              <w:rPr>
                <w:rFonts w:ascii="Times New Roman" w:hAnsi="Times New Roman"/>
                <w:noProof/>
                <w:sz w:val="24"/>
                <w:lang w:val="fr-BE"/>
              </w:rPr>
              <w:t>million/TA)</w:t>
            </w:r>
          </w:p>
        </w:tc>
      </w:tr>
      <w:tr w:rsidR="006E5F59" w:rsidRPr="00B355AD" w14:paraId="3C1EA4E1" w14:textId="77777777" w:rsidTr="00314F02">
        <w:trPr>
          <w:cantSplit/>
          <w:trHeight w:val="512"/>
        </w:trPr>
        <w:tc>
          <w:tcPr>
            <w:tcW w:w="3095" w:type="dxa"/>
            <w:gridSpan w:val="2"/>
            <w:shd w:val="clear" w:color="auto" w:fill="BFBFBF" w:themeFill="background1" w:themeFillShade="BF"/>
            <w:vAlign w:val="center"/>
          </w:tcPr>
          <w:p w14:paraId="0DDD6038"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TA (Central Directory)</w:t>
            </w:r>
          </w:p>
        </w:tc>
        <w:tc>
          <w:tcPr>
            <w:tcW w:w="3096" w:type="dxa"/>
            <w:gridSpan w:val="2"/>
            <w:vAlign w:val="center"/>
          </w:tcPr>
          <w:p w14:paraId="00C10AEE"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1 – 12.96 million (EUR 0.03 – 0.48 million/TA)</w:t>
            </w:r>
          </w:p>
        </w:tc>
        <w:tc>
          <w:tcPr>
            <w:tcW w:w="2989" w:type="dxa"/>
            <w:vAlign w:val="center"/>
          </w:tcPr>
          <w:p w14:paraId="08CD03FD"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1 – 5.67 million (EUR 0.03 – 0.21 million/TA)</w:t>
            </w:r>
          </w:p>
        </w:tc>
      </w:tr>
      <w:tr w:rsidR="006E5F59" w:rsidRPr="00B355AD" w14:paraId="2B364EF4" w14:textId="77777777" w:rsidTr="00314F02">
        <w:trPr>
          <w:cantSplit/>
          <w:trHeight w:val="378"/>
        </w:trPr>
        <w:tc>
          <w:tcPr>
            <w:tcW w:w="3095" w:type="dxa"/>
            <w:gridSpan w:val="2"/>
            <w:shd w:val="clear" w:color="auto" w:fill="BFBFBF" w:themeFill="background1" w:themeFillShade="BF"/>
            <w:vAlign w:val="center"/>
          </w:tcPr>
          <w:p w14:paraId="7EA811E8"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TA (Single Access Point)</w:t>
            </w:r>
          </w:p>
        </w:tc>
        <w:tc>
          <w:tcPr>
            <w:tcW w:w="3096" w:type="dxa"/>
            <w:gridSpan w:val="2"/>
            <w:vAlign w:val="center"/>
          </w:tcPr>
          <w:p w14:paraId="10C3E26D"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0.5 million (EUR 0.02 million/TA)</w:t>
            </w:r>
          </w:p>
        </w:tc>
        <w:tc>
          <w:tcPr>
            <w:tcW w:w="2989" w:type="dxa"/>
            <w:vAlign w:val="center"/>
          </w:tcPr>
          <w:p w14:paraId="45D22DDD"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0.1 million (EUR 3 703 per TA)</w:t>
            </w:r>
          </w:p>
        </w:tc>
      </w:tr>
      <w:tr w:rsidR="006E5F59" w:rsidRPr="00D312CE" w14:paraId="3618041F" w14:textId="77777777" w:rsidTr="00314F02">
        <w:trPr>
          <w:cantSplit/>
          <w:trHeight w:val="480"/>
        </w:trPr>
        <w:tc>
          <w:tcPr>
            <w:tcW w:w="3095" w:type="dxa"/>
            <w:gridSpan w:val="2"/>
            <w:shd w:val="clear" w:color="auto" w:fill="A6A6A6" w:themeFill="background1" w:themeFillShade="A6"/>
            <w:vAlign w:val="center"/>
          </w:tcPr>
          <w:p w14:paraId="5D7FAE0C" w14:textId="77777777" w:rsidR="006E5F59" w:rsidRPr="008704BD" w:rsidRDefault="006E5F59" w:rsidP="00314F02">
            <w:pPr>
              <w:contextualSpacing/>
              <w:rPr>
                <w:rFonts w:ascii="Times New Roman" w:hAnsi="Times New Roman"/>
                <w:noProof/>
                <w:sz w:val="24"/>
              </w:rPr>
            </w:pPr>
            <w:r w:rsidRPr="008704BD">
              <w:rPr>
                <w:rFonts w:ascii="Times New Roman" w:hAnsi="Times New Roman"/>
                <w:noProof/>
                <w:sz w:val="24"/>
              </w:rPr>
              <w:t>EC (decentralised IT solution)</w:t>
            </w:r>
          </w:p>
        </w:tc>
        <w:tc>
          <w:tcPr>
            <w:tcW w:w="3096" w:type="dxa"/>
            <w:gridSpan w:val="2"/>
            <w:vAlign w:val="center"/>
          </w:tcPr>
          <w:p w14:paraId="0644E02C"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0.</w:t>
            </w:r>
            <w:r w:rsidR="0089152F" w:rsidRPr="008704BD">
              <w:rPr>
                <w:rFonts w:ascii="Times New Roman" w:hAnsi="Times New Roman"/>
                <w:noProof/>
                <w:sz w:val="24"/>
                <w:lang w:val="fr-BE"/>
              </w:rPr>
              <w:t>8</w:t>
            </w:r>
            <w:r w:rsidRPr="008704BD">
              <w:rPr>
                <w:rFonts w:ascii="Times New Roman" w:hAnsi="Times New Roman"/>
                <w:noProof/>
                <w:sz w:val="24"/>
                <w:lang w:val="fr-BE"/>
              </w:rPr>
              <w:t xml:space="preserve"> million</w:t>
            </w:r>
          </w:p>
        </w:tc>
        <w:tc>
          <w:tcPr>
            <w:tcW w:w="2989" w:type="dxa"/>
            <w:vAlign w:val="center"/>
          </w:tcPr>
          <w:p w14:paraId="1B58BB59"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0.1 million</w:t>
            </w:r>
          </w:p>
        </w:tc>
      </w:tr>
      <w:tr w:rsidR="006E5F59" w:rsidRPr="00D312CE" w14:paraId="4140C16A" w14:textId="77777777" w:rsidTr="00314F02">
        <w:trPr>
          <w:cantSplit/>
          <w:trHeight w:val="480"/>
        </w:trPr>
        <w:tc>
          <w:tcPr>
            <w:tcW w:w="3095" w:type="dxa"/>
            <w:gridSpan w:val="2"/>
            <w:shd w:val="clear" w:color="auto" w:fill="A6A6A6" w:themeFill="background1" w:themeFillShade="A6"/>
            <w:vAlign w:val="center"/>
          </w:tcPr>
          <w:p w14:paraId="5262FB58"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EC (Central Directory)</w:t>
            </w:r>
          </w:p>
        </w:tc>
        <w:tc>
          <w:tcPr>
            <w:tcW w:w="3096" w:type="dxa"/>
            <w:gridSpan w:val="2"/>
            <w:vAlign w:val="center"/>
          </w:tcPr>
          <w:p w14:paraId="3A512FE4"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0.48 million</w:t>
            </w:r>
          </w:p>
        </w:tc>
        <w:tc>
          <w:tcPr>
            <w:tcW w:w="2989" w:type="dxa"/>
            <w:vAlign w:val="center"/>
          </w:tcPr>
          <w:p w14:paraId="57A71E42"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0.21 million</w:t>
            </w:r>
          </w:p>
        </w:tc>
      </w:tr>
      <w:tr w:rsidR="006E5F59" w:rsidRPr="00D312CE" w14:paraId="1CCF7215" w14:textId="77777777" w:rsidTr="00314F02">
        <w:trPr>
          <w:cantSplit/>
          <w:trHeight w:val="480"/>
        </w:trPr>
        <w:tc>
          <w:tcPr>
            <w:tcW w:w="3095" w:type="dxa"/>
            <w:gridSpan w:val="2"/>
            <w:shd w:val="clear" w:color="auto" w:fill="A6A6A6" w:themeFill="background1" w:themeFillShade="A6"/>
            <w:vAlign w:val="center"/>
          </w:tcPr>
          <w:p w14:paraId="6C48C783"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EC (Single Access Point)</w:t>
            </w:r>
          </w:p>
        </w:tc>
        <w:tc>
          <w:tcPr>
            <w:tcW w:w="3096" w:type="dxa"/>
            <w:gridSpan w:val="2"/>
            <w:vAlign w:val="center"/>
          </w:tcPr>
          <w:p w14:paraId="3F1ADBC9" w14:textId="77777777" w:rsidR="006E5F59" w:rsidRPr="008704BD" w:rsidRDefault="006E5F59" w:rsidP="00314F02">
            <w:pPr>
              <w:contextualSpacing/>
              <w:rPr>
                <w:rFonts w:ascii="Times New Roman" w:hAnsi="Times New Roman"/>
                <w:noProof/>
                <w:sz w:val="24"/>
                <w:lang w:val="fr-BE"/>
              </w:rPr>
            </w:pPr>
            <w:r w:rsidRPr="008704BD">
              <w:rPr>
                <w:rFonts w:ascii="Times New Roman" w:hAnsi="Times New Roman"/>
                <w:noProof/>
                <w:sz w:val="24"/>
                <w:lang w:val="fr-BE"/>
              </w:rPr>
              <w:t>EUR 1.35 million</w:t>
            </w:r>
          </w:p>
        </w:tc>
        <w:tc>
          <w:tcPr>
            <w:tcW w:w="2989" w:type="dxa"/>
            <w:vAlign w:val="center"/>
          </w:tcPr>
          <w:p w14:paraId="046E76C7" w14:textId="77777777" w:rsidR="006E5F59" w:rsidRPr="008704BD" w:rsidRDefault="006E5F59" w:rsidP="00314F02">
            <w:pPr>
              <w:contextualSpacing/>
              <w:rPr>
                <w:rFonts w:ascii="Times New Roman" w:hAnsi="Times New Roman"/>
                <w:noProof/>
                <w:sz w:val="24"/>
              </w:rPr>
            </w:pPr>
            <w:r w:rsidRPr="008704BD">
              <w:rPr>
                <w:rFonts w:ascii="Times New Roman" w:hAnsi="Times New Roman"/>
                <w:noProof/>
                <w:sz w:val="24"/>
                <w:lang w:val="fr-BE"/>
              </w:rPr>
              <w:t>EUR 0.21 mi</w:t>
            </w:r>
            <w:r w:rsidRPr="008704BD">
              <w:rPr>
                <w:rFonts w:ascii="Times New Roman" w:hAnsi="Times New Roman"/>
                <w:noProof/>
                <w:sz w:val="24"/>
              </w:rPr>
              <w:t>llion</w:t>
            </w:r>
          </w:p>
        </w:tc>
      </w:tr>
    </w:tbl>
    <w:p w14:paraId="5D585589" w14:textId="77777777" w:rsidR="006E5F59" w:rsidRPr="008704BD" w:rsidRDefault="006E5F59" w:rsidP="3CB93237">
      <w:pPr>
        <w:jc w:val="both"/>
        <w:rPr>
          <w:rFonts w:ascii="Times New Roman" w:hAnsi="Times New Roman"/>
          <w:noProof/>
          <w:sz w:val="24"/>
        </w:rPr>
      </w:pPr>
      <w:r w:rsidRPr="008704BD">
        <w:rPr>
          <w:rFonts w:ascii="Times New Roman" w:hAnsi="Times New Roman"/>
          <w:b/>
          <w:noProof/>
          <w:sz w:val="24"/>
        </w:rPr>
        <w:t>Notes:</w:t>
      </w:r>
      <w:r w:rsidRPr="008704BD">
        <w:rPr>
          <w:rFonts w:ascii="Times New Roman" w:hAnsi="Times New Roman"/>
          <w:noProof/>
          <w:sz w:val="24"/>
        </w:rPr>
        <w:t xml:space="preserve"> (1) The figures in the table are rounded. </w:t>
      </w:r>
      <w:r w:rsidRPr="008704BD">
        <w:rPr>
          <w:rFonts w:ascii="Times New Roman" w:hAnsi="Times New Roman"/>
          <w:noProof/>
          <w:sz w:val="24"/>
          <w:lang w:val="sv-SE"/>
        </w:rPr>
        <w:t xml:space="preserve">(2) TA = tax administration in EU. </w:t>
      </w:r>
      <w:r w:rsidRPr="008704BD">
        <w:rPr>
          <w:rFonts w:ascii="Times New Roman" w:hAnsi="Times New Roman"/>
          <w:noProof/>
          <w:sz w:val="24"/>
        </w:rPr>
        <w:t xml:space="preserve">EC = European Commission. (3) For costing details relative to TA and EC see </w:t>
      </w:r>
      <w:r w:rsidRPr="008704BD" w:rsidDel="0037626F">
        <w:rPr>
          <w:rFonts w:ascii="Times New Roman" w:hAnsi="Times New Roman"/>
          <w:noProof/>
          <w:sz w:val="24"/>
        </w:rPr>
        <w:t xml:space="preserve">Annex </w:t>
      </w:r>
      <w:r w:rsidR="0037626F" w:rsidRPr="008704BD">
        <w:rPr>
          <w:rFonts w:ascii="Times New Roman" w:hAnsi="Times New Roman"/>
          <w:noProof/>
          <w:sz w:val="24"/>
        </w:rPr>
        <w:t>5</w:t>
      </w:r>
      <w:r w:rsidRPr="008704BD">
        <w:rPr>
          <w:rFonts w:ascii="Times New Roman" w:hAnsi="Times New Roman"/>
          <w:noProof/>
          <w:sz w:val="24"/>
        </w:rPr>
        <w:t>. CASPs costs are assumed not to be affected by the IT solution used for reporting/information exchange.</w:t>
      </w:r>
    </w:p>
    <w:p w14:paraId="20D654AB" w14:textId="77777777" w:rsidR="006E5F59" w:rsidRPr="008704BD" w:rsidRDefault="006E5F59" w:rsidP="006E5F59">
      <w:pPr>
        <w:rPr>
          <w:rFonts w:ascii="Times New Roman" w:hAnsi="Times New Roman"/>
          <w:noProof/>
          <w:sz w:val="24"/>
        </w:rPr>
      </w:pPr>
      <w:r w:rsidRPr="008704BD">
        <w:rPr>
          <w:rFonts w:ascii="Times New Roman" w:hAnsi="Times New Roman"/>
          <w:noProof/>
          <w:sz w:val="24"/>
        </w:rPr>
        <w:t xml:space="preserve">In order to estimate the </w:t>
      </w:r>
      <w:r w:rsidRPr="008704BD">
        <w:rPr>
          <w:rFonts w:ascii="Times New Roman" w:hAnsi="Times New Roman"/>
          <w:b/>
          <w:i/>
          <w:noProof/>
          <w:sz w:val="24"/>
        </w:rPr>
        <w:t>costs for CASPs</w:t>
      </w:r>
      <w:r w:rsidRPr="008704BD">
        <w:rPr>
          <w:rFonts w:ascii="Times New Roman" w:hAnsi="Times New Roman"/>
          <w:noProof/>
          <w:sz w:val="24"/>
        </w:rPr>
        <w:t xml:space="preserve">, both recurrent and one-off, a number of assumptions needed to be employed. </w:t>
      </w:r>
    </w:p>
    <w:p w14:paraId="597AED2D" w14:textId="77777777" w:rsidR="006E5F59" w:rsidRPr="008704BD" w:rsidRDefault="006E5F59" w:rsidP="006E5F59">
      <w:pPr>
        <w:pStyle w:val="ListParagraph"/>
        <w:numPr>
          <w:ilvl w:val="0"/>
          <w:numId w:val="79"/>
        </w:numPr>
        <w:spacing w:after="200" w:line="276" w:lineRule="auto"/>
        <w:jc w:val="both"/>
        <w:rPr>
          <w:rFonts w:ascii="Times New Roman" w:hAnsi="Times New Roman"/>
          <w:noProof/>
          <w:sz w:val="24"/>
        </w:rPr>
      </w:pPr>
      <w:r w:rsidRPr="008704BD">
        <w:rPr>
          <w:rFonts w:ascii="Times New Roman" w:hAnsi="Times New Roman"/>
          <w:noProof/>
          <w:sz w:val="24"/>
        </w:rPr>
        <w:t>Assumptions used to estimate the number of crypto-asset users</w:t>
      </w:r>
      <w:r w:rsidR="00D90D38" w:rsidRPr="008704BD">
        <w:rPr>
          <w:rFonts w:ascii="Times New Roman" w:hAnsi="Times New Roman"/>
          <w:noProof/>
          <w:sz w:val="24"/>
        </w:rPr>
        <w:t>:</w:t>
      </w:r>
    </w:p>
    <w:p w14:paraId="5BE9B502" w14:textId="77777777"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According to Binance (2021), there were more than 100 million users of crypto-assets worldwide in 2020. </w:t>
      </w:r>
    </w:p>
    <w:p w14:paraId="2FD1E984" w14:textId="77777777"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Bitcoin remains the dominant cryptocurrency with a 47% total market share (Coin Market Cap as at 27/6/2021). In the absence of the official statistics, we use this dominance indicator and estimate 47 million Bitcoin users worldwide.</w:t>
      </w:r>
    </w:p>
    <w:p w14:paraId="22F833FD" w14:textId="77777777"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In order to estimate the number of users in the EU or, more precisely, in the internal market, we rely on the data from Chainalysis. As they focus on Bitcoin information, they find that just over 25% of all Bitcoins are held at service-based addresses in Northern and Western Europe. As we lack a more granular, per country, information, we assume that there are roughly </w:t>
      </w:r>
      <w:r w:rsidRPr="008704BD">
        <w:rPr>
          <w:rFonts w:ascii="Times New Roman" w:hAnsi="Times New Roman"/>
          <w:b/>
          <w:noProof/>
          <w:sz w:val="24"/>
        </w:rPr>
        <w:t xml:space="preserve">12 million Bitcoin users in EU </w:t>
      </w:r>
      <w:r w:rsidRPr="008704BD">
        <w:rPr>
          <w:rFonts w:ascii="Times New Roman" w:hAnsi="Times New Roman"/>
          <w:noProof/>
          <w:sz w:val="24"/>
        </w:rPr>
        <w:t>by applying the same 25% rate to the number of worldwide Bitcoin users.</w:t>
      </w:r>
    </w:p>
    <w:p w14:paraId="26EF2BE1" w14:textId="77777777"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We also use a simplifying assumption ‘one user, one account’ in the absence of more precise data, which lets us estimate </w:t>
      </w:r>
      <w:r w:rsidRPr="008704BD">
        <w:rPr>
          <w:rFonts w:ascii="Times New Roman" w:hAnsi="Times New Roman"/>
          <w:b/>
          <w:noProof/>
          <w:sz w:val="24"/>
        </w:rPr>
        <w:t>12 million accounts in the EU</w:t>
      </w:r>
      <w:r w:rsidRPr="008704BD">
        <w:rPr>
          <w:rFonts w:ascii="Times New Roman" w:hAnsi="Times New Roman"/>
          <w:noProof/>
          <w:sz w:val="24"/>
        </w:rPr>
        <w:t>. This assumption is imperfect as a single user can own more accounts simultaneously and/or operate with cryptocurrencies other than Bitcoin. Any further estimates employing this assumption should be interpreted with caution.</w:t>
      </w:r>
    </w:p>
    <w:p w14:paraId="40732EB4" w14:textId="77777777" w:rsidR="006E5F59" w:rsidRPr="008704BD" w:rsidRDefault="006E5F59" w:rsidP="006E5F59">
      <w:pPr>
        <w:pStyle w:val="ListParagraph"/>
        <w:numPr>
          <w:ilvl w:val="0"/>
          <w:numId w:val="79"/>
        </w:numPr>
        <w:spacing w:after="200" w:line="276" w:lineRule="auto"/>
        <w:jc w:val="both"/>
        <w:rPr>
          <w:rFonts w:ascii="Times New Roman" w:hAnsi="Times New Roman"/>
          <w:noProof/>
          <w:sz w:val="24"/>
        </w:rPr>
      </w:pPr>
      <w:r w:rsidRPr="008704BD">
        <w:rPr>
          <w:rFonts w:ascii="Times New Roman" w:hAnsi="Times New Roman"/>
          <w:noProof/>
          <w:sz w:val="24"/>
        </w:rPr>
        <w:t>Assumptions used to estimate total costs</w:t>
      </w:r>
    </w:p>
    <w:p w14:paraId="1DD392AC" w14:textId="77777777"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In order to estimate the total costs for CASPs, we rely on projected DAC2 costs incurred by the traditional financial institutions when implementing the directive. The data employed derive from the Commission’s DAC evaluation report from 2019.</w:t>
      </w:r>
    </w:p>
    <w:p w14:paraId="58AE9DCF" w14:textId="6C3E4FAB"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The DAC2 average cost per account </w:t>
      </w:r>
      <w:r w:rsidR="00B742AB">
        <w:rPr>
          <w:rFonts w:ascii="Times New Roman" w:hAnsi="Times New Roman"/>
          <w:noProof/>
          <w:sz w:val="24"/>
        </w:rPr>
        <w:t>is estimated at</w:t>
      </w:r>
      <w:r w:rsidRPr="008704BD">
        <w:rPr>
          <w:rFonts w:ascii="Times New Roman" w:hAnsi="Times New Roman"/>
          <w:noProof/>
          <w:sz w:val="24"/>
        </w:rPr>
        <w:t xml:space="preserve"> EUR 6.4</w:t>
      </w:r>
      <w:r w:rsidRPr="008704BD">
        <w:rPr>
          <w:rFonts w:ascii="Times New Roman" w:hAnsi="Times New Roman"/>
          <w:b/>
          <w:noProof/>
          <w:sz w:val="24"/>
        </w:rPr>
        <w:t xml:space="preserve"> </w:t>
      </w:r>
      <w:r w:rsidRPr="008704BD">
        <w:rPr>
          <w:rFonts w:ascii="Times New Roman" w:hAnsi="Times New Roman"/>
          <w:noProof/>
          <w:sz w:val="24"/>
        </w:rPr>
        <w:t xml:space="preserve">for automatic exchanges between tax administrations, but the traditional financial institutions incurred 10 times higher costs than the authorities (i.e. EUR 64). A share of 92% and 8% of total costs were relative to one-off and recurrent costs respectively (Commission’s DAC Evaluation 2019). </w:t>
      </w:r>
    </w:p>
    <w:p w14:paraId="3DE8F96C" w14:textId="77777777"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In the DAC7 impact assessment, by taking DAC2 as a comparable set of obligations imposed on the reporting subject, it has been assumed that the total costs for the traditional financial institutions were higher than for digital platform operators (in scope of DAC7), given that the costs incurred by financial institutions encompassed the costs stemming from the reporting requirements under FATCA and CRS under which the due diligence procedure is more stringent. Furthermore, given the digital model of platform operators and the development of the IT infrastructure, it was assumed that access to the data was less costly. These assumptions significantly lowered total reporting costs per account. </w:t>
      </w:r>
      <w:r w:rsidR="351EBC71" w:rsidRPr="008704BD">
        <w:rPr>
          <w:rFonts w:ascii="Times New Roman" w:hAnsi="Times New Roman"/>
          <w:noProof/>
          <w:sz w:val="24"/>
        </w:rPr>
        <w:t xml:space="preserve">We consider that these assumptions remain valid for CASPs as well. </w:t>
      </w:r>
      <w:r w:rsidRPr="008704BD">
        <w:rPr>
          <w:rFonts w:ascii="Times New Roman" w:hAnsi="Times New Roman"/>
          <w:noProof/>
          <w:sz w:val="24"/>
        </w:rPr>
        <w:t>Hence, we assume that the total</w:t>
      </w:r>
      <w:r w:rsidRPr="008704BD">
        <w:rPr>
          <w:rFonts w:ascii="Times New Roman" w:hAnsi="Times New Roman"/>
          <w:b/>
          <w:noProof/>
          <w:sz w:val="24"/>
        </w:rPr>
        <w:t xml:space="preserve"> </w:t>
      </w:r>
      <w:r w:rsidRPr="008704BD">
        <w:rPr>
          <w:rFonts w:ascii="Times New Roman" w:hAnsi="Times New Roman"/>
          <w:noProof/>
          <w:sz w:val="24"/>
        </w:rPr>
        <w:t>costs for CASPs will be</w:t>
      </w:r>
      <w:r w:rsidRPr="008704BD">
        <w:rPr>
          <w:rFonts w:ascii="Times New Roman" w:hAnsi="Times New Roman"/>
          <w:b/>
          <w:noProof/>
          <w:sz w:val="24"/>
        </w:rPr>
        <w:t xml:space="preserve"> EUR 25 </w:t>
      </w:r>
      <w:r w:rsidRPr="008704BD">
        <w:rPr>
          <w:rFonts w:ascii="Times New Roman" w:hAnsi="Times New Roman"/>
          <w:noProof/>
          <w:sz w:val="24"/>
        </w:rPr>
        <w:t xml:space="preserve">per account reported, of which </w:t>
      </w:r>
      <w:r w:rsidRPr="008704BD">
        <w:rPr>
          <w:rFonts w:ascii="Times New Roman" w:hAnsi="Times New Roman"/>
          <w:b/>
          <w:noProof/>
          <w:sz w:val="24"/>
        </w:rPr>
        <w:t>EUR 23</w:t>
      </w:r>
      <w:r w:rsidRPr="008704BD">
        <w:rPr>
          <w:rFonts w:ascii="Times New Roman" w:hAnsi="Times New Roman"/>
          <w:noProof/>
          <w:sz w:val="24"/>
        </w:rPr>
        <w:t xml:space="preserve"> for one-off and </w:t>
      </w:r>
      <w:r w:rsidRPr="008704BD">
        <w:rPr>
          <w:rFonts w:ascii="Times New Roman" w:hAnsi="Times New Roman"/>
          <w:b/>
          <w:noProof/>
          <w:sz w:val="24"/>
        </w:rPr>
        <w:t>EUR 2</w:t>
      </w:r>
      <w:r w:rsidRPr="008704BD">
        <w:rPr>
          <w:rFonts w:ascii="Times New Roman" w:hAnsi="Times New Roman"/>
          <w:noProof/>
          <w:sz w:val="24"/>
        </w:rPr>
        <w:t xml:space="preserve"> for recurrent costs (when applying the before said rates as per the Commission’s DAC Evaluation report).</w:t>
      </w:r>
    </w:p>
    <w:p w14:paraId="2DB57B4D" w14:textId="77777777" w:rsidR="006E5F59" w:rsidRPr="008704BD"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When multiplying the retrieved costs per account by the number of accounts, this gives total recurrent costs of </w:t>
      </w:r>
      <w:r w:rsidRPr="003449EB">
        <w:rPr>
          <w:rFonts w:ascii="Times New Roman" w:hAnsi="Times New Roman"/>
          <w:noProof/>
          <w:sz w:val="24"/>
        </w:rPr>
        <w:t>EUR 24 million</w:t>
      </w:r>
      <w:r w:rsidRPr="008704BD">
        <w:rPr>
          <w:rFonts w:ascii="Times New Roman" w:hAnsi="Times New Roman"/>
          <w:noProof/>
          <w:sz w:val="24"/>
        </w:rPr>
        <w:t xml:space="preserve"> (12 million accounts * EUR 2) and total one-off costs of </w:t>
      </w:r>
      <w:r w:rsidRPr="003449EB">
        <w:rPr>
          <w:rFonts w:ascii="Times New Roman" w:hAnsi="Times New Roman"/>
          <w:noProof/>
          <w:sz w:val="24"/>
        </w:rPr>
        <w:t>EUR 276 million</w:t>
      </w:r>
      <w:r w:rsidRPr="008704BD">
        <w:rPr>
          <w:rFonts w:ascii="Times New Roman" w:hAnsi="Times New Roman"/>
          <w:noProof/>
          <w:sz w:val="24"/>
        </w:rPr>
        <w:t xml:space="preserve"> (12 million accounts * EUR 23).</w:t>
      </w:r>
    </w:p>
    <w:p w14:paraId="2648155C" w14:textId="77777777" w:rsidR="006E5F59" w:rsidRPr="008704BD" w:rsidRDefault="2F519E63" w:rsidP="00D603CB">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Similar to what we did for estimating the benefits, the costs are adjusted by 6% (assumed to be the market share of non-marketable crypto-assets and utility tokens) in the </w:t>
      </w:r>
      <w:r w:rsidR="351EBC71" w:rsidRPr="008704BD">
        <w:rPr>
          <w:rFonts w:ascii="Times New Roman" w:hAnsi="Times New Roman"/>
          <w:noProof/>
          <w:sz w:val="24"/>
        </w:rPr>
        <w:t>options where the crypto-assets in scope exclude non-marketable crypto-assets and utility tokens</w:t>
      </w:r>
      <w:r w:rsidRPr="008704BD">
        <w:rPr>
          <w:rFonts w:ascii="Times New Roman" w:hAnsi="Times New Roman"/>
          <w:noProof/>
          <w:sz w:val="24"/>
        </w:rPr>
        <w:t xml:space="preserve">. </w:t>
      </w:r>
    </w:p>
    <w:p w14:paraId="366842D7" w14:textId="77777777" w:rsidR="006E5F59" w:rsidRDefault="2F519E63" w:rsidP="006E5F59">
      <w:pPr>
        <w:pStyle w:val="ListParagraph"/>
        <w:numPr>
          <w:ilvl w:val="1"/>
          <w:numId w:val="79"/>
        </w:numPr>
        <w:spacing w:after="200" w:line="276" w:lineRule="auto"/>
        <w:ind w:left="1077" w:hanging="357"/>
        <w:jc w:val="both"/>
        <w:rPr>
          <w:rFonts w:ascii="Times New Roman" w:hAnsi="Times New Roman"/>
          <w:noProof/>
          <w:sz w:val="24"/>
        </w:rPr>
      </w:pPr>
      <w:r w:rsidRPr="008704BD">
        <w:rPr>
          <w:rFonts w:ascii="Times New Roman" w:hAnsi="Times New Roman"/>
          <w:noProof/>
          <w:sz w:val="24"/>
        </w:rPr>
        <w:t xml:space="preserve">By reducing the costs by 3% per assets category, this gives </w:t>
      </w:r>
      <w:r w:rsidRPr="008704BD">
        <w:rPr>
          <w:rFonts w:ascii="Times New Roman" w:hAnsi="Times New Roman"/>
          <w:b/>
          <w:noProof/>
          <w:sz w:val="24"/>
        </w:rPr>
        <w:t>EUR 22.6 million</w:t>
      </w:r>
      <w:r w:rsidRPr="008704BD">
        <w:rPr>
          <w:rFonts w:ascii="Times New Roman" w:hAnsi="Times New Roman"/>
          <w:noProof/>
          <w:sz w:val="24"/>
        </w:rPr>
        <w:t xml:space="preserve"> in recurrent (24 - 24 * 0.06) and </w:t>
      </w:r>
      <w:r w:rsidRPr="008704BD">
        <w:rPr>
          <w:rFonts w:ascii="Times New Roman" w:hAnsi="Times New Roman"/>
          <w:b/>
          <w:noProof/>
          <w:sz w:val="24"/>
        </w:rPr>
        <w:t>EUR 259 million</w:t>
      </w:r>
      <w:r w:rsidRPr="008704BD">
        <w:rPr>
          <w:rFonts w:ascii="Times New Roman" w:hAnsi="Times New Roman"/>
          <w:noProof/>
          <w:sz w:val="24"/>
        </w:rPr>
        <w:t xml:space="preserve"> in one-off costs (276 - 276 * 0.06).</w:t>
      </w:r>
    </w:p>
    <w:p w14:paraId="58D8F278" w14:textId="77777777" w:rsidR="00344B6F" w:rsidRPr="008704BD" w:rsidRDefault="00344B6F" w:rsidP="006E5F59">
      <w:pPr>
        <w:pStyle w:val="ListParagraph"/>
        <w:numPr>
          <w:ilvl w:val="1"/>
          <w:numId w:val="79"/>
        </w:numPr>
        <w:spacing w:after="200" w:line="276" w:lineRule="auto"/>
        <w:ind w:left="1077" w:hanging="357"/>
        <w:jc w:val="both"/>
        <w:rPr>
          <w:rFonts w:ascii="Times New Roman" w:hAnsi="Times New Roman"/>
          <w:noProof/>
          <w:sz w:val="24"/>
        </w:rPr>
      </w:pPr>
      <w:r>
        <w:rPr>
          <w:rFonts w:ascii="Times New Roman" w:hAnsi="Times New Roman"/>
          <w:noProof/>
          <w:sz w:val="24"/>
        </w:rPr>
        <w:t xml:space="preserve">Furthermore, we also performed a sensitivity analysis (+/- 10% applied to the above estimated costs. This was done so as to account for (i) price volatility of crypto-assets which can result in having more or less crypto-asset users (depending on the direction of the prices) and (ii) </w:t>
      </w:r>
      <w:r w:rsidR="00D368B4">
        <w:rPr>
          <w:rFonts w:ascii="Times New Roman" w:hAnsi="Times New Roman"/>
          <w:noProof/>
          <w:sz w:val="24"/>
        </w:rPr>
        <w:t xml:space="preserve">potential need for the second round of reporting requests by tax administrations. </w:t>
      </w:r>
      <w:r w:rsidR="00622BEC">
        <w:rPr>
          <w:rFonts w:ascii="Times New Roman" w:hAnsi="Times New Roman"/>
          <w:noProof/>
          <w:sz w:val="24"/>
        </w:rPr>
        <w:t>This gives one-off cost ranging from EUR 233.1 to 284 million, and recurrent costs from EUR 20.3 to 24.9 million.</w:t>
      </w:r>
    </w:p>
    <w:p w14:paraId="15DAC08F" w14:textId="77777777" w:rsidR="006E5F59" w:rsidRPr="008704BD" w:rsidRDefault="006E5F59" w:rsidP="006E5F59">
      <w:pPr>
        <w:pStyle w:val="ListParagraph"/>
        <w:numPr>
          <w:ilvl w:val="0"/>
          <w:numId w:val="79"/>
        </w:numPr>
        <w:spacing w:after="200" w:line="276" w:lineRule="auto"/>
        <w:jc w:val="both"/>
        <w:rPr>
          <w:rFonts w:ascii="Times New Roman" w:hAnsi="Times New Roman"/>
          <w:noProof/>
          <w:sz w:val="24"/>
        </w:rPr>
      </w:pPr>
      <w:r w:rsidRPr="008704BD">
        <w:rPr>
          <w:rFonts w:ascii="Times New Roman" w:hAnsi="Times New Roman"/>
          <w:noProof/>
          <w:sz w:val="24"/>
        </w:rPr>
        <w:t>Assumptions used to estimate the number of CASPs</w:t>
      </w:r>
    </w:p>
    <w:p w14:paraId="0419F50F" w14:textId="77777777" w:rsidR="006E5F59" w:rsidRPr="008704BD" w:rsidRDefault="6ADB9E0C" w:rsidP="006E5F59">
      <w:pPr>
        <w:pStyle w:val="ListParagraph"/>
        <w:numPr>
          <w:ilvl w:val="0"/>
          <w:numId w:val="80"/>
        </w:numPr>
        <w:spacing w:after="200" w:line="276" w:lineRule="auto"/>
        <w:jc w:val="both"/>
        <w:rPr>
          <w:rFonts w:ascii="Times New Roman" w:hAnsi="Times New Roman"/>
          <w:noProof/>
          <w:sz w:val="24"/>
        </w:rPr>
      </w:pPr>
      <w:r w:rsidRPr="008704BD">
        <w:rPr>
          <w:rFonts w:ascii="Times New Roman" w:hAnsi="Times New Roman"/>
          <w:noProof/>
          <w:sz w:val="24"/>
        </w:rPr>
        <w:t xml:space="preserve">We estimate that there are </w:t>
      </w:r>
      <w:r w:rsidR="00F506BC">
        <w:rPr>
          <w:rFonts w:ascii="Times New Roman" w:hAnsi="Times New Roman"/>
          <w:b/>
          <w:noProof/>
          <w:sz w:val="24"/>
        </w:rPr>
        <w:t>168</w:t>
      </w:r>
      <w:r w:rsidR="2F519E63" w:rsidRPr="008704BD">
        <w:rPr>
          <w:rFonts w:ascii="Times New Roman" w:hAnsi="Times New Roman"/>
          <w:b/>
          <w:noProof/>
          <w:sz w:val="24"/>
        </w:rPr>
        <w:t xml:space="preserve"> CASPs operating in the EU</w:t>
      </w:r>
      <w:r w:rsidRPr="008704BD">
        <w:rPr>
          <w:rFonts w:ascii="Times New Roman" w:hAnsi="Times New Roman"/>
          <w:noProof/>
          <w:sz w:val="24"/>
        </w:rPr>
        <w:t xml:space="preserve"> (see the assumptions made above under the benefits section).</w:t>
      </w:r>
    </w:p>
    <w:p w14:paraId="72DB0262" w14:textId="77777777" w:rsidR="006E5F59" w:rsidRPr="008704BD" w:rsidRDefault="2F519E63" w:rsidP="006E5F59">
      <w:pPr>
        <w:pStyle w:val="ListParagraph"/>
        <w:numPr>
          <w:ilvl w:val="0"/>
          <w:numId w:val="80"/>
        </w:numPr>
        <w:spacing w:after="200" w:line="276" w:lineRule="auto"/>
        <w:jc w:val="both"/>
        <w:rPr>
          <w:rFonts w:ascii="Times New Roman" w:hAnsi="Times New Roman"/>
          <w:noProof/>
          <w:sz w:val="24"/>
        </w:rPr>
      </w:pPr>
      <w:r w:rsidRPr="008704BD">
        <w:rPr>
          <w:rFonts w:ascii="Times New Roman" w:hAnsi="Times New Roman"/>
          <w:noProof/>
          <w:sz w:val="24"/>
        </w:rPr>
        <w:t xml:space="preserve">In order to estimate recurrent and one-of costs per CASP, we divide the estimated cost figures (see section b) above) by </w:t>
      </w:r>
      <w:r w:rsidR="00F506BC">
        <w:rPr>
          <w:rFonts w:ascii="Times New Roman" w:hAnsi="Times New Roman"/>
          <w:noProof/>
          <w:sz w:val="24"/>
        </w:rPr>
        <w:t>168</w:t>
      </w:r>
      <w:r w:rsidRPr="008704BD">
        <w:rPr>
          <w:rFonts w:ascii="Times New Roman" w:hAnsi="Times New Roman"/>
          <w:noProof/>
          <w:sz w:val="24"/>
        </w:rPr>
        <w:t xml:space="preserve"> for each of the scopes. The retrieved amounts are presented in the table above.</w:t>
      </w:r>
    </w:p>
    <w:p w14:paraId="56F763CF" w14:textId="77777777" w:rsidR="006E5F59" w:rsidRPr="008704BD" w:rsidRDefault="006E5F59" w:rsidP="00F42C0E">
      <w:pPr>
        <w:jc w:val="both"/>
        <w:rPr>
          <w:rFonts w:ascii="Times New Roman" w:hAnsi="Times New Roman"/>
          <w:noProof/>
          <w:sz w:val="24"/>
        </w:rPr>
      </w:pPr>
      <w:r w:rsidRPr="008704BD">
        <w:rPr>
          <w:rFonts w:ascii="Times New Roman" w:hAnsi="Times New Roman"/>
          <w:noProof/>
          <w:sz w:val="24"/>
        </w:rPr>
        <w:t xml:space="preserve">In order to estimate the </w:t>
      </w:r>
      <w:r w:rsidRPr="008704BD">
        <w:rPr>
          <w:rFonts w:ascii="Times New Roman" w:hAnsi="Times New Roman"/>
          <w:b/>
          <w:i/>
          <w:noProof/>
          <w:sz w:val="24"/>
        </w:rPr>
        <w:t>costs for tax administrations</w:t>
      </w:r>
      <w:r w:rsidRPr="008704BD">
        <w:rPr>
          <w:rFonts w:ascii="Times New Roman" w:hAnsi="Times New Roman"/>
          <w:noProof/>
          <w:sz w:val="24"/>
        </w:rPr>
        <w:t>, both recurrent and one-off, a number of assumptions needed to be employed:</w:t>
      </w:r>
    </w:p>
    <w:p w14:paraId="6BBCDFED" w14:textId="77777777" w:rsidR="00891387" w:rsidRPr="008704BD" w:rsidRDefault="351EBC71" w:rsidP="00891387">
      <w:pPr>
        <w:pStyle w:val="ListParagraph"/>
        <w:numPr>
          <w:ilvl w:val="0"/>
          <w:numId w:val="93"/>
        </w:numPr>
        <w:spacing w:after="200" w:line="276" w:lineRule="auto"/>
        <w:jc w:val="both"/>
        <w:rPr>
          <w:rFonts w:ascii="Times New Roman" w:hAnsi="Times New Roman"/>
          <w:noProof/>
          <w:sz w:val="24"/>
        </w:rPr>
      </w:pPr>
      <w:r w:rsidRPr="008704BD">
        <w:rPr>
          <w:rFonts w:ascii="Times New Roman" w:hAnsi="Times New Roman"/>
          <w:noProof/>
          <w:sz w:val="24"/>
        </w:rPr>
        <w:t>The e</w:t>
      </w:r>
      <w:r w:rsidR="2F519E63" w:rsidRPr="008704BD">
        <w:rPr>
          <w:rFonts w:ascii="Times New Roman" w:hAnsi="Times New Roman"/>
          <w:noProof/>
          <w:sz w:val="24"/>
        </w:rPr>
        <w:t xml:space="preserve">stimated costs for the exchange of information relative to crypto-assets depend on the IT solution provided. We differentiate between three IT options, the specifications of which are detailed in Annex </w:t>
      </w:r>
      <w:r w:rsidR="2F281A45" w:rsidRPr="008704BD">
        <w:rPr>
          <w:rFonts w:ascii="Times New Roman" w:hAnsi="Times New Roman"/>
          <w:noProof/>
          <w:sz w:val="24"/>
        </w:rPr>
        <w:t>5</w:t>
      </w:r>
      <w:r w:rsidR="2F519E63" w:rsidRPr="008704BD">
        <w:rPr>
          <w:rFonts w:ascii="Times New Roman" w:hAnsi="Times New Roman"/>
          <w:noProof/>
          <w:sz w:val="24"/>
        </w:rPr>
        <w:t xml:space="preserve">. </w:t>
      </w:r>
    </w:p>
    <w:p w14:paraId="47E77E3C" w14:textId="1D522041" w:rsidR="00E734A8" w:rsidRPr="008704BD" w:rsidRDefault="19AC6F5A" w:rsidP="017DE087">
      <w:pPr>
        <w:pStyle w:val="ListParagraph"/>
        <w:numPr>
          <w:ilvl w:val="0"/>
          <w:numId w:val="93"/>
        </w:numPr>
        <w:spacing w:after="200" w:line="276" w:lineRule="auto"/>
        <w:jc w:val="both"/>
        <w:rPr>
          <w:rFonts w:ascii="Times New Roman" w:hAnsi="Times New Roman"/>
          <w:noProof/>
          <w:sz w:val="24"/>
          <w:szCs w:val="24"/>
        </w:rPr>
      </w:pPr>
      <w:r w:rsidRPr="017DE087">
        <w:rPr>
          <w:rFonts w:ascii="Times New Roman" w:hAnsi="Times New Roman"/>
          <w:noProof/>
          <w:sz w:val="24"/>
          <w:szCs w:val="24"/>
        </w:rPr>
        <w:t>For the decentralized IT solution in particular, we rely on reported DAC2  cost</w:t>
      </w:r>
      <w:r w:rsidR="00270258" w:rsidRPr="017DE087">
        <w:rPr>
          <w:rFonts w:ascii="Times New Roman" w:hAnsi="Times New Roman"/>
          <w:noProof/>
          <w:sz w:val="24"/>
          <w:szCs w:val="24"/>
        </w:rPr>
        <w:t>s, divided by the number of</w:t>
      </w:r>
      <w:r w:rsidRPr="017DE087">
        <w:rPr>
          <w:rFonts w:ascii="Times New Roman" w:hAnsi="Times New Roman"/>
          <w:noProof/>
          <w:sz w:val="24"/>
          <w:szCs w:val="24"/>
        </w:rPr>
        <w:t xml:space="preserve"> accounts, which amounts to EUR 5.</w:t>
      </w:r>
      <w:r w:rsidR="00483A43" w:rsidRPr="017DE087">
        <w:rPr>
          <w:rFonts w:ascii="Times New Roman" w:hAnsi="Times New Roman"/>
          <w:noProof/>
          <w:sz w:val="24"/>
          <w:szCs w:val="24"/>
        </w:rPr>
        <w:t>4</w:t>
      </w:r>
      <w:r w:rsidRPr="017DE087">
        <w:rPr>
          <w:rFonts w:ascii="Times New Roman" w:hAnsi="Times New Roman"/>
          <w:noProof/>
          <w:sz w:val="24"/>
          <w:szCs w:val="24"/>
        </w:rPr>
        <w:t xml:space="preserve"> for one-off and EUR </w:t>
      </w:r>
      <w:r w:rsidRPr="009E2CE3">
        <w:rPr>
          <w:rFonts w:ascii="Times New Roman" w:hAnsi="Times New Roman"/>
          <w:noProof/>
          <w:sz w:val="24"/>
          <w:szCs w:val="24"/>
        </w:rPr>
        <w:t>0.5</w:t>
      </w:r>
      <w:r w:rsidRPr="017DE087">
        <w:rPr>
          <w:rFonts w:ascii="Times New Roman" w:hAnsi="Times New Roman"/>
          <w:noProof/>
          <w:sz w:val="24"/>
          <w:szCs w:val="24"/>
        </w:rPr>
        <w:t xml:space="preserve"> for recurrent costs (i.e. 92% and 8% respectively of total costs as per Commission’s DAC Evaluation report). We assume that tax administrations will incur exactly the same costs when exchanging information under DAC8 provisions. This gives EUR 6 million (12 million CASP accounts * EUR 0.5) in recurrent and EUR </w:t>
      </w:r>
      <w:r w:rsidR="00D930C7" w:rsidRPr="017DE087">
        <w:rPr>
          <w:rFonts w:ascii="Times New Roman" w:hAnsi="Times New Roman"/>
          <w:noProof/>
          <w:sz w:val="24"/>
          <w:szCs w:val="24"/>
        </w:rPr>
        <w:t>64.8</w:t>
      </w:r>
      <w:r w:rsidRPr="017DE087">
        <w:rPr>
          <w:rFonts w:ascii="Times New Roman" w:hAnsi="Times New Roman"/>
          <w:noProof/>
          <w:sz w:val="24"/>
          <w:szCs w:val="24"/>
        </w:rPr>
        <w:t xml:space="preserve"> million (12 million CASP accounts * EUR 5.</w:t>
      </w:r>
      <w:r w:rsidR="00483A43" w:rsidRPr="017DE087">
        <w:rPr>
          <w:rFonts w:ascii="Times New Roman" w:hAnsi="Times New Roman"/>
          <w:noProof/>
          <w:sz w:val="24"/>
          <w:szCs w:val="24"/>
        </w:rPr>
        <w:t>4</w:t>
      </w:r>
      <w:r w:rsidRPr="017DE087">
        <w:rPr>
          <w:rFonts w:ascii="Times New Roman" w:hAnsi="Times New Roman"/>
          <w:noProof/>
          <w:sz w:val="24"/>
          <w:szCs w:val="24"/>
        </w:rPr>
        <w:t xml:space="preserve"> in one-off costs</w:t>
      </w:r>
      <w:r w:rsidR="002E4145" w:rsidRPr="017DE087">
        <w:rPr>
          <w:rFonts w:ascii="Times New Roman" w:hAnsi="Times New Roman"/>
          <w:noProof/>
          <w:sz w:val="24"/>
          <w:szCs w:val="24"/>
        </w:rPr>
        <w:t>)</w:t>
      </w:r>
      <w:r w:rsidRPr="017DE087">
        <w:rPr>
          <w:rFonts w:ascii="Times New Roman" w:hAnsi="Times New Roman"/>
          <w:noProof/>
          <w:sz w:val="24"/>
          <w:szCs w:val="24"/>
        </w:rPr>
        <w:t>.</w:t>
      </w:r>
    </w:p>
    <w:p w14:paraId="16E29672" w14:textId="77777777" w:rsidR="00E734A8" w:rsidRPr="008704BD" w:rsidRDefault="19AC6F5A" w:rsidP="009B0D5F">
      <w:pPr>
        <w:pStyle w:val="ListParagraph"/>
        <w:numPr>
          <w:ilvl w:val="0"/>
          <w:numId w:val="93"/>
        </w:numPr>
        <w:spacing w:after="200" w:line="276" w:lineRule="auto"/>
        <w:jc w:val="both"/>
        <w:rPr>
          <w:rFonts w:ascii="Times New Roman" w:hAnsi="Times New Roman"/>
          <w:noProof/>
          <w:sz w:val="24"/>
        </w:rPr>
      </w:pPr>
      <w:r w:rsidRPr="008704BD">
        <w:rPr>
          <w:rFonts w:ascii="Times New Roman" w:hAnsi="Times New Roman"/>
          <w:noProof/>
          <w:sz w:val="24"/>
        </w:rPr>
        <w:t xml:space="preserve">The total one-off costs for tax administrations when dealing with CASPs are estimated to range from </w:t>
      </w:r>
      <w:r w:rsidRPr="008704BD">
        <w:rPr>
          <w:rFonts w:ascii="Times New Roman" w:hAnsi="Times New Roman"/>
          <w:b/>
          <w:noProof/>
          <w:sz w:val="24"/>
        </w:rPr>
        <w:t>EUR 0.5 million</w:t>
      </w:r>
      <w:r w:rsidRPr="008704BD">
        <w:rPr>
          <w:rFonts w:ascii="Times New Roman" w:hAnsi="Times New Roman"/>
          <w:noProof/>
          <w:sz w:val="24"/>
        </w:rPr>
        <w:t xml:space="preserve"> to </w:t>
      </w:r>
      <w:r w:rsidRPr="008704BD">
        <w:rPr>
          <w:rFonts w:ascii="Times New Roman" w:hAnsi="Times New Roman"/>
          <w:b/>
          <w:noProof/>
          <w:sz w:val="24"/>
        </w:rPr>
        <w:t xml:space="preserve">EUR </w:t>
      </w:r>
      <w:r w:rsidR="00483A43" w:rsidRPr="008704BD">
        <w:rPr>
          <w:rFonts w:ascii="Times New Roman" w:hAnsi="Times New Roman"/>
          <w:b/>
          <w:noProof/>
          <w:sz w:val="24"/>
        </w:rPr>
        <w:t>64.8</w:t>
      </w:r>
      <w:r w:rsidRPr="008704BD">
        <w:rPr>
          <w:rFonts w:ascii="Times New Roman" w:hAnsi="Times New Roman"/>
          <w:b/>
          <w:noProof/>
          <w:sz w:val="24"/>
        </w:rPr>
        <w:t xml:space="preserve"> million</w:t>
      </w:r>
      <w:r w:rsidRPr="008704BD">
        <w:rPr>
          <w:rFonts w:ascii="Times New Roman" w:hAnsi="Times New Roman"/>
          <w:noProof/>
          <w:sz w:val="24"/>
        </w:rPr>
        <w:t xml:space="preserve">, while the total recurrent costs are estimated to vary between </w:t>
      </w:r>
      <w:r w:rsidRPr="008704BD">
        <w:rPr>
          <w:rFonts w:ascii="Times New Roman" w:hAnsi="Times New Roman"/>
          <w:b/>
          <w:noProof/>
          <w:sz w:val="24"/>
        </w:rPr>
        <w:t>EUR 0.1 million</w:t>
      </w:r>
      <w:r w:rsidRPr="008704BD">
        <w:rPr>
          <w:rFonts w:ascii="Times New Roman" w:hAnsi="Times New Roman"/>
          <w:noProof/>
          <w:sz w:val="24"/>
        </w:rPr>
        <w:t xml:space="preserve"> and </w:t>
      </w:r>
      <w:r w:rsidRPr="008704BD">
        <w:rPr>
          <w:rFonts w:ascii="Times New Roman" w:hAnsi="Times New Roman"/>
          <w:b/>
          <w:noProof/>
          <w:sz w:val="24"/>
        </w:rPr>
        <w:t xml:space="preserve">EUR </w:t>
      </w:r>
      <w:r w:rsidR="40A787A2" w:rsidRPr="008704BD">
        <w:rPr>
          <w:rFonts w:ascii="Times New Roman" w:hAnsi="Times New Roman"/>
          <w:b/>
          <w:noProof/>
          <w:sz w:val="24"/>
        </w:rPr>
        <w:t>6</w:t>
      </w:r>
      <w:r w:rsidRPr="008704BD">
        <w:rPr>
          <w:rFonts w:ascii="Times New Roman" w:hAnsi="Times New Roman"/>
          <w:b/>
          <w:noProof/>
          <w:sz w:val="24"/>
        </w:rPr>
        <w:t xml:space="preserve"> million</w:t>
      </w:r>
      <w:r w:rsidRPr="008704BD">
        <w:rPr>
          <w:rFonts w:ascii="Times New Roman" w:hAnsi="Times New Roman"/>
          <w:noProof/>
          <w:sz w:val="24"/>
        </w:rPr>
        <w:t>.</w:t>
      </w:r>
    </w:p>
    <w:p w14:paraId="0DB2544E" w14:textId="77777777" w:rsidR="006E5F59" w:rsidRPr="008704BD" w:rsidRDefault="006E5F59" w:rsidP="006E5F59">
      <w:pPr>
        <w:rPr>
          <w:rFonts w:ascii="Times New Roman" w:hAnsi="Times New Roman"/>
          <w:noProof/>
          <w:sz w:val="24"/>
        </w:rPr>
      </w:pPr>
      <w:r w:rsidRPr="008704BD">
        <w:rPr>
          <w:rFonts w:ascii="Times New Roman" w:hAnsi="Times New Roman"/>
          <w:noProof/>
          <w:sz w:val="24"/>
        </w:rPr>
        <w:t xml:space="preserve">In order to estimate the </w:t>
      </w:r>
      <w:r w:rsidRPr="008704BD">
        <w:rPr>
          <w:rFonts w:ascii="Times New Roman" w:hAnsi="Times New Roman"/>
          <w:b/>
          <w:i/>
          <w:noProof/>
          <w:sz w:val="24"/>
        </w:rPr>
        <w:t>costs for the European Commission</w:t>
      </w:r>
      <w:r w:rsidRPr="008704BD">
        <w:rPr>
          <w:rFonts w:ascii="Times New Roman" w:hAnsi="Times New Roman"/>
          <w:noProof/>
          <w:sz w:val="24"/>
        </w:rPr>
        <w:t>, both recurrent and one-off, we assume that:</w:t>
      </w:r>
    </w:p>
    <w:p w14:paraId="0D58F35B" w14:textId="77777777" w:rsidR="006E5F59" w:rsidRPr="008704BD" w:rsidRDefault="2F519E63" w:rsidP="006E5F59">
      <w:pPr>
        <w:pStyle w:val="ListParagraph"/>
        <w:numPr>
          <w:ilvl w:val="0"/>
          <w:numId w:val="87"/>
        </w:numPr>
        <w:spacing w:after="200" w:line="240" w:lineRule="auto"/>
        <w:jc w:val="both"/>
        <w:rPr>
          <w:rFonts w:ascii="Times New Roman" w:hAnsi="Times New Roman"/>
          <w:noProof/>
          <w:sz w:val="24"/>
        </w:rPr>
      </w:pPr>
      <w:r w:rsidRPr="008704BD">
        <w:rPr>
          <w:rFonts w:ascii="Times New Roman" w:hAnsi="Times New Roman"/>
          <w:noProof/>
          <w:sz w:val="24"/>
        </w:rPr>
        <w:t xml:space="preserve">CASP related costs will depend on the IT solution provided. We differentiate between three IT options, the specifications of which are detailed in Annex </w:t>
      </w:r>
      <w:r w:rsidR="2F281A45" w:rsidRPr="008704BD">
        <w:rPr>
          <w:rFonts w:ascii="Times New Roman" w:hAnsi="Times New Roman"/>
          <w:noProof/>
          <w:sz w:val="24"/>
        </w:rPr>
        <w:t>5</w:t>
      </w:r>
      <w:r w:rsidRPr="008704BD">
        <w:rPr>
          <w:rFonts w:ascii="Times New Roman" w:hAnsi="Times New Roman"/>
          <w:noProof/>
          <w:sz w:val="24"/>
        </w:rPr>
        <w:t xml:space="preserve">. </w:t>
      </w:r>
    </w:p>
    <w:p w14:paraId="287C9452" w14:textId="77777777" w:rsidR="006E5F59" w:rsidRPr="008704BD" w:rsidRDefault="2F519E63" w:rsidP="006E5F59">
      <w:pPr>
        <w:pStyle w:val="ListParagraph"/>
        <w:numPr>
          <w:ilvl w:val="0"/>
          <w:numId w:val="87"/>
        </w:numPr>
        <w:spacing w:after="200" w:line="240" w:lineRule="auto"/>
        <w:jc w:val="both"/>
        <w:rPr>
          <w:rFonts w:ascii="Times New Roman" w:hAnsi="Times New Roman"/>
          <w:noProof/>
          <w:sz w:val="24"/>
        </w:rPr>
      </w:pPr>
      <w:r w:rsidRPr="008704BD">
        <w:rPr>
          <w:rFonts w:ascii="Times New Roman" w:hAnsi="Times New Roman"/>
          <w:noProof/>
          <w:sz w:val="24"/>
        </w:rPr>
        <w:t xml:space="preserve">The one-off costs for the European Commission when dealing with crypto-assets exchanges are estimated to range from </w:t>
      </w:r>
      <w:r w:rsidRPr="008704BD">
        <w:rPr>
          <w:rFonts w:ascii="Times New Roman" w:hAnsi="Times New Roman"/>
          <w:b/>
          <w:noProof/>
          <w:sz w:val="24"/>
        </w:rPr>
        <w:t>EUR</w:t>
      </w:r>
      <w:r w:rsidRPr="008704BD">
        <w:rPr>
          <w:rFonts w:ascii="Times New Roman" w:hAnsi="Times New Roman"/>
          <w:noProof/>
          <w:sz w:val="24"/>
        </w:rPr>
        <w:t xml:space="preserve"> </w:t>
      </w:r>
      <w:r w:rsidRPr="008704BD">
        <w:rPr>
          <w:rFonts w:ascii="Times New Roman" w:hAnsi="Times New Roman"/>
          <w:b/>
          <w:noProof/>
          <w:sz w:val="24"/>
        </w:rPr>
        <w:t>0.</w:t>
      </w:r>
      <w:r w:rsidR="3D585A8F" w:rsidRPr="008704BD">
        <w:rPr>
          <w:rFonts w:ascii="Times New Roman" w:hAnsi="Times New Roman"/>
          <w:b/>
          <w:noProof/>
          <w:sz w:val="24"/>
        </w:rPr>
        <w:t>48</w:t>
      </w:r>
      <w:r w:rsidRPr="008704BD">
        <w:rPr>
          <w:rFonts w:ascii="Times New Roman" w:hAnsi="Times New Roman"/>
          <w:b/>
          <w:noProof/>
          <w:sz w:val="24"/>
        </w:rPr>
        <w:t xml:space="preserve"> million to EUR 1.35 million</w:t>
      </w:r>
      <w:r w:rsidRPr="008704BD">
        <w:rPr>
          <w:rFonts w:ascii="Times New Roman" w:hAnsi="Times New Roman"/>
          <w:noProof/>
          <w:sz w:val="24"/>
        </w:rPr>
        <w:t xml:space="preserve">, while the recurrent costs are expected to vary between </w:t>
      </w:r>
      <w:r w:rsidRPr="008704BD">
        <w:rPr>
          <w:rFonts w:ascii="Times New Roman" w:hAnsi="Times New Roman"/>
          <w:b/>
          <w:noProof/>
          <w:sz w:val="24"/>
        </w:rPr>
        <w:t>EUR 0.1 and EUR 0.21 million</w:t>
      </w:r>
      <w:r w:rsidRPr="008704BD">
        <w:rPr>
          <w:rFonts w:ascii="Times New Roman" w:hAnsi="Times New Roman"/>
          <w:noProof/>
          <w:sz w:val="24"/>
        </w:rPr>
        <w:t>.</w:t>
      </w:r>
    </w:p>
    <w:p w14:paraId="4E52D259" w14:textId="77777777" w:rsidR="006E5F59" w:rsidRDefault="006E5F59">
      <w:pPr>
        <w:rPr>
          <w:rFonts w:ascii="Times New Roman" w:eastAsiaTheme="majorEastAsia" w:hAnsi="Times New Roman" w:cs="Times New Roman"/>
          <w:b/>
          <w:noProof/>
          <w:sz w:val="28"/>
          <w:szCs w:val="28"/>
        </w:rPr>
      </w:pPr>
      <w:r>
        <w:rPr>
          <w:rFonts w:ascii="Times New Roman" w:hAnsi="Times New Roman" w:cs="Times New Roman"/>
          <w:noProof/>
        </w:rPr>
        <w:br w:type="page"/>
      </w:r>
    </w:p>
    <w:p w14:paraId="5A5C81E3" w14:textId="77777777" w:rsidR="006E5F59" w:rsidRPr="006E5F59" w:rsidRDefault="006E5F59" w:rsidP="006E5F59">
      <w:pPr>
        <w:pStyle w:val="Heading1"/>
        <w:rPr>
          <w:rFonts w:ascii="Times New Roman" w:hAnsi="Times New Roman" w:cs="Times New Roman"/>
          <w:noProof/>
        </w:rPr>
      </w:pPr>
      <w:bookmarkStart w:id="502" w:name="_Toc84520062"/>
      <w:bookmarkStart w:id="503" w:name="_Toc84579927"/>
      <w:bookmarkStart w:id="504" w:name="_Toc85052222"/>
      <w:bookmarkStart w:id="505" w:name="_Toc1234489286"/>
      <w:bookmarkStart w:id="506" w:name="_Toc828387603"/>
      <w:bookmarkStart w:id="507" w:name="_Toc1943146025"/>
      <w:bookmarkStart w:id="508" w:name="_Toc93306898"/>
      <w:r w:rsidRPr="41BAA3BB">
        <w:rPr>
          <w:rFonts w:ascii="Times New Roman" w:hAnsi="Times New Roman" w:cs="Times New Roman"/>
          <w:noProof/>
        </w:rPr>
        <w:t xml:space="preserve">ANNEX </w:t>
      </w:r>
      <w:r w:rsidR="00591A71" w:rsidRPr="41BAA3BB">
        <w:rPr>
          <w:rFonts w:ascii="Times New Roman" w:hAnsi="Times New Roman" w:cs="Times New Roman"/>
          <w:noProof/>
        </w:rPr>
        <w:t>5</w:t>
      </w:r>
      <w:r w:rsidRPr="41BAA3BB">
        <w:rPr>
          <w:rFonts w:ascii="Times New Roman" w:hAnsi="Times New Roman" w:cs="Times New Roman"/>
          <w:noProof/>
        </w:rPr>
        <w:t>:</w:t>
      </w:r>
      <w:r>
        <w:rPr>
          <w:noProof/>
        </w:rPr>
        <w:tab/>
      </w:r>
      <w:r w:rsidRPr="41BAA3BB">
        <w:rPr>
          <w:rFonts w:ascii="Times New Roman" w:hAnsi="Times New Roman" w:cs="Times New Roman"/>
          <w:noProof/>
        </w:rPr>
        <w:t>IT SOLUTION</w:t>
      </w:r>
      <w:bookmarkEnd w:id="502"/>
      <w:bookmarkEnd w:id="503"/>
      <w:bookmarkEnd w:id="504"/>
      <w:bookmarkEnd w:id="505"/>
      <w:bookmarkEnd w:id="506"/>
      <w:bookmarkEnd w:id="507"/>
      <w:bookmarkEnd w:id="508"/>
    </w:p>
    <w:p w14:paraId="29EFCE56" w14:textId="77777777" w:rsidR="006E5F59" w:rsidRPr="008704BD" w:rsidRDefault="006E5F59" w:rsidP="00C972ED">
      <w:pPr>
        <w:pStyle w:val="ListParagraph"/>
        <w:numPr>
          <w:ilvl w:val="0"/>
          <w:numId w:val="102"/>
        </w:numPr>
        <w:jc w:val="both"/>
        <w:rPr>
          <w:rFonts w:ascii="Times New Roman" w:hAnsi="Times New Roman"/>
          <w:b/>
          <w:noProof/>
          <w:sz w:val="24"/>
        </w:rPr>
      </w:pPr>
      <w:r w:rsidRPr="008704BD">
        <w:rPr>
          <w:rFonts w:ascii="Times New Roman" w:hAnsi="Times New Roman"/>
          <w:b/>
          <w:noProof/>
          <w:sz w:val="24"/>
        </w:rPr>
        <w:t>General description of DAC IT solutions</w:t>
      </w:r>
    </w:p>
    <w:p w14:paraId="6FCB9028" w14:textId="72AC16B5"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 Directive on Administrative Cooperation (DAC) sets in Section II, the legal basis for the automatic exchange of different types of information between the competent authorities of each Member State. </w:t>
      </w:r>
    </w:p>
    <w:p w14:paraId="6F664358"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There are four particularities concerning the reporting and exchange of information of the different DACs: </w:t>
      </w:r>
    </w:p>
    <w:p w14:paraId="413267B4" w14:textId="77777777" w:rsidR="006E5F59" w:rsidRPr="008704BD" w:rsidRDefault="006E5F59" w:rsidP="006E5F59">
      <w:pPr>
        <w:pStyle w:val="ListParagraph"/>
        <w:numPr>
          <w:ilvl w:val="0"/>
          <w:numId w:val="82"/>
        </w:numPr>
        <w:jc w:val="both"/>
        <w:rPr>
          <w:rFonts w:ascii="Times New Roman" w:hAnsi="Times New Roman"/>
          <w:noProof/>
          <w:sz w:val="24"/>
        </w:rPr>
      </w:pPr>
      <w:r w:rsidRPr="008704BD">
        <w:rPr>
          <w:rFonts w:ascii="Times New Roman" w:hAnsi="Times New Roman"/>
          <w:noProof/>
          <w:sz w:val="24"/>
        </w:rPr>
        <w:t xml:space="preserve">DAC1 and DAC3 exchanges deal with information held by the competent authorities; </w:t>
      </w:r>
    </w:p>
    <w:p w14:paraId="45C12B0C" w14:textId="77777777" w:rsidR="006E5F59" w:rsidRPr="008704BD" w:rsidRDefault="006E5F59" w:rsidP="006E5F59">
      <w:pPr>
        <w:pStyle w:val="ListParagraph"/>
        <w:numPr>
          <w:ilvl w:val="0"/>
          <w:numId w:val="82"/>
        </w:numPr>
        <w:jc w:val="both"/>
        <w:rPr>
          <w:rFonts w:ascii="Times New Roman" w:hAnsi="Times New Roman"/>
          <w:noProof/>
          <w:sz w:val="24"/>
        </w:rPr>
      </w:pPr>
      <w:r w:rsidRPr="008704BD">
        <w:rPr>
          <w:rFonts w:ascii="Times New Roman" w:hAnsi="Times New Roman"/>
          <w:noProof/>
          <w:sz w:val="24"/>
        </w:rPr>
        <w:t xml:space="preserve">DAC2, DAC4, DAC6 and DAC7 exchanges deal with information that the competent authority receives from a reporting entity, be it a financial institution, a large multinational enterprise, an intermediary or a digital platform operator; </w:t>
      </w:r>
    </w:p>
    <w:p w14:paraId="1E9D5037" w14:textId="77777777" w:rsidR="006E5F59" w:rsidRPr="008704BD" w:rsidRDefault="006E5F59" w:rsidP="006E5F59">
      <w:pPr>
        <w:pStyle w:val="ListParagraph"/>
        <w:numPr>
          <w:ilvl w:val="0"/>
          <w:numId w:val="82"/>
        </w:numPr>
        <w:jc w:val="both"/>
        <w:rPr>
          <w:rFonts w:ascii="Times New Roman" w:hAnsi="Times New Roman"/>
          <w:noProof/>
          <w:sz w:val="24"/>
        </w:rPr>
      </w:pPr>
      <w:r w:rsidRPr="008704BD">
        <w:rPr>
          <w:rFonts w:ascii="Times New Roman" w:hAnsi="Times New Roman"/>
          <w:noProof/>
          <w:sz w:val="24"/>
        </w:rPr>
        <w:t xml:space="preserve">DAC3 and DAC6 information is uploaded by each competent authority on a Central Directory, where it is available to the other competent authorities, and </w:t>
      </w:r>
    </w:p>
    <w:p w14:paraId="141B1431" w14:textId="77777777" w:rsidR="006E5F59" w:rsidRPr="008704BD" w:rsidRDefault="006E5F59" w:rsidP="006E5F59">
      <w:pPr>
        <w:pStyle w:val="ListParagraph"/>
        <w:numPr>
          <w:ilvl w:val="0"/>
          <w:numId w:val="82"/>
        </w:numPr>
        <w:jc w:val="both"/>
        <w:rPr>
          <w:rFonts w:ascii="Times New Roman" w:hAnsi="Times New Roman"/>
          <w:noProof/>
          <w:sz w:val="24"/>
        </w:rPr>
      </w:pPr>
      <w:r w:rsidRPr="008704BD">
        <w:rPr>
          <w:rFonts w:ascii="Times New Roman" w:hAnsi="Times New Roman"/>
          <w:noProof/>
          <w:sz w:val="24"/>
        </w:rPr>
        <w:t xml:space="preserve">DAC1, DAC2, DAC4 and DAC7 information is automatically exchanged between competent authorities by using the Commission Communication Network (CCN). </w:t>
      </w:r>
    </w:p>
    <w:p w14:paraId="6DE256D8" w14:textId="77777777" w:rsidR="006E5F59" w:rsidRPr="008704BD" w:rsidRDefault="006E5F59" w:rsidP="14B6D9EE">
      <w:pPr>
        <w:jc w:val="both"/>
        <w:rPr>
          <w:rFonts w:ascii="Times New Roman" w:hAnsi="Times New Roman"/>
          <w:noProof/>
          <w:sz w:val="24"/>
          <w:szCs w:val="24"/>
        </w:rPr>
      </w:pPr>
      <w:r w:rsidRPr="14B6D9EE">
        <w:rPr>
          <w:rFonts w:ascii="Times New Roman" w:hAnsi="Times New Roman"/>
          <w:noProof/>
          <w:sz w:val="24"/>
          <w:szCs w:val="24"/>
        </w:rPr>
        <w:t>The Commission provides the IT infrastructure making these automatic exchanges possible, i.e. the transmission channel (CCN), the XML schemas and the XSD User Guide.</w:t>
      </w:r>
      <w:r w:rsidRPr="14B6D9EE">
        <w:rPr>
          <w:rStyle w:val="FootnoteReference"/>
          <w:rFonts w:ascii="Times New Roman" w:hAnsi="Times New Roman"/>
          <w:noProof/>
          <w:sz w:val="24"/>
          <w:szCs w:val="24"/>
        </w:rPr>
        <w:footnoteReference w:id="58"/>
      </w:r>
      <w:r w:rsidRPr="14B6D9EE">
        <w:rPr>
          <w:rFonts w:ascii="Times New Roman" w:hAnsi="Times New Roman"/>
          <w:noProof/>
          <w:sz w:val="24"/>
          <w:szCs w:val="24"/>
        </w:rPr>
        <w:t xml:space="preserve"> The Commission is a data processor. Except for DAC1 and DAC3, the exchange of information under the other DAC’s consists of a three-step approach: First, the information is collected and reported by a reporting entity; second, it is received by the relevant competent authority and finally, it is exchanged by this competent authority either with other relevant competent authorities or to the Central Directory. </w:t>
      </w:r>
    </w:p>
    <w:p w14:paraId="1C1AB259" w14:textId="5BD1996E" w:rsidR="14B6D9EE" w:rsidRDefault="14B6D9EE" w:rsidP="14B6D9EE">
      <w:pPr>
        <w:jc w:val="both"/>
        <w:rPr>
          <w:rFonts w:ascii="Times New Roman" w:hAnsi="Times New Roman"/>
          <w:noProof/>
          <w:sz w:val="24"/>
          <w:szCs w:val="24"/>
        </w:rPr>
      </w:pPr>
    </w:p>
    <w:p w14:paraId="1F2A7B68" w14:textId="12F7FEE2" w:rsidR="006E5F59" w:rsidRPr="008704BD" w:rsidRDefault="006E5F59" w:rsidP="006E5F59">
      <w:pPr>
        <w:jc w:val="both"/>
        <w:rPr>
          <w:rFonts w:ascii="Times New Roman" w:hAnsi="Times New Roman"/>
          <w:noProof/>
          <w:sz w:val="24"/>
        </w:rPr>
      </w:pPr>
      <w:r w:rsidRPr="008704BD">
        <w:rPr>
          <w:rFonts w:ascii="Times New Roman" w:hAnsi="Times New Roman"/>
          <w:noProof/>
          <w:sz w:val="24"/>
        </w:rPr>
        <w:t>This proposal would introduce a reporting standard to provide competent authorities with essential information about crypto-assets. Regardless of the complexity of the policy options that will be chosen, there are in principle three main </w:t>
      </w:r>
      <w:r w:rsidR="000D351E">
        <w:rPr>
          <w:rFonts w:ascii="Times New Roman" w:hAnsi="Times New Roman"/>
          <w:noProof/>
          <w:sz w:val="24"/>
        </w:rPr>
        <w:t>IT solutions</w:t>
      </w:r>
      <w:r w:rsidR="000D351E" w:rsidRPr="008704BD">
        <w:rPr>
          <w:rFonts w:ascii="Times New Roman" w:hAnsi="Times New Roman"/>
          <w:noProof/>
          <w:sz w:val="24"/>
        </w:rPr>
        <w:t> </w:t>
      </w:r>
      <w:r w:rsidRPr="008704BD">
        <w:rPr>
          <w:rFonts w:ascii="Times New Roman" w:hAnsi="Times New Roman"/>
          <w:noProof/>
          <w:sz w:val="24"/>
        </w:rPr>
        <w:t xml:space="preserve">for implementing an efficient exchange of information: </w:t>
      </w:r>
    </w:p>
    <w:p w14:paraId="3BCCFDA7" w14:textId="77777777" w:rsidR="006E5F59" w:rsidRPr="008704BD" w:rsidRDefault="006E5F59" w:rsidP="006E5F59">
      <w:pPr>
        <w:pStyle w:val="ListParagraph"/>
        <w:numPr>
          <w:ilvl w:val="0"/>
          <w:numId w:val="86"/>
        </w:numPr>
        <w:jc w:val="both"/>
        <w:rPr>
          <w:rFonts w:ascii="Times New Roman" w:hAnsi="Times New Roman"/>
          <w:b/>
          <w:noProof/>
          <w:sz w:val="24"/>
          <w:u w:val="single"/>
        </w:rPr>
      </w:pPr>
      <w:r w:rsidRPr="008704BD">
        <w:rPr>
          <w:rFonts w:ascii="Times New Roman" w:hAnsi="Times New Roman"/>
          <w:b/>
          <w:noProof/>
          <w:sz w:val="24"/>
          <w:u w:val="single"/>
        </w:rPr>
        <w:t xml:space="preserve">Decentralised system – the traditional DAC three stage approach </w:t>
      </w:r>
    </w:p>
    <w:p w14:paraId="422BC456" w14:textId="77777777" w:rsidR="006E5F59" w:rsidRPr="008704BD" w:rsidRDefault="006E5F59" w:rsidP="006E5F59">
      <w:pPr>
        <w:pStyle w:val="ListParagraph"/>
        <w:ind w:left="1080"/>
        <w:rPr>
          <w:rFonts w:ascii="Times New Roman" w:hAnsi="Times New Roman"/>
          <w:noProof/>
          <w:sz w:val="24"/>
        </w:rPr>
      </w:pPr>
    </w:p>
    <w:p w14:paraId="2417FAD3" w14:textId="4EF9E97C" w:rsidR="006E5F59" w:rsidRPr="008704BD" w:rsidRDefault="00707C8C" w:rsidP="006E5F59">
      <w:pPr>
        <w:pStyle w:val="ListParagraph"/>
        <w:numPr>
          <w:ilvl w:val="0"/>
          <w:numId w:val="84"/>
        </w:numPr>
        <w:jc w:val="both"/>
        <w:rPr>
          <w:rFonts w:ascii="Times New Roman" w:hAnsi="Times New Roman"/>
          <w:noProof/>
          <w:sz w:val="24"/>
        </w:rPr>
      </w:pPr>
      <w:r>
        <w:rPr>
          <w:rFonts w:ascii="Times New Roman" w:hAnsi="Times New Roman"/>
          <w:noProof/>
          <w:sz w:val="24"/>
        </w:rPr>
        <w:t>T</w:t>
      </w:r>
      <w:r w:rsidR="2F519E63" w:rsidRPr="008704BD">
        <w:rPr>
          <w:rFonts w:ascii="Times New Roman" w:hAnsi="Times New Roman"/>
          <w:noProof/>
          <w:sz w:val="24"/>
        </w:rPr>
        <w:t>his system would assume that the CASPs report the information to the competent authority of their tax residence or where they are authorised to operate.</w:t>
      </w:r>
      <w:r>
        <w:rPr>
          <w:rStyle w:val="FootnoteReference"/>
          <w:rFonts w:ascii="Times New Roman" w:hAnsi="Times New Roman"/>
          <w:noProof/>
          <w:sz w:val="24"/>
        </w:rPr>
        <w:footnoteReference w:id="59"/>
      </w:r>
      <w:r w:rsidR="2F519E63" w:rsidRPr="008704BD">
        <w:rPr>
          <w:rFonts w:ascii="Times New Roman" w:hAnsi="Times New Roman"/>
          <w:noProof/>
          <w:sz w:val="24"/>
        </w:rPr>
        <w:t xml:space="preserve"> These competent authorities would in turn then exchange the concerned information with the competent authorities of other relevant Member States. As a result, each EU tax administration receives a maximum of 26 “blocks” of reportable information, which have to be further processed in order to be integrated in the national IT systems and then used for the envisaged purposes (risk assessment, etc.). The exchange (send/receive) takes place at regular intervals (once per year or each quarter), which are generally defined by the Directive. Each competent authority has to set-up and maintain a national IT system implementing the processes described above. This is the option that has been used for the implementation of the provisions laid down in DAC2 and DAC4 and the recently agreed DAC7.</w:t>
      </w:r>
    </w:p>
    <w:p w14:paraId="46FE337D" w14:textId="77777777" w:rsidR="006E5F59" w:rsidRPr="008704BD" w:rsidRDefault="006E5F59" w:rsidP="006E5F59">
      <w:pPr>
        <w:pStyle w:val="ListParagraph"/>
        <w:rPr>
          <w:rFonts w:ascii="Times New Roman" w:hAnsi="Times New Roman"/>
          <w:noProof/>
          <w:sz w:val="24"/>
        </w:rPr>
      </w:pPr>
    </w:p>
    <w:p w14:paraId="210A1D27" w14:textId="77777777" w:rsidR="006E5F59" w:rsidRPr="008704BD" w:rsidRDefault="006E5F59" w:rsidP="006E5F59">
      <w:pPr>
        <w:pStyle w:val="ListParagraph"/>
        <w:numPr>
          <w:ilvl w:val="0"/>
          <w:numId w:val="86"/>
        </w:numPr>
        <w:jc w:val="both"/>
        <w:rPr>
          <w:rFonts w:ascii="Times New Roman" w:hAnsi="Times New Roman"/>
          <w:b/>
          <w:noProof/>
          <w:sz w:val="24"/>
          <w:u w:val="single"/>
        </w:rPr>
      </w:pPr>
      <w:r w:rsidRPr="008704BD">
        <w:rPr>
          <w:rFonts w:ascii="Times New Roman" w:hAnsi="Times New Roman"/>
          <w:b/>
          <w:noProof/>
          <w:sz w:val="24"/>
          <w:u w:val="single"/>
        </w:rPr>
        <w:t xml:space="preserve">Centralised system – the traditional DAC - Central Directory </w:t>
      </w:r>
    </w:p>
    <w:p w14:paraId="1C0D135F" w14:textId="77777777" w:rsidR="006E5F59" w:rsidRPr="008704BD" w:rsidRDefault="006E5F59" w:rsidP="006E5F59">
      <w:pPr>
        <w:pStyle w:val="ListParagraph"/>
        <w:rPr>
          <w:rFonts w:ascii="Times New Roman" w:hAnsi="Times New Roman"/>
          <w:noProof/>
          <w:sz w:val="24"/>
        </w:rPr>
      </w:pPr>
    </w:p>
    <w:p w14:paraId="3CACF1D0" w14:textId="7B4FEFF1" w:rsidR="006E5F59" w:rsidRPr="008704BD" w:rsidRDefault="2F519E63" w:rsidP="017DE087">
      <w:pPr>
        <w:pStyle w:val="ListParagraph"/>
        <w:numPr>
          <w:ilvl w:val="0"/>
          <w:numId w:val="84"/>
        </w:numPr>
        <w:jc w:val="both"/>
        <w:rPr>
          <w:noProof/>
          <w:sz w:val="24"/>
          <w:szCs w:val="24"/>
        </w:rPr>
      </w:pPr>
      <w:r w:rsidRPr="017DE087">
        <w:rPr>
          <w:rFonts w:ascii="Times New Roman" w:hAnsi="Times New Roman"/>
          <w:noProof/>
          <w:sz w:val="24"/>
          <w:szCs w:val="24"/>
        </w:rPr>
        <w:t>As for DAC</w:t>
      </w:r>
      <w:r w:rsidR="04CD5FF5" w:rsidRPr="017DE087">
        <w:rPr>
          <w:rFonts w:ascii="Times New Roman" w:hAnsi="Times New Roman"/>
          <w:noProof/>
          <w:sz w:val="24"/>
          <w:szCs w:val="24"/>
        </w:rPr>
        <w:t xml:space="preserve"> 3 and </w:t>
      </w:r>
      <w:r w:rsidR="4DE15225" w:rsidRPr="017DE087">
        <w:rPr>
          <w:rFonts w:ascii="Times New Roman" w:hAnsi="Times New Roman"/>
          <w:noProof/>
          <w:sz w:val="24"/>
          <w:szCs w:val="24"/>
        </w:rPr>
        <w:t>6</w:t>
      </w:r>
      <w:r w:rsidRPr="017DE087">
        <w:rPr>
          <w:rFonts w:ascii="Times New Roman" w:hAnsi="Times New Roman"/>
          <w:noProof/>
          <w:sz w:val="24"/>
          <w:szCs w:val="24"/>
        </w:rPr>
        <w:t xml:space="preserve">, this system would assume that the CASPs report the information to the competent authority of their tax residence or where they are authorised to operate. These competent authorities would in turn then upload the </w:t>
      </w:r>
      <w:r w:rsidR="3DB8E395" w:rsidRPr="017DE087">
        <w:rPr>
          <w:rFonts w:ascii="Times New Roman" w:hAnsi="Times New Roman"/>
          <w:noProof/>
          <w:sz w:val="24"/>
          <w:szCs w:val="24"/>
        </w:rPr>
        <w:t xml:space="preserve">reported </w:t>
      </w:r>
      <w:r w:rsidRPr="017DE087">
        <w:rPr>
          <w:rFonts w:ascii="Times New Roman" w:hAnsi="Times New Roman"/>
          <w:noProof/>
          <w:sz w:val="24"/>
          <w:szCs w:val="24"/>
        </w:rPr>
        <w:t xml:space="preserve">information to the Central Directory to which competent authority of each Member State can connect for consulting and </w:t>
      </w:r>
      <w:r w:rsidR="006E5F59" w:rsidRPr="017DE087">
        <w:rPr>
          <w:rFonts w:ascii="Times New Roman" w:hAnsi="Times New Roman"/>
          <w:noProof/>
          <w:sz w:val="24"/>
          <w:szCs w:val="24"/>
        </w:rPr>
        <w:t>downloading</w:t>
      </w:r>
      <w:r w:rsidR="00732511" w:rsidRPr="017DE087">
        <w:rPr>
          <w:rFonts w:ascii="Times New Roman" w:hAnsi="Times New Roman"/>
          <w:noProof/>
          <w:sz w:val="24"/>
          <w:szCs w:val="24"/>
        </w:rPr>
        <w:t xml:space="preserve"> </w:t>
      </w:r>
      <w:r w:rsidR="00D90D38" w:rsidRPr="017DE087">
        <w:rPr>
          <w:rFonts w:ascii="Times New Roman" w:hAnsi="Times New Roman"/>
          <w:noProof/>
          <w:sz w:val="24"/>
          <w:szCs w:val="24"/>
        </w:rPr>
        <w:t>relevant</w:t>
      </w:r>
      <w:r w:rsidR="3DB8E395" w:rsidRPr="017DE087">
        <w:rPr>
          <w:rFonts w:ascii="Times New Roman" w:hAnsi="Times New Roman"/>
          <w:noProof/>
          <w:sz w:val="24"/>
          <w:szCs w:val="24"/>
        </w:rPr>
        <w:t xml:space="preserve"> </w:t>
      </w:r>
      <w:r w:rsidRPr="017DE087">
        <w:rPr>
          <w:rFonts w:ascii="Times New Roman" w:hAnsi="Times New Roman"/>
          <w:noProof/>
          <w:sz w:val="24"/>
          <w:szCs w:val="24"/>
        </w:rPr>
        <w:t>information (info</w:t>
      </w:r>
      <w:r w:rsidR="3DB8E395" w:rsidRPr="017DE087">
        <w:rPr>
          <w:rFonts w:ascii="Times New Roman" w:hAnsi="Times New Roman"/>
          <w:noProof/>
          <w:sz w:val="24"/>
          <w:szCs w:val="24"/>
        </w:rPr>
        <w:t>rmation</w:t>
      </w:r>
      <w:r w:rsidRPr="017DE087">
        <w:rPr>
          <w:rFonts w:ascii="Times New Roman" w:hAnsi="Times New Roman"/>
          <w:noProof/>
          <w:sz w:val="24"/>
          <w:szCs w:val="24"/>
        </w:rPr>
        <w:t xml:space="preserve"> related to its taxpayers only). </w:t>
      </w:r>
    </w:p>
    <w:p w14:paraId="51C58B48" w14:textId="77777777" w:rsidR="00D90D38" w:rsidRPr="008704BD" w:rsidRDefault="00D90D38" w:rsidP="0840BA63">
      <w:pPr>
        <w:pStyle w:val="ListParagraph"/>
        <w:ind w:left="360"/>
        <w:jc w:val="both"/>
        <w:rPr>
          <w:noProof/>
          <w:sz w:val="24"/>
        </w:rPr>
      </w:pPr>
    </w:p>
    <w:p w14:paraId="227D3761" w14:textId="77777777" w:rsidR="006E5F59" w:rsidRPr="008704BD" w:rsidRDefault="006E5F59" w:rsidP="006E5F59">
      <w:pPr>
        <w:pStyle w:val="ListParagraph"/>
        <w:numPr>
          <w:ilvl w:val="0"/>
          <w:numId w:val="86"/>
        </w:numPr>
        <w:jc w:val="both"/>
        <w:rPr>
          <w:rFonts w:ascii="Times New Roman" w:hAnsi="Times New Roman"/>
          <w:b/>
          <w:noProof/>
          <w:sz w:val="24"/>
          <w:u w:val="single"/>
        </w:rPr>
      </w:pPr>
      <w:r w:rsidRPr="008704BD">
        <w:rPr>
          <w:rFonts w:ascii="Times New Roman" w:hAnsi="Times New Roman"/>
          <w:b/>
          <w:noProof/>
          <w:sz w:val="24"/>
          <w:u w:val="single"/>
        </w:rPr>
        <w:t xml:space="preserve">Single access point – new IT alternative </w:t>
      </w:r>
    </w:p>
    <w:p w14:paraId="38C23F22" w14:textId="77777777" w:rsidR="006E5F59" w:rsidRPr="008704BD" w:rsidRDefault="006E5F59" w:rsidP="006E5F59">
      <w:pPr>
        <w:pStyle w:val="ListParagraph"/>
        <w:ind w:left="0"/>
        <w:rPr>
          <w:rFonts w:ascii="Times New Roman" w:hAnsi="Times New Roman"/>
          <w:noProof/>
          <w:sz w:val="24"/>
        </w:rPr>
      </w:pPr>
    </w:p>
    <w:p w14:paraId="0EFCCC5A" w14:textId="77777777" w:rsidR="006E5F59" w:rsidRPr="008704BD" w:rsidRDefault="2F519E63" w:rsidP="006E5F59">
      <w:pPr>
        <w:pStyle w:val="ListParagraph"/>
        <w:numPr>
          <w:ilvl w:val="0"/>
          <w:numId w:val="83"/>
        </w:numPr>
        <w:spacing w:after="200" w:line="240" w:lineRule="auto"/>
        <w:jc w:val="both"/>
        <w:rPr>
          <w:rFonts w:ascii="Times New Roman" w:hAnsi="Times New Roman"/>
          <w:noProof/>
          <w:sz w:val="24"/>
        </w:rPr>
      </w:pPr>
      <w:r w:rsidRPr="008704BD">
        <w:rPr>
          <w:rFonts w:ascii="Times New Roman" w:hAnsi="Times New Roman"/>
          <w:noProof/>
          <w:sz w:val="24"/>
        </w:rPr>
        <w:t xml:space="preserve">Under this new IT alternative, the reporting entity would no longer report information in a given country but instead directly into a general database (the “Single Access Point”). </w:t>
      </w:r>
    </w:p>
    <w:p w14:paraId="133859BC" w14:textId="77777777" w:rsidR="006E5F59" w:rsidRPr="008704BD" w:rsidRDefault="2F519E63" w:rsidP="1314CC47">
      <w:pPr>
        <w:pStyle w:val="ListParagraph"/>
        <w:numPr>
          <w:ilvl w:val="0"/>
          <w:numId w:val="83"/>
        </w:numPr>
        <w:jc w:val="both"/>
        <w:rPr>
          <w:rFonts w:ascii="Times New Roman" w:hAnsi="Times New Roman"/>
          <w:noProof/>
          <w:sz w:val="24"/>
        </w:rPr>
      </w:pPr>
      <w:r w:rsidRPr="008704BD">
        <w:rPr>
          <w:rFonts w:ascii="Times New Roman" w:hAnsi="Times New Roman"/>
          <w:noProof/>
          <w:sz w:val="24"/>
        </w:rPr>
        <w:t xml:space="preserve">More specifically, the first step would be that the competent authority authorizes/grants access (after receiving the request) to the CASPs to upload data to the Single Access Point maintained by the European Commission. In this phase, the competent authority would check that the requesting CASP fulfils the requirements laid down in the Directive (i.e. registration, TIN, etc.). Once authorized, the CASP may upload the relevant information to the Single Access Point. </w:t>
      </w:r>
    </w:p>
    <w:p w14:paraId="73D74E3F" w14:textId="270C8F88" w:rsidR="006E5F59" w:rsidRPr="008704BD" w:rsidRDefault="2F519E63" w:rsidP="1314CC47">
      <w:pPr>
        <w:pStyle w:val="ListParagraph"/>
        <w:numPr>
          <w:ilvl w:val="0"/>
          <w:numId w:val="83"/>
        </w:numPr>
        <w:jc w:val="both"/>
        <w:rPr>
          <w:rFonts w:ascii="Times New Roman" w:hAnsi="Times New Roman"/>
          <w:noProof/>
          <w:sz w:val="24"/>
        </w:rPr>
      </w:pPr>
      <w:r w:rsidRPr="008704BD">
        <w:rPr>
          <w:rFonts w:ascii="Times New Roman" w:hAnsi="Times New Roman"/>
          <w:noProof/>
          <w:sz w:val="24"/>
        </w:rPr>
        <w:t xml:space="preserve">The authorisation to report information to the Single Access Point would be managed by the Member State of residence of the CASP or </w:t>
      </w:r>
      <w:r w:rsidR="00707C8C">
        <w:rPr>
          <w:rFonts w:ascii="Times New Roman" w:hAnsi="Times New Roman"/>
          <w:noProof/>
          <w:sz w:val="24"/>
        </w:rPr>
        <w:t xml:space="preserve">in </w:t>
      </w:r>
      <w:r w:rsidRPr="008704BD">
        <w:rPr>
          <w:rFonts w:ascii="Times New Roman" w:hAnsi="Times New Roman"/>
          <w:noProof/>
          <w:sz w:val="24"/>
        </w:rPr>
        <w:t xml:space="preserve">the Member State </w:t>
      </w:r>
      <w:r w:rsidR="00707C8C">
        <w:rPr>
          <w:rFonts w:ascii="Times New Roman" w:hAnsi="Times New Roman"/>
          <w:noProof/>
          <w:sz w:val="24"/>
        </w:rPr>
        <w:t>where they are authorized to operate.</w:t>
      </w:r>
      <w:r w:rsidRPr="008704BD">
        <w:rPr>
          <w:rFonts w:ascii="Times New Roman" w:hAnsi="Times New Roman"/>
          <w:noProof/>
          <w:sz w:val="24"/>
        </w:rPr>
        <w:t xml:space="preserve"> </w:t>
      </w:r>
    </w:p>
    <w:p w14:paraId="25E1B5A2" w14:textId="77777777" w:rsidR="006E5F59" w:rsidRPr="008704BD" w:rsidRDefault="2F519E63" w:rsidP="006E5F59">
      <w:pPr>
        <w:pStyle w:val="ListParagraph"/>
        <w:numPr>
          <w:ilvl w:val="0"/>
          <w:numId w:val="83"/>
        </w:numPr>
        <w:jc w:val="both"/>
        <w:rPr>
          <w:rFonts w:ascii="Times New Roman" w:hAnsi="Times New Roman"/>
          <w:noProof/>
          <w:sz w:val="24"/>
        </w:rPr>
      </w:pPr>
      <w:r w:rsidRPr="008704BD">
        <w:rPr>
          <w:rFonts w:ascii="Times New Roman" w:hAnsi="Times New Roman"/>
          <w:noProof/>
          <w:sz w:val="24"/>
        </w:rPr>
        <w:t>The reporting of information would happen in a standardised way like for traditional DAC exchanges through an XML schema and a XSD User Guide, XML schema and a XSD User Guide.</w:t>
      </w:r>
    </w:p>
    <w:p w14:paraId="5F01CD4F" w14:textId="77777777" w:rsidR="006E5F59" w:rsidRPr="008704BD" w:rsidRDefault="2F519E63" w:rsidP="1314CC47">
      <w:pPr>
        <w:pStyle w:val="ListParagraph"/>
        <w:numPr>
          <w:ilvl w:val="0"/>
          <w:numId w:val="83"/>
        </w:numPr>
        <w:jc w:val="both"/>
        <w:rPr>
          <w:rFonts w:ascii="Times New Roman" w:hAnsi="Times New Roman"/>
          <w:noProof/>
          <w:sz w:val="24"/>
        </w:rPr>
      </w:pPr>
      <w:r w:rsidRPr="008704BD">
        <w:rPr>
          <w:rFonts w:ascii="Times New Roman" w:hAnsi="Times New Roman"/>
          <w:noProof/>
          <w:sz w:val="24"/>
        </w:rPr>
        <w:t>Consequently, CASPs would only be allowed to upload standardised information to the Single Access Point. Competent authorities of each Member State would have the right to access the information.</w:t>
      </w:r>
    </w:p>
    <w:p w14:paraId="632E3826" w14:textId="77777777" w:rsidR="006E5F59" w:rsidRPr="008704BD" w:rsidRDefault="2F519E63" w:rsidP="1314CC47">
      <w:pPr>
        <w:pStyle w:val="ListParagraph"/>
        <w:numPr>
          <w:ilvl w:val="0"/>
          <w:numId w:val="83"/>
        </w:numPr>
        <w:jc w:val="both"/>
        <w:rPr>
          <w:rFonts w:ascii="Times New Roman" w:hAnsi="Times New Roman"/>
          <w:noProof/>
          <w:sz w:val="24"/>
        </w:rPr>
      </w:pPr>
      <w:r w:rsidRPr="008704BD">
        <w:rPr>
          <w:rFonts w:ascii="Times New Roman" w:hAnsi="Times New Roman"/>
          <w:noProof/>
          <w:sz w:val="24"/>
        </w:rPr>
        <w:t>As in the Central Directory, the Commission would have limited or no access to the data. Consequently, the Commission would play a data processor role only.</w:t>
      </w:r>
    </w:p>
    <w:p w14:paraId="7F2CEB95"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 second and third IT solutions could appear similar as they are both centralised and the infrastructure is provided by the Commission services. However, the difference is the necessity of an intermediary. In the second IT solution, the tax administration has to be in possession of information or data in order to be able to upload it to the Central Directory and make it available to other tax administrations, i.e. the tax administration takes the role of an intermediary between the reporting entity and the central platform. </w:t>
      </w:r>
    </w:p>
    <w:p w14:paraId="7956B4E7" w14:textId="1F9C9BAB" w:rsidR="006E5F59" w:rsidRPr="008704BD" w:rsidRDefault="006E5F59" w:rsidP="017DE087">
      <w:pPr>
        <w:jc w:val="both"/>
        <w:rPr>
          <w:rFonts w:ascii="Times New Roman" w:hAnsi="Times New Roman"/>
          <w:noProof/>
          <w:sz w:val="24"/>
          <w:szCs w:val="24"/>
        </w:rPr>
      </w:pPr>
      <w:r w:rsidRPr="017DE087">
        <w:rPr>
          <w:rFonts w:ascii="Times New Roman" w:hAnsi="Times New Roman"/>
          <w:noProof/>
          <w:sz w:val="24"/>
          <w:szCs w:val="24"/>
        </w:rPr>
        <w:t>In the third IT solution there is no intermediary between the reporting entity and the database where the information will be available to tax administrations in the new IT solution.</w:t>
      </w:r>
      <w:r w:rsidR="00717751">
        <w:rPr>
          <w:rFonts w:ascii="Times New Roman" w:hAnsi="Times New Roman"/>
          <w:noProof/>
          <w:sz w:val="24"/>
          <w:szCs w:val="24"/>
        </w:rPr>
        <w:t xml:space="preserve"> There would therefore be no </w:t>
      </w:r>
      <w:r w:rsidRPr="017DE087">
        <w:rPr>
          <w:rFonts w:ascii="Times New Roman" w:hAnsi="Times New Roman"/>
          <w:noProof/>
          <w:sz w:val="24"/>
          <w:szCs w:val="24"/>
        </w:rPr>
        <w:t xml:space="preserve">development costs of a national IT infrastructure for the collection of information and export to the Central Directory. </w:t>
      </w:r>
      <w:r w:rsidR="00707C8C" w:rsidRPr="017DE087">
        <w:rPr>
          <w:rFonts w:ascii="Times New Roman" w:hAnsi="Times New Roman"/>
          <w:noProof/>
          <w:sz w:val="24"/>
          <w:szCs w:val="24"/>
        </w:rPr>
        <w:t xml:space="preserve">This being said, the national tax administrations are likely to incur a certain level of IT costs as they would need to download in their own national system the data that is made available through the Single Access Point to be able to use them. </w:t>
      </w:r>
      <w:r w:rsidRPr="017DE087">
        <w:rPr>
          <w:rFonts w:ascii="Times New Roman" w:hAnsi="Times New Roman"/>
          <w:noProof/>
          <w:sz w:val="24"/>
          <w:szCs w:val="24"/>
        </w:rPr>
        <w:t xml:space="preserve">This means that mainly the reporting entity and the Single Access Point will bear costs for the IT development, be it implementing the reporting format or updating an existing IT interface. </w:t>
      </w:r>
    </w:p>
    <w:p w14:paraId="0E66F2D7" w14:textId="55E4D0E7" w:rsidR="006E5F59" w:rsidRPr="008704BD" w:rsidRDefault="00707C8C" w:rsidP="006E5F59">
      <w:pPr>
        <w:jc w:val="both"/>
        <w:rPr>
          <w:rFonts w:ascii="Times New Roman" w:hAnsi="Times New Roman"/>
          <w:noProof/>
          <w:sz w:val="24"/>
        </w:rPr>
      </w:pPr>
      <w:r>
        <w:rPr>
          <w:rFonts w:ascii="Times New Roman" w:hAnsi="Times New Roman"/>
          <w:noProof/>
          <w:sz w:val="24"/>
        </w:rPr>
        <w:t>F</w:t>
      </w:r>
      <w:r w:rsidR="006E5F59" w:rsidRPr="008704BD">
        <w:rPr>
          <w:rFonts w:ascii="Times New Roman" w:hAnsi="Times New Roman"/>
          <w:noProof/>
          <w:sz w:val="24"/>
        </w:rPr>
        <w:t xml:space="preserve">or the three proposed exchange IT solutions, the GDPR requirements remain the same as the information collected and exchanged and the access of Member States to that information will be of the same nature regardless of the method selected. </w:t>
      </w:r>
    </w:p>
    <w:p w14:paraId="1E7ECB65" w14:textId="77777777" w:rsidR="006E5F59" w:rsidRPr="008704BD" w:rsidRDefault="006E5F59" w:rsidP="00C972ED">
      <w:pPr>
        <w:pStyle w:val="ListParagraph"/>
        <w:numPr>
          <w:ilvl w:val="0"/>
          <w:numId w:val="102"/>
        </w:numPr>
        <w:rPr>
          <w:rFonts w:ascii="Times New Roman" w:hAnsi="Times New Roman"/>
          <w:b/>
          <w:noProof/>
          <w:sz w:val="24"/>
        </w:rPr>
      </w:pPr>
      <w:r w:rsidRPr="008704BD">
        <w:rPr>
          <w:rFonts w:ascii="Times New Roman" w:hAnsi="Times New Roman"/>
          <w:b/>
          <w:noProof/>
          <w:sz w:val="24"/>
        </w:rPr>
        <w:t>Cost-benefit analysis</w:t>
      </w:r>
    </w:p>
    <w:p w14:paraId="014D9865"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Having an IT solution that will allow a proper exchange of information relative to crypto-assets will come with both benefits and costs. As these differ between available IT options, the quantification of costs is based on the cost information (one-off and recurrent) incurred for setting up and operating DAC6</w:t>
      </w:r>
      <w:r w:rsidR="0060293A" w:rsidRPr="008704BD">
        <w:rPr>
          <w:rFonts w:ascii="Times New Roman" w:hAnsi="Times New Roman"/>
          <w:noProof/>
          <w:sz w:val="24"/>
        </w:rPr>
        <w:t>,</w:t>
      </w:r>
      <w:r w:rsidRPr="008704BD">
        <w:rPr>
          <w:rStyle w:val="FootnoteReference"/>
          <w:rFonts w:ascii="Times New Roman" w:hAnsi="Times New Roman"/>
          <w:noProof/>
          <w:sz w:val="24"/>
        </w:rPr>
        <w:footnoteReference w:id="60"/>
      </w:r>
      <w:r w:rsidR="0060293A" w:rsidRPr="008704BD">
        <w:rPr>
          <w:rFonts w:ascii="Times New Roman" w:hAnsi="Times New Roman"/>
          <w:noProof/>
          <w:sz w:val="24"/>
        </w:rPr>
        <w:t xml:space="preserve"> as well as</w:t>
      </w:r>
      <w:r w:rsidR="00C77499" w:rsidRPr="008704BD">
        <w:rPr>
          <w:rFonts w:ascii="Times New Roman" w:hAnsi="Times New Roman"/>
          <w:noProof/>
          <w:sz w:val="24"/>
        </w:rPr>
        <w:t xml:space="preserve"> DAC2</w:t>
      </w:r>
      <w:r w:rsidR="00C77499" w:rsidRPr="008704BD">
        <w:rPr>
          <w:rStyle w:val="FootnoteReference"/>
          <w:rFonts w:ascii="Times New Roman" w:hAnsi="Times New Roman"/>
          <w:noProof/>
          <w:sz w:val="24"/>
        </w:rPr>
        <w:footnoteReference w:id="61"/>
      </w:r>
      <w:r w:rsidR="00C77499" w:rsidRPr="008704BD">
        <w:rPr>
          <w:rFonts w:ascii="Times New Roman" w:hAnsi="Times New Roman"/>
          <w:noProof/>
          <w:sz w:val="24"/>
        </w:rPr>
        <w:t xml:space="preserve"> and</w:t>
      </w:r>
      <w:r w:rsidR="0060293A" w:rsidRPr="008704BD">
        <w:rPr>
          <w:rFonts w:ascii="Times New Roman" w:hAnsi="Times New Roman"/>
          <w:noProof/>
          <w:sz w:val="24"/>
        </w:rPr>
        <w:t xml:space="preserve"> DAC7</w:t>
      </w:r>
      <w:r w:rsidR="0060293A" w:rsidRPr="008704BD">
        <w:rPr>
          <w:rStyle w:val="FootnoteReference"/>
          <w:rFonts w:ascii="Times New Roman" w:hAnsi="Times New Roman"/>
          <w:noProof/>
          <w:sz w:val="24"/>
        </w:rPr>
        <w:footnoteReference w:id="62"/>
      </w:r>
      <w:r w:rsidRPr="008704BD">
        <w:rPr>
          <w:rFonts w:ascii="Times New Roman" w:hAnsi="Times New Roman"/>
          <w:noProof/>
          <w:sz w:val="24"/>
        </w:rPr>
        <w:t xml:space="preserve"> (see the table below). Benefits, on the other hand, have been assessed qualitatively due to limited data.</w:t>
      </w:r>
    </w:p>
    <w:p w14:paraId="18DBFEBC" w14:textId="77777777" w:rsidR="006E5F59" w:rsidRPr="008704BD" w:rsidRDefault="006E5F59" w:rsidP="006E5F59">
      <w:pPr>
        <w:pStyle w:val="Caption"/>
        <w:keepNext/>
        <w:rPr>
          <w:noProof/>
          <w:sz w:val="24"/>
        </w:rPr>
      </w:pPr>
      <w:r w:rsidRPr="008704BD">
        <w:rPr>
          <w:noProof/>
          <w:sz w:val="24"/>
        </w:rPr>
        <w:t xml:space="preserve">Table </w:t>
      </w:r>
      <w:r w:rsidR="0097262B">
        <w:rPr>
          <w:noProof/>
          <w:color w:val="2B579A"/>
          <w:sz w:val="24"/>
        </w:rPr>
        <w:t>9</w:t>
      </w:r>
      <w:r w:rsidR="001E71A2" w:rsidRPr="008704BD">
        <w:rPr>
          <w:noProof/>
          <w:sz w:val="24"/>
        </w:rPr>
        <w:t xml:space="preserve"> </w:t>
      </w:r>
      <w:r w:rsidRPr="008704BD">
        <w:rPr>
          <w:noProof/>
          <w:sz w:val="24"/>
        </w:rPr>
        <w:t>Summary of costs relative to IT solution (in EUR million)</w:t>
      </w:r>
    </w:p>
    <w:tbl>
      <w:tblPr>
        <w:tblStyle w:val="TableGrid"/>
        <w:tblW w:w="9358" w:type="dxa"/>
        <w:tblLayout w:type="fixed"/>
        <w:tblLook w:val="04A0" w:firstRow="1" w:lastRow="0" w:firstColumn="1" w:lastColumn="0" w:noHBand="0" w:noVBand="1"/>
      </w:tblPr>
      <w:tblGrid>
        <w:gridCol w:w="1809"/>
        <w:gridCol w:w="1258"/>
        <w:gridCol w:w="1328"/>
        <w:gridCol w:w="1188"/>
        <w:gridCol w:w="1363"/>
        <w:gridCol w:w="1134"/>
        <w:gridCol w:w="1278"/>
      </w:tblGrid>
      <w:tr w:rsidR="006E5F59" w:rsidRPr="00DC3B56" w14:paraId="494CCCDB" w14:textId="77777777" w:rsidTr="00314F02">
        <w:trPr>
          <w:trHeight w:val="260"/>
        </w:trPr>
        <w:tc>
          <w:tcPr>
            <w:tcW w:w="1809" w:type="dxa"/>
            <w:tcBorders>
              <w:top w:val="nil"/>
              <w:left w:val="nil"/>
              <w:bottom w:val="nil"/>
            </w:tcBorders>
          </w:tcPr>
          <w:p w14:paraId="4AC833EF" w14:textId="77777777" w:rsidR="006E5F59" w:rsidRPr="00DC3B56" w:rsidRDefault="006E5F59" w:rsidP="00314F02">
            <w:pPr>
              <w:jc w:val="center"/>
              <w:rPr>
                <w:rFonts w:ascii="Times New Roman" w:hAnsi="Times New Roman"/>
                <w:b/>
                <w:noProof/>
                <w:sz w:val="20"/>
                <w:szCs w:val="20"/>
              </w:rPr>
            </w:pPr>
          </w:p>
        </w:tc>
        <w:tc>
          <w:tcPr>
            <w:tcW w:w="7549" w:type="dxa"/>
            <w:gridSpan w:val="6"/>
          </w:tcPr>
          <w:p w14:paraId="7D7D41A8"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IT solution</w:t>
            </w:r>
          </w:p>
        </w:tc>
      </w:tr>
      <w:tr w:rsidR="006E5F59" w:rsidRPr="00DC3B56" w14:paraId="41FC1304" w14:textId="77777777" w:rsidTr="00DC3B56">
        <w:trPr>
          <w:trHeight w:val="247"/>
        </w:trPr>
        <w:tc>
          <w:tcPr>
            <w:tcW w:w="1809" w:type="dxa"/>
            <w:tcBorders>
              <w:top w:val="nil"/>
              <w:left w:val="nil"/>
            </w:tcBorders>
          </w:tcPr>
          <w:p w14:paraId="225BCD18" w14:textId="77777777" w:rsidR="006E5F59" w:rsidRPr="00DC3B56" w:rsidRDefault="006E5F59" w:rsidP="00314F02">
            <w:pPr>
              <w:jc w:val="center"/>
              <w:rPr>
                <w:rFonts w:ascii="Times New Roman" w:hAnsi="Times New Roman"/>
                <w:b/>
                <w:noProof/>
                <w:sz w:val="20"/>
                <w:szCs w:val="20"/>
              </w:rPr>
            </w:pPr>
          </w:p>
        </w:tc>
        <w:tc>
          <w:tcPr>
            <w:tcW w:w="2586" w:type="dxa"/>
            <w:gridSpan w:val="2"/>
          </w:tcPr>
          <w:p w14:paraId="36D7DBE6"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Decentralised</w:t>
            </w:r>
          </w:p>
        </w:tc>
        <w:tc>
          <w:tcPr>
            <w:tcW w:w="2551" w:type="dxa"/>
            <w:gridSpan w:val="2"/>
          </w:tcPr>
          <w:p w14:paraId="121BD9A7"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Central Directory</w:t>
            </w:r>
          </w:p>
        </w:tc>
        <w:tc>
          <w:tcPr>
            <w:tcW w:w="2412" w:type="dxa"/>
            <w:gridSpan w:val="2"/>
          </w:tcPr>
          <w:p w14:paraId="5179A000"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Single Access Point</w:t>
            </w:r>
          </w:p>
        </w:tc>
      </w:tr>
      <w:tr w:rsidR="006E5F59" w:rsidRPr="00DC3B56" w14:paraId="23E759DE" w14:textId="77777777" w:rsidTr="00DC3B56">
        <w:trPr>
          <w:trHeight w:val="260"/>
        </w:trPr>
        <w:tc>
          <w:tcPr>
            <w:tcW w:w="1809" w:type="dxa"/>
          </w:tcPr>
          <w:p w14:paraId="7E725352"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Costs / Entities</w:t>
            </w:r>
          </w:p>
        </w:tc>
        <w:tc>
          <w:tcPr>
            <w:tcW w:w="1258" w:type="dxa"/>
          </w:tcPr>
          <w:p w14:paraId="02F36CF3"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MS</w:t>
            </w:r>
          </w:p>
        </w:tc>
        <w:tc>
          <w:tcPr>
            <w:tcW w:w="1328" w:type="dxa"/>
          </w:tcPr>
          <w:p w14:paraId="4FA75901"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Commission</w:t>
            </w:r>
          </w:p>
        </w:tc>
        <w:tc>
          <w:tcPr>
            <w:tcW w:w="1188" w:type="dxa"/>
          </w:tcPr>
          <w:p w14:paraId="620E5414"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MS</w:t>
            </w:r>
          </w:p>
        </w:tc>
        <w:tc>
          <w:tcPr>
            <w:tcW w:w="1363" w:type="dxa"/>
          </w:tcPr>
          <w:p w14:paraId="5ABC7681"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Commission</w:t>
            </w:r>
          </w:p>
        </w:tc>
        <w:tc>
          <w:tcPr>
            <w:tcW w:w="1134" w:type="dxa"/>
          </w:tcPr>
          <w:p w14:paraId="0B1B1AA4"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MS</w:t>
            </w:r>
          </w:p>
        </w:tc>
        <w:tc>
          <w:tcPr>
            <w:tcW w:w="1278" w:type="dxa"/>
          </w:tcPr>
          <w:p w14:paraId="29D9CF02"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Commission</w:t>
            </w:r>
          </w:p>
        </w:tc>
      </w:tr>
      <w:tr w:rsidR="006E5F59" w:rsidRPr="00DC3B56" w14:paraId="125F4AB7" w14:textId="77777777" w:rsidTr="00DC3B56">
        <w:trPr>
          <w:trHeight w:val="247"/>
        </w:trPr>
        <w:tc>
          <w:tcPr>
            <w:tcW w:w="1809" w:type="dxa"/>
          </w:tcPr>
          <w:p w14:paraId="7D6F60D4"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One-off</w:t>
            </w:r>
          </w:p>
        </w:tc>
        <w:tc>
          <w:tcPr>
            <w:tcW w:w="1258" w:type="dxa"/>
          </w:tcPr>
          <w:p w14:paraId="34E29449" w14:textId="77777777" w:rsidR="006E5F59" w:rsidRPr="00DC3B56" w:rsidRDefault="00D930C7" w:rsidP="00314F02">
            <w:pPr>
              <w:jc w:val="center"/>
              <w:rPr>
                <w:rFonts w:ascii="Times New Roman" w:hAnsi="Times New Roman"/>
                <w:noProof/>
                <w:sz w:val="20"/>
                <w:szCs w:val="20"/>
              </w:rPr>
            </w:pPr>
            <w:r w:rsidRPr="00DC3B56">
              <w:rPr>
                <w:rFonts w:ascii="Times New Roman" w:hAnsi="Times New Roman"/>
                <w:noProof/>
                <w:sz w:val="20"/>
                <w:szCs w:val="20"/>
              </w:rPr>
              <w:t>64.8</w:t>
            </w:r>
          </w:p>
        </w:tc>
        <w:tc>
          <w:tcPr>
            <w:tcW w:w="1328" w:type="dxa"/>
          </w:tcPr>
          <w:p w14:paraId="735F8451"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0.</w:t>
            </w:r>
            <w:r w:rsidR="0060293A" w:rsidRPr="00DC3B56">
              <w:rPr>
                <w:rFonts w:ascii="Times New Roman" w:hAnsi="Times New Roman"/>
                <w:noProof/>
                <w:sz w:val="20"/>
                <w:szCs w:val="20"/>
              </w:rPr>
              <w:t>8</w:t>
            </w:r>
          </w:p>
        </w:tc>
        <w:tc>
          <w:tcPr>
            <w:tcW w:w="1188" w:type="dxa"/>
          </w:tcPr>
          <w:p w14:paraId="3264026D"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1 - 12.96</w:t>
            </w:r>
          </w:p>
        </w:tc>
        <w:tc>
          <w:tcPr>
            <w:tcW w:w="1363" w:type="dxa"/>
          </w:tcPr>
          <w:p w14:paraId="41BDD1C2"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 xml:space="preserve">0.48 </w:t>
            </w:r>
          </w:p>
        </w:tc>
        <w:tc>
          <w:tcPr>
            <w:tcW w:w="1134" w:type="dxa"/>
          </w:tcPr>
          <w:p w14:paraId="2A24E83A"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0.5</w:t>
            </w:r>
          </w:p>
        </w:tc>
        <w:tc>
          <w:tcPr>
            <w:tcW w:w="1278" w:type="dxa"/>
          </w:tcPr>
          <w:p w14:paraId="64EDD05C"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1.35</w:t>
            </w:r>
          </w:p>
        </w:tc>
      </w:tr>
      <w:tr w:rsidR="006E5F59" w:rsidRPr="00DC3B56" w14:paraId="22C42DAB" w14:textId="77777777" w:rsidTr="00DC3B56">
        <w:trPr>
          <w:trHeight w:val="260"/>
        </w:trPr>
        <w:tc>
          <w:tcPr>
            <w:tcW w:w="1809" w:type="dxa"/>
          </w:tcPr>
          <w:p w14:paraId="6CC21A88"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Recurrent (annual)</w:t>
            </w:r>
          </w:p>
        </w:tc>
        <w:tc>
          <w:tcPr>
            <w:tcW w:w="1258" w:type="dxa"/>
          </w:tcPr>
          <w:p w14:paraId="6D80BB41" w14:textId="77777777" w:rsidR="006E5F59" w:rsidRPr="00DC3B56" w:rsidRDefault="00533F5E" w:rsidP="00314F02">
            <w:pPr>
              <w:jc w:val="center"/>
              <w:rPr>
                <w:rFonts w:ascii="Times New Roman" w:hAnsi="Times New Roman"/>
                <w:noProof/>
                <w:sz w:val="20"/>
                <w:szCs w:val="20"/>
              </w:rPr>
            </w:pPr>
            <w:r w:rsidRPr="00DC3B56">
              <w:rPr>
                <w:rFonts w:ascii="Times New Roman" w:hAnsi="Times New Roman"/>
                <w:noProof/>
                <w:sz w:val="20"/>
                <w:szCs w:val="20"/>
              </w:rPr>
              <w:t>6</w:t>
            </w:r>
          </w:p>
        </w:tc>
        <w:tc>
          <w:tcPr>
            <w:tcW w:w="1328" w:type="dxa"/>
          </w:tcPr>
          <w:p w14:paraId="7E9CA385"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0.</w:t>
            </w:r>
            <w:r w:rsidRPr="00DC3B56" w:rsidDel="0060293A">
              <w:rPr>
                <w:rFonts w:ascii="Times New Roman" w:hAnsi="Times New Roman"/>
                <w:noProof/>
                <w:sz w:val="20"/>
                <w:szCs w:val="20"/>
              </w:rPr>
              <w:t>1</w:t>
            </w:r>
          </w:p>
        </w:tc>
        <w:tc>
          <w:tcPr>
            <w:tcW w:w="1188" w:type="dxa"/>
          </w:tcPr>
          <w:p w14:paraId="5A3A2FB5"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1- 5.67</w:t>
            </w:r>
          </w:p>
        </w:tc>
        <w:tc>
          <w:tcPr>
            <w:tcW w:w="1363" w:type="dxa"/>
          </w:tcPr>
          <w:p w14:paraId="05451F7B"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0.21</w:t>
            </w:r>
          </w:p>
        </w:tc>
        <w:tc>
          <w:tcPr>
            <w:tcW w:w="1134" w:type="dxa"/>
          </w:tcPr>
          <w:p w14:paraId="47D5544D"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0.1</w:t>
            </w:r>
          </w:p>
        </w:tc>
        <w:tc>
          <w:tcPr>
            <w:tcW w:w="1278" w:type="dxa"/>
          </w:tcPr>
          <w:p w14:paraId="5E0FE4AA" w14:textId="77777777" w:rsidR="006E5F59" w:rsidRPr="00DC3B56" w:rsidRDefault="006E5F59" w:rsidP="00314F02">
            <w:pPr>
              <w:jc w:val="center"/>
              <w:rPr>
                <w:rFonts w:ascii="Times New Roman" w:hAnsi="Times New Roman"/>
                <w:noProof/>
                <w:sz w:val="20"/>
                <w:szCs w:val="20"/>
              </w:rPr>
            </w:pPr>
            <w:r w:rsidRPr="00DC3B56">
              <w:rPr>
                <w:rFonts w:ascii="Times New Roman" w:hAnsi="Times New Roman"/>
                <w:noProof/>
                <w:sz w:val="20"/>
                <w:szCs w:val="20"/>
              </w:rPr>
              <w:t>0.21</w:t>
            </w:r>
          </w:p>
        </w:tc>
      </w:tr>
      <w:tr w:rsidR="006E5F59" w:rsidRPr="00DC3B56" w14:paraId="4D667945" w14:textId="77777777" w:rsidTr="00DC3B56">
        <w:trPr>
          <w:trHeight w:val="247"/>
        </w:trPr>
        <w:tc>
          <w:tcPr>
            <w:tcW w:w="1809" w:type="dxa"/>
          </w:tcPr>
          <w:p w14:paraId="5B18BFC7"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Total</w:t>
            </w:r>
          </w:p>
        </w:tc>
        <w:tc>
          <w:tcPr>
            <w:tcW w:w="1258" w:type="dxa"/>
          </w:tcPr>
          <w:p w14:paraId="5F821A25" w14:textId="77777777" w:rsidR="006E5F59" w:rsidRPr="00DC3B56" w:rsidRDefault="00533F5E" w:rsidP="00314F02">
            <w:pPr>
              <w:jc w:val="center"/>
              <w:rPr>
                <w:rFonts w:ascii="Times New Roman" w:hAnsi="Times New Roman"/>
                <w:b/>
                <w:noProof/>
                <w:sz w:val="20"/>
                <w:szCs w:val="20"/>
              </w:rPr>
            </w:pPr>
            <w:r w:rsidRPr="00DC3B56">
              <w:rPr>
                <w:rFonts w:ascii="Times New Roman" w:hAnsi="Times New Roman"/>
                <w:b/>
                <w:noProof/>
                <w:sz w:val="20"/>
                <w:szCs w:val="20"/>
              </w:rPr>
              <w:t>7</w:t>
            </w:r>
            <w:r w:rsidR="00D930C7" w:rsidRPr="00DC3B56">
              <w:rPr>
                <w:rFonts w:ascii="Times New Roman" w:hAnsi="Times New Roman"/>
                <w:b/>
                <w:noProof/>
                <w:sz w:val="20"/>
                <w:szCs w:val="20"/>
              </w:rPr>
              <w:t>0.8</w:t>
            </w:r>
          </w:p>
        </w:tc>
        <w:tc>
          <w:tcPr>
            <w:tcW w:w="1328" w:type="dxa"/>
          </w:tcPr>
          <w:p w14:paraId="1D31EA04"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0.</w:t>
            </w:r>
            <w:r w:rsidR="0060293A" w:rsidRPr="00DC3B56">
              <w:rPr>
                <w:rFonts w:ascii="Times New Roman" w:hAnsi="Times New Roman"/>
                <w:b/>
                <w:noProof/>
                <w:sz w:val="20"/>
                <w:szCs w:val="20"/>
              </w:rPr>
              <w:t>9</w:t>
            </w:r>
          </w:p>
        </w:tc>
        <w:tc>
          <w:tcPr>
            <w:tcW w:w="1188" w:type="dxa"/>
          </w:tcPr>
          <w:p w14:paraId="1EEB5680"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2 - 18.63</w:t>
            </w:r>
          </w:p>
        </w:tc>
        <w:tc>
          <w:tcPr>
            <w:tcW w:w="1363" w:type="dxa"/>
          </w:tcPr>
          <w:p w14:paraId="45622512"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0.69</w:t>
            </w:r>
          </w:p>
        </w:tc>
        <w:tc>
          <w:tcPr>
            <w:tcW w:w="1134" w:type="dxa"/>
          </w:tcPr>
          <w:p w14:paraId="613502B2"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0.6</w:t>
            </w:r>
          </w:p>
        </w:tc>
        <w:tc>
          <w:tcPr>
            <w:tcW w:w="1278" w:type="dxa"/>
          </w:tcPr>
          <w:p w14:paraId="49B55ABA" w14:textId="77777777" w:rsidR="006E5F59" w:rsidRPr="00DC3B56" w:rsidRDefault="006E5F59" w:rsidP="00314F02">
            <w:pPr>
              <w:jc w:val="center"/>
              <w:rPr>
                <w:rFonts w:ascii="Times New Roman" w:hAnsi="Times New Roman"/>
                <w:b/>
                <w:noProof/>
                <w:sz w:val="20"/>
                <w:szCs w:val="20"/>
              </w:rPr>
            </w:pPr>
            <w:r w:rsidRPr="00DC3B56">
              <w:rPr>
                <w:rFonts w:ascii="Times New Roman" w:hAnsi="Times New Roman"/>
                <w:b/>
                <w:noProof/>
                <w:sz w:val="20"/>
                <w:szCs w:val="20"/>
              </w:rPr>
              <w:t>1.56</w:t>
            </w:r>
          </w:p>
        </w:tc>
      </w:tr>
    </w:tbl>
    <w:p w14:paraId="6F4734E3" w14:textId="77777777" w:rsidR="006E5F59" w:rsidRPr="008704BD" w:rsidRDefault="006E5F59" w:rsidP="006E5F59">
      <w:pPr>
        <w:rPr>
          <w:rFonts w:ascii="Times New Roman" w:hAnsi="Times New Roman"/>
          <w:noProof/>
          <w:sz w:val="24"/>
        </w:rPr>
      </w:pPr>
    </w:p>
    <w:p w14:paraId="19C4ED17"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A decentralised approach means that the Member States are responsible for setting up, maintaining and updating their national IT systems so as to abide by the provisions set out in the DAC.</w:t>
      </w:r>
      <w:r w:rsidR="0060293A" w:rsidRPr="008704BD">
        <w:rPr>
          <w:rFonts w:ascii="Times New Roman" w:hAnsi="Times New Roman"/>
          <w:noProof/>
          <w:sz w:val="24"/>
        </w:rPr>
        <w:t xml:space="preserve"> The cost estimates stemming from the decentralised approach are</w:t>
      </w:r>
      <w:r w:rsidR="00533F5E" w:rsidRPr="008704BD">
        <w:rPr>
          <w:rFonts w:ascii="Times New Roman" w:hAnsi="Times New Roman"/>
          <w:noProof/>
          <w:sz w:val="24"/>
        </w:rPr>
        <w:t xml:space="preserve"> based on DAC2 costs incurred by tax administrations, which are further adapted to the population of crypto-asset accounts (see Annex 4)</w:t>
      </w:r>
      <w:r w:rsidR="0060293A" w:rsidRPr="008704BD">
        <w:rPr>
          <w:rFonts w:ascii="Times New Roman" w:hAnsi="Times New Roman"/>
          <w:noProof/>
          <w:sz w:val="24"/>
        </w:rPr>
        <w:t>.</w:t>
      </w:r>
      <w:r w:rsidRPr="008704BD">
        <w:rPr>
          <w:rFonts w:ascii="Times New Roman" w:hAnsi="Times New Roman"/>
          <w:noProof/>
          <w:sz w:val="24"/>
        </w:rPr>
        <w:t xml:space="preserve"> Even though the</w:t>
      </w:r>
      <w:r w:rsidR="0060293A" w:rsidRPr="008704BD">
        <w:rPr>
          <w:rFonts w:ascii="Times New Roman" w:hAnsi="Times New Roman"/>
          <w:noProof/>
          <w:sz w:val="24"/>
        </w:rPr>
        <w:t>se</w:t>
      </w:r>
      <w:r w:rsidRPr="008704BD">
        <w:rPr>
          <w:rFonts w:ascii="Times New Roman" w:hAnsi="Times New Roman"/>
          <w:noProof/>
          <w:sz w:val="24"/>
        </w:rPr>
        <w:t xml:space="preserve"> costs</w:t>
      </w:r>
      <w:r w:rsidRPr="008704BD" w:rsidDel="0060293A">
        <w:rPr>
          <w:rFonts w:ascii="Times New Roman" w:hAnsi="Times New Roman"/>
          <w:noProof/>
          <w:sz w:val="24"/>
        </w:rPr>
        <w:t xml:space="preserve"> </w:t>
      </w:r>
      <w:r w:rsidRPr="008704BD">
        <w:rPr>
          <w:rFonts w:ascii="Times New Roman" w:hAnsi="Times New Roman"/>
          <w:noProof/>
          <w:sz w:val="24"/>
        </w:rPr>
        <w:t xml:space="preserve">are likely to be substantial, the maximum amount should not surpass EUR </w:t>
      </w:r>
      <w:r w:rsidR="00D930C7" w:rsidRPr="008704BD">
        <w:rPr>
          <w:rFonts w:ascii="Times New Roman" w:hAnsi="Times New Roman"/>
          <w:noProof/>
          <w:sz w:val="24"/>
        </w:rPr>
        <w:t>64.8</w:t>
      </w:r>
      <w:r w:rsidRPr="008704BD">
        <w:rPr>
          <w:rFonts w:ascii="Times New Roman" w:hAnsi="Times New Roman"/>
          <w:noProof/>
          <w:sz w:val="24"/>
        </w:rPr>
        <w:t xml:space="preserve"> million in one-off and EUR </w:t>
      </w:r>
      <w:r w:rsidR="00533F5E" w:rsidRPr="008704BD">
        <w:rPr>
          <w:rFonts w:ascii="Times New Roman" w:hAnsi="Times New Roman"/>
          <w:noProof/>
          <w:sz w:val="24"/>
        </w:rPr>
        <w:t>6</w:t>
      </w:r>
      <w:r w:rsidRPr="008704BD">
        <w:rPr>
          <w:rFonts w:ascii="Times New Roman" w:hAnsi="Times New Roman"/>
          <w:noProof/>
          <w:sz w:val="24"/>
        </w:rPr>
        <w:t xml:space="preserve"> million in recurrent costs. Due to lack of official data, however, precise estimates on the costs to be incurred in the Member States cannot be made. Moreover, the costs for the Commission under this option are likely to be </w:t>
      </w:r>
      <w:r w:rsidR="0060293A" w:rsidRPr="008704BD">
        <w:rPr>
          <w:rFonts w:ascii="Times New Roman" w:hAnsi="Times New Roman"/>
          <w:noProof/>
          <w:sz w:val="24"/>
        </w:rPr>
        <w:t>relatively low</w:t>
      </w:r>
      <w:r w:rsidRPr="008704BD">
        <w:rPr>
          <w:rFonts w:ascii="Times New Roman" w:hAnsi="Times New Roman"/>
          <w:noProof/>
          <w:sz w:val="24"/>
        </w:rPr>
        <w:t>.</w:t>
      </w:r>
      <w:r w:rsidRPr="008704BD">
        <w:rPr>
          <w:rStyle w:val="FootnoteReference"/>
          <w:rFonts w:ascii="Times New Roman" w:hAnsi="Times New Roman"/>
          <w:noProof/>
          <w:sz w:val="24"/>
        </w:rPr>
        <w:footnoteReference w:id="63"/>
      </w:r>
    </w:p>
    <w:p w14:paraId="32C85250" w14:textId="77777777" w:rsidR="006E5F59" w:rsidRPr="008704BD" w:rsidRDefault="006E5F59" w:rsidP="006E5F59">
      <w:pPr>
        <w:jc w:val="both"/>
        <w:rPr>
          <w:rFonts w:ascii="Times New Roman" w:hAnsi="Times New Roman"/>
          <w:noProof/>
          <w:sz w:val="24"/>
        </w:rPr>
      </w:pPr>
      <w:r w:rsidRPr="008704BD">
        <w:rPr>
          <w:rFonts w:ascii="Times New Roman" w:hAnsi="Times New Roman"/>
          <w:noProof/>
          <w:sz w:val="24"/>
        </w:rPr>
        <w:t xml:space="preserve">The second option would entail relying on the existing system of information exchange, namely the Central Directory set-up and managed by the European Commission. The total one-off costs of upgrading and updating the Central Directory are estimated to be EUR 480 000, while the recurrent costs would amount to EUR 210 000. Since some IT infrastructure has already been developed and is operational, the projected cost is likely to be similar to those of running DAC6. Moreover, under this option, the national tax authorities are also likely to bear costs as they may extract relevant information from the Central Directory into national databases and have an upgraded (or newly built) IT infrastructure for data downloading and uploading operations. Since precise cost estimates are challenging to make, we assume that such costs could be in the order of millions of euros, but not higher than </w:t>
      </w:r>
      <w:r w:rsidR="0089152F" w:rsidRPr="008704BD">
        <w:rPr>
          <w:rFonts w:ascii="Times New Roman" w:hAnsi="Times New Roman"/>
          <w:noProof/>
          <w:sz w:val="24"/>
        </w:rPr>
        <w:t>EUR 12.96 million (one-off) and EUR 5.67 (recurrent)</w:t>
      </w:r>
      <w:r w:rsidRPr="008704BD">
        <w:rPr>
          <w:rFonts w:ascii="Times New Roman" w:hAnsi="Times New Roman"/>
          <w:noProof/>
          <w:sz w:val="24"/>
        </w:rPr>
        <w:t>. This can be explained by the Commission’s effort to provide a centralised IT architecture that can significantly reduce costs for national administrations.</w:t>
      </w:r>
    </w:p>
    <w:p w14:paraId="4A0AA16D" w14:textId="28D93F4B" w:rsidR="006E5F59" w:rsidRPr="008704BD" w:rsidRDefault="006E5F59" w:rsidP="017DE087">
      <w:pPr>
        <w:jc w:val="both"/>
        <w:rPr>
          <w:rFonts w:ascii="Times New Roman" w:hAnsi="Times New Roman"/>
          <w:noProof/>
          <w:sz w:val="24"/>
          <w:szCs w:val="24"/>
        </w:rPr>
      </w:pPr>
      <w:r w:rsidRPr="017DE087">
        <w:rPr>
          <w:rFonts w:ascii="Times New Roman" w:hAnsi="Times New Roman"/>
          <w:noProof/>
          <w:sz w:val="24"/>
          <w:szCs w:val="24"/>
        </w:rPr>
        <w:t>Finally, a new Single Access Point would bring about greater centralisation since CASPs would be directly linked to the Commission’s IT interface. This new IT solution will likely entail higher costs for the Commission to develop it as the number of connected entities will be higher than usual (i.e. around 1</w:t>
      </w:r>
      <w:r w:rsidR="00F06D0B" w:rsidRPr="017DE087">
        <w:rPr>
          <w:rFonts w:ascii="Times New Roman" w:hAnsi="Times New Roman"/>
          <w:noProof/>
          <w:sz w:val="24"/>
          <w:szCs w:val="24"/>
        </w:rPr>
        <w:t>68</w:t>
      </w:r>
      <w:r w:rsidRPr="017DE087">
        <w:rPr>
          <w:rFonts w:ascii="Times New Roman" w:hAnsi="Times New Roman"/>
          <w:noProof/>
          <w:sz w:val="24"/>
          <w:szCs w:val="24"/>
        </w:rPr>
        <w:t xml:space="preserve"> CASPs</w:t>
      </w:r>
      <w:r w:rsidRPr="017DE087">
        <w:rPr>
          <w:rStyle w:val="FootnoteReference"/>
          <w:rFonts w:ascii="Times New Roman" w:hAnsi="Times New Roman"/>
          <w:noProof/>
          <w:sz w:val="24"/>
          <w:szCs w:val="24"/>
        </w:rPr>
        <w:footnoteReference w:id="64"/>
      </w:r>
      <w:r w:rsidRPr="017DE087">
        <w:rPr>
          <w:rFonts w:ascii="Times New Roman" w:hAnsi="Times New Roman"/>
          <w:noProof/>
          <w:sz w:val="24"/>
          <w:szCs w:val="24"/>
        </w:rPr>
        <w:t xml:space="preserve"> vs 27 national tax administrations). Considering the costs incurred for developing the IT interface under DAC6, we assume that the total </w:t>
      </w:r>
      <w:r w:rsidR="7302A0BB" w:rsidRPr="017DE087">
        <w:rPr>
          <w:rFonts w:ascii="Times New Roman" w:hAnsi="Times New Roman"/>
          <w:noProof/>
          <w:sz w:val="24"/>
          <w:szCs w:val="24"/>
        </w:rPr>
        <w:t>one-off</w:t>
      </w:r>
      <w:r w:rsidRPr="017DE087">
        <w:rPr>
          <w:rFonts w:ascii="Times New Roman" w:hAnsi="Times New Roman"/>
          <w:noProof/>
          <w:sz w:val="24"/>
          <w:szCs w:val="24"/>
        </w:rPr>
        <w:t xml:space="preserve"> costs for the Commission will reach EUR 1.35 million as a minimum. The recurrent costs will be</w:t>
      </w:r>
      <w:r w:rsidR="005F5DC6" w:rsidRPr="017DE087">
        <w:rPr>
          <w:rFonts w:ascii="Times New Roman" w:hAnsi="Times New Roman"/>
          <w:noProof/>
          <w:sz w:val="24"/>
          <w:szCs w:val="24"/>
        </w:rPr>
        <w:t xml:space="preserve"> </w:t>
      </w:r>
      <w:r w:rsidRPr="017DE087">
        <w:rPr>
          <w:rFonts w:ascii="Times New Roman" w:hAnsi="Times New Roman"/>
          <w:noProof/>
          <w:sz w:val="24"/>
          <w:szCs w:val="24"/>
        </w:rPr>
        <w:t xml:space="preserve">approximately EUR 210 000. </w:t>
      </w:r>
      <w:r w:rsidR="005F5DC6" w:rsidRPr="017DE087">
        <w:rPr>
          <w:rFonts w:ascii="Times New Roman" w:hAnsi="Times New Roman"/>
          <w:noProof/>
          <w:sz w:val="24"/>
          <w:szCs w:val="24"/>
        </w:rPr>
        <w:t>T</w:t>
      </w:r>
      <w:r w:rsidRPr="017DE087">
        <w:rPr>
          <w:rFonts w:ascii="Times New Roman" w:hAnsi="Times New Roman"/>
          <w:noProof/>
          <w:sz w:val="24"/>
          <w:szCs w:val="24"/>
        </w:rPr>
        <w:t xml:space="preserve">he Commission costs for developing the Single Access Point are </w:t>
      </w:r>
      <w:r w:rsidR="005F5DC6" w:rsidRPr="017DE087">
        <w:rPr>
          <w:rFonts w:ascii="Times New Roman" w:hAnsi="Times New Roman"/>
          <w:noProof/>
          <w:sz w:val="24"/>
          <w:szCs w:val="24"/>
        </w:rPr>
        <w:t xml:space="preserve">expected to be </w:t>
      </w:r>
      <w:r w:rsidRPr="017DE087">
        <w:rPr>
          <w:rFonts w:ascii="Times New Roman" w:hAnsi="Times New Roman"/>
          <w:noProof/>
          <w:sz w:val="24"/>
          <w:szCs w:val="24"/>
        </w:rPr>
        <w:t>higher compared to the ones needed to update the Central Directory</w:t>
      </w:r>
      <w:r w:rsidR="00E755CA" w:rsidRPr="017DE087">
        <w:rPr>
          <w:rFonts w:ascii="Times New Roman" w:hAnsi="Times New Roman"/>
          <w:noProof/>
          <w:sz w:val="24"/>
          <w:szCs w:val="24"/>
        </w:rPr>
        <w:t xml:space="preserve">. However, for the Member States, it remains challenging to precisely assess </w:t>
      </w:r>
      <w:r w:rsidR="001634F8" w:rsidRPr="017DE087">
        <w:rPr>
          <w:rFonts w:ascii="Times New Roman" w:hAnsi="Times New Roman"/>
          <w:noProof/>
          <w:sz w:val="24"/>
          <w:szCs w:val="24"/>
        </w:rPr>
        <w:t xml:space="preserve">the </w:t>
      </w:r>
      <w:r w:rsidR="00E755CA" w:rsidRPr="017DE087">
        <w:rPr>
          <w:rFonts w:ascii="Times New Roman" w:hAnsi="Times New Roman"/>
          <w:noProof/>
          <w:sz w:val="24"/>
          <w:szCs w:val="24"/>
        </w:rPr>
        <w:t>costs</w:t>
      </w:r>
      <w:r w:rsidR="00FA42D5" w:rsidRPr="017DE087">
        <w:rPr>
          <w:rFonts w:ascii="Times New Roman" w:hAnsi="Times New Roman"/>
          <w:noProof/>
          <w:sz w:val="24"/>
          <w:szCs w:val="24"/>
        </w:rPr>
        <w:t xml:space="preserve"> that will be</w:t>
      </w:r>
      <w:r w:rsidR="00E755CA" w:rsidRPr="017DE087">
        <w:rPr>
          <w:rFonts w:ascii="Times New Roman" w:hAnsi="Times New Roman"/>
          <w:noProof/>
          <w:sz w:val="24"/>
          <w:szCs w:val="24"/>
        </w:rPr>
        <w:t xml:space="preserve"> incurred </w:t>
      </w:r>
      <w:r w:rsidR="005F5DC6" w:rsidRPr="017DE087">
        <w:rPr>
          <w:rFonts w:ascii="Times New Roman" w:hAnsi="Times New Roman"/>
          <w:noProof/>
          <w:sz w:val="24"/>
          <w:szCs w:val="24"/>
        </w:rPr>
        <w:t>for</w:t>
      </w:r>
      <w:r w:rsidR="00E755CA" w:rsidRPr="017DE087">
        <w:rPr>
          <w:rFonts w:ascii="Times New Roman" w:hAnsi="Times New Roman"/>
          <w:noProof/>
          <w:sz w:val="24"/>
          <w:szCs w:val="24"/>
        </w:rPr>
        <w:t xml:space="preserve"> </w:t>
      </w:r>
      <w:r w:rsidR="005F5DC6" w:rsidRPr="017DE087">
        <w:rPr>
          <w:rFonts w:ascii="Times New Roman" w:hAnsi="Times New Roman"/>
          <w:noProof/>
          <w:sz w:val="24"/>
          <w:szCs w:val="24"/>
        </w:rPr>
        <w:t>adapting their systems to</w:t>
      </w:r>
      <w:r w:rsidR="00E755CA" w:rsidRPr="017DE087">
        <w:rPr>
          <w:rFonts w:ascii="Times New Roman" w:hAnsi="Times New Roman"/>
          <w:noProof/>
          <w:sz w:val="24"/>
          <w:szCs w:val="24"/>
        </w:rPr>
        <w:t xml:space="preserve"> the Single Access Point. While we estimate, as a minimum, EUR 500 000 and EUR 100 000 for the one-off and recurrent costs respectively, we are </w:t>
      </w:r>
      <w:r w:rsidR="005F5DC6" w:rsidRPr="017DE087">
        <w:rPr>
          <w:rFonts w:ascii="Times New Roman" w:hAnsi="Times New Roman"/>
          <w:noProof/>
          <w:sz w:val="24"/>
          <w:szCs w:val="24"/>
        </w:rPr>
        <w:t>unable</w:t>
      </w:r>
      <w:r w:rsidR="00E755CA" w:rsidRPr="017DE087">
        <w:rPr>
          <w:rFonts w:ascii="Times New Roman" w:hAnsi="Times New Roman"/>
          <w:noProof/>
          <w:sz w:val="24"/>
          <w:szCs w:val="24"/>
        </w:rPr>
        <w:t xml:space="preserve"> to quantify the cost ceilings which might be substantial (in the order of millions of euros). This is due to the fact that </w:t>
      </w:r>
      <w:r w:rsidRPr="017DE087">
        <w:rPr>
          <w:rFonts w:ascii="Times New Roman" w:hAnsi="Times New Roman"/>
          <w:noProof/>
          <w:sz w:val="24"/>
          <w:szCs w:val="24"/>
        </w:rPr>
        <w:t xml:space="preserve">the Member States </w:t>
      </w:r>
      <w:r w:rsidR="00FA42D5" w:rsidRPr="017DE087">
        <w:rPr>
          <w:rFonts w:ascii="Times New Roman" w:hAnsi="Times New Roman"/>
          <w:noProof/>
          <w:sz w:val="24"/>
          <w:szCs w:val="24"/>
        </w:rPr>
        <w:t xml:space="preserve">remain responsible to ensuring that CASPs have fulfilled their legal obligations and </w:t>
      </w:r>
      <w:r w:rsidRPr="017DE087">
        <w:rPr>
          <w:rFonts w:ascii="Times New Roman" w:hAnsi="Times New Roman"/>
          <w:noProof/>
          <w:sz w:val="24"/>
          <w:szCs w:val="24"/>
        </w:rPr>
        <w:t xml:space="preserve">might </w:t>
      </w:r>
      <w:r w:rsidR="00E755CA" w:rsidRPr="017DE087">
        <w:rPr>
          <w:rFonts w:ascii="Times New Roman" w:hAnsi="Times New Roman"/>
          <w:noProof/>
          <w:sz w:val="24"/>
          <w:szCs w:val="24"/>
        </w:rPr>
        <w:t xml:space="preserve">still </w:t>
      </w:r>
      <w:r w:rsidRPr="017DE087">
        <w:rPr>
          <w:rFonts w:ascii="Times New Roman" w:hAnsi="Times New Roman"/>
          <w:noProof/>
          <w:sz w:val="24"/>
          <w:szCs w:val="24"/>
        </w:rPr>
        <w:t>opt for setting up national databases to store previously extracted data</w:t>
      </w:r>
      <w:r w:rsidR="00FA42D5" w:rsidRPr="017DE087">
        <w:rPr>
          <w:rFonts w:ascii="Times New Roman" w:hAnsi="Times New Roman"/>
          <w:noProof/>
          <w:sz w:val="24"/>
          <w:szCs w:val="24"/>
        </w:rPr>
        <w:t>.</w:t>
      </w:r>
    </w:p>
    <w:p w14:paraId="47AD28D1" w14:textId="7DB3A6EB" w:rsidR="006A305E" w:rsidRDefault="006E5F59" w:rsidP="017DE087">
      <w:pPr>
        <w:jc w:val="both"/>
        <w:rPr>
          <w:rFonts w:ascii="Times New Roman" w:hAnsi="Times New Roman"/>
          <w:noProof/>
          <w:sz w:val="24"/>
          <w:szCs w:val="24"/>
        </w:rPr>
      </w:pPr>
      <w:r w:rsidRPr="017DE087">
        <w:rPr>
          <w:rFonts w:ascii="Times New Roman" w:hAnsi="Times New Roman"/>
          <w:noProof/>
          <w:sz w:val="24"/>
          <w:szCs w:val="24"/>
        </w:rPr>
        <w:t xml:space="preserve">Taking into account uncertainty on the actual size of the benefits in the absence of reliable data, no quantification </w:t>
      </w:r>
      <w:r w:rsidR="009A767E" w:rsidRPr="017DE087">
        <w:rPr>
          <w:rFonts w:ascii="Times New Roman" w:hAnsi="Times New Roman"/>
          <w:noProof/>
          <w:sz w:val="24"/>
          <w:szCs w:val="24"/>
        </w:rPr>
        <w:t xml:space="preserve">of benefits </w:t>
      </w:r>
      <w:r w:rsidRPr="017DE087">
        <w:rPr>
          <w:rFonts w:ascii="Times New Roman" w:hAnsi="Times New Roman"/>
          <w:noProof/>
          <w:sz w:val="24"/>
          <w:szCs w:val="24"/>
        </w:rPr>
        <w:t xml:space="preserve">has been provided. Possible benefits stemming from the initiative can be looked at qualitatively through cost reduction for the Member States. </w:t>
      </w:r>
      <w:r w:rsidR="006A305E" w:rsidRPr="017DE087">
        <w:rPr>
          <w:rFonts w:ascii="Times New Roman" w:hAnsi="Times New Roman"/>
          <w:noProof/>
          <w:sz w:val="24"/>
          <w:szCs w:val="24"/>
        </w:rPr>
        <w:t>Even though</w:t>
      </w:r>
      <w:r w:rsidRPr="017DE087">
        <w:rPr>
          <w:rFonts w:ascii="Times New Roman" w:hAnsi="Times New Roman"/>
          <w:noProof/>
          <w:sz w:val="24"/>
          <w:szCs w:val="24"/>
        </w:rPr>
        <w:t xml:space="preserve"> </w:t>
      </w:r>
      <w:r w:rsidR="006A305E" w:rsidRPr="017DE087">
        <w:rPr>
          <w:rFonts w:ascii="Times New Roman" w:hAnsi="Times New Roman"/>
          <w:noProof/>
          <w:sz w:val="24"/>
          <w:szCs w:val="24"/>
        </w:rPr>
        <w:t xml:space="preserve">some </w:t>
      </w:r>
      <w:r w:rsidRPr="017DE087">
        <w:rPr>
          <w:rFonts w:ascii="Times New Roman" w:hAnsi="Times New Roman"/>
          <w:noProof/>
          <w:sz w:val="24"/>
          <w:szCs w:val="24"/>
        </w:rPr>
        <w:t xml:space="preserve">savings </w:t>
      </w:r>
      <w:r w:rsidR="009A767E" w:rsidRPr="017DE087">
        <w:rPr>
          <w:rFonts w:ascii="Times New Roman" w:hAnsi="Times New Roman"/>
          <w:noProof/>
          <w:sz w:val="24"/>
          <w:szCs w:val="24"/>
        </w:rPr>
        <w:t>can be obtained</w:t>
      </w:r>
      <w:r w:rsidRPr="017DE087">
        <w:rPr>
          <w:rFonts w:ascii="Times New Roman" w:hAnsi="Times New Roman"/>
          <w:noProof/>
          <w:sz w:val="24"/>
          <w:szCs w:val="24"/>
        </w:rPr>
        <w:t xml:space="preserve"> via </w:t>
      </w:r>
      <w:r w:rsidR="009A767E" w:rsidRPr="017DE087">
        <w:rPr>
          <w:rFonts w:ascii="Times New Roman" w:hAnsi="Times New Roman"/>
          <w:noProof/>
          <w:sz w:val="24"/>
          <w:szCs w:val="24"/>
        </w:rPr>
        <w:t xml:space="preserve">the </w:t>
      </w:r>
      <w:r w:rsidRPr="017DE087">
        <w:rPr>
          <w:rFonts w:ascii="Times New Roman" w:hAnsi="Times New Roman"/>
          <w:noProof/>
          <w:sz w:val="24"/>
          <w:szCs w:val="24"/>
        </w:rPr>
        <w:t>Single Access Point</w:t>
      </w:r>
      <w:r w:rsidR="009A767E" w:rsidRPr="017DE087">
        <w:rPr>
          <w:rFonts w:ascii="Times New Roman" w:hAnsi="Times New Roman"/>
          <w:noProof/>
          <w:sz w:val="24"/>
          <w:szCs w:val="24"/>
        </w:rPr>
        <w:t xml:space="preserve"> </w:t>
      </w:r>
      <w:r w:rsidRPr="017DE087">
        <w:rPr>
          <w:rFonts w:ascii="Times New Roman" w:hAnsi="Times New Roman"/>
          <w:noProof/>
          <w:sz w:val="24"/>
          <w:szCs w:val="24"/>
        </w:rPr>
        <w:t>where the Commission provides the necessary infrastructure and CASPs report directly into the new interface</w:t>
      </w:r>
      <w:r w:rsidR="006A305E" w:rsidRPr="017DE087">
        <w:rPr>
          <w:rFonts w:ascii="Times New Roman" w:hAnsi="Times New Roman"/>
          <w:noProof/>
          <w:sz w:val="24"/>
          <w:szCs w:val="24"/>
        </w:rPr>
        <w:t xml:space="preserve">, a reliable </w:t>
      </w:r>
      <w:r w:rsidR="00120A76" w:rsidRPr="017DE087">
        <w:rPr>
          <w:rFonts w:ascii="Times New Roman" w:hAnsi="Times New Roman"/>
          <w:noProof/>
          <w:sz w:val="24"/>
          <w:szCs w:val="24"/>
        </w:rPr>
        <w:t>cost</w:t>
      </w:r>
      <w:r w:rsidR="006A305E" w:rsidRPr="017DE087">
        <w:rPr>
          <w:rFonts w:ascii="Times New Roman" w:hAnsi="Times New Roman"/>
          <w:noProof/>
          <w:sz w:val="24"/>
          <w:szCs w:val="24"/>
        </w:rPr>
        <w:t xml:space="preserve"> estimation leading to proper IT solution comparison remains challenging to make. </w:t>
      </w:r>
      <w:r w:rsidRPr="017DE087">
        <w:rPr>
          <w:rFonts w:ascii="Times New Roman" w:hAnsi="Times New Roman"/>
          <w:noProof/>
          <w:sz w:val="24"/>
          <w:szCs w:val="24"/>
        </w:rPr>
        <w:t xml:space="preserve">Conversely, </w:t>
      </w:r>
      <w:r w:rsidR="006A305E" w:rsidRPr="017DE087">
        <w:rPr>
          <w:rFonts w:ascii="Times New Roman" w:hAnsi="Times New Roman"/>
          <w:noProof/>
          <w:sz w:val="24"/>
          <w:szCs w:val="24"/>
        </w:rPr>
        <w:t xml:space="preserve">some IT infrastructure already exists for the use of the existing Central Directory as this IT solution could be delivered/deployed within a shorter legal base deadline, thus likely having a positive impact on savings. This point is of particular importance in this case where the need to regulate reporting and ensure exchanges of information on crypto-assets is urgent and a prerequisite for other initiatives in the EU as well as in the individual Member States. Similarly, some existing IT infrastructure also exists under the decentralized approach, but the estimated costs are </w:t>
      </w:r>
      <w:r w:rsidR="009A77A0" w:rsidRPr="017DE087">
        <w:rPr>
          <w:rFonts w:ascii="Times New Roman" w:hAnsi="Times New Roman"/>
          <w:noProof/>
          <w:sz w:val="24"/>
          <w:szCs w:val="24"/>
        </w:rPr>
        <w:t xml:space="preserve">quite high compared to other IT solutions and unlikely to be offset by </w:t>
      </w:r>
      <w:r w:rsidR="001A7430" w:rsidRPr="017DE087">
        <w:rPr>
          <w:rFonts w:ascii="Times New Roman" w:hAnsi="Times New Roman"/>
          <w:noProof/>
          <w:sz w:val="24"/>
          <w:szCs w:val="24"/>
        </w:rPr>
        <w:t xml:space="preserve">any </w:t>
      </w:r>
      <w:r w:rsidR="009A77A0" w:rsidRPr="017DE087">
        <w:rPr>
          <w:rFonts w:ascii="Times New Roman" w:hAnsi="Times New Roman"/>
          <w:noProof/>
          <w:sz w:val="24"/>
          <w:szCs w:val="24"/>
        </w:rPr>
        <w:t>possible benefits.</w:t>
      </w:r>
    </w:p>
    <w:p w14:paraId="51CBA144" w14:textId="46466AD8" w:rsidR="00DC3B56" w:rsidRPr="009E2CE3" w:rsidRDefault="00B32132" w:rsidP="009E2CE3">
      <w:pPr>
        <w:jc w:val="both"/>
        <w:rPr>
          <w:rFonts w:ascii="Times New Roman" w:hAnsi="Times New Roman"/>
          <w:noProof/>
          <w:sz w:val="24"/>
        </w:rPr>
      </w:pPr>
      <w:r w:rsidRPr="009E2CE3">
        <w:rPr>
          <w:rFonts w:ascii="Times New Roman" w:hAnsi="Times New Roman"/>
          <w:noProof/>
          <w:sz w:val="24"/>
        </w:rPr>
        <w:t>Finally, when it comes to the policy options, the three IT implementation choices are feasible no matter which policy option is chosen. The feasibility of the IT solution depends neither on the size of the CASPs, nor on the types fo</w:t>
      </w:r>
      <w:r w:rsidR="00F06D0B">
        <w:rPr>
          <w:rFonts w:ascii="Times New Roman" w:hAnsi="Times New Roman"/>
          <w:noProof/>
          <w:sz w:val="24"/>
        </w:rPr>
        <w:t>r</w:t>
      </w:r>
      <w:r w:rsidRPr="009E2CE3">
        <w:rPr>
          <w:rFonts w:ascii="Times New Roman" w:hAnsi="Times New Roman"/>
          <w:noProof/>
          <w:sz w:val="24"/>
        </w:rPr>
        <w:t xml:space="preserve"> crypto-assets in scope nor the reporting method. The question here is more about the efficiency of the different IT solutions in achieving the initiative’s objectives.</w:t>
      </w:r>
    </w:p>
    <w:p w14:paraId="1F920989" w14:textId="77777777" w:rsidR="0069696D" w:rsidRPr="00D312CE" w:rsidRDefault="0069696D" w:rsidP="006E5F59">
      <w:pPr>
        <w:pStyle w:val="ListParagraph"/>
        <w:rPr>
          <w:rFonts w:ascii="Times New Roman" w:hAnsi="Times New Roman" w:cs="Times New Roman"/>
          <w:noProof/>
          <w:sz w:val="24"/>
          <w:szCs w:val="24"/>
        </w:rPr>
      </w:pPr>
    </w:p>
    <w:p w14:paraId="40847FDF" w14:textId="77777777" w:rsidR="006E5F59" w:rsidRPr="008704BD" w:rsidRDefault="3D141061" w:rsidP="00C972ED">
      <w:pPr>
        <w:pStyle w:val="ListParagraph"/>
        <w:numPr>
          <w:ilvl w:val="0"/>
          <w:numId w:val="102"/>
        </w:numPr>
        <w:rPr>
          <w:rFonts w:ascii="Times New Roman" w:hAnsi="Times New Roman"/>
          <w:b/>
          <w:noProof/>
          <w:sz w:val="24"/>
        </w:rPr>
      </w:pPr>
      <w:r w:rsidRPr="008704BD">
        <w:rPr>
          <w:rFonts w:ascii="Times New Roman" w:hAnsi="Times New Roman"/>
          <w:b/>
          <w:noProof/>
          <w:sz w:val="24"/>
        </w:rPr>
        <w:t>Overall assessment</w:t>
      </w:r>
    </w:p>
    <w:p w14:paraId="362A6335" w14:textId="77777777" w:rsidR="006E5F59" w:rsidRPr="008704BD" w:rsidRDefault="006E5F59" w:rsidP="006E5F59">
      <w:pPr>
        <w:pStyle w:val="ListParagraph"/>
        <w:ind w:left="0"/>
        <w:rPr>
          <w:rFonts w:ascii="Times New Roman" w:hAnsi="Times New Roman"/>
          <w:b/>
          <w:noProof/>
          <w:sz w:val="24"/>
        </w:rPr>
      </w:pPr>
    </w:p>
    <w:p w14:paraId="132CAFE3" w14:textId="77777777" w:rsidR="006E5F59" w:rsidRPr="008704BD" w:rsidRDefault="006E5F59" w:rsidP="006E5F59">
      <w:pPr>
        <w:pStyle w:val="ListParagraph"/>
        <w:ind w:left="0"/>
        <w:jc w:val="both"/>
        <w:rPr>
          <w:rFonts w:ascii="Times New Roman" w:hAnsi="Times New Roman"/>
          <w:noProof/>
          <w:sz w:val="24"/>
        </w:rPr>
      </w:pPr>
      <w:r w:rsidRPr="008704BD">
        <w:rPr>
          <w:rFonts w:ascii="Times New Roman" w:hAnsi="Times New Roman"/>
          <w:noProof/>
          <w:sz w:val="24"/>
        </w:rPr>
        <w:t xml:space="preserve">Each of the proposed IT solutions have advantages and disadvantages. The first two options described above have the advantage of having already been tested and developed, which revealed their strengths as well as their weaknesses while developing or using them for the different DAC exchanges.  </w:t>
      </w:r>
    </w:p>
    <w:p w14:paraId="346463D1" w14:textId="57355E9A" w:rsidR="006E5F59" w:rsidRPr="008704BD" w:rsidRDefault="006E5F59" w:rsidP="006E5F59">
      <w:pPr>
        <w:jc w:val="both"/>
        <w:rPr>
          <w:rFonts w:ascii="Times New Roman" w:hAnsi="Times New Roman"/>
          <w:noProof/>
          <w:sz w:val="24"/>
        </w:rPr>
      </w:pPr>
      <w:r w:rsidRPr="008704BD">
        <w:rPr>
          <w:rFonts w:ascii="Times New Roman" w:hAnsi="Times New Roman"/>
          <w:noProof/>
          <w:sz w:val="24"/>
        </w:rPr>
        <w:t>For the moment, the first two IT solutions coexist and are used for different DAC exchanges. The new IT solution would become a third alternative for DAC information exchanges</w:t>
      </w:r>
      <w:r w:rsidR="00414F02">
        <w:rPr>
          <w:rFonts w:ascii="Times New Roman" w:hAnsi="Times New Roman"/>
          <w:noProof/>
          <w:sz w:val="24"/>
        </w:rPr>
        <w:t>.</w:t>
      </w:r>
      <w:r w:rsidRPr="008704BD">
        <w:rPr>
          <w:rFonts w:ascii="Times New Roman" w:hAnsi="Times New Roman"/>
          <w:noProof/>
          <w:sz w:val="24"/>
        </w:rPr>
        <w:t xml:space="preserve"> </w:t>
      </w:r>
    </w:p>
    <w:p w14:paraId="0E49FDA1" w14:textId="042D00ED" w:rsidR="006E5F59" w:rsidRDefault="006E5F59" w:rsidP="006E5F59">
      <w:pPr>
        <w:jc w:val="both"/>
        <w:rPr>
          <w:rFonts w:ascii="Times New Roman" w:hAnsi="Times New Roman"/>
          <w:noProof/>
          <w:sz w:val="24"/>
          <w:szCs w:val="24"/>
        </w:rPr>
      </w:pPr>
      <w:r w:rsidRPr="017DE087">
        <w:rPr>
          <w:rFonts w:ascii="Times New Roman" w:hAnsi="Times New Roman"/>
          <w:noProof/>
          <w:sz w:val="24"/>
          <w:szCs w:val="24"/>
        </w:rPr>
        <w:t xml:space="preserve">As already </w:t>
      </w:r>
      <w:r w:rsidR="009A767E" w:rsidRPr="017DE087">
        <w:rPr>
          <w:rFonts w:ascii="Times New Roman" w:hAnsi="Times New Roman"/>
          <w:noProof/>
          <w:sz w:val="24"/>
          <w:szCs w:val="24"/>
        </w:rPr>
        <w:t>explained</w:t>
      </w:r>
      <w:r w:rsidRPr="017DE087">
        <w:rPr>
          <w:rFonts w:ascii="Times New Roman" w:hAnsi="Times New Roman"/>
          <w:noProof/>
          <w:sz w:val="24"/>
          <w:szCs w:val="24"/>
        </w:rPr>
        <w:t xml:space="preserve">, the main advantage of the Single Access Point is the absence of an intermediary tax administration, which means that the information is available in one single platform without additional IT infrastructures at the level of the intermediary. </w:t>
      </w:r>
      <w:r w:rsidR="00414F02" w:rsidRPr="017DE087">
        <w:rPr>
          <w:rFonts w:ascii="Times New Roman" w:hAnsi="Times New Roman"/>
          <w:noProof/>
          <w:sz w:val="24"/>
          <w:szCs w:val="24"/>
        </w:rPr>
        <w:t>T</w:t>
      </w:r>
      <w:r w:rsidRPr="017DE087">
        <w:rPr>
          <w:rFonts w:ascii="Times New Roman" w:hAnsi="Times New Roman"/>
          <w:noProof/>
          <w:sz w:val="24"/>
          <w:szCs w:val="24"/>
        </w:rPr>
        <w:t xml:space="preserve">he cost and resources for the intermediary are </w:t>
      </w:r>
      <w:r w:rsidR="00414F02" w:rsidRPr="017DE087">
        <w:rPr>
          <w:rFonts w:ascii="Times New Roman" w:hAnsi="Times New Roman"/>
          <w:noProof/>
          <w:sz w:val="24"/>
          <w:szCs w:val="24"/>
        </w:rPr>
        <w:t xml:space="preserve">therefore reduced </w:t>
      </w:r>
      <w:r w:rsidRPr="017DE087">
        <w:rPr>
          <w:rFonts w:ascii="Times New Roman" w:hAnsi="Times New Roman"/>
          <w:noProof/>
          <w:sz w:val="24"/>
          <w:szCs w:val="24"/>
        </w:rPr>
        <w:t>in term</w:t>
      </w:r>
      <w:r w:rsidR="009A767E" w:rsidRPr="017DE087">
        <w:rPr>
          <w:rFonts w:ascii="Times New Roman" w:hAnsi="Times New Roman"/>
          <w:noProof/>
          <w:sz w:val="24"/>
          <w:szCs w:val="24"/>
        </w:rPr>
        <w:t>s</w:t>
      </w:r>
      <w:r w:rsidRPr="017DE087">
        <w:rPr>
          <w:rFonts w:ascii="Times New Roman" w:hAnsi="Times New Roman"/>
          <w:noProof/>
          <w:sz w:val="24"/>
          <w:szCs w:val="24"/>
        </w:rPr>
        <w:t xml:space="preserve"> of implementation and development. Furthermore, there would only be one single IT solution instead of 27 that the reporting entity will have to adapt to. </w:t>
      </w:r>
      <w:r w:rsidR="7DDD2B40" w:rsidRPr="017DE087">
        <w:rPr>
          <w:rFonts w:ascii="Times New Roman" w:hAnsi="Times New Roman"/>
          <w:noProof/>
          <w:sz w:val="24"/>
          <w:szCs w:val="24"/>
        </w:rPr>
        <w:t>These</w:t>
      </w:r>
      <w:r w:rsidRPr="017DE087">
        <w:rPr>
          <w:rFonts w:ascii="Times New Roman" w:hAnsi="Times New Roman"/>
          <w:noProof/>
          <w:sz w:val="24"/>
          <w:szCs w:val="24"/>
        </w:rPr>
        <w:t xml:space="preserve"> IT tools would also potentially reduce development </w:t>
      </w:r>
      <w:r w:rsidR="40DE8636" w:rsidRPr="017DE087">
        <w:rPr>
          <w:rFonts w:ascii="Times New Roman" w:hAnsi="Times New Roman"/>
          <w:noProof/>
          <w:sz w:val="24"/>
          <w:szCs w:val="24"/>
        </w:rPr>
        <w:t>costs</w:t>
      </w:r>
      <w:r w:rsidRPr="017DE087">
        <w:rPr>
          <w:rFonts w:ascii="Times New Roman" w:hAnsi="Times New Roman"/>
          <w:noProof/>
          <w:sz w:val="24"/>
          <w:szCs w:val="24"/>
        </w:rPr>
        <w:t xml:space="preserve"> for compliance, risk assessment, statistics and other tools</w:t>
      </w:r>
      <w:r w:rsidR="009A767E" w:rsidRPr="017DE087">
        <w:rPr>
          <w:rFonts w:ascii="Times New Roman" w:hAnsi="Times New Roman"/>
          <w:noProof/>
          <w:sz w:val="24"/>
          <w:szCs w:val="24"/>
        </w:rPr>
        <w:t>,</w:t>
      </w:r>
      <w:r w:rsidRPr="017DE087">
        <w:rPr>
          <w:rFonts w:ascii="Times New Roman" w:hAnsi="Times New Roman"/>
          <w:noProof/>
          <w:sz w:val="24"/>
          <w:szCs w:val="24"/>
        </w:rPr>
        <w:t xml:space="preserve"> which are required to show the respective use of information received through the DAC framework. </w:t>
      </w:r>
    </w:p>
    <w:p w14:paraId="0AAB170F" w14:textId="6B40C4B0" w:rsidR="004E5034" w:rsidRDefault="53C0A588" w:rsidP="006E5F59">
      <w:pPr>
        <w:jc w:val="both"/>
        <w:rPr>
          <w:rFonts w:ascii="Times New Roman" w:hAnsi="Times New Roman"/>
          <w:noProof/>
          <w:sz w:val="24"/>
        </w:rPr>
      </w:pPr>
      <w:r w:rsidRPr="017DE087">
        <w:rPr>
          <w:rFonts w:ascii="Times New Roman" w:hAnsi="Times New Roman"/>
          <w:noProof/>
          <w:sz w:val="24"/>
          <w:szCs w:val="24"/>
        </w:rPr>
        <w:t>Despite the listed advantages of the Single A</w:t>
      </w:r>
      <w:r w:rsidR="00414F02" w:rsidRPr="017DE087">
        <w:rPr>
          <w:rFonts w:ascii="Times New Roman" w:hAnsi="Times New Roman"/>
          <w:noProof/>
          <w:sz w:val="24"/>
          <w:szCs w:val="24"/>
        </w:rPr>
        <w:t>cc</w:t>
      </w:r>
      <w:r w:rsidRPr="017DE087">
        <w:rPr>
          <w:rFonts w:ascii="Times New Roman" w:hAnsi="Times New Roman"/>
          <w:noProof/>
          <w:sz w:val="24"/>
          <w:szCs w:val="24"/>
        </w:rPr>
        <w:t xml:space="preserve">ess Point solution, the traditional Central Directory is </w:t>
      </w:r>
      <w:r w:rsidR="00414F02" w:rsidRPr="017DE087">
        <w:rPr>
          <w:rFonts w:ascii="Times New Roman" w:hAnsi="Times New Roman"/>
          <w:noProof/>
          <w:sz w:val="24"/>
          <w:szCs w:val="24"/>
        </w:rPr>
        <w:t>considered</w:t>
      </w:r>
      <w:r w:rsidR="00717751">
        <w:rPr>
          <w:rFonts w:ascii="Times New Roman" w:hAnsi="Times New Roman"/>
          <w:noProof/>
          <w:sz w:val="24"/>
          <w:szCs w:val="24"/>
        </w:rPr>
        <w:t xml:space="preserve"> </w:t>
      </w:r>
      <w:r w:rsidR="005F5DC6" w:rsidRPr="017DE087">
        <w:rPr>
          <w:rFonts w:ascii="Times New Roman" w:hAnsi="Times New Roman"/>
          <w:noProof/>
          <w:sz w:val="24"/>
          <w:szCs w:val="24"/>
        </w:rPr>
        <w:t>a</w:t>
      </w:r>
      <w:r w:rsidRPr="017DE087">
        <w:rPr>
          <w:rFonts w:ascii="Times New Roman" w:hAnsi="Times New Roman"/>
          <w:noProof/>
          <w:sz w:val="24"/>
          <w:szCs w:val="24"/>
        </w:rPr>
        <w:t xml:space="preserve"> better solution because it is already known by Member States and used for DAC3 and DAC6 purposes. Precise calculations of costs are not possible to make as this would be a new and untested solution, but Member States would need to adapt their national systems to new channels for receiving data. Another advantage compared to the Single Access Point is that it can be delivered and deployed with a shorter deadline</w:t>
      </w:r>
      <w:r w:rsidR="00414F02" w:rsidRPr="017DE087">
        <w:rPr>
          <w:rFonts w:ascii="Times New Roman" w:hAnsi="Times New Roman"/>
          <w:noProof/>
          <w:sz w:val="24"/>
          <w:szCs w:val="24"/>
        </w:rPr>
        <w:t>. It is urgent to start the reporting and exchange of crypto-asset information as other initiatives, whether at EU level or at national level, rely on such information in order to operate and considering the current serious lack of necessary information. C</w:t>
      </w:r>
      <w:r w:rsidRPr="017DE087">
        <w:rPr>
          <w:rFonts w:ascii="Times New Roman" w:hAnsi="Times New Roman"/>
          <w:noProof/>
          <w:sz w:val="24"/>
          <w:szCs w:val="24"/>
        </w:rPr>
        <w:t>ompared to the decentralised solution</w:t>
      </w:r>
      <w:r w:rsidR="00414F02" w:rsidRPr="017DE087">
        <w:rPr>
          <w:rFonts w:ascii="Times New Roman" w:hAnsi="Times New Roman"/>
          <w:noProof/>
          <w:sz w:val="24"/>
          <w:szCs w:val="24"/>
        </w:rPr>
        <w:t xml:space="preserve">, the Central Directory solution </w:t>
      </w:r>
      <w:r w:rsidRPr="017DE087">
        <w:rPr>
          <w:rFonts w:ascii="Times New Roman" w:hAnsi="Times New Roman"/>
          <w:noProof/>
          <w:sz w:val="24"/>
          <w:szCs w:val="24"/>
        </w:rPr>
        <w:t xml:space="preserve">provides for more flexibility in the future in case the IT solutions will need to be harmonised for the DAC as a whole. The introduction of a Single Access Point would be more appropriate to consider for the DAC including all amendments in order to calculate and reduce costs with a high degree of certainty. </w:t>
      </w:r>
    </w:p>
    <w:p w14:paraId="2B1599D3" w14:textId="77777777" w:rsidR="00F62E3B" w:rsidRDefault="00F62E3B">
      <w:pPr>
        <w:rPr>
          <w:rFonts w:eastAsiaTheme="majorEastAsia" w:cstheme="majorBidi"/>
          <w:b/>
          <w:noProof/>
          <w:sz w:val="28"/>
          <w:szCs w:val="32"/>
          <w:lang w:val="en-GB"/>
        </w:rPr>
      </w:pPr>
      <w:bookmarkStart w:id="509" w:name="_Toc620699996"/>
      <w:bookmarkStart w:id="510" w:name="_Toc1279181807"/>
      <w:bookmarkStart w:id="511" w:name="_Toc1745134254"/>
      <w:bookmarkStart w:id="512" w:name="_Toc93306899"/>
      <w:r>
        <w:rPr>
          <w:noProof/>
          <w:lang w:val="en-GB"/>
        </w:rPr>
        <w:br w:type="page"/>
      </w:r>
    </w:p>
    <w:p w14:paraId="559C42DE" w14:textId="108A7776" w:rsidR="004E5034" w:rsidRPr="0006025D" w:rsidRDefault="004E5034" w:rsidP="005A7B71">
      <w:pPr>
        <w:pStyle w:val="Heading1"/>
        <w:rPr>
          <w:rFonts w:ascii="Times New Roman" w:hAnsi="Times New Roman" w:cs="Times New Roman"/>
          <w:noProof/>
          <w:lang w:val="en-GB"/>
        </w:rPr>
      </w:pPr>
      <w:r w:rsidRPr="0006025D">
        <w:rPr>
          <w:rFonts w:ascii="Times New Roman" w:hAnsi="Times New Roman" w:cs="Times New Roman"/>
          <w:noProof/>
          <w:lang w:val="en-GB"/>
        </w:rPr>
        <w:t>ANNEX 6:  STRENGTHENING OF ADMINISTRATIVE COOPERATION BETWEEN TAX AUTHORITIES</w:t>
      </w:r>
      <w:bookmarkEnd w:id="509"/>
      <w:bookmarkEnd w:id="510"/>
      <w:bookmarkEnd w:id="511"/>
      <w:bookmarkEnd w:id="512"/>
    </w:p>
    <w:p w14:paraId="66BE3230" w14:textId="77777777" w:rsidR="004E5034" w:rsidRPr="006F30DD" w:rsidRDefault="004E5034" w:rsidP="004E5034">
      <w:pPr>
        <w:pStyle w:val="Default"/>
        <w:jc w:val="both"/>
        <w:rPr>
          <w:rFonts w:ascii="Times New Roman" w:eastAsiaTheme="minorEastAsia" w:hAnsi="Times New Roman" w:cs="Times New Roman"/>
          <w:noProof/>
          <w:color w:val="auto"/>
          <w:sz w:val="22"/>
          <w:szCs w:val="22"/>
          <w:lang w:val="en-GB" w:eastAsia="en-US"/>
        </w:rPr>
      </w:pPr>
    </w:p>
    <w:p w14:paraId="29984FBA" w14:textId="77777777" w:rsidR="004E5034" w:rsidRPr="00EF4D62" w:rsidRDefault="004E5034" w:rsidP="004E5034">
      <w:pPr>
        <w:spacing w:after="200" w:line="240" w:lineRule="auto"/>
        <w:jc w:val="both"/>
        <w:rPr>
          <w:rFonts w:ascii="Times New Roman" w:hAnsi="Times New Roman" w:cs="Times New Roman"/>
          <w:noProof/>
          <w:sz w:val="24"/>
          <w:szCs w:val="24"/>
          <w:lang w:val="en-GB"/>
        </w:rPr>
      </w:pPr>
      <w:r w:rsidRPr="00EF4D62">
        <w:rPr>
          <w:rFonts w:ascii="Times New Roman" w:hAnsi="Times New Roman" w:cs="Times New Roman"/>
          <w:noProof/>
          <w:sz w:val="24"/>
          <w:szCs w:val="24"/>
          <w:lang w:val="en-GB"/>
        </w:rPr>
        <w:t xml:space="preserve">In the broader context of the DAC, this impact assessment also presents a further strengthening of administrative cooperation between tax authorities, including a review of the current compliance framework, a clarification of the rules applicable to e-money and the expansion of the exchange of cross-border tax rulings to rulings granted to natural persons.  </w:t>
      </w:r>
    </w:p>
    <w:p w14:paraId="533768D0" w14:textId="77777777" w:rsidR="004E5034" w:rsidRPr="00EF4D62" w:rsidRDefault="004E5034" w:rsidP="0097262B">
      <w:pPr>
        <w:jc w:val="both"/>
        <w:rPr>
          <w:rFonts w:ascii="Times New Roman" w:eastAsiaTheme="minorEastAsia" w:hAnsi="Times New Roman" w:cs="Times New Roman"/>
          <w:noProof/>
          <w:sz w:val="24"/>
          <w:szCs w:val="24"/>
          <w:lang w:val="en-GB"/>
        </w:rPr>
      </w:pPr>
      <w:r w:rsidRPr="00EF4D62">
        <w:rPr>
          <w:rFonts w:ascii="Times New Roman" w:eastAsiaTheme="minorEastAsia" w:hAnsi="Times New Roman" w:cs="Times New Roman"/>
          <w:noProof/>
          <w:sz w:val="24"/>
          <w:szCs w:val="24"/>
          <w:lang w:val="en-GB"/>
        </w:rPr>
        <w:t>The European Court of Auditors (ECA) report</w:t>
      </w:r>
      <w:r w:rsidRPr="00EF4D62">
        <w:rPr>
          <w:rStyle w:val="FootnoteReference"/>
          <w:rFonts w:ascii="Times New Roman" w:eastAsiaTheme="minorEastAsia" w:hAnsi="Times New Roman" w:cs="Times New Roman"/>
          <w:noProof/>
          <w:sz w:val="24"/>
          <w:szCs w:val="24"/>
          <w:lang w:val="en-GB"/>
        </w:rPr>
        <w:footnoteReference w:id="65"/>
      </w:r>
      <w:r w:rsidRPr="00EF4D62">
        <w:rPr>
          <w:rStyle w:val="FootnoteReference"/>
          <w:rFonts w:ascii="Times New Roman" w:eastAsiaTheme="minorEastAsia" w:hAnsi="Times New Roman" w:cs="Times New Roman"/>
          <w:noProof/>
          <w:sz w:val="24"/>
          <w:szCs w:val="24"/>
          <w:lang w:val="en-GB"/>
        </w:rPr>
        <w:t xml:space="preserve"> </w:t>
      </w:r>
      <w:r w:rsidRPr="00EF4D62">
        <w:rPr>
          <w:rFonts w:ascii="Times New Roman" w:eastAsiaTheme="minorEastAsia" w:hAnsi="Times New Roman" w:cs="Times New Roman"/>
          <w:noProof/>
          <w:sz w:val="24"/>
          <w:szCs w:val="24"/>
          <w:lang w:val="en-GB"/>
        </w:rPr>
        <w:t>and the European Parliament resolution</w:t>
      </w:r>
      <w:r w:rsidRPr="00EF4D62">
        <w:rPr>
          <w:rStyle w:val="FootnoteReference"/>
          <w:rFonts w:ascii="Times New Roman" w:eastAsiaTheme="minorEastAsia" w:hAnsi="Times New Roman" w:cs="Times New Roman"/>
          <w:noProof/>
          <w:sz w:val="24"/>
          <w:szCs w:val="24"/>
          <w:lang w:val="en-GB"/>
        </w:rPr>
        <w:footnoteReference w:id="66"/>
      </w:r>
      <w:r w:rsidRPr="00EF4D62">
        <w:rPr>
          <w:rFonts w:ascii="Times New Roman" w:eastAsiaTheme="minorEastAsia" w:hAnsi="Times New Roman" w:cs="Times New Roman"/>
          <w:noProof/>
          <w:sz w:val="24"/>
          <w:szCs w:val="24"/>
          <w:lang w:val="en-GB"/>
        </w:rPr>
        <w:t xml:space="preserve"> pointed at the inefficiencies and the need of improvement in several areas of the Directive including the compliance measures, e-money provisions and rulings.</w:t>
      </w:r>
      <w:r w:rsidRPr="00EF4D62">
        <w:rPr>
          <w:rFonts w:ascii="Times New Roman" w:eastAsiaTheme="minorEastAsia" w:hAnsi="Times New Roman" w:cs="Times New Roman"/>
          <w:noProof/>
          <w:sz w:val="24"/>
          <w:szCs w:val="24"/>
          <w:vertAlign w:val="superscript"/>
          <w:lang w:val="en-GB"/>
        </w:rPr>
        <w:footnoteReference w:id="67"/>
      </w:r>
    </w:p>
    <w:p w14:paraId="0FBCD007" w14:textId="77777777" w:rsidR="004E5034" w:rsidRPr="006F30DD" w:rsidRDefault="004E5034" w:rsidP="004E5034">
      <w:pPr>
        <w:pStyle w:val="Default"/>
        <w:jc w:val="both"/>
        <w:rPr>
          <w:rFonts w:ascii="Times New Roman" w:eastAsiaTheme="minorEastAsia" w:hAnsi="Times New Roman" w:cs="Times New Roman"/>
          <w:b/>
          <w:noProof/>
          <w:color w:val="auto"/>
          <w:sz w:val="22"/>
          <w:szCs w:val="22"/>
          <w:lang w:val="en-GB" w:eastAsia="en-US"/>
        </w:rPr>
      </w:pPr>
      <w:r w:rsidRPr="006F30DD">
        <w:rPr>
          <w:rFonts w:ascii="Times New Roman" w:eastAsiaTheme="minorEastAsia" w:hAnsi="Times New Roman" w:cs="Times New Roman"/>
          <w:b/>
          <w:noProof/>
          <w:color w:val="auto"/>
          <w:sz w:val="22"/>
          <w:szCs w:val="22"/>
          <w:lang w:val="en-GB" w:eastAsia="en-US"/>
        </w:rPr>
        <w:t>The problems</w:t>
      </w:r>
    </w:p>
    <w:p w14:paraId="59855590" w14:textId="77777777" w:rsidR="004E5034" w:rsidRPr="006F30DD" w:rsidRDefault="004E5034" w:rsidP="004E5034">
      <w:pPr>
        <w:pStyle w:val="Default"/>
        <w:jc w:val="both"/>
        <w:rPr>
          <w:rFonts w:ascii="Times New Roman" w:eastAsiaTheme="minorEastAsia" w:hAnsi="Times New Roman" w:cs="Times New Roman"/>
          <w:b/>
          <w:noProof/>
          <w:color w:val="auto"/>
          <w:sz w:val="22"/>
          <w:szCs w:val="22"/>
          <w:lang w:val="en-GB" w:eastAsia="en-US"/>
        </w:rPr>
      </w:pPr>
    </w:p>
    <w:p w14:paraId="6B3057EA" w14:textId="18DBCF19" w:rsidR="004E5034" w:rsidRPr="00EF4D62" w:rsidRDefault="004E5034" w:rsidP="004E5034">
      <w:pPr>
        <w:pStyle w:val="Default"/>
        <w:jc w:val="both"/>
        <w:rPr>
          <w:rFonts w:ascii="Times New Roman" w:eastAsiaTheme="minorEastAsia" w:hAnsi="Times New Roman" w:cs="Times New Roman"/>
          <w:noProof/>
          <w:color w:val="auto"/>
          <w:lang w:val="en-GB" w:eastAsia="en-US"/>
        </w:rPr>
      </w:pPr>
      <w:r w:rsidRPr="00EF4D62">
        <w:rPr>
          <w:rFonts w:ascii="Times New Roman" w:eastAsiaTheme="minorEastAsia" w:hAnsi="Times New Roman" w:cs="Times New Roman"/>
          <w:noProof/>
          <w:color w:val="auto"/>
          <w:lang w:val="en-GB" w:eastAsia="en-US"/>
        </w:rPr>
        <w:t>The</w:t>
      </w:r>
      <w:r w:rsidR="009E3355">
        <w:rPr>
          <w:rFonts w:ascii="Times New Roman" w:eastAsiaTheme="minorEastAsia" w:hAnsi="Times New Roman" w:cs="Times New Roman"/>
          <w:noProof/>
          <w:color w:val="auto"/>
          <w:lang w:val="en-GB" w:eastAsia="en-US"/>
        </w:rPr>
        <w:t>re are</w:t>
      </w:r>
      <w:r w:rsidRPr="00EF4D62">
        <w:rPr>
          <w:rFonts w:ascii="Times New Roman" w:eastAsiaTheme="minorEastAsia" w:hAnsi="Times New Roman" w:cs="Times New Roman"/>
          <w:noProof/>
          <w:color w:val="auto"/>
          <w:lang w:val="en-GB" w:eastAsia="en-US"/>
        </w:rPr>
        <w:t xml:space="preserve"> inefficiencies in the current framework on administrative cooperation and enforcement of the DAC provisions</w:t>
      </w:r>
      <w:r w:rsidR="009E3355">
        <w:rPr>
          <w:rFonts w:ascii="Times New Roman" w:eastAsiaTheme="minorEastAsia" w:hAnsi="Times New Roman" w:cs="Times New Roman"/>
          <w:noProof/>
          <w:color w:val="auto"/>
          <w:lang w:val="en-GB" w:eastAsia="en-US"/>
        </w:rPr>
        <w:t>, which stem from</w:t>
      </w:r>
      <w:r w:rsidRPr="00EF4D62">
        <w:rPr>
          <w:rFonts w:ascii="Times New Roman" w:eastAsiaTheme="minorEastAsia" w:hAnsi="Times New Roman" w:cs="Times New Roman"/>
          <w:noProof/>
          <w:color w:val="auto"/>
          <w:lang w:val="en-GB" w:eastAsia="en-US"/>
        </w:rPr>
        <w:t xml:space="preserve"> a lack of clarity concerning some provisions of the legal text underpinning this framework, in particular when it comes to the application of penalties or other compliance measures, or the exchange of information on e-money. Furthermore, the current framework for exchanging cross-border rulings </w:t>
      </w:r>
      <w:r w:rsidR="0097262B" w:rsidRPr="00EF4D62">
        <w:rPr>
          <w:rFonts w:ascii="Times New Roman" w:eastAsiaTheme="minorEastAsia" w:hAnsi="Times New Roman" w:cs="Times New Roman"/>
          <w:noProof/>
          <w:color w:val="auto"/>
          <w:lang w:val="en-GB" w:eastAsia="en-US"/>
        </w:rPr>
        <w:t>could be made more coherent.</w:t>
      </w:r>
    </w:p>
    <w:p w14:paraId="38A9ADB6" w14:textId="77777777" w:rsidR="004E5034" w:rsidRPr="00EF4D62" w:rsidRDefault="004E5034" w:rsidP="004E5034">
      <w:pPr>
        <w:pStyle w:val="Default"/>
        <w:jc w:val="both"/>
        <w:rPr>
          <w:rFonts w:ascii="Times New Roman" w:eastAsiaTheme="minorEastAsia" w:hAnsi="Times New Roman" w:cs="Times New Roman"/>
          <w:noProof/>
          <w:color w:val="auto"/>
          <w:lang w:val="en-GB" w:eastAsia="en-US"/>
        </w:rPr>
      </w:pPr>
    </w:p>
    <w:p w14:paraId="6079E2C7" w14:textId="2280C1CF" w:rsidR="004E5034" w:rsidRPr="00EF4D62" w:rsidRDefault="004E5034" w:rsidP="004E5034">
      <w:pPr>
        <w:pStyle w:val="Default"/>
        <w:jc w:val="both"/>
        <w:rPr>
          <w:rFonts w:ascii="Times New Roman" w:hAnsi="Times New Roman" w:cs="Times New Roman"/>
          <w:noProof/>
          <w:lang w:val="en-GB"/>
        </w:rPr>
      </w:pPr>
      <w:r w:rsidRPr="42911850">
        <w:rPr>
          <w:rFonts w:ascii="Times New Roman" w:eastAsiaTheme="minorEastAsia" w:hAnsi="Times New Roman" w:cs="Times New Roman"/>
          <w:noProof/>
          <w:color w:val="auto"/>
          <w:lang w:val="en-GB" w:eastAsia="en-US"/>
        </w:rPr>
        <w:t>To illustrate the need for clarification of some concepts: DAC established a reporting obligation on a number of actors (such as financial institutions under DAC2, MNEs under DAC4, intermediaries under DAC6, digital platform operators under DAC7). Under the current wording of Article 25a of the DAC, Member States have the obligation to introduce “effective, proportionate and dissuasive” penalties, in case of non-compliance with the reporting obligations.  Non-compliance can consist for example in the absence of reporting, late reporting, incomplete or false reporting, etc. However, as shown in Annex</w:t>
      </w:r>
      <w:r w:rsidR="0097262B" w:rsidRPr="42911850">
        <w:rPr>
          <w:rFonts w:ascii="Times New Roman" w:eastAsiaTheme="minorEastAsia" w:hAnsi="Times New Roman" w:cs="Times New Roman"/>
          <w:noProof/>
          <w:color w:val="auto"/>
          <w:lang w:val="en-GB" w:eastAsia="en-US"/>
        </w:rPr>
        <w:t xml:space="preserve"> 7</w:t>
      </w:r>
      <w:r w:rsidR="009E3355">
        <w:rPr>
          <w:rFonts w:ascii="Times New Roman" w:eastAsiaTheme="minorEastAsia" w:hAnsi="Times New Roman" w:cs="Times New Roman"/>
          <w:noProof/>
          <w:color w:val="auto"/>
          <w:lang w:val="en-GB" w:eastAsia="en-US"/>
        </w:rPr>
        <w:t>,</w:t>
      </w:r>
      <w:r w:rsidR="0097262B" w:rsidRPr="42911850">
        <w:rPr>
          <w:rFonts w:ascii="Times New Roman" w:eastAsiaTheme="minorEastAsia" w:hAnsi="Times New Roman" w:cs="Times New Roman"/>
          <w:noProof/>
          <w:color w:val="auto"/>
          <w:lang w:val="en-GB" w:eastAsia="en-US"/>
        </w:rPr>
        <w:t xml:space="preserve"> </w:t>
      </w:r>
      <w:r w:rsidRPr="42911850">
        <w:rPr>
          <w:rFonts w:ascii="Times New Roman" w:eastAsiaTheme="minorEastAsia" w:hAnsi="Times New Roman" w:cs="Times New Roman"/>
          <w:noProof/>
          <w:color w:val="auto"/>
          <w:lang w:val="en-GB" w:eastAsia="en-US"/>
        </w:rPr>
        <w:t>there are significant differences between the Member States’ penalties frameworks set out for non-compliance under the DAC</w:t>
      </w:r>
      <w:r w:rsidRPr="00EF4D62">
        <w:rPr>
          <w:rFonts w:ascii="Times New Roman" w:hAnsi="Times New Roman" w:cs="Times New Roman"/>
          <w:noProof/>
          <w:lang w:val="en-GB"/>
        </w:rPr>
        <w:t>, which may have a negative effect on compliance with the aforementioned principles. Member States having implemented low-level penalties as compared to other Member States do not pr</w:t>
      </w:r>
      <w:r w:rsidRPr="00EF4D62">
        <w:rPr>
          <w:rFonts w:ascii="Times New Roman" w:hAnsi="Times New Roman" w:cs="Times New Roman"/>
          <w:noProof/>
          <w:color w:val="auto"/>
          <w:lang w:val="en-GB"/>
        </w:rPr>
        <w:t xml:space="preserve">ovide for a dissuasive penalty framework and thus undermine the proper functioning of DAC. Considering the current vague wording on compliance measures in the DAC, the legal basis for infringement procedures in situations where the national measures are not regarded as dissuasive enough is </w:t>
      </w:r>
      <w:r w:rsidR="001A16D7">
        <w:rPr>
          <w:rFonts w:ascii="Times New Roman" w:hAnsi="Times New Roman" w:cs="Times New Roman"/>
          <w:noProof/>
          <w:color w:val="auto"/>
          <w:lang w:val="en-GB"/>
        </w:rPr>
        <w:t>fragile</w:t>
      </w:r>
      <w:r w:rsidRPr="00EF4D62">
        <w:rPr>
          <w:rFonts w:ascii="Times New Roman" w:hAnsi="Times New Roman" w:cs="Times New Roman"/>
          <w:noProof/>
          <w:color w:val="auto"/>
          <w:lang w:val="en-GB"/>
        </w:rPr>
        <w:t>.</w:t>
      </w:r>
    </w:p>
    <w:p w14:paraId="3EFDC6F5" w14:textId="77777777" w:rsidR="004E5034" w:rsidRPr="00EF4D62" w:rsidRDefault="004E5034" w:rsidP="004E5034">
      <w:pPr>
        <w:pStyle w:val="Default"/>
        <w:jc w:val="both"/>
        <w:rPr>
          <w:rFonts w:ascii="Times New Roman" w:hAnsi="Times New Roman" w:cs="Times New Roman"/>
          <w:noProof/>
          <w:color w:val="000000" w:themeColor="text1"/>
          <w:lang w:val="en-GB"/>
        </w:rPr>
      </w:pPr>
    </w:p>
    <w:p w14:paraId="28C6769A" w14:textId="0966D68B" w:rsidR="004E5034" w:rsidRPr="002F596F" w:rsidRDefault="004E5034" w:rsidP="42911850">
      <w:pPr>
        <w:pStyle w:val="Default"/>
        <w:jc w:val="both"/>
        <w:rPr>
          <w:rFonts w:ascii="Times New Roman" w:hAnsi="Times New Roman" w:cs="Times New Roman"/>
          <w:noProof/>
          <w:color w:val="111111"/>
          <w:lang w:val="en-GB"/>
        </w:rPr>
      </w:pPr>
      <w:r w:rsidRPr="42911850">
        <w:rPr>
          <w:rFonts w:ascii="Times New Roman" w:eastAsiaTheme="minorEastAsia" w:hAnsi="Times New Roman" w:cs="Times New Roman"/>
          <w:noProof/>
          <w:color w:val="auto"/>
          <w:lang w:val="en-GB" w:eastAsia="en-US"/>
        </w:rPr>
        <w:t xml:space="preserve">Another area which suffers from a lack of a clear and unequivocal drafting are the rules pertaining to the reporting and exchange of information on e-money products. </w:t>
      </w:r>
      <w:r w:rsidRPr="42911850">
        <w:rPr>
          <w:rFonts w:ascii="Times New Roman" w:hAnsi="Times New Roman" w:cs="Times New Roman"/>
          <w:noProof/>
          <w:color w:val="111111"/>
          <w:lang w:val="en-GB"/>
        </w:rPr>
        <w:t>E-money is broadly defined as an electronic store of monetary value on a technical device that may be used for making payments to entities other than the e-money issuer. It acts as a prepaid bearer instrument, which does not necessarily involve bank accounts in transactions.</w:t>
      </w:r>
      <w:r w:rsidRPr="42911850">
        <w:rPr>
          <w:rFonts w:ascii="Times New Roman" w:hAnsi="Times New Roman" w:cs="Times New Roman"/>
          <w:noProof/>
          <w:color w:val="auto"/>
          <w:lang w:val="en-GB" w:eastAsia="en-US"/>
        </w:rPr>
        <w:t xml:space="preserve"> </w:t>
      </w:r>
      <w:r w:rsidR="46D0F2C4" w:rsidRPr="42911850">
        <w:rPr>
          <w:rFonts w:ascii="Times New Roman" w:hAnsi="Times New Roman" w:cs="Times New Roman"/>
          <w:noProof/>
          <w:color w:val="auto"/>
          <w:lang w:val="en-GB" w:eastAsia="en-US"/>
        </w:rPr>
        <w:t>Most</w:t>
      </w:r>
      <w:r w:rsidRPr="42911850">
        <w:rPr>
          <w:rFonts w:ascii="Times New Roman" w:eastAsiaTheme="minorEastAsia" w:hAnsi="Times New Roman" w:cs="Times New Roman"/>
          <w:noProof/>
          <w:color w:val="auto"/>
          <w:lang w:val="en-GB" w:eastAsia="en-US"/>
        </w:rPr>
        <w:t xml:space="preserve"> Member States interpret the existing provisions on the reporting and exchange of financial information (DAC2) as including e-money within its scope, whereas others do not.</w:t>
      </w:r>
      <w:r w:rsidRPr="42911850">
        <w:rPr>
          <w:rFonts w:ascii="Times New Roman" w:eastAsiaTheme="minorEastAsia" w:hAnsi="Times New Roman" w:cs="Times New Roman"/>
          <w:noProof/>
          <w:lang w:val="en-GB"/>
        </w:rPr>
        <w:t xml:space="preserve"> </w:t>
      </w:r>
      <w:r w:rsidRPr="002F596F">
        <w:rPr>
          <w:rFonts w:ascii="Times New Roman" w:hAnsi="Times New Roman" w:cs="Times New Roman"/>
          <w:noProof/>
          <w:color w:val="111111"/>
          <w:lang w:val="en-GB"/>
        </w:rPr>
        <w:t>This creates the risk of an uneven playing field within the financial sector and across Member States. Although e-money products are mainly used for payment and quick transactions and not for investment, they could also be used to store money and, in the current situation, avoid reporting.</w:t>
      </w:r>
    </w:p>
    <w:p w14:paraId="60C0C45D" w14:textId="77777777" w:rsidR="004E5034" w:rsidRPr="002F596F" w:rsidRDefault="004E5034" w:rsidP="004E5034">
      <w:pPr>
        <w:pStyle w:val="Default"/>
        <w:jc w:val="both"/>
        <w:rPr>
          <w:rFonts w:ascii="Times New Roman" w:hAnsi="Times New Roman" w:cs="Times New Roman"/>
          <w:noProof/>
          <w:color w:val="111111"/>
          <w:lang w:val="en-GB"/>
        </w:rPr>
      </w:pPr>
    </w:p>
    <w:p w14:paraId="5E3A1C7E" w14:textId="77777777" w:rsidR="004E5034" w:rsidRPr="002F596F" w:rsidRDefault="004E5034" w:rsidP="004E5034">
      <w:pPr>
        <w:pStyle w:val="Default"/>
        <w:jc w:val="both"/>
        <w:rPr>
          <w:rFonts w:ascii="Times New Roman" w:hAnsi="Times New Roman" w:cs="Times New Roman"/>
          <w:noProof/>
          <w:color w:val="111111"/>
          <w:lang w:val="en-GB"/>
        </w:rPr>
      </w:pPr>
      <w:r w:rsidRPr="002F596F">
        <w:rPr>
          <w:rFonts w:ascii="Times New Roman" w:hAnsi="Times New Roman" w:cs="Times New Roman"/>
          <w:noProof/>
          <w:color w:val="111111"/>
          <w:lang w:val="en-GB"/>
        </w:rPr>
        <w:t xml:space="preserve">Finally, the existing rules provide for tax transparency on cross-border rulings and advanced pricing agreements (APAs), under DAC 3. Tax rulings and APAs are most commonly associated with legal persons. However, natural persons may also benefit from cross-border rulings on complex tax arrangements. The latter </w:t>
      </w:r>
      <w:r w:rsidR="0069696D" w:rsidRPr="002F596F">
        <w:rPr>
          <w:rFonts w:ascii="Times New Roman" w:hAnsi="Times New Roman" w:cs="Times New Roman"/>
          <w:noProof/>
          <w:color w:val="111111"/>
          <w:lang w:val="en-GB"/>
        </w:rPr>
        <w:t xml:space="preserve">category of </w:t>
      </w:r>
      <w:r w:rsidRPr="002F596F">
        <w:rPr>
          <w:rFonts w:ascii="Times New Roman" w:hAnsi="Times New Roman" w:cs="Times New Roman"/>
          <w:noProof/>
          <w:color w:val="111111"/>
          <w:lang w:val="en-GB"/>
        </w:rPr>
        <w:t>cross-border rulings might be of interest to the competent tax administrations of other Member States.</w:t>
      </w:r>
    </w:p>
    <w:p w14:paraId="7663FF83" w14:textId="77777777" w:rsidR="004E5034" w:rsidRPr="006F30DD" w:rsidRDefault="004E5034" w:rsidP="004E5034">
      <w:pPr>
        <w:pStyle w:val="Default"/>
        <w:jc w:val="both"/>
        <w:rPr>
          <w:rFonts w:ascii="Times New Roman" w:eastAsiaTheme="minorEastAsia" w:hAnsi="Times New Roman" w:cs="Times New Roman"/>
          <w:noProof/>
          <w:color w:val="auto"/>
          <w:sz w:val="22"/>
          <w:szCs w:val="22"/>
          <w:lang w:val="en-GB" w:eastAsia="en-US"/>
        </w:rPr>
      </w:pPr>
    </w:p>
    <w:p w14:paraId="61F2DD11" w14:textId="5A754F2B" w:rsidR="004E5034" w:rsidRPr="006F30DD" w:rsidRDefault="004E5034" w:rsidP="004E5034">
      <w:pPr>
        <w:jc w:val="both"/>
        <w:rPr>
          <w:rFonts w:ascii="Times New Roman" w:hAnsi="Times New Roman" w:cs="Times New Roman"/>
          <w:noProof/>
          <w:lang w:val="en-GB"/>
        </w:rPr>
      </w:pPr>
      <w:bookmarkStart w:id="513" w:name="_Toc84338471"/>
      <w:bookmarkStart w:id="514" w:name="_Toc84416155"/>
      <w:bookmarkStart w:id="515" w:name="_Toc33455617"/>
      <w:bookmarkStart w:id="516" w:name="_Toc33716795"/>
      <w:bookmarkStart w:id="517" w:name="_Toc34659445"/>
      <w:bookmarkStart w:id="518" w:name="_Toc34734764"/>
      <w:bookmarkStart w:id="519" w:name="_Toc35940054"/>
      <w:bookmarkStart w:id="520" w:name="_Toc36715113"/>
      <w:bookmarkStart w:id="521" w:name="_Toc39309861"/>
      <w:bookmarkStart w:id="522" w:name="_Toc81582158"/>
      <w:bookmarkStart w:id="523" w:name="_Toc83742017"/>
      <w:bookmarkStart w:id="524" w:name="_Toc83824394"/>
      <w:bookmarkStart w:id="525" w:name="_Toc35354027"/>
      <w:bookmarkStart w:id="526" w:name="_Toc36215616"/>
      <w:bookmarkStart w:id="527" w:name="_Toc36630067"/>
      <w:bookmarkStart w:id="528" w:name="_Toc36634712"/>
      <w:bookmarkStart w:id="529" w:name="_Toc36637012"/>
      <w:r w:rsidRPr="02355236">
        <w:rPr>
          <w:rFonts w:ascii="Times New Roman" w:eastAsiaTheme="minorEastAsia" w:hAnsi="Times New Roman" w:cs="Times New Roman"/>
          <w:b/>
          <w:bCs/>
          <w:noProof/>
          <w:lang w:val="en-GB"/>
        </w:rPr>
        <w:t>Strengthening the compliance framework and completing the existing framework for automatic exchange of information on e-money and rulings</w:t>
      </w:r>
      <w:bookmarkEnd w:id="513"/>
      <w:bookmarkEnd w:id="514"/>
      <w:r w:rsidRPr="02355236">
        <w:rPr>
          <w:rFonts w:ascii="Times New Roman" w:eastAsiaTheme="minorEastAsia" w:hAnsi="Times New Roman" w:cs="Times New Roman"/>
          <w:b/>
          <w:bCs/>
          <w:noProof/>
          <w:lang w:val="en-GB"/>
        </w:rPr>
        <w:t xml:space="preserve"> </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257ED441" w14:textId="4097D992" w:rsidR="000E20D0" w:rsidRDefault="004E5034" w:rsidP="002F596F">
      <w:pPr>
        <w:pStyle w:val="Default"/>
        <w:jc w:val="both"/>
        <w:rPr>
          <w:rFonts w:ascii="Times New Roman" w:hAnsi="Times New Roman" w:cs="Times New Roman"/>
          <w:noProof/>
          <w:color w:val="111111"/>
          <w:lang w:val="en-GB"/>
        </w:rPr>
      </w:pPr>
      <w:r w:rsidRPr="002F596F">
        <w:rPr>
          <w:rFonts w:ascii="Times New Roman" w:hAnsi="Times New Roman" w:cs="Times New Roman"/>
          <w:noProof/>
          <w:color w:val="111111"/>
          <w:lang w:val="en-GB"/>
        </w:rPr>
        <w:t xml:space="preserve">The </w:t>
      </w:r>
      <w:r w:rsidR="000E20D0">
        <w:rPr>
          <w:rFonts w:ascii="Times New Roman" w:hAnsi="Times New Roman" w:cs="Times New Roman"/>
          <w:noProof/>
          <w:color w:val="111111"/>
          <w:lang w:val="en-GB"/>
        </w:rPr>
        <w:t xml:space="preserve">ECA </w:t>
      </w:r>
      <w:r w:rsidRPr="002F596F">
        <w:rPr>
          <w:rFonts w:ascii="Times New Roman" w:hAnsi="Times New Roman" w:cs="Times New Roman"/>
          <w:noProof/>
          <w:color w:val="111111"/>
          <w:lang w:val="en-GB"/>
        </w:rPr>
        <w:t xml:space="preserve">report and the resolution of the European Parliament mentioned above both conclude that the lack of a consistent compliance framework, the lack of clear provisions on e-money and the non-inclusion of some types of rulings significantly reduce the efficiency of the DAC. Building upon the findings of those reports, the </w:t>
      </w:r>
      <w:r w:rsidR="001C737D" w:rsidRPr="002F596F">
        <w:rPr>
          <w:rFonts w:ascii="Times New Roman" w:hAnsi="Times New Roman" w:cs="Times New Roman"/>
          <w:noProof/>
          <w:color w:val="111111"/>
          <w:lang w:val="en-GB"/>
        </w:rPr>
        <w:t>initiative</w:t>
      </w:r>
      <w:r w:rsidRPr="002F596F">
        <w:rPr>
          <w:rFonts w:ascii="Times New Roman" w:hAnsi="Times New Roman" w:cs="Times New Roman"/>
          <w:noProof/>
          <w:color w:val="111111"/>
          <w:lang w:val="en-GB"/>
        </w:rPr>
        <w:t xml:space="preserve"> would include clarifications and fixes to the current administrative cooperation framework to ensure it becomes more effective. These changes mainly concern the following: </w:t>
      </w:r>
    </w:p>
    <w:p w14:paraId="3D17CCE9" w14:textId="78E287C0" w:rsidR="004E5034" w:rsidRPr="002F596F" w:rsidRDefault="004E5034" w:rsidP="002F596F">
      <w:pPr>
        <w:pStyle w:val="Default"/>
        <w:jc w:val="both"/>
        <w:rPr>
          <w:rFonts w:ascii="Times New Roman" w:hAnsi="Times New Roman" w:cs="Times New Roman"/>
          <w:noProof/>
          <w:color w:val="111111"/>
          <w:lang w:val="en-GB"/>
        </w:rPr>
      </w:pPr>
      <w:r w:rsidRPr="002F596F">
        <w:rPr>
          <w:rFonts w:ascii="Times New Roman" w:hAnsi="Times New Roman" w:cs="Times New Roman"/>
          <w:noProof/>
          <w:color w:val="111111"/>
          <w:lang w:val="en-GB"/>
        </w:rPr>
        <w:t xml:space="preserve"> </w:t>
      </w:r>
      <w:bookmarkStart w:id="530" w:name="_Toc84338472"/>
    </w:p>
    <w:p w14:paraId="551CEA86" w14:textId="77777777" w:rsidR="004E5034" w:rsidRPr="006F30DD" w:rsidRDefault="004E5034" w:rsidP="004E5034">
      <w:pPr>
        <w:pStyle w:val="ListParagraph"/>
        <w:numPr>
          <w:ilvl w:val="0"/>
          <w:numId w:val="99"/>
        </w:numPr>
        <w:spacing w:line="256" w:lineRule="auto"/>
        <w:jc w:val="both"/>
        <w:rPr>
          <w:rFonts w:ascii="Times New Roman" w:hAnsi="Times New Roman" w:cs="Times New Roman"/>
          <w:noProof/>
          <w:lang w:val="en-GB"/>
        </w:rPr>
      </w:pPr>
      <w:r w:rsidRPr="006F30DD">
        <w:rPr>
          <w:rFonts w:ascii="Times New Roman" w:hAnsi="Times New Roman" w:cs="Times New Roman"/>
          <w:i/>
          <w:iCs/>
          <w:noProof/>
          <w:lang w:val="en-GB"/>
        </w:rPr>
        <w:t>Compliance framework</w:t>
      </w:r>
      <w:bookmarkEnd w:id="530"/>
    </w:p>
    <w:p w14:paraId="515DF563" w14:textId="7AE33A1C" w:rsidR="004E5034" w:rsidRPr="002F596F" w:rsidRDefault="004E5034" w:rsidP="004E5034">
      <w:pPr>
        <w:jc w:val="both"/>
        <w:rPr>
          <w:rFonts w:ascii="Times New Roman" w:eastAsia="Times New Roman" w:hAnsi="Times New Roman" w:cs="Times New Roman"/>
          <w:noProof/>
          <w:color w:val="111111"/>
          <w:sz w:val="24"/>
          <w:szCs w:val="24"/>
          <w:lang w:val="en-GB" w:eastAsia="en-GB"/>
        </w:rPr>
      </w:pPr>
      <w:r w:rsidRPr="002F596F">
        <w:rPr>
          <w:rFonts w:ascii="Times New Roman" w:eastAsia="Times New Roman" w:hAnsi="Times New Roman" w:cs="Times New Roman"/>
          <w:noProof/>
          <w:color w:val="111111"/>
          <w:sz w:val="24"/>
          <w:szCs w:val="24"/>
          <w:lang w:val="en-GB" w:eastAsia="en-GB"/>
        </w:rPr>
        <w:t xml:space="preserve">As mentioned above, there is a need to clarify the compliance framework provided for in DAC to ensure a more consistent implementation across the EU Member States. It would consist of setting a common minimum level of penalties </w:t>
      </w:r>
      <w:r w:rsidR="000E20D0">
        <w:rPr>
          <w:rFonts w:ascii="Times New Roman" w:eastAsia="Times New Roman" w:hAnsi="Times New Roman" w:cs="Times New Roman"/>
          <w:noProof/>
          <w:color w:val="111111"/>
          <w:sz w:val="24"/>
          <w:szCs w:val="24"/>
          <w:lang w:val="en-GB" w:eastAsia="en-GB"/>
        </w:rPr>
        <w:t xml:space="preserve">for the </w:t>
      </w:r>
      <w:r w:rsidR="000E20D0" w:rsidRPr="006F6151">
        <w:rPr>
          <w:rFonts w:ascii="Times New Roman" w:eastAsia="Times New Roman" w:hAnsi="Times New Roman" w:cs="Times New Roman"/>
          <w:noProof/>
          <w:color w:val="111111"/>
          <w:sz w:val="24"/>
          <w:szCs w:val="24"/>
          <w:lang w:val="en-GB" w:eastAsia="en-GB"/>
        </w:rPr>
        <w:t>most serious non-compliant behaviours</w:t>
      </w:r>
      <w:r w:rsidR="002F596F">
        <w:rPr>
          <w:rFonts w:ascii="Times New Roman" w:eastAsia="Times New Roman" w:hAnsi="Times New Roman" w:cs="Times New Roman"/>
          <w:noProof/>
          <w:color w:val="111111"/>
          <w:sz w:val="24"/>
          <w:szCs w:val="24"/>
          <w:lang w:val="en-GB" w:eastAsia="en-GB"/>
        </w:rPr>
        <w:t>, such as complete absence of reporting despite administrative reminders</w:t>
      </w:r>
      <w:r w:rsidR="000E20D0">
        <w:rPr>
          <w:rFonts w:ascii="Times New Roman" w:eastAsia="Times New Roman" w:hAnsi="Times New Roman" w:cs="Times New Roman"/>
          <w:noProof/>
          <w:color w:val="111111"/>
          <w:sz w:val="24"/>
          <w:szCs w:val="24"/>
          <w:lang w:val="en-GB" w:eastAsia="en-GB"/>
        </w:rPr>
        <w:t>. It would also</w:t>
      </w:r>
      <w:r w:rsidR="000E20D0" w:rsidRPr="000E20D0">
        <w:rPr>
          <w:rFonts w:ascii="Times New Roman" w:eastAsia="Times New Roman" w:hAnsi="Times New Roman" w:cs="Times New Roman"/>
          <w:noProof/>
          <w:color w:val="111111"/>
          <w:sz w:val="24"/>
          <w:szCs w:val="24"/>
          <w:lang w:val="en-GB" w:eastAsia="en-GB"/>
        </w:rPr>
        <w:t xml:space="preserve"> </w:t>
      </w:r>
      <w:r w:rsidRPr="002F596F">
        <w:rPr>
          <w:rFonts w:ascii="Times New Roman" w:eastAsia="Times New Roman" w:hAnsi="Times New Roman" w:cs="Times New Roman"/>
          <w:noProof/>
          <w:color w:val="111111"/>
          <w:sz w:val="24"/>
          <w:szCs w:val="24"/>
          <w:lang w:val="en-GB" w:eastAsia="en-GB"/>
        </w:rPr>
        <w:t>provid</w:t>
      </w:r>
      <w:r w:rsidR="000E20D0">
        <w:rPr>
          <w:rFonts w:ascii="Times New Roman" w:eastAsia="Times New Roman" w:hAnsi="Times New Roman" w:cs="Times New Roman"/>
          <w:noProof/>
          <w:color w:val="111111"/>
          <w:sz w:val="24"/>
          <w:szCs w:val="24"/>
          <w:lang w:val="en-GB" w:eastAsia="en-GB"/>
        </w:rPr>
        <w:t>e</w:t>
      </w:r>
      <w:r w:rsidRPr="002F596F">
        <w:rPr>
          <w:rFonts w:ascii="Times New Roman" w:eastAsia="Times New Roman" w:hAnsi="Times New Roman" w:cs="Times New Roman"/>
          <w:noProof/>
          <w:color w:val="111111"/>
          <w:sz w:val="24"/>
          <w:szCs w:val="24"/>
          <w:lang w:val="en-GB" w:eastAsia="en-GB"/>
        </w:rPr>
        <w:t xml:space="preserve"> guidance in the DAC itself as to what effectiveness, dissuasiveness and proportionality should imply for each Member State’s compliance framework. This would establish the basis for guaranteeing a compliance framework that complies with the principles of effectiveness, proportionality, and dissuasiveness. In relation to the principle of effectiveness, the DAC might indicate what broad types of conducts and behaviours might be penalised leaving the Member States with the option to go further, depending on their domestic circumstances. The DAC might also put forward some types of penalties and other compliance measures that serve as guidance for the Member States in the development of their own legal compliance framework. </w:t>
      </w:r>
      <w:r w:rsidR="00FB580A">
        <w:rPr>
          <w:rFonts w:ascii="Times New Roman" w:eastAsia="Times New Roman" w:hAnsi="Times New Roman" w:cs="Times New Roman"/>
          <w:noProof/>
          <w:color w:val="111111"/>
          <w:sz w:val="24"/>
          <w:szCs w:val="24"/>
          <w:lang w:val="en-GB" w:eastAsia="en-GB"/>
        </w:rPr>
        <w:t>P</w:t>
      </w:r>
      <w:r w:rsidRPr="002F596F">
        <w:rPr>
          <w:rFonts w:ascii="Times New Roman" w:eastAsia="Times New Roman" w:hAnsi="Times New Roman" w:cs="Times New Roman"/>
          <w:noProof/>
          <w:color w:val="111111"/>
          <w:sz w:val="24"/>
          <w:szCs w:val="24"/>
          <w:lang w:val="en-GB" w:eastAsia="en-GB"/>
        </w:rPr>
        <w:t xml:space="preserve">enalties could be set in proportion to the economic size of the taxpayer/reporting entity and/or to the relevant amount of tax owed. </w:t>
      </w:r>
    </w:p>
    <w:p w14:paraId="1C9BC796" w14:textId="77777777" w:rsidR="004E5034" w:rsidRPr="006F30DD" w:rsidRDefault="004E5034" w:rsidP="004E5034">
      <w:pPr>
        <w:pStyle w:val="ListParagraph"/>
        <w:numPr>
          <w:ilvl w:val="0"/>
          <w:numId w:val="99"/>
        </w:numPr>
        <w:spacing w:line="256" w:lineRule="auto"/>
        <w:jc w:val="both"/>
        <w:rPr>
          <w:rFonts w:ascii="Times New Roman" w:hAnsi="Times New Roman" w:cs="Times New Roman"/>
          <w:i/>
          <w:iCs/>
          <w:noProof/>
          <w:lang w:val="en-GB"/>
        </w:rPr>
      </w:pPr>
      <w:bookmarkStart w:id="531" w:name="_Toc83742018"/>
      <w:bookmarkStart w:id="532" w:name="_Toc83824396"/>
      <w:bookmarkStart w:id="533" w:name="_Toc84338473"/>
      <w:r w:rsidRPr="006F30DD">
        <w:rPr>
          <w:rFonts w:ascii="Times New Roman" w:hAnsi="Times New Roman" w:cs="Times New Roman"/>
          <w:i/>
          <w:iCs/>
          <w:noProof/>
          <w:lang w:val="en-GB"/>
        </w:rPr>
        <w:t>5.3.2.2 E-mone</w:t>
      </w:r>
      <w:bookmarkEnd w:id="531"/>
      <w:bookmarkEnd w:id="532"/>
      <w:bookmarkEnd w:id="533"/>
      <w:r w:rsidRPr="006F30DD">
        <w:rPr>
          <w:rFonts w:ascii="Times New Roman" w:hAnsi="Times New Roman" w:cs="Times New Roman"/>
          <w:i/>
          <w:iCs/>
          <w:noProof/>
          <w:lang w:val="en-GB"/>
        </w:rPr>
        <w:t>y</w:t>
      </w:r>
    </w:p>
    <w:p w14:paraId="1F447932" w14:textId="0C37B552" w:rsidR="004E5034" w:rsidRPr="006F30DD" w:rsidRDefault="004E5034" w:rsidP="004E5034">
      <w:pPr>
        <w:pStyle w:val="Default"/>
        <w:jc w:val="both"/>
        <w:rPr>
          <w:rFonts w:ascii="Times New Roman" w:eastAsiaTheme="minorEastAsia" w:hAnsi="Times New Roman" w:cs="Times New Roman"/>
          <w:noProof/>
          <w:lang w:val="en-GB"/>
        </w:rPr>
      </w:pPr>
      <w:r w:rsidRPr="006F30DD">
        <w:rPr>
          <w:rFonts w:ascii="Times New Roman" w:eastAsiaTheme="minorEastAsia" w:hAnsi="Times New Roman" w:cs="Times New Roman"/>
          <w:noProof/>
          <w:lang w:val="en-GB"/>
        </w:rPr>
        <w:t xml:space="preserve">The scope of reporting under DAC2 would be clarified in order to explicitly include tax relevant data on e-money. It would ensure that a single standard for reporting and exchange of e-money data will apply. At the international level, the OECD is also working on amending the CRS to explicitly include e-money. </w:t>
      </w:r>
    </w:p>
    <w:p w14:paraId="20EA3361" w14:textId="3A4A8915" w:rsidR="00FF0731" w:rsidRDefault="00FF0731">
      <w:pPr>
        <w:rPr>
          <w:rFonts w:ascii="Times New Roman" w:eastAsiaTheme="minorEastAsia" w:hAnsi="Times New Roman" w:cs="Times New Roman"/>
          <w:noProof/>
          <w:color w:val="000000"/>
          <w:sz w:val="24"/>
          <w:szCs w:val="24"/>
          <w:lang w:val="en-GB" w:eastAsia="en-GB"/>
        </w:rPr>
      </w:pPr>
      <w:r>
        <w:rPr>
          <w:rFonts w:ascii="Times New Roman" w:eastAsiaTheme="minorEastAsia" w:hAnsi="Times New Roman" w:cs="Times New Roman"/>
          <w:noProof/>
          <w:lang w:val="en-GB"/>
        </w:rPr>
        <w:br w:type="page"/>
      </w:r>
    </w:p>
    <w:p w14:paraId="5879ADD7" w14:textId="77777777" w:rsidR="004E5034" w:rsidRPr="006F30DD" w:rsidRDefault="004E5034" w:rsidP="004E5034">
      <w:pPr>
        <w:pStyle w:val="Default"/>
        <w:jc w:val="both"/>
        <w:rPr>
          <w:rFonts w:ascii="Times New Roman" w:eastAsiaTheme="minorEastAsia" w:hAnsi="Times New Roman" w:cs="Times New Roman"/>
          <w:noProof/>
          <w:lang w:val="en-GB"/>
        </w:rPr>
      </w:pPr>
    </w:p>
    <w:p w14:paraId="53C1DD44" w14:textId="77777777" w:rsidR="004E5034" w:rsidRPr="006F30DD" w:rsidRDefault="004E5034" w:rsidP="004E5034">
      <w:pPr>
        <w:pStyle w:val="ListParagraph"/>
        <w:numPr>
          <w:ilvl w:val="0"/>
          <w:numId w:val="99"/>
        </w:numPr>
        <w:spacing w:line="256" w:lineRule="auto"/>
        <w:jc w:val="both"/>
        <w:rPr>
          <w:rFonts w:ascii="Times New Roman" w:hAnsi="Times New Roman" w:cs="Times New Roman"/>
          <w:i/>
          <w:iCs/>
          <w:noProof/>
          <w:lang w:val="en-GB"/>
        </w:rPr>
      </w:pPr>
      <w:bookmarkStart w:id="534" w:name="_Toc83824397"/>
      <w:bookmarkStart w:id="535" w:name="_Toc84338474"/>
      <w:r w:rsidRPr="006F30DD">
        <w:rPr>
          <w:rFonts w:ascii="Times New Roman" w:hAnsi="Times New Roman" w:cs="Times New Roman"/>
          <w:i/>
          <w:iCs/>
          <w:noProof/>
          <w:lang w:val="en-GB"/>
        </w:rPr>
        <w:t>5.3.2.3 Exchanges of cross-border rulings</w:t>
      </w:r>
      <w:bookmarkEnd w:id="534"/>
      <w:bookmarkEnd w:id="535"/>
    </w:p>
    <w:p w14:paraId="22C95F47" w14:textId="7EBF8EFF" w:rsidR="004E5034" w:rsidRPr="00FB580A" w:rsidRDefault="004E5034" w:rsidP="00FB580A">
      <w:pPr>
        <w:jc w:val="both"/>
        <w:rPr>
          <w:rFonts w:ascii="Times New Roman" w:eastAsia="Times New Roman" w:hAnsi="Times New Roman" w:cs="Times New Roman"/>
          <w:noProof/>
          <w:color w:val="111111"/>
          <w:sz w:val="24"/>
          <w:szCs w:val="24"/>
          <w:lang w:val="en-GB" w:eastAsia="en-GB"/>
        </w:rPr>
      </w:pPr>
      <w:r w:rsidRPr="00FB580A">
        <w:rPr>
          <w:rFonts w:ascii="Times New Roman" w:eastAsia="Times New Roman" w:hAnsi="Times New Roman" w:cs="Times New Roman"/>
          <w:noProof/>
          <w:color w:val="111111"/>
          <w:sz w:val="24"/>
          <w:szCs w:val="24"/>
          <w:lang w:val="en-GB" w:eastAsia="en-GB"/>
        </w:rPr>
        <w:t xml:space="preserve">Rulings provided by Member States’ tax authorities for the benefit of natural persons are currently not subject to reporting and automatic exchange between Member States under DAC. </w:t>
      </w:r>
      <w:r w:rsidR="001C737D" w:rsidRPr="009E2CE3" w:rsidDel="00A134CB">
        <w:rPr>
          <w:rFonts w:ascii="Times New Roman" w:eastAsia="Times New Roman" w:hAnsi="Times New Roman" w:cs="Times New Roman"/>
          <w:noProof/>
          <w:color w:val="111111"/>
          <w:sz w:val="24"/>
          <w:szCs w:val="24"/>
          <w:lang w:val="en-GB" w:eastAsia="en-GB"/>
        </w:rPr>
        <w:t xml:space="preserve">However, covering all taxpayers would be in line with the general logic of the DAC. </w:t>
      </w:r>
    </w:p>
    <w:p w14:paraId="4BFCC5E5" w14:textId="77777777" w:rsidR="00FB580A" w:rsidRDefault="004E5034" w:rsidP="004E5034">
      <w:pPr>
        <w:jc w:val="both"/>
        <w:rPr>
          <w:rFonts w:ascii="Times New Roman" w:eastAsia="Times New Roman" w:hAnsi="Times New Roman" w:cs="Times New Roman"/>
          <w:noProof/>
          <w:color w:val="111111"/>
          <w:sz w:val="24"/>
          <w:szCs w:val="24"/>
          <w:lang w:val="en-GB" w:eastAsia="en-GB"/>
        </w:rPr>
      </w:pPr>
      <w:r w:rsidRPr="009E2CE3">
        <w:rPr>
          <w:rFonts w:ascii="Times New Roman" w:eastAsia="Times New Roman" w:hAnsi="Times New Roman" w:cs="Times New Roman"/>
          <w:noProof/>
          <w:color w:val="111111"/>
          <w:sz w:val="24"/>
          <w:szCs w:val="24"/>
          <w:lang w:val="en-GB" w:eastAsia="en-GB"/>
        </w:rPr>
        <w:t>Currently, there is only limited information exchange between national authorities on tax rulings for natural persons, if at all. Member States whose tax base is adversely affected by the tax rulings of others cannot react, given that they will not even know of the existence of the respective tax ruling that might cover arrangements leading to base erosion in their jurisdiction. In line with the joint effort to combat tax avoidance, there is clearly a need for greater transparency and information sharing on cross-border tax rulings.</w:t>
      </w:r>
      <w:r w:rsidRPr="009E2CE3">
        <w:rPr>
          <w:noProof/>
          <w:color w:val="111111"/>
          <w:sz w:val="24"/>
          <w:szCs w:val="24"/>
          <w:lang w:eastAsia="en-GB"/>
        </w:rPr>
        <w:footnoteReference w:id="68"/>
      </w:r>
      <w:r w:rsidRPr="009E2CE3">
        <w:rPr>
          <w:rFonts w:ascii="Times New Roman" w:eastAsia="Times New Roman" w:hAnsi="Times New Roman" w:cs="Times New Roman"/>
          <w:noProof/>
          <w:color w:val="111111"/>
          <w:sz w:val="24"/>
          <w:szCs w:val="24"/>
          <w:lang w:val="en-GB" w:eastAsia="en-GB"/>
        </w:rPr>
        <w:t xml:space="preserve"> </w:t>
      </w:r>
    </w:p>
    <w:p w14:paraId="2A9C0B33" w14:textId="1C9334B2" w:rsidR="004E5034" w:rsidRPr="009E2CE3" w:rsidDel="006E48D8" w:rsidRDefault="00FB580A" w:rsidP="004E5034">
      <w:pPr>
        <w:jc w:val="both"/>
        <w:rPr>
          <w:rFonts w:ascii="Times New Roman" w:eastAsia="Times New Roman" w:hAnsi="Times New Roman" w:cs="Times New Roman"/>
          <w:noProof/>
          <w:color w:val="111111"/>
          <w:sz w:val="24"/>
          <w:szCs w:val="24"/>
          <w:lang w:val="en-GB" w:eastAsia="en-GB"/>
        </w:rPr>
      </w:pPr>
      <w:r w:rsidRPr="00FB580A">
        <w:rPr>
          <w:rFonts w:ascii="Times New Roman" w:eastAsia="Times New Roman" w:hAnsi="Times New Roman" w:cs="Times New Roman"/>
          <w:noProof/>
          <w:color w:val="111111"/>
          <w:sz w:val="24"/>
          <w:szCs w:val="24"/>
          <w:lang w:val="en-GB" w:eastAsia="en-GB"/>
        </w:rPr>
        <w:t>The inclusion of natural persons would limit the possibility for circumvention of the information exchange by adapting the respective setup of the tax structure.</w:t>
      </w:r>
      <w:r>
        <w:rPr>
          <w:rFonts w:ascii="Times New Roman" w:eastAsia="Times New Roman" w:hAnsi="Times New Roman" w:cs="Times New Roman"/>
          <w:noProof/>
          <w:color w:val="111111"/>
          <w:sz w:val="24"/>
          <w:szCs w:val="24"/>
          <w:lang w:val="en-GB" w:eastAsia="en-GB"/>
        </w:rPr>
        <w:t xml:space="preserve"> </w:t>
      </w:r>
      <w:r w:rsidRPr="00FB580A">
        <w:rPr>
          <w:rFonts w:ascii="Times New Roman" w:eastAsia="Times New Roman" w:hAnsi="Times New Roman" w:cs="Times New Roman"/>
          <w:noProof/>
          <w:color w:val="111111"/>
          <w:sz w:val="24"/>
          <w:szCs w:val="24"/>
          <w:lang w:val="en-GB" w:eastAsia="en-GB"/>
        </w:rPr>
        <w:t xml:space="preserve">Therefore, this initiative would make compulsory the reporting of tax rulings for natural persons with a cross-border element. </w:t>
      </w:r>
      <w:r>
        <w:rPr>
          <w:rFonts w:ascii="Times New Roman" w:eastAsia="Times New Roman" w:hAnsi="Times New Roman" w:cs="Times New Roman"/>
          <w:noProof/>
          <w:color w:val="111111"/>
          <w:sz w:val="24"/>
          <w:szCs w:val="24"/>
          <w:lang w:val="en-GB" w:eastAsia="en-GB"/>
        </w:rPr>
        <w:t>T</w:t>
      </w:r>
      <w:r w:rsidRPr="00A04EA5">
        <w:rPr>
          <w:rFonts w:ascii="Times New Roman" w:eastAsia="Times New Roman" w:hAnsi="Times New Roman" w:cs="Times New Roman"/>
          <w:noProof/>
          <w:color w:val="111111"/>
          <w:sz w:val="24"/>
          <w:szCs w:val="24"/>
          <w:lang w:val="en-GB" w:eastAsia="en-GB"/>
        </w:rPr>
        <w:t xml:space="preserve">he obligation to exchange information about tax rulings would in no way restrict or limit </w:t>
      </w:r>
      <w:r>
        <w:rPr>
          <w:rFonts w:ascii="Times New Roman" w:eastAsia="Times New Roman" w:hAnsi="Times New Roman" w:cs="Times New Roman"/>
          <w:noProof/>
          <w:color w:val="111111"/>
          <w:sz w:val="24"/>
          <w:szCs w:val="24"/>
          <w:lang w:val="en-GB" w:eastAsia="en-GB"/>
        </w:rPr>
        <w:t xml:space="preserve">the possibility for </w:t>
      </w:r>
      <w:r w:rsidRPr="00A04EA5">
        <w:rPr>
          <w:rFonts w:ascii="Times New Roman" w:eastAsia="Times New Roman" w:hAnsi="Times New Roman" w:cs="Times New Roman"/>
          <w:noProof/>
          <w:color w:val="111111"/>
          <w:sz w:val="24"/>
          <w:szCs w:val="24"/>
          <w:lang w:val="en-GB" w:eastAsia="en-GB"/>
        </w:rPr>
        <w:t>natural persons to request rulings from the national administration.</w:t>
      </w:r>
    </w:p>
    <w:p w14:paraId="60F0D4FD" w14:textId="77777777" w:rsidR="0069696D" w:rsidRDefault="0069696D">
      <w:pPr>
        <w:rPr>
          <w:rFonts w:ascii="Times New Roman" w:eastAsiaTheme="minorEastAsia" w:hAnsi="Times New Roman" w:cs="Times New Roman"/>
          <w:noProof/>
          <w:lang w:val="en-GB"/>
        </w:rPr>
      </w:pPr>
      <w:r>
        <w:rPr>
          <w:rFonts w:ascii="Times New Roman" w:eastAsiaTheme="minorEastAsia" w:hAnsi="Times New Roman" w:cs="Times New Roman"/>
          <w:noProof/>
          <w:lang w:val="en-GB"/>
        </w:rPr>
        <w:br w:type="page"/>
      </w:r>
    </w:p>
    <w:p w14:paraId="1227D2FE" w14:textId="77777777" w:rsidR="004E5034" w:rsidRPr="006F30DD" w:rsidRDefault="004E5034" w:rsidP="41BAA3BB">
      <w:pPr>
        <w:pStyle w:val="Heading1"/>
        <w:rPr>
          <w:rFonts w:ascii="Times New Roman" w:eastAsia="Times New Roman" w:hAnsi="Times New Roman" w:cs="Times New Roman"/>
          <w:b w:val="0"/>
          <w:smallCaps/>
          <w:noProof/>
          <w:lang w:val="en-GB"/>
        </w:rPr>
      </w:pPr>
      <w:bookmarkStart w:id="536" w:name="_Toc1877219235"/>
      <w:bookmarkStart w:id="537" w:name="_Toc1461652734"/>
      <w:bookmarkStart w:id="538" w:name="_Toc523930985"/>
      <w:bookmarkStart w:id="539" w:name="_Toc93306900"/>
      <w:r w:rsidRPr="41BAA3BB">
        <w:rPr>
          <w:rFonts w:ascii="Times New Roman" w:eastAsia="Times New Roman" w:hAnsi="Times New Roman" w:cs="Times New Roman"/>
          <w:smallCaps/>
          <w:noProof/>
          <w:lang w:val="en-GB"/>
        </w:rPr>
        <w:t xml:space="preserve">ANNEX 7: </w:t>
      </w:r>
      <w:r>
        <w:rPr>
          <w:noProof/>
        </w:rPr>
        <w:tab/>
      </w:r>
      <w:r w:rsidRPr="41BAA3BB">
        <w:rPr>
          <w:rFonts w:ascii="Times New Roman" w:eastAsia="Times New Roman" w:hAnsi="Times New Roman" w:cs="Times New Roman"/>
          <w:smallCaps/>
          <w:noProof/>
          <w:lang w:val="en-GB"/>
        </w:rPr>
        <w:t>OVERVIEW OF DIFFERING PENALTIES APPLIED BY MEMBER STATES</w:t>
      </w:r>
      <w:bookmarkEnd w:id="536"/>
      <w:bookmarkEnd w:id="537"/>
      <w:bookmarkEnd w:id="538"/>
      <w:bookmarkEnd w:id="539"/>
    </w:p>
    <w:p w14:paraId="1CD60F07" w14:textId="77777777" w:rsidR="004E5034" w:rsidRPr="006F30DD" w:rsidRDefault="004E5034" w:rsidP="004E5034">
      <w:pPr>
        <w:rPr>
          <w:rFonts w:ascii="Times New Roman" w:hAnsi="Times New Roman" w:cs="Times New Roman"/>
          <w:b/>
          <w:noProof/>
        </w:rPr>
      </w:pPr>
    </w:p>
    <w:p w14:paraId="5B0B2E39" w14:textId="42574C6F" w:rsidR="004E5034" w:rsidRPr="009E2CE3" w:rsidRDefault="004E5034"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 xml:space="preserve">Based on the information gathered through the consultation of Member States, all Member States have legislation in place, which </w:t>
      </w:r>
      <w:r w:rsidR="15E9325D" w:rsidRPr="009E2CE3">
        <w:rPr>
          <w:rFonts w:ascii="Times New Roman" w:hAnsi="Times New Roman" w:cs="Times New Roman"/>
          <w:noProof/>
          <w:sz w:val="24"/>
          <w:szCs w:val="24"/>
        </w:rPr>
        <w:t>provides</w:t>
      </w:r>
      <w:r w:rsidRPr="009E2CE3">
        <w:rPr>
          <w:rFonts w:ascii="Times New Roman" w:hAnsi="Times New Roman" w:cs="Times New Roman"/>
          <w:noProof/>
          <w:sz w:val="24"/>
          <w:szCs w:val="24"/>
        </w:rPr>
        <w:t xml:space="preserve"> for the application of penalties for infringements pursuant to the provisions of the DAC. Additionally, the vast majority of Member States have developed administrative procedures for verifying compliance with the DAC. The measures through which the Member States monitor the fulfilment of the obligations derived from the DAC are, amongst others, desk-based checks and on-site inspections, as well as statistical analysis.. </w:t>
      </w:r>
    </w:p>
    <w:p w14:paraId="56F920C4" w14:textId="77777777" w:rsidR="004E5034" w:rsidRPr="009E2CE3" w:rsidRDefault="004E5034"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Of the circumstances and factors that some Member States take into account to determine the level of the penalty, the degree of the intentionality of the offending subject is the most frequently applied. Some Member States also consider whether there has been repetitive non-compliance, as well as the size of the subject or the benefit obtained from the offending conduct.</w:t>
      </w:r>
    </w:p>
    <w:p w14:paraId="2E6AD3CC" w14:textId="5462E17B" w:rsidR="004E5034" w:rsidRPr="009E2CE3" w:rsidRDefault="5E6C975B"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 xml:space="preserve">The majority of </w:t>
      </w:r>
      <w:r w:rsidR="004E5034" w:rsidRPr="009E2CE3">
        <w:rPr>
          <w:rFonts w:ascii="Times New Roman" w:hAnsi="Times New Roman" w:cs="Times New Roman"/>
          <w:noProof/>
          <w:sz w:val="24"/>
          <w:szCs w:val="24"/>
        </w:rPr>
        <w:t>Member States distinguish between late reporting of information, reporting with minor errors, reporting with false statements or documents, and not reporting at all when designing penalties and compliance measures for infringements of reporting obligations under the DAC.</w:t>
      </w:r>
    </w:p>
    <w:p w14:paraId="534C15B8" w14:textId="77777777" w:rsidR="004E5034" w:rsidRPr="009E2CE3" w:rsidRDefault="004E5034"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Although the domestic context must be considered when analysing the differences in the penalties designed for the different DAC’s, it is also necessary to emphasize that to guarantee a level playing field throughout the European internal market, the competent authorities must perform this analysis with a European perspective.</w:t>
      </w:r>
    </w:p>
    <w:p w14:paraId="28EA212A" w14:textId="100095A7" w:rsidR="004E5034" w:rsidRPr="009E2CE3" w:rsidRDefault="004E5034"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From the table below, we can clearly distinguish significant differences in the amounts of penalties set by different Member States. Particularly striking are the large differences in the amount of minimum penalties that may affect, to a greater or lesser extent, the effectiveness and efficiency of compliance with the rules of the DAC.  Although there are significant differences in the maximum amount of sanctions applied, it is considered that this aspect would fall within the discretion of the Member States to make their compliance system stricter in the event of any non-compliance.</w:t>
      </w:r>
    </w:p>
    <w:p w14:paraId="3907229F" w14:textId="4F43E1F7" w:rsidR="004E5034" w:rsidRPr="009E2CE3" w:rsidRDefault="004E5034"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 xml:space="preserve">To correctly analyse the biggest differences between Member States’ compliance measures in DAC2, it is important to bear in mind that some Member States fix these amounts in relation to the number of accounts or even concerning the data of these accounts. Differences of the penalties’ </w:t>
      </w:r>
      <w:r w:rsidR="58F8FBC3" w:rsidRPr="009E2CE3">
        <w:rPr>
          <w:rFonts w:ascii="Times New Roman" w:hAnsi="Times New Roman" w:cs="Times New Roman"/>
          <w:noProof/>
          <w:sz w:val="24"/>
          <w:szCs w:val="24"/>
        </w:rPr>
        <w:t>calculation must</w:t>
      </w:r>
      <w:r w:rsidRPr="009E2CE3">
        <w:rPr>
          <w:rFonts w:ascii="Times New Roman" w:hAnsi="Times New Roman" w:cs="Times New Roman"/>
          <w:noProof/>
          <w:sz w:val="24"/>
          <w:szCs w:val="24"/>
        </w:rPr>
        <w:t xml:space="preserve"> be considered when assessing the differences between the minimum and maximum penalties established by Member States.</w:t>
      </w:r>
    </w:p>
    <w:p w14:paraId="61C809D9" w14:textId="7489DF29" w:rsidR="004E5034" w:rsidRPr="009E2CE3" w:rsidRDefault="004E5034"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Under DAC4</w:t>
      </w:r>
      <w:r w:rsidR="00170B64">
        <w:rPr>
          <w:rFonts w:ascii="Times New Roman" w:hAnsi="Times New Roman" w:cs="Times New Roman"/>
          <w:noProof/>
          <w:sz w:val="24"/>
          <w:szCs w:val="24"/>
        </w:rPr>
        <w:t>,</w:t>
      </w:r>
      <w:r w:rsidRPr="009E2CE3">
        <w:rPr>
          <w:rFonts w:ascii="Times New Roman" w:hAnsi="Times New Roman" w:cs="Times New Roman"/>
          <w:noProof/>
          <w:sz w:val="24"/>
          <w:szCs w:val="24"/>
        </w:rPr>
        <w:t xml:space="preserve"> large multinational enterprises with a </w:t>
      </w:r>
      <w:r w:rsidR="32D15BBC" w:rsidRPr="009E2CE3">
        <w:rPr>
          <w:rFonts w:ascii="Times New Roman" w:hAnsi="Times New Roman" w:cs="Times New Roman"/>
          <w:noProof/>
          <w:sz w:val="24"/>
          <w:szCs w:val="24"/>
        </w:rPr>
        <w:t>total consolidated group revenue of more than</w:t>
      </w:r>
      <w:r w:rsidRPr="009E2CE3">
        <w:rPr>
          <w:rFonts w:ascii="Times New Roman" w:hAnsi="Times New Roman" w:cs="Times New Roman"/>
          <w:noProof/>
          <w:sz w:val="24"/>
          <w:szCs w:val="24"/>
        </w:rPr>
        <w:t xml:space="preserve"> EUR 750.000.000 are obliged to submit annual Country-by-Country (CbC) reports. The failure to comply with the domestic law transposing DAC4 can lead to minimum penalties as low as or even below EUR 1.000. This very low minimum amount of penalties does not provide a great dissuasive effect on obliged subjects. In most cases, the cost of complying with this rule will exceed the amount of the minimum penalties. </w:t>
      </w:r>
    </w:p>
    <w:p w14:paraId="522EACBD" w14:textId="77777777" w:rsidR="004E5034" w:rsidRPr="009E2CE3" w:rsidRDefault="004E5034" w:rsidP="004E5034">
      <w:pPr>
        <w:jc w:val="both"/>
        <w:rPr>
          <w:rFonts w:ascii="Times New Roman" w:hAnsi="Times New Roman" w:cs="Times New Roman"/>
          <w:noProof/>
          <w:sz w:val="24"/>
          <w:szCs w:val="24"/>
        </w:rPr>
      </w:pPr>
      <w:r w:rsidRPr="009E2CE3">
        <w:rPr>
          <w:rFonts w:ascii="Times New Roman" w:hAnsi="Times New Roman" w:cs="Times New Roman"/>
          <w:noProof/>
          <w:sz w:val="24"/>
          <w:szCs w:val="24"/>
        </w:rPr>
        <w:t xml:space="preserve">The same arguments can be used to analyse the penalties provided for breaches of DAC6, where the highest minimum penalty does not exceed EUR 6.000. At the same time, a minimum amount of penalties below EUR 1.000 is widespread among Member States. </w:t>
      </w:r>
    </w:p>
    <w:p w14:paraId="63A59F82" w14:textId="77777777" w:rsidR="0097262B" w:rsidRPr="0097262B" w:rsidRDefault="0097262B" w:rsidP="004E5034">
      <w:pPr>
        <w:jc w:val="both"/>
        <w:rPr>
          <w:rFonts w:ascii="Times New Roman" w:hAnsi="Times New Roman" w:cs="Times New Roman"/>
          <w:i/>
          <w:noProof/>
        </w:rPr>
      </w:pPr>
      <w:r w:rsidRPr="0097262B">
        <w:rPr>
          <w:rFonts w:ascii="Times New Roman" w:hAnsi="Times New Roman" w:cs="Times New Roman"/>
          <w:i/>
          <w:noProof/>
        </w:rPr>
        <w:t>Table 10 – Overview of penalties in Member States.</w:t>
      </w:r>
    </w:p>
    <w:tbl>
      <w:tblPr>
        <w:tblStyle w:val="TableGrid"/>
        <w:tblW w:w="0" w:type="auto"/>
        <w:tblLayout w:type="fixed"/>
        <w:tblLook w:val="04A0" w:firstRow="1" w:lastRow="0" w:firstColumn="1" w:lastColumn="0" w:noHBand="0" w:noVBand="1"/>
      </w:tblPr>
      <w:tblGrid>
        <w:gridCol w:w="638"/>
        <w:gridCol w:w="1025"/>
        <w:gridCol w:w="3765"/>
        <w:gridCol w:w="1757"/>
        <w:gridCol w:w="2175"/>
      </w:tblGrid>
      <w:tr w:rsidR="42911850" w:rsidRPr="0052179F" w14:paraId="6BCD4338" w14:textId="77777777" w:rsidTr="42911850">
        <w:tc>
          <w:tcPr>
            <w:tcW w:w="638" w:type="dxa"/>
            <w:tcBorders>
              <w:top w:val="single" w:sz="8" w:space="0" w:color="auto"/>
              <w:left w:val="single" w:sz="8" w:space="0" w:color="auto"/>
              <w:bottom w:val="single" w:sz="8" w:space="0" w:color="auto"/>
              <w:right w:val="single" w:sz="8" w:space="0" w:color="auto"/>
            </w:tcBorders>
          </w:tcPr>
          <w:p w14:paraId="61D43907" w14:textId="082AE59D" w:rsidR="42911850" w:rsidRPr="00AE537F" w:rsidRDefault="42911850" w:rsidP="00AE537F">
            <w:pPr>
              <w:jc w:val="center"/>
              <w:rPr>
                <w:rFonts w:ascii="Calibri" w:eastAsia="Calibri" w:hAnsi="Calibri" w:cs="Calibri"/>
                <w:b/>
                <w:bCs/>
                <w:noProof/>
                <w:sz w:val="16"/>
                <w:szCs w:val="16"/>
              </w:rPr>
            </w:pPr>
            <w:r w:rsidRPr="00AE537F">
              <w:rPr>
                <w:rFonts w:ascii="Calibri" w:eastAsia="Calibri" w:hAnsi="Calibri" w:cs="Calibri"/>
                <w:b/>
                <w:bCs/>
                <w:noProof/>
                <w:sz w:val="16"/>
                <w:szCs w:val="16"/>
              </w:rPr>
              <w:t>MEMBER</w:t>
            </w:r>
          </w:p>
          <w:p w14:paraId="5EDF4524" w14:textId="60B86074" w:rsidR="42911850" w:rsidRPr="00AE537F" w:rsidRDefault="42911850" w:rsidP="00AE537F">
            <w:pPr>
              <w:jc w:val="center"/>
              <w:rPr>
                <w:rFonts w:ascii="Calibri" w:eastAsia="Calibri" w:hAnsi="Calibri" w:cs="Calibri"/>
                <w:b/>
                <w:bCs/>
                <w:noProof/>
                <w:sz w:val="16"/>
                <w:szCs w:val="16"/>
              </w:rPr>
            </w:pPr>
            <w:r w:rsidRPr="00AE537F">
              <w:rPr>
                <w:rFonts w:ascii="Calibri" w:eastAsia="Calibri" w:hAnsi="Calibri" w:cs="Calibri"/>
                <w:b/>
                <w:bCs/>
                <w:noProof/>
                <w:sz w:val="16"/>
                <w:szCs w:val="16"/>
              </w:rPr>
              <w:t>STATE</w:t>
            </w:r>
          </w:p>
        </w:tc>
        <w:tc>
          <w:tcPr>
            <w:tcW w:w="1025" w:type="dxa"/>
            <w:tcBorders>
              <w:top w:val="single" w:sz="8" w:space="0" w:color="auto"/>
              <w:left w:val="single" w:sz="8" w:space="0" w:color="auto"/>
              <w:bottom w:val="single" w:sz="8" w:space="0" w:color="auto"/>
              <w:right w:val="single" w:sz="8" w:space="0" w:color="auto"/>
            </w:tcBorders>
          </w:tcPr>
          <w:p w14:paraId="7C9C117D" w14:textId="5FDC944A" w:rsidR="42911850" w:rsidRPr="00AE537F" w:rsidRDefault="42911850" w:rsidP="00AE537F">
            <w:pPr>
              <w:jc w:val="center"/>
              <w:rPr>
                <w:rFonts w:ascii="Calibri" w:eastAsia="Calibri" w:hAnsi="Calibri" w:cs="Calibri"/>
                <w:b/>
                <w:bCs/>
                <w:noProof/>
                <w:sz w:val="16"/>
                <w:szCs w:val="16"/>
              </w:rPr>
            </w:pPr>
            <w:r w:rsidRPr="00AE537F">
              <w:rPr>
                <w:rFonts w:ascii="Calibri" w:eastAsia="Calibri" w:hAnsi="Calibri" w:cs="Calibri"/>
                <w:b/>
                <w:bCs/>
                <w:noProof/>
                <w:sz w:val="16"/>
                <w:szCs w:val="16"/>
              </w:rPr>
              <w:t>INFRINGEMENT OF  REPORTING OBLIGATIONS UNDER RELEVANT DACS</w:t>
            </w:r>
          </w:p>
        </w:tc>
        <w:tc>
          <w:tcPr>
            <w:tcW w:w="3765" w:type="dxa"/>
            <w:tcBorders>
              <w:top w:val="single" w:sz="8" w:space="0" w:color="auto"/>
              <w:left w:val="single" w:sz="8" w:space="0" w:color="auto"/>
              <w:bottom w:val="single" w:sz="8" w:space="0" w:color="auto"/>
              <w:right w:val="single" w:sz="8" w:space="0" w:color="auto"/>
            </w:tcBorders>
          </w:tcPr>
          <w:p w14:paraId="04A36E50" w14:textId="69F9FE39" w:rsidR="42911850" w:rsidRPr="00AE537F" w:rsidRDefault="42911850" w:rsidP="00AE537F">
            <w:pPr>
              <w:jc w:val="center"/>
              <w:rPr>
                <w:rFonts w:ascii="Calibri" w:eastAsia="Calibri" w:hAnsi="Calibri" w:cs="Calibri"/>
                <w:b/>
                <w:bCs/>
                <w:noProof/>
                <w:sz w:val="16"/>
                <w:szCs w:val="16"/>
              </w:rPr>
            </w:pPr>
            <w:r w:rsidRPr="00AE537F">
              <w:rPr>
                <w:rFonts w:ascii="Calibri" w:eastAsia="Calibri" w:hAnsi="Calibri" w:cs="Calibri"/>
                <w:b/>
                <w:bCs/>
                <w:noProof/>
                <w:sz w:val="16"/>
                <w:szCs w:val="16"/>
              </w:rPr>
              <w:t>PERSONAL SCOPE / SCOPE RATIONE MATERIAE OF INFRINGEMENTS COVERED BY PENALTIES</w:t>
            </w:r>
          </w:p>
        </w:tc>
        <w:tc>
          <w:tcPr>
            <w:tcW w:w="1757" w:type="dxa"/>
            <w:tcBorders>
              <w:top w:val="single" w:sz="8" w:space="0" w:color="auto"/>
              <w:left w:val="single" w:sz="8" w:space="0" w:color="auto"/>
              <w:bottom w:val="single" w:sz="8" w:space="0" w:color="auto"/>
              <w:right w:val="single" w:sz="8" w:space="0" w:color="auto"/>
            </w:tcBorders>
          </w:tcPr>
          <w:p w14:paraId="5A21D71D" w14:textId="5A4D083A" w:rsidR="42911850" w:rsidRPr="00AE537F" w:rsidRDefault="42911850" w:rsidP="00AE537F">
            <w:pPr>
              <w:jc w:val="center"/>
              <w:rPr>
                <w:rFonts w:ascii="Calibri" w:eastAsia="Calibri" w:hAnsi="Calibri" w:cs="Calibri"/>
                <w:b/>
                <w:bCs/>
                <w:noProof/>
                <w:sz w:val="16"/>
                <w:szCs w:val="16"/>
              </w:rPr>
            </w:pPr>
            <w:r w:rsidRPr="00AE537F">
              <w:rPr>
                <w:rFonts w:ascii="Calibri" w:eastAsia="Calibri" w:hAnsi="Calibri" w:cs="Calibri"/>
                <w:b/>
                <w:bCs/>
                <w:noProof/>
                <w:sz w:val="16"/>
                <w:szCs w:val="16"/>
              </w:rPr>
              <w:t>MINIMUM AMOUNT OF PENALTIES (IN EUR OR NATIONAL CURRENCY FOR NON-EA MEMBER STATE)</w:t>
            </w:r>
          </w:p>
        </w:tc>
        <w:tc>
          <w:tcPr>
            <w:tcW w:w="2175" w:type="dxa"/>
            <w:tcBorders>
              <w:top w:val="single" w:sz="8" w:space="0" w:color="auto"/>
              <w:left w:val="single" w:sz="8" w:space="0" w:color="auto"/>
              <w:bottom w:val="single" w:sz="8" w:space="0" w:color="auto"/>
              <w:right w:val="single" w:sz="8" w:space="0" w:color="auto"/>
            </w:tcBorders>
          </w:tcPr>
          <w:p w14:paraId="093B1716" w14:textId="2454488A" w:rsidR="42911850" w:rsidRPr="00AE537F" w:rsidRDefault="42911850" w:rsidP="00AE537F">
            <w:pPr>
              <w:jc w:val="center"/>
              <w:rPr>
                <w:rFonts w:ascii="Calibri" w:eastAsia="Calibri" w:hAnsi="Calibri" w:cs="Calibri"/>
                <w:b/>
                <w:bCs/>
                <w:noProof/>
                <w:sz w:val="16"/>
                <w:szCs w:val="16"/>
              </w:rPr>
            </w:pPr>
            <w:r w:rsidRPr="00AE537F">
              <w:rPr>
                <w:rFonts w:ascii="Calibri" w:eastAsia="Calibri" w:hAnsi="Calibri" w:cs="Calibri"/>
                <w:b/>
                <w:bCs/>
                <w:noProof/>
                <w:sz w:val="16"/>
                <w:szCs w:val="16"/>
              </w:rPr>
              <w:t>MAXIMUM AMOUNT OF PENALTIES</w:t>
            </w:r>
          </w:p>
          <w:p w14:paraId="0E9D1DE5" w14:textId="0BB18B8E" w:rsidR="42911850" w:rsidRPr="00AE537F" w:rsidRDefault="42911850" w:rsidP="00AE537F">
            <w:pPr>
              <w:jc w:val="center"/>
              <w:rPr>
                <w:rFonts w:ascii="Calibri" w:eastAsia="Calibri" w:hAnsi="Calibri" w:cs="Calibri"/>
                <w:b/>
                <w:bCs/>
                <w:noProof/>
                <w:sz w:val="16"/>
                <w:szCs w:val="16"/>
              </w:rPr>
            </w:pPr>
            <w:r w:rsidRPr="00AE537F">
              <w:rPr>
                <w:rFonts w:ascii="Calibri" w:eastAsia="Calibri" w:hAnsi="Calibri" w:cs="Calibri"/>
                <w:b/>
                <w:bCs/>
                <w:noProof/>
                <w:sz w:val="16"/>
                <w:szCs w:val="16"/>
              </w:rPr>
              <w:t>(IN EUR OR NATIONAL CURRENCY FOR NON-EA MEMBER STATE)</w:t>
            </w:r>
          </w:p>
        </w:tc>
      </w:tr>
      <w:tr w:rsidR="42911850" w14:paraId="7AE84220" w14:textId="77777777" w:rsidTr="42911850">
        <w:trPr>
          <w:trHeight w:val="60"/>
        </w:trPr>
        <w:tc>
          <w:tcPr>
            <w:tcW w:w="638" w:type="dxa"/>
            <w:tcBorders>
              <w:top w:val="single" w:sz="8" w:space="0" w:color="auto"/>
              <w:left w:val="single" w:sz="8" w:space="0" w:color="auto"/>
              <w:bottom w:val="single" w:sz="8" w:space="0" w:color="auto"/>
              <w:right w:val="single" w:sz="8" w:space="0" w:color="auto"/>
            </w:tcBorders>
          </w:tcPr>
          <w:p w14:paraId="509C499A" w14:textId="0E325549" w:rsidR="42911850" w:rsidRDefault="42911850" w:rsidP="42911850">
            <w:pPr>
              <w:rPr>
                <w:rFonts w:ascii="Calibri" w:eastAsia="Calibri" w:hAnsi="Calibri" w:cs="Calibri"/>
                <w:b/>
                <w:bCs/>
                <w:noProof/>
                <w:sz w:val="18"/>
                <w:szCs w:val="18"/>
              </w:rPr>
            </w:pPr>
          </w:p>
        </w:tc>
        <w:tc>
          <w:tcPr>
            <w:tcW w:w="1025" w:type="dxa"/>
            <w:tcBorders>
              <w:top w:val="single" w:sz="8" w:space="0" w:color="auto"/>
              <w:left w:val="single" w:sz="8" w:space="0" w:color="auto"/>
              <w:bottom w:val="single" w:sz="8" w:space="0" w:color="auto"/>
              <w:right w:val="single" w:sz="8" w:space="0" w:color="auto"/>
            </w:tcBorders>
          </w:tcPr>
          <w:p w14:paraId="0BD855D3" w14:textId="2DE6D296" w:rsidR="42911850" w:rsidRDefault="42911850" w:rsidP="42911850">
            <w:pPr>
              <w:rPr>
                <w:rFonts w:ascii="Calibri" w:eastAsia="Calibri" w:hAnsi="Calibri" w:cs="Calibri"/>
                <w:noProof/>
                <w:sz w:val="18"/>
                <w:szCs w:val="18"/>
              </w:rPr>
            </w:pPr>
          </w:p>
        </w:tc>
        <w:tc>
          <w:tcPr>
            <w:tcW w:w="3765" w:type="dxa"/>
            <w:tcBorders>
              <w:top w:val="single" w:sz="8" w:space="0" w:color="auto"/>
              <w:left w:val="single" w:sz="8" w:space="0" w:color="auto"/>
              <w:bottom w:val="single" w:sz="8" w:space="0" w:color="auto"/>
              <w:right w:val="single" w:sz="8" w:space="0" w:color="auto"/>
            </w:tcBorders>
          </w:tcPr>
          <w:p w14:paraId="5A354233" w14:textId="253955E5" w:rsidR="7645EF6E" w:rsidRDefault="7645EF6E" w:rsidP="00AE537F">
            <w:pPr>
              <w:spacing w:line="257" w:lineRule="auto"/>
              <w:rPr>
                <w:i/>
                <w:iCs/>
                <w:noProof/>
                <w:sz w:val="16"/>
                <w:szCs w:val="16"/>
              </w:rPr>
            </w:pPr>
            <w:r w:rsidRPr="00AE537F">
              <w:rPr>
                <w:i/>
                <w:iCs/>
                <w:noProof/>
                <w:sz w:val="16"/>
                <w:szCs w:val="16"/>
              </w:rPr>
              <w:t xml:space="preserve">The </w:t>
            </w:r>
            <w:r w:rsidRPr="00AE537F">
              <w:rPr>
                <w:b/>
                <w:bCs/>
                <w:i/>
                <w:iCs/>
                <w:noProof/>
                <w:sz w:val="16"/>
                <w:szCs w:val="16"/>
              </w:rPr>
              <w:t>scope rationae materiae</w:t>
            </w:r>
            <w:r w:rsidRPr="00AE537F">
              <w:rPr>
                <w:i/>
                <w:iCs/>
                <w:noProof/>
                <w:sz w:val="16"/>
                <w:szCs w:val="16"/>
              </w:rPr>
              <w:t xml:space="preserve"> (i.e. the following 4</w:t>
            </w:r>
            <w:r w:rsidR="00717751">
              <w:rPr>
                <w:i/>
                <w:iCs/>
                <w:noProof/>
                <w:sz w:val="16"/>
                <w:szCs w:val="16"/>
              </w:rPr>
              <w:t xml:space="preserve"> </w:t>
            </w:r>
            <w:r w:rsidRPr="00AE537F">
              <w:rPr>
                <w:i/>
                <w:iCs/>
                <w:noProof/>
                <w:sz w:val="16"/>
                <w:szCs w:val="16"/>
              </w:rPr>
              <w:t>categories are covered in national law: 1) no reporting, 2) late reporting, 3) on purpose wrong reporting, 4) partial reporting and the respective fines for each category if differentiation is done in the fines for the different categories in national law. The different fines are the</w:t>
            </w:r>
            <w:r w:rsidR="126DF228" w:rsidRPr="42911850">
              <w:rPr>
                <w:i/>
                <w:iCs/>
                <w:noProof/>
                <w:sz w:val="16"/>
                <w:szCs w:val="16"/>
              </w:rPr>
              <w:t>n</w:t>
            </w:r>
            <w:r w:rsidRPr="00AE537F">
              <w:rPr>
                <w:i/>
                <w:iCs/>
                <w:noProof/>
                <w:sz w:val="16"/>
                <w:szCs w:val="16"/>
              </w:rPr>
              <w:t xml:space="preserve"> mentioned in column 4 and 5). </w:t>
            </w:r>
          </w:p>
          <w:p w14:paraId="4B98DD96" w14:textId="27059BFB" w:rsidR="42911850" w:rsidRDefault="42911850" w:rsidP="42911850">
            <w:pPr>
              <w:spacing w:line="276" w:lineRule="auto"/>
              <w:rPr>
                <w:rFonts w:ascii="Calibri" w:eastAsia="Calibri" w:hAnsi="Calibri" w:cs="Calibri"/>
                <w:i/>
                <w:iCs/>
                <w:noProof/>
                <w:sz w:val="16"/>
                <w:szCs w:val="16"/>
              </w:rPr>
            </w:pPr>
          </w:p>
          <w:p w14:paraId="775C6C6C" w14:textId="10076393" w:rsidR="7645EF6E" w:rsidRDefault="7645EF6E" w:rsidP="00AE537F">
            <w:pPr>
              <w:spacing w:line="276" w:lineRule="auto"/>
              <w:rPr>
                <w:rFonts w:ascii="Calibri" w:eastAsia="Calibri" w:hAnsi="Calibri" w:cs="Calibri"/>
                <w:i/>
                <w:iCs/>
                <w:noProof/>
                <w:color w:val="FF0000"/>
                <w:sz w:val="16"/>
                <w:szCs w:val="16"/>
              </w:rPr>
            </w:pPr>
            <w:r w:rsidRPr="00AE537F">
              <w:rPr>
                <w:b/>
                <w:bCs/>
                <w:i/>
                <w:iCs/>
                <w:noProof/>
                <w:sz w:val="16"/>
                <w:szCs w:val="16"/>
              </w:rPr>
              <w:t>The personal scope</w:t>
            </w:r>
            <w:r w:rsidRPr="00AE537F">
              <w:rPr>
                <w:i/>
                <w:iCs/>
                <w:noProof/>
                <w:sz w:val="16"/>
                <w:szCs w:val="16"/>
              </w:rPr>
              <w:t xml:space="preserve">: if a </w:t>
            </w:r>
            <w:r w:rsidRPr="00AE537F">
              <w:rPr>
                <w:i/>
                <w:iCs/>
                <w:noProof/>
                <w:sz w:val="16"/>
                <w:szCs w:val="16"/>
                <w:u w:val="single"/>
              </w:rPr>
              <w:t>differentiation in minimum and maximum penalties is made for</w:t>
            </w:r>
            <w:r w:rsidRPr="00AE537F">
              <w:rPr>
                <w:i/>
                <w:iCs/>
                <w:noProof/>
                <w:sz w:val="16"/>
                <w:szCs w:val="16"/>
              </w:rPr>
              <w:t xml:space="preserve"> </w:t>
            </w:r>
            <w:r w:rsidRPr="00AE537F">
              <w:rPr>
                <w:i/>
                <w:iCs/>
                <w:noProof/>
                <w:sz w:val="16"/>
                <w:szCs w:val="16"/>
                <w:u w:val="single"/>
              </w:rPr>
              <w:t>individuals/natural persons and legal persons</w:t>
            </w:r>
            <w:r w:rsidRPr="00AE537F">
              <w:rPr>
                <w:i/>
                <w:iCs/>
                <w:noProof/>
                <w:sz w:val="16"/>
                <w:szCs w:val="16"/>
              </w:rPr>
              <w:t xml:space="preserve"> the penalties</w:t>
            </w:r>
            <w:r w:rsidR="1968D705" w:rsidRPr="42911850">
              <w:rPr>
                <w:i/>
                <w:iCs/>
                <w:noProof/>
                <w:sz w:val="16"/>
                <w:szCs w:val="16"/>
              </w:rPr>
              <w:t xml:space="preserve"> are</w:t>
            </w:r>
            <w:r w:rsidRPr="00AE537F">
              <w:rPr>
                <w:i/>
                <w:iCs/>
                <w:noProof/>
                <w:sz w:val="16"/>
                <w:szCs w:val="16"/>
              </w:rPr>
              <w:t xml:space="preserve"> mentioned also separately per type of person at the end of column 3 with the relevant penalties in column 4 and 5.</w:t>
            </w:r>
            <w:r w:rsidRPr="00AE537F">
              <w:rPr>
                <w:rFonts w:ascii="Calibri" w:eastAsia="Calibri" w:hAnsi="Calibri" w:cs="Calibri"/>
                <w:i/>
                <w:iCs/>
                <w:noProof/>
                <w:sz w:val="16"/>
                <w:szCs w:val="16"/>
              </w:rPr>
              <w:t xml:space="preserve"> </w:t>
            </w:r>
          </w:p>
          <w:p w14:paraId="62691675" w14:textId="3C452748" w:rsidR="42911850" w:rsidRDefault="42911850" w:rsidP="42911850">
            <w:pPr>
              <w:spacing w:line="276" w:lineRule="auto"/>
              <w:rPr>
                <w:rFonts w:ascii="Calibri" w:eastAsia="Calibri" w:hAnsi="Calibri" w:cs="Calibri"/>
                <w:i/>
                <w:iCs/>
                <w:noProof/>
                <w:sz w:val="16"/>
                <w:szCs w:val="16"/>
              </w:rPr>
            </w:pPr>
          </w:p>
          <w:p w14:paraId="0FC47126" w14:textId="5EEC59B3" w:rsidR="7645EF6E" w:rsidRDefault="7645EF6E" w:rsidP="00AE537F">
            <w:pPr>
              <w:spacing w:line="276" w:lineRule="auto"/>
              <w:rPr>
                <w:i/>
                <w:iCs/>
                <w:noProof/>
                <w:color w:val="FF0000"/>
                <w:sz w:val="16"/>
                <w:szCs w:val="16"/>
              </w:rPr>
            </w:pPr>
            <w:r w:rsidRPr="42911850">
              <w:rPr>
                <w:b/>
                <w:bCs/>
                <w:i/>
                <w:iCs/>
                <w:noProof/>
                <w:sz w:val="16"/>
                <w:szCs w:val="16"/>
              </w:rPr>
              <w:t>I</w:t>
            </w:r>
            <w:r w:rsidRPr="00AE537F">
              <w:rPr>
                <w:b/>
                <w:bCs/>
                <w:i/>
                <w:iCs/>
                <w:noProof/>
                <w:sz w:val="16"/>
                <w:szCs w:val="16"/>
              </w:rPr>
              <w:t>ndicat</w:t>
            </w:r>
            <w:r w:rsidRPr="42911850">
              <w:rPr>
                <w:b/>
                <w:bCs/>
                <w:i/>
                <w:iCs/>
                <w:noProof/>
                <w:sz w:val="16"/>
                <w:szCs w:val="16"/>
              </w:rPr>
              <w:t>ion</w:t>
            </w:r>
            <w:r w:rsidRPr="00AE537F">
              <w:rPr>
                <w:b/>
                <w:bCs/>
                <w:i/>
                <w:iCs/>
                <w:noProof/>
                <w:sz w:val="16"/>
                <w:szCs w:val="16"/>
              </w:rPr>
              <w:t>, if relevant</w:t>
            </w:r>
            <w:r w:rsidR="3902CDB3" w:rsidRPr="42911850">
              <w:rPr>
                <w:b/>
                <w:bCs/>
                <w:i/>
                <w:iCs/>
                <w:noProof/>
                <w:sz w:val="16"/>
                <w:szCs w:val="16"/>
              </w:rPr>
              <w:t>,</w:t>
            </w:r>
            <w:r w:rsidRPr="00AE537F">
              <w:rPr>
                <w:b/>
                <w:bCs/>
                <w:i/>
                <w:iCs/>
                <w:noProof/>
                <w:sz w:val="16"/>
                <w:szCs w:val="16"/>
              </w:rPr>
              <w:t xml:space="preserve"> whether the fines are foreseen per individual infringement</w:t>
            </w:r>
            <w:r w:rsidRPr="00AE537F">
              <w:rPr>
                <w:i/>
                <w:iCs/>
                <w:noProof/>
                <w:sz w:val="16"/>
                <w:szCs w:val="16"/>
              </w:rPr>
              <w:t xml:space="preserve"> (e.g. the penalty applies every time when a single bank account was not reported) </w:t>
            </w:r>
            <w:r w:rsidRPr="00AE537F">
              <w:rPr>
                <w:b/>
                <w:bCs/>
                <w:i/>
                <w:iCs/>
                <w:noProof/>
                <w:sz w:val="16"/>
                <w:szCs w:val="16"/>
              </w:rPr>
              <w:t>or only cumulative</w:t>
            </w:r>
            <w:r w:rsidRPr="00AE537F">
              <w:rPr>
                <w:i/>
                <w:iCs/>
                <w:noProof/>
                <w:sz w:val="16"/>
                <w:szCs w:val="16"/>
              </w:rPr>
              <w:t xml:space="preserve"> </w:t>
            </w:r>
            <w:r w:rsidRPr="00AE537F">
              <w:rPr>
                <w:b/>
                <w:bCs/>
                <w:i/>
                <w:iCs/>
                <w:noProof/>
                <w:sz w:val="16"/>
                <w:szCs w:val="16"/>
              </w:rPr>
              <w:t>for a number of detected infringements</w:t>
            </w:r>
            <w:r w:rsidRPr="00AE537F">
              <w:rPr>
                <w:i/>
                <w:iCs/>
                <w:noProof/>
                <w:sz w:val="16"/>
                <w:szCs w:val="16"/>
              </w:rPr>
              <w:t>. Rationale: to get an idea of the intensity of sanctioning/penalties. This is the info Benjamin is after. Pay careful attention to it whether you can detect this on the basis of national law or not.</w:t>
            </w:r>
          </w:p>
          <w:p w14:paraId="0ABDD7D5" w14:textId="458ED8C0" w:rsidR="42911850" w:rsidRDefault="42911850" w:rsidP="42911850">
            <w:pPr>
              <w:pStyle w:val="ListParagraph"/>
              <w:numPr>
                <w:ilvl w:val="0"/>
                <w:numId w:val="83"/>
              </w:numPr>
              <w:spacing w:line="257" w:lineRule="auto"/>
              <w:rPr>
                <w:b/>
                <w:bCs/>
                <w:noProof/>
                <w:color w:val="000000" w:themeColor="text1"/>
                <w:sz w:val="16"/>
                <w:szCs w:val="16"/>
                <w:u w:val="single"/>
              </w:rPr>
            </w:pPr>
          </w:p>
        </w:tc>
        <w:tc>
          <w:tcPr>
            <w:tcW w:w="1757" w:type="dxa"/>
            <w:tcBorders>
              <w:top w:val="single" w:sz="8" w:space="0" w:color="auto"/>
              <w:left w:val="single" w:sz="8" w:space="0" w:color="auto"/>
              <w:bottom w:val="single" w:sz="8" w:space="0" w:color="auto"/>
              <w:right w:val="single" w:sz="8" w:space="0" w:color="auto"/>
            </w:tcBorders>
          </w:tcPr>
          <w:p w14:paraId="10693605" w14:textId="2C3A00AB" w:rsidR="1B816EF1" w:rsidRDefault="00F202A0">
            <w:pPr>
              <w:rPr>
                <w:rFonts w:ascii="Calibri" w:eastAsia="Calibri" w:hAnsi="Calibri" w:cs="Calibri"/>
                <w:i/>
                <w:iCs/>
                <w:noProof/>
                <w:color w:val="FF0000"/>
                <w:sz w:val="16"/>
                <w:szCs w:val="16"/>
              </w:rPr>
            </w:pPr>
            <w:r>
              <w:rPr>
                <w:rFonts w:ascii="Calibri" w:eastAsia="Calibri" w:hAnsi="Calibri" w:cs="Calibri"/>
                <w:i/>
                <w:iCs/>
                <w:noProof/>
                <w:color w:val="FF0000"/>
                <w:sz w:val="16"/>
                <w:szCs w:val="16"/>
              </w:rPr>
              <w:t>M</w:t>
            </w:r>
            <w:r w:rsidR="1B816EF1" w:rsidRPr="42911850">
              <w:rPr>
                <w:rFonts w:ascii="Calibri" w:eastAsia="Calibri" w:hAnsi="Calibri" w:cs="Calibri"/>
                <w:i/>
                <w:iCs/>
                <w:noProof/>
                <w:color w:val="FF0000"/>
                <w:sz w:val="16"/>
                <w:szCs w:val="16"/>
              </w:rPr>
              <w:t>inimum amount in EUR or for non-EA MS their national currency with EUR amount in brackets.</w:t>
            </w:r>
          </w:p>
        </w:tc>
        <w:tc>
          <w:tcPr>
            <w:tcW w:w="2175" w:type="dxa"/>
            <w:tcBorders>
              <w:top w:val="single" w:sz="8" w:space="0" w:color="auto"/>
              <w:left w:val="single" w:sz="8" w:space="0" w:color="auto"/>
              <w:bottom w:val="single" w:sz="8" w:space="0" w:color="auto"/>
              <w:right w:val="single" w:sz="8" w:space="0" w:color="auto"/>
            </w:tcBorders>
          </w:tcPr>
          <w:p w14:paraId="00CE4863" w14:textId="48387564" w:rsidR="1B816EF1" w:rsidRDefault="00F202A0" w:rsidP="00AE537F">
            <w:pPr>
              <w:spacing w:line="257" w:lineRule="auto"/>
              <w:rPr>
                <w:rFonts w:ascii="Calibri" w:eastAsia="Calibri" w:hAnsi="Calibri" w:cs="Calibri"/>
                <w:i/>
                <w:iCs/>
                <w:noProof/>
                <w:color w:val="FF0000"/>
                <w:sz w:val="16"/>
                <w:szCs w:val="16"/>
              </w:rPr>
            </w:pPr>
            <w:r>
              <w:rPr>
                <w:rFonts w:ascii="Calibri" w:eastAsia="Calibri" w:hAnsi="Calibri" w:cs="Calibri"/>
                <w:i/>
                <w:iCs/>
                <w:noProof/>
                <w:color w:val="FF0000"/>
                <w:sz w:val="16"/>
                <w:szCs w:val="16"/>
              </w:rPr>
              <w:t>Maximum</w:t>
            </w:r>
            <w:r w:rsidR="1B816EF1" w:rsidRPr="42911850">
              <w:rPr>
                <w:rFonts w:ascii="Calibri" w:eastAsia="Calibri" w:hAnsi="Calibri" w:cs="Calibri"/>
                <w:i/>
                <w:iCs/>
                <w:noProof/>
                <w:color w:val="FF0000"/>
                <w:sz w:val="16"/>
                <w:szCs w:val="16"/>
              </w:rPr>
              <w:t xml:space="preserve"> amount in EUR or for non-EA MS their national currency with EUR amount in brackets</w:t>
            </w:r>
          </w:p>
        </w:tc>
      </w:tr>
      <w:tr w:rsidR="42911850" w14:paraId="6769447B" w14:textId="77777777" w:rsidTr="42911850">
        <w:trPr>
          <w:trHeight w:val="60"/>
        </w:trPr>
        <w:tc>
          <w:tcPr>
            <w:tcW w:w="638" w:type="dxa"/>
            <w:tcBorders>
              <w:top w:val="single" w:sz="8" w:space="0" w:color="auto"/>
              <w:left w:val="single" w:sz="8" w:space="0" w:color="auto"/>
              <w:bottom w:val="single" w:sz="8" w:space="0" w:color="auto"/>
              <w:right w:val="single" w:sz="8" w:space="0" w:color="auto"/>
            </w:tcBorders>
          </w:tcPr>
          <w:p w14:paraId="3AEBD3DE" w14:textId="38CF8598" w:rsidR="42911850" w:rsidRDefault="42911850" w:rsidP="42911850">
            <w:pPr>
              <w:rPr>
                <w:rFonts w:ascii="Calibri" w:eastAsia="Calibri" w:hAnsi="Calibri" w:cs="Calibri"/>
                <w:b/>
                <w:bCs/>
                <w:noProof/>
                <w:sz w:val="18"/>
                <w:szCs w:val="18"/>
              </w:rPr>
            </w:pPr>
          </w:p>
        </w:tc>
        <w:tc>
          <w:tcPr>
            <w:tcW w:w="1025" w:type="dxa"/>
            <w:tcBorders>
              <w:top w:val="single" w:sz="8" w:space="0" w:color="auto"/>
              <w:left w:val="single" w:sz="8" w:space="0" w:color="auto"/>
              <w:bottom w:val="single" w:sz="8" w:space="0" w:color="auto"/>
              <w:right w:val="single" w:sz="8" w:space="0" w:color="auto"/>
            </w:tcBorders>
          </w:tcPr>
          <w:p w14:paraId="24494878" w14:textId="410A358C" w:rsidR="42911850" w:rsidRDefault="42911850" w:rsidP="42911850">
            <w:pPr>
              <w:rPr>
                <w:rFonts w:ascii="Calibri" w:eastAsia="Calibri" w:hAnsi="Calibri" w:cs="Calibri"/>
                <w:noProof/>
                <w:sz w:val="18"/>
                <w:szCs w:val="18"/>
              </w:rPr>
            </w:pPr>
          </w:p>
        </w:tc>
        <w:tc>
          <w:tcPr>
            <w:tcW w:w="3765" w:type="dxa"/>
            <w:tcBorders>
              <w:top w:val="single" w:sz="8" w:space="0" w:color="auto"/>
              <w:left w:val="single" w:sz="8" w:space="0" w:color="auto"/>
              <w:bottom w:val="single" w:sz="8" w:space="0" w:color="auto"/>
              <w:right w:val="single" w:sz="8" w:space="0" w:color="auto"/>
            </w:tcBorders>
          </w:tcPr>
          <w:p w14:paraId="3CDCC507" w14:textId="5953C737" w:rsidR="42911850" w:rsidRDefault="42911850" w:rsidP="00AE537F">
            <w:pPr>
              <w:pStyle w:val="ListParagraph"/>
              <w:numPr>
                <w:ilvl w:val="0"/>
                <w:numId w:val="83"/>
              </w:numPr>
              <w:spacing w:line="257" w:lineRule="auto"/>
              <w:rPr>
                <w:rFonts w:eastAsiaTheme="minorEastAsia"/>
                <w:b/>
                <w:bCs/>
                <w:noProof/>
                <w:sz w:val="16"/>
                <w:szCs w:val="16"/>
                <w:u w:val="single"/>
              </w:rPr>
            </w:pPr>
          </w:p>
        </w:tc>
        <w:tc>
          <w:tcPr>
            <w:tcW w:w="1757" w:type="dxa"/>
            <w:tcBorders>
              <w:top w:val="single" w:sz="8" w:space="0" w:color="auto"/>
              <w:left w:val="single" w:sz="8" w:space="0" w:color="auto"/>
              <w:bottom w:val="single" w:sz="8" w:space="0" w:color="auto"/>
              <w:right w:val="single" w:sz="8" w:space="0" w:color="auto"/>
            </w:tcBorders>
          </w:tcPr>
          <w:p w14:paraId="056F956D" w14:textId="7BEDAC29" w:rsidR="42911850" w:rsidRDefault="42911850" w:rsidP="42911850">
            <w:pPr>
              <w:rPr>
                <w:rFonts w:ascii="Calibri" w:eastAsia="Calibri" w:hAnsi="Calibri" w:cs="Calibri"/>
                <w:noProof/>
                <w:sz w:val="16"/>
                <w:szCs w:val="16"/>
              </w:rPr>
            </w:pPr>
          </w:p>
        </w:tc>
        <w:tc>
          <w:tcPr>
            <w:tcW w:w="2175" w:type="dxa"/>
            <w:tcBorders>
              <w:top w:val="single" w:sz="8" w:space="0" w:color="auto"/>
              <w:left w:val="single" w:sz="8" w:space="0" w:color="auto"/>
              <w:bottom w:val="single" w:sz="8" w:space="0" w:color="auto"/>
              <w:right w:val="single" w:sz="8" w:space="0" w:color="auto"/>
            </w:tcBorders>
          </w:tcPr>
          <w:p w14:paraId="4C8779B7" w14:textId="7DCA7ABA" w:rsidR="42911850" w:rsidRDefault="42911850" w:rsidP="42911850">
            <w:pPr>
              <w:spacing w:line="257" w:lineRule="auto"/>
              <w:rPr>
                <w:rFonts w:ascii="Calibri" w:eastAsia="Calibri" w:hAnsi="Calibri" w:cs="Calibri"/>
                <w:noProof/>
                <w:sz w:val="16"/>
                <w:szCs w:val="16"/>
                <w:lang w:val="en-IE"/>
              </w:rPr>
            </w:pPr>
          </w:p>
        </w:tc>
      </w:tr>
      <w:tr w:rsidR="42911850" w14:paraId="0D98B5C3" w14:textId="77777777" w:rsidTr="42911850">
        <w:trPr>
          <w:trHeight w:val="60"/>
        </w:trPr>
        <w:tc>
          <w:tcPr>
            <w:tcW w:w="638" w:type="dxa"/>
            <w:tcBorders>
              <w:top w:val="single" w:sz="8" w:space="0" w:color="auto"/>
              <w:left w:val="single" w:sz="8" w:space="0" w:color="auto"/>
              <w:bottom w:val="single" w:sz="8" w:space="0" w:color="auto"/>
              <w:right w:val="single" w:sz="8" w:space="0" w:color="auto"/>
            </w:tcBorders>
          </w:tcPr>
          <w:p w14:paraId="68D698E8" w14:textId="78E965E2" w:rsidR="42911850" w:rsidRDefault="42911850" w:rsidP="42911850">
            <w:pPr>
              <w:rPr>
                <w:rFonts w:ascii="Calibri" w:eastAsia="Calibri" w:hAnsi="Calibri" w:cs="Calibri"/>
                <w:b/>
                <w:bCs/>
                <w:noProof/>
                <w:sz w:val="18"/>
                <w:szCs w:val="18"/>
              </w:rPr>
            </w:pPr>
          </w:p>
        </w:tc>
        <w:tc>
          <w:tcPr>
            <w:tcW w:w="1025" w:type="dxa"/>
            <w:tcBorders>
              <w:top w:val="single" w:sz="8" w:space="0" w:color="auto"/>
              <w:left w:val="single" w:sz="8" w:space="0" w:color="auto"/>
              <w:bottom w:val="single" w:sz="8" w:space="0" w:color="auto"/>
              <w:right w:val="single" w:sz="8" w:space="0" w:color="auto"/>
            </w:tcBorders>
          </w:tcPr>
          <w:p w14:paraId="2263C918" w14:textId="2C8C2CBF" w:rsidR="42911850" w:rsidRDefault="42911850" w:rsidP="42911850">
            <w:pPr>
              <w:rPr>
                <w:rFonts w:ascii="Calibri" w:eastAsia="Calibri" w:hAnsi="Calibri" w:cs="Calibri"/>
                <w:noProof/>
                <w:sz w:val="18"/>
                <w:szCs w:val="18"/>
              </w:rPr>
            </w:pPr>
          </w:p>
        </w:tc>
        <w:tc>
          <w:tcPr>
            <w:tcW w:w="3765" w:type="dxa"/>
            <w:tcBorders>
              <w:top w:val="single" w:sz="8" w:space="0" w:color="auto"/>
              <w:left w:val="single" w:sz="8" w:space="0" w:color="auto"/>
              <w:bottom w:val="single" w:sz="8" w:space="0" w:color="auto"/>
              <w:right w:val="single" w:sz="8" w:space="0" w:color="auto"/>
            </w:tcBorders>
          </w:tcPr>
          <w:p w14:paraId="3B999773" w14:textId="7CE295D2" w:rsidR="42911850" w:rsidRDefault="42911850" w:rsidP="00AE537F">
            <w:pPr>
              <w:pStyle w:val="ListParagraph"/>
              <w:numPr>
                <w:ilvl w:val="0"/>
                <w:numId w:val="83"/>
              </w:numPr>
              <w:spacing w:line="257" w:lineRule="auto"/>
              <w:rPr>
                <w:rFonts w:eastAsiaTheme="minorEastAsia"/>
                <w:b/>
                <w:bCs/>
                <w:noProof/>
                <w:sz w:val="16"/>
                <w:szCs w:val="16"/>
                <w:u w:val="single"/>
              </w:rPr>
            </w:pPr>
          </w:p>
        </w:tc>
        <w:tc>
          <w:tcPr>
            <w:tcW w:w="1757" w:type="dxa"/>
            <w:tcBorders>
              <w:top w:val="single" w:sz="8" w:space="0" w:color="auto"/>
              <w:left w:val="single" w:sz="8" w:space="0" w:color="auto"/>
              <w:bottom w:val="single" w:sz="8" w:space="0" w:color="auto"/>
              <w:right w:val="single" w:sz="8" w:space="0" w:color="auto"/>
            </w:tcBorders>
          </w:tcPr>
          <w:p w14:paraId="7D608D4A" w14:textId="40411833" w:rsidR="42911850" w:rsidRDefault="42911850" w:rsidP="42911850">
            <w:pPr>
              <w:rPr>
                <w:rFonts w:ascii="Calibri" w:eastAsia="Calibri" w:hAnsi="Calibri" w:cs="Calibri"/>
                <w:noProof/>
                <w:sz w:val="16"/>
                <w:szCs w:val="16"/>
              </w:rPr>
            </w:pPr>
          </w:p>
        </w:tc>
        <w:tc>
          <w:tcPr>
            <w:tcW w:w="2175" w:type="dxa"/>
            <w:tcBorders>
              <w:top w:val="single" w:sz="8" w:space="0" w:color="auto"/>
              <w:left w:val="single" w:sz="8" w:space="0" w:color="auto"/>
              <w:bottom w:val="single" w:sz="8" w:space="0" w:color="auto"/>
              <w:right w:val="single" w:sz="8" w:space="0" w:color="auto"/>
            </w:tcBorders>
          </w:tcPr>
          <w:p w14:paraId="2CB0250F" w14:textId="00EE1790" w:rsidR="42911850" w:rsidRDefault="42911850" w:rsidP="42911850">
            <w:pPr>
              <w:spacing w:line="257" w:lineRule="auto"/>
              <w:rPr>
                <w:rFonts w:ascii="Calibri" w:eastAsia="Calibri" w:hAnsi="Calibri" w:cs="Calibri"/>
                <w:noProof/>
                <w:sz w:val="16"/>
                <w:szCs w:val="16"/>
                <w:lang w:val="en-IE"/>
              </w:rPr>
            </w:pPr>
          </w:p>
        </w:tc>
      </w:tr>
      <w:tr w:rsidR="42911850" w:rsidRPr="00FF0731" w14:paraId="07E2F7E7" w14:textId="77777777" w:rsidTr="42911850">
        <w:trPr>
          <w:trHeight w:val="60"/>
        </w:trPr>
        <w:tc>
          <w:tcPr>
            <w:tcW w:w="638" w:type="dxa"/>
            <w:vMerge w:val="restart"/>
            <w:tcBorders>
              <w:top w:val="single" w:sz="8" w:space="0" w:color="auto"/>
              <w:left w:val="single" w:sz="8" w:space="0" w:color="auto"/>
              <w:bottom w:val="single" w:sz="8" w:space="0" w:color="auto"/>
              <w:right w:val="single" w:sz="8" w:space="0" w:color="auto"/>
            </w:tcBorders>
          </w:tcPr>
          <w:p w14:paraId="78C9E617" w14:textId="3324F1F4" w:rsidR="42911850" w:rsidRDefault="42911850">
            <w:pPr>
              <w:rPr>
                <w:noProof/>
              </w:rPr>
            </w:pPr>
            <w:r w:rsidRPr="42911850">
              <w:rPr>
                <w:rFonts w:ascii="Calibri" w:eastAsia="Calibri" w:hAnsi="Calibri" w:cs="Calibri"/>
                <w:b/>
                <w:bCs/>
                <w:noProof/>
                <w:sz w:val="18"/>
                <w:szCs w:val="18"/>
              </w:rPr>
              <w:t>AT</w:t>
            </w:r>
          </w:p>
        </w:tc>
        <w:tc>
          <w:tcPr>
            <w:tcW w:w="1025" w:type="dxa"/>
            <w:tcBorders>
              <w:top w:val="single" w:sz="8" w:space="0" w:color="auto"/>
              <w:left w:val="single" w:sz="8" w:space="0" w:color="auto"/>
              <w:bottom w:val="single" w:sz="8" w:space="0" w:color="auto"/>
              <w:right w:val="single" w:sz="8" w:space="0" w:color="auto"/>
            </w:tcBorders>
          </w:tcPr>
          <w:p w14:paraId="5B440156" w14:textId="1983C3E4" w:rsidR="42911850" w:rsidRDefault="42911850">
            <w:pPr>
              <w:rPr>
                <w:noProof/>
              </w:rPr>
            </w:pPr>
            <w:r w:rsidRPr="42911850">
              <w:rPr>
                <w:rFonts w:ascii="Calibri" w:eastAsia="Calibri" w:hAnsi="Calibri" w:cs="Calibri"/>
                <w:noProof/>
                <w:sz w:val="18"/>
                <w:szCs w:val="18"/>
              </w:rPr>
              <w:t>DAC 2</w:t>
            </w:r>
          </w:p>
        </w:tc>
        <w:tc>
          <w:tcPr>
            <w:tcW w:w="3765" w:type="dxa"/>
            <w:tcBorders>
              <w:top w:val="single" w:sz="8" w:space="0" w:color="auto"/>
              <w:left w:val="single" w:sz="8" w:space="0" w:color="auto"/>
              <w:bottom w:val="single" w:sz="8" w:space="0" w:color="auto"/>
              <w:right w:val="single" w:sz="8" w:space="0" w:color="auto"/>
            </w:tcBorders>
          </w:tcPr>
          <w:p w14:paraId="63F57E7E" w14:textId="3EA5540E" w:rsidR="42911850" w:rsidRDefault="42911850" w:rsidP="00AE537F">
            <w:pPr>
              <w:pStyle w:val="ListParagraph"/>
              <w:numPr>
                <w:ilvl w:val="0"/>
                <w:numId w:val="67"/>
              </w:numPr>
              <w:spacing w:line="257" w:lineRule="auto"/>
              <w:rPr>
                <w:rFonts w:eastAsiaTheme="minorEastAsia"/>
                <w:b/>
                <w:bCs/>
                <w:noProof/>
                <w:sz w:val="16"/>
                <w:szCs w:val="16"/>
                <w:u w:val="single"/>
              </w:rPr>
            </w:pPr>
            <w:r w:rsidRPr="42911850">
              <w:rPr>
                <w:b/>
                <w:bCs/>
                <w:noProof/>
                <w:sz w:val="16"/>
                <w:szCs w:val="16"/>
                <w:u w:val="single"/>
              </w:rPr>
              <w:t>Scope ratione materiae</w:t>
            </w:r>
          </w:p>
          <w:p w14:paraId="61A47D80" w14:textId="724A8BF5" w:rsidR="42911850" w:rsidRDefault="42911850" w:rsidP="00AE537F">
            <w:pPr>
              <w:spacing w:line="257" w:lineRule="auto"/>
              <w:jc w:val="both"/>
              <w:rPr>
                <w:rFonts w:ascii="Calibri" w:eastAsia="Calibri" w:hAnsi="Calibri" w:cs="Calibri"/>
                <w:noProof/>
                <w:sz w:val="16"/>
                <w:szCs w:val="16"/>
              </w:rPr>
            </w:pPr>
            <w:r w:rsidRPr="42911850">
              <w:rPr>
                <w:rFonts w:ascii="Calibri" w:eastAsia="Calibri" w:hAnsi="Calibri" w:cs="Calibri"/>
                <w:noProof/>
                <w:sz w:val="16"/>
                <w:szCs w:val="16"/>
                <w:u w:val="single"/>
                <w:lang w:val="en-IE"/>
              </w:rPr>
              <w:t>Scenario 2:</w:t>
            </w:r>
            <w:r w:rsidRPr="42911850">
              <w:rPr>
                <w:rFonts w:ascii="Calibri" w:eastAsia="Calibri" w:hAnsi="Calibri" w:cs="Calibri"/>
                <w:noProof/>
                <w:sz w:val="16"/>
                <w:szCs w:val="16"/>
                <w:lang w:val="en-IE"/>
              </w:rPr>
              <w:t xml:space="preserve"> </w:t>
            </w:r>
            <w:r w:rsidRPr="42911850">
              <w:rPr>
                <w:rFonts w:ascii="Calibri" w:eastAsia="Calibri" w:hAnsi="Calibri" w:cs="Calibri"/>
                <w:noProof/>
                <w:sz w:val="16"/>
                <w:szCs w:val="16"/>
              </w:rPr>
              <w:t>No differentiation in fines for different reporting categories</w:t>
            </w:r>
            <w:r w:rsidRPr="42911850">
              <w:rPr>
                <w:rFonts w:ascii="Calibri" w:eastAsia="Calibri" w:hAnsi="Calibri" w:cs="Calibri"/>
                <w:noProof/>
                <w:sz w:val="16"/>
                <w:szCs w:val="16"/>
                <w:lang w:val="en-IE"/>
              </w:rPr>
              <w:t xml:space="preserve"> - </w:t>
            </w:r>
            <w:r w:rsidRPr="42911850">
              <w:rPr>
                <w:rFonts w:ascii="Calibri" w:eastAsia="Calibri" w:hAnsi="Calibri" w:cs="Calibri"/>
                <w:noProof/>
                <w:sz w:val="16"/>
                <w:szCs w:val="16"/>
              </w:rPr>
              <w:t>Infringement of reporting obligations under DAC 2</w:t>
            </w:r>
          </w:p>
          <w:p w14:paraId="1FAAA886" w14:textId="3C32CD91" w:rsidR="42911850" w:rsidRDefault="42911850" w:rsidP="00AE537F">
            <w:pPr>
              <w:pStyle w:val="ListParagraph"/>
              <w:numPr>
                <w:ilvl w:val="0"/>
                <w:numId w:val="67"/>
              </w:numPr>
              <w:spacing w:line="257" w:lineRule="auto"/>
              <w:rPr>
                <w:rFonts w:eastAsiaTheme="minorEastAsia"/>
                <w:b/>
                <w:bCs/>
                <w:noProof/>
                <w:sz w:val="16"/>
                <w:szCs w:val="16"/>
                <w:u w:val="single"/>
              </w:rPr>
            </w:pPr>
            <w:r w:rsidRPr="42911850">
              <w:rPr>
                <w:b/>
                <w:bCs/>
                <w:noProof/>
                <w:sz w:val="16"/>
                <w:szCs w:val="16"/>
                <w:u w:val="single"/>
              </w:rPr>
              <w:t xml:space="preserve">Personal scope </w:t>
            </w:r>
          </w:p>
          <w:p w14:paraId="6CC7D794" w14:textId="00498A56" w:rsidR="42911850" w:rsidRDefault="42911850" w:rsidP="00AE537F">
            <w:pPr>
              <w:spacing w:line="257" w:lineRule="auto"/>
              <w:jc w:val="both"/>
              <w:rPr>
                <w:rFonts w:ascii="Calibri" w:eastAsia="Calibri" w:hAnsi="Calibri" w:cs="Calibri"/>
                <w:noProof/>
                <w:sz w:val="16"/>
                <w:szCs w:val="16"/>
              </w:rPr>
            </w:pPr>
            <w:r w:rsidRPr="42911850">
              <w:rPr>
                <w:rFonts w:ascii="Calibri" w:eastAsia="Calibri" w:hAnsi="Calibri" w:cs="Calibri"/>
                <w:noProof/>
                <w:sz w:val="16"/>
                <w:szCs w:val="16"/>
                <w:lang w:val="en-IE"/>
              </w:rPr>
              <w:t>N</w:t>
            </w:r>
            <w:r w:rsidRPr="42911850">
              <w:rPr>
                <w:rFonts w:ascii="Calibri" w:eastAsia="Calibri" w:hAnsi="Calibri" w:cs="Calibri"/>
                <w:noProof/>
                <w:sz w:val="16"/>
                <w:szCs w:val="16"/>
              </w:rPr>
              <w:t>o differentiation between legal entities or natural persons for application of penalties is made</w:t>
            </w:r>
          </w:p>
          <w:p w14:paraId="317E76BE" w14:textId="4A3C4FAF" w:rsidR="42911850" w:rsidRDefault="42911850" w:rsidP="00AE537F">
            <w:pPr>
              <w:pStyle w:val="ListParagraph"/>
              <w:numPr>
                <w:ilvl w:val="0"/>
                <w:numId w:val="67"/>
              </w:numPr>
              <w:spacing w:line="257" w:lineRule="auto"/>
              <w:rPr>
                <w:rFonts w:eastAsiaTheme="minorEastAsia"/>
                <w:b/>
                <w:bCs/>
                <w:noProof/>
                <w:sz w:val="16"/>
                <w:szCs w:val="16"/>
                <w:lang w:val="en-IE"/>
              </w:rPr>
            </w:pPr>
            <w:r w:rsidRPr="42911850">
              <w:rPr>
                <w:b/>
                <w:bCs/>
                <w:noProof/>
                <w:sz w:val="16"/>
                <w:szCs w:val="16"/>
                <w:u w:val="single"/>
              </w:rPr>
              <w:t xml:space="preserve">Individual / Cumulative application: </w:t>
            </w:r>
            <w:r w:rsidRPr="42911850">
              <w:rPr>
                <w:noProof/>
                <w:sz w:val="16"/>
                <w:szCs w:val="16"/>
              </w:rPr>
              <w:t>Not explicit but it appears that</w:t>
            </w:r>
            <w:r w:rsidR="00717751">
              <w:rPr>
                <w:noProof/>
                <w:sz w:val="16"/>
                <w:szCs w:val="16"/>
              </w:rPr>
              <w:t xml:space="preserve"> </w:t>
            </w:r>
            <w:r w:rsidRPr="42911850">
              <w:rPr>
                <w:noProof/>
                <w:sz w:val="16"/>
                <w:szCs w:val="16"/>
              </w:rPr>
              <w:t>p</w:t>
            </w:r>
            <w:r w:rsidRPr="42911850">
              <w:rPr>
                <w:noProof/>
                <w:sz w:val="16"/>
                <w:szCs w:val="16"/>
                <w:lang w:val="en-IE"/>
              </w:rPr>
              <w:t>enalties are applied per person and per infringement.</w:t>
            </w:r>
          </w:p>
          <w:p w14:paraId="70FE6AFA" w14:textId="5E572091" w:rsidR="42911850" w:rsidRDefault="42911850" w:rsidP="00AE537F">
            <w:pPr>
              <w:spacing w:line="257" w:lineRule="auto"/>
              <w:rPr>
                <w:rFonts w:ascii="Calibri" w:eastAsia="Calibri" w:hAnsi="Calibri" w:cs="Calibri"/>
                <w:b/>
                <w:bCs/>
                <w:noProof/>
                <w:sz w:val="16"/>
                <w:szCs w:val="16"/>
              </w:rPr>
            </w:pPr>
            <w:r w:rsidRPr="42911850">
              <w:rPr>
                <w:rFonts w:ascii="Calibri" w:eastAsia="Calibri" w:hAnsi="Calibri" w:cs="Calibri"/>
                <w:b/>
                <w:bCs/>
                <w:noProof/>
                <w:sz w:val="16"/>
                <w:szCs w:val="16"/>
              </w:rPr>
              <w:t xml:space="preserve"> </w:t>
            </w:r>
          </w:p>
        </w:tc>
        <w:tc>
          <w:tcPr>
            <w:tcW w:w="1757" w:type="dxa"/>
            <w:tcBorders>
              <w:top w:val="single" w:sz="8" w:space="0" w:color="auto"/>
              <w:left w:val="single" w:sz="8" w:space="0" w:color="auto"/>
              <w:bottom w:val="single" w:sz="8" w:space="0" w:color="auto"/>
              <w:right w:val="single" w:sz="8" w:space="0" w:color="auto"/>
            </w:tcBorders>
          </w:tcPr>
          <w:p w14:paraId="6F7F937B" w14:textId="4DC54AFA"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tc>
        <w:tc>
          <w:tcPr>
            <w:tcW w:w="2175" w:type="dxa"/>
            <w:tcBorders>
              <w:top w:val="single" w:sz="8" w:space="0" w:color="auto"/>
              <w:left w:val="single" w:sz="8" w:space="0" w:color="auto"/>
              <w:bottom w:val="single" w:sz="8" w:space="0" w:color="auto"/>
              <w:right w:val="single" w:sz="8" w:space="0" w:color="auto"/>
            </w:tcBorders>
          </w:tcPr>
          <w:p w14:paraId="22D67F14" w14:textId="203FDE75" w:rsidR="42911850" w:rsidRDefault="42911850" w:rsidP="00AE537F">
            <w:pPr>
              <w:spacing w:line="257" w:lineRule="auto"/>
              <w:rPr>
                <w:rFonts w:ascii="Calibri" w:eastAsia="Calibri" w:hAnsi="Calibri" w:cs="Calibri"/>
                <w:noProof/>
                <w:sz w:val="16"/>
                <w:szCs w:val="16"/>
                <w:lang w:val="en-IE"/>
              </w:rPr>
            </w:pPr>
            <w:r w:rsidRPr="42911850">
              <w:rPr>
                <w:rFonts w:ascii="Calibri" w:eastAsia="Calibri" w:hAnsi="Calibri" w:cs="Calibri"/>
                <w:noProof/>
                <w:sz w:val="16"/>
                <w:szCs w:val="16"/>
                <w:lang w:val="en-IE"/>
              </w:rPr>
              <w:t xml:space="preserve">Different fine amounts apply depending on whether the infringement is intentional or results from gross negligence </w:t>
            </w:r>
          </w:p>
          <w:p w14:paraId="5CC40E66" w14:textId="2273012D" w:rsidR="42911850" w:rsidRDefault="42911850" w:rsidP="00AE537F">
            <w:pPr>
              <w:spacing w:line="257" w:lineRule="auto"/>
              <w:rPr>
                <w:rFonts w:ascii="Calibri" w:eastAsia="Calibri" w:hAnsi="Calibri" w:cs="Calibri"/>
                <w:noProof/>
                <w:sz w:val="16"/>
                <w:szCs w:val="16"/>
                <w:lang w:val="fr-BE"/>
              </w:rPr>
            </w:pPr>
            <w:r w:rsidRPr="42911850">
              <w:rPr>
                <w:rFonts w:ascii="Calibri" w:eastAsia="Calibri" w:hAnsi="Calibri" w:cs="Calibri"/>
                <w:noProof/>
                <w:sz w:val="16"/>
                <w:szCs w:val="16"/>
                <w:u w:val="single"/>
                <w:lang w:val="fr-BE"/>
              </w:rPr>
              <w:t>Intentional:</w:t>
            </w:r>
            <w:r w:rsidRPr="42911850">
              <w:rPr>
                <w:rFonts w:ascii="Calibri" w:eastAsia="Calibri" w:hAnsi="Calibri" w:cs="Calibri"/>
                <w:noProof/>
                <w:sz w:val="16"/>
                <w:szCs w:val="16"/>
                <w:lang w:val="fr-BE"/>
              </w:rPr>
              <w:t xml:space="preserve"> 200 000 EUR </w:t>
            </w:r>
          </w:p>
          <w:p w14:paraId="2E938C0A" w14:textId="67F55DF4" w:rsidR="42911850" w:rsidRPr="00AE537F" w:rsidRDefault="42911850">
            <w:pPr>
              <w:rPr>
                <w:noProof/>
                <w:lang w:val="fr-BE"/>
              </w:rPr>
            </w:pPr>
            <w:r w:rsidRPr="42911850">
              <w:rPr>
                <w:rFonts w:ascii="Calibri" w:eastAsia="Calibri" w:hAnsi="Calibri" w:cs="Calibri"/>
                <w:noProof/>
                <w:sz w:val="16"/>
                <w:szCs w:val="16"/>
                <w:u w:val="single"/>
                <w:lang w:val="fr-BE"/>
              </w:rPr>
              <w:t>Gross negligence:</w:t>
            </w:r>
            <w:r w:rsidRPr="42911850">
              <w:rPr>
                <w:rFonts w:ascii="Calibri" w:eastAsia="Calibri" w:hAnsi="Calibri" w:cs="Calibri"/>
                <w:noProof/>
                <w:sz w:val="16"/>
                <w:szCs w:val="16"/>
                <w:lang w:val="fr-BE"/>
              </w:rPr>
              <w:t xml:space="preserve"> 100 000 EUR</w:t>
            </w:r>
          </w:p>
        </w:tc>
      </w:tr>
      <w:tr w:rsidR="42911850" w14:paraId="185741E9" w14:textId="77777777" w:rsidTr="42911850">
        <w:trPr>
          <w:trHeight w:val="60"/>
        </w:trPr>
        <w:tc>
          <w:tcPr>
            <w:tcW w:w="638" w:type="dxa"/>
            <w:vMerge/>
            <w:tcBorders>
              <w:left w:val="single" w:sz="0" w:space="0" w:color="auto"/>
              <w:right w:val="single" w:sz="0" w:space="0" w:color="auto"/>
            </w:tcBorders>
            <w:vAlign w:val="center"/>
          </w:tcPr>
          <w:p w14:paraId="4A5AE62D" w14:textId="77777777" w:rsidR="000054FB" w:rsidRPr="00AE537F" w:rsidRDefault="000054FB">
            <w:pPr>
              <w:rPr>
                <w:noProof/>
                <w:lang w:val="fr-BE"/>
              </w:rPr>
            </w:pPr>
          </w:p>
        </w:tc>
        <w:tc>
          <w:tcPr>
            <w:tcW w:w="1025" w:type="dxa"/>
            <w:tcBorders>
              <w:top w:val="single" w:sz="8" w:space="0" w:color="auto"/>
              <w:left w:val="nil"/>
              <w:bottom w:val="single" w:sz="8" w:space="0" w:color="auto"/>
              <w:right w:val="single" w:sz="8" w:space="0" w:color="auto"/>
            </w:tcBorders>
          </w:tcPr>
          <w:p w14:paraId="59EFC878" w14:textId="36CF606B" w:rsidR="42911850" w:rsidRDefault="42911850">
            <w:pPr>
              <w:rPr>
                <w:noProof/>
              </w:rPr>
            </w:pPr>
            <w:r w:rsidRPr="42911850">
              <w:rPr>
                <w:rFonts w:ascii="Calibri" w:eastAsia="Calibri" w:hAnsi="Calibri" w:cs="Calibri"/>
                <w:noProof/>
                <w:sz w:val="18"/>
                <w:szCs w:val="18"/>
              </w:rPr>
              <w:t>DAC 4</w:t>
            </w:r>
          </w:p>
        </w:tc>
        <w:tc>
          <w:tcPr>
            <w:tcW w:w="3765" w:type="dxa"/>
            <w:tcBorders>
              <w:top w:val="single" w:sz="8" w:space="0" w:color="auto"/>
              <w:left w:val="single" w:sz="8" w:space="0" w:color="auto"/>
              <w:bottom w:val="single" w:sz="8" w:space="0" w:color="auto"/>
              <w:right w:val="single" w:sz="8" w:space="0" w:color="auto"/>
            </w:tcBorders>
          </w:tcPr>
          <w:p w14:paraId="5B45C8F3" w14:textId="181C0D41" w:rsidR="42911850" w:rsidRDefault="42911850" w:rsidP="00AE537F">
            <w:pPr>
              <w:pStyle w:val="ListParagraph"/>
              <w:numPr>
                <w:ilvl w:val="0"/>
                <w:numId w:val="66"/>
              </w:numPr>
              <w:spacing w:line="257" w:lineRule="auto"/>
              <w:rPr>
                <w:rFonts w:eastAsiaTheme="minorEastAsia"/>
                <w:b/>
                <w:bCs/>
                <w:noProof/>
                <w:sz w:val="16"/>
                <w:szCs w:val="16"/>
                <w:u w:val="single"/>
              </w:rPr>
            </w:pPr>
            <w:r w:rsidRPr="42911850">
              <w:rPr>
                <w:b/>
                <w:bCs/>
                <w:noProof/>
                <w:sz w:val="16"/>
                <w:szCs w:val="16"/>
                <w:u w:val="single"/>
              </w:rPr>
              <w:t>Scope ratione materiae</w:t>
            </w:r>
          </w:p>
          <w:p w14:paraId="38461F35" w14:textId="6F57FB44" w:rsidR="42911850" w:rsidRDefault="42911850" w:rsidP="00AE537F">
            <w:pPr>
              <w:spacing w:line="257" w:lineRule="auto"/>
              <w:jc w:val="both"/>
              <w:rPr>
                <w:rFonts w:ascii="Calibri" w:eastAsia="Calibri" w:hAnsi="Calibri" w:cs="Calibri"/>
                <w:noProof/>
                <w:sz w:val="16"/>
                <w:szCs w:val="16"/>
              </w:rPr>
            </w:pPr>
            <w:r w:rsidRPr="42911850">
              <w:rPr>
                <w:rFonts w:ascii="Calibri" w:eastAsia="Calibri" w:hAnsi="Calibri" w:cs="Calibri"/>
                <w:noProof/>
                <w:sz w:val="16"/>
                <w:szCs w:val="16"/>
                <w:u w:val="single"/>
                <w:lang w:val="en-IE"/>
              </w:rPr>
              <w:t>Scenario 2:</w:t>
            </w:r>
            <w:r w:rsidRPr="42911850">
              <w:rPr>
                <w:rFonts w:ascii="Calibri" w:eastAsia="Calibri" w:hAnsi="Calibri" w:cs="Calibri"/>
                <w:noProof/>
                <w:sz w:val="16"/>
                <w:szCs w:val="16"/>
                <w:lang w:val="en-IE"/>
              </w:rPr>
              <w:t xml:space="preserve"> </w:t>
            </w:r>
            <w:r w:rsidRPr="42911850">
              <w:rPr>
                <w:rFonts w:ascii="Calibri" w:eastAsia="Calibri" w:hAnsi="Calibri" w:cs="Calibri"/>
                <w:noProof/>
                <w:sz w:val="16"/>
                <w:szCs w:val="16"/>
              </w:rPr>
              <w:t>No differentiation in fines for different reporting categories</w:t>
            </w:r>
            <w:r w:rsidRPr="42911850">
              <w:rPr>
                <w:rFonts w:ascii="Calibri" w:eastAsia="Calibri" w:hAnsi="Calibri" w:cs="Calibri"/>
                <w:noProof/>
                <w:sz w:val="16"/>
                <w:szCs w:val="16"/>
                <w:lang w:val="en-IE"/>
              </w:rPr>
              <w:t xml:space="preserve"> - </w:t>
            </w:r>
            <w:r w:rsidRPr="42911850">
              <w:rPr>
                <w:rFonts w:ascii="Calibri" w:eastAsia="Calibri" w:hAnsi="Calibri" w:cs="Calibri"/>
                <w:noProof/>
                <w:sz w:val="16"/>
                <w:szCs w:val="16"/>
              </w:rPr>
              <w:t xml:space="preserve">Infringement of reporting obligations under DAC 4 </w:t>
            </w:r>
          </w:p>
          <w:p w14:paraId="390E8B83" w14:textId="0B0204FA" w:rsidR="42911850" w:rsidRDefault="42911850" w:rsidP="00AE537F">
            <w:pPr>
              <w:pStyle w:val="ListParagraph"/>
              <w:numPr>
                <w:ilvl w:val="0"/>
                <w:numId w:val="66"/>
              </w:numPr>
              <w:spacing w:line="257" w:lineRule="auto"/>
              <w:rPr>
                <w:rFonts w:eastAsiaTheme="minorEastAsia"/>
                <w:b/>
                <w:bCs/>
                <w:noProof/>
                <w:sz w:val="16"/>
                <w:szCs w:val="16"/>
              </w:rPr>
            </w:pPr>
            <w:r w:rsidRPr="42911850">
              <w:rPr>
                <w:b/>
                <w:bCs/>
                <w:noProof/>
                <w:sz w:val="16"/>
                <w:szCs w:val="16"/>
                <w:u w:val="single"/>
              </w:rPr>
              <w:t>Personal scope</w:t>
            </w:r>
            <w:r w:rsidRPr="42911850">
              <w:rPr>
                <w:b/>
                <w:bCs/>
                <w:noProof/>
                <w:sz w:val="16"/>
                <w:szCs w:val="16"/>
              </w:rPr>
              <w:t>:</w:t>
            </w:r>
            <w:r w:rsidRPr="42911850">
              <w:rPr>
                <w:noProof/>
                <w:sz w:val="16"/>
                <w:szCs w:val="16"/>
              </w:rPr>
              <w:t xml:space="preserve"> Penalties apply to legal persons </w:t>
            </w:r>
          </w:p>
          <w:p w14:paraId="5E69F491" w14:textId="4A3DFFD3" w:rsidR="42911850" w:rsidRDefault="42911850" w:rsidP="00AE537F">
            <w:pPr>
              <w:spacing w:line="257"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38FBC312" w14:textId="54977451" w:rsidR="42911850" w:rsidRDefault="42911850" w:rsidP="00AE537F">
            <w:pPr>
              <w:pStyle w:val="ListParagraph"/>
              <w:numPr>
                <w:ilvl w:val="0"/>
                <w:numId w:val="66"/>
              </w:numPr>
              <w:spacing w:line="257" w:lineRule="auto"/>
              <w:rPr>
                <w:rFonts w:eastAsiaTheme="minorEastAsia"/>
                <w:b/>
                <w:bCs/>
                <w:noProof/>
                <w:sz w:val="16"/>
                <w:szCs w:val="16"/>
                <w:lang w:val="en-IE"/>
              </w:rPr>
            </w:pPr>
            <w:r w:rsidRPr="42911850">
              <w:rPr>
                <w:b/>
                <w:bCs/>
                <w:noProof/>
                <w:sz w:val="16"/>
                <w:szCs w:val="16"/>
                <w:u w:val="single"/>
                <w:lang w:val="en-IE"/>
              </w:rPr>
              <w:t>Individual / Cumulative application</w:t>
            </w:r>
            <w:r w:rsidRPr="42911850">
              <w:rPr>
                <w:b/>
                <w:bCs/>
                <w:noProof/>
                <w:sz w:val="16"/>
                <w:szCs w:val="16"/>
                <w:lang w:val="en-IE"/>
              </w:rPr>
              <w:t>:</w:t>
            </w:r>
            <w:r w:rsidRPr="42911850">
              <w:rPr>
                <w:noProof/>
                <w:sz w:val="16"/>
                <w:szCs w:val="16"/>
                <w:lang w:val="en-IE"/>
              </w:rPr>
              <w:t xml:space="preserve"> Not explicit but it seems that penalties are applied per person and per infringement.</w:t>
            </w:r>
          </w:p>
        </w:tc>
        <w:tc>
          <w:tcPr>
            <w:tcW w:w="1757" w:type="dxa"/>
            <w:tcBorders>
              <w:top w:val="single" w:sz="8" w:space="0" w:color="auto"/>
              <w:left w:val="single" w:sz="8" w:space="0" w:color="auto"/>
              <w:bottom w:val="single" w:sz="8" w:space="0" w:color="auto"/>
              <w:right w:val="single" w:sz="8" w:space="0" w:color="auto"/>
            </w:tcBorders>
          </w:tcPr>
          <w:p w14:paraId="42A13DD8" w14:textId="32D22272" w:rsidR="42911850" w:rsidRDefault="42911850">
            <w:pPr>
              <w:rPr>
                <w:noProof/>
              </w:rPr>
            </w:pPr>
            <w:r w:rsidRPr="42911850">
              <w:rPr>
                <w:rFonts w:ascii="Calibri" w:eastAsia="Calibri" w:hAnsi="Calibri" w:cs="Calibri"/>
                <w:noProof/>
                <w:sz w:val="16"/>
                <w:szCs w:val="16"/>
              </w:rPr>
              <w:t>Not determined</w:t>
            </w:r>
          </w:p>
        </w:tc>
        <w:tc>
          <w:tcPr>
            <w:tcW w:w="2175" w:type="dxa"/>
            <w:tcBorders>
              <w:top w:val="single" w:sz="8" w:space="0" w:color="auto"/>
              <w:left w:val="single" w:sz="8" w:space="0" w:color="auto"/>
              <w:bottom w:val="single" w:sz="8" w:space="0" w:color="auto"/>
              <w:right w:val="single" w:sz="8" w:space="0" w:color="auto"/>
            </w:tcBorders>
          </w:tcPr>
          <w:p w14:paraId="4D422E70" w14:textId="021A9D5C"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Different fine amounts apply depending on whether the infringement is intentional or results from gross-negligence </w:t>
            </w:r>
          </w:p>
          <w:p w14:paraId="1B899658" w14:textId="00162255"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u w:val="single"/>
              </w:rPr>
              <w:t>Intentional failure to file, late filing or file inaccurate information</w:t>
            </w:r>
            <w:r w:rsidRPr="42911850">
              <w:rPr>
                <w:rFonts w:ascii="Calibri" w:eastAsia="Calibri" w:hAnsi="Calibri" w:cs="Calibri"/>
                <w:noProof/>
                <w:sz w:val="16"/>
                <w:szCs w:val="16"/>
              </w:rPr>
              <w:t xml:space="preserve">: 50 000 EUR   </w:t>
            </w:r>
          </w:p>
          <w:p w14:paraId="15D402BD" w14:textId="1B66EA28"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u w:val="single"/>
              </w:rPr>
              <w:t>Gross negligence failure to file, late filing or file inaccurate information</w:t>
            </w:r>
            <w:r w:rsidRPr="42911850">
              <w:rPr>
                <w:rFonts w:ascii="Calibri" w:eastAsia="Calibri" w:hAnsi="Calibri" w:cs="Calibri"/>
                <w:noProof/>
                <w:sz w:val="16"/>
                <w:szCs w:val="16"/>
              </w:rPr>
              <w:t xml:space="preserve">: 25 000 EUR   </w:t>
            </w:r>
          </w:p>
        </w:tc>
      </w:tr>
      <w:tr w:rsidR="42911850" w14:paraId="5010269F" w14:textId="77777777" w:rsidTr="42911850">
        <w:trPr>
          <w:trHeight w:val="60"/>
        </w:trPr>
        <w:tc>
          <w:tcPr>
            <w:tcW w:w="638" w:type="dxa"/>
            <w:vMerge/>
            <w:tcBorders>
              <w:left w:val="single" w:sz="0" w:space="0" w:color="auto"/>
              <w:bottom w:val="single" w:sz="0" w:space="0" w:color="auto"/>
              <w:right w:val="single" w:sz="0" w:space="0" w:color="auto"/>
            </w:tcBorders>
            <w:vAlign w:val="center"/>
          </w:tcPr>
          <w:p w14:paraId="3422F387"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365F4C5" w14:textId="77FDA767"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5894140B" w14:textId="326CF742" w:rsidR="42911850" w:rsidRDefault="42911850" w:rsidP="00AE537F">
            <w:pPr>
              <w:pStyle w:val="ListParagraph"/>
              <w:numPr>
                <w:ilvl w:val="0"/>
                <w:numId w:val="65"/>
              </w:numPr>
              <w:spacing w:line="257" w:lineRule="auto"/>
              <w:rPr>
                <w:rFonts w:eastAsiaTheme="minorEastAsia"/>
                <w:b/>
                <w:bCs/>
                <w:noProof/>
                <w:sz w:val="16"/>
                <w:szCs w:val="16"/>
                <w:u w:val="single"/>
                <w:lang w:val="en-IE"/>
              </w:rPr>
            </w:pPr>
            <w:r w:rsidRPr="42911850">
              <w:rPr>
                <w:b/>
                <w:bCs/>
                <w:noProof/>
                <w:sz w:val="16"/>
                <w:szCs w:val="16"/>
                <w:u w:val="single"/>
                <w:lang w:val="en-IE"/>
              </w:rPr>
              <w:t>Scope ratione materiae</w:t>
            </w:r>
          </w:p>
          <w:p w14:paraId="603D7748" w14:textId="17397215"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u w:val="single"/>
                <w:lang w:val="en-IE"/>
              </w:rPr>
              <w:t>Scenario 2</w:t>
            </w:r>
            <w:r w:rsidRPr="42911850">
              <w:rPr>
                <w:rFonts w:ascii="Calibri" w:eastAsia="Calibri" w:hAnsi="Calibri" w:cs="Calibri"/>
                <w:noProof/>
                <w:sz w:val="16"/>
                <w:szCs w:val="16"/>
                <w:lang w:val="en-IE"/>
              </w:rPr>
              <w:t xml:space="preserve">: </w:t>
            </w:r>
            <w:r w:rsidRPr="42911850">
              <w:rPr>
                <w:rFonts w:ascii="Calibri" w:eastAsia="Calibri" w:hAnsi="Calibri" w:cs="Calibri"/>
                <w:noProof/>
                <w:sz w:val="16"/>
                <w:szCs w:val="16"/>
              </w:rPr>
              <w:t>No differentiation in fines for different reporting categories</w:t>
            </w:r>
            <w:r w:rsidRPr="42911850">
              <w:rPr>
                <w:rFonts w:ascii="Calibri" w:eastAsia="Calibri" w:hAnsi="Calibri" w:cs="Calibri"/>
                <w:noProof/>
                <w:sz w:val="16"/>
                <w:szCs w:val="16"/>
                <w:lang w:val="en-IE"/>
              </w:rPr>
              <w:t xml:space="preserve">. </w:t>
            </w:r>
          </w:p>
          <w:p w14:paraId="5D0F2835" w14:textId="2B8309CD" w:rsidR="42911850" w:rsidRDefault="42911850" w:rsidP="00AE537F">
            <w:pPr>
              <w:pStyle w:val="ListParagraph"/>
              <w:numPr>
                <w:ilvl w:val="0"/>
                <w:numId w:val="65"/>
              </w:numPr>
              <w:spacing w:line="257" w:lineRule="auto"/>
              <w:rPr>
                <w:rFonts w:eastAsiaTheme="minorEastAsia"/>
                <w:b/>
                <w:bCs/>
                <w:noProof/>
                <w:sz w:val="16"/>
                <w:szCs w:val="16"/>
                <w:u w:val="single"/>
                <w:lang w:val="en-IE"/>
              </w:rPr>
            </w:pPr>
            <w:r w:rsidRPr="42911850">
              <w:rPr>
                <w:b/>
                <w:bCs/>
                <w:noProof/>
                <w:sz w:val="16"/>
                <w:szCs w:val="16"/>
                <w:u w:val="single"/>
                <w:lang w:val="en-IE"/>
              </w:rPr>
              <w:t>Personal scope</w:t>
            </w:r>
          </w:p>
          <w:p w14:paraId="39DA6C72" w14:textId="7A162B3E" w:rsidR="42911850" w:rsidRDefault="42911850" w:rsidP="00AE537F">
            <w:pPr>
              <w:spacing w:line="257" w:lineRule="auto"/>
              <w:jc w:val="both"/>
              <w:rPr>
                <w:rFonts w:ascii="Calibri" w:eastAsia="Calibri" w:hAnsi="Calibri" w:cs="Calibri"/>
                <w:noProof/>
                <w:sz w:val="16"/>
                <w:szCs w:val="16"/>
              </w:rPr>
            </w:pPr>
            <w:r w:rsidRPr="42911850">
              <w:rPr>
                <w:rFonts w:ascii="Calibri" w:eastAsia="Calibri" w:hAnsi="Calibri" w:cs="Calibri"/>
                <w:noProof/>
                <w:sz w:val="16"/>
                <w:szCs w:val="16"/>
                <w:lang w:val="en-IE"/>
              </w:rPr>
              <w:t>N</w:t>
            </w:r>
            <w:r w:rsidRPr="42911850">
              <w:rPr>
                <w:rFonts w:ascii="Calibri" w:eastAsia="Calibri" w:hAnsi="Calibri" w:cs="Calibri"/>
                <w:noProof/>
                <w:sz w:val="16"/>
                <w:szCs w:val="16"/>
              </w:rPr>
              <w:t xml:space="preserve">o differentiation between legal entities or natural persons for application of penalties is made </w:t>
            </w:r>
          </w:p>
          <w:p w14:paraId="177FACA8" w14:textId="6E837751" w:rsidR="42911850" w:rsidRDefault="42911850" w:rsidP="00AE537F">
            <w:pPr>
              <w:pStyle w:val="ListParagraph"/>
              <w:numPr>
                <w:ilvl w:val="0"/>
                <w:numId w:val="65"/>
              </w:numPr>
              <w:spacing w:line="257" w:lineRule="auto"/>
              <w:rPr>
                <w:rFonts w:eastAsiaTheme="minorEastAsia"/>
                <w:b/>
                <w:bCs/>
                <w:noProof/>
                <w:sz w:val="16"/>
                <w:szCs w:val="16"/>
                <w:u w:val="single"/>
                <w:lang w:val="en-IE"/>
              </w:rPr>
            </w:pPr>
            <w:r w:rsidRPr="42911850">
              <w:rPr>
                <w:b/>
                <w:bCs/>
                <w:noProof/>
                <w:sz w:val="16"/>
                <w:szCs w:val="16"/>
                <w:u w:val="single"/>
                <w:lang w:val="en-IE"/>
              </w:rPr>
              <w:t>Individual / Cumulative application</w:t>
            </w:r>
          </w:p>
          <w:p w14:paraId="2334245A" w14:textId="0ECB91EF"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lang w:val="en-IE"/>
              </w:rPr>
              <w:t>Penalties are applied per person and per infringement.</w:t>
            </w:r>
          </w:p>
          <w:p w14:paraId="7C6333EF" w14:textId="1768FA20"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lang w:val="en-IE"/>
              </w:rPr>
              <w:t>According to the Austrian Financial Criminal Act (FinStrG) and the Corporate Criminal Act (VbVG), more than one person could be fined for the same non/false/late-reporting case</w:t>
            </w:r>
          </w:p>
        </w:tc>
        <w:tc>
          <w:tcPr>
            <w:tcW w:w="1757" w:type="dxa"/>
            <w:tcBorders>
              <w:top w:val="single" w:sz="8" w:space="0" w:color="auto"/>
              <w:left w:val="single" w:sz="8" w:space="0" w:color="auto"/>
              <w:bottom w:val="single" w:sz="8" w:space="0" w:color="auto"/>
              <w:right w:val="single" w:sz="8" w:space="0" w:color="auto"/>
            </w:tcBorders>
          </w:tcPr>
          <w:p w14:paraId="0F0514A1" w14:textId="4F4D8C4C" w:rsidR="42911850" w:rsidRDefault="42911850">
            <w:pPr>
              <w:rPr>
                <w:noProof/>
              </w:rPr>
            </w:pPr>
            <w:r w:rsidRPr="42911850">
              <w:rPr>
                <w:rFonts w:ascii="Calibri" w:eastAsia="Calibri" w:hAnsi="Calibri" w:cs="Calibri"/>
                <w:noProof/>
                <w:sz w:val="16"/>
                <w:szCs w:val="16"/>
              </w:rPr>
              <w:t>Not determined</w:t>
            </w:r>
          </w:p>
        </w:tc>
        <w:tc>
          <w:tcPr>
            <w:tcW w:w="2175" w:type="dxa"/>
            <w:tcBorders>
              <w:top w:val="single" w:sz="8" w:space="0" w:color="auto"/>
              <w:left w:val="single" w:sz="8" w:space="0" w:color="auto"/>
              <w:bottom w:val="single" w:sz="8" w:space="0" w:color="auto"/>
              <w:right w:val="single" w:sz="8" w:space="0" w:color="auto"/>
            </w:tcBorders>
          </w:tcPr>
          <w:p w14:paraId="381D5D9B" w14:textId="7E6B82FE"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lang w:val="en-IE"/>
              </w:rPr>
              <w:t xml:space="preserve">Different amounts apply depending on whether the infringement is intentional or results from gross-negligence </w:t>
            </w:r>
          </w:p>
          <w:p w14:paraId="1362D3D2" w14:textId="1B75FBBB"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u w:val="single"/>
                <w:lang w:val="en-IE"/>
              </w:rPr>
              <w:t>Intentional non-reporting, false reporting or late reporting:</w:t>
            </w:r>
            <w:r w:rsidRPr="42911850">
              <w:rPr>
                <w:rFonts w:ascii="Calibri" w:eastAsia="Calibri" w:hAnsi="Calibri" w:cs="Calibri"/>
                <w:noProof/>
                <w:sz w:val="16"/>
                <w:szCs w:val="16"/>
                <w:lang w:val="en-IE"/>
              </w:rPr>
              <w:t xml:space="preserve"> up to 50 000 EUR </w:t>
            </w:r>
          </w:p>
          <w:p w14:paraId="25F07349" w14:textId="6820B5A3" w:rsidR="42911850" w:rsidRDefault="42911850" w:rsidP="00AE537F">
            <w:pPr>
              <w:jc w:val="both"/>
              <w:rPr>
                <w:rFonts w:ascii="Calibri" w:eastAsia="Calibri" w:hAnsi="Calibri" w:cs="Calibri"/>
                <w:noProof/>
                <w:sz w:val="16"/>
                <w:szCs w:val="16"/>
                <w:lang w:val="en-IE"/>
              </w:rPr>
            </w:pPr>
            <w:r w:rsidRPr="42911850">
              <w:rPr>
                <w:rFonts w:ascii="Calibri" w:eastAsia="Calibri" w:hAnsi="Calibri" w:cs="Calibri"/>
                <w:noProof/>
                <w:sz w:val="16"/>
                <w:szCs w:val="16"/>
                <w:u w:val="single"/>
                <w:lang w:val="en-IE"/>
              </w:rPr>
              <w:t>Gross negligence non-reporting, false reporting or late reporting:</w:t>
            </w:r>
            <w:r w:rsidRPr="42911850">
              <w:rPr>
                <w:rFonts w:ascii="Calibri" w:eastAsia="Calibri" w:hAnsi="Calibri" w:cs="Calibri"/>
                <w:noProof/>
                <w:sz w:val="16"/>
                <w:szCs w:val="16"/>
                <w:lang w:val="en-IE"/>
              </w:rPr>
              <w:t xml:space="preserve"> up to 25 000 EUR</w:t>
            </w:r>
          </w:p>
        </w:tc>
      </w:tr>
      <w:tr w:rsidR="42911850" w14:paraId="34CB8BF9"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085278C3" w14:textId="3B352A18" w:rsidR="42911850" w:rsidRDefault="42911850">
            <w:pPr>
              <w:rPr>
                <w:noProof/>
              </w:rPr>
            </w:pPr>
            <w:r w:rsidRPr="42911850">
              <w:rPr>
                <w:rFonts w:ascii="Calibri" w:eastAsia="Calibri" w:hAnsi="Calibri" w:cs="Calibri"/>
                <w:b/>
                <w:bCs/>
                <w:noProof/>
                <w:sz w:val="18"/>
                <w:szCs w:val="18"/>
              </w:rPr>
              <w:t>BE</w:t>
            </w:r>
          </w:p>
        </w:tc>
        <w:tc>
          <w:tcPr>
            <w:tcW w:w="1025" w:type="dxa"/>
            <w:tcBorders>
              <w:top w:val="single" w:sz="8" w:space="0" w:color="auto"/>
              <w:left w:val="single" w:sz="8" w:space="0" w:color="auto"/>
              <w:bottom w:val="single" w:sz="8" w:space="0" w:color="auto"/>
              <w:right w:val="single" w:sz="8" w:space="0" w:color="auto"/>
            </w:tcBorders>
          </w:tcPr>
          <w:p w14:paraId="6ABD8324" w14:textId="16AAC5D0"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39AF43F3" w14:textId="4263C728" w:rsidR="42911850" w:rsidRDefault="42911850">
            <w:pPr>
              <w:rPr>
                <w:noProof/>
              </w:rPr>
            </w:pPr>
            <w:r w:rsidRPr="42911850">
              <w:rPr>
                <w:rFonts w:ascii="Calibri" w:eastAsia="Calibri" w:hAnsi="Calibri" w:cs="Calibri"/>
                <w:b/>
                <w:bCs/>
                <w:noProof/>
                <w:sz w:val="16"/>
                <w:szCs w:val="16"/>
                <w:u w:val="single"/>
              </w:rPr>
              <w:t>Scope ratione materiae</w:t>
            </w:r>
          </w:p>
          <w:p w14:paraId="798BBEEF" w14:textId="3872E978" w:rsidR="42911850" w:rsidRDefault="42911850">
            <w:pPr>
              <w:rPr>
                <w:noProof/>
              </w:rPr>
            </w:pPr>
            <w:r w:rsidRPr="42911850">
              <w:rPr>
                <w:rFonts w:ascii="Calibri" w:eastAsia="Calibri" w:hAnsi="Calibri" w:cs="Calibri"/>
                <w:noProof/>
                <w:sz w:val="16"/>
                <w:szCs w:val="16"/>
              </w:rPr>
              <w:t>Non-communication of information</w:t>
            </w:r>
          </w:p>
          <w:p w14:paraId="67AE19D6" w14:textId="7511178D" w:rsidR="42911850" w:rsidRDefault="42911850">
            <w:pPr>
              <w:rPr>
                <w:noProof/>
              </w:rPr>
            </w:pPr>
            <w:r w:rsidRPr="42911850">
              <w:rPr>
                <w:rFonts w:ascii="Calibri" w:eastAsia="Calibri" w:hAnsi="Calibri" w:cs="Calibri"/>
                <w:noProof/>
                <w:sz w:val="16"/>
                <w:szCs w:val="16"/>
              </w:rPr>
              <w:t>Any other infringement</w:t>
            </w:r>
          </w:p>
          <w:p w14:paraId="2A5F61C9" w14:textId="6C5B23E8" w:rsidR="42911850" w:rsidRDefault="42911850">
            <w:pPr>
              <w:rPr>
                <w:noProof/>
              </w:rPr>
            </w:pPr>
            <w:r w:rsidRPr="42911850">
              <w:rPr>
                <w:rFonts w:ascii="Calibri" w:eastAsia="Calibri" w:hAnsi="Calibri" w:cs="Calibri"/>
                <w:noProof/>
                <w:sz w:val="16"/>
                <w:szCs w:val="16"/>
              </w:rPr>
              <w:t>If infringement with intention to commit fraud or harm</w:t>
            </w:r>
          </w:p>
          <w:p w14:paraId="7ABC32CF" w14:textId="7558F20E" w:rsidR="42911850" w:rsidRDefault="42911850">
            <w:pPr>
              <w:rPr>
                <w:noProof/>
              </w:rPr>
            </w:pPr>
            <w:r w:rsidRPr="42911850">
              <w:rPr>
                <w:rFonts w:ascii="Calibri" w:eastAsia="Calibri" w:hAnsi="Calibri" w:cs="Calibri"/>
                <w:noProof/>
                <w:sz w:val="16"/>
                <w:szCs w:val="16"/>
              </w:rPr>
              <w:t>If use of falsifications</w:t>
            </w:r>
          </w:p>
          <w:p w14:paraId="5626C003" w14:textId="0E64D9A3" w:rsidR="42911850" w:rsidRDefault="42911850">
            <w:pPr>
              <w:rPr>
                <w:noProof/>
              </w:rPr>
            </w:pPr>
            <w:r w:rsidRPr="42911850">
              <w:rPr>
                <w:rFonts w:ascii="Calibri" w:eastAsia="Calibri" w:hAnsi="Calibri" w:cs="Calibri"/>
                <w:b/>
                <w:bCs/>
                <w:noProof/>
                <w:sz w:val="16"/>
                <w:szCs w:val="16"/>
                <w:u w:val="single"/>
                <w:lang w:val="en-IE"/>
              </w:rPr>
              <w:t>Personal scope</w:t>
            </w:r>
          </w:p>
          <w:p w14:paraId="2664CA8D" w14:textId="728841BB" w:rsidR="42911850" w:rsidRDefault="42911850">
            <w:pPr>
              <w:rPr>
                <w:noProof/>
              </w:rPr>
            </w:pPr>
            <w:r w:rsidRPr="42911850">
              <w:rPr>
                <w:rFonts w:ascii="Calibri" w:eastAsia="Calibri" w:hAnsi="Calibri" w:cs="Calibri"/>
                <w:noProof/>
                <w:sz w:val="16"/>
                <w:szCs w:val="16"/>
                <w:lang w:val="en-IE"/>
              </w:rPr>
              <w:t>N</w:t>
            </w:r>
            <w:r w:rsidRPr="42911850">
              <w:rPr>
                <w:rFonts w:ascii="Calibri" w:eastAsia="Calibri" w:hAnsi="Calibri" w:cs="Calibri"/>
                <w:noProof/>
                <w:sz w:val="16"/>
                <w:szCs w:val="16"/>
              </w:rPr>
              <w:t>o differentiation between legal entities or natural persons for application of penalties</w:t>
            </w:r>
          </w:p>
          <w:p w14:paraId="6E683682" w14:textId="259EFC1B"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5C6AE272" w14:textId="2402B2F9" w:rsidR="42911850" w:rsidRDefault="42911850">
            <w:pPr>
              <w:rPr>
                <w:noProof/>
              </w:rPr>
            </w:pPr>
            <w:r w:rsidRPr="42911850">
              <w:rPr>
                <w:rFonts w:ascii="Calibri" w:eastAsia="Calibri" w:hAnsi="Calibri" w:cs="Calibri"/>
                <w:noProof/>
                <w:sz w:val="16"/>
                <w:szCs w:val="16"/>
                <w:lang w:val="en-IE"/>
              </w:rPr>
              <w:t>Penalties per individual infringement and person</w:t>
            </w:r>
          </w:p>
        </w:tc>
        <w:tc>
          <w:tcPr>
            <w:tcW w:w="1757" w:type="dxa"/>
            <w:tcBorders>
              <w:top w:val="single" w:sz="8" w:space="0" w:color="auto"/>
              <w:left w:val="single" w:sz="8" w:space="0" w:color="auto"/>
              <w:bottom w:val="single" w:sz="8" w:space="0" w:color="auto"/>
              <w:right w:val="single" w:sz="8" w:space="0" w:color="auto"/>
            </w:tcBorders>
          </w:tcPr>
          <w:p w14:paraId="421953CD" w14:textId="6ECEA3A2" w:rsidR="42911850" w:rsidRDefault="42911850">
            <w:pPr>
              <w:rPr>
                <w:noProof/>
              </w:rPr>
            </w:pPr>
            <w:r w:rsidRPr="42911850">
              <w:rPr>
                <w:rFonts w:ascii="Calibri" w:eastAsia="Calibri" w:hAnsi="Calibri" w:cs="Calibri"/>
                <w:noProof/>
                <w:sz w:val="18"/>
                <w:szCs w:val="18"/>
              </w:rPr>
              <w:t xml:space="preserve"> </w:t>
            </w:r>
          </w:p>
          <w:p w14:paraId="0B33A6F8" w14:textId="00A6ACC6" w:rsidR="42911850" w:rsidRDefault="42911850">
            <w:pPr>
              <w:rPr>
                <w:noProof/>
              </w:rPr>
            </w:pPr>
            <w:r w:rsidRPr="42911850">
              <w:rPr>
                <w:rFonts w:ascii="Calibri" w:eastAsia="Calibri" w:hAnsi="Calibri" w:cs="Calibri"/>
                <w:noProof/>
                <w:sz w:val="18"/>
                <w:szCs w:val="18"/>
              </w:rPr>
              <w:t xml:space="preserve"> </w:t>
            </w:r>
          </w:p>
          <w:p w14:paraId="1DB5E4C2" w14:textId="518FFB00" w:rsidR="42911850" w:rsidRDefault="42911850">
            <w:pPr>
              <w:rPr>
                <w:noProof/>
              </w:rPr>
            </w:pPr>
            <w:r w:rsidRPr="42911850">
              <w:rPr>
                <w:rFonts w:ascii="Calibri" w:eastAsia="Calibri" w:hAnsi="Calibri" w:cs="Calibri"/>
                <w:noProof/>
                <w:sz w:val="18"/>
                <w:szCs w:val="18"/>
              </w:rPr>
              <w:t xml:space="preserve"> </w:t>
            </w:r>
          </w:p>
          <w:p w14:paraId="254DE172" w14:textId="61568D01" w:rsidR="42911850" w:rsidRDefault="42911850">
            <w:pPr>
              <w:rPr>
                <w:noProof/>
              </w:rPr>
            </w:pPr>
            <w:r w:rsidRPr="42911850">
              <w:rPr>
                <w:rFonts w:ascii="Calibri" w:eastAsia="Calibri" w:hAnsi="Calibri" w:cs="Calibri"/>
                <w:noProof/>
                <w:sz w:val="16"/>
                <w:szCs w:val="16"/>
              </w:rPr>
              <w:t>250 EUR</w:t>
            </w:r>
          </w:p>
          <w:p w14:paraId="3A3056AE" w14:textId="79C04472" w:rsidR="42911850" w:rsidRDefault="42911850">
            <w:pPr>
              <w:rPr>
                <w:noProof/>
              </w:rPr>
            </w:pPr>
            <w:r w:rsidRPr="42911850">
              <w:rPr>
                <w:rFonts w:ascii="Calibri" w:eastAsia="Calibri" w:hAnsi="Calibri" w:cs="Calibri"/>
                <w:noProof/>
                <w:sz w:val="16"/>
                <w:szCs w:val="16"/>
              </w:rPr>
              <w:t>250 EUR</w:t>
            </w:r>
          </w:p>
        </w:tc>
        <w:tc>
          <w:tcPr>
            <w:tcW w:w="2175" w:type="dxa"/>
            <w:tcBorders>
              <w:top w:val="single" w:sz="8" w:space="0" w:color="auto"/>
              <w:left w:val="single" w:sz="8" w:space="0" w:color="auto"/>
              <w:bottom w:val="single" w:sz="8" w:space="0" w:color="auto"/>
              <w:right w:val="single" w:sz="8" w:space="0" w:color="auto"/>
            </w:tcBorders>
          </w:tcPr>
          <w:p w14:paraId="14567662" w14:textId="23F9AD3A" w:rsidR="42911850" w:rsidRDefault="42911850">
            <w:pPr>
              <w:rPr>
                <w:noProof/>
              </w:rPr>
            </w:pPr>
            <w:r w:rsidRPr="42911850">
              <w:rPr>
                <w:rFonts w:ascii="Calibri" w:eastAsia="Calibri" w:hAnsi="Calibri" w:cs="Calibri"/>
                <w:noProof/>
                <w:sz w:val="16"/>
                <w:szCs w:val="16"/>
              </w:rPr>
              <w:t xml:space="preserve"> </w:t>
            </w:r>
          </w:p>
          <w:p w14:paraId="04C79B52" w14:textId="236FF7E6" w:rsidR="42911850" w:rsidRDefault="42911850">
            <w:pPr>
              <w:rPr>
                <w:noProof/>
              </w:rPr>
            </w:pPr>
            <w:r w:rsidRPr="42911850">
              <w:rPr>
                <w:rFonts w:ascii="Calibri" w:eastAsia="Calibri" w:hAnsi="Calibri" w:cs="Calibri"/>
                <w:noProof/>
                <w:sz w:val="16"/>
                <w:szCs w:val="16"/>
              </w:rPr>
              <w:t>1000 EUR per reportable account</w:t>
            </w:r>
          </w:p>
          <w:p w14:paraId="2FCA249D" w14:textId="3A080B96" w:rsidR="42911850" w:rsidRDefault="42911850">
            <w:pPr>
              <w:rPr>
                <w:noProof/>
              </w:rPr>
            </w:pPr>
            <w:r w:rsidRPr="42911850">
              <w:rPr>
                <w:rFonts w:ascii="Calibri" w:eastAsia="Calibri" w:hAnsi="Calibri" w:cs="Calibri"/>
                <w:noProof/>
                <w:sz w:val="16"/>
                <w:szCs w:val="16"/>
              </w:rPr>
              <w:t>2500 EUR</w:t>
            </w:r>
          </w:p>
          <w:p w14:paraId="007F94C5" w14:textId="5D3D3127" w:rsidR="42911850" w:rsidRDefault="42911850">
            <w:pPr>
              <w:rPr>
                <w:noProof/>
              </w:rPr>
            </w:pPr>
            <w:r w:rsidRPr="42911850">
              <w:rPr>
                <w:rFonts w:ascii="Calibri" w:eastAsia="Calibri" w:hAnsi="Calibri" w:cs="Calibri"/>
                <w:noProof/>
                <w:sz w:val="16"/>
                <w:szCs w:val="16"/>
              </w:rPr>
              <w:t>500 000 EUR or imprisonment up to 5 years</w:t>
            </w:r>
          </w:p>
          <w:p w14:paraId="6BDAE82E" w14:textId="00995E8B" w:rsidR="42911850" w:rsidRDefault="42911850">
            <w:pPr>
              <w:rPr>
                <w:noProof/>
              </w:rPr>
            </w:pPr>
            <w:r w:rsidRPr="42911850">
              <w:rPr>
                <w:rFonts w:ascii="Calibri" w:eastAsia="Calibri" w:hAnsi="Calibri" w:cs="Calibri"/>
                <w:noProof/>
                <w:sz w:val="16"/>
                <w:szCs w:val="16"/>
              </w:rPr>
              <w:t>500 000 EUR or imprisonment up to 5 years</w:t>
            </w:r>
          </w:p>
        </w:tc>
      </w:tr>
      <w:tr w:rsidR="42911850" w14:paraId="77F33826" w14:textId="77777777" w:rsidTr="42911850">
        <w:trPr>
          <w:trHeight w:val="45"/>
        </w:trPr>
        <w:tc>
          <w:tcPr>
            <w:tcW w:w="638" w:type="dxa"/>
            <w:vMerge/>
            <w:tcBorders>
              <w:left w:val="single" w:sz="0" w:space="0" w:color="auto"/>
              <w:right w:val="single" w:sz="0" w:space="0" w:color="auto"/>
            </w:tcBorders>
            <w:vAlign w:val="center"/>
          </w:tcPr>
          <w:p w14:paraId="18E8E4ED"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48C7A8BF" w14:textId="3990A80D"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430CC50F" w14:textId="275F7C8C" w:rsidR="42911850" w:rsidRDefault="42911850">
            <w:pPr>
              <w:rPr>
                <w:noProof/>
              </w:rPr>
            </w:pPr>
            <w:r w:rsidRPr="42911850">
              <w:rPr>
                <w:rFonts w:ascii="Calibri" w:eastAsia="Calibri" w:hAnsi="Calibri" w:cs="Calibri"/>
                <w:b/>
                <w:bCs/>
                <w:noProof/>
                <w:sz w:val="16"/>
                <w:szCs w:val="16"/>
                <w:u w:val="single"/>
              </w:rPr>
              <w:t>Scope ratione materiae</w:t>
            </w:r>
          </w:p>
          <w:p w14:paraId="3E936A02" w14:textId="45B9A2C2" w:rsidR="42911850" w:rsidRDefault="42911850">
            <w:pPr>
              <w:rPr>
                <w:noProof/>
              </w:rPr>
            </w:pPr>
            <w:r w:rsidRPr="42911850">
              <w:rPr>
                <w:rFonts w:ascii="Calibri" w:eastAsia="Calibri" w:hAnsi="Calibri" w:cs="Calibri"/>
                <w:noProof/>
                <w:sz w:val="16"/>
                <w:szCs w:val="16"/>
              </w:rPr>
              <w:t>If non-communication, late communication or incomplete communication not committed in bad faith or committed without intention to commit fraud</w:t>
            </w:r>
          </w:p>
          <w:p w14:paraId="5BA9D7E5" w14:textId="43ED8D04" w:rsidR="42911850" w:rsidRDefault="42911850">
            <w:pPr>
              <w:rPr>
                <w:noProof/>
              </w:rPr>
            </w:pPr>
            <w:r w:rsidRPr="42911850">
              <w:rPr>
                <w:rFonts w:ascii="Calibri" w:eastAsia="Calibri" w:hAnsi="Calibri" w:cs="Calibri"/>
                <w:noProof/>
                <w:sz w:val="16"/>
                <w:szCs w:val="16"/>
              </w:rPr>
              <w:t>If the above committed in bad faith or with intention to commit fraud</w:t>
            </w:r>
          </w:p>
          <w:p w14:paraId="62523CC8" w14:textId="606B7D09" w:rsidR="42911850" w:rsidRDefault="42911850">
            <w:pPr>
              <w:rPr>
                <w:noProof/>
              </w:rPr>
            </w:pPr>
            <w:r w:rsidRPr="42911850">
              <w:rPr>
                <w:rFonts w:ascii="Calibri" w:eastAsia="Calibri" w:hAnsi="Calibri" w:cs="Calibri"/>
                <w:b/>
                <w:bCs/>
                <w:noProof/>
                <w:sz w:val="16"/>
                <w:szCs w:val="16"/>
                <w:u w:val="single"/>
                <w:lang w:val="en-IE"/>
              </w:rPr>
              <w:t>Personal scope</w:t>
            </w:r>
          </w:p>
          <w:p w14:paraId="7DD32D22" w14:textId="242A8411" w:rsidR="42911850" w:rsidRDefault="42911850">
            <w:pPr>
              <w:rPr>
                <w:noProof/>
              </w:rPr>
            </w:pPr>
            <w:r w:rsidRPr="42911850">
              <w:rPr>
                <w:rFonts w:ascii="Calibri" w:eastAsia="Calibri" w:hAnsi="Calibri" w:cs="Calibri"/>
                <w:noProof/>
                <w:sz w:val="16"/>
                <w:szCs w:val="16"/>
                <w:lang w:val="en-IE"/>
              </w:rPr>
              <w:t>L</w:t>
            </w:r>
            <w:r w:rsidRPr="42911850">
              <w:rPr>
                <w:rFonts w:ascii="Calibri" w:eastAsia="Calibri" w:hAnsi="Calibri" w:cs="Calibri"/>
                <w:noProof/>
                <w:sz w:val="16"/>
                <w:szCs w:val="16"/>
              </w:rPr>
              <w:t>egal entities</w:t>
            </w:r>
          </w:p>
          <w:p w14:paraId="4929AF90" w14:textId="2D96546C"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38D7996B" w14:textId="530CC349" w:rsidR="42911850" w:rsidRDefault="42911850">
            <w:pPr>
              <w:rPr>
                <w:noProof/>
              </w:rPr>
            </w:pPr>
            <w:r w:rsidRPr="42911850">
              <w:rPr>
                <w:rFonts w:ascii="Calibri" w:eastAsia="Calibri" w:hAnsi="Calibri" w:cs="Calibri"/>
                <w:noProof/>
                <w:sz w:val="16"/>
                <w:szCs w:val="16"/>
                <w:lang w:val="en-IE"/>
              </w:rPr>
              <w:t xml:space="preserve">Penalties per individual infringement and person. The penalties increase gradually per repeated infringement according to a table </w:t>
            </w:r>
          </w:p>
        </w:tc>
        <w:tc>
          <w:tcPr>
            <w:tcW w:w="1757" w:type="dxa"/>
            <w:tcBorders>
              <w:top w:val="single" w:sz="8" w:space="0" w:color="auto"/>
              <w:left w:val="single" w:sz="8" w:space="0" w:color="auto"/>
              <w:bottom w:val="single" w:sz="8" w:space="0" w:color="auto"/>
              <w:right w:val="single" w:sz="8" w:space="0" w:color="auto"/>
            </w:tcBorders>
          </w:tcPr>
          <w:p w14:paraId="041E4240" w14:textId="35E6EC86" w:rsidR="42911850" w:rsidRDefault="42911850">
            <w:pPr>
              <w:rPr>
                <w:noProof/>
              </w:rPr>
            </w:pPr>
            <w:r w:rsidRPr="42911850">
              <w:rPr>
                <w:rFonts w:ascii="Calibri" w:eastAsia="Calibri" w:hAnsi="Calibri" w:cs="Calibri"/>
                <w:noProof/>
                <w:sz w:val="16"/>
                <w:szCs w:val="16"/>
              </w:rPr>
              <w:t xml:space="preserve"> </w:t>
            </w:r>
          </w:p>
          <w:p w14:paraId="10BFE544" w14:textId="2B665124" w:rsidR="42911850" w:rsidRDefault="42911850">
            <w:pPr>
              <w:rPr>
                <w:noProof/>
              </w:rPr>
            </w:pPr>
            <w:r w:rsidRPr="42911850">
              <w:rPr>
                <w:rFonts w:ascii="Calibri" w:eastAsia="Calibri" w:hAnsi="Calibri" w:cs="Calibri"/>
                <w:noProof/>
                <w:sz w:val="16"/>
                <w:szCs w:val="16"/>
              </w:rPr>
              <w:t>1250 EUR</w:t>
            </w:r>
          </w:p>
          <w:p w14:paraId="40D32FAD" w14:textId="1BBF2802" w:rsidR="42911850" w:rsidRDefault="42911850">
            <w:pPr>
              <w:rPr>
                <w:noProof/>
              </w:rPr>
            </w:pPr>
            <w:r w:rsidRPr="42911850">
              <w:rPr>
                <w:rFonts w:ascii="Calibri" w:eastAsia="Calibri" w:hAnsi="Calibri" w:cs="Calibri"/>
                <w:noProof/>
                <w:sz w:val="16"/>
                <w:szCs w:val="16"/>
              </w:rPr>
              <w:t xml:space="preserve"> </w:t>
            </w:r>
          </w:p>
          <w:p w14:paraId="459B3B7E" w14:textId="44658726" w:rsidR="42911850" w:rsidRDefault="42911850">
            <w:pPr>
              <w:rPr>
                <w:noProof/>
              </w:rPr>
            </w:pPr>
            <w:r w:rsidRPr="42911850">
              <w:rPr>
                <w:rFonts w:ascii="Calibri" w:eastAsia="Calibri" w:hAnsi="Calibri" w:cs="Calibri"/>
                <w:noProof/>
                <w:sz w:val="16"/>
                <w:szCs w:val="16"/>
              </w:rPr>
              <w:t>12 500 EUR</w:t>
            </w:r>
          </w:p>
        </w:tc>
        <w:tc>
          <w:tcPr>
            <w:tcW w:w="2175" w:type="dxa"/>
            <w:tcBorders>
              <w:top w:val="single" w:sz="8" w:space="0" w:color="auto"/>
              <w:left w:val="single" w:sz="8" w:space="0" w:color="auto"/>
              <w:bottom w:val="single" w:sz="8" w:space="0" w:color="auto"/>
              <w:right w:val="single" w:sz="8" w:space="0" w:color="auto"/>
            </w:tcBorders>
          </w:tcPr>
          <w:p w14:paraId="37F42B6A" w14:textId="07A3CD5C" w:rsidR="42911850" w:rsidRDefault="42911850">
            <w:pPr>
              <w:rPr>
                <w:noProof/>
              </w:rPr>
            </w:pPr>
            <w:r w:rsidRPr="42911850">
              <w:rPr>
                <w:rFonts w:ascii="Calibri" w:eastAsia="Calibri" w:hAnsi="Calibri" w:cs="Calibri"/>
                <w:noProof/>
                <w:sz w:val="16"/>
                <w:szCs w:val="16"/>
              </w:rPr>
              <w:t xml:space="preserve"> </w:t>
            </w:r>
          </w:p>
          <w:p w14:paraId="2145A469" w14:textId="48FAED11" w:rsidR="42911850" w:rsidRDefault="42911850">
            <w:pPr>
              <w:rPr>
                <w:noProof/>
              </w:rPr>
            </w:pPr>
            <w:r w:rsidRPr="42911850">
              <w:rPr>
                <w:rFonts w:ascii="Calibri" w:eastAsia="Calibri" w:hAnsi="Calibri" w:cs="Calibri"/>
                <w:noProof/>
                <w:sz w:val="16"/>
                <w:szCs w:val="16"/>
              </w:rPr>
              <w:t>25 000 EUR</w:t>
            </w:r>
          </w:p>
          <w:p w14:paraId="453A9841" w14:textId="7B443242" w:rsidR="42911850" w:rsidRDefault="42911850">
            <w:pPr>
              <w:rPr>
                <w:noProof/>
              </w:rPr>
            </w:pPr>
            <w:r w:rsidRPr="42911850">
              <w:rPr>
                <w:rFonts w:ascii="Calibri" w:eastAsia="Calibri" w:hAnsi="Calibri" w:cs="Calibri"/>
                <w:noProof/>
                <w:sz w:val="16"/>
                <w:szCs w:val="16"/>
              </w:rPr>
              <w:t xml:space="preserve"> </w:t>
            </w:r>
          </w:p>
          <w:p w14:paraId="5779DA2C" w14:textId="15B13737" w:rsidR="42911850" w:rsidRDefault="42911850">
            <w:pPr>
              <w:rPr>
                <w:noProof/>
              </w:rPr>
            </w:pPr>
            <w:r w:rsidRPr="42911850">
              <w:rPr>
                <w:rFonts w:ascii="Calibri" w:eastAsia="Calibri" w:hAnsi="Calibri" w:cs="Calibri"/>
                <w:noProof/>
                <w:sz w:val="16"/>
                <w:szCs w:val="16"/>
              </w:rPr>
              <w:t>25 000 EUR</w:t>
            </w:r>
          </w:p>
        </w:tc>
      </w:tr>
      <w:tr w:rsidR="42911850" w14:paraId="7D78CD7C"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64BD83EE"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2FE035C" w14:textId="241D736A"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7643BF04" w14:textId="4A9C9057" w:rsidR="42911850" w:rsidRDefault="42911850">
            <w:pPr>
              <w:rPr>
                <w:noProof/>
              </w:rPr>
            </w:pPr>
            <w:r w:rsidRPr="42911850">
              <w:rPr>
                <w:rFonts w:ascii="Calibri" w:eastAsia="Calibri" w:hAnsi="Calibri" w:cs="Calibri"/>
                <w:b/>
                <w:bCs/>
                <w:noProof/>
                <w:sz w:val="16"/>
                <w:szCs w:val="16"/>
                <w:u w:val="single"/>
              </w:rPr>
              <w:t>Scope ratione materiae</w:t>
            </w:r>
          </w:p>
          <w:p w14:paraId="0B1C9C5C" w14:textId="075C93EB" w:rsidR="42911850" w:rsidRDefault="42911850">
            <w:pPr>
              <w:rPr>
                <w:noProof/>
              </w:rPr>
            </w:pPr>
            <w:r w:rsidRPr="42911850">
              <w:rPr>
                <w:rFonts w:ascii="Calibri" w:eastAsia="Calibri" w:hAnsi="Calibri" w:cs="Calibri"/>
                <w:noProof/>
                <w:sz w:val="16"/>
                <w:szCs w:val="16"/>
              </w:rPr>
              <w:t>Incomplete information, if given without intention to commit fraud</w:t>
            </w:r>
          </w:p>
          <w:p w14:paraId="54EF941D" w14:textId="09F305B4" w:rsidR="42911850" w:rsidRDefault="42911850">
            <w:pPr>
              <w:rPr>
                <w:noProof/>
              </w:rPr>
            </w:pPr>
            <w:r w:rsidRPr="42911850">
              <w:rPr>
                <w:rFonts w:ascii="Calibri" w:eastAsia="Calibri" w:hAnsi="Calibri" w:cs="Calibri"/>
                <w:noProof/>
                <w:sz w:val="16"/>
                <w:szCs w:val="16"/>
              </w:rPr>
              <w:t>Incomplete information, if given with intention to commit fraud</w:t>
            </w:r>
          </w:p>
          <w:p w14:paraId="690DD15B" w14:textId="3344CFD0" w:rsidR="42911850" w:rsidRDefault="42911850">
            <w:pPr>
              <w:rPr>
                <w:noProof/>
              </w:rPr>
            </w:pPr>
            <w:r w:rsidRPr="42911850">
              <w:rPr>
                <w:rFonts w:ascii="Calibri" w:eastAsia="Calibri" w:hAnsi="Calibri" w:cs="Calibri"/>
                <w:noProof/>
                <w:sz w:val="16"/>
                <w:szCs w:val="16"/>
              </w:rPr>
              <w:t>Non-provision or late provision of information without intention to commit fraud</w:t>
            </w:r>
          </w:p>
          <w:p w14:paraId="5E229D29" w14:textId="7237AE66" w:rsidR="42911850" w:rsidRDefault="42911850">
            <w:pPr>
              <w:rPr>
                <w:noProof/>
              </w:rPr>
            </w:pPr>
            <w:r w:rsidRPr="42911850">
              <w:rPr>
                <w:rFonts w:ascii="Calibri" w:eastAsia="Calibri" w:hAnsi="Calibri" w:cs="Calibri"/>
                <w:noProof/>
                <w:sz w:val="16"/>
                <w:szCs w:val="16"/>
              </w:rPr>
              <w:t>Non-provision or late provision of information with intention to commit fraud</w:t>
            </w:r>
          </w:p>
          <w:p w14:paraId="726EC35B" w14:textId="59EFAD2F" w:rsidR="42911850" w:rsidRDefault="42911850">
            <w:pPr>
              <w:rPr>
                <w:noProof/>
              </w:rPr>
            </w:pPr>
            <w:r w:rsidRPr="42911850">
              <w:rPr>
                <w:rFonts w:ascii="Calibri" w:eastAsia="Calibri" w:hAnsi="Calibri" w:cs="Calibri"/>
                <w:b/>
                <w:bCs/>
                <w:noProof/>
                <w:sz w:val="16"/>
                <w:szCs w:val="16"/>
                <w:u w:val="single"/>
                <w:lang w:val="en-IE"/>
              </w:rPr>
              <w:t>Personal scope</w:t>
            </w:r>
          </w:p>
          <w:p w14:paraId="061B2F2E" w14:textId="5675D423" w:rsidR="42911850" w:rsidRDefault="42911850">
            <w:pPr>
              <w:rPr>
                <w:noProof/>
              </w:rPr>
            </w:pPr>
            <w:r w:rsidRPr="42911850">
              <w:rPr>
                <w:rFonts w:ascii="Calibri" w:eastAsia="Calibri" w:hAnsi="Calibri" w:cs="Calibri"/>
                <w:noProof/>
                <w:sz w:val="16"/>
                <w:szCs w:val="16"/>
                <w:lang w:val="en-IE"/>
              </w:rPr>
              <w:t>N</w:t>
            </w:r>
            <w:r w:rsidRPr="42911850">
              <w:rPr>
                <w:rFonts w:ascii="Calibri" w:eastAsia="Calibri" w:hAnsi="Calibri" w:cs="Calibri"/>
                <w:noProof/>
                <w:sz w:val="16"/>
                <w:szCs w:val="16"/>
              </w:rPr>
              <w:t>o differentiation between legal entities or natural persons for application of penalties</w:t>
            </w:r>
          </w:p>
          <w:p w14:paraId="14E8C122" w14:textId="6B218CB9"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32A21C20" w14:textId="21625C24" w:rsidR="42911850" w:rsidRDefault="42911850">
            <w:pPr>
              <w:rPr>
                <w:noProof/>
              </w:rPr>
            </w:pPr>
            <w:r w:rsidRPr="42911850">
              <w:rPr>
                <w:rFonts w:ascii="Calibri" w:eastAsia="Calibri" w:hAnsi="Calibri" w:cs="Calibri"/>
                <w:noProof/>
                <w:sz w:val="16"/>
                <w:szCs w:val="16"/>
                <w:lang w:val="en-IE"/>
              </w:rPr>
              <w:t>Penalties per individual infringement and person.</w:t>
            </w:r>
          </w:p>
        </w:tc>
        <w:tc>
          <w:tcPr>
            <w:tcW w:w="1757" w:type="dxa"/>
            <w:tcBorders>
              <w:top w:val="single" w:sz="8" w:space="0" w:color="auto"/>
              <w:left w:val="single" w:sz="8" w:space="0" w:color="auto"/>
              <w:bottom w:val="single" w:sz="8" w:space="0" w:color="auto"/>
              <w:right w:val="single" w:sz="8" w:space="0" w:color="auto"/>
            </w:tcBorders>
          </w:tcPr>
          <w:p w14:paraId="121FAB92" w14:textId="7425A0A7" w:rsidR="42911850" w:rsidRDefault="42911850">
            <w:pPr>
              <w:rPr>
                <w:noProof/>
              </w:rPr>
            </w:pPr>
            <w:r w:rsidRPr="42911850">
              <w:rPr>
                <w:rFonts w:ascii="Calibri" w:eastAsia="Calibri" w:hAnsi="Calibri" w:cs="Calibri"/>
                <w:noProof/>
                <w:sz w:val="16"/>
                <w:szCs w:val="16"/>
              </w:rPr>
              <w:t xml:space="preserve"> </w:t>
            </w:r>
          </w:p>
          <w:p w14:paraId="0D3FEA22" w14:textId="098BAFDD" w:rsidR="42911850" w:rsidRDefault="42911850">
            <w:pPr>
              <w:rPr>
                <w:noProof/>
              </w:rPr>
            </w:pPr>
            <w:r w:rsidRPr="42911850">
              <w:rPr>
                <w:rFonts w:ascii="Calibri" w:eastAsia="Calibri" w:hAnsi="Calibri" w:cs="Calibri"/>
                <w:noProof/>
                <w:sz w:val="16"/>
                <w:szCs w:val="16"/>
              </w:rPr>
              <w:t>1250 EUR</w:t>
            </w:r>
          </w:p>
          <w:p w14:paraId="5823691E" w14:textId="400289B9" w:rsidR="42911850" w:rsidRDefault="42911850">
            <w:pPr>
              <w:rPr>
                <w:noProof/>
              </w:rPr>
            </w:pPr>
            <w:r w:rsidRPr="42911850">
              <w:rPr>
                <w:rFonts w:ascii="Calibri" w:eastAsia="Calibri" w:hAnsi="Calibri" w:cs="Calibri"/>
                <w:noProof/>
                <w:sz w:val="16"/>
                <w:szCs w:val="16"/>
              </w:rPr>
              <w:t>2500 EUR</w:t>
            </w:r>
          </w:p>
          <w:p w14:paraId="09F823EC" w14:textId="7D1C7A71" w:rsidR="42911850" w:rsidRDefault="42911850">
            <w:pPr>
              <w:rPr>
                <w:noProof/>
              </w:rPr>
            </w:pPr>
            <w:r w:rsidRPr="42911850">
              <w:rPr>
                <w:rFonts w:ascii="Calibri" w:eastAsia="Calibri" w:hAnsi="Calibri" w:cs="Calibri"/>
                <w:noProof/>
                <w:sz w:val="16"/>
                <w:szCs w:val="16"/>
              </w:rPr>
              <w:t>5000 EUR</w:t>
            </w:r>
          </w:p>
          <w:p w14:paraId="713CD8F5" w14:textId="6F99A17B" w:rsidR="42911850" w:rsidRDefault="42911850">
            <w:pPr>
              <w:rPr>
                <w:noProof/>
              </w:rPr>
            </w:pPr>
            <w:r w:rsidRPr="42911850">
              <w:rPr>
                <w:rFonts w:ascii="Calibri" w:eastAsia="Calibri" w:hAnsi="Calibri" w:cs="Calibri"/>
                <w:noProof/>
                <w:sz w:val="16"/>
                <w:szCs w:val="16"/>
              </w:rPr>
              <w:t xml:space="preserve"> </w:t>
            </w:r>
          </w:p>
          <w:p w14:paraId="3438D589" w14:textId="083BC8E7" w:rsidR="42911850" w:rsidRDefault="42911850">
            <w:pPr>
              <w:rPr>
                <w:noProof/>
              </w:rPr>
            </w:pPr>
            <w:r w:rsidRPr="42911850">
              <w:rPr>
                <w:rFonts w:ascii="Calibri" w:eastAsia="Calibri" w:hAnsi="Calibri" w:cs="Calibri"/>
                <w:noProof/>
                <w:sz w:val="16"/>
                <w:szCs w:val="16"/>
              </w:rPr>
              <w:t>12 500 EUR</w:t>
            </w:r>
          </w:p>
          <w:p w14:paraId="5DA94BDB" w14:textId="321EF047" w:rsidR="42911850" w:rsidRDefault="42911850">
            <w:pPr>
              <w:rPr>
                <w:noProof/>
              </w:rPr>
            </w:pPr>
            <w:r w:rsidRPr="42911850">
              <w:rPr>
                <w:rFonts w:ascii="Calibri" w:eastAsia="Calibri" w:hAnsi="Calibri" w:cs="Calibri"/>
                <w:noProof/>
                <w:sz w:val="16"/>
                <w:szCs w:val="16"/>
              </w:rPr>
              <w:t xml:space="preserve"> </w:t>
            </w:r>
          </w:p>
          <w:p w14:paraId="1B8203E3" w14:textId="526BFF11" w:rsidR="42911850" w:rsidRDefault="42911850">
            <w:pPr>
              <w:rPr>
                <w:noProof/>
              </w:rPr>
            </w:pPr>
            <w:r w:rsidRPr="42911850">
              <w:rPr>
                <w:rFonts w:ascii="Calibri" w:eastAsia="Calibri" w:hAnsi="Calibri" w:cs="Calibri"/>
                <w:noProof/>
                <w:sz w:val="16"/>
                <w:szCs w:val="16"/>
              </w:rPr>
              <w:t xml:space="preserve"> </w:t>
            </w:r>
          </w:p>
        </w:tc>
        <w:tc>
          <w:tcPr>
            <w:tcW w:w="2175" w:type="dxa"/>
            <w:tcBorders>
              <w:top w:val="single" w:sz="8" w:space="0" w:color="auto"/>
              <w:left w:val="single" w:sz="8" w:space="0" w:color="auto"/>
              <w:bottom w:val="single" w:sz="8" w:space="0" w:color="auto"/>
              <w:right w:val="single" w:sz="8" w:space="0" w:color="auto"/>
            </w:tcBorders>
          </w:tcPr>
          <w:p w14:paraId="1ED64046" w14:textId="0E8FC109" w:rsidR="42911850" w:rsidRDefault="42911850">
            <w:pPr>
              <w:rPr>
                <w:noProof/>
              </w:rPr>
            </w:pPr>
            <w:r w:rsidRPr="42911850">
              <w:rPr>
                <w:rFonts w:ascii="Calibri" w:eastAsia="Calibri" w:hAnsi="Calibri" w:cs="Calibri"/>
                <w:noProof/>
                <w:sz w:val="16"/>
                <w:szCs w:val="16"/>
              </w:rPr>
              <w:t xml:space="preserve"> </w:t>
            </w:r>
          </w:p>
          <w:p w14:paraId="1D373EDF" w14:textId="6814371F" w:rsidR="42911850" w:rsidRDefault="42911850">
            <w:pPr>
              <w:rPr>
                <w:noProof/>
              </w:rPr>
            </w:pPr>
            <w:r w:rsidRPr="42911850">
              <w:rPr>
                <w:rFonts w:ascii="Calibri" w:eastAsia="Calibri" w:hAnsi="Calibri" w:cs="Calibri"/>
                <w:noProof/>
                <w:sz w:val="16"/>
                <w:szCs w:val="16"/>
              </w:rPr>
              <w:t>12 500 EUR</w:t>
            </w:r>
          </w:p>
          <w:p w14:paraId="37AEEA2A" w14:textId="7A1F8565" w:rsidR="42911850" w:rsidRDefault="42911850">
            <w:pPr>
              <w:rPr>
                <w:noProof/>
              </w:rPr>
            </w:pPr>
            <w:r w:rsidRPr="42911850">
              <w:rPr>
                <w:rFonts w:ascii="Calibri" w:eastAsia="Calibri" w:hAnsi="Calibri" w:cs="Calibri"/>
                <w:noProof/>
                <w:sz w:val="16"/>
                <w:szCs w:val="16"/>
              </w:rPr>
              <w:t>25 000 EUR</w:t>
            </w:r>
          </w:p>
          <w:p w14:paraId="23EA63E6" w14:textId="7DCED798" w:rsidR="42911850" w:rsidRDefault="42911850">
            <w:pPr>
              <w:rPr>
                <w:noProof/>
              </w:rPr>
            </w:pPr>
            <w:r w:rsidRPr="42911850">
              <w:rPr>
                <w:rFonts w:ascii="Calibri" w:eastAsia="Calibri" w:hAnsi="Calibri" w:cs="Calibri"/>
                <w:noProof/>
                <w:sz w:val="16"/>
                <w:szCs w:val="16"/>
              </w:rPr>
              <w:t>50 000 EUR</w:t>
            </w:r>
          </w:p>
          <w:p w14:paraId="7C4515CA" w14:textId="45BCE8B9" w:rsidR="42911850" w:rsidRDefault="42911850">
            <w:pPr>
              <w:rPr>
                <w:noProof/>
              </w:rPr>
            </w:pPr>
            <w:r w:rsidRPr="42911850">
              <w:rPr>
                <w:rFonts w:ascii="Calibri" w:eastAsia="Calibri" w:hAnsi="Calibri" w:cs="Calibri"/>
                <w:noProof/>
                <w:sz w:val="16"/>
                <w:szCs w:val="16"/>
              </w:rPr>
              <w:t xml:space="preserve"> </w:t>
            </w:r>
          </w:p>
          <w:p w14:paraId="72AAC9C3" w14:textId="43720BEB" w:rsidR="42911850" w:rsidRDefault="42911850">
            <w:pPr>
              <w:rPr>
                <w:noProof/>
              </w:rPr>
            </w:pPr>
            <w:r w:rsidRPr="42911850">
              <w:rPr>
                <w:rFonts w:ascii="Calibri" w:eastAsia="Calibri" w:hAnsi="Calibri" w:cs="Calibri"/>
                <w:noProof/>
                <w:sz w:val="16"/>
                <w:szCs w:val="16"/>
              </w:rPr>
              <w:t>500 000 EUR</w:t>
            </w:r>
          </w:p>
        </w:tc>
      </w:tr>
      <w:tr w:rsidR="42911850" w14:paraId="52C1F1B0"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2E356231" w14:textId="6BE4F481" w:rsidR="42911850" w:rsidRDefault="42911850">
            <w:pPr>
              <w:rPr>
                <w:noProof/>
              </w:rPr>
            </w:pPr>
            <w:r w:rsidRPr="42911850">
              <w:rPr>
                <w:rFonts w:ascii="Calibri" w:eastAsia="Calibri" w:hAnsi="Calibri" w:cs="Calibri"/>
                <w:b/>
                <w:bCs/>
                <w:noProof/>
                <w:sz w:val="18"/>
                <w:szCs w:val="18"/>
              </w:rPr>
              <w:t>BG</w:t>
            </w:r>
          </w:p>
        </w:tc>
        <w:tc>
          <w:tcPr>
            <w:tcW w:w="1025" w:type="dxa"/>
            <w:tcBorders>
              <w:top w:val="single" w:sz="8" w:space="0" w:color="auto"/>
              <w:left w:val="single" w:sz="8" w:space="0" w:color="auto"/>
              <w:bottom w:val="single" w:sz="8" w:space="0" w:color="auto"/>
              <w:right w:val="single" w:sz="8" w:space="0" w:color="auto"/>
            </w:tcBorders>
          </w:tcPr>
          <w:p w14:paraId="021B0515" w14:textId="76119F21"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22E88C05" w14:textId="1366DF73" w:rsidR="42911850" w:rsidRDefault="42911850">
            <w:pPr>
              <w:rPr>
                <w:noProof/>
              </w:rPr>
            </w:pPr>
            <w:r w:rsidRPr="42911850">
              <w:rPr>
                <w:rFonts w:ascii="Calibri" w:eastAsia="Calibri" w:hAnsi="Calibri" w:cs="Calibri"/>
                <w:b/>
                <w:bCs/>
                <w:noProof/>
                <w:sz w:val="16"/>
                <w:szCs w:val="16"/>
                <w:u w:val="single"/>
              </w:rPr>
              <w:t>Scope ratione materiae</w:t>
            </w:r>
          </w:p>
          <w:p w14:paraId="4F97DA5F" w14:textId="22F8B7D8" w:rsidR="42911850" w:rsidRDefault="42911850">
            <w:pPr>
              <w:rPr>
                <w:noProof/>
              </w:rPr>
            </w:pPr>
            <w:r w:rsidRPr="42911850">
              <w:rPr>
                <w:rFonts w:ascii="Calibri" w:eastAsia="Calibri" w:hAnsi="Calibri" w:cs="Calibri"/>
                <w:noProof/>
                <w:sz w:val="18"/>
                <w:szCs w:val="18"/>
              </w:rPr>
              <w:t>1) Non-reporting of information or incorrect information</w:t>
            </w:r>
          </w:p>
          <w:p w14:paraId="05AD0091" w14:textId="4D6D3FA4" w:rsidR="42911850" w:rsidRDefault="42911850">
            <w:pPr>
              <w:rPr>
                <w:noProof/>
              </w:rPr>
            </w:pPr>
            <w:r w:rsidRPr="42911850">
              <w:rPr>
                <w:rFonts w:ascii="Calibri" w:eastAsia="Calibri" w:hAnsi="Calibri" w:cs="Calibri"/>
                <w:noProof/>
                <w:sz w:val="18"/>
                <w:szCs w:val="18"/>
              </w:rPr>
              <w:t xml:space="preserve"> </w:t>
            </w:r>
          </w:p>
          <w:p w14:paraId="248ECE69" w14:textId="0AC91E45" w:rsidR="42911850" w:rsidRDefault="42911850">
            <w:pPr>
              <w:rPr>
                <w:noProof/>
              </w:rPr>
            </w:pPr>
            <w:r w:rsidRPr="42911850">
              <w:rPr>
                <w:rFonts w:ascii="Calibri" w:eastAsia="Calibri" w:hAnsi="Calibri" w:cs="Calibri"/>
                <w:noProof/>
                <w:sz w:val="18"/>
                <w:szCs w:val="18"/>
              </w:rPr>
              <w:t xml:space="preserve"> </w:t>
            </w:r>
          </w:p>
          <w:p w14:paraId="0E1B9515" w14:textId="62A0F166" w:rsidR="42911850" w:rsidRDefault="42911850">
            <w:pPr>
              <w:rPr>
                <w:noProof/>
              </w:rPr>
            </w:pPr>
            <w:r w:rsidRPr="42911850">
              <w:rPr>
                <w:rFonts w:ascii="Calibri" w:eastAsia="Calibri" w:hAnsi="Calibri" w:cs="Calibri"/>
                <w:noProof/>
                <w:sz w:val="18"/>
                <w:szCs w:val="18"/>
              </w:rPr>
              <w:t xml:space="preserve"> </w:t>
            </w:r>
          </w:p>
          <w:p w14:paraId="7832AE57" w14:textId="0D83BB01" w:rsidR="42911850" w:rsidRDefault="42911850">
            <w:pPr>
              <w:rPr>
                <w:noProof/>
              </w:rPr>
            </w:pPr>
            <w:r w:rsidRPr="42911850">
              <w:rPr>
                <w:rFonts w:ascii="Calibri" w:eastAsia="Calibri" w:hAnsi="Calibri" w:cs="Calibri"/>
                <w:noProof/>
                <w:sz w:val="18"/>
                <w:szCs w:val="18"/>
              </w:rPr>
              <w:t>2) Opening a new account without adhering to the customer due diligence procedures</w:t>
            </w:r>
          </w:p>
          <w:p w14:paraId="67B0CD5D" w14:textId="3090A5C1" w:rsidR="42911850" w:rsidRDefault="42911850">
            <w:pPr>
              <w:rPr>
                <w:noProof/>
              </w:rPr>
            </w:pPr>
            <w:r w:rsidRPr="42911850">
              <w:rPr>
                <w:rFonts w:ascii="Calibri" w:eastAsia="Calibri" w:hAnsi="Calibri" w:cs="Calibri"/>
                <w:noProof/>
                <w:sz w:val="18"/>
                <w:szCs w:val="18"/>
              </w:rPr>
              <w:t>3) Not keeping the customer due diligence documentation</w:t>
            </w:r>
          </w:p>
          <w:p w14:paraId="69C37FD3" w14:textId="72836865" w:rsidR="42911850" w:rsidRDefault="42911850">
            <w:pPr>
              <w:rPr>
                <w:noProof/>
              </w:rPr>
            </w:pPr>
            <w:r w:rsidRPr="42911850">
              <w:rPr>
                <w:rFonts w:ascii="Calibri" w:eastAsia="Calibri" w:hAnsi="Calibri" w:cs="Calibri"/>
                <w:noProof/>
                <w:sz w:val="18"/>
                <w:szCs w:val="18"/>
              </w:rPr>
              <w:t>4) Not closing accounts after refusal by the account holder to provide self-certification or other information. Manipulating the IT system in order to hamper the aggregation of financial accounts of account holders</w:t>
            </w:r>
          </w:p>
          <w:p w14:paraId="5A16ECB5" w14:textId="55B563CA" w:rsidR="42911850" w:rsidRDefault="42911850">
            <w:pPr>
              <w:rPr>
                <w:noProof/>
              </w:rPr>
            </w:pPr>
            <w:r w:rsidRPr="42911850">
              <w:rPr>
                <w:rFonts w:ascii="Calibri" w:eastAsia="Calibri" w:hAnsi="Calibri" w:cs="Calibri"/>
                <w:noProof/>
                <w:sz w:val="18"/>
                <w:szCs w:val="18"/>
              </w:rPr>
              <w:t>5) Account Holder providing misleading self-certification or other misleading information</w:t>
            </w:r>
          </w:p>
          <w:p w14:paraId="61360379" w14:textId="343B2486" w:rsidR="42911850" w:rsidRDefault="42911850">
            <w:pPr>
              <w:rPr>
                <w:noProof/>
              </w:rPr>
            </w:pPr>
            <w:r w:rsidRPr="42911850">
              <w:rPr>
                <w:rFonts w:ascii="Calibri" w:eastAsia="Calibri" w:hAnsi="Calibri" w:cs="Calibri"/>
                <w:noProof/>
                <w:sz w:val="18"/>
                <w:szCs w:val="18"/>
              </w:rPr>
              <w:t xml:space="preserve"> </w:t>
            </w:r>
          </w:p>
          <w:p w14:paraId="784D04CE" w14:textId="64EEB8B5" w:rsidR="42911850" w:rsidRDefault="42911850">
            <w:pPr>
              <w:rPr>
                <w:noProof/>
              </w:rPr>
            </w:pPr>
            <w:r w:rsidRPr="42911850">
              <w:rPr>
                <w:rFonts w:ascii="Calibri" w:eastAsia="Calibri" w:hAnsi="Calibri" w:cs="Calibri"/>
                <w:b/>
                <w:bCs/>
                <w:noProof/>
                <w:sz w:val="16"/>
                <w:szCs w:val="16"/>
                <w:u w:val="single"/>
                <w:lang w:val="en-IE"/>
              </w:rPr>
              <w:t>Personal scope</w:t>
            </w:r>
          </w:p>
          <w:p w14:paraId="05704803" w14:textId="72234011" w:rsidR="42911850" w:rsidRDefault="42911850">
            <w:pPr>
              <w:rPr>
                <w:noProof/>
              </w:rPr>
            </w:pPr>
            <w:r w:rsidRPr="42911850">
              <w:rPr>
                <w:rFonts w:ascii="Calibri" w:eastAsia="Calibri" w:hAnsi="Calibri" w:cs="Calibri"/>
                <w:noProof/>
                <w:sz w:val="18"/>
                <w:szCs w:val="18"/>
              </w:rPr>
              <w:t>The fine for providing misleading self-certification or other information (point 5 above) applies to account holders (mostly natural persons)</w:t>
            </w:r>
          </w:p>
          <w:p w14:paraId="5ABC8894" w14:textId="7810CEDB" w:rsidR="42911850" w:rsidRDefault="42911850">
            <w:pPr>
              <w:rPr>
                <w:noProof/>
              </w:rPr>
            </w:pPr>
            <w:r w:rsidRPr="42911850">
              <w:rPr>
                <w:rFonts w:ascii="Calibri" w:eastAsia="Calibri" w:hAnsi="Calibri" w:cs="Calibri"/>
                <w:noProof/>
                <w:sz w:val="18"/>
                <w:szCs w:val="18"/>
              </w:rPr>
              <w:t>All other fines (points 1-4 above) apply to Reporting Financial Institutions (legal persons)</w:t>
            </w:r>
          </w:p>
          <w:p w14:paraId="214BE27B" w14:textId="0ED1C571" w:rsidR="42911850" w:rsidRDefault="42911850">
            <w:pPr>
              <w:rPr>
                <w:noProof/>
              </w:rPr>
            </w:pPr>
            <w:r w:rsidRPr="42911850">
              <w:rPr>
                <w:rFonts w:ascii="Calibri" w:eastAsia="Calibri" w:hAnsi="Calibri" w:cs="Calibri"/>
                <w:noProof/>
                <w:sz w:val="18"/>
                <w:szCs w:val="18"/>
              </w:rPr>
              <w:t xml:space="preserve"> </w:t>
            </w:r>
          </w:p>
          <w:p w14:paraId="7B2AF068" w14:textId="5465A3C5"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58A08460" w14:textId="65EF6FDD" w:rsidR="42911850" w:rsidRDefault="42911850">
            <w:pPr>
              <w:rPr>
                <w:noProof/>
              </w:rPr>
            </w:pPr>
            <w:r w:rsidRPr="42911850">
              <w:rPr>
                <w:rFonts w:ascii="Calibri" w:eastAsia="Calibri" w:hAnsi="Calibri" w:cs="Calibri"/>
                <w:noProof/>
                <w:sz w:val="16"/>
                <w:szCs w:val="16"/>
                <w:lang w:val="en-IE"/>
              </w:rPr>
              <w:t>Penalties 1) and 2), i.e. for non-provision of information or incorrect information and  for opening a new account without adhering to the customer due diligence procedures are per individual infringement and per each reportable account</w:t>
            </w:r>
          </w:p>
          <w:p w14:paraId="210A3B55" w14:textId="27B07959" w:rsidR="42911850" w:rsidRDefault="42911850" w:rsidP="00AE537F">
            <w:pPr>
              <w:spacing w:line="276" w:lineRule="auto"/>
              <w:rPr>
                <w:rFonts w:ascii="Calibri" w:eastAsia="Calibri" w:hAnsi="Calibri" w:cs="Calibri"/>
                <w:noProof/>
                <w:sz w:val="16"/>
                <w:szCs w:val="16"/>
                <w:lang w:val="en-IE"/>
              </w:rPr>
            </w:pPr>
            <w:r w:rsidRPr="42911850">
              <w:rPr>
                <w:rFonts w:ascii="Calibri" w:eastAsia="Calibri" w:hAnsi="Calibri" w:cs="Calibri"/>
                <w:noProof/>
                <w:sz w:val="16"/>
                <w:szCs w:val="16"/>
                <w:lang w:val="en-IE"/>
              </w:rPr>
              <w:t>Penalties 3) and 4) i.e. for not keeping the customer due diligence documentation and for not closing accounts after refusal by the account holder to provide self-certification or other information or manipulating the IT system in order to hamper the aggregation of financial accounts of account holders are cumulatively applicable for the financial institution as a whole</w:t>
            </w:r>
          </w:p>
          <w:p w14:paraId="6AC9EED9" w14:textId="5681BB8F" w:rsidR="42911850" w:rsidRDefault="42911850" w:rsidP="00AE537F">
            <w:pPr>
              <w:spacing w:line="276" w:lineRule="auto"/>
              <w:rPr>
                <w:rFonts w:ascii="Calibri" w:eastAsia="Calibri" w:hAnsi="Calibri" w:cs="Calibri"/>
                <w:noProof/>
                <w:sz w:val="16"/>
                <w:szCs w:val="16"/>
                <w:lang w:val="en-IE"/>
              </w:rPr>
            </w:pPr>
            <w:r w:rsidRPr="42911850">
              <w:rPr>
                <w:rFonts w:ascii="Calibri" w:eastAsia="Calibri" w:hAnsi="Calibri" w:cs="Calibri"/>
                <w:noProof/>
                <w:sz w:val="16"/>
                <w:szCs w:val="16"/>
                <w:lang w:val="en-IE"/>
              </w:rPr>
              <w:t xml:space="preserve">Penalty 5) for </w:t>
            </w:r>
            <w:r w:rsidRPr="42911850">
              <w:rPr>
                <w:rFonts w:ascii="Calibri" w:eastAsia="Calibri" w:hAnsi="Calibri" w:cs="Calibri"/>
                <w:noProof/>
                <w:sz w:val="16"/>
                <w:szCs w:val="16"/>
              </w:rPr>
              <w:t xml:space="preserve">providing misleading self-certification or other misleading information </w:t>
            </w:r>
            <w:r w:rsidRPr="42911850">
              <w:rPr>
                <w:rFonts w:ascii="Calibri" w:eastAsia="Calibri" w:hAnsi="Calibri" w:cs="Calibri"/>
                <w:noProof/>
                <w:sz w:val="16"/>
                <w:szCs w:val="16"/>
                <w:lang w:val="en-IE"/>
              </w:rPr>
              <w:t>is per individual infringement and per each reportable account of the same account holder</w:t>
            </w:r>
          </w:p>
        </w:tc>
        <w:tc>
          <w:tcPr>
            <w:tcW w:w="1757" w:type="dxa"/>
            <w:tcBorders>
              <w:top w:val="single" w:sz="8" w:space="0" w:color="auto"/>
              <w:left w:val="single" w:sz="8" w:space="0" w:color="auto"/>
              <w:bottom w:val="single" w:sz="8" w:space="0" w:color="auto"/>
              <w:right w:val="single" w:sz="8" w:space="0" w:color="auto"/>
            </w:tcBorders>
          </w:tcPr>
          <w:p w14:paraId="6717EC0D" w14:textId="6FE79232" w:rsidR="42911850" w:rsidRDefault="42911850">
            <w:pPr>
              <w:rPr>
                <w:noProof/>
              </w:rPr>
            </w:pPr>
            <w:r w:rsidRPr="42911850">
              <w:rPr>
                <w:rFonts w:ascii="Calibri" w:eastAsia="Calibri" w:hAnsi="Calibri" w:cs="Calibri"/>
                <w:noProof/>
                <w:sz w:val="16"/>
                <w:szCs w:val="16"/>
              </w:rPr>
              <w:t xml:space="preserve"> </w:t>
            </w:r>
          </w:p>
          <w:p w14:paraId="7D39BE48" w14:textId="394306C5"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p w14:paraId="71BF0AC2" w14:textId="331834B6" w:rsidR="42911850" w:rsidRDefault="42911850">
            <w:pPr>
              <w:rPr>
                <w:noProof/>
              </w:rPr>
            </w:pPr>
            <w:r w:rsidRPr="42911850">
              <w:rPr>
                <w:rFonts w:ascii="Calibri" w:eastAsia="Calibri" w:hAnsi="Calibri" w:cs="Calibri"/>
                <w:noProof/>
                <w:sz w:val="16"/>
                <w:szCs w:val="16"/>
              </w:rPr>
              <w:t xml:space="preserve"> </w:t>
            </w:r>
          </w:p>
          <w:p w14:paraId="009181F5" w14:textId="7F610957" w:rsidR="42911850" w:rsidRDefault="42911850">
            <w:pPr>
              <w:rPr>
                <w:noProof/>
              </w:rPr>
            </w:pPr>
            <w:r w:rsidRPr="42911850">
              <w:rPr>
                <w:rFonts w:ascii="Calibri" w:eastAsia="Calibri" w:hAnsi="Calibri" w:cs="Calibri"/>
                <w:noProof/>
                <w:sz w:val="16"/>
                <w:szCs w:val="16"/>
              </w:rPr>
              <w:t xml:space="preserve"> </w:t>
            </w:r>
          </w:p>
          <w:p w14:paraId="6747B286" w14:textId="4DAE06AC" w:rsidR="42911850" w:rsidRDefault="42911850">
            <w:pPr>
              <w:rPr>
                <w:noProof/>
              </w:rPr>
            </w:pPr>
            <w:r w:rsidRPr="42911850">
              <w:rPr>
                <w:rFonts w:ascii="Calibri" w:eastAsia="Calibri" w:hAnsi="Calibri" w:cs="Calibri"/>
                <w:noProof/>
                <w:sz w:val="16"/>
                <w:szCs w:val="16"/>
              </w:rPr>
              <w:t xml:space="preserve"> </w:t>
            </w:r>
          </w:p>
          <w:p w14:paraId="22B8E214" w14:textId="4F74EF99"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p w14:paraId="7D59A0DC" w14:textId="488CBAC2" w:rsidR="42911850" w:rsidRDefault="42911850">
            <w:pPr>
              <w:rPr>
                <w:noProof/>
              </w:rPr>
            </w:pPr>
            <w:r w:rsidRPr="42911850">
              <w:rPr>
                <w:rFonts w:ascii="Calibri" w:eastAsia="Calibri" w:hAnsi="Calibri" w:cs="Calibri"/>
                <w:noProof/>
                <w:sz w:val="16"/>
                <w:szCs w:val="16"/>
              </w:rPr>
              <w:t xml:space="preserve"> </w:t>
            </w:r>
          </w:p>
          <w:p w14:paraId="1E3E7916" w14:textId="54B5BB46"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p w14:paraId="1CB5D331" w14:textId="75789A00"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p w14:paraId="7A9F9462" w14:textId="02B432E0" w:rsidR="42911850" w:rsidRDefault="42911850">
            <w:pPr>
              <w:rPr>
                <w:noProof/>
              </w:rPr>
            </w:pPr>
            <w:r w:rsidRPr="42911850">
              <w:rPr>
                <w:rFonts w:ascii="Calibri" w:eastAsia="Calibri" w:hAnsi="Calibri" w:cs="Calibri"/>
                <w:noProof/>
                <w:sz w:val="16"/>
                <w:szCs w:val="16"/>
              </w:rPr>
              <w:t xml:space="preserve"> </w:t>
            </w:r>
          </w:p>
          <w:p w14:paraId="03C3E02D" w14:textId="6B43EC0F" w:rsidR="42911850" w:rsidRDefault="42911850">
            <w:pPr>
              <w:rPr>
                <w:noProof/>
              </w:rPr>
            </w:pPr>
            <w:r w:rsidRPr="42911850">
              <w:rPr>
                <w:rFonts w:ascii="Calibri" w:eastAsia="Calibri" w:hAnsi="Calibri" w:cs="Calibri"/>
                <w:noProof/>
                <w:sz w:val="16"/>
                <w:szCs w:val="16"/>
              </w:rPr>
              <w:t xml:space="preserve"> </w:t>
            </w:r>
          </w:p>
          <w:p w14:paraId="365B9E94" w14:textId="7491789C"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p w14:paraId="59CA04DE" w14:textId="7F4E1355" w:rsidR="42911850" w:rsidRDefault="42911850">
            <w:pPr>
              <w:rPr>
                <w:noProof/>
              </w:rPr>
            </w:pPr>
            <w:r w:rsidRPr="42911850">
              <w:rPr>
                <w:rFonts w:ascii="Calibri" w:eastAsia="Calibri" w:hAnsi="Calibri" w:cs="Calibri"/>
                <w:noProof/>
                <w:sz w:val="16"/>
                <w:szCs w:val="16"/>
              </w:rPr>
              <w:t xml:space="preserve"> </w:t>
            </w:r>
          </w:p>
          <w:p w14:paraId="7F733724" w14:textId="733E0056" w:rsidR="42911850" w:rsidRDefault="42911850">
            <w:pPr>
              <w:rPr>
                <w:noProof/>
              </w:rPr>
            </w:pPr>
            <w:r w:rsidRPr="42911850">
              <w:rPr>
                <w:rFonts w:ascii="Calibri" w:eastAsia="Calibri" w:hAnsi="Calibri" w:cs="Calibri"/>
                <w:noProof/>
                <w:sz w:val="16"/>
                <w:szCs w:val="16"/>
              </w:rPr>
              <w:t xml:space="preserve"> </w:t>
            </w:r>
          </w:p>
        </w:tc>
        <w:tc>
          <w:tcPr>
            <w:tcW w:w="2175" w:type="dxa"/>
            <w:tcBorders>
              <w:top w:val="single" w:sz="8" w:space="0" w:color="auto"/>
              <w:left w:val="single" w:sz="8" w:space="0" w:color="auto"/>
              <w:bottom w:val="single" w:sz="8" w:space="0" w:color="auto"/>
              <w:right w:val="single" w:sz="8" w:space="0" w:color="auto"/>
            </w:tcBorders>
          </w:tcPr>
          <w:p w14:paraId="7EC73D98" w14:textId="3278D011" w:rsidR="42911850" w:rsidRDefault="42911850">
            <w:pPr>
              <w:rPr>
                <w:noProof/>
              </w:rPr>
            </w:pPr>
            <w:r w:rsidRPr="42911850">
              <w:rPr>
                <w:rFonts w:ascii="Calibri" w:eastAsia="Calibri" w:hAnsi="Calibri" w:cs="Calibri"/>
                <w:noProof/>
                <w:sz w:val="18"/>
                <w:szCs w:val="18"/>
              </w:rPr>
              <w:t xml:space="preserve"> </w:t>
            </w:r>
          </w:p>
          <w:p w14:paraId="6FBEEDDA" w14:textId="4D5CAEBB"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130 per reportable account</w:t>
            </w:r>
          </w:p>
          <w:p w14:paraId="2818F5D7" w14:textId="4928C64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260 per reportable account for repeat violation</w:t>
            </w:r>
          </w:p>
          <w:p w14:paraId="048E4E18" w14:textId="68720B66"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0B9CA35" w14:textId="407FC71E"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051D0B4" w14:textId="5DEF3ED3" w:rsidR="42911850" w:rsidRDefault="42911850">
            <w:pPr>
              <w:rPr>
                <w:noProof/>
              </w:rPr>
            </w:pPr>
            <w:r w:rsidRPr="42911850">
              <w:rPr>
                <w:rFonts w:ascii="Calibri" w:eastAsia="Calibri" w:hAnsi="Calibri" w:cs="Calibri"/>
                <w:noProof/>
                <w:sz w:val="16"/>
                <w:szCs w:val="16"/>
              </w:rPr>
              <w:t>EUR 500 per reportable account</w:t>
            </w:r>
          </w:p>
          <w:p w14:paraId="42B68837" w14:textId="548F9C99" w:rsidR="42911850" w:rsidRDefault="42911850">
            <w:pPr>
              <w:rPr>
                <w:noProof/>
              </w:rPr>
            </w:pPr>
            <w:r w:rsidRPr="42911850">
              <w:rPr>
                <w:rFonts w:ascii="Calibri" w:eastAsia="Calibri" w:hAnsi="Calibri" w:cs="Calibri"/>
                <w:noProof/>
                <w:sz w:val="16"/>
                <w:szCs w:val="16"/>
              </w:rPr>
              <w:t xml:space="preserve"> </w:t>
            </w:r>
          </w:p>
          <w:p w14:paraId="5D3B68DB" w14:textId="512FF007" w:rsidR="42911850" w:rsidRDefault="42911850">
            <w:pPr>
              <w:rPr>
                <w:noProof/>
              </w:rPr>
            </w:pPr>
            <w:r w:rsidRPr="42911850">
              <w:rPr>
                <w:rFonts w:ascii="Calibri" w:eastAsia="Calibri" w:hAnsi="Calibri" w:cs="Calibri"/>
                <w:noProof/>
                <w:sz w:val="16"/>
                <w:szCs w:val="16"/>
              </w:rPr>
              <w:t xml:space="preserve">EUR 1000 </w:t>
            </w:r>
          </w:p>
          <w:p w14:paraId="43817D3A" w14:textId="7945BF78" w:rsidR="42911850" w:rsidRDefault="42911850">
            <w:pPr>
              <w:rPr>
                <w:noProof/>
              </w:rPr>
            </w:pPr>
            <w:r w:rsidRPr="42911850">
              <w:rPr>
                <w:rFonts w:ascii="Calibri" w:eastAsia="Calibri" w:hAnsi="Calibri" w:cs="Calibri"/>
                <w:noProof/>
                <w:sz w:val="16"/>
                <w:szCs w:val="16"/>
              </w:rPr>
              <w:t>EUR 1000</w:t>
            </w:r>
          </w:p>
          <w:p w14:paraId="5380421F" w14:textId="433D2E8B" w:rsidR="42911850" w:rsidRDefault="42911850">
            <w:pPr>
              <w:rPr>
                <w:noProof/>
              </w:rPr>
            </w:pPr>
            <w:r w:rsidRPr="42911850">
              <w:rPr>
                <w:rFonts w:ascii="Calibri" w:eastAsia="Calibri" w:hAnsi="Calibri" w:cs="Calibri"/>
                <w:noProof/>
                <w:sz w:val="16"/>
                <w:szCs w:val="16"/>
              </w:rPr>
              <w:t xml:space="preserve"> </w:t>
            </w:r>
          </w:p>
          <w:p w14:paraId="1D4F2FBE" w14:textId="57DECB7F" w:rsidR="42911850" w:rsidRDefault="42911850">
            <w:pPr>
              <w:rPr>
                <w:noProof/>
              </w:rPr>
            </w:pPr>
            <w:r w:rsidRPr="42911850">
              <w:rPr>
                <w:rFonts w:ascii="Calibri" w:eastAsia="Calibri" w:hAnsi="Calibri" w:cs="Calibri"/>
                <w:noProof/>
                <w:sz w:val="16"/>
                <w:szCs w:val="16"/>
              </w:rPr>
              <w:t xml:space="preserve"> </w:t>
            </w:r>
          </w:p>
          <w:p w14:paraId="2ED35D3E" w14:textId="64BBE3FC" w:rsidR="42911850" w:rsidRDefault="42911850">
            <w:pPr>
              <w:rPr>
                <w:noProof/>
              </w:rPr>
            </w:pPr>
            <w:r w:rsidRPr="42911850">
              <w:rPr>
                <w:rFonts w:ascii="Calibri" w:eastAsia="Calibri" w:hAnsi="Calibri" w:cs="Calibri"/>
                <w:noProof/>
                <w:sz w:val="16"/>
                <w:szCs w:val="16"/>
              </w:rPr>
              <w:t>EUR 500 per reportable account (outside of criminal sanctions, if applicable)</w:t>
            </w:r>
          </w:p>
          <w:p w14:paraId="2A82AE80" w14:textId="4E616302" w:rsidR="42911850" w:rsidRDefault="42911850">
            <w:pPr>
              <w:rPr>
                <w:noProof/>
              </w:rPr>
            </w:pPr>
            <w:r w:rsidRPr="42911850">
              <w:rPr>
                <w:rFonts w:ascii="Calibri" w:eastAsia="Calibri" w:hAnsi="Calibri" w:cs="Calibri"/>
                <w:noProof/>
                <w:sz w:val="16"/>
                <w:szCs w:val="16"/>
              </w:rPr>
              <w:t xml:space="preserve"> </w:t>
            </w:r>
          </w:p>
        </w:tc>
      </w:tr>
      <w:tr w:rsidR="42911850" w14:paraId="79CF8AAC" w14:textId="77777777" w:rsidTr="42911850">
        <w:trPr>
          <w:trHeight w:val="45"/>
        </w:trPr>
        <w:tc>
          <w:tcPr>
            <w:tcW w:w="638" w:type="dxa"/>
            <w:vMerge/>
            <w:tcBorders>
              <w:left w:val="single" w:sz="0" w:space="0" w:color="auto"/>
              <w:right w:val="single" w:sz="0" w:space="0" w:color="auto"/>
            </w:tcBorders>
            <w:vAlign w:val="center"/>
          </w:tcPr>
          <w:p w14:paraId="7F4A4ED6"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42C93886" w14:textId="78EFD10C"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475FDD23" w14:textId="60E6A29E" w:rsidR="42911850" w:rsidRDefault="42911850">
            <w:pPr>
              <w:rPr>
                <w:noProof/>
              </w:rPr>
            </w:pPr>
            <w:r w:rsidRPr="42911850">
              <w:rPr>
                <w:rFonts w:ascii="Calibri" w:eastAsia="Calibri" w:hAnsi="Calibri" w:cs="Calibri"/>
                <w:b/>
                <w:bCs/>
                <w:noProof/>
                <w:sz w:val="16"/>
                <w:szCs w:val="16"/>
                <w:u w:val="single"/>
              </w:rPr>
              <w:t>Scope ratione materiae</w:t>
            </w:r>
          </w:p>
          <w:p w14:paraId="690AE151" w14:textId="6E380C21"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1) Non-reporting of information under CbCR</w:t>
            </w:r>
          </w:p>
          <w:p w14:paraId="54D2905E" w14:textId="024AD952"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C088186" w14:textId="3EBB0F59"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42828580" w14:textId="679B0E4A"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2) Incomplete or incorrect reporting under CbCR</w:t>
            </w:r>
          </w:p>
          <w:p w14:paraId="1FBA346B" w14:textId="2124D2B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(applies also in case the ultimate parent company does not provide the necessary information)</w:t>
            </w:r>
          </w:p>
          <w:p w14:paraId="6FFFC563" w14:textId="3789D01E"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BE88200" w14:textId="5FF4636A"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3) Failure of the resident constituent entity to notify the tax administration that the ultimate parent entity refused to provide the information</w:t>
            </w:r>
          </w:p>
          <w:p w14:paraId="5C3C2CF4" w14:textId="265151C3"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8F73BF0" w14:textId="437BBBC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6AD58A2" w14:textId="4F8EBDC0"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3) Failure of the resident constituent entity to notify the tax administration whether it is an ultimate parent entity, a surrogate parent entity or a constituent entity</w:t>
            </w:r>
          </w:p>
          <w:p w14:paraId="2206260F" w14:textId="5A87632E"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A6F74D5" w14:textId="5CA4E62D"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65E24FA" w14:textId="502AA09A" w:rsidR="42911850" w:rsidRDefault="42911850">
            <w:pPr>
              <w:rPr>
                <w:noProof/>
              </w:rPr>
            </w:pPr>
            <w:r w:rsidRPr="42911850">
              <w:rPr>
                <w:rFonts w:ascii="Calibri" w:eastAsia="Calibri" w:hAnsi="Calibri" w:cs="Calibri"/>
                <w:b/>
                <w:bCs/>
                <w:noProof/>
                <w:sz w:val="16"/>
                <w:szCs w:val="16"/>
                <w:u w:val="single"/>
                <w:lang w:val="en-IE"/>
              </w:rPr>
              <w:t>Personal scope</w:t>
            </w:r>
          </w:p>
          <w:p w14:paraId="5F2A913F" w14:textId="1125CCD6" w:rsidR="42911850" w:rsidRDefault="42911850">
            <w:pPr>
              <w:rPr>
                <w:noProof/>
              </w:rPr>
            </w:pPr>
            <w:r w:rsidRPr="42911850">
              <w:rPr>
                <w:rFonts w:ascii="Calibri" w:eastAsia="Calibri" w:hAnsi="Calibri" w:cs="Calibri"/>
                <w:noProof/>
                <w:sz w:val="18"/>
                <w:szCs w:val="18"/>
              </w:rPr>
              <w:t>The fines apply to constituent entities, which are legal entities.</w:t>
            </w:r>
          </w:p>
          <w:p w14:paraId="7804B19B" w14:textId="1EC8429E" w:rsidR="42911850" w:rsidRDefault="42911850">
            <w:pPr>
              <w:rPr>
                <w:noProof/>
              </w:rPr>
            </w:pPr>
            <w:r w:rsidRPr="42911850">
              <w:rPr>
                <w:rFonts w:ascii="Calibri" w:eastAsia="Calibri" w:hAnsi="Calibri" w:cs="Calibri"/>
                <w:noProof/>
                <w:sz w:val="18"/>
                <w:szCs w:val="18"/>
              </w:rPr>
              <w:t xml:space="preserve"> </w:t>
            </w:r>
          </w:p>
          <w:p w14:paraId="53484216" w14:textId="436B1BF6"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3795C410" w14:textId="79EDF062" w:rsidR="42911850" w:rsidRDefault="42911850" w:rsidP="00AE537F">
            <w:pPr>
              <w:spacing w:line="276" w:lineRule="auto"/>
              <w:rPr>
                <w:rFonts w:ascii="Calibri" w:eastAsia="Calibri" w:hAnsi="Calibri" w:cs="Calibri"/>
                <w:noProof/>
                <w:sz w:val="16"/>
                <w:szCs w:val="16"/>
                <w:lang w:val="en-IE"/>
              </w:rPr>
            </w:pPr>
            <w:r w:rsidRPr="42911850">
              <w:rPr>
                <w:rFonts w:ascii="Calibri" w:eastAsia="Calibri" w:hAnsi="Calibri" w:cs="Calibri"/>
                <w:noProof/>
                <w:sz w:val="16"/>
                <w:szCs w:val="16"/>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4D50BFD1" w14:textId="4C0B71F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42055624" w14:textId="0BEEA4E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EUR 50 000 </w:t>
            </w:r>
          </w:p>
          <w:p w14:paraId="2CACE444" w14:textId="67FCF401"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100 000 in repeat violations</w:t>
            </w:r>
          </w:p>
          <w:p w14:paraId="796F63BB" w14:textId="79ACD351"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689A033F" w14:textId="6956584F"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25 000</w:t>
            </w:r>
          </w:p>
          <w:p w14:paraId="4A354318" w14:textId="7A2B15CF"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50 000 in repeat violations</w:t>
            </w:r>
          </w:p>
          <w:p w14:paraId="394C76F8" w14:textId="072AD787"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2A7E5B8" w14:textId="504C87F4"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4FA4B27F" w14:textId="2E938D92"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Fixed EUR 5000</w:t>
            </w:r>
          </w:p>
          <w:p w14:paraId="1B210F30" w14:textId="197F133B"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Fixed EUR 7500 in repeat violations</w:t>
            </w:r>
          </w:p>
          <w:p w14:paraId="396E6206" w14:textId="7D918F83"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2877CC0" w14:textId="5F598C9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25 000</w:t>
            </w:r>
          </w:p>
          <w:p w14:paraId="773F327F" w14:textId="54319698"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50 000 in repeat violations</w:t>
            </w:r>
          </w:p>
          <w:p w14:paraId="5C66751A" w14:textId="148363D9"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tc>
        <w:tc>
          <w:tcPr>
            <w:tcW w:w="2175" w:type="dxa"/>
            <w:tcBorders>
              <w:top w:val="single" w:sz="8" w:space="0" w:color="auto"/>
              <w:left w:val="single" w:sz="8" w:space="0" w:color="auto"/>
              <w:bottom w:val="single" w:sz="8" w:space="0" w:color="auto"/>
              <w:right w:val="single" w:sz="8" w:space="0" w:color="auto"/>
            </w:tcBorders>
          </w:tcPr>
          <w:p w14:paraId="3A9E71D6" w14:textId="722637D5" w:rsidR="42911850" w:rsidRDefault="42911850">
            <w:pPr>
              <w:rPr>
                <w:noProof/>
              </w:rPr>
            </w:pPr>
            <w:r w:rsidRPr="42911850">
              <w:rPr>
                <w:rFonts w:ascii="Calibri" w:eastAsia="Calibri" w:hAnsi="Calibri" w:cs="Calibri"/>
                <w:noProof/>
                <w:sz w:val="18"/>
                <w:szCs w:val="18"/>
              </w:rPr>
              <w:t xml:space="preserve"> </w:t>
            </w:r>
          </w:p>
          <w:p w14:paraId="078F511D" w14:textId="15AEAE54"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EUR 100 000 </w:t>
            </w:r>
          </w:p>
          <w:p w14:paraId="6DC2D05F" w14:textId="7DB6FB92"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150 000 in repeat violations</w:t>
            </w:r>
          </w:p>
          <w:p w14:paraId="40CC40D9" w14:textId="78736403"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33A576E" w14:textId="19BAA090"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75 000</w:t>
            </w:r>
          </w:p>
          <w:p w14:paraId="315DF0FC" w14:textId="06975A48"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125 000 in repeat violations</w:t>
            </w:r>
          </w:p>
          <w:p w14:paraId="66D576AE" w14:textId="7A671EDD"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471AF64F" w14:textId="6517DE14"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31452403" w14:textId="542EB9F3"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Fixed EUR 5000</w:t>
            </w:r>
          </w:p>
          <w:p w14:paraId="69B49243" w14:textId="2B209CB9"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Fixed EUR 7500 in repeat violations</w:t>
            </w:r>
          </w:p>
          <w:p w14:paraId="3BA74A65" w14:textId="112737FD"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52DBF5E" w14:textId="6E35DF07"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75 000</w:t>
            </w:r>
          </w:p>
          <w:p w14:paraId="33DDF3DA" w14:textId="3E772524"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100 000 in repeat violations</w:t>
            </w:r>
          </w:p>
          <w:p w14:paraId="654F7879" w14:textId="48D87B0E"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EA74C17" w14:textId="4605B01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tc>
      </w:tr>
      <w:tr w:rsidR="42911850" w14:paraId="68FDBE88"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1380BFE7"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67C0436C" w14:textId="45C419F6"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3421A8B2" w14:textId="5A2A7BE4" w:rsidR="42911850" w:rsidRDefault="42911850" w:rsidP="00AE537F">
            <w:pPr>
              <w:spacing w:line="276" w:lineRule="auto"/>
              <w:rPr>
                <w:rFonts w:ascii="Calibri" w:eastAsia="Calibri" w:hAnsi="Calibri" w:cs="Calibri"/>
                <w:b/>
                <w:bCs/>
                <w:noProof/>
                <w:sz w:val="16"/>
                <w:szCs w:val="16"/>
                <w:u w:val="single"/>
              </w:rPr>
            </w:pPr>
            <w:r w:rsidRPr="42911850">
              <w:rPr>
                <w:rFonts w:ascii="Calibri" w:eastAsia="Calibri" w:hAnsi="Calibri" w:cs="Calibri"/>
                <w:b/>
                <w:bCs/>
                <w:noProof/>
                <w:sz w:val="16"/>
                <w:szCs w:val="16"/>
                <w:u w:val="single"/>
              </w:rPr>
              <w:t>Scope ratione materiae</w:t>
            </w:r>
          </w:p>
          <w:p w14:paraId="7DDF0296" w14:textId="603BE58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1) Non-reporting on an arrangement by intermediary or by relevant taxpayer</w:t>
            </w:r>
          </w:p>
          <w:p w14:paraId="385D590B" w14:textId="6B4259B4" w:rsidR="42911850" w:rsidRDefault="42911850">
            <w:pPr>
              <w:rPr>
                <w:noProof/>
              </w:rPr>
            </w:pPr>
            <w:r w:rsidRPr="42911850">
              <w:rPr>
                <w:rFonts w:ascii="Calibri" w:eastAsia="Calibri" w:hAnsi="Calibri" w:cs="Calibri"/>
                <w:noProof/>
                <w:sz w:val="18"/>
                <w:szCs w:val="18"/>
              </w:rPr>
              <w:t xml:space="preserve"> </w:t>
            </w:r>
          </w:p>
          <w:p w14:paraId="753E7FAC" w14:textId="768FBC75" w:rsidR="42911850" w:rsidRDefault="42911850">
            <w:pPr>
              <w:rPr>
                <w:noProof/>
              </w:rPr>
            </w:pPr>
            <w:r w:rsidRPr="42911850">
              <w:rPr>
                <w:rFonts w:ascii="Calibri" w:eastAsia="Calibri" w:hAnsi="Calibri" w:cs="Calibri"/>
                <w:noProof/>
                <w:sz w:val="18"/>
                <w:szCs w:val="18"/>
              </w:rPr>
              <w:t xml:space="preserve"> </w:t>
            </w:r>
          </w:p>
          <w:p w14:paraId="5787E726" w14:textId="7A7657D8" w:rsidR="42911850" w:rsidRDefault="42911850">
            <w:pPr>
              <w:rPr>
                <w:noProof/>
              </w:rPr>
            </w:pPr>
            <w:r w:rsidRPr="42911850">
              <w:rPr>
                <w:rFonts w:ascii="Calibri" w:eastAsia="Calibri" w:hAnsi="Calibri" w:cs="Calibri"/>
                <w:noProof/>
                <w:sz w:val="18"/>
                <w:szCs w:val="18"/>
              </w:rPr>
              <w:t xml:space="preserve"> </w:t>
            </w:r>
          </w:p>
          <w:p w14:paraId="2A00D2EA" w14:textId="456640E3" w:rsidR="42911850" w:rsidRDefault="42911850">
            <w:pPr>
              <w:rPr>
                <w:noProof/>
              </w:rPr>
            </w:pPr>
            <w:r w:rsidRPr="42911850">
              <w:rPr>
                <w:rFonts w:ascii="Calibri" w:eastAsia="Calibri" w:hAnsi="Calibri" w:cs="Calibri"/>
                <w:noProof/>
                <w:sz w:val="18"/>
                <w:szCs w:val="18"/>
              </w:rPr>
              <w:t xml:space="preserve"> </w:t>
            </w:r>
          </w:p>
          <w:p w14:paraId="3C5C1FF3" w14:textId="4EDB999B" w:rsidR="42911850" w:rsidRDefault="42911850">
            <w:pPr>
              <w:rPr>
                <w:noProof/>
              </w:rPr>
            </w:pPr>
            <w:r w:rsidRPr="42911850">
              <w:rPr>
                <w:rFonts w:ascii="Calibri" w:eastAsia="Calibri" w:hAnsi="Calibri" w:cs="Calibri"/>
                <w:noProof/>
                <w:sz w:val="18"/>
                <w:szCs w:val="18"/>
              </w:rPr>
              <w:t xml:space="preserve"> </w:t>
            </w:r>
          </w:p>
          <w:p w14:paraId="618F00E8" w14:textId="19527EB9" w:rsidR="42911850" w:rsidRDefault="42911850">
            <w:pPr>
              <w:rPr>
                <w:noProof/>
              </w:rPr>
            </w:pPr>
            <w:r w:rsidRPr="42911850">
              <w:rPr>
                <w:rFonts w:ascii="Calibri" w:eastAsia="Calibri" w:hAnsi="Calibri" w:cs="Calibri"/>
                <w:noProof/>
                <w:sz w:val="18"/>
                <w:szCs w:val="18"/>
              </w:rPr>
              <w:t xml:space="preserve"> </w:t>
            </w:r>
          </w:p>
          <w:p w14:paraId="5AD0EA03" w14:textId="2E3BA171" w:rsidR="42911850" w:rsidRDefault="42911850">
            <w:pPr>
              <w:rPr>
                <w:noProof/>
              </w:rPr>
            </w:pPr>
            <w:r w:rsidRPr="42911850">
              <w:rPr>
                <w:rFonts w:ascii="Calibri" w:eastAsia="Calibri" w:hAnsi="Calibri" w:cs="Calibri"/>
                <w:noProof/>
                <w:sz w:val="18"/>
                <w:szCs w:val="18"/>
              </w:rPr>
              <w:t>2) Incomplete or incorrect reporting on an arrangement by intermediary or by relevant taxpayer</w:t>
            </w:r>
          </w:p>
          <w:p w14:paraId="67F5D9F6" w14:textId="54555FD1" w:rsidR="42911850" w:rsidRDefault="42911850">
            <w:pPr>
              <w:rPr>
                <w:noProof/>
              </w:rPr>
            </w:pPr>
            <w:r w:rsidRPr="42911850">
              <w:rPr>
                <w:rFonts w:ascii="Calibri" w:eastAsia="Calibri" w:hAnsi="Calibri" w:cs="Calibri"/>
                <w:noProof/>
                <w:sz w:val="18"/>
                <w:szCs w:val="18"/>
              </w:rPr>
              <w:t xml:space="preserve"> </w:t>
            </w:r>
          </w:p>
          <w:p w14:paraId="1533A643" w14:textId="0127445E" w:rsidR="42911850" w:rsidRDefault="42911850">
            <w:pPr>
              <w:rPr>
                <w:noProof/>
              </w:rPr>
            </w:pPr>
            <w:r w:rsidRPr="42911850">
              <w:rPr>
                <w:rFonts w:ascii="Calibri" w:eastAsia="Calibri" w:hAnsi="Calibri" w:cs="Calibri"/>
                <w:noProof/>
                <w:sz w:val="18"/>
                <w:szCs w:val="18"/>
              </w:rPr>
              <w:t xml:space="preserve"> </w:t>
            </w:r>
          </w:p>
          <w:p w14:paraId="2AF55B39" w14:textId="19A18B03" w:rsidR="42911850" w:rsidRDefault="42911850">
            <w:pPr>
              <w:rPr>
                <w:noProof/>
              </w:rPr>
            </w:pPr>
            <w:r w:rsidRPr="42911850">
              <w:rPr>
                <w:rFonts w:ascii="Calibri" w:eastAsia="Calibri" w:hAnsi="Calibri" w:cs="Calibri"/>
                <w:noProof/>
                <w:sz w:val="18"/>
                <w:szCs w:val="18"/>
              </w:rPr>
              <w:t xml:space="preserve"> </w:t>
            </w:r>
          </w:p>
          <w:p w14:paraId="18CE2605" w14:textId="7327A646" w:rsidR="42911850" w:rsidRDefault="42911850">
            <w:pPr>
              <w:rPr>
                <w:noProof/>
              </w:rPr>
            </w:pPr>
            <w:r w:rsidRPr="42911850">
              <w:rPr>
                <w:rFonts w:ascii="Calibri" w:eastAsia="Calibri" w:hAnsi="Calibri" w:cs="Calibri"/>
                <w:noProof/>
                <w:sz w:val="18"/>
                <w:szCs w:val="18"/>
              </w:rPr>
              <w:t xml:space="preserve"> </w:t>
            </w:r>
          </w:p>
          <w:p w14:paraId="60F4895F" w14:textId="13A4504B" w:rsidR="42911850" w:rsidRDefault="42911850">
            <w:pPr>
              <w:rPr>
                <w:noProof/>
              </w:rPr>
            </w:pPr>
            <w:r w:rsidRPr="42911850">
              <w:rPr>
                <w:rFonts w:ascii="Calibri" w:eastAsia="Calibri" w:hAnsi="Calibri" w:cs="Calibri"/>
                <w:noProof/>
                <w:sz w:val="18"/>
                <w:szCs w:val="18"/>
              </w:rPr>
              <w:t>3) Intermediary using the legal professional privilege waiver and failing to notify other intermediaries or the relevant taxpayer</w:t>
            </w:r>
          </w:p>
          <w:p w14:paraId="4DEBAE21" w14:textId="6CFC1645" w:rsidR="42911850" w:rsidRDefault="42911850">
            <w:pPr>
              <w:rPr>
                <w:noProof/>
              </w:rPr>
            </w:pPr>
            <w:r w:rsidRPr="42911850">
              <w:rPr>
                <w:rFonts w:ascii="Calibri" w:eastAsia="Calibri" w:hAnsi="Calibri" w:cs="Calibri"/>
                <w:noProof/>
                <w:sz w:val="18"/>
                <w:szCs w:val="18"/>
              </w:rPr>
              <w:t xml:space="preserve"> </w:t>
            </w:r>
          </w:p>
          <w:p w14:paraId="62090E46" w14:textId="032CE35F" w:rsidR="42911850" w:rsidRDefault="42911850">
            <w:pPr>
              <w:rPr>
                <w:noProof/>
              </w:rPr>
            </w:pPr>
            <w:r w:rsidRPr="42911850">
              <w:rPr>
                <w:rFonts w:ascii="Calibri" w:eastAsia="Calibri" w:hAnsi="Calibri" w:cs="Calibri"/>
                <w:noProof/>
                <w:sz w:val="18"/>
                <w:szCs w:val="18"/>
              </w:rPr>
              <w:t xml:space="preserve"> </w:t>
            </w:r>
          </w:p>
          <w:p w14:paraId="7B57A4CB" w14:textId="4164D3E7" w:rsidR="42911850" w:rsidRDefault="42911850">
            <w:pPr>
              <w:rPr>
                <w:noProof/>
              </w:rPr>
            </w:pPr>
            <w:r w:rsidRPr="42911850">
              <w:rPr>
                <w:rFonts w:ascii="Calibri" w:eastAsia="Calibri" w:hAnsi="Calibri" w:cs="Calibri"/>
                <w:noProof/>
                <w:sz w:val="18"/>
                <w:szCs w:val="18"/>
              </w:rPr>
              <w:t xml:space="preserve"> </w:t>
            </w:r>
          </w:p>
          <w:p w14:paraId="43E30BEA" w14:textId="4AD22F0B" w:rsidR="42911850" w:rsidRDefault="42911850">
            <w:pPr>
              <w:rPr>
                <w:noProof/>
              </w:rPr>
            </w:pPr>
            <w:r w:rsidRPr="42911850">
              <w:rPr>
                <w:rFonts w:ascii="Calibri" w:eastAsia="Calibri" w:hAnsi="Calibri" w:cs="Calibri"/>
                <w:noProof/>
                <w:sz w:val="18"/>
                <w:szCs w:val="18"/>
              </w:rPr>
              <w:t xml:space="preserve"> </w:t>
            </w:r>
          </w:p>
          <w:p w14:paraId="0668EB3B" w14:textId="37E3DC5B" w:rsidR="42911850" w:rsidRDefault="42911850">
            <w:pPr>
              <w:rPr>
                <w:noProof/>
              </w:rPr>
            </w:pPr>
            <w:r w:rsidRPr="42911850">
              <w:rPr>
                <w:rFonts w:ascii="Calibri" w:eastAsia="Calibri" w:hAnsi="Calibri" w:cs="Calibri"/>
                <w:noProof/>
                <w:sz w:val="18"/>
                <w:szCs w:val="18"/>
              </w:rPr>
              <w:t xml:space="preserve"> </w:t>
            </w:r>
          </w:p>
          <w:p w14:paraId="4C0C1E32" w14:textId="1F7E3416" w:rsidR="42911850" w:rsidRDefault="42911850">
            <w:pPr>
              <w:rPr>
                <w:noProof/>
              </w:rPr>
            </w:pPr>
            <w:r w:rsidRPr="42911850">
              <w:rPr>
                <w:rFonts w:ascii="Calibri" w:eastAsia="Calibri" w:hAnsi="Calibri" w:cs="Calibri"/>
                <w:noProof/>
                <w:sz w:val="18"/>
                <w:szCs w:val="18"/>
              </w:rPr>
              <w:t>4) Intermediary using the legal professional privilege waiver and failing to notify the tax administration of the details of the other intermediaries or of the taxpayer</w:t>
            </w:r>
          </w:p>
          <w:p w14:paraId="5F2E3C90" w14:textId="031EA420" w:rsidR="42911850" w:rsidRDefault="42911850">
            <w:pPr>
              <w:rPr>
                <w:noProof/>
              </w:rPr>
            </w:pPr>
            <w:r w:rsidRPr="42911850">
              <w:rPr>
                <w:rFonts w:ascii="Calibri" w:eastAsia="Calibri" w:hAnsi="Calibri" w:cs="Calibri"/>
                <w:noProof/>
                <w:sz w:val="18"/>
                <w:szCs w:val="18"/>
              </w:rPr>
              <w:t xml:space="preserve"> </w:t>
            </w:r>
          </w:p>
          <w:p w14:paraId="453AB9BB" w14:textId="0066295D" w:rsidR="42911850" w:rsidRDefault="42911850">
            <w:pPr>
              <w:rPr>
                <w:noProof/>
              </w:rPr>
            </w:pPr>
            <w:r w:rsidRPr="42911850">
              <w:rPr>
                <w:rFonts w:ascii="Calibri" w:eastAsia="Calibri" w:hAnsi="Calibri" w:cs="Calibri"/>
                <w:noProof/>
                <w:sz w:val="18"/>
                <w:szCs w:val="18"/>
              </w:rPr>
              <w:t xml:space="preserve"> </w:t>
            </w:r>
          </w:p>
          <w:p w14:paraId="50F21134" w14:textId="4596FB63" w:rsidR="42911850" w:rsidRDefault="42911850">
            <w:pPr>
              <w:rPr>
                <w:noProof/>
              </w:rPr>
            </w:pPr>
            <w:r w:rsidRPr="42911850">
              <w:rPr>
                <w:rFonts w:ascii="Calibri" w:eastAsia="Calibri" w:hAnsi="Calibri" w:cs="Calibri"/>
                <w:noProof/>
                <w:sz w:val="18"/>
                <w:szCs w:val="18"/>
              </w:rPr>
              <w:t xml:space="preserve"> </w:t>
            </w:r>
          </w:p>
          <w:p w14:paraId="11107C56" w14:textId="5ABA6175" w:rsidR="42911850" w:rsidRDefault="42911850">
            <w:pPr>
              <w:rPr>
                <w:noProof/>
              </w:rPr>
            </w:pPr>
            <w:r w:rsidRPr="42911850">
              <w:rPr>
                <w:rFonts w:ascii="Calibri" w:eastAsia="Calibri" w:hAnsi="Calibri" w:cs="Calibri"/>
                <w:noProof/>
                <w:sz w:val="18"/>
                <w:szCs w:val="18"/>
              </w:rPr>
              <w:t xml:space="preserve"> </w:t>
            </w:r>
          </w:p>
          <w:p w14:paraId="34C1FB28" w14:textId="7A94C759" w:rsidR="42911850" w:rsidRDefault="42911850">
            <w:pPr>
              <w:rPr>
                <w:noProof/>
              </w:rPr>
            </w:pPr>
            <w:r w:rsidRPr="42911850">
              <w:rPr>
                <w:rFonts w:ascii="Calibri" w:eastAsia="Calibri" w:hAnsi="Calibri" w:cs="Calibri"/>
                <w:noProof/>
                <w:sz w:val="18"/>
                <w:szCs w:val="18"/>
              </w:rPr>
              <w:t>5) Intermediary failing to notify the unique ID of the arrangement to other intermediaries or the relevant taxpayer</w:t>
            </w:r>
          </w:p>
          <w:p w14:paraId="7A8E98D9" w14:textId="64BD2F58" w:rsidR="42911850" w:rsidRDefault="42911850">
            <w:pPr>
              <w:rPr>
                <w:noProof/>
              </w:rPr>
            </w:pPr>
            <w:r w:rsidRPr="42911850">
              <w:rPr>
                <w:rFonts w:ascii="Calibri" w:eastAsia="Calibri" w:hAnsi="Calibri" w:cs="Calibri"/>
                <w:noProof/>
                <w:sz w:val="18"/>
                <w:szCs w:val="18"/>
              </w:rPr>
              <w:t xml:space="preserve"> </w:t>
            </w:r>
          </w:p>
          <w:p w14:paraId="3EA0BAF7" w14:textId="54EBBC3A" w:rsidR="42911850" w:rsidRDefault="42911850">
            <w:pPr>
              <w:rPr>
                <w:noProof/>
              </w:rPr>
            </w:pPr>
            <w:r w:rsidRPr="42911850">
              <w:rPr>
                <w:rFonts w:ascii="Calibri" w:eastAsia="Calibri" w:hAnsi="Calibri" w:cs="Calibri"/>
                <w:noProof/>
                <w:sz w:val="18"/>
                <w:szCs w:val="18"/>
              </w:rPr>
              <w:t xml:space="preserve"> </w:t>
            </w:r>
          </w:p>
          <w:p w14:paraId="50626FBA" w14:textId="6B8E16CB" w:rsidR="42911850" w:rsidRDefault="42911850">
            <w:pPr>
              <w:rPr>
                <w:noProof/>
              </w:rPr>
            </w:pPr>
            <w:r w:rsidRPr="42911850">
              <w:rPr>
                <w:rFonts w:ascii="Calibri" w:eastAsia="Calibri" w:hAnsi="Calibri" w:cs="Calibri"/>
                <w:noProof/>
                <w:sz w:val="18"/>
                <w:szCs w:val="18"/>
              </w:rPr>
              <w:t xml:space="preserve"> </w:t>
            </w:r>
          </w:p>
          <w:p w14:paraId="545BEA18" w14:textId="66687230" w:rsidR="42911850" w:rsidRDefault="42911850">
            <w:pPr>
              <w:rPr>
                <w:noProof/>
              </w:rPr>
            </w:pPr>
            <w:r w:rsidRPr="42911850">
              <w:rPr>
                <w:rFonts w:ascii="Calibri" w:eastAsia="Calibri" w:hAnsi="Calibri" w:cs="Calibri"/>
                <w:noProof/>
                <w:sz w:val="18"/>
                <w:szCs w:val="18"/>
              </w:rPr>
              <w:t xml:space="preserve"> </w:t>
            </w:r>
          </w:p>
          <w:p w14:paraId="231FFE16" w14:textId="357D90B1" w:rsidR="42911850" w:rsidRDefault="42911850">
            <w:pPr>
              <w:rPr>
                <w:noProof/>
              </w:rPr>
            </w:pPr>
            <w:r w:rsidRPr="42911850">
              <w:rPr>
                <w:rFonts w:ascii="Calibri" w:eastAsia="Calibri" w:hAnsi="Calibri" w:cs="Calibri"/>
                <w:noProof/>
                <w:sz w:val="18"/>
                <w:szCs w:val="18"/>
              </w:rPr>
              <w:t xml:space="preserve"> </w:t>
            </w:r>
          </w:p>
          <w:p w14:paraId="6368B3D7" w14:textId="7B8DB093" w:rsidR="42911850" w:rsidRDefault="42911850">
            <w:pPr>
              <w:rPr>
                <w:noProof/>
              </w:rPr>
            </w:pPr>
            <w:r w:rsidRPr="42911850">
              <w:rPr>
                <w:rFonts w:ascii="Calibri" w:eastAsia="Calibri" w:hAnsi="Calibri" w:cs="Calibri"/>
                <w:b/>
                <w:bCs/>
                <w:noProof/>
                <w:sz w:val="16"/>
                <w:szCs w:val="16"/>
                <w:u w:val="single"/>
                <w:lang w:val="en-IE"/>
              </w:rPr>
              <w:t>Personal scope</w:t>
            </w:r>
          </w:p>
          <w:p w14:paraId="2FA01D0C" w14:textId="090200B1" w:rsidR="42911850" w:rsidRDefault="42911850">
            <w:pPr>
              <w:rPr>
                <w:noProof/>
              </w:rPr>
            </w:pPr>
            <w:r w:rsidRPr="42911850">
              <w:rPr>
                <w:rFonts w:ascii="Calibri" w:eastAsia="Calibri" w:hAnsi="Calibri" w:cs="Calibri"/>
                <w:noProof/>
                <w:sz w:val="18"/>
                <w:szCs w:val="18"/>
              </w:rPr>
              <w:t>The fines apply to both intermediaries and relevant taxpayers, both of which can be either a natural person or a legal entity</w:t>
            </w:r>
          </w:p>
          <w:p w14:paraId="0E598B12" w14:textId="06065369" w:rsidR="42911850" w:rsidRDefault="42911850">
            <w:pPr>
              <w:rPr>
                <w:noProof/>
              </w:rPr>
            </w:pPr>
            <w:r w:rsidRPr="42911850">
              <w:rPr>
                <w:rFonts w:ascii="Calibri" w:eastAsia="Calibri" w:hAnsi="Calibri" w:cs="Calibri"/>
                <w:noProof/>
                <w:sz w:val="18"/>
                <w:szCs w:val="18"/>
              </w:rPr>
              <w:t xml:space="preserve"> </w:t>
            </w:r>
          </w:p>
          <w:p w14:paraId="2E32566C" w14:textId="4969FF31"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1C0940C1" w14:textId="7737A9E1" w:rsidR="42911850" w:rsidRDefault="42911850">
            <w:pPr>
              <w:rPr>
                <w:noProof/>
              </w:rPr>
            </w:pPr>
            <w:r w:rsidRPr="42911850">
              <w:rPr>
                <w:rFonts w:ascii="Calibri" w:eastAsia="Calibri" w:hAnsi="Calibri" w:cs="Calibri"/>
                <w:noProof/>
                <w:sz w:val="16"/>
                <w:szCs w:val="16"/>
                <w:lang w:val="en-IE"/>
              </w:rPr>
              <w:t>All Penalties 1)-5) are applicable per (individual) infringement of the respective obligations.</w:t>
            </w:r>
          </w:p>
        </w:tc>
        <w:tc>
          <w:tcPr>
            <w:tcW w:w="1757" w:type="dxa"/>
            <w:tcBorders>
              <w:top w:val="single" w:sz="8" w:space="0" w:color="auto"/>
              <w:left w:val="single" w:sz="8" w:space="0" w:color="auto"/>
              <w:bottom w:val="single" w:sz="8" w:space="0" w:color="auto"/>
              <w:right w:val="single" w:sz="8" w:space="0" w:color="auto"/>
            </w:tcBorders>
          </w:tcPr>
          <w:p w14:paraId="0A16D525" w14:textId="096F44D3"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6338245C" w14:textId="12C92B6F"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1000 (for individuals)</w:t>
            </w:r>
          </w:p>
          <w:p w14:paraId="4318D106" w14:textId="30C99C74"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2000 (for individuals in repeat violations)</w:t>
            </w:r>
          </w:p>
          <w:p w14:paraId="68C1DB7D" w14:textId="0538543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2500 (for legal entities and sole traders)</w:t>
            </w:r>
          </w:p>
          <w:p w14:paraId="4296E6F0" w14:textId="7AC4EB4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5000 (for legal entities and sole traders in repeat violations)</w:t>
            </w:r>
          </w:p>
          <w:p w14:paraId="39F72C52" w14:textId="0593CC1B" w:rsidR="42911850" w:rsidRDefault="42911850">
            <w:pPr>
              <w:rPr>
                <w:noProof/>
              </w:rPr>
            </w:pPr>
            <w:r w:rsidRPr="42911850">
              <w:rPr>
                <w:rFonts w:ascii="Calibri" w:eastAsia="Calibri" w:hAnsi="Calibri" w:cs="Calibri"/>
                <w:noProof/>
                <w:sz w:val="16"/>
                <w:szCs w:val="16"/>
              </w:rPr>
              <w:t xml:space="preserve"> </w:t>
            </w:r>
          </w:p>
          <w:p w14:paraId="50FF8CF8" w14:textId="45E1FA5C" w:rsidR="42911850" w:rsidRDefault="42911850">
            <w:pPr>
              <w:rPr>
                <w:noProof/>
              </w:rPr>
            </w:pPr>
            <w:r w:rsidRPr="42911850">
              <w:rPr>
                <w:rFonts w:ascii="Calibri" w:eastAsia="Calibri" w:hAnsi="Calibri" w:cs="Calibri"/>
                <w:noProof/>
                <w:sz w:val="16"/>
                <w:szCs w:val="16"/>
              </w:rPr>
              <w:t xml:space="preserve"> </w:t>
            </w:r>
          </w:p>
          <w:p w14:paraId="2C1C34BB" w14:textId="768DC2F4" w:rsidR="42911850" w:rsidRDefault="42911850">
            <w:pPr>
              <w:rPr>
                <w:noProof/>
              </w:rPr>
            </w:pPr>
            <w:r w:rsidRPr="42911850">
              <w:rPr>
                <w:rFonts w:ascii="Calibri" w:eastAsia="Calibri" w:hAnsi="Calibri" w:cs="Calibri"/>
                <w:noProof/>
                <w:sz w:val="16"/>
                <w:szCs w:val="16"/>
              </w:rPr>
              <w:t>EUR 500 (for individuals)</w:t>
            </w:r>
          </w:p>
          <w:p w14:paraId="31B896F2" w14:textId="3EE34BC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1000 (for individuals in repeat violations)</w:t>
            </w:r>
          </w:p>
          <w:p w14:paraId="0E5B936F" w14:textId="4B79017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1000 (for legal entities and sole traders)</w:t>
            </w:r>
          </w:p>
          <w:p w14:paraId="72F2CC90" w14:textId="7DB6AA3A"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2000 (for legal entities and sole traders in repeat violations)</w:t>
            </w:r>
          </w:p>
          <w:p w14:paraId="4098EC0A" w14:textId="5B833518" w:rsidR="42911850" w:rsidRDefault="42911850">
            <w:pPr>
              <w:rPr>
                <w:noProof/>
              </w:rPr>
            </w:pPr>
            <w:r w:rsidRPr="42911850">
              <w:rPr>
                <w:rFonts w:ascii="Calibri" w:eastAsia="Calibri" w:hAnsi="Calibri" w:cs="Calibri"/>
                <w:noProof/>
                <w:sz w:val="18"/>
                <w:szCs w:val="18"/>
              </w:rPr>
              <w:t xml:space="preserve"> </w:t>
            </w:r>
          </w:p>
          <w:p w14:paraId="4F460B46" w14:textId="48283E81"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1000 (for individuals)</w:t>
            </w:r>
          </w:p>
          <w:p w14:paraId="189D390B" w14:textId="47BA8414"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2000 (for individuals in repeat violations)</w:t>
            </w:r>
          </w:p>
          <w:p w14:paraId="60A0EB6D" w14:textId="6685C33A"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2500 (for legal entities and sole traders)</w:t>
            </w:r>
          </w:p>
          <w:p w14:paraId="507C1EFD" w14:textId="794BAFB8" w:rsidR="42911850" w:rsidRDefault="42911850">
            <w:pPr>
              <w:rPr>
                <w:noProof/>
              </w:rPr>
            </w:pPr>
            <w:r w:rsidRPr="42911850">
              <w:rPr>
                <w:rFonts w:ascii="Calibri" w:eastAsia="Calibri" w:hAnsi="Calibri" w:cs="Calibri"/>
                <w:noProof/>
                <w:sz w:val="16"/>
                <w:szCs w:val="16"/>
              </w:rPr>
              <w:t>EUR 5000 (for legal entities and sole traders in repeat violations)</w:t>
            </w:r>
          </w:p>
          <w:p w14:paraId="783E3AC8" w14:textId="1B139060" w:rsidR="42911850" w:rsidRDefault="42911850">
            <w:pPr>
              <w:rPr>
                <w:noProof/>
              </w:rPr>
            </w:pPr>
            <w:r w:rsidRPr="42911850">
              <w:rPr>
                <w:rFonts w:ascii="Calibri" w:eastAsia="Calibri" w:hAnsi="Calibri" w:cs="Calibri"/>
                <w:noProof/>
                <w:sz w:val="16"/>
                <w:szCs w:val="16"/>
              </w:rPr>
              <w:t xml:space="preserve"> </w:t>
            </w:r>
          </w:p>
          <w:p w14:paraId="113E9565" w14:textId="09729F02"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 (for individuals)</w:t>
            </w:r>
          </w:p>
          <w:p w14:paraId="6E86CBA0" w14:textId="7879354F"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200 (for individuals in repeat violations)</w:t>
            </w:r>
          </w:p>
          <w:p w14:paraId="1FA2D2EE" w14:textId="13C4302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250 (for legal entities and sole traders)</w:t>
            </w:r>
          </w:p>
          <w:p w14:paraId="4EBC52AC" w14:textId="53EEF33A" w:rsidR="42911850" w:rsidRDefault="42911850">
            <w:pPr>
              <w:rPr>
                <w:noProof/>
              </w:rPr>
            </w:pPr>
            <w:r w:rsidRPr="42911850">
              <w:rPr>
                <w:rFonts w:ascii="Calibri" w:eastAsia="Calibri" w:hAnsi="Calibri" w:cs="Calibri"/>
                <w:noProof/>
                <w:sz w:val="16"/>
                <w:szCs w:val="16"/>
              </w:rPr>
              <w:t>EUR 500 (for legal entities and sole traders in repeat violations)</w:t>
            </w:r>
          </w:p>
          <w:p w14:paraId="5D1E2E62" w14:textId="24D12483" w:rsidR="42911850" w:rsidRDefault="42911850">
            <w:pPr>
              <w:rPr>
                <w:noProof/>
              </w:rPr>
            </w:pPr>
            <w:r w:rsidRPr="42911850">
              <w:rPr>
                <w:rFonts w:ascii="Calibri" w:eastAsia="Calibri" w:hAnsi="Calibri" w:cs="Calibri"/>
                <w:noProof/>
                <w:sz w:val="16"/>
                <w:szCs w:val="16"/>
              </w:rPr>
              <w:t xml:space="preserve"> </w:t>
            </w:r>
          </w:p>
          <w:p w14:paraId="3BF7BE91" w14:textId="358B2707"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 (for individuals)</w:t>
            </w:r>
          </w:p>
          <w:p w14:paraId="66946983" w14:textId="76684961"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200 (for individuals in repeat violations)</w:t>
            </w:r>
          </w:p>
          <w:p w14:paraId="1AA39628" w14:textId="06B0898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250 (for legal entities and sole traders)</w:t>
            </w:r>
          </w:p>
          <w:p w14:paraId="4E146A63" w14:textId="6C776D9B" w:rsidR="42911850" w:rsidRDefault="42911850">
            <w:pPr>
              <w:rPr>
                <w:noProof/>
              </w:rPr>
            </w:pPr>
            <w:r w:rsidRPr="42911850">
              <w:rPr>
                <w:rFonts w:ascii="Calibri" w:eastAsia="Calibri" w:hAnsi="Calibri" w:cs="Calibri"/>
                <w:noProof/>
                <w:sz w:val="16"/>
                <w:szCs w:val="16"/>
              </w:rPr>
              <w:t>EUR 500 (for legal entities and sole traders in repeat violations)</w:t>
            </w:r>
          </w:p>
        </w:tc>
        <w:tc>
          <w:tcPr>
            <w:tcW w:w="2175" w:type="dxa"/>
            <w:tcBorders>
              <w:top w:val="single" w:sz="8" w:space="0" w:color="auto"/>
              <w:left w:val="single" w:sz="8" w:space="0" w:color="auto"/>
              <w:bottom w:val="single" w:sz="8" w:space="0" w:color="auto"/>
              <w:right w:val="single" w:sz="8" w:space="0" w:color="auto"/>
            </w:tcBorders>
          </w:tcPr>
          <w:p w14:paraId="79852CE7" w14:textId="3DBB6ACF" w:rsidR="42911850" w:rsidRDefault="42911850">
            <w:pPr>
              <w:rPr>
                <w:noProof/>
              </w:rPr>
            </w:pPr>
            <w:r w:rsidRPr="42911850">
              <w:rPr>
                <w:rFonts w:ascii="Calibri" w:eastAsia="Calibri" w:hAnsi="Calibri" w:cs="Calibri"/>
                <w:noProof/>
                <w:sz w:val="18"/>
                <w:szCs w:val="18"/>
              </w:rPr>
              <w:t xml:space="preserve"> </w:t>
            </w:r>
          </w:p>
          <w:p w14:paraId="5D1FCE8A" w14:textId="7752AC4A"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2500 (for individuals)</w:t>
            </w:r>
          </w:p>
          <w:p w14:paraId="3A681B67" w14:textId="1B50A3EE"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5000 (for individuals in repeat violations)</w:t>
            </w:r>
          </w:p>
          <w:p w14:paraId="752633D8" w14:textId="0F50B91B"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5000 (for legal entities and sole traders)</w:t>
            </w:r>
          </w:p>
          <w:p w14:paraId="5E71CD34" w14:textId="7828C48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10000 (for legal entities and sole traders in repeat violations)</w:t>
            </w:r>
          </w:p>
          <w:p w14:paraId="69CA6FC6" w14:textId="2685676E"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1299F6F8" w14:textId="3E4AE9E6"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6DB7C7DF" w14:textId="360948F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1500 (for individuals)</w:t>
            </w:r>
          </w:p>
          <w:p w14:paraId="5AE5F81E" w14:textId="4A8E2DEB"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3000 (for individuals in repeat violations)</w:t>
            </w:r>
          </w:p>
          <w:p w14:paraId="36461D6D" w14:textId="1561747B"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4000 (for legal entities and sole traders)</w:t>
            </w:r>
          </w:p>
          <w:p w14:paraId="022D579C" w14:textId="3B00C49E"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8000 (for legal entities and sole traders in repeat violations)</w:t>
            </w:r>
          </w:p>
          <w:p w14:paraId="1B6BE3A4" w14:textId="015FF84D" w:rsidR="42911850" w:rsidRDefault="42911850">
            <w:pPr>
              <w:rPr>
                <w:noProof/>
              </w:rPr>
            </w:pPr>
            <w:r w:rsidRPr="42911850">
              <w:rPr>
                <w:rFonts w:ascii="Calibri" w:eastAsia="Calibri" w:hAnsi="Calibri" w:cs="Calibri"/>
                <w:noProof/>
                <w:sz w:val="16"/>
                <w:szCs w:val="16"/>
              </w:rPr>
              <w:t xml:space="preserve"> </w:t>
            </w:r>
          </w:p>
          <w:p w14:paraId="5BA84B3C" w14:textId="2CA483F9"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2500 (for individuals)</w:t>
            </w:r>
          </w:p>
          <w:p w14:paraId="6A26F577" w14:textId="3CD1712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5000 (for individuals in repeat violations)</w:t>
            </w:r>
          </w:p>
          <w:p w14:paraId="1F83C6CA" w14:textId="0480126D"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5000 (for legal entities and sole traders)</w:t>
            </w:r>
          </w:p>
          <w:p w14:paraId="0BDBA22B" w14:textId="6684DF3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10000 (for legal entities and sole traders in repeat violations)</w:t>
            </w:r>
          </w:p>
          <w:p w14:paraId="7686D636" w14:textId="3D2F081D" w:rsidR="42911850" w:rsidRDefault="42911850">
            <w:pPr>
              <w:rPr>
                <w:noProof/>
              </w:rPr>
            </w:pPr>
            <w:r w:rsidRPr="42911850">
              <w:rPr>
                <w:rFonts w:ascii="Calibri" w:eastAsia="Calibri" w:hAnsi="Calibri" w:cs="Calibri"/>
                <w:noProof/>
                <w:sz w:val="16"/>
                <w:szCs w:val="16"/>
              </w:rPr>
              <w:t xml:space="preserve"> </w:t>
            </w:r>
          </w:p>
          <w:p w14:paraId="51A5AAB3" w14:textId="6ABBB4F2"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400 (for individuals)</w:t>
            </w:r>
          </w:p>
          <w:p w14:paraId="7FAF6CED" w14:textId="2DFB3FA0"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800 (for individuals in repeat violations)</w:t>
            </w:r>
          </w:p>
          <w:p w14:paraId="36666BF3" w14:textId="305227E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750 (for legal entities and sole traders)</w:t>
            </w:r>
          </w:p>
          <w:p w14:paraId="00A82EC5" w14:textId="377B2D48"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1500 (for legal entities and sole traders in repeat violations)</w:t>
            </w:r>
          </w:p>
          <w:p w14:paraId="4896CBCE" w14:textId="01489A2D" w:rsidR="42911850" w:rsidRDefault="42911850">
            <w:pPr>
              <w:rPr>
                <w:noProof/>
              </w:rPr>
            </w:pPr>
            <w:r w:rsidRPr="42911850">
              <w:rPr>
                <w:rFonts w:ascii="Calibri" w:eastAsia="Calibri" w:hAnsi="Calibri" w:cs="Calibri"/>
                <w:noProof/>
                <w:sz w:val="16"/>
                <w:szCs w:val="16"/>
              </w:rPr>
              <w:t xml:space="preserve"> </w:t>
            </w:r>
          </w:p>
          <w:p w14:paraId="1DB76087" w14:textId="3D24F0DF" w:rsidR="42911850" w:rsidRDefault="42911850">
            <w:pPr>
              <w:rPr>
                <w:noProof/>
              </w:rPr>
            </w:pPr>
            <w:r w:rsidRPr="42911850">
              <w:rPr>
                <w:rFonts w:ascii="Calibri" w:eastAsia="Calibri" w:hAnsi="Calibri" w:cs="Calibri"/>
                <w:noProof/>
                <w:sz w:val="16"/>
                <w:szCs w:val="16"/>
              </w:rPr>
              <w:t xml:space="preserve"> </w:t>
            </w:r>
          </w:p>
          <w:p w14:paraId="30BBD7E2" w14:textId="40AD3304"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400 (for individuals)</w:t>
            </w:r>
          </w:p>
          <w:p w14:paraId="21E6DBEA" w14:textId="1D601106"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800 (for individuals in repeat violations)</w:t>
            </w:r>
          </w:p>
          <w:p w14:paraId="44864DFA" w14:textId="4255F8A0"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750 (for legal entities and sole traders)</w:t>
            </w:r>
          </w:p>
          <w:p w14:paraId="501BCD1B" w14:textId="0644B0DF"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EUR 1500 (for legal entities and sole traders in repeat violations)</w:t>
            </w:r>
          </w:p>
          <w:p w14:paraId="18BFA0A6" w14:textId="3D36F23F" w:rsidR="42911850" w:rsidRDefault="42911850">
            <w:pPr>
              <w:rPr>
                <w:noProof/>
              </w:rPr>
            </w:pPr>
            <w:r w:rsidRPr="42911850">
              <w:rPr>
                <w:rFonts w:ascii="Calibri" w:eastAsia="Calibri" w:hAnsi="Calibri" w:cs="Calibri"/>
                <w:noProof/>
                <w:sz w:val="16"/>
                <w:szCs w:val="16"/>
              </w:rPr>
              <w:t xml:space="preserve"> </w:t>
            </w:r>
          </w:p>
        </w:tc>
      </w:tr>
      <w:tr w:rsidR="42911850" w14:paraId="7D2190D8"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71BC84AE" w14:textId="23E9CA92" w:rsidR="42911850" w:rsidRDefault="42911850">
            <w:pPr>
              <w:rPr>
                <w:noProof/>
              </w:rPr>
            </w:pPr>
            <w:r w:rsidRPr="42911850">
              <w:rPr>
                <w:rFonts w:ascii="Calibri" w:eastAsia="Calibri" w:hAnsi="Calibri" w:cs="Calibri"/>
                <w:b/>
                <w:bCs/>
                <w:noProof/>
                <w:sz w:val="18"/>
                <w:szCs w:val="18"/>
              </w:rPr>
              <w:t>CY</w:t>
            </w:r>
          </w:p>
        </w:tc>
        <w:tc>
          <w:tcPr>
            <w:tcW w:w="1025" w:type="dxa"/>
            <w:tcBorders>
              <w:top w:val="single" w:sz="8" w:space="0" w:color="auto"/>
              <w:left w:val="single" w:sz="8" w:space="0" w:color="auto"/>
              <w:bottom w:val="single" w:sz="8" w:space="0" w:color="auto"/>
              <w:right w:val="single" w:sz="8" w:space="0" w:color="auto"/>
            </w:tcBorders>
          </w:tcPr>
          <w:p w14:paraId="3082BB5B" w14:textId="75FA0383"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34F3906A" w14:textId="0C027F47" w:rsidR="42911850" w:rsidRDefault="42911850">
            <w:pPr>
              <w:rPr>
                <w:noProof/>
              </w:rPr>
            </w:pPr>
            <w:r w:rsidRPr="42911850">
              <w:rPr>
                <w:rFonts w:ascii="Calibri" w:eastAsia="Calibri" w:hAnsi="Calibri" w:cs="Calibri"/>
                <w:b/>
                <w:bCs/>
                <w:noProof/>
                <w:sz w:val="16"/>
                <w:szCs w:val="16"/>
                <w:u w:val="single"/>
              </w:rPr>
              <w:t>Scope ratione materiae</w:t>
            </w:r>
          </w:p>
          <w:p w14:paraId="326134FF" w14:textId="5169FD7C" w:rsidR="42911850" w:rsidRDefault="42911850">
            <w:pPr>
              <w:rPr>
                <w:noProof/>
              </w:rPr>
            </w:pPr>
            <w:r w:rsidRPr="42911850">
              <w:rPr>
                <w:rFonts w:ascii="Calibri" w:eastAsia="Calibri" w:hAnsi="Calibri" w:cs="Calibri"/>
                <w:noProof/>
                <w:sz w:val="18"/>
                <w:szCs w:val="18"/>
              </w:rPr>
              <w:t>1) Circumvention of any reporting, due diligence or self-certification obligation.</w:t>
            </w:r>
          </w:p>
          <w:p w14:paraId="597DFC67" w14:textId="69F4EB79" w:rsidR="42911850" w:rsidRDefault="42911850">
            <w:pPr>
              <w:rPr>
                <w:noProof/>
              </w:rPr>
            </w:pPr>
            <w:r w:rsidRPr="42911850">
              <w:rPr>
                <w:rFonts w:ascii="Calibri" w:eastAsia="Calibri" w:hAnsi="Calibri" w:cs="Calibri"/>
                <w:noProof/>
                <w:sz w:val="18"/>
                <w:szCs w:val="18"/>
              </w:rPr>
              <w:t xml:space="preserve"> </w:t>
            </w:r>
          </w:p>
          <w:p w14:paraId="2D276D0E" w14:textId="160AF082" w:rsidR="42911850" w:rsidRDefault="42911850">
            <w:pPr>
              <w:rPr>
                <w:noProof/>
              </w:rPr>
            </w:pPr>
            <w:r w:rsidRPr="42911850">
              <w:rPr>
                <w:rFonts w:ascii="Calibri" w:eastAsia="Calibri" w:hAnsi="Calibri" w:cs="Calibri"/>
                <w:noProof/>
                <w:sz w:val="18"/>
                <w:szCs w:val="18"/>
              </w:rPr>
              <w:t>2) Not keeping the records and underlying documents for the customer due diligence procedure</w:t>
            </w:r>
          </w:p>
          <w:p w14:paraId="5A0FFEFD" w14:textId="07BC2D2C" w:rsidR="42911850" w:rsidRDefault="42911850">
            <w:pPr>
              <w:rPr>
                <w:noProof/>
              </w:rPr>
            </w:pPr>
            <w:r w:rsidRPr="42911850">
              <w:rPr>
                <w:rFonts w:ascii="Calibri" w:eastAsia="Calibri" w:hAnsi="Calibri" w:cs="Calibri"/>
                <w:noProof/>
                <w:sz w:val="18"/>
                <w:szCs w:val="18"/>
              </w:rPr>
              <w:t xml:space="preserve"> </w:t>
            </w:r>
          </w:p>
          <w:p w14:paraId="75A3875D" w14:textId="7AFEE98E" w:rsidR="42911850" w:rsidRDefault="42911850">
            <w:pPr>
              <w:rPr>
                <w:noProof/>
              </w:rPr>
            </w:pPr>
            <w:r w:rsidRPr="42911850">
              <w:rPr>
                <w:rFonts w:ascii="Calibri" w:eastAsia="Calibri" w:hAnsi="Calibri" w:cs="Calibri"/>
                <w:noProof/>
                <w:sz w:val="18"/>
                <w:szCs w:val="18"/>
              </w:rPr>
              <w:t>3) Failure to provide access to any records and underlying documents for the customer due diligence procedure</w:t>
            </w:r>
          </w:p>
          <w:p w14:paraId="4087EC8D" w14:textId="688700AE" w:rsidR="42911850" w:rsidRDefault="42911850">
            <w:pPr>
              <w:rPr>
                <w:noProof/>
              </w:rPr>
            </w:pPr>
            <w:r w:rsidRPr="42911850">
              <w:rPr>
                <w:rFonts w:ascii="Calibri" w:eastAsia="Calibri" w:hAnsi="Calibri" w:cs="Calibri"/>
                <w:noProof/>
                <w:sz w:val="18"/>
                <w:szCs w:val="18"/>
              </w:rPr>
              <w:t xml:space="preserve"> </w:t>
            </w:r>
          </w:p>
          <w:p w14:paraId="601A0A59" w14:textId="20C89FA9" w:rsidR="42911850" w:rsidRDefault="42911850">
            <w:pPr>
              <w:rPr>
                <w:noProof/>
              </w:rPr>
            </w:pPr>
            <w:r w:rsidRPr="42911850">
              <w:rPr>
                <w:rFonts w:ascii="Calibri" w:eastAsia="Calibri" w:hAnsi="Calibri" w:cs="Calibri"/>
                <w:b/>
                <w:bCs/>
                <w:noProof/>
                <w:sz w:val="16"/>
                <w:szCs w:val="16"/>
                <w:u w:val="single"/>
                <w:lang w:val="en-IE"/>
              </w:rPr>
              <w:t>Personal scope</w:t>
            </w:r>
          </w:p>
          <w:p w14:paraId="089102A6" w14:textId="2FC8E323" w:rsidR="42911850" w:rsidRDefault="42911850">
            <w:pPr>
              <w:rPr>
                <w:noProof/>
              </w:rPr>
            </w:pPr>
            <w:r w:rsidRPr="42911850">
              <w:rPr>
                <w:rFonts w:ascii="Calibri" w:eastAsia="Calibri" w:hAnsi="Calibri" w:cs="Calibri"/>
                <w:noProof/>
                <w:sz w:val="18"/>
                <w:szCs w:val="18"/>
              </w:rPr>
              <w:t>The fines apply to Reporting Financial Institutions (legal persons).</w:t>
            </w:r>
          </w:p>
          <w:p w14:paraId="7C1E52D7" w14:textId="33B36FA8" w:rsidR="42911850" w:rsidRDefault="42911850">
            <w:pPr>
              <w:rPr>
                <w:noProof/>
              </w:rPr>
            </w:pPr>
            <w:r w:rsidRPr="42911850">
              <w:rPr>
                <w:rFonts w:ascii="Calibri" w:eastAsia="Calibri" w:hAnsi="Calibri" w:cs="Calibri"/>
                <w:noProof/>
                <w:sz w:val="18"/>
                <w:szCs w:val="18"/>
              </w:rPr>
              <w:t>When the fine under 1) above applies for circumvention of self-certification, it will apply to Account Holders (mostly natural persons)</w:t>
            </w:r>
          </w:p>
          <w:p w14:paraId="6B0131FB" w14:textId="3023DE07" w:rsidR="42911850" w:rsidRDefault="42911850">
            <w:pPr>
              <w:rPr>
                <w:noProof/>
              </w:rPr>
            </w:pPr>
            <w:r w:rsidRPr="42911850">
              <w:rPr>
                <w:rFonts w:ascii="Calibri" w:eastAsia="Calibri" w:hAnsi="Calibri" w:cs="Calibri"/>
                <w:noProof/>
                <w:sz w:val="18"/>
                <w:szCs w:val="18"/>
              </w:rPr>
              <w:t xml:space="preserve"> </w:t>
            </w:r>
          </w:p>
          <w:p w14:paraId="67948F2D" w14:textId="13DCDB11"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5B12812C" w14:textId="5BD995A8" w:rsidR="42911850" w:rsidRDefault="42911850">
            <w:pPr>
              <w:rPr>
                <w:noProof/>
              </w:rPr>
            </w:pPr>
            <w:r w:rsidRPr="42911850">
              <w:rPr>
                <w:rFonts w:ascii="Calibri" w:eastAsia="Calibri" w:hAnsi="Calibri" w:cs="Calibri"/>
                <w:noProof/>
                <w:sz w:val="18"/>
                <w:szCs w:val="18"/>
                <w:lang w:val="en-IE"/>
              </w:rPr>
              <w:t>The legislative text is inconclusive. On balance, it is rather that 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7DAB16A9" w14:textId="10A61908" w:rsidR="42911850" w:rsidRDefault="42911850">
            <w:pPr>
              <w:rPr>
                <w:noProof/>
              </w:rPr>
            </w:pPr>
            <w:r w:rsidRPr="42911850">
              <w:rPr>
                <w:rFonts w:ascii="Calibri" w:eastAsia="Calibri" w:hAnsi="Calibri" w:cs="Calibri"/>
                <w:noProof/>
                <w:sz w:val="18"/>
                <w:szCs w:val="18"/>
              </w:rPr>
              <w:t xml:space="preserve"> </w:t>
            </w:r>
          </w:p>
          <w:p w14:paraId="3B76F18F" w14:textId="0A7AD165" w:rsidR="42911850" w:rsidRDefault="42911850">
            <w:pPr>
              <w:rPr>
                <w:noProof/>
              </w:rPr>
            </w:pPr>
            <w:r w:rsidRPr="42911850">
              <w:rPr>
                <w:rFonts w:ascii="Calibri" w:eastAsia="Calibri" w:hAnsi="Calibri" w:cs="Calibri"/>
                <w:noProof/>
                <w:sz w:val="18"/>
                <w:szCs w:val="18"/>
              </w:rPr>
              <w:t>Not determined</w:t>
            </w:r>
          </w:p>
          <w:p w14:paraId="3307BB85" w14:textId="1559BB32" w:rsidR="42911850" w:rsidRDefault="42911850">
            <w:pPr>
              <w:rPr>
                <w:noProof/>
              </w:rPr>
            </w:pPr>
            <w:r w:rsidRPr="42911850">
              <w:rPr>
                <w:rFonts w:ascii="Calibri" w:eastAsia="Calibri" w:hAnsi="Calibri" w:cs="Calibri"/>
                <w:noProof/>
                <w:sz w:val="18"/>
                <w:szCs w:val="18"/>
              </w:rPr>
              <w:t xml:space="preserve"> </w:t>
            </w:r>
          </w:p>
          <w:p w14:paraId="3ED3B976" w14:textId="14FEF1A3" w:rsidR="42911850" w:rsidRDefault="42911850">
            <w:pPr>
              <w:rPr>
                <w:noProof/>
              </w:rPr>
            </w:pPr>
            <w:r w:rsidRPr="42911850">
              <w:rPr>
                <w:rFonts w:ascii="Calibri" w:eastAsia="Calibri" w:hAnsi="Calibri" w:cs="Calibri"/>
                <w:noProof/>
                <w:sz w:val="18"/>
                <w:szCs w:val="18"/>
              </w:rPr>
              <w:t xml:space="preserve"> </w:t>
            </w:r>
          </w:p>
          <w:p w14:paraId="73D9A0E7" w14:textId="51DC9B2C" w:rsidR="42911850" w:rsidRDefault="42911850">
            <w:pPr>
              <w:rPr>
                <w:noProof/>
              </w:rPr>
            </w:pPr>
            <w:r w:rsidRPr="42911850">
              <w:rPr>
                <w:rFonts w:ascii="Calibri" w:eastAsia="Calibri" w:hAnsi="Calibri" w:cs="Calibri"/>
                <w:noProof/>
                <w:sz w:val="18"/>
                <w:szCs w:val="18"/>
              </w:rPr>
              <w:t>Not determined</w:t>
            </w:r>
          </w:p>
          <w:p w14:paraId="7EBAEF99" w14:textId="0FECEB5E" w:rsidR="42911850" w:rsidRDefault="42911850">
            <w:pPr>
              <w:rPr>
                <w:noProof/>
              </w:rPr>
            </w:pPr>
            <w:r w:rsidRPr="42911850">
              <w:rPr>
                <w:rFonts w:ascii="Calibri" w:eastAsia="Calibri" w:hAnsi="Calibri" w:cs="Calibri"/>
                <w:noProof/>
                <w:sz w:val="18"/>
                <w:szCs w:val="18"/>
              </w:rPr>
              <w:t xml:space="preserve"> </w:t>
            </w:r>
          </w:p>
          <w:p w14:paraId="7BA88D99" w14:textId="1ADC8774" w:rsidR="42911850" w:rsidRDefault="42911850">
            <w:pPr>
              <w:rPr>
                <w:noProof/>
              </w:rPr>
            </w:pPr>
            <w:r w:rsidRPr="42911850">
              <w:rPr>
                <w:rFonts w:ascii="Calibri" w:eastAsia="Calibri" w:hAnsi="Calibri" w:cs="Calibri"/>
                <w:noProof/>
                <w:sz w:val="18"/>
                <w:szCs w:val="18"/>
              </w:rPr>
              <w:t>Not determined</w:t>
            </w:r>
          </w:p>
          <w:p w14:paraId="48BACCAC" w14:textId="1E7D815C" w:rsidR="42911850" w:rsidRDefault="42911850">
            <w:pPr>
              <w:rPr>
                <w:noProof/>
              </w:rPr>
            </w:pPr>
            <w:r w:rsidRPr="42911850">
              <w:rPr>
                <w:rFonts w:ascii="Calibri" w:eastAsia="Calibri" w:hAnsi="Calibri" w:cs="Calibri"/>
                <w:noProof/>
                <w:sz w:val="18"/>
                <w:szCs w:val="18"/>
              </w:rPr>
              <w:t xml:space="preserve"> </w:t>
            </w:r>
          </w:p>
          <w:p w14:paraId="5B7E5C5C" w14:textId="681A0A5D" w:rsidR="42911850" w:rsidRDefault="42911850">
            <w:pPr>
              <w:rPr>
                <w:noProof/>
              </w:rPr>
            </w:pPr>
            <w:r w:rsidRPr="42911850">
              <w:rPr>
                <w:rFonts w:ascii="Calibri" w:eastAsia="Calibri" w:hAnsi="Calibri" w:cs="Calibri"/>
                <w:noProof/>
                <w:sz w:val="18"/>
                <w:szCs w:val="18"/>
              </w:rPr>
              <w:t xml:space="preserve"> </w:t>
            </w:r>
          </w:p>
          <w:p w14:paraId="22724896" w14:textId="75CBD305"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271ACBB0" w14:textId="38256A29" w:rsidR="42911850" w:rsidRDefault="42911850">
            <w:pPr>
              <w:rPr>
                <w:noProof/>
              </w:rPr>
            </w:pPr>
            <w:r w:rsidRPr="42911850">
              <w:rPr>
                <w:rFonts w:ascii="Calibri" w:eastAsia="Calibri" w:hAnsi="Calibri" w:cs="Calibri"/>
                <w:noProof/>
                <w:sz w:val="18"/>
                <w:szCs w:val="18"/>
              </w:rPr>
              <w:t xml:space="preserve"> </w:t>
            </w:r>
          </w:p>
          <w:p w14:paraId="4D243955" w14:textId="2C94132C" w:rsidR="42911850" w:rsidRDefault="42911850">
            <w:pPr>
              <w:rPr>
                <w:noProof/>
              </w:rPr>
            </w:pPr>
            <w:r w:rsidRPr="42911850">
              <w:rPr>
                <w:rFonts w:ascii="Calibri" w:eastAsia="Calibri" w:hAnsi="Calibri" w:cs="Calibri"/>
                <w:noProof/>
                <w:sz w:val="18"/>
                <w:szCs w:val="18"/>
              </w:rPr>
              <w:t>EUR 2000</w:t>
            </w:r>
          </w:p>
          <w:p w14:paraId="4B611AE5" w14:textId="37DF7CD5" w:rsidR="42911850" w:rsidRDefault="42911850">
            <w:pPr>
              <w:rPr>
                <w:noProof/>
              </w:rPr>
            </w:pPr>
            <w:r w:rsidRPr="42911850">
              <w:rPr>
                <w:rFonts w:ascii="Calibri" w:eastAsia="Calibri" w:hAnsi="Calibri" w:cs="Calibri"/>
                <w:noProof/>
                <w:sz w:val="18"/>
                <w:szCs w:val="18"/>
              </w:rPr>
              <w:t>EUR 20 000 in case of refusal to pay</w:t>
            </w:r>
          </w:p>
          <w:p w14:paraId="61AB8F10" w14:textId="0693582C" w:rsidR="42911850" w:rsidRDefault="42911850">
            <w:pPr>
              <w:rPr>
                <w:noProof/>
              </w:rPr>
            </w:pPr>
            <w:r w:rsidRPr="42911850">
              <w:rPr>
                <w:rFonts w:ascii="Calibri" w:eastAsia="Calibri" w:hAnsi="Calibri" w:cs="Calibri"/>
                <w:noProof/>
                <w:sz w:val="18"/>
                <w:szCs w:val="18"/>
              </w:rPr>
              <w:t xml:space="preserve"> </w:t>
            </w:r>
          </w:p>
          <w:p w14:paraId="5BF9624D" w14:textId="79B0057B" w:rsidR="42911850" w:rsidRDefault="42911850">
            <w:pPr>
              <w:rPr>
                <w:noProof/>
              </w:rPr>
            </w:pPr>
            <w:r w:rsidRPr="42911850">
              <w:rPr>
                <w:rFonts w:ascii="Calibri" w:eastAsia="Calibri" w:hAnsi="Calibri" w:cs="Calibri"/>
                <w:noProof/>
                <w:sz w:val="18"/>
                <w:szCs w:val="18"/>
              </w:rPr>
              <w:t>EUR 1500</w:t>
            </w:r>
          </w:p>
          <w:p w14:paraId="66F8E8E6" w14:textId="254D85C7" w:rsidR="42911850" w:rsidRDefault="42911850">
            <w:pPr>
              <w:rPr>
                <w:noProof/>
              </w:rPr>
            </w:pPr>
            <w:r w:rsidRPr="42911850">
              <w:rPr>
                <w:rFonts w:ascii="Calibri" w:eastAsia="Calibri" w:hAnsi="Calibri" w:cs="Calibri"/>
                <w:noProof/>
                <w:sz w:val="18"/>
                <w:szCs w:val="18"/>
              </w:rPr>
              <w:t>EUR 20 000 in case of refusal to pay</w:t>
            </w:r>
          </w:p>
          <w:p w14:paraId="72A43FFF" w14:textId="6BED46A4" w:rsidR="42911850" w:rsidRDefault="42911850">
            <w:pPr>
              <w:rPr>
                <w:noProof/>
              </w:rPr>
            </w:pPr>
            <w:r w:rsidRPr="42911850">
              <w:rPr>
                <w:rFonts w:ascii="Calibri" w:eastAsia="Calibri" w:hAnsi="Calibri" w:cs="Calibri"/>
                <w:noProof/>
                <w:sz w:val="18"/>
                <w:szCs w:val="18"/>
              </w:rPr>
              <w:t>EUR 500</w:t>
            </w:r>
          </w:p>
        </w:tc>
      </w:tr>
      <w:tr w:rsidR="42911850" w14:paraId="25212162" w14:textId="77777777" w:rsidTr="42911850">
        <w:trPr>
          <w:trHeight w:val="45"/>
        </w:trPr>
        <w:tc>
          <w:tcPr>
            <w:tcW w:w="638" w:type="dxa"/>
            <w:vMerge/>
            <w:tcBorders>
              <w:left w:val="single" w:sz="0" w:space="0" w:color="auto"/>
              <w:right w:val="single" w:sz="0" w:space="0" w:color="auto"/>
            </w:tcBorders>
            <w:vAlign w:val="center"/>
          </w:tcPr>
          <w:p w14:paraId="431EFC28"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3F70F6C0" w14:textId="4F0D9C75"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00DCB68E" w14:textId="71FB188D" w:rsidR="42911850" w:rsidRDefault="42911850">
            <w:pPr>
              <w:rPr>
                <w:noProof/>
              </w:rPr>
            </w:pPr>
            <w:r w:rsidRPr="42911850">
              <w:rPr>
                <w:rFonts w:ascii="Calibri" w:eastAsia="Calibri" w:hAnsi="Calibri" w:cs="Calibri"/>
                <w:b/>
                <w:bCs/>
                <w:noProof/>
                <w:sz w:val="16"/>
                <w:szCs w:val="16"/>
                <w:u w:val="single"/>
              </w:rPr>
              <w:t>Scope ratione materiae</w:t>
            </w:r>
          </w:p>
          <w:p w14:paraId="71DE8F38" w14:textId="21E5CC53" w:rsidR="42911850" w:rsidRDefault="42911850">
            <w:pPr>
              <w:rPr>
                <w:noProof/>
              </w:rPr>
            </w:pPr>
            <w:r w:rsidRPr="42911850">
              <w:rPr>
                <w:rFonts w:ascii="Calibri" w:eastAsia="Calibri" w:hAnsi="Calibri" w:cs="Calibri"/>
                <w:noProof/>
                <w:sz w:val="18"/>
                <w:szCs w:val="18"/>
              </w:rPr>
              <w:t>1) Failure or refusal by the Reporting Entity to submit the CbCR</w:t>
            </w:r>
          </w:p>
          <w:p w14:paraId="7DE886A2" w14:textId="1372790B" w:rsidR="42911850" w:rsidRDefault="42911850">
            <w:pPr>
              <w:rPr>
                <w:noProof/>
              </w:rPr>
            </w:pPr>
            <w:r w:rsidRPr="42911850">
              <w:rPr>
                <w:rFonts w:ascii="Calibri" w:eastAsia="Calibri" w:hAnsi="Calibri" w:cs="Calibri"/>
                <w:noProof/>
                <w:sz w:val="18"/>
                <w:szCs w:val="18"/>
              </w:rPr>
              <w:t xml:space="preserve"> </w:t>
            </w:r>
          </w:p>
          <w:p w14:paraId="7B35FEAF" w14:textId="29F4F4DD" w:rsidR="42911850" w:rsidRDefault="42911850">
            <w:pPr>
              <w:rPr>
                <w:noProof/>
              </w:rPr>
            </w:pPr>
            <w:r w:rsidRPr="42911850">
              <w:rPr>
                <w:rFonts w:ascii="Calibri" w:eastAsia="Calibri" w:hAnsi="Calibri" w:cs="Calibri"/>
                <w:noProof/>
                <w:sz w:val="18"/>
                <w:szCs w:val="18"/>
              </w:rPr>
              <w:t>2) Failure by the Constituent Entity to notify the tax administration that the Ultimate Parent Entity has not provided the necessary information</w:t>
            </w:r>
          </w:p>
          <w:p w14:paraId="70C99488" w14:textId="3E26D350" w:rsidR="42911850" w:rsidRDefault="42911850">
            <w:pPr>
              <w:rPr>
                <w:noProof/>
              </w:rPr>
            </w:pPr>
            <w:r w:rsidRPr="42911850">
              <w:rPr>
                <w:rFonts w:ascii="Calibri" w:eastAsia="Calibri" w:hAnsi="Calibri" w:cs="Calibri"/>
                <w:noProof/>
                <w:sz w:val="18"/>
                <w:szCs w:val="18"/>
              </w:rPr>
              <w:t xml:space="preserve"> </w:t>
            </w:r>
          </w:p>
          <w:p w14:paraId="526872C5" w14:textId="23039CD4" w:rsidR="42911850" w:rsidRDefault="42911850">
            <w:pPr>
              <w:rPr>
                <w:noProof/>
              </w:rPr>
            </w:pPr>
            <w:r w:rsidRPr="42911850">
              <w:rPr>
                <w:rFonts w:ascii="Calibri" w:eastAsia="Calibri" w:hAnsi="Calibri" w:cs="Calibri"/>
                <w:noProof/>
                <w:sz w:val="18"/>
                <w:szCs w:val="18"/>
              </w:rPr>
              <w:t>3) Failure to keep the underlying documents for the CbC Report</w:t>
            </w:r>
          </w:p>
          <w:p w14:paraId="0FBC6E75" w14:textId="0B9E3C51" w:rsidR="42911850" w:rsidRDefault="42911850">
            <w:pPr>
              <w:rPr>
                <w:noProof/>
              </w:rPr>
            </w:pPr>
            <w:r w:rsidRPr="42911850">
              <w:rPr>
                <w:rFonts w:ascii="Calibri" w:eastAsia="Calibri" w:hAnsi="Calibri" w:cs="Calibri"/>
                <w:noProof/>
                <w:sz w:val="18"/>
                <w:szCs w:val="18"/>
              </w:rPr>
              <w:t xml:space="preserve"> </w:t>
            </w:r>
          </w:p>
          <w:p w14:paraId="6877F2AD" w14:textId="70CD5C21" w:rsidR="42911850" w:rsidRDefault="42911850">
            <w:pPr>
              <w:rPr>
                <w:noProof/>
              </w:rPr>
            </w:pPr>
            <w:r w:rsidRPr="42911850">
              <w:rPr>
                <w:rFonts w:ascii="Calibri" w:eastAsia="Calibri" w:hAnsi="Calibri" w:cs="Calibri"/>
                <w:noProof/>
                <w:sz w:val="18"/>
                <w:szCs w:val="18"/>
              </w:rPr>
              <w:t>4) Failure to provide further information for the purposes of checking its correctness and completeness in the context of CbCR obligations</w:t>
            </w:r>
          </w:p>
          <w:p w14:paraId="0AEABB30" w14:textId="0E959D31" w:rsidR="42911850" w:rsidRDefault="42911850">
            <w:pPr>
              <w:rPr>
                <w:noProof/>
              </w:rPr>
            </w:pPr>
            <w:r w:rsidRPr="42911850">
              <w:rPr>
                <w:rFonts w:ascii="Calibri" w:eastAsia="Calibri" w:hAnsi="Calibri" w:cs="Calibri"/>
                <w:b/>
                <w:bCs/>
                <w:noProof/>
                <w:sz w:val="16"/>
                <w:szCs w:val="16"/>
                <w:lang w:val="en-IE"/>
              </w:rPr>
              <w:t xml:space="preserve"> </w:t>
            </w:r>
          </w:p>
          <w:p w14:paraId="739E16EB" w14:textId="5553B64F" w:rsidR="42911850" w:rsidRDefault="42911850">
            <w:pPr>
              <w:rPr>
                <w:noProof/>
              </w:rPr>
            </w:pPr>
            <w:r w:rsidRPr="42911850">
              <w:rPr>
                <w:rFonts w:ascii="Calibri" w:eastAsia="Calibri" w:hAnsi="Calibri" w:cs="Calibri"/>
                <w:b/>
                <w:bCs/>
                <w:noProof/>
                <w:sz w:val="16"/>
                <w:szCs w:val="16"/>
                <w:u w:val="single"/>
                <w:lang w:val="en-IE"/>
              </w:rPr>
              <w:t>Personal scope</w:t>
            </w:r>
          </w:p>
          <w:p w14:paraId="5E1ADE7E" w14:textId="1534590A"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Constituent entities and reporting entities can only be legal persons</w:t>
            </w:r>
          </w:p>
          <w:p w14:paraId="51CE4E88" w14:textId="607B3771"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7D09B4A5" w14:textId="3B400FCD" w:rsidR="42911850" w:rsidRDefault="42911850">
            <w:pPr>
              <w:rPr>
                <w:noProof/>
              </w:rPr>
            </w:pPr>
            <w:r w:rsidRPr="42911850">
              <w:rPr>
                <w:rFonts w:ascii="Calibri" w:eastAsia="Calibri" w:hAnsi="Calibri" w:cs="Calibri"/>
                <w:noProof/>
                <w:sz w:val="18"/>
                <w:szCs w:val="18"/>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364E074E" w14:textId="58380698" w:rsidR="42911850" w:rsidRDefault="42911850">
            <w:pPr>
              <w:rPr>
                <w:noProof/>
              </w:rPr>
            </w:pPr>
            <w:r w:rsidRPr="42911850">
              <w:rPr>
                <w:rFonts w:ascii="Calibri" w:eastAsia="Calibri" w:hAnsi="Calibri" w:cs="Calibri"/>
                <w:noProof/>
                <w:sz w:val="18"/>
                <w:szCs w:val="18"/>
              </w:rPr>
              <w:t xml:space="preserve"> </w:t>
            </w:r>
          </w:p>
          <w:p w14:paraId="08D686CE" w14:textId="75D75EB8"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p w14:paraId="44FB83EB" w14:textId="2E975A98" w:rsidR="42911850" w:rsidRDefault="42911850">
            <w:pPr>
              <w:rPr>
                <w:noProof/>
              </w:rPr>
            </w:pPr>
            <w:r w:rsidRPr="42911850">
              <w:rPr>
                <w:rFonts w:ascii="Calibri" w:eastAsia="Calibri" w:hAnsi="Calibri" w:cs="Calibri"/>
                <w:noProof/>
                <w:sz w:val="16"/>
                <w:szCs w:val="16"/>
              </w:rPr>
              <w:t xml:space="preserve"> </w:t>
            </w:r>
          </w:p>
          <w:p w14:paraId="49C055B4" w14:textId="3B9FFBF3" w:rsidR="42911850" w:rsidRDefault="42911850">
            <w:pPr>
              <w:rPr>
                <w:noProof/>
              </w:rPr>
            </w:pPr>
            <w:r w:rsidRPr="42911850">
              <w:rPr>
                <w:rFonts w:ascii="Calibri" w:eastAsia="Calibri" w:hAnsi="Calibri" w:cs="Calibri"/>
                <w:noProof/>
                <w:sz w:val="16"/>
                <w:szCs w:val="16"/>
              </w:rPr>
              <w:t>Not</w:t>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determined</w:t>
            </w:r>
          </w:p>
          <w:p w14:paraId="5292D3BC" w14:textId="33E0F8E3" w:rsidR="42911850" w:rsidRDefault="42911850">
            <w:pPr>
              <w:rPr>
                <w:noProof/>
              </w:rPr>
            </w:pPr>
            <w:r w:rsidRPr="42911850">
              <w:rPr>
                <w:rFonts w:ascii="Calibri" w:eastAsia="Calibri" w:hAnsi="Calibri" w:cs="Calibri"/>
                <w:noProof/>
                <w:sz w:val="18"/>
                <w:szCs w:val="18"/>
              </w:rPr>
              <w:t xml:space="preserve"> </w:t>
            </w:r>
          </w:p>
          <w:p w14:paraId="1CD712CA" w14:textId="6B055043" w:rsidR="42911850" w:rsidRDefault="42911850">
            <w:pPr>
              <w:rPr>
                <w:noProof/>
              </w:rPr>
            </w:pPr>
            <w:r w:rsidRPr="42911850">
              <w:rPr>
                <w:rFonts w:ascii="Calibri" w:eastAsia="Calibri" w:hAnsi="Calibri" w:cs="Calibri"/>
                <w:noProof/>
                <w:sz w:val="18"/>
                <w:szCs w:val="18"/>
              </w:rPr>
              <w:t xml:space="preserve"> </w:t>
            </w:r>
          </w:p>
          <w:p w14:paraId="54EC67E5" w14:textId="4792DC83" w:rsidR="42911850" w:rsidRDefault="42911850">
            <w:pPr>
              <w:rPr>
                <w:noProof/>
              </w:rPr>
            </w:pPr>
            <w:r w:rsidRPr="42911850">
              <w:rPr>
                <w:rFonts w:ascii="Calibri" w:eastAsia="Calibri" w:hAnsi="Calibri" w:cs="Calibri"/>
                <w:noProof/>
                <w:sz w:val="18"/>
                <w:szCs w:val="18"/>
              </w:rPr>
              <w:t>Not determined</w:t>
            </w:r>
          </w:p>
          <w:p w14:paraId="09D8BC77" w14:textId="1812201E" w:rsidR="42911850" w:rsidRDefault="42911850">
            <w:pPr>
              <w:rPr>
                <w:noProof/>
              </w:rPr>
            </w:pPr>
            <w:r w:rsidRPr="42911850">
              <w:rPr>
                <w:rFonts w:ascii="Calibri" w:eastAsia="Calibri" w:hAnsi="Calibri" w:cs="Calibri"/>
                <w:noProof/>
                <w:sz w:val="18"/>
                <w:szCs w:val="18"/>
              </w:rPr>
              <w:t xml:space="preserve"> </w:t>
            </w:r>
          </w:p>
          <w:p w14:paraId="0CD801D5" w14:textId="05EB52A3" w:rsidR="42911850" w:rsidRDefault="42911850">
            <w:pPr>
              <w:rPr>
                <w:noProof/>
              </w:rPr>
            </w:pPr>
            <w:r w:rsidRPr="42911850">
              <w:rPr>
                <w:rFonts w:ascii="Calibri" w:eastAsia="Calibri" w:hAnsi="Calibri" w:cs="Calibri"/>
                <w:noProof/>
                <w:sz w:val="18"/>
                <w:szCs w:val="18"/>
              </w:rPr>
              <w:t>Not determined</w:t>
            </w:r>
          </w:p>
        </w:tc>
        <w:tc>
          <w:tcPr>
            <w:tcW w:w="2175" w:type="dxa"/>
            <w:tcBorders>
              <w:top w:val="single" w:sz="8" w:space="0" w:color="auto"/>
              <w:left w:val="single" w:sz="8" w:space="0" w:color="auto"/>
              <w:bottom w:val="single" w:sz="8" w:space="0" w:color="auto"/>
              <w:right w:val="single" w:sz="8" w:space="0" w:color="auto"/>
            </w:tcBorders>
          </w:tcPr>
          <w:p w14:paraId="38E76D04" w14:textId="64F665AA" w:rsidR="42911850" w:rsidRDefault="42911850">
            <w:pPr>
              <w:rPr>
                <w:noProof/>
              </w:rPr>
            </w:pPr>
            <w:r w:rsidRPr="42911850">
              <w:rPr>
                <w:rFonts w:ascii="Calibri" w:eastAsia="Calibri" w:hAnsi="Calibri" w:cs="Calibri"/>
                <w:noProof/>
                <w:sz w:val="18"/>
                <w:szCs w:val="18"/>
              </w:rPr>
              <w:t xml:space="preserve"> </w:t>
            </w:r>
          </w:p>
          <w:p w14:paraId="4ED240BC" w14:textId="6593C8D7" w:rsidR="42911850" w:rsidRDefault="42911850">
            <w:pPr>
              <w:rPr>
                <w:noProof/>
              </w:rPr>
            </w:pPr>
            <w:r w:rsidRPr="42911850">
              <w:rPr>
                <w:rFonts w:ascii="Calibri" w:eastAsia="Calibri" w:hAnsi="Calibri" w:cs="Calibri"/>
                <w:noProof/>
                <w:sz w:val="18"/>
                <w:szCs w:val="18"/>
              </w:rPr>
              <w:t>EUR 10 000</w:t>
            </w:r>
          </w:p>
          <w:p w14:paraId="11300292" w14:textId="5CB7A80D" w:rsidR="42911850" w:rsidRDefault="42911850">
            <w:pPr>
              <w:rPr>
                <w:noProof/>
              </w:rPr>
            </w:pPr>
            <w:r w:rsidRPr="42911850">
              <w:rPr>
                <w:rFonts w:ascii="Calibri" w:eastAsia="Calibri" w:hAnsi="Calibri" w:cs="Calibri"/>
                <w:noProof/>
                <w:sz w:val="18"/>
                <w:szCs w:val="18"/>
              </w:rPr>
              <w:t>EUR 20 000 in case of refusal to pay</w:t>
            </w:r>
          </w:p>
          <w:p w14:paraId="5340D488" w14:textId="19BF8622" w:rsidR="42911850" w:rsidRDefault="42911850">
            <w:pPr>
              <w:rPr>
                <w:noProof/>
              </w:rPr>
            </w:pPr>
            <w:r w:rsidRPr="42911850">
              <w:rPr>
                <w:rFonts w:ascii="Calibri" w:eastAsia="Calibri" w:hAnsi="Calibri" w:cs="Calibri"/>
                <w:noProof/>
                <w:sz w:val="18"/>
                <w:szCs w:val="18"/>
              </w:rPr>
              <w:t>EUR 5000</w:t>
            </w:r>
          </w:p>
          <w:p w14:paraId="209F23E4" w14:textId="09CED8A4" w:rsidR="42911850" w:rsidRDefault="42911850">
            <w:pPr>
              <w:rPr>
                <w:noProof/>
              </w:rPr>
            </w:pPr>
            <w:r w:rsidRPr="42911850">
              <w:rPr>
                <w:rFonts w:ascii="Calibri" w:eastAsia="Calibri" w:hAnsi="Calibri" w:cs="Calibri"/>
                <w:noProof/>
                <w:color w:val="000000" w:themeColor="text1"/>
                <w:sz w:val="18"/>
                <w:szCs w:val="18"/>
              </w:rPr>
              <w:t>EUR 20 000 in case of refusal to pay</w:t>
            </w:r>
          </w:p>
          <w:p w14:paraId="733973F4" w14:textId="2150EE6E" w:rsidR="42911850" w:rsidRDefault="42911850">
            <w:pPr>
              <w:rPr>
                <w:noProof/>
              </w:rPr>
            </w:pPr>
            <w:r w:rsidRPr="42911850">
              <w:rPr>
                <w:rFonts w:ascii="Calibri" w:eastAsia="Calibri" w:hAnsi="Calibri" w:cs="Calibri"/>
                <w:noProof/>
                <w:sz w:val="18"/>
                <w:szCs w:val="18"/>
              </w:rPr>
              <w:t xml:space="preserve"> </w:t>
            </w:r>
          </w:p>
          <w:p w14:paraId="2002771B" w14:textId="4B095717" w:rsidR="42911850" w:rsidRDefault="42911850">
            <w:pPr>
              <w:rPr>
                <w:noProof/>
              </w:rPr>
            </w:pPr>
            <w:r w:rsidRPr="42911850">
              <w:rPr>
                <w:rFonts w:ascii="Calibri" w:eastAsia="Calibri" w:hAnsi="Calibri" w:cs="Calibri"/>
                <w:noProof/>
                <w:sz w:val="18"/>
                <w:szCs w:val="18"/>
              </w:rPr>
              <w:t>EUR 1500</w:t>
            </w:r>
          </w:p>
          <w:p w14:paraId="7E13A6F5" w14:textId="4F95A91F" w:rsidR="42911850" w:rsidRDefault="42911850">
            <w:pPr>
              <w:rPr>
                <w:noProof/>
              </w:rPr>
            </w:pPr>
            <w:r w:rsidRPr="42911850">
              <w:rPr>
                <w:rFonts w:ascii="Calibri" w:eastAsia="Calibri" w:hAnsi="Calibri" w:cs="Calibri"/>
                <w:noProof/>
                <w:color w:val="000000" w:themeColor="text1"/>
                <w:sz w:val="18"/>
                <w:szCs w:val="18"/>
              </w:rPr>
              <w:t>EUR 20 000 in case of refusal to pay</w:t>
            </w:r>
          </w:p>
          <w:p w14:paraId="2633F0C7" w14:textId="27487FA5" w:rsidR="42911850" w:rsidRDefault="42911850">
            <w:pPr>
              <w:rPr>
                <w:noProof/>
              </w:rPr>
            </w:pPr>
            <w:r w:rsidRPr="42911850">
              <w:rPr>
                <w:rFonts w:ascii="Calibri" w:eastAsia="Calibri" w:hAnsi="Calibri" w:cs="Calibri"/>
                <w:noProof/>
                <w:sz w:val="18"/>
                <w:szCs w:val="18"/>
              </w:rPr>
              <w:t>EUR 500</w:t>
            </w:r>
          </w:p>
          <w:p w14:paraId="03CD322D" w14:textId="5B3B1222" w:rsidR="42911850" w:rsidRDefault="42911850">
            <w:pPr>
              <w:rPr>
                <w:noProof/>
              </w:rPr>
            </w:pPr>
            <w:r w:rsidRPr="42911850">
              <w:rPr>
                <w:rFonts w:ascii="Calibri" w:eastAsia="Calibri" w:hAnsi="Calibri" w:cs="Calibri"/>
                <w:noProof/>
                <w:color w:val="000000" w:themeColor="text1"/>
                <w:sz w:val="18"/>
                <w:szCs w:val="18"/>
              </w:rPr>
              <w:t>EUR 20 000 in case of refusal to pay</w:t>
            </w:r>
          </w:p>
        </w:tc>
      </w:tr>
      <w:tr w:rsidR="42911850" w14:paraId="52BC9C15"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4EDD92D4"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F9C067C" w14:textId="40D2B19C"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4BCB9657" w14:textId="4BFCDEA6" w:rsidR="42911850" w:rsidRDefault="42911850">
            <w:pPr>
              <w:rPr>
                <w:noProof/>
              </w:rPr>
            </w:pPr>
            <w:r w:rsidRPr="42911850">
              <w:rPr>
                <w:rFonts w:ascii="Calibri" w:eastAsia="Calibri" w:hAnsi="Calibri" w:cs="Calibri"/>
                <w:b/>
                <w:bCs/>
                <w:noProof/>
                <w:sz w:val="16"/>
                <w:szCs w:val="16"/>
                <w:u w:val="single"/>
              </w:rPr>
              <w:t>Scope ratione materiae</w:t>
            </w:r>
          </w:p>
          <w:p w14:paraId="58017811" w14:textId="68E9BA56" w:rsidR="42911850" w:rsidRDefault="42911850">
            <w:pPr>
              <w:rPr>
                <w:noProof/>
              </w:rPr>
            </w:pPr>
            <w:r w:rsidRPr="42911850">
              <w:rPr>
                <w:rFonts w:ascii="Calibri" w:eastAsia="Calibri" w:hAnsi="Calibri" w:cs="Calibri"/>
                <w:noProof/>
                <w:sz w:val="18"/>
                <w:szCs w:val="18"/>
              </w:rPr>
              <w:t>1) Failure by the intermediary or the relevant taxpayer to report a cross-border arrangement</w:t>
            </w:r>
          </w:p>
          <w:p w14:paraId="271B39BE" w14:textId="4A1415E8" w:rsidR="42911850" w:rsidRDefault="42911850">
            <w:pPr>
              <w:rPr>
                <w:noProof/>
              </w:rPr>
            </w:pPr>
            <w:r w:rsidRPr="42911850">
              <w:rPr>
                <w:rFonts w:ascii="Calibri" w:eastAsia="Calibri" w:hAnsi="Calibri" w:cs="Calibri"/>
                <w:noProof/>
                <w:sz w:val="18"/>
                <w:szCs w:val="18"/>
              </w:rPr>
              <w:t>2) Late reporting (&lt;90 days overdue)</w:t>
            </w:r>
          </w:p>
          <w:p w14:paraId="1019568A" w14:textId="539A73B9" w:rsidR="42911850" w:rsidRDefault="42911850">
            <w:pPr>
              <w:rPr>
                <w:noProof/>
              </w:rPr>
            </w:pPr>
            <w:r w:rsidRPr="42911850">
              <w:rPr>
                <w:rFonts w:ascii="Calibri" w:eastAsia="Calibri" w:hAnsi="Calibri" w:cs="Calibri"/>
                <w:noProof/>
                <w:sz w:val="18"/>
                <w:szCs w:val="18"/>
              </w:rPr>
              <w:t>3) Late reporting (&gt;90 days overdue)</w:t>
            </w:r>
          </w:p>
          <w:p w14:paraId="35F4693E" w14:textId="297368E0" w:rsidR="42911850" w:rsidRDefault="42911850">
            <w:pPr>
              <w:rPr>
                <w:noProof/>
              </w:rPr>
            </w:pPr>
            <w:r w:rsidRPr="42911850">
              <w:rPr>
                <w:rFonts w:ascii="Calibri" w:eastAsia="Calibri" w:hAnsi="Calibri" w:cs="Calibri"/>
                <w:noProof/>
                <w:sz w:val="18"/>
                <w:szCs w:val="18"/>
              </w:rPr>
              <w:t>4) In case of using the legal professional privilege waiver, failure to notify other intermediaries or the relevant taxpayer</w:t>
            </w:r>
          </w:p>
          <w:p w14:paraId="0558927F" w14:textId="459936D7" w:rsidR="42911850" w:rsidRDefault="42911850">
            <w:pPr>
              <w:rPr>
                <w:noProof/>
              </w:rPr>
            </w:pPr>
            <w:r w:rsidRPr="42911850">
              <w:rPr>
                <w:rFonts w:ascii="Calibri" w:eastAsia="Calibri" w:hAnsi="Calibri" w:cs="Calibri"/>
                <w:noProof/>
                <w:sz w:val="18"/>
                <w:szCs w:val="18"/>
              </w:rPr>
              <w:t>5) Late notification of other intermediaries or the relevant taxpayer (&lt;90 days overdue)</w:t>
            </w:r>
          </w:p>
          <w:p w14:paraId="535A1DF8" w14:textId="0C975708" w:rsidR="42911850" w:rsidRDefault="42911850">
            <w:pPr>
              <w:rPr>
                <w:noProof/>
              </w:rPr>
            </w:pPr>
            <w:r w:rsidRPr="42911850">
              <w:rPr>
                <w:rFonts w:ascii="Calibri" w:eastAsia="Calibri" w:hAnsi="Calibri" w:cs="Calibri"/>
                <w:noProof/>
                <w:sz w:val="18"/>
                <w:szCs w:val="18"/>
              </w:rPr>
              <w:t>6) Late notification of other intermediaries or the relevant taxpayer (&gt;90 days overdue)</w:t>
            </w:r>
          </w:p>
          <w:p w14:paraId="5DB29567" w14:textId="229D18BB" w:rsidR="42911850" w:rsidRDefault="42911850">
            <w:pPr>
              <w:rPr>
                <w:noProof/>
              </w:rPr>
            </w:pPr>
            <w:r w:rsidRPr="42911850">
              <w:rPr>
                <w:rFonts w:ascii="Calibri" w:eastAsia="Calibri" w:hAnsi="Calibri" w:cs="Calibri"/>
                <w:b/>
                <w:bCs/>
                <w:noProof/>
                <w:sz w:val="16"/>
                <w:szCs w:val="16"/>
                <w:lang w:val="en-IE"/>
              </w:rPr>
              <w:t xml:space="preserve"> </w:t>
            </w:r>
          </w:p>
          <w:p w14:paraId="3CE7E558" w14:textId="1F05D492" w:rsidR="42911850" w:rsidRDefault="42911850">
            <w:pPr>
              <w:rPr>
                <w:noProof/>
              </w:rPr>
            </w:pPr>
            <w:r w:rsidRPr="42911850">
              <w:rPr>
                <w:rFonts w:ascii="Calibri" w:eastAsia="Calibri" w:hAnsi="Calibri" w:cs="Calibri"/>
                <w:b/>
                <w:bCs/>
                <w:noProof/>
                <w:sz w:val="16"/>
                <w:szCs w:val="16"/>
                <w:u w:val="single"/>
                <w:lang w:val="en-IE"/>
              </w:rPr>
              <w:t>Personal scope</w:t>
            </w:r>
          </w:p>
          <w:p w14:paraId="56A67ABD" w14:textId="5E02B796" w:rsidR="42911850" w:rsidRDefault="42911850">
            <w:pPr>
              <w:rPr>
                <w:noProof/>
              </w:rPr>
            </w:pPr>
            <w:r w:rsidRPr="42911850">
              <w:rPr>
                <w:rFonts w:ascii="Calibri" w:eastAsia="Calibri" w:hAnsi="Calibri" w:cs="Calibri"/>
                <w:noProof/>
                <w:sz w:val="18"/>
                <w:szCs w:val="18"/>
              </w:rPr>
              <w:t>Any natural person or any legal entity that has an obligation to report or notify</w:t>
            </w:r>
          </w:p>
          <w:p w14:paraId="3E21F70F" w14:textId="178B65F5"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22179DFD" w14:textId="4509EB7C" w:rsidR="42911850" w:rsidRDefault="42911850">
            <w:pPr>
              <w:rPr>
                <w:noProof/>
              </w:rPr>
            </w:pPr>
            <w:r w:rsidRPr="42911850">
              <w:rPr>
                <w:rFonts w:ascii="Calibri" w:eastAsia="Calibri" w:hAnsi="Calibri" w:cs="Calibri"/>
                <w:noProof/>
                <w:sz w:val="18"/>
                <w:szCs w:val="18"/>
                <w:lang w:val="en-IE"/>
              </w:rPr>
              <w:t>Penalties are applicable per (individual) infringement or late fulfilment of the abovementioned obligations</w:t>
            </w:r>
          </w:p>
        </w:tc>
        <w:tc>
          <w:tcPr>
            <w:tcW w:w="1757" w:type="dxa"/>
            <w:tcBorders>
              <w:top w:val="single" w:sz="8" w:space="0" w:color="auto"/>
              <w:left w:val="single" w:sz="8" w:space="0" w:color="auto"/>
              <w:bottom w:val="single" w:sz="8" w:space="0" w:color="auto"/>
              <w:right w:val="single" w:sz="8" w:space="0" w:color="auto"/>
            </w:tcBorders>
          </w:tcPr>
          <w:p w14:paraId="0640657A" w14:textId="782F80C2" w:rsidR="42911850" w:rsidRDefault="42911850">
            <w:pPr>
              <w:rPr>
                <w:noProof/>
              </w:rPr>
            </w:pPr>
            <w:r w:rsidRPr="42911850">
              <w:rPr>
                <w:rFonts w:ascii="Calibri" w:eastAsia="Calibri" w:hAnsi="Calibri" w:cs="Calibri"/>
                <w:noProof/>
                <w:sz w:val="18"/>
                <w:szCs w:val="18"/>
              </w:rPr>
              <w:t xml:space="preserve"> </w:t>
            </w:r>
          </w:p>
          <w:p w14:paraId="4AE25014" w14:textId="7A4FF858" w:rsidR="42911850" w:rsidRPr="00AE537F" w:rsidRDefault="42911850">
            <w:pPr>
              <w:rPr>
                <w:noProof/>
                <w:lang w:val="fr-BE"/>
              </w:rPr>
            </w:pPr>
            <w:r w:rsidRPr="42911850">
              <w:rPr>
                <w:rFonts w:ascii="Calibri" w:eastAsia="Calibri" w:hAnsi="Calibri" w:cs="Calibri"/>
                <w:noProof/>
                <w:sz w:val="18"/>
                <w:szCs w:val="18"/>
                <w:lang w:val="fr-BE"/>
              </w:rPr>
              <w:t>EUR 10 000</w:t>
            </w:r>
          </w:p>
          <w:p w14:paraId="553B7AAC" w14:textId="2570FF61" w:rsidR="42911850" w:rsidRPr="00AE537F" w:rsidRDefault="42911850">
            <w:pPr>
              <w:rPr>
                <w:noProof/>
                <w:lang w:val="fr-BE"/>
              </w:rPr>
            </w:pPr>
            <w:r w:rsidRPr="42911850">
              <w:rPr>
                <w:rFonts w:ascii="Calibri" w:eastAsia="Calibri" w:hAnsi="Calibri" w:cs="Calibri"/>
                <w:noProof/>
                <w:sz w:val="18"/>
                <w:szCs w:val="18"/>
                <w:lang w:val="fr-BE"/>
              </w:rPr>
              <w:t>EUR 1000</w:t>
            </w:r>
          </w:p>
          <w:p w14:paraId="4624B951" w14:textId="0D1EEF41" w:rsidR="42911850" w:rsidRPr="00AE537F" w:rsidRDefault="42911850">
            <w:pPr>
              <w:rPr>
                <w:noProof/>
                <w:lang w:val="fr-BE"/>
              </w:rPr>
            </w:pPr>
            <w:r w:rsidRPr="42911850">
              <w:rPr>
                <w:rFonts w:ascii="Calibri" w:eastAsia="Calibri" w:hAnsi="Calibri" w:cs="Calibri"/>
                <w:noProof/>
                <w:sz w:val="18"/>
                <w:szCs w:val="18"/>
                <w:lang w:val="fr-BE"/>
              </w:rPr>
              <w:t>EUR 5000</w:t>
            </w:r>
          </w:p>
          <w:p w14:paraId="67FFD607" w14:textId="26B3ED7B"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AAF290B" w14:textId="13422B35" w:rsidR="42911850" w:rsidRPr="00AE537F" w:rsidRDefault="42911850">
            <w:pPr>
              <w:rPr>
                <w:noProof/>
                <w:lang w:val="fr-BE"/>
              </w:rPr>
            </w:pPr>
            <w:r w:rsidRPr="42911850">
              <w:rPr>
                <w:rFonts w:ascii="Calibri" w:eastAsia="Calibri" w:hAnsi="Calibri" w:cs="Calibri"/>
                <w:noProof/>
                <w:sz w:val="18"/>
                <w:szCs w:val="18"/>
                <w:lang w:val="fr-BE"/>
              </w:rPr>
              <w:t>EUR 10 000</w:t>
            </w:r>
          </w:p>
          <w:p w14:paraId="2E3345EC" w14:textId="03478714" w:rsidR="42911850" w:rsidRPr="00AE537F" w:rsidRDefault="42911850">
            <w:pPr>
              <w:rPr>
                <w:noProof/>
                <w:lang w:val="fr-BE"/>
              </w:rPr>
            </w:pPr>
            <w:r w:rsidRPr="42911850">
              <w:rPr>
                <w:rFonts w:ascii="Calibri" w:eastAsia="Calibri" w:hAnsi="Calibri" w:cs="Calibri"/>
                <w:noProof/>
                <w:sz w:val="18"/>
                <w:szCs w:val="18"/>
                <w:lang w:val="fr-BE"/>
              </w:rPr>
              <w:t>EUR 1000</w:t>
            </w:r>
          </w:p>
          <w:p w14:paraId="765AF727" w14:textId="2B136E4F"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59BB098A" w14:textId="0E708AE8" w:rsidR="42911850" w:rsidRDefault="42911850">
            <w:pPr>
              <w:rPr>
                <w:noProof/>
              </w:rPr>
            </w:pPr>
            <w:r w:rsidRPr="42911850">
              <w:rPr>
                <w:rFonts w:ascii="Calibri" w:eastAsia="Calibri" w:hAnsi="Calibri" w:cs="Calibri"/>
                <w:noProof/>
                <w:sz w:val="18"/>
                <w:szCs w:val="18"/>
              </w:rPr>
              <w:t>EUR 5000</w:t>
            </w:r>
          </w:p>
        </w:tc>
        <w:tc>
          <w:tcPr>
            <w:tcW w:w="2175" w:type="dxa"/>
            <w:tcBorders>
              <w:top w:val="single" w:sz="8" w:space="0" w:color="auto"/>
              <w:left w:val="single" w:sz="8" w:space="0" w:color="auto"/>
              <w:bottom w:val="single" w:sz="8" w:space="0" w:color="auto"/>
              <w:right w:val="single" w:sz="8" w:space="0" w:color="auto"/>
            </w:tcBorders>
          </w:tcPr>
          <w:p w14:paraId="688610B0" w14:textId="055BA58C"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76AE6E72" w14:textId="3D8B27E8" w:rsidR="42911850" w:rsidRPr="00AE537F" w:rsidRDefault="42911850">
            <w:pPr>
              <w:rPr>
                <w:noProof/>
                <w:lang w:val="fr-BE"/>
              </w:rPr>
            </w:pPr>
            <w:r w:rsidRPr="42911850">
              <w:rPr>
                <w:rFonts w:ascii="Calibri" w:eastAsia="Calibri" w:hAnsi="Calibri" w:cs="Calibri"/>
                <w:noProof/>
                <w:sz w:val="18"/>
                <w:szCs w:val="18"/>
                <w:lang w:val="fr-BE"/>
              </w:rPr>
              <w:t>EUR 20 000</w:t>
            </w:r>
          </w:p>
          <w:p w14:paraId="67282488" w14:textId="5D309ED9" w:rsidR="42911850" w:rsidRPr="00AE537F" w:rsidRDefault="42911850">
            <w:pPr>
              <w:rPr>
                <w:noProof/>
                <w:lang w:val="fr-BE"/>
              </w:rPr>
            </w:pPr>
            <w:r w:rsidRPr="42911850">
              <w:rPr>
                <w:rFonts w:ascii="Calibri" w:eastAsia="Calibri" w:hAnsi="Calibri" w:cs="Calibri"/>
                <w:noProof/>
                <w:sz w:val="18"/>
                <w:szCs w:val="18"/>
                <w:lang w:val="fr-BE"/>
              </w:rPr>
              <w:t>EUR 5000</w:t>
            </w:r>
          </w:p>
          <w:p w14:paraId="2F620404" w14:textId="49C653BF" w:rsidR="42911850" w:rsidRPr="00AE537F" w:rsidRDefault="42911850">
            <w:pPr>
              <w:rPr>
                <w:noProof/>
                <w:lang w:val="fr-BE"/>
              </w:rPr>
            </w:pPr>
            <w:r w:rsidRPr="42911850">
              <w:rPr>
                <w:rFonts w:ascii="Calibri" w:eastAsia="Calibri" w:hAnsi="Calibri" w:cs="Calibri"/>
                <w:noProof/>
                <w:sz w:val="18"/>
                <w:szCs w:val="18"/>
                <w:lang w:val="fr-BE"/>
              </w:rPr>
              <w:t>EUR 20 000</w:t>
            </w:r>
          </w:p>
          <w:p w14:paraId="502BD237" w14:textId="4E042E6B"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3C88F9A1" w14:textId="046A5B12" w:rsidR="42911850" w:rsidRPr="00AE537F" w:rsidRDefault="42911850">
            <w:pPr>
              <w:rPr>
                <w:noProof/>
                <w:lang w:val="fr-BE"/>
              </w:rPr>
            </w:pPr>
            <w:r w:rsidRPr="42911850">
              <w:rPr>
                <w:rFonts w:ascii="Calibri" w:eastAsia="Calibri" w:hAnsi="Calibri" w:cs="Calibri"/>
                <w:noProof/>
                <w:sz w:val="18"/>
                <w:szCs w:val="18"/>
                <w:lang w:val="fr-BE"/>
              </w:rPr>
              <w:t>EUR 20 000</w:t>
            </w:r>
          </w:p>
          <w:p w14:paraId="62E4A7AE" w14:textId="2506CE25" w:rsidR="42911850" w:rsidRPr="00AE537F" w:rsidRDefault="42911850">
            <w:pPr>
              <w:rPr>
                <w:noProof/>
                <w:lang w:val="fr-BE"/>
              </w:rPr>
            </w:pPr>
            <w:r w:rsidRPr="42911850">
              <w:rPr>
                <w:rFonts w:ascii="Calibri" w:eastAsia="Calibri" w:hAnsi="Calibri" w:cs="Calibri"/>
                <w:noProof/>
                <w:sz w:val="18"/>
                <w:szCs w:val="18"/>
                <w:lang w:val="fr-BE"/>
              </w:rPr>
              <w:t>EUR 5000</w:t>
            </w:r>
          </w:p>
          <w:p w14:paraId="198A9A44" w14:textId="12F2B266"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39FA5C0D" w14:textId="2F052C39" w:rsidR="42911850" w:rsidRDefault="42911850">
            <w:pPr>
              <w:rPr>
                <w:noProof/>
              </w:rPr>
            </w:pPr>
            <w:r w:rsidRPr="42911850">
              <w:rPr>
                <w:rFonts w:ascii="Calibri" w:eastAsia="Calibri" w:hAnsi="Calibri" w:cs="Calibri"/>
                <w:noProof/>
                <w:sz w:val="18"/>
                <w:szCs w:val="18"/>
              </w:rPr>
              <w:t>EUR 20 000</w:t>
            </w:r>
          </w:p>
        </w:tc>
      </w:tr>
      <w:tr w:rsidR="42911850" w14:paraId="0913BAFE"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38EC3E1C" w14:textId="535D5934" w:rsidR="42911850" w:rsidRDefault="42911850">
            <w:pPr>
              <w:rPr>
                <w:noProof/>
              </w:rPr>
            </w:pPr>
            <w:r w:rsidRPr="42911850">
              <w:rPr>
                <w:rFonts w:ascii="Calibri" w:eastAsia="Calibri" w:hAnsi="Calibri" w:cs="Calibri"/>
                <w:b/>
                <w:bCs/>
                <w:noProof/>
                <w:sz w:val="18"/>
                <w:szCs w:val="18"/>
              </w:rPr>
              <w:t>CZ</w:t>
            </w:r>
          </w:p>
        </w:tc>
        <w:tc>
          <w:tcPr>
            <w:tcW w:w="1025" w:type="dxa"/>
            <w:tcBorders>
              <w:top w:val="single" w:sz="8" w:space="0" w:color="auto"/>
              <w:left w:val="single" w:sz="8" w:space="0" w:color="auto"/>
              <w:bottom w:val="single" w:sz="8" w:space="0" w:color="auto"/>
              <w:right w:val="single" w:sz="8" w:space="0" w:color="auto"/>
            </w:tcBorders>
          </w:tcPr>
          <w:p w14:paraId="5A9797F9" w14:textId="7BE559EB"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31F710EA" w14:textId="0BB6F790"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6B903607" w14:textId="041FD895"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060857BC" w14:textId="46882021" w:rsidR="42911850" w:rsidRDefault="42911850">
            <w:pPr>
              <w:rPr>
                <w:noProof/>
              </w:rPr>
            </w:pPr>
            <w:r w:rsidRPr="42911850">
              <w:rPr>
                <w:rFonts w:ascii="Calibri" w:eastAsia="Calibri" w:hAnsi="Calibri" w:cs="Calibri"/>
                <w:noProof/>
                <w:sz w:val="18"/>
                <w:szCs w:val="18"/>
              </w:rPr>
              <w:t xml:space="preserve"> </w:t>
            </w:r>
          </w:p>
        </w:tc>
      </w:tr>
      <w:tr w:rsidR="42911850" w14:paraId="3BA695B6" w14:textId="77777777" w:rsidTr="42911850">
        <w:trPr>
          <w:trHeight w:val="45"/>
        </w:trPr>
        <w:tc>
          <w:tcPr>
            <w:tcW w:w="638" w:type="dxa"/>
            <w:vMerge/>
            <w:tcBorders>
              <w:left w:val="single" w:sz="0" w:space="0" w:color="auto"/>
              <w:right w:val="single" w:sz="0" w:space="0" w:color="auto"/>
            </w:tcBorders>
            <w:vAlign w:val="center"/>
          </w:tcPr>
          <w:p w14:paraId="7AA369C2"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DDC9A39" w14:textId="491FA566"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2D29DB81" w14:textId="41C7B14F" w:rsidR="42911850" w:rsidRDefault="42911850" w:rsidP="00AE537F">
            <w:pPr>
              <w:pStyle w:val="ListParagraph"/>
              <w:numPr>
                <w:ilvl w:val="0"/>
                <w:numId w:val="64"/>
              </w:numPr>
              <w:spacing w:line="276" w:lineRule="auto"/>
              <w:rPr>
                <w:rFonts w:eastAsiaTheme="minorEastAsia"/>
                <w:noProof/>
                <w:sz w:val="18"/>
                <w:szCs w:val="18"/>
              </w:rPr>
            </w:pPr>
            <w:r w:rsidRPr="42911850">
              <w:rPr>
                <w:noProof/>
                <w:sz w:val="18"/>
                <w:szCs w:val="18"/>
              </w:rPr>
              <w:t>Not providing notification (= no reporting): penalty up to CZK 500,000 = general penalties</w:t>
            </w:r>
          </w:p>
          <w:p w14:paraId="0E7499AE" w14:textId="741C9787"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C2D7BBF" w14:textId="320254FC" w:rsidR="42911850" w:rsidRDefault="42911850" w:rsidP="00AE537F">
            <w:pPr>
              <w:pStyle w:val="ListParagraph"/>
              <w:numPr>
                <w:ilvl w:val="0"/>
                <w:numId w:val="64"/>
              </w:numPr>
              <w:spacing w:line="276" w:lineRule="auto"/>
              <w:rPr>
                <w:rFonts w:eastAsiaTheme="minorEastAsia"/>
                <w:noProof/>
                <w:sz w:val="18"/>
                <w:szCs w:val="18"/>
              </w:rPr>
            </w:pPr>
            <w:r w:rsidRPr="42911850">
              <w:rPr>
                <w:noProof/>
                <w:sz w:val="18"/>
                <w:szCs w:val="18"/>
              </w:rPr>
              <w:t>Not filing or incorrect filing (= wrong reporting): penalty up to CZK 1.5 million = 57.000 EUR</w:t>
            </w:r>
          </w:p>
          <w:p w14:paraId="6E586974" w14:textId="143ABECC"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41D42850" w14:textId="78B0DDC7" w:rsidR="42911850" w:rsidRDefault="42911850">
            <w:pPr>
              <w:rPr>
                <w:noProof/>
              </w:rPr>
            </w:pPr>
            <w:r w:rsidRPr="42911850">
              <w:rPr>
                <w:rFonts w:ascii="Calibri" w:eastAsia="Calibri" w:hAnsi="Calibri" w:cs="Calibri"/>
                <w:noProof/>
                <w:sz w:val="18"/>
                <w:szCs w:val="18"/>
              </w:rPr>
              <w:t>By any reporting entity</w:t>
            </w:r>
          </w:p>
        </w:tc>
        <w:tc>
          <w:tcPr>
            <w:tcW w:w="1757" w:type="dxa"/>
            <w:tcBorders>
              <w:top w:val="single" w:sz="8" w:space="0" w:color="auto"/>
              <w:left w:val="single" w:sz="8" w:space="0" w:color="auto"/>
              <w:bottom w:val="single" w:sz="8" w:space="0" w:color="auto"/>
              <w:right w:val="single" w:sz="8" w:space="0" w:color="auto"/>
            </w:tcBorders>
          </w:tcPr>
          <w:p w14:paraId="7E0D442E" w14:textId="05250C8D" w:rsidR="42911850" w:rsidRDefault="42911850">
            <w:pPr>
              <w:rPr>
                <w:noProof/>
              </w:rPr>
            </w:pPr>
            <w:r w:rsidRPr="42911850">
              <w:rPr>
                <w:rFonts w:ascii="Calibri" w:eastAsia="Calibri" w:hAnsi="Calibri" w:cs="Calibri"/>
                <w:noProof/>
                <w:sz w:val="18"/>
                <w:szCs w:val="18"/>
              </w:rPr>
              <w:t>No minimum amount</w:t>
            </w:r>
          </w:p>
        </w:tc>
        <w:tc>
          <w:tcPr>
            <w:tcW w:w="2175" w:type="dxa"/>
            <w:tcBorders>
              <w:top w:val="single" w:sz="8" w:space="0" w:color="auto"/>
              <w:left w:val="single" w:sz="8" w:space="0" w:color="auto"/>
              <w:bottom w:val="single" w:sz="8" w:space="0" w:color="auto"/>
              <w:right w:val="single" w:sz="8" w:space="0" w:color="auto"/>
            </w:tcBorders>
          </w:tcPr>
          <w:p w14:paraId="09CFE639" w14:textId="3446D977" w:rsidR="42911850" w:rsidRDefault="42911850" w:rsidP="00AE537F">
            <w:pPr>
              <w:pStyle w:val="ListParagraph"/>
              <w:numPr>
                <w:ilvl w:val="0"/>
                <w:numId w:val="63"/>
              </w:numPr>
              <w:spacing w:line="276" w:lineRule="auto"/>
              <w:rPr>
                <w:rFonts w:eastAsiaTheme="minorEastAsia"/>
                <w:noProof/>
                <w:sz w:val="18"/>
                <w:szCs w:val="18"/>
              </w:rPr>
            </w:pPr>
            <w:r w:rsidRPr="42911850">
              <w:rPr>
                <w:noProof/>
                <w:sz w:val="18"/>
                <w:szCs w:val="18"/>
              </w:rPr>
              <w:t>penalty up to CZK 500,000 (EUR 20,000) = general penalties (no specific penalties for DAC4)</w:t>
            </w:r>
          </w:p>
          <w:p w14:paraId="5C7491F0" w14:textId="039B404C"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550D0EC8" w14:textId="6DC5FB1C" w:rsidR="42911850" w:rsidRDefault="42911850" w:rsidP="00AE537F">
            <w:pPr>
              <w:pStyle w:val="ListParagraph"/>
              <w:numPr>
                <w:ilvl w:val="0"/>
                <w:numId w:val="63"/>
              </w:numPr>
              <w:spacing w:line="276" w:lineRule="auto"/>
              <w:rPr>
                <w:rFonts w:eastAsiaTheme="minorEastAsia"/>
                <w:noProof/>
                <w:sz w:val="18"/>
                <w:szCs w:val="18"/>
              </w:rPr>
            </w:pPr>
            <w:r w:rsidRPr="42911850">
              <w:rPr>
                <w:noProof/>
                <w:sz w:val="18"/>
                <w:szCs w:val="18"/>
              </w:rPr>
              <w:t>penalty up to CZK 1.5 million (EUR 60.000) = general penalties (no specific penalties for DAC4)</w:t>
            </w:r>
          </w:p>
          <w:p w14:paraId="3B2D4436" w14:textId="49C61C3C"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0909E661" w14:textId="1B87BD63" w:rsidR="42911850" w:rsidRDefault="42911850">
            <w:pPr>
              <w:rPr>
                <w:noProof/>
              </w:rPr>
            </w:pPr>
            <w:r w:rsidRPr="42911850">
              <w:rPr>
                <w:rFonts w:ascii="Calibri" w:eastAsia="Calibri" w:hAnsi="Calibri" w:cs="Calibri"/>
                <w:noProof/>
                <w:sz w:val="18"/>
                <w:szCs w:val="18"/>
              </w:rPr>
              <w:t xml:space="preserve"> </w:t>
            </w:r>
          </w:p>
        </w:tc>
      </w:tr>
      <w:tr w:rsidR="42911850" w14:paraId="75663505"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3115E8A3"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3E8CBEEB" w14:textId="3574967F"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6FA3BBB7" w14:textId="0E1FE9A6" w:rsidR="42911850" w:rsidRDefault="42911850">
            <w:pPr>
              <w:rPr>
                <w:noProof/>
              </w:rPr>
            </w:pPr>
            <w:r w:rsidRPr="42911850">
              <w:rPr>
                <w:rFonts w:ascii="Calibri" w:eastAsia="Calibri" w:hAnsi="Calibri" w:cs="Calibri"/>
                <w:noProof/>
                <w:sz w:val="18"/>
                <w:szCs w:val="18"/>
              </w:rPr>
              <w:t>All infractions (absence of reporting, late reporting, wrong reporting)</w:t>
            </w:r>
          </w:p>
          <w:p w14:paraId="41D8C5CC" w14:textId="0BB9254D" w:rsidR="42911850" w:rsidRDefault="42911850">
            <w:pPr>
              <w:rPr>
                <w:noProof/>
              </w:rPr>
            </w:pPr>
            <w:r w:rsidRPr="42911850">
              <w:rPr>
                <w:rFonts w:ascii="Calibri" w:eastAsia="Calibri" w:hAnsi="Calibri" w:cs="Calibri"/>
                <w:noProof/>
                <w:sz w:val="18"/>
                <w:szCs w:val="18"/>
              </w:rPr>
              <w:t>By any intermediary (natural/legal)</w:t>
            </w:r>
          </w:p>
          <w:p w14:paraId="4050EEF3" w14:textId="03DECF55"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73A06331" w14:textId="7FAD4474" w:rsidR="42911850" w:rsidRDefault="42911850">
            <w:pPr>
              <w:rPr>
                <w:noProof/>
              </w:rPr>
            </w:pPr>
            <w:r w:rsidRPr="42911850">
              <w:rPr>
                <w:rFonts w:ascii="Calibri" w:eastAsia="Calibri" w:hAnsi="Calibri" w:cs="Calibri"/>
                <w:noProof/>
                <w:sz w:val="18"/>
                <w:szCs w:val="18"/>
              </w:rPr>
              <w:t>No minimum amount</w:t>
            </w:r>
          </w:p>
        </w:tc>
        <w:tc>
          <w:tcPr>
            <w:tcW w:w="2175" w:type="dxa"/>
            <w:tcBorders>
              <w:top w:val="single" w:sz="8" w:space="0" w:color="auto"/>
              <w:left w:val="single" w:sz="8" w:space="0" w:color="auto"/>
              <w:bottom w:val="single" w:sz="8" w:space="0" w:color="auto"/>
              <w:right w:val="single" w:sz="8" w:space="0" w:color="auto"/>
            </w:tcBorders>
          </w:tcPr>
          <w:p w14:paraId="03384F5C" w14:textId="2303D73E"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Up to CZK 500,000  (EUR 20,000] = general penalties (no specific penalties for DAC6)</w:t>
            </w:r>
          </w:p>
          <w:p w14:paraId="2C0662D6" w14:textId="1FD44E07" w:rsidR="42911850" w:rsidRDefault="42911850">
            <w:pPr>
              <w:rPr>
                <w:noProof/>
              </w:rPr>
            </w:pPr>
            <w:r w:rsidRPr="42911850">
              <w:rPr>
                <w:rFonts w:ascii="Calibri" w:eastAsia="Calibri" w:hAnsi="Calibri" w:cs="Calibri"/>
                <w:noProof/>
                <w:sz w:val="18"/>
                <w:szCs w:val="18"/>
              </w:rPr>
              <w:t xml:space="preserve"> </w:t>
            </w:r>
          </w:p>
        </w:tc>
      </w:tr>
      <w:tr w:rsidR="42911850" w14:paraId="6E5CFA41"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08C8825D" w14:textId="50FC6AF3" w:rsidR="42911850" w:rsidRDefault="42911850">
            <w:pPr>
              <w:rPr>
                <w:noProof/>
              </w:rPr>
            </w:pPr>
            <w:r w:rsidRPr="42911850">
              <w:rPr>
                <w:rFonts w:ascii="Calibri" w:eastAsia="Calibri" w:hAnsi="Calibri" w:cs="Calibri"/>
                <w:b/>
                <w:bCs/>
                <w:noProof/>
                <w:sz w:val="18"/>
                <w:szCs w:val="18"/>
              </w:rPr>
              <w:t>DE</w:t>
            </w:r>
          </w:p>
        </w:tc>
        <w:tc>
          <w:tcPr>
            <w:tcW w:w="1025" w:type="dxa"/>
            <w:tcBorders>
              <w:top w:val="single" w:sz="8" w:space="0" w:color="auto"/>
              <w:left w:val="single" w:sz="8" w:space="0" w:color="auto"/>
              <w:bottom w:val="single" w:sz="8" w:space="0" w:color="auto"/>
              <w:right w:val="single" w:sz="8" w:space="0" w:color="auto"/>
            </w:tcBorders>
          </w:tcPr>
          <w:p w14:paraId="3514EFB2" w14:textId="38421959"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333D9AA8" w14:textId="237DD434" w:rsidR="42911850" w:rsidRDefault="42911850" w:rsidP="00AE537F">
            <w:pPr>
              <w:pStyle w:val="ListParagraph"/>
              <w:numPr>
                <w:ilvl w:val="0"/>
                <w:numId w:val="62"/>
              </w:numPr>
              <w:spacing w:line="257" w:lineRule="auto"/>
              <w:rPr>
                <w:rFonts w:eastAsiaTheme="minorEastAsia"/>
                <w:b/>
                <w:bCs/>
                <w:noProof/>
                <w:sz w:val="16"/>
                <w:szCs w:val="16"/>
              </w:rPr>
            </w:pPr>
            <w:r w:rsidRPr="42911850">
              <w:rPr>
                <w:b/>
                <w:bCs/>
                <w:noProof/>
                <w:sz w:val="16"/>
                <w:szCs w:val="16"/>
                <w:u w:val="single"/>
              </w:rPr>
              <w:t>Scope ratione materiae</w:t>
            </w:r>
            <w:r w:rsidRPr="42911850">
              <w:rPr>
                <w:b/>
                <w:bCs/>
                <w:noProof/>
                <w:sz w:val="16"/>
                <w:szCs w:val="16"/>
              </w:rPr>
              <w:t xml:space="preserve">  </w:t>
            </w:r>
          </w:p>
          <w:p w14:paraId="3CCDA063" w14:textId="4EC17F6B"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u w:val="single"/>
                <w:lang w:val="en-IE"/>
              </w:rPr>
              <w:t>Scenario 2</w:t>
            </w:r>
            <w:r w:rsidRPr="42911850">
              <w:rPr>
                <w:rFonts w:ascii="Calibri" w:eastAsia="Calibri" w:hAnsi="Calibri" w:cs="Calibri"/>
                <w:noProof/>
                <w:sz w:val="16"/>
                <w:szCs w:val="16"/>
                <w:lang w:val="en-IE"/>
              </w:rPr>
              <w:t xml:space="preserve">: </w:t>
            </w:r>
            <w:r w:rsidRPr="42911850">
              <w:rPr>
                <w:rFonts w:ascii="Calibri" w:eastAsia="Calibri" w:hAnsi="Calibri" w:cs="Calibri"/>
                <w:noProof/>
                <w:sz w:val="16"/>
                <w:szCs w:val="16"/>
              </w:rPr>
              <w:t>No differentiation in fines for different reporting categories</w:t>
            </w:r>
            <w:r w:rsidRPr="42911850">
              <w:rPr>
                <w:rFonts w:ascii="Calibri" w:eastAsia="Calibri" w:hAnsi="Calibri" w:cs="Calibri"/>
                <w:noProof/>
                <w:sz w:val="16"/>
                <w:szCs w:val="16"/>
                <w:lang w:val="en-IE"/>
              </w:rPr>
              <w:t>.</w:t>
            </w:r>
          </w:p>
          <w:p w14:paraId="6B55E087" w14:textId="5AB485EA" w:rsidR="42911850" w:rsidRDefault="42911850" w:rsidP="00AE537F">
            <w:pPr>
              <w:pStyle w:val="ListParagraph"/>
              <w:numPr>
                <w:ilvl w:val="0"/>
                <w:numId w:val="61"/>
              </w:numPr>
              <w:spacing w:line="257" w:lineRule="auto"/>
              <w:rPr>
                <w:rFonts w:eastAsiaTheme="minorEastAsia"/>
                <w:b/>
                <w:bCs/>
                <w:noProof/>
                <w:sz w:val="16"/>
                <w:szCs w:val="16"/>
                <w:lang w:val="en-IE"/>
              </w:rPr>
            </w:pPr>
            <w:r w:rsidRPr="42911850">
              <w:rPr>
                <w:b/>
                <w:bCs/>
                <w:noProof/>
                <w:sz w:val="16"/>
                <w:szCs w:val="16"/>
                <w:u w:val="single"/>
                <w:lang w:val="en-IE"/>
              </w:rPr>
              <w:t xml:space="preserve">Personal scope: </w:t>
            </w:r>
            <w:r w:rsidRPr="42911850">
              <w:rPr>
                <w:noProof/>
                <w:sz w:val="16"/>
                <w:szCs w:val="16"/>
                <w:lang w:val="en-IE"/>
              </w:rPr>
              <w:t>Natural persons / legal persons</w:t>
            </w:r>
          </w:p>
          <w:p w14:paraId="149A8E16" w14:textId="0C4D5067" w:rsidR="42911850" w:rsidRDefault="42911850" w:rsidP="00AE537F">
            <w:pPr>
              <w:pStyle w:val="ListParagraph"/>
              <w:numPr>
                <w:ilvl w:val="0"/>
                <w:numId w:val="61"/>
              </w:numPr>
              <w:spacing w:line="257" w:lineRule="auto"/>
              <w:rPr>
                <w:rFonts w:eastAsiaTheme="minorEastAsia"/>
                <w:b/>
                <w:bCs/>
                <w:noProof/>
                <w:sz w:val="16"/>
                <w:szCs w:val="16"/>
                <w:lang w:val="en-IE"/>
              </w:rPr>
            </w:pPr>
            <w:r w:rsidRPr="42911850">
              <w:rPr>
                <w:b/>
                <w:bCs/>
                <w:noProof/>
                <w:sz w:val="16"/>
                <w:szCs w:val="16"/>
                <w:u w:val="single"/>
                <w:lang w:val="en-IE"/>
              </w:rPr>
              <w:t>Individual / Cumulative application</w:t>
            </w:r>
            <w:r w:rsidRPr="42911850">
              <w:rPr>
                <w:b/>
                <w:bCs/>
                <w:noProof/>
                <w:sz w:val="16"/>
                <w:szCs w:val="16"/>
                <w:lang w:val="en-IE"/>
              </w:rPr>
              <w:t xml:space="preserve">: </w:t>
            </w:r>
            <w:r w:rsidRPr="42911850">
              <w:rPr>
                <w:noProof/>
                <w:sz w:val="16"/>
                <w:szCs w:val="16"/>
                <w:lang w:val="en-IE"/>
              </w:rPr>
              <w:t>Penalties are applied per person and per infringement.</w:t>
            </w:r>
          </w:p>
        </w:tc>
        <w:tc>
          <w:tcPr>
            <w:tcW w:w="1757" w:type="dxa"/>
            <w:tcBorders>
              <w:top w:val="single" w:sz="8" w:space="0" w:color="auto"/>
              <w:left w:val="single" w:sz="8" w:space="0" w:color="auto"/>
              <w:bottom w:val="single" w:sz="8" w:space="0" w:color="auto"/>
              <w:right w:val="single" w:sz="8" w:space="0" w:color="auto"/>
            </w:tcBorders>
          </w:tcPr>
          <w:p w14:paraId="7481F9D5" w14:textId="5E87924F" w:rsidR="42911850" w:rsidRDefault="42911850">
            <w:pPr>
              <w:rPr>
                <w:noProof/>
              </w:rPr>
            </w:pPr>
            <w:r w:rsidRPr="42911850">
              <w:rPr>
                <w:rFonts w:ascii="Calibri" w:eastAsia="Calibri" w:hAnsi="Calibri" w:cs="Calibri"/>
                <w:noProof/>
                <w:sz w:val="16"/>
                <w:szCs w:val="16"/>
              </w:rPr>
              <w:t xml:space="preserve">Not determined </w:t>
            </w:r>
          </w:p>
        </w:tc>
        <w:tc>
          <w:tcPr>
            <w:tcW w:w="2175" w:type="dxa"/>
            <w:tcBorders>
              <w:top w:val="single" w:sz="8" w:space="0" w:color="auto"/>
              <w:left w:val="single" w:sz="8" w:space="0" w:color="auto"/>
              <w:bottom w:val="single" w:sz="8" w:space="0" w:color="auto"/>
              <w:right w:val="single" w:sz="8" w:space="0" w:color="auto"/>
            </w:tcBorders>
          </w:tcPr>
          <w:p w14:paraId="74530753" w14:textId="1EF97EE8" w:rsidR="42911850" w:rsidRDefault="42911850">
            <w:pPr>
              <w:rPr>
                <w:noProof/>
              </w:rPr>
            </w:pPr>
            <w:r w:rsidRPr="42911850">
              <w:rPr>
                <w:rFonts w:ascii="Calibri" w:eastAsia="Calibri" w:hAnsi="Calibri" w:cs="Calibri"/>
                <w:noProof/>
                <w:sz w:val="16"/>
                <w:szCs w:val="16"/>
                <w:lang w:val="en-IE"/>
              </w:rPr>
              <w:t>Up to 50 000 EUR</w:t>
            </w:r>
          </w:p>
        </w:tc>
      </w:tr>
      <w:tr w:rsidR="42911850" w14:paraId="4CB628AF" w14:textId="77777777" w:rsidTr="42911850">
        <w:trPr>
          <w:trHeight w:val="45"/>
        </w:trPr>
        <w:tc>
          <w:tcPr>
            <w:tcW w:w="638" w:type="dxa"/>
            <w:vMerge/>
            <w:tcBorders>
              <w:left w:val="single" w:sz="0" w:space="0" w:color="auto"/>
              <w:right w:val="single" w:sz="0" w:space="0" w:color="auto"/>
            </w:tcBorders>
            <w:vAlign w:val="center"/>
          </w:tcPr>
          <w:p w14:paraId="1022A359"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6AD7EF18" w14:textId="4321A00F"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4148B564" w14:textId="70EAD037" w:rsidR="42911850" w:rsidRDefault="42911850" w:rsidP="00AE537F">
            <w:pPr>
              <w:pStyle w:val="ListParagraph"/>
              <w:numPr>
                <w:ilvl w:val="0"/>
                <w:numId w:val="62"/>
              </w:numPr>
              <w:spacing w:line="257" w:lineRule="auto"/>
              <w:rPr>
                <w:rFonts w:eastAsiaTheme="minorEastAsia"/>
                <w:b/>
                <w:bCs/>
                <w:noProof/>
                <w:sz w:val="16"/>
                <w:szCs w:val="16"/>
              </w:rPr>
            </w:pPr>
            <w:r w:rsidRPr="42911850">
              <w:rPr>
                <w:b/>
                <w:bCs/>
                <w:noProof/>
                <w:sz w:val="16"/>
                <w:szCs w:val="16"/>
                <w:u w:val="single"/>
              </w:rPr>
              <w:t>Scope ratione materiae</w:t>
            </w:r>
            <w:r w:rsidRPr="42911850">
              <w:rPr>
                <w:b/>
                <w:bCs/>
                <w:noProof/>
                <w:sz w:val="16"/>
                <w:szCs w:val="16"/>
              </w:rPr>
              <w:t xml:space="preserve">  </w:t>
            </w:r>
          </w:p>
          <w:p w14:paraId="79ECFC31" w14:textId="72482D27"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u w:val="single"/>
                <w:lang w:val="en-IE"/>
              </w:rPr>
              <w:t>Scenario 2</w:t>
            </w:r>
            <w:r w:rsidRPr="42911850">
              <w:rPr>
                <w:rFonts w:ascii="Calibri" w:eastAsia="Calibri" w:hAnsi="Calibri" w:cs="Calibri"/>
                <w:noProof/>
                <w:sz w:val="16"/>
                <w:szCs w:val="16"/>
                <w:lang w:val="en-IE"/>
              </w:rPr>
              <w:t xml:space="preserve">: </w:t>
            </w:r>
            <w:r w:rsidRPr="42911850">
              <w:rPr>
                <w:rFonts w:ascii="Calibri" w:eastAsia="Calibri" w:hAnsi="Calibri" w:cs="Calibri"/>
                <w:noProof/>
                <w:sz w:val="16"/>
                <w:szCs w:val="16"/>
              </w:rPr>
              <w:t>No differentiation in fines for different reporting categories</w:t>
            </w:r>
            <w:r w:rsidRPr="42911850">
              <w:rPr>
                <w:rFonts w:ascii="Calibri" w:eastAsia="Calibri" w:hAnsi="Calibri" w:cs="Calibri"/>
                <w:noProof/>
                <w:sz w:val="16"/>
                <w:szCs w:val="16"/>
                <w:lang w:val="en-IE"/>
              </w:rPr>
              <w:t>.</w:t>
            </w:r>
          </w:p>
          <w:p w14:paraId="043E95A6" w14:textId="0ACD8A62" w:rsidR="42911850" w:rsidRDefault="42911850" w:rsidP="00AE537F">
            <w:pPr>
              <w:pStyle w:val="ListParagraph"/>
              <w:numPr>
                <w:ilvl w:val="0"/>
                <w:numId w:val="60"/>
              </w:numPr>
              <w:spacing w:line="257" w:lineRule="auto"/>
              <w:rPr>
                <w:rFonts w:eastAsiaTheme="minorEastAsia"/>
                <w:b/>
                <w:bCs/>
                <w:noProof/>
                <w:sz w:val="16"/>
                <w:szCs w:val="16"/>
                <w:lang w:val="en-IE"/>
              </w:rPr>
            </w:pPr>
            <w:r w:rsidRPr="42911850">
              <w:rPr>
                <w:b/>
                <w:bCs/>
                <w:noProof/>
                <w:sz w:val="16"/>
                <w:szCs w:val="16"/>
                <w:u w:val="single"/>
                <w:lang w:val="en-IE"/>
              </w:rPr>
              <w:t>Personal scope</w:t>
            </w:r>
            <w:r w:rsidRPr="42911850">
              <w:rPr>
                <w:b/>
                <w:bCs/>
                <w:noProof/>
                <w:sz w:val="16"/>
                <w:szCs w:val="16"/>
                <w:lang w:val="en-IE"/>
              </w:rPr>
              <w:t xml:space="preserve"> </w:t>
            </w:r>
          </w:p>
          <w:p w14:paraId="4D2035DA" w14:textId="3B952BE2"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lang w:val="en-IE"/>
              </w:rPr>
              <w:t>Fines for infringement to DAC4 only refers to legal persons</w:t>
            </w:r>
          </w:p>
          <w:p w14:paraId="18165917" w14:textId="2FD21187" w:rsidR="42911850" w:rsidRDefault="42911850" w:rsidP="00AE537F">
            <w:pPr>
              <w:pStyle w:val="ListParagraph"/>
              <w:numPr>
                <w:ilvl w:val="0"/>
                <w:numId w:val="62"/>
              </w:numPr>
              <w:spacing w:line="257" w:lineRule="auto"/>
              <w:rPr>
                <w:rFonts w:eastAsiaTheme="minorEastAsia"/>
                <w:b/>
                <w:bCs/>
                <w:noProof/>
                <w:sz w:val="16"/>
                <w:szCs w:val="16"/>
                <w:lang w:val="en-IE"/>
              </w:rPr>
            </w:pPr>
            <w:r w:rsidRPr="42911850">
              <w:rPr>
                <w:b/>
                <w:bCs/>
                <w:noProof/>
                <w:sz w:val="16"/>
                <w:szCs w:val="16"/>
                <w:u w:val="single"/>
              </w:rPr>
              <w:t xml:space="preserve">Individual/Cumulative application: </w:t>
            </w:r>
            <w:r w:rsidRPr="42911850">
              <w:rPr>
                <w:noProof/>
                <w:sz w:val="16"/>
                <w:szCs w:val="16"/>
                <w:lang w:val="en-IE"/>
              </w:rPr>
              <w:t>Penalties are applied per person and per infringement</w:t>
            </w:r>
          </w:p>
        </w:tc>
        <w:tc>
          <w:tcPr>
            <w:tcW w:w="1757" w:type="dxa"/>
            <w:tcBorders>
              <w:top w:val="single" w:sz="8" w:space="0" w:color="auto"/>
              <w:left w:val="single" w:sz="8" w:space="0" w:color="auto"/>
              <w:bottom w:val="single" w:sz="8" w:space="0" w:color="auto"/>
              <w:right w:val="single" w:sz="8" w:space="0" w:color="auto"/>
            </w:tcBorders>
          </w:tcPr>
          <w:p w14:paraId="12610984" w14:textId="43A1C42F" w:rsidR="42911850" w:rsidRDefault="42911850">
            <w:pPr>
              <w:rPr>
                <w:noProof/>
              </w:rPr>
            </w:pPr>
            <w:r w:rsidRPr="42911850">
              <w:rPr>
                <w:rFonts w:ascii="Calibri" w:eastAsia="Calibri" w:hAnsi="Calibri" w:cs="Calibri"/>
                <w:noProof/>
                <w:sz w:val="16"/>
                <w:szCs w:val="16"/>
              </w:rPr>
              <w:t>Not determined</w:t>
            </w:r>
          </w:p>
        </w:tc>
        <w:tc>
          <w:tcPr>
            <w:tcW w:w="2175" w:type="dxa"/>
            <w:tcBorders>
              <w:top w:val="single" w:sz="8" w:space="0" w:color="auto"/>
              <w:left w:val="single" w:sz="8" w:space="0" w:color="auto"/>
              <w:bottom w:val="single" w:sz="8" w:space="0" w:color="auto"/>
              <w:right w:val="single" w:sz="8" w:space="0" w:color="auto"/>
            </w:tcBorders>
          </w:tcPr>
          <w:p w14:paraId="01DDAA85" w14:textId="7D01B477" w:rsidR="42911850" w:rsidRDefault="42911850">
            <w:pPr>
              <w:rPr>
                <w:noProof/>
              </w:rPr>
            </w:pPr>
            <w:r w:rsidRPr="42911850">
              <w:rPr>
                <w:rFonts w:ascii="Calibri" w:eastAsia="Calibri" w:hAnsi="Calibri" w:cs="Calibri"/>
                <w:noProof/>
                <w:sz w:val="16"/>
                <w:szCs w:val="16"/>
              </w:rPr>
              <w:t xml:space="preserve">Up to 10 000 EUR </w:t>
            </w:r>
          </w:p>
        </w:tc>
      </w:tr>
      <w:tr w:rsidR="42911850" w14:paraId="11281368"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5EEA9F73"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5EE08B67" w14:textId="6F3B92FE"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07F17443" w14:textId="057C3C07" w:rsidR="42911850" w:rsidRDefault="42911850" w:rsidP="00AE537F">
            <w:pPr>
              <w:pStyle w:val="ListParagraph"/>
              <w:numPr>
                <w:ilvl w:val="0"/>
                <w:numId w:val="62"/>
              </w:numPr>
              <w:spacing w:line="257" w:lineRule="auto"/>
              <w:rPr>
                <w:rFonts w:eastAsiaTheme="minorEastAsia"/>
                <w:b/>
                <w:bCs/>
                <w:noProof/>
                <w:sz w:val="16"/>
                <w:szCs w:val="16"/>
              </w:rPr>
            </w:pPr>
            <w:r w:rsidRPr="42911850">
              <w:rPr>
                <w:b/>
                <w:bCs/>
                <w:noProof/>
                <w:sz w:val="16"/>
                <w:szCs w:val="16"/>
                <w:u w:val="single"/>
              </w:rPr>
              <w:t>Scope ratione materiae</w:t>
            </w:r>
            <w:r w:rsidRPr="42911850">
              <w:rPr>
                <w:b/>
                <w:bCs/>
                <w:noProof/>
                <w:sz w:val="16"/>
                <w:szCs w:val="16"/>
              </w:rPr>
              <w:t xml:space="preserve">  </w:t>
            </w:r>
          </w:p>
          <w:p w14:paraId="456FDECA" w14:textId="161EE292"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u w:val="single"/>
                <w:lang w:val="en-IE"/>
              </w:rPr>
              <w:t>Scenario 2</w:t>
            </w:r>
            <w:r w:rsidRPr="42911850">
              <w:rPr>
                <w:rFonts w:ascii="Calibri" w:eastAsia="Calibri" w:hAnsi="Calibri" w:cs="Calibri"/>
                <w:noProof/>
                <w:sz w:val="16"/>
                <w:szCs w:val="16"/>
                <w:lang w:val="en-IE"/>
              </w:rPr>
              <w:t xml:space="preserve">: </w:t>
            </w:r>
            <w:r w:rsidRPr="42911850">
              <w:rPr>
                <w:rFonts w:ascii="Calibri" w:eastAsia="Calibri" w:hAnsi="Calibri" w:cs="Calibri"/>
                <w:noProof/>
                <w:sz w:val="16"/>
                <w:szCs w:val="16"/>
              </w:rPr>
              <w:t>No differentiation in fines for different reporting categories</w:t>
            </w:r>
            <w:r w:rsidRPr="42911850">
              <w:rPr>
                <w:rFonts w:ascii="Calibri" w:eastAsia="Calibri" w:hAnsi="Calibri" w:cs="Calibri"/>
                <w:noProof/>
                <w:sz w:val="16"/>
                <w:szCs w:val="16"/>
                <w:lang w:val="en-IE"/>
              </w:rPr>
              <w:t xml:space="preserve">. </w:t>
            </w:r>
          </w:p>
          <w:p w14:paraId="05FCA13E" w14:textId="72C43C92" w:rsidR="42911850" w:rsidRDefault="42911850" w:rsidP="00AE537F">
            <w:pPr>
              <w:spacing w:line="257" w:lineRule="auto"/>
              <w:jc w:val="both"/>
              <w:rPr>
                <w:rFonts w:ascii="Calibri" w:eastAsia="Calibri" w:hAnsi="Calibri" w:cs="Calibri"/>
                <w:noProof/>
                <w:sz w:val="16"/>
                <w:szCs w:val="16"/>
                <w:lang w:val="en-IE"/>
              </w:rPr>
            </w:pPr>
            <w:r w:rsidRPr="42911850">
              <w:rPr>
                <w:rFonts w:ascii="Calibri" w:eastAsia="Calibri" w:hAnsi="Calibri" w:cs="Calibri"/>
                <w:noProof/>
                <w:sz w:val="16"/>
                <w:szCs w:val="16"/>
                <w:lang w:val="en-IE"/>
              </w:rPr>
              <w:t>Incomplete, late or non-filing of a cross-border arrangement</w:t>
            </w:r>
          </w:p>
          <w:p w14:paraId="6EAFA98D" w14:textId="4DCCF513" w:rsidR="42911850" w:rsidRDefault="42911850" w:rsidP="00AE537F">
            <w:pPr>
              <w:pStyle w:val="ListParagraph"/>
              <w:numPr>
                <w:ilvl w:val="0"/>
                <w:numId w:val="62"/>
              </w:numPr>
              <w:spacing w:line="257" w:lineRule="auto"/>
              <w:rPr>
                <w:rFonts w:eastAsiaTheme="minorEastAsia"/>
                <w:b/>
                <w:bCs/>
                <w:noProof/>
                <w:sz w:val="16"/>
                <w:szCs w:val="16"/>
              </w:rPr>
            </w:pPr>
            <w:r w:rsidRPr="42911850">
              <w:rPr>
                <w:b/>
                <w:bCs/>
                <w:noProof/>
                <w:sz w:val="16"/>
                <w:szCs w:val="16"/>
                <w:u w:val="single"/>
              </w:rPr>
              <w:t>Personal scope</w:t>
            </w:r>
            <w:r w:rsidRPr="42911850">
              <w:rPr>
                <w:noProof/>
                <w:sz w:val="16"/>
                <w:szCs w:val="16"/>
              </w:rPr>
              <w:t xml:space="preserve"> natural persons / legal persons </w:t>
            </w:r>
          </w:p>
          <w:p w14:paraId="18A40A79" w14:textId="058955B3" w:rsidR="42911850" w:rsidRDefault="42911850" w:rsidP="00AE537F">
            <w:pPr>
              <w:spacing w:line="252" w:lineRule="auto"/>
              <w:ind w:left="360" w:hanging="360"/>
              <w:rPr>
                <w:rFonts w:ascii="Calibri" w:eastAsia="Calibri" w:hAnsi="Calibri" w:cs="Calibri"/>
                <w:noProof/>
                <w:color w:val="1F497D"/>
                <w:sz w:val="16"/>
                <w:szCs w:val="16"/>
                <w:lang w:val="en-IE"/>
              </w:rPr>
            </w:pPr>
            <w:r w:rsidRPr="42911850">
              <w:rPr>
                <w:rFonts w:ascii="Calibri" w:eastAsia="Calibri" w:hAnsi="Calibri" w:cs="Calibri"/>
                <w:noProof/>
                <w:sz w:val="16"/>
                <w:szCs w:val="16"/>
              </w:rPr>
              <w:t>“</w:t>
            </w:r>
            <w:r w:rsidRPr="42911850">
              <w:rPr>
                <w:rFonts w:ascii="Calibri" w:eastAsia="Calibri" w:hAnsi="Calibri" w:cs="Calibri"/>
                <w:noProof/>
                <w:sz w:val="16"/>
                <w:szCs w:val="16"/>
                <w:lang w:val="en-IE"/>
              </w:rPr>
              <w:t xml:space="preserve">379 Abs. 2 Nr. 1e bis 1g AO « An administrative offence shall be deemed to be committed </w:t>
            </w:r>
            <w:r w:rsidRPr="42911850">
              <w:rPr>
                <w:rFonts w:ascii="Calibri" w:eastAsia="Calibri" w:hAnsi="Calibri" w:cs="Calibri"/>
                <w:i/>
                <w:iCs/>
                <w:noProof/>
                <w:sz w:val="16"/>
                <w:szCs w:val="16"/>
                <w:lang w:val="en-IE"/>
              </w:rPr>
              <w:t>by any person</w:t>
            </w:r>
            <w:r w:rsidRPr="42911850">
              <w:rPr>
                <w:rFonts w:ascii="Calibri" w:eastAsia="Calibri" w:hAnsi="Calibri" w:cs="Calibri"/>
                <w:noProof/>
                <w:sz w:val="16"/>
                <w:szCs w:val="16"/>
                <w:lang w:val="en-IE"/>
              </w:rPr>
              <w:t xml:space="preserve"> who intentionally or recklessly (…</w:t>
            </w:r>
            <w:r w:rsidRPr="42911850">
              <w:rPr>
                <w:rFonts w:ascii="Calibri" w:eastAsia="Calibri" w:hAnsi="Calibri" w:cs="Calibri"/>
                <w:noProof/>
                <w:color w:val="1F497D"/>
                <w:sz w:val="16"/>
                <w:szCs w:val="16"/>
                <w:lang w:val="en-IE"/>
              </w:rPr>
              <w:t>)”</w:t>
            </w:r>
          </w:p>
          <w:p w14:paraId="0FB6A44C" w14:textId="668A3F33" w:rsidR="42911850" w:rsidRDefault="42911850" w:rsidP="00AE537F">
            <w:pPr>
              <w:pStyle w:val="ListParagraph"/>
              <w:numPr>
                <w:ilvl w:val="0"/>
                <w:numId w:val="62"/>
              </w:numPr>
              <w:spacing w:line="257" w:lineRule="auto"/>
              <w:rPr>
                <w:rFonts w:eastAsiaTheme="minorEastAsia"/>
                <w:b/>
                <w:bCs/>
                <w:noProof/>
                <w:sz w:val="16"/>
                <w:szCs w:val="16"/>
                <w:u w:val="single"/>
              </w:rPr>
            </w:pPr>
            <w:r w:rsidRPr="42911850">
              <w:rPr>
                <w:b/>
                <w:bCs/>
                <w:noProof/>
                <w:sz w:val="16"/>
                <w:szCs w:val="16"/>
                <w:u w:val="single"/>
              </w:rPr>
              <w:t>Individual/Cumulative application</w:t>
            </w:r>
          </w:p>
          <w:p w14:paraId="53AD4615" w14:textId="47DC589E" w:rsidR="42911850" w:rsidRDefault="42911850" w:rsidP="00AE537F">
            <w:pPr>
              <w:rPr>
                <w:rFonts w:ascii="Calibri" w:eastAsia="Calibri" w:hAnsi="Calibri" w:cs="Calibri"/>
                <w:noProof/>
                <w:sz w:val="16"/>
                <w:szCs w:val="16"/>
                <w:lang w:val="en-IE"/>
              </w:rPr>
            </w:pPr>
            <w:r w:rsidRPr="42911850">
              <w:rPr>
                <w:rFonts w:ascii="Calibri" w:eastAsia="Calibri" w:hAnsi="Calibri" w:cs="Calibri"/>
                <w:noProof/>
                <w:sz w:val="16"/>
                <w:szCs w:val="16"/>
                <w:lang w:val="en-IE"/>
              </w:rPr>
              <w:t>Penalties are applicable per individual infringement of obligations under DAC6</w:t>
            </w:r>
          </w:p>
        </w:tc>
        <w:tc>
          <w:tcPr>
            <w:tcW w:w="1757" w:type="dxa"/>
            <w:tcBorders>
              <w:top w:val="single" w:sz="8" w:space="0" w:color="auto"/>
              <w:left w:val="single" w:sz="8" w:space="0" w:color="auto"/>
              <w:bottom w:val="single" w:sz="8" w:space="0" w:color="auto"/>
              <w:right w:val="single" w:sz="8" w:space="0" w:color="auto"/>
            </w:tcBorders>
          </w:tcPr>
          <w:p w14:paraId="2B1CC811" w14:textId="0B6488DF" w:rsidR="42911850" w:rsidRDefault="42911850">
            <w:pPr>
              <w:rPr>
                <w:noProof/>
              </w:rPr>
            </w:pPr>
            <w:r w:rsidRPr="42911850">
              <w:rPr>
                <w:rFonts w:ascii="Calibri" w:eastAsia="Calibri" w:hAnsi="Calibri" w:cs="Calibri"/>
                <w:noProof/>
                <w:sz w:val="16"/>
                <w:szCs w:val="16"/>
              </w:rPr>
              <w:t xml:space="preserve">Not determined </w:t>
            </w:r>
          </w:p>
        </w:tc>
        <w:tc>
          <w:tcPr>
            <w:tcW w:w="2175" w:type="dxa"/>
            <w:tcBorders>
              <w:top w:val="single" w:sz="8" w:space="0" w:color="auto"/>
              <w:left w:val="single" w:sz="8" w:space="0" w:color="auto"/>
              <w:bottom w:val="single" w:sz="8" w:space="0" w:color="auto"/>
              <w:right w:val="single" w:sz="8" w:space="0" w:color="auto"/>
            </w:tcBorders>
          </w:tcPr>
          <w:p w14:paraId="27E4B5C2" w14:textId="7E5C91B4" w:rsidR="42911850" w:rsidRDefault="42911850">
            <w:pPr>
              <w:rPr>
                <w:noProof/>
              </w:rPr>
            </w:pPr>
            <w:r w:rsidRPr="42911850">
              <w:rPr>
                <w:rFonts w:ascii="Calibri" w:eastAsia="Calibri" w:hAnsi="Calibri" w:cs="Calibri"/>
                <w:noProof/>
                <w:sz w:val="16"/>
                <w:szCs w:val="16"/>
              </w:rPr>
              <w:t xml:space="preserve">Up to 25 000 EUR </w:t>
            </w:r>
          </w:p>
          <w:p w14:paraId="6E4742BD" w14:textId="2AF00DBB" w:rsidR="42911850" w:rsidRDefault="42911850" w:rsidP="00AE537F">
            <w:pPr>
              <w:spacing w:line="257" w:lineRule="auto"/>
              <w:jc w:val="both"/>
              <w:rPr>
                <w:rFonts w:ascii="Calibri" w:eastAsia="Calibri" w:hAnsi="Calibri" w:cs="Calibri"/>
                <w:noProof/>
                <w:color w:val="000000" w:themeColor="text1"/>
                <w:sz w:val="16"/>
                <w:szCs w:val="16"/>
                <w:lang w:val="en-IE"/>
              </w:rPr>
            </w:pPr>
            <w:r w:rsidRPr="42911850">
              <w:rPr>
                <w:rFonts w:ascii="Calibri" w:eastAsia="Calibri" w:hAnsi="Calibri" w:cs="Calibri"/>
                <w:noProof/>
                <w:color w:val="000000" w:themeColor="text1"/>
                <w:sz w:val="16"/>
                <w:szCs w:val="16"/>
                <w:lang w:val="en-IE"/>
              </w:rPr>
              <w:t>Sanctions may be reduced or avoided if the responsible intermediary or user can provide evidence that she/he has implemented procedures to comply with DAC 6 reporting obligations.</w:t>
            </w:r>
          </w:p>
          <w:p w14:paraId="425E5FF8" w14:textId="781E842F" w:rsidR="42911850" w:rsidRDefault="42911850">
            <w:pPr>
              <w:rPr>
                <w:noProof/>
              </w:rPr>
            </w:pPr>
            <w:r w:rsidRPr="42911850">
              <w:rPr>
                <w:rFonts w:ascii="Calibri" w:eastAsia="Calibri" w:hAnsi="Calibri" w:cs="Calibri"/>
                <w:noProof/>
                <w:sz w:val="16"/>
                <w:szCs w:val="16"/>
                <w:lang w:val="en-IE"/>
              </w:rPr>
              <w:t>During the retrospective period (25 June 2018 to 1 July 2020) no penalties apply</w:t>
            </w:r>
          </w:p>
        </w:tc>
      </w:tr>
      <w:tr w:rsidR="42911850" w14:paraId="50AD2D1A"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3D6322D1" w14:textId="3935E933" w:rsidR="42911850" w:rsidRDefault="42911850">
            <w:pPr>
              <w:rPr>
                <w:noProof/>
              </w:rPr>
            </w:pPr>
            <w:r w:rsidRPr="42911850">
              <w:rPr>
                <w:rFonts w:ascii="Calibri" w:eastAsia="Calibri" w:hAnsi="Calibri" w:cs="Calibri"/>
                <w:b/>
                <w:bCs/>
                <w:noProof/>
                <w:sz w:val="18"/>
                <w:szCs w:val="18"/>
              </w:rPr>
              <w:t>DK</w:t>
            </w:r>
          </w:p>
        </w:tc>
        <w:tc>
          <w:tcPr>
            <w:tcW w:w="1025" w:type="dxa"/>
            <w:tcBorders>
              <w:top w:val="single" w:sz="8" w:space="0" w:color="auto"/>
              <w:left w:val="single" w:sz="8" w:space="0" w:color="auto"/>
              <w:bottom w:val="single" w:sz="8" w:space="0" w:color="auto"/>
              <w:right w:val="single" w:sz="8" w:space="0" w:color="auto"/>
            </w:tcBorders>
          </w:tcPr>
          <w:p w14:paraId="68526934" w14:textId="2677B763" w:rsidR="42911850" w:rsidRDefault="42911850">
            <w:pPr>
              <w:rPr>
                <w:noProof/>
              </w:rPr>
            </w:pPr>
            <w:r w:rsidRPr="42911850">
              <w:rPr>
                <w:rFonts w:ascii="Calibri" w:eastAsia="Calibri" w:hAnsi="Calibri" w:cs="Calibri"/>
                <w:noProof/>
                <w:sz w:val="16"/>
                <w:szCs w:val="16"/>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318E3D9E" w14:textId="32E0F492" w:rsidR="42911850" w:rsidRDefault="42911850">
            <w:pPr>
              <w:rPr>
                <w:noProof/>
              </w:rPr>
            </w:pPr>
            <w:r w:rsidRPr="42911850">
              <w:rPr>
                <w:rFonts w:ascii="Calibri" w:eastAsia="Calibri" w:hAnsi="Calibri" w:cs="Calibri"/>
                <w:noProof/>
                <w:sz w:val="16"/>
                <w:szCs w:val="16"/>
              </w:rPr>
              <w:t xml:space="preserve">No reporting, late reporting, on purpose wrong reporting and partial reporting are all explicitly mentioned as punishable. </w:t>
            </w:r>
          </w:p>
          <w:p w14:paraId="525755CE" w14:textId="69E2CE24" w:rsidR="42911850" w:rsidRDefault="42911850">
            <w:pPr>
              <w:rPr>
                <w:noProof/>
              </w:rPr>
            </w:pPr>
            <w:r w:rsidRPr="42911850">
              <w:rPr>
                <w:rFonts w:ascii="Calibri" w:eastAsia="Calibri" w:hAnsi="Calibri" w:cs="Calibri"/>
                <w:noProof/>
                <w:sz w:val="16"/>
                <w:szCs w:val="16"/>
              </w:rPr>
              <w:t>No difference is made between legal and natural persons for the purpose of application of penalties.</w:t>
            </w:r>
          </w:p>
          <w:p w14:paraId="6B1A9101" w14:textId="7EAC0D5D"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0EF930A7" w14:textId="63B241D5" w:rsidR="42911850" w:rsidRDefault="42911850">
            <w:pPr>
              <w:rPr>
                <w:noProof/>
              </w:rPr>
            </w:pPr>
            <w:r w:rsidRPr="42911850">
              <w:rPr>
                <w:rFonts w:ascii="Calibri" w:eastAsia="Calibri" w:hAnsi="Calibri" w:cs="Calibri"/>
                <w:noProof/>
                <w:sz w:val="16"/>
                <w:szCs w:val="16"/>
              </w:rPr>
              <w:t>No minimum</w:t>
            </w:r>
          </w:p>
          <w:p w14:paraId="2F9C393E" w14:textId="6F3200EB" w:rsidR="42911850" w:rsidRDefault="42911850">
            <w:pPr>
              <w:rPr>
                <w:noProof/>
              </w:rPr>
            </w:pPr>
            <w:r w:rsidRPr="42911850">
              <w:rPr>
                <w:rFonts w:ascii="Calibri" w:eastAsia="Calibri" w:hAnsi="Calibri" w:cs="Calibri"/>
                <w:noProof/>
                <w:sz w:val="16"/>
                <w:szCs w:val="16"/>
              </w:rPr>
              <w:t xml:space="preserve"> </w:t>
            </w:r>
          </w:p>
        </w:tc>
        <w:tc>
          <w:tcPr>
            <w:tcW w:w="2175" w:type="dxa"/>
            <w:tcBorders>
              <w:top w:val="single" w:sz="8" w:space="0" w:color="auto"/>
              <w:left w:val="single" w:sz="8" w:space="0" w:color="auto"/>
              <w:bottom w:val="single" w:sz="8" w:space="0" w:color="auto"/>
              <w:right w:val="single" w:sz="8" w:space="0" w:color="auto"/>
            </w:tcBorders>
          </w:tcPr>
          <w:p w14:paraId="1C6AB1D8" w14:textId="698FF2B0" w:rsidR="42911850" w:rsidRDefault="42911850">
            <w:pPr>
              <w:rPr>
                <w:noProof/>
              </w:rPr>
            </w:pPr>
            <w:r w:rsidRPr="42911850">
              <w:rPr>
                <w:rFonts w:ascii="Calibri" w:eastAsia="Calibri" w:hAnsi="Calibri" w:cs="Calibri"/>
                <w:noProof/>
                <w:sz w:val="16"/>
                <w:szCs w:val="16"/>
              </w:rPr>
              <w:t>No maximum</w:t>
            </w:r>
          </w:p>
        </w:tc>
      </w:tr>
      <w:tr w:rsidR="42911850" w14:paraId="5650592F" w14:textId="77777777" w:rsidTr="42911850">
        <w:trPr>
          <w:trHeight w:val="45"/>
        </w:trPr>
        <w:tc>
          <w:tcPr>
            <w:tcW w:w="638" w:type="dxa"/>
            <w:vMerge/>
            <w:tcBorders>
              <w:left w:val="single" w:sz="0" w:space="0" w:color="auto"/>
              <w:right w:val="single" w:sz="0" w:space="0" w:color="auto"/>
            </w:tcBorders>
            <w:vAlign w:val="center"/>
          </w:tcPr>
          <w:p w14:paraId="4A46BB9C"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4BDE6552" w14:textId="27D72B19" w:rsidR="42911850" w:rsidRDefault="42911850">
            <w:pPr>
              <w:rPr>
                <w:noProof/>
              </w:rPr>
            </w:pPr>
            <w:r w:rsidRPr="42911850">
              <w:rPr>
                <w:rFonts w:ascii="Calibri" w:eastAsia="Calibri" w:hAnsi="Calibri" w:cs="Calibri"/>
                <w:noProof/>
                <w:sz w:val="16"/>
                <w:szCs w:val="16"/>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746550B8" w14:textId="1B1FD76A" w:rsidR="42911850" w:rsidRDefault="42911850">
            <w:pPr>
              <w:rPr>
                <w:noProof/>
              </w:rPr>
            </w:pPr>
            <w:r w:rsidRPr="42911850">
              <w:rPr>
                <w:rFonts w:ascii="Calibri" w:eastAsia="Calibri" w:hAnsi="Calibri" w:cs="Calibri"/>
                <w:noProof/>
                <w:sz w:val="16"/>
                <w:szCs w:val="16"/>
              </w:rPr>
              <w:t xml:space="preserve">No reporting, late reporting, on purpose wrong reporting and partial reporting are all explicitly mentioned as punishable. </w:t>
            </w:r>
          </w:p>
          <w:p w14:paraId="12FCA7F4" w14:textId="73DD1E1B" w:rsidR="42911850" w:rsidRDefault="42911850">
            <w:pPr>
              <w:rPr>
                <w:noProof/>
              </w:rPr>
            </w:pPr>
            <w:r w:rsidRPr="42911850">
              <w:rPr>
                <w:rFonts w:ascii="Calibri" w:eastAsia="Calibri" w:hAnsi="Calibri" w:cs="Calibri"/>
                <w:noProof/>
                <w:sz w:val="16"/>
                <w:szCs w:val="16"/>
              </w:rPr>
              <w:t>No difference is made between legal and natural persons for the purpose of application of penalties.</w:t>
            </w:r>
          </w:p>
          <w:p w14:paraId="4295135E" w14:textId="6EC8C45A"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7BD5BF4C" w14:textId="7BC356CE" w:rsidR="42911850" w:rsidRDefault="42911850">
            <w:pPr>
              <w:rPr>
                <w:noProof/>
              </w:rPr>
            </w:pPr>
            <w:r w:rsidRPr="42911850">
              <w:rPr>
                <w:rFonts w:ascii="Calibri" w:eastAsia="Calibri" w:hAnsi="Calibri" w:cs="Calibri"/>
                <w:noProof/>
                <w:sz w:val="16"/>
                <w:szCs w:val="16"/>
              </w:rPr>
              <w:t>No minimum</w:t>
            </w:r>
          </w:p>
        </w:tc>
        <w:tc>
          <w:tcPr>
            <w:tcW w:w="2175" w:type="dxa"/>
            <w:tcBorders>
              <w:top w:val="single" w:sz="8" w:space="0" w:color="auto"/>
              <w:left w:val="single" w:sz="8" w:space="0" w:color="auto"/>
              <w:bottom w:val="single" w:sz="8" w:space="0" w:color="auto"/>
              <w:right w:val="single" w:sz="8" w:space="0" w:color="auto"/>
            </w:tcBorders>
          </w:tcPr>
          <w:p w14:paraId="2FCF8C92" w14:textId="36232D50" w:rsidR="42911850" w:rsidRDefault="42911850">
            <w:pPr>
              <w:rPr>
                <w:noProof/>
              </w:rPr>
            </w:pPr>
            <w:r w:rsidRPr="42911850">
              <w:rPr>
                <w:rFonts w:ascii="Calibri" w:eastAsia="Calibri" w:hAnsi="Calibri" w:cs="Calibri"/>
                <w:noProof/>
                <w:sz w:val="16"/>
                <w:szCs w:val="16"/>
              </w:rPr>
              <w:t>No maximum</w:t>
            </w:r>
          </w:p>
        </w:tc>
      </w:tr>
      <w:tr w:rsidR="42911850" w14:paraId="29B5545F"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423F847F"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0313AE2" w14:textId="152DDC96" w:rsidR="42911850" w:rsidRDefault="42911850">
            <w:pPr>
              <w:rPr>
                <w:noProof/>
              </w:rPr>
            </w:pPr>
            <w:r w:rsidRPr="42911850">
              <w:rPr>
                <w:rFonts w:ascii="Calibri" w:eastAsia="Calibri" w:hAnsi="Calibri" w:cs="Calibri"/>
                <w:noProof/>
                <w:sz w:val="16"/>
                <w:szCs w:val="16"/>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57F99D1E" w14:textId="799D362F" w:rsidR="42911850" w:rsidRDefault="42911850">
            <w:pPr>
              <w:rPr>
                <w:noProof/>
              </w:rPr>
            </w:pPr>
            <w:r w:rsidRPr="42911850">
              <w:rPr>
                <w:rFonts w:ascii="Calibri" w:eastAsia="Calibri" w:hAnsi="Calibri" w:cs="Calibri"/>
                <w:noProof/>
                <w:sz w:val="16"/>
                <w:szCs w:val="16"/>
              </w:rPr>
              <w:t xml:space="preserve">No reporting, late reporting, on purpose wrong reporting and partial reporting are all explicitly mentioned as punishable. </w:t>
            </w:r>
          </w:p>
          <w:p w14:paraId="0201DE24" w14:textId="721BAC07" w:rsidR="42911850" w:rsidRDefault="42911850">
            <w:pPr>
              <w:rPr>
                <w:noProof/>
              </w:rPr>
            </w:pPr>
            <w:r w:rsidRPr="42911850">
              <w:rPr>
                <w:rFonts w:ascii="Calibri" w:eastAsia="Calibri" w:hAnsi="Calibri" w:cs="Calibri"/>
                <w:noProof/>
                <w:sz w:val="16"/>
                <w:szCs w:val="16"/>
              </w:rPr>
              <w:t>The fines are based on the financial circumstances of the perpetrator, in case he is a natural person. In the case of companies the fines are based on the net turnover of the company.</w:t>
            </w:r>
          </w:p>
          <w:p w14:paraId="6C5D8EF0" w14:textId="31A2E185"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4E154D3A" w14:textId="37AD2F2F" w:rsidR="42911850" w:rsidRDefault="42911850">
            <w:pPr>
              <w:rPr>
                <w:noProof/>
              </w:rPr>
            </w:pPr>
            <w:r w:rsidRPr="42911850">
              <w:rPr>
                <w:rFonts w:ascii="Calibri" w:eastAsia="Calibri" w:hAnsi="Calibri" w:cs="Calibri"/>
                <w:noProof/>
                <w:sz w:val="16"/>
                <w:szCs w:val="16"/>
              </w:rPr>
              <w:t>No minimum</w:t>
            </w:r>
          </w:p>
        </w:tc>
        <w:tc>
          <w:tcPr>
            <w:tcW w:w="2175" w:type="dxa"/>
            <w:tcBorders>
              <w:top w:val="single" w:sz="8" w:space="0" w:color="auto"/>
              <w:left w:val="single" w:sz="8" w:space="0" w:color="auto"/>
              <w:bottom w:val="single" w:sz="8" w:space="0" w:color="auto"/>
              <w:right w:val="single" w:sz="8" w:space="0" w:color="auto"/>
            </w:tcBorders>
          </w:tcPr>
          <w:p w14:paraId="0E65BDE5" w14:textId="00D5D8B1" w:rsidR="42911850" w:rsidRDefault="42911850">
            <w:pPr>
              <w:rPr>
                <w:noProof/>
              </w:rPr>
            </w:pPr>
            <w:r w:rsidRPr="42911850">
              <w:rPr>
                <w:rFonts w:ascii="Calibri" w:eastAsia="Calibri" w:hAnsi="Calibri" w:cs="Calibri"/>
                <w:noProof/>
                <w:sz w:val="16"/>
                <w:szCs w:val="16"/>
              </w:rPr>
              <w:t>No maximum</w:t>
            </w:r>
          </w:p>
        </w:tc>
      </w:tr>
      <w:tr w:rsidR="42911850" w:rsidRPr="00FF0731" w14:paraId="057F7EF6"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64C93D5B" w14:textId="02A090C9" w:rsidR="42911850" w:rsidRDefault="42911850">
            <w:pPr>
              <w:rPr>
                <w:noProof/>
              </w:rPr>
            </w:pPr>
            <w:r w:rsidRPr="42911850">
              <w:rPr>
                <w:rFonts w:ascii="Calibri" w:eastAsia="Calibri" w:hAnsi="Calibri" w:cs="Calibri"/>
                <w:b/>
                <w:bCs/>
                <w:noProof/>
                <w:sz w:val="18"/>
                <w:szCs w:val="18"/>
              </w:rPr>
              <w:t>EE</w:t>
            </w:r>
          </w:p>
        </w:tc>
        <w:tc>
          <w:tcPr>
            <w:tcW w:w="1025" w:type="dxa"/>
            <w:tcBorders>
              <w:top w:val="single" w:sz="8" w:space="0" w:color="auto"/>
              <w:left w:val="single" w:sz="8" w:space="0" w:color="auto"/>
              <w:bottom w:val="single" w:sz="8" w:space="0" w:color="auto"/>
              <w:right w:val="single" w:sz="8" w:space="0" w:color="auto"/>
            </w:tcBorders>
          </w:tcPr>
          <w:p w14:paraId="202317C6" w14:textId="38B00DE4"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09F9F071" w14:textId="27B1CF6E" w:rsidR="42911850" w:rsidRDefault="42911850">
            <w:pPr>
              <w:rPr>
                <w:noProof/>
              </w:rPr>
            </w:pPr>
            <w:r w:rsidRPr="42911850">
              <w:rPr>
                <w:rFonts w:ascii="Calibri" w:eastAsia="Calibri" w:hAnsi="Calibri" w:cs="Calibri"/>
                <w:b/>
                <w:bCs/>
                <w:noProof/>
                <w:sz w:val="16"/>
                <w:szCs w:val="16"/>
                <w:u w:val="single"/>
              </w:rPr>
              <w:t>Scope ratione materiae</w:t>
            </w:r>
          </w:p>
          <w:p w14:paraId="4DFB7811" w14:textId="6007630F" w:rsidR="42911850" w:rsidRDefault="42911850">
            <w:pPr>
              <w:rPr>
                <w:noProof/>
              </w:rPr>
            </w:pPr>
            <w:r w:rsidRPr="42911850">
              <w:rPr>
                <w:rFonts w:ascii="Calibri" w:eastAsia="Calibri" w:hAnsi="Calibri" w:cs="Calibri"/>
                <w:noProof/>
                <w:sz w:val="18"/>
                <w:szCs w:val="18"/>
              </w:rPr>
              <w:t>Any violation of reporting, self-certification or notification obligation</w:t>
            </w:r>
          </w:p>
          <w:p w14:paraId="2A92FBE9" w14:textId="51CAB75C" w:rsidR="42911850" w:rsidRDefault="42911850">
            <w:pPr>
              <w:rPr>
                <w:noProof/>
              </w:rPr>
            </w:pPr>
            <w:r w:rsidRPr="42911850">
              <w:rPr>
                <w:rFonts w:ascii="Calibri" w:eastAsia="Calibri" w:hAnsi="Calibri" w:cs="Calibri"/>
                <w:b/>
                <w:bCs/>
                <w:noProof/>
                <w:sz w:val="16"/>
                <w:szCs w:val="16"/>
                <w:lang w:val="en-IE"/>
              </w:rPr>
              <w:t xml:space="preserve"> </w:t>
            </w:r>
          </w:p>
          <w:p w14:paraId="100B9B00" w14:textId="7270FE26" w:rsidR="42911850" w:rsidRDefault="42911850">
            <w:pPr>
              <w:rPr>
                <w:noProof/>
              </w:rPr>
            </w:pPr>
            <w:r w:rsidRPr="42911850">
              <w:rPr>
                <w:rFonts w:ascii="Calibri" w:eastAsia="Calibri" w:hAnsi="Calibri" w:cs="Calibri"/>
                <w:b/>
                <w:bCs/>
                <w:noProof/>
                <w:sz w:val="16"/>
                <w:szCs w:val="16"/>
                <w:lang w:val="en-IE"/>
              </w:rPr>
              <w:t xml:space="preserve"> </w:t>
            </w:r>
          </w:p>
          <w:p w14:paraId="76DD7C63" w14:textId="2160E813" w:rsidR="42911850" w:rsidRDefault="42911850">
            <w:pPr>
              <w:rPr>
                <w:noProof/>
              </w:rPr>
            </w:pPr>
            <w:r w:rsidRPr="42911850">
              <w:rPr>
                <w:rFonts w:ascii="Calibri" w:eastAsia="Calibri" w:hAnsi="Calibri" w:cs="Calibri"/>
                <w:b/>
                <w:bCs/>
                <w:noProof/>
                <w:sz w:val="16"/>
                <w:szCs w:val="16"/>
                <w:u w:val="single"/>
                <w:lang w:val="en-IE"/>
              </w:rPr>
              <w:t>Personal scope</w:t>
            </w:r>
          </w:p>
          <w:p w14:paraId="577305E6" w14:textId="185FDF91" w:rsidR="42911850" w:rsidRDefault="42911850">
            <w:pPr>
              <w:rPr>
                <w:noProof/>
              </w:rPr>
            </w:pPr>
            <w:r w:rsidRPr="42911850">
              <w:rPr>
                <w:rFonts w:ascii="Calibri" w:eastAsia="Calibri" w:hAnsi="Calibri" w:cs="Calibri"/>
                <w:noProof/>
                <w:sz w:val="18"/>
                <w:szCs w:val="18"/>
              </w:rPr>
              <w:t>Any natural person or any legal entity that has reporting, self-certification or notification obligation</w:t>
            </w:r>
          </w:p>
          <w:p w14:paraId="3DDB44E9" w14:textId="7385ACA7"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390A8E2D" w14:textId="375D9066" w:rsidR="42911850" w:rsidRDefault="42911850" w:rsidP="00AE537F">
            <w:pPr>
              <w:spacing w:line="276" w:lineRule="auto"/>
              <w:rPr>
                <w:rFonts w:ascii="Calibri" w:eastAsia="Calibri" w:hAnsi="Calibri" w:cs="Calibri"/>
                <w:noProof/>
                <w:sz w:val="18"/>
                <w:szCs w:val="18"/>
                <w:lang w:val="en-IE"/>
              </w:rPr>
            </w:pPr>
            <w:r w:rsidRPr="42911850">
              <w:rPr>
                <w:rFonts w:ascii="Calibri" w:eastAsia="Calibri" w:hAnsi="Calibri" w:cs="Calibri"/>
                <w:noProof/>
                <w:sz w:val="18"/>
                <w:szCs w:val="18"/>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40BE7ED5" w14:textId="6F0BCEF0" w:rsidR="42911850" w:rsidRDefault="42911850">
            <w:pPr>
              <w:rPr>
                <w:noProof/>
              </w:rPr>
            </w:pPr>
            <w:r w:rsidRPr="42911850">
              <w:rPr>
                <w:rFonts w:ascii="Calibri" w:eastAsia="Calibri" w:hAnsi="Calibri" w:cs="Calibri"/>
                <w:noProof/>
                <w:sz w:val="16"/>
                <w:szCs w:val="16"/>
              </w:rPr>
              <w:t xml:space="preserve"> </w:t>
            </w:r>
          </w:p>
          <w:p w14:paraId="5C3258C8" w14:textId="21B31E2F"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Not determined</w:t>
            </w:r>
          </w:p>
          <w:p w14:paraId="12762202" w14:textId="4FCF0479"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7B7ABE68" w14:textId="4774099A"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4433E843" w14:textId="1A1B44D2" w:rsidR="42911850" w:rsidRPr="00AE537F" w:rsidRDefault="42911850">
            <w:pPr>
              <w:rPr>
                <w:noProof/>
                <w:lang w:val="fr-BE"/>
              </w:rPr>
            </w:pPr>
            <w:r w:rsidRPr="42911850">
              <w:rPr>
                <w:rFonts w:ascii="Calibri" w:eastAsia="Calibri" w:hAnsi="Calibri" w:cs="Calibri"/>
                <w:noProof/>
                <w:sz w:val="18"/>
                <w:szCs w:val="18"/>
                <w:lang w:val="fr-BE"/>
              </w:rPr>
              <w:t>EUR 1300 (first violation)</w:t>
            </w:r>
          </w:p>
          <w:p w14:paraId="00B208CB" w14:textId="20986115" w:rsidR="42911850" w:rsidRPr="00AE537F" w:rsidRDefault="42911850">
            <w:pPr>
              <w:rPr>
                <w:noProof/>
                <w:lang w:val="fr-BE"/>
              </w:rPr>
            </w:pPr>
            <w:r w:rsidRPr="42911850">
              <w:rPr>
                <w:rFonts w:ascii="Calibri" w:eastAsia="Calibri" w:hAnsi="Calibri" w:cs="Calibri"/>
                <w:noProof/>
                <w:sz w:val="18"/>
                <w:szCs w:val="18"/>
                <w:lang w:val="fr-BE"/>
              </w:rPr>
              <w:t>EUR 2000 (second violation)</w:t>
            </w:r>
          </w:p>
          <w:p w14:paraId="7005A830" w14:textId="772D4FDC" w:rsidR="42911850" w:rsidRPr="00AE537F" w:rsidRDefault="42911850">
            <w:pPr>
              <w:rPr>
                <w:noProof/>
                <w:lang w:val="fr-BE"/>
              </w:rPr>
            </w:pPr>
            <w:r w:rsidRPr="42911850">
              <w:rPr>
                <w:rFonts w:ascii="Calibri" w:eastAsia="Calibri" w:hAnsi="Calibri" w:cs="Calibri"/>
                <w:noProof/>
                <w:sz w:val="18"/>
                <w:szCs w:val="18"/>
                <w:lang w:val="fr-BE"/>
              </w:rPr>
              <w:t>EUR 3300 (3+ violations)</w:t>
            </w:r>
          </w:p>
        </w:tc>
      </w:tr>
      <w:tr w:rsidR="42911850" w:rsidRPr="00FF0731" w14:paraId="6683AF94" w14:textId="77777777" w:rsidTr="42911850">
        <w:trPr>
          <w:trHeight w:val="45"/>
        </w:trPr>
        <w:tc>
          <w:tcPr>
            <w:tcW w:w="638" w:type="dxa"/>
            <w:vMerge/>
            <w:tcBorders>
              <w:left w:val="single" w:sz="0" w:space="0" w:color="auto"/>
              <w:right w:val="single" w:sz="0" w:space="0" w:color="auto"/>
            </w:tcBorders>
            <w:vAlign w:val="center"/>
          </w:tcPr>
          <w:p w14:paraId="6E855E8F" w14:textId="77777777" w:rsidR="000054FB" w:rsidRPr="00AE537F" w:rsidRDefault="000054FB">
            <w:pPr>
              <w:rPr>
                <w:noProof/>
                <w:lang w:val="fr-BE"/>
              </w:rPr>
            </w:pPr>
          </w:p>
        </w:tc>
        <w:tc>
          <w:tcPr>
            <w:tcW w:w="1025" w:type="dxa"/>
            <w:tcBorders>
              <w:top w:val="single" w:sz="8" w:space="0" w:color="auto"/>
              <w:left w:val="nil"/>
              <w:bottom w:val="single" w:sz="8" w:space="0" w:color="auto"/>
              <w:right w:val="single" w:sz="8" w:space="0" w:color="auto"/>
            </w:tcBorders>
          </w:tcPr>
          <w:p w14:paraId="3A96D918" w14:textId="1191586E"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47BF70A6" w14:textId="09FE99C2" w:rsidR="42911850" w:rsidRDefault="42911850">
            <w:pPr>
              <w:rPr>
                <w:noProof/>
              </w:rPr>
            </w:pPr>
            <w:r w:rsidRPr="42911850">
              <w:rPr>
                <w:rFonts w:ascii="Calibri" w:eastAsia="Calibri" w:hAnsi="Calibri" w:cs="Calibri"/>
                <w:b/>
                <w:bCs/>
                <w:noProof/>
                <w:sz w:val="16"/>
                <w:szCs w:val="16"/>
                <w:u w:val="single"/>
              </w:rPr>
              <w:t>Scope ratione materiae</w:t>
            </w:r>
          </w:p>
          <w:p w14:paraId="7510618D" w14:textId="67E19B48" w:rsidR="42911850" w:rsidRDefault="42911850">
            <w:pPr>
              <w:rPr>
                <w:noProof/>
              </w:rPr>
            </w:pPr>
            <w:r w:rsidRPr="42911850">
              <w:rPr>
                <w:rFonts w:ascii="Calibri" w:eastAsia="Calibri" w:hAnsi="Calibri" w:cs="Calibri"/>
                <w:noProof/>
                <w:sz w:val="18"/>
                <w:szCs w:val="18"/>
              </w:rPr>
              <w:t>Any violation of reporting or notification obligation</w:t>
            </w:r>
          </w:p>
          <w:p w14:paraId="3C8048AA" w14:textId="612A4FC4" w:rsidR="42911850" w:rsidRDefault="42911850">
            <w:pPr>
              <w:rPr>
                <w:noProof/>
              </w:rPr>
            </w:pPr>
            <w:r w:rsidRPr="42911850">
              <w:rPr>
                <w:rFonts w:ascii="Calibri" w:eastAsia="Calibri" w:hAnsi="Calibri" w:cs="Calibri"/>
                <w:b/>
                <w:bCs/>
                <w:noProof/>
                <w:sz w:val="16"/>
                <w:szCs w:val="16"/>
                <w:lang w:val="en-IE"/>
              </w:rPr>
              <w:t xml:space="preserve"> </w:t>
            </w:r>
          </w:p>
          <w:p w14:paraId="1A24FF9C" w14:textId="60E0E850" w:rsidR="42911850" w:rsidRDefault="42911850">
            <w:pPr>
              <w:rPr>
                <w:noProof/>
              </w:rPr>
            </w:pPr>
            <w:r w:rsidRPr="42911850">
              <w:rPr>
                <w:rFonts w:ascii="Calibri" w:eastAsia="Calibri" w:hAnsi="Calibri" w:cs="Calibri"/>
                <w:b/>
                <w:bCs/>
                <w:noProof/>
                <w:sz w:val="16"/>
                <w:szCs w:val="16"/>
                <w:lang w:val="en-IE"/>
              </w:rPr>
              <w:t xml:space="preserve"> </w:t>
            </w:r>
          </w:p>
          <w:p w14:paraId="54D26285" w14:textId="382331C9" w:rsidR="42911850" w:rsidRDefault="42911850">
            <w:pPr>
              <w:rPr>
                <w:noProof/>
              </w:rPr>
            </w:pPr>
            <w:r w:rsidRPr="42911850">
              <w:rPr>
                <w:rFonts w:ascii="Calibri" w:eastAsia="Calibri" w:hAnsi="Calibri" w:cs="Calibri"/>
                <w:b/>
                <w:bCs/>
                <w:noProof/>
                <w:sz w:val="16"/>
                <w:szCs w:val="16"/>
                <w:u w:val="single"/>
                <w:lang w:val="en-IE"/>
              </w:rPr>
              <w:t>Personal scope</w:t>
            </w:r>
          </w:p>
          <w:p w14:paraId="0BE42E33" w14:textId="3C0457AB" w:rsidR="42911850" w:rsidRDefault="42911850">
            <w:pPr>
              <w:rPr>
                <w:noProof/>
              </w:rPr>
            </w:pPr>
            <w:r w:rsidRPr="42911850">
              <w:rPr>
                <w:rFonts w:ascii="Calibri" w:eastAsia="Calibri" w:hAnsi="Calibri" w:cs="Calibri"/>
                <w:noProof/>
                <w:sz w:val="18"/>
                <w:szCs w:val="18"/>
              </w:rPr>
              <w:t>Any legal entity that has reporting or notification obligation</w:t>
            </w:r>
          </w:p>
          <w:p w14:paraId="256E5956" w14:textId="2751E3E6"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20C935D8" w14:textId="760A2999" w:rsidR="42911850" w:rsidRDefault="42911850">
            <w:pPr>
              <w:rPr>
                <w:noProof/>
              </w:rPr>
            </w:pPr>
            <w:r w:rsidRPr="42911850">
              <w:rPr>
                <w:rFonts w:ascii="Calibri" w:eastAsia="Calibri" w:hAnsi="Calibri" w:cs="Calibri"/>
                <w:noProof/>
                <w:sz w:val="18"/>
                <w:szCs w:val="18"/>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7291DA6E" w14:textId="099B8EE1" w:rsidR="42911850" w:rsidRDefault="42911850">
            <w:pPr>
              <w:rPr>
                <w:noProof/>
              </w:rPr>
            </w:pPr>
            <w:r w:rsidRPr="42911850">
              <w:rPr>
                <w:rFonts w:ascii="Calibri" w:eastAsia="Calibri" w:hAnsi="Calibri" w:cs="Calibri"/>
                <w:noProof/>
                <w:sz w:val="18"/>
                <w:szCs w:val="18"/>
              </w:rPr>
              <w:t xml:space="preserve"> </w:t>
            </w:r>
          </w:p>
          <w:p w14:paraId="1792F456" w14:textId="5EABF710"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Not determined</w:t>
            </w:r>
          </w:p>
          <w:p w14:paraId="48B70307" w14:textId="6C5EC02C"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12A3B9FA" w14:textId="2298703D"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45F10B9" w14:textId="7C2DB53A" w:rsidR="42911850" w:rsidRPr="00AE537F" w:rsidRDefault="42911850">
            <w:pPr>
              <w:rPr>
                <w:noProof/>
                <w:lang w:val="fr-BE"/>
              </w:rPr>
            </w:pPr>
            <w:r w:rsidRPr="42911850">
              <w:rPr>
                <w:rFonts w:ascii="Calibri" w:eastAsia="Calibri" w:hAnsi="Calibri" w:cs="Calibri"/>
                <w:noProof/>
                <w:sz w:val="18"/>
                <w:szCs w:val="18"/>
                <w:lang w:val="fr-BE"/>
              </w:rPr>
              <w:t>EUR 1300 (first violation)</w:t>
            </w:r>
          </w:p>
          <w:p w14:paraId="07DE69A0" w14:textId="53BADE4D" w:rsidR="42911850" w:rsidRPr="00AE537F" w:rsidRDefault="42911850">
            <w:pPr>
              <w:rPr>
                <w:noProof/>
                <w:lang w:val="fr-BE"/>
              </w:rPr>
            </w:pPr>
            <w:r w:rsidRPr="42911850">
              <w:rPr>
                <w:rFonts w:ascii="Calibri" w:eastAsia="Calibri" w:hAnsi="Calibri" w:cs="Calibri"/>
                <w:noProof/>
                <w:sz w:val="18"/>
                <w:szCs w:val="18"/>
                <w:lang w:val="fr-BE"/>
              </w:rPr>
              <w:t>EUR 2000 (second violation)</w:t>
            </w:r>
          </w:p>
          <w:p w14:paraId="39F04615" w14:textId="33533D31" w:rsidR="42911850" w:rsidRPr="00AE537F" w:rsidRDefault="42911850">
            <w:pPr>
              <w:rPr>
                <w:noProof/>
                <w:lang w:val="fr-BE"/>
              </w:rPr>
            </w:pPr>
            <w:r w:rsidRPr="42911850">
              <w:rPr>
                <w:rFonts w:ascii="Calibri" w:eastAsia="Calibri" w:hAnsi="Calibri" w:cs="Calibri"/>
                <w:noProof/>
                <w:sz w:val="18"/>
                <w:szCs w:val="18"/>
                <w:lang w:val="fr-BE"/>
              </w:rPr>
              <w:t>EUR 3300 (3+ violations)</w:t>
            </w:r>
          </w:p>
        </w:tc>
      </w:tr>
      <w:tr w:rsidR="42911850" w:rsidRPr="00FF0731" w14:paraId="04AA8BCF"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0034508C" w14:textId="77777777" w:rsidR="000054FB" w:rsidRPr="00AE537F" w:rsidRDefault="000054FB">
            <w:pPr>
              <w:rPr>
                <w:noProof/>
                <w:lang w:val="fr-BE"/>
              </w:rPr>
            </w:pPr>
          </w:p>
        </w:tc>
        <w:tc>
          <w:tcPr>
            <w:tcW w:w="1025" w:type="dxa"/>
            <w:tcBorders>
              <w:top w:val="single" w:sz="8" w:space="0" w:color="auto"/>
              <w:left w:val="nil"/>
              <w:bottom w:val="single" w:sz="8" w:space="0" w:color="auto"/>
              <w:right w:val="single" w:sz="8" w:space="0" w:color="auto"/>
            </w:tcBorders>
          </w:tcPr>
          <w:p w14:paraId="63A626C8" w14:textId="5881330F"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0CB0D97F" w14:textId="0E2EA73C" w:rsidR="42911850" w:rsidRDefault="42911850">
            <w:pPr>
              <w:rPr>
                <w:noProof/>
              </w:rPr>
            </w:pPr>
            <w:r w:rsidRPr="42911850">
              <w:rPr>
                <w:rFonts w:ascii="Calibri" w:eastAsia="Calibri" w:hAnsi="Calibri" w:cs="Calibri"/>
                <w:b/>
                <w:bCs/>
                <w:noProof/>
                <w:sz w:val="16"/>
                <w:szCs w:val="16"/>
                <w:u w:val="single"/>
              </w:rPr>
              <w:t>Scope ratione materiae</w:t>
            </w:r>
          </w:p>
          <w:p w14:paraId="176653A9" w14:textId="35F261AA" w:rsidR="42911850" w:rsidRDefault="42911850">
            <w:pPr>
              <w:rPr>
                <w:noProof/>
              </w:rPr>
            </w:pPr>
            <w:r w:rsidRPr="42911850">
              <w:rPr>
                <w:rFonts w:ascii="Calibri" w:eastAsia="Calibri" w:hAnsi="Calibri" w:cs="Calibri"/>
                <w:noProof/>
                <w:sz w:val="18"/>
                <w:szCs w:val="18"/>
              </w:rPr>
              <w:t>Any violation of reporting or notification obligation</w:t>
            </w:r>
          </w:p>
          <w:p w14:paraId="0F66B2A2" w14:textId="246EBA8D" w:rsidR="42911850" w:rsidRDefault="42911850">
            <w:pPr>
              <w:rPr>
                <w:noProof/>
              </w:rPr>
            </w:pPr>
            <w:r w:rsidRPr="42911850">
              <w:rPr>
                <w:rFonts w:ascii="Calibri" w:eastAsia="Calibri" w:hAnsi="Calibri" w:cs="Calibri"/>
                <w:b/>
                <w:bCs/>
                <w:noProof/>
                <w:sz w:val="16"/>
                <w:szCs w:val="16"/>
                <w:lang w:val="en-IE"/>
              </w:rPr>
              <w:t xml:space="preserve"> </w:t>
            </w:r>
          </w:p>
          <w:p w14:paraId="4883DAC9" w14:textId="48AF5B55" w:rsidR="42911850" w:rsidRDefault="42911850">
            <w:pPr>
              <w:rPr>
                <w:noProof/>
              </w:rPr>
            </w:pPr>
            <w:r w:rsidRPr="42911850">
              <w:rPr>
                <w:rFonts w:ascii="Calibri" w:eastAsia="Calibri" w:hAnsi="Calibri" w:cs="Calibri"/>
                <w:b/>
                <w:bCs/>
                <w:noProof/>
                <w:sz w:val="16"/>
                <w:szCs w:val="16"/>
                <w:lang w:val="en-IE"/>
              </w:rPr>
              <w:t xml:space="preserve"> </w:t>
            </w:r>
          </w:p>
          <w:p w14:paraId="4BDE1754" w14:textId="74158E53" w:rsidR="42911850" w:rsidRDefault="42911850">
            <w:pPr>
              <w:rPr>
                <w:noProof/>
              </w:rPr>
            </w:pPr>
            <w:r w:rsidRPr="42911850">
              <w:rPr>
                <w:rFonts w:ascii="Calibri" w:eastAsia="Calibri" w:hAnsi="Calibri" w:cs="Calibri"/>
                <w:b/>
                <w:bCs/>
                <w:noProof/>
                <w:sz w:val="16"/>
                <w:szCs w:val="16"/>
                <w:u w:val="single"/>
                <w:lang w:val="en-IE"/>
              </w:rPr>
              <w:t>Personal scope</w:t>
            </w:r>
          </w:p>
          <w:p w14:paraId="7644AFD7" w14:textId="5884E79C" w:rsidR="42911850" w:rsidRDefault="42911850">
            <w:pPr>
              <w:rPr>
                <w:noProof/>
              </w:rPr>
            </w:pPr>
            <w:r w:rsidRPr="42911850">
              <w:rPr>
                <w:rFonts w:ascii="Calibri" w:eastAsia="Calibri" w:hAnsi="Calibri" w:cs="Calibri"/>
                <w:noProof/>
                <w:sz w:val="18"/>
                <w:szCs w:val="18"/>
              </w:rPr>
              <w:t>Any natural person or any legal entity that has reporting or notification obligation</w:t>
            </w:r>
          </w:p>
          <w:p w14:paraId="291EC558" w14:textId="4C3A6410"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444E1E09" w14:textId="2368F5AD" w:rsidR="42911850" w:rsidRDefault="42911850">
            <w:pPr>
              <w:rPr>
                <w:noProof/>
              </w:rPr>
            </w:pPr>
            <w:r w:rsidRPr="42911850">
              <w:rPr>
                <w:rFonts w:ascii="Calibri" w:eastAsia="Calibri" w:hAnsi="Calibri" w:cs="Calibri"/>
                <w:noProof/>
                <w:sz w:val="18"/>
                <w:szCs w:val="18"/>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01C114D8" w14:textId="0A494763" w:rsidR="42911850" w:rsidRDefault="42911850">
            <w:pPr>
              <w:rPr>
                <w:noProof/>
              </w:rPr>
            </w:pPr>
            <w:r w:rsidRPr="42911850">
              <w:rPr>
                <w:rFonts w:ascii="Calibri" w:eastAsia="Calibri" w:hAnsi="Calibri" w:cs="Calibri"/>
                <w:noProof/>
                <w:sz w:val="18"/>
                <w:szCs w:val="18"/>
              </w:rPr>
              <w:t xml:space="preserve"> </w:t>
            </w:r>
          </w:p>
          <w:p w14:paraId="6B233E98" w14:textId="11F1E251"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Not determined</w:t>
            </w:r>
          </w:p>
          <w:p w14:paraId="375FE0C4" w14:textId="43652CD0"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03A21A43" w14:textId="2569520F"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D72FA25" w14:textId="67D4DF88" w:rsidR="42911850" w:rsidRPr="00AE537F" w:rsidRDefault="42911850">
            <w:pPr>
              <w:rPr>
                <w:noProof/>
                <w:lang w:val="fr-BE"/>
              </w:rPr>
            </w:pPr>
            <w:r w:rsidRPr="42911850">
              <w:rPr>
                <w:rFonts w:ascii="Calibri" w:eastAsia="Calibri" w:hAnsi="Calibri" w:cs="Calibri"/>
                <w:noProof/>
                <w:sz w:val="18"/>
                <w:szCs w:val="18"/>
                <w:lang w:val="fr-BE"/>
              </w:rPr>
              <w:t>EUR 1300 (first violation)</w:t>
            </w:r>
          </w:p>
          <w:p w14:paraId="409FD308" w14:textId="77D48E2A" w:rsidR="42911850" w:rsidRPr="00AE537F" w:rsidRDefault="42911850">
            <w:pPr>
              <w:rPr>
                <w:noProof/>
                <w:lang w:val="fr-BE"/>
              </w:rPr>
            </w:pPr>
            <w:r w:rsidRPr="42911850">
              <w:rPr>
                <w:rFonts w:ascii="Calibri" w:eastAsia="Calibri" w:hAnsi="Calibri" w:cs="Calibri"/>
                <w:noProof/>
                <w:sz w:val="18"/>
                <w:szCs w:val="18"/>
                <w:lang w:val="fr-BE"/>
              </w:rPr>
              <w:t>EUR 2000 (second violation)</w:t>
            </w:r>
          </w:p>
          <w:p w14:paraId="5089EC36" w14:textId="25FED88A" w:rsidR="42911850" w:rsidRPr="00AE537F" w:rsidRDefault="42911850">
            <w:pPr>
              <w:rPr>
                <w:noProof/>
                <w:lang w:val="fr-BE"/>
              </w:rPr>
            </w:pPr>
            <w:r w:rsidRPr="42911850">
              <w:rPr>
                <w:rFonts w:ascii="Calibri" w:eastAsia="Calibri" w:hAnsi="Calibri" w:cs="Calibri"/>
                <w:noProof/>
                <w:sz w:val="18"/>
                <w:szCs w:val="18"/>
                <w:lang w:val="fr-BE"/>
              </w:rPr>
              <w:t>EUR 3300 (3+ violations)</w:t>
            </w:r>
          </w:p>
        </w:tc>
      </w:tr>
      <w:tr w:rsidR="42911850" w14:paraId="03244FC3"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429F556E" w14:textId="3E3BC663" w:rsidR="42911850" w:rsidRDefault="42911850">
            <w:pPr>
              <w:rPr>
                <w:noProof/>
              </w:rPr>
            </w:pPr>
            <w:r w:rsidRPr="42911850">
              <w:rPr>
                <w:rFonts w:ascii="Calibri" w:eastAsia="Calibri" w:hAnsi="Calibri" w:cs="Calibri"/>
                <w:b/>
                <w:bCs/>
                <w:noProof/>
                <w:sz w:val="18"/>
                <w:szCs w:val="18"/>
              </w:rPr>
              <w:t xml:space="preserve">EL </w:t>
            </w:r>
          </w:p>
        </w:tc>
        <w:tc>
          <w:tcPr>
            <w:tcW w:w="1025" w:type="dxa"/>
            <w:tcBorders>
              <w:top w:val="single" w:sz="8" w:space="0" w:color="auto"/>
              <w:left w:val="single" w:sz="8" w:space="0" w:color="auto"/>
              <w:bottom w:val="single" w:sz="8" w:space="0" w:color="auto"/>
              <w:right w:val="single" w:sz="8" w:space="0" w:color="auto"/>
            </w:tcBorders>
          </w:tcPr>
          <w:p w14:paraId="66FE9244" w14:textId="6624725E"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4D95A9B1" w14:textId="78BA4208" w:rsidR="42911850" w:rsidRDefault="42911850">
            <w:pPr>
              <w:rPr>
                <w:noProof/>
              </w:rPr>
            </w:pPr>
            <w:r w:rsidRPr="42911850">
              <w:rPr>
                <w:rFonts w:ascii="Calibri" w:eastAsia="Calibri" w:hAnsi="Calibri" w:cs="Calibri"/>
                <w:noProof/>
                <w:sz w:val="18"/>
                <w:szCs w:val="18"/>
              </w:rPr>
              <w:t xml:space="preserve">Art. 54c of the Greek Code of Tax Procedures - sanctions on the financial institutions (no personal distinctions) for: </w:t>
            </w:r>
          </w:p>
          <w:p w14:paraId="15A6652F" w14:textId="33B33BCF" w:rsidR="42911850" w:rsidRDefault="42911850">
            <w:pPr>
              <w:rPr>
                <w:noProof/>
              </w:rPr>
            </w:pPr>
            <w:r w:rsidRPr="42911850">
              <w:rPr>
                <w:rFonts w:ascii="Calibri" w:eastAsia="Calibri" w:hAnsi="Calibri" w:cs="Calibri"/>
                <w:noProof/>
                <w:sz w:val="18"/>
                <w:szCs w:val="18"/>
              </w:rPr>
              <w:t>a) Late reporting of information on each reportable account.</w:t>
            </w:r>
          </w:p>
          <w:p w14:paraId="218A7C7D" w14:textId="743EAB62" w:rsidR="42911850" w:rsidRDefault="42911850">
            <w:pPr>
              <w:rPr>
                <w:noProof/>
              </w:rPr>
            </w:pPr>
            <w:r w:rsidRPr="42911850">
              <w:rPr>
                <w:rFonts w:ascii="Calibri" w:eastAsia="Calibri" w:hAnsi="Calibri" w:cs="Calibri"/>
                <w:noProof/>
                <w:sz w:val="18"/>
                <w:szCs w:val="18"/>
              </w:rPr>
              <w:t xml:space="preserve">b) A failure to report information on each reportable account. </w:t>
            </w:r>
          </w:p>
          <w:p w14:paraId="536598B4" w14:textId="2FC206B1" w:rsidR="42911850" w:rsidRDefault="42911850">
            <w:pPr>
              <w:rPr>
                <w:noProof/>
              </w:rPr>
            </w:pPr>
            <w:r w:rsidRPr="42911850">
              <w:rPr>
                <w:rFonts w:ascii="Calibri" w:eastAsia="Calibri" w:hAnsi="Calibri" w:cs="Calibri"/>
                <w:noProof/>
                <w:sz w:val="18"/>
                <w:szCs w:val="18"/>
              </w:rPr>
              <w:t xml:space="preserve"> </w:t>
            </w:r>
          </w:p>
          <w:p w14:paraId="1A122AAF" w14:textId="715190C5" w:rsidR="42911850" w:rsidRDefault="42911850">
            <w:pPr>
              <w:rPr>
                <w:noProof/>
              </w:rPr>
            </w:pPr>
            <w:r w:rsidRPr="42911850">
              <w:rPr>
                <w:rFonts w:ascii="Calibri" w:eastAsia="Calibri" w:hAnsi="Calibri" w:cs="Calibri"/>
                <w:noProof/>
                <w:sz w:val="18"/>
                <w:szCs w:val="18"/>
              </w:rPr>
              <w:t xml:space="preserve">c) A filing of inaccurate or incomplete information on each reportable account. </w:t>
            </w:r>
          </w:p>
          <w:p w14:paraId="078C2493" w14:textId="1CEB6D24" w:rsidR="42911850" w:rsidRDefault="42911850">
            <w:pPr>
              <w:rPr>
                <w:noProof/>
              </w:rPr>
            </w:pPr>
            <w:r w:rsidRPr="42911850">
              <w:rPr>
                <w:rFonts w:ascii="Calibri" w:eastAsia="Calibri" w:hAnsi="Calibri" w:cs="Calibri"/>
                <w:noProof/>
                <w:sz w:val="18"/>
                <w:szCs w:val="18"/>
              </w:rPr>
              <w:t xml:space="preserve">d) A failure to respond to a request from the Tax Administration either to provide information or data or to complete or correct information or data relating to each reportable account within the time limit. </w:t>
            </w:r>
          </w:p>
          <w:p w14:paraId="5691A3DC" w14:textId="001E01A9" w:rsidR="42911850" w:rsidRDefault="42911850">
            <w:pPr>
              <w:rPr>
                <w:noProof/>
              </w:rPr>
            </w:pPr>
            <w:r w:rsidRPr="42911850">
              <w:rPr>
                <w:rFonts w:ascii="Calibri" w:eastAsia="Calibri" w:hAnsi="Calibri" w:cs="Calibri"/>
                <w:noProof/>
                <w:sz w:val="18"/>
                <w:szCs w:val="18"/>
              </w:rPr>
              <w:t>e) Each failure to cooperate during the audit to comply with the rules on reporting and due diligence.</w:t>
            </w:r>
          </w:p>
          <w:p w14:paraId="38E41186" w14:textId="64A81666" w:rsidR="42911850" w:rsidRDefault="42911850">
            <w:pPr>
              <w:rPr>
                <w:noProof/>
              </w:rPr>
            </w:pPr>
            <w:r w:rsidRPr="42911850">
              <w:rPr>
                <w:rFonts w:ascii="Calibri" w:eastAsia="Calibri" w:hAnsi="Calibri" w:cs="Calibri"/>
                <w:noProof/>
                <w:sz w:val="18"/>
                <w:szCs w:val="18"/>
              </w:rPr>
              <w:t>f) Each failure to comply with the obligations to submit information on each reportable account in accordance with the reporting and due diligence rules within the time limit following a tax audit.</w:t>
            </w:r>
          </w:p>
          <w:p w14:paraId="46198C14" w14:textId="3A9F1A82" w:rsidR="42911850" w:rsidRDefault="42911850">
            <w:pPr>
              <w:rPr>
                <w:noProof/>
              </w:rPr>
            </w:pPr>
            <w:r w:rsidRPr="42911850">
              <w:rPr>
                <w:rFonts w:ascii="Calibri" w:eastAsia="Calibri" w:hAnsi="Calibri" w:cs="Calibri"/>
                <w:noProof/>
                <w:sz w:val="18"/>
                <w:szCs w:val="18"/>
              </w:rPr>
              <w:t xml:space="preserve"> </w:t>
            </w:r>
          </w:p>
          <w:p w14:paraId="2341E2BB" w14:textId="4AB3338D"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28467EFE" w14:textId="478FC622" w:rsidR="42911850" w:rsidRDefault="42911850">
            <w:pPr>
              <w:rPr>
                <w:noProof/>
              </w:rPr>
            </w:pPr>
            <w:r w:rsidRPr="42911850">
              <w:rPr>
                <w:rFonts w:ascii="Calibri" w:eastAsia="Calibri" w:hAnsi="Calibri" w:cs="Calibri"/>
                <w:noProof/>
                <w:sz w:val="18"/>
                <w:szCs w:val="18"/>
              </w:rPr>
              <w:t xml:space="preserve"> </w:t>
            </w:r>
          </w:p>
          <w:p w14:paraId="257497DC" w14:textId="1ADDE75B" w:rsidR="42911850" w:rsidRDefault="42911850">
            <w:pPr>
              <w:rPr>
                <w:noProof/>
              </w:rPr>
            </w:pPr>
            <w:r w:rsidRPr="42911850">
              <w:rPr>
                <w:rFonts w:ascii="Calibri" w:eastAsia="Calibri" w:hAnsi="Calibri" w:cs="Calibri"/>
                <w:noProof/>
                <w:sz w:val="18"/>
                <w:szCs w:val="18"/>
              </w:rPr>
              <w:t>a) EUR 100 per reportable account</w:t>
            </w:r>
          </w:p>
          <w:p w14:paraId="10087831" w14:textId="6F4D2C79" w:rsidR="42911850" w:rsidRDefault="42911850">
            <w:pPr>
              <w:rPr>
                <w:noProof/>
              </w:rPr>
            </w:pPr>
            <w:r w:rsidRPr="42911850">
              <w:rPr>
                <w:rFonts w:ascii="Calibri" w:eastAsia="Calibri" w:hAnsi="Calibri" w:cs="Calibri"/>
                <w:noProof/>
                <w:sz w:val="18"/>
                <w:szCs w:val="18"/>
              </w:rPr>
              <w:t xml:space="preserve">b) EUR 300 per reportable account </w:t>
            </w:r>
          </w:p>
          <w:p w14:paraId="256C6641" w14:textId="7341C891" w:rsidR="42911850" w:rsidRDefault="42911850">
            <w:pPr>
              <w:rPr>
                <w:noProof/>
              </w:rPr>
            </w:pPr>
            <w:r w:rsidRPr="42911850">
              <w:rPr>
                <w:rFonts w:ascii="Calibri" w:eastAsia="Calibri" w:hAnsi="Calibri" w:cs="Calibri"/>
                <w:noProof/>
                <w:sz w:val="18"/>
                <w:szCs w:val="18"/>
              </w:rPr>
              <w:t>c)  EUR 300 per reportable account</w:t>
            </w:r>
          </w:p>
          <w:p w14:paraId="26A8693B" w14:textId="43A77B0D" w:rsidR="42911850" w:rsidRDefault="42911850">
            <w:pPr>
              <w:rPr>
                <w:noProof/>
              </w:rPr>
            </w:pPr>
            <w:r w:rsidRPr="42911850">
              <w:rPr>
                <w:rFonts w:ascii="Calibri" w:eastAsia="Calibri" w:hAnsi="Calibri" w:cs="Calibri"/>
                <w:noProof/>
                <w:sz w:val="18"/>
                <w:szCs w:val="18"/>
              </w:rPr>
              <w:t xml:space="preserve"> </w:t>
            </w:r>
          </w:p>
          <w:p w14:paraId="3DB97A9A" w14:textId="04CF2931" w:rsidR="42911850" w:rsidRDefault="42911850">
            <w:pPr>
              <w:rPr>
                <w:noProof/>
              </w:rPr>
            </w:pPr>
            <w:r w:rsidRPr="42911850">
              <w:rPr>
                <w:rFonts w:ascii="Calibri" w:eastAsia="Calibri" w:hAnsi="Calibri" w:cs="Calibri"/>
                <w:noProof/>
                <w:sz w:val="18"/>
                <w:szCs w:val="18"/>
              </w:rPr>
              <w:t xml:space="preserve">d)  EUR 1,000 per reportable account </w:t>
            </w:r>
          </w:p>
          <w:p w14:paraId="4ACEEE21" w14:textId="7D8EDBA6" w:rsidR="42911850" w:rsidRDefault="42911850">
            <w:pPr>
              <w:rPr>
                <w:noProof/>
              </w:rPr>
            </w:pPr>
            <w:r w:rsidRPr="42911850">
              <w:rPr>
                <w:rFonts w:ascii="Calibri" w:eastAsia="Calibri" w:hAnsi="Calibri" w:cs="Calibri"/>
                <w:noProof/>
                <w:sz w:val="18"/>
                <w:szCs w:val="18"/>
              </w:rPr>
              <w:t>e) EUR 2,500</w:t>
            </w:r>
          </w:p>
          <w:p w14:paraId="5A828695" w14:textId="3CE6DD97" w:rsidR="42911850" w:rsidRDefault="42911850">
            <w:pPr>
              <w:rPr>
                <w:noProof/>
              </w:rPr>
            </w:pPr>
            <w:r w:rsidRPr="42911850">
              <w:rPr>
                <w:rFonts w:ascii="Calibri" w:eastAsia="Calibri" w:hAnsi="Calibri" w:cs="Calibri"/>
                <w:noProof/>
                <w:sz w:val="18"/>
                <w:szCs w:val="18"/>
              </w:rPr>
              <w:t xml:space="preserve"> </w:t>
            </w:r>
          </w:p>
          <w:p w14:paraId="0CC75D9D" w14:textId="3D033D17" w:rsidR="42911850" w:rsidRDefault="42911850">
            <w:pPr>
              <w:rPr>
                <w:noProof/>
              </w:rPr>
            </w:pPr>
            <w:r w:rsidRPr="42911850">
              <w:rPr>
                <w:rFonts w:ascii="Calibri" w:eastAsia="Calibri" w:hAnsi="Calibri" w:cs="Calibri"/>
                <w:noProof/>
                <w:sz w:val="18"/>
                <w:szCs w:val="18"/>
              </w:rPr>
              <w:t>f)  EUR 5,000.</w:t>
            </w:r>
          </w:p>
          <w:p w14:paraId="614A9C17" w14:textId="276C3D17" w:rsidR="42911850" w:rsidRDefault="42911850">
            <w:pPr>
              <w:rPr>
                <w:noProof/>
              </w:rPr>
            </w:pPr>
            <w:r w:rsidRPr="42911850">
              <w:rPr>
                <w:rFonts w:ascii="Calibri" w:eastAsia="Calibri" w:hAnsi="Calibri" w:cs="Calibri"/>
                <w:noProof/>
                <w:sz w:val="18"/>
                <w:szCs w:val="18"/>
              </w:rPr>
              <w:t xml:space="preserve"> </w:t>
            </w:r>
          </w:p>
          <w:p w14:paraId="05A277D0" w14:textId="486F6E2B" w:rsidR="42911850" w:rsidRDefault="42911850">
            <w:pPr>
              <w:rPr>
                <w:noProof/>
              </w:rPr>
            </w:pPr>
            <w:r w:rsidRPr="42911850">
              <w:rPr>
                <w:rFonts w:ascii="Calibri" w:eastAsia="Calibri" w:hAnsi="Calibri" w:cs="Calibri"/>
                <w:noProof/>
                <w:sz w:val="18"/>
                <w:szCs w:val="18"/>
              </w:rPr>
              <w:t>If the Reporting Greek Financial Institutions voluntarily and within a period of 3 months, starting from the expiration of the deadline for submitting such information to the competent Tax Administration Service, correctly amend or complete the information on each reportable account covering the cases provided under a), b), c), they shall be treated as not having committed a violation and no fine shall be imposed.</w:t>
            </w:r>
          </w:p>
          <w:p w14:paraId="6C4BB4BA" w14:textId="66ACF27D" w:rsidR="42911850" w:rsidRDefault="42911850">
            <w:pPr>
              <w:rPr>
                <w:noProof/>
              </w:rPr>
            </w:pPr>
            <w:r w:rsidRPr="42911850">
              <w:rPr>
                <w:rFonts w:ascii="Calibri" w:eastAsia="Calibri" w:hAnsi="Calibri" w:cs="Calibri"/>
                <w:noProof/>
                <w:sz w:val="18"/>
                <w:szCs w:val="18"/>
              </w:rPr>
              <w:t>If the Reporting Greek Financial Institutions - following an audit or upon notification of the competent foreign authority- correctly amend or complete the information for each reportable account concerning the cases provided under a), b), c), within the deadline, the corresponding fines shall be halved, but only if the infringement is related to the years 2017 and 2018.</w:t>
            </w:r>
          </w:p>
          <w:p w14:paraId="38B320BF" w14:textId="15ED67ED" w:rsidR="42911850" w:rsidRDefault="42911850">
            <w:pPr>
              <w:rPr>
                <w:noProof/>
              </w:rPr>
            </w:pPr>
            <w:r w:rsidRPr="42911850">
              <w:rPr>
                <w:rFonts w:ascii="Calibri" w:eastAsia="Calibri" w:hAnsi="Calibri" w:cs="Calibri"/>
                <w:noProof/>
                <w:sz w:val="18"/>
                <w:szCs w:val="18"/>
              </w:rPr>
              <w:t xml:space="preserve"> </w:t>
            </w:r>
          </w:p>
          <w:p w14:paraId="3080F7C2" w14:textId="7E1DB788"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5CACD23C" w14:textId="5595A9AD" w:rsidR="42911850" w:rsidRDefault="42911850">
            <w:pPr>
              <w:rPr>
                <w:noProof/>
              </w:rPr>
            </w:pPr>
            <w:r w:rsidRPr="42911850">
              <w:rPr>
                <w:rFonts w:ascii="Calibri" w:eastAsia="Calibri" w:hAnsi="Calibri" w:cs="Calibri"/>
                <w:noProof/>
                <w:sz w:val="18"/>
                <w:szCs w:val="18"/>
              </w:rPr>
              <w:t xml:space="preserve"> </w:t>
            </w:r>
          </w:p>
          <w:p w14:paraId="396897F1" w14:textId="2214009C" w:rsidR="42911850" w:rsidRDefault="42911850">
            <w:pPr>
              <w:rPr>
                <w:noProof/>
              </w:rPr>
            </w:pPr>
            <w:r w:rsidRPr="42911850">
              <w:rPr>
                <w:rFonts w:ascii="Calibri" w:eastAsia="Calibri" w:hAnsi="Calibri" w:cs="Calibri"/>
                <w:noProof/>
                <w:sz w:val="18"/>
                <w:szCs w:val="18"/>
              </w:rPr>
              <w:t>a) as minimum (fixed)</w:t>
            </w:r>
          </w:p>
          <w:p w14:paraId="021E9C57" w14:textId="10F1A787" w:rsidR="42911850" w:rsidRDefault="42911850">
            <w:pPr>
              <w:rPr>
                <w:noProof/>
              </w:rPr>
            </w:pPr>
            <w:r w:rsidRPr="42911850">
              <w:rPr>
                <w:rFonts w:ascii="Calibri" w:eastAsia="Calibri" w:hAnsi="Calibri" w:cs="Calibri"/>
                <w:noProof/>
                <w:sz w:val="18"/>
                <w:szCs w:val="18"/>
              </w:rPr>
              <w:t xml:space="preserve"> </w:t>
            </w:r>
          </w:p>
          <w:p w14:paraId="50CBA21D" w14:textId="5BFF14B4" w:rsidR="42911850" w:rsidRDefault="42911850">
            <w:pPr>
              <w:rPr>
                <w:noProof/>
              </w:rPr>
            </w:pPr>
            <w:r w:rsidRPr="42911850">
              <w:rPr>
                <w:rFonts w:ascii="Calibri" w:eastAsia="Calibri" w:hAnsi="Calibri" w:cs="Calibri"/>
                <w:noProof/>
                <w:sz w:val="18"/>
                <w:szCs w:val="18"/>
              </w:rPr>
              <w:t>b) as minimum (fixed)</w:t>
            </w:r>
          </w:p>
          <w:p w14:paraId="27282E32" w14:textId="411EF564" w:rsidR="42911850" w:rsidRDefault="42911850">
            <w:pPr>
              <w:rPr>
                <w:noProof/>
              </w:rPr>
            </w:pPr>
            <w:r w:rsidRPr="42911850">
              <w:rPr>
                <w:rFonts w:ascii="Calibri" w:eastAsia="Calibri" w:hAnsi="Calibri" w:cs="Calibri"/>
                <w:noProof/>
                <w:sz w:val="18"/>
                <w:szCs w:val="18"/>
              </w:rPr>
              <w:t>c) as minimum (fixed)</w:t>
            </w:r>
          </w:p>
          <w:p w14:paraId="0346C611" w14:textId="3BDD311F" w:rsidR="42911850" w:rsidRDefault="42911850">
            <w:pPr>
              <w:rPr>
                <w:noProof/>
              </w:rPr>
            </w:pPr>
            <w:r w:rsidRPr="42911850">
              <w:rPr>
                <w:rFonts w:ascii="Calibri" w:eastAsia="Calibri" w:hAnsi="Calibri" w:cs="Calibri"/>
                <w:noProof/>
                <w:sz w:val="18"/>
                <w:szCs w:val="18"/>
              </w:rPr>
              <w:t xml:space="preserve"> </w:t>
            </w:r>
          </w:p>
          <w:p w14:paraId="77170B6C" w14:textId="61F986C5" w:rsidR="42911850" w:rsidRDefault="42911850">
            <w:pPr>
              <w:rPr>
                <w:noProof/>
              </w:rPr>
            </w:pPr>
            <w:r w:rsidRPr="42911850">
              <w:rPr>
                <w:rFonts w:ascii="Calibri" w:eastAsia="Calibri" w:hAnsi="Calibri" w:cs="Calibri"/>
                <w:noProof/>
                <w:sz w:val="18"/>
                <w:szCs w:val="18"/>
              </w:rPr>
              <w:t xml:space="preserve"> </w:t>
            </w:r>
          </w:p>
          <w:p w14:paraId="4876CC98" w14:textId="5C308123" w:rsidR="42911850" w:rsidRDefault="42911850">
            <w:pPr>
              <w:rPr>
                <w:noProof/>
              </w:rPr>
            </w:pPr>
            <w:r w:rsidRPr="42911850">
              <w:rPr>
                <w:rFonts w:ascii="Calibri" w:eastAsia="Calibri" w:hAnsi="Calibri" w:cs="Calibri"/>
                <w:noProof/>
                <w:sz w:val="18"/>
                <w:szCs w:val="18"/>
              </w:rPr>
              <w:t>d) as minimum (fixed)</w:t>
            </w:r>
          </w:p>
          <w:p w14:paraId="30999A6D" w14:textId="1DBD32C8" w:rsidR="42911850" w:rsidRDefault="42911850">
            <w:pPr>
              <w:rPr>
                <w:noProof/>
              </w:rPr>
            </w:pPr>
            <w:r w:rsidRPr="42911850">
              <w:rPr>
                <w:rFonts w:ascii="Calibri" w:eastAsia="Calibri" w:hAnsi="Calibri" w:cs="Calibri"/>
                <w:noProof/>
                <w:sz w:val="18"/>
                <w:szCs w:val="18"/>
              </w:rPr>
              <w:t>e) as minimum (fixed)</w:t>
            </w:r>
          </w:p>
          <w:p w14:paraId="237C4365" w14:textId="4B14E833" w:rsidR="42911850" w:rsidRDefault="42911850">
            <w:pPr>
              <w:rPr>
                <w:noProof/>
              </w:rPr>
            </w:pPr>
            <w:r w:rsidRPr="42911850">
              <w:rPr>
                <w:rFonts w:ascii="Calibri" w:eastAsia="Calibri" w:hAnsi="Calibri" w:cs="Calibri"/>
                <w:noProof/>
                <w:sz w:val="18"/>
                <w:szCs w:val="18"/>
              </w:rPr>
              <w:t xml:space="preserve"> </w:t>
            </w:r>
          </w:p>
          <w:p w14:paraId="273DE282" w14:textId="010CC0F4" w:rsidR="42911850" w:rsidRDefault="42911850">
            <w:pPr>
              <w:rPr>
                <w:noProof/>
              </w:rPr>
            </w:pPr>
            <w:r w:rsidRPr="42911850">
              <w:rPr>
                <w:rFonts w:ascii="Calibri" w:eastAsia="Calibri" w:hAnsi="Calibri" w:cs="Calibri"/>
                <w:noProof/>
                <w:sz w:val="18"/>
                <w:szCs w:val="18"/>
              </w:rPr>
              <w:t>f) as minimum (fixed)</w:t>
            </w:r>
          </w:p>
          <w:p w14:paraId="0AD23D99" w14:textId="32F3E263" w:rsidR="42911850" w:rsidRDefault="42911850">
            <w:pPr>
              <w:rPr>
                <w:noProof/>
              </w:rPr>
            </w:pPr>
            <w:r w:rsidRPr="42911850">
              <w:rPr>
                <w:rFonts w:ascii="Calibri" w:eastAsia="Calibri" w:hAnsi="Calibri" w:cs="Calibri"/>
                <w:noProof/>
                <w:sz w:val="18"/>
                <w:szCs w:val="18"/>
              </w:rPr>
              <w:t xml:space="preserve"> </w:t>
            </w:r>
          </w:p>
          <w:p w14:paraId="4AE38868" w14:textId="075A1A14" w:rsidR="42911850" w:rsidRDefault="42911850">
            <w:pPr>
              <w:rPr>
                <w:noProof/>
              </w:rPr>
            </w:pPr>
            <w:r w:rsidRPr="42911850">
              <w:rPr>
                <w:rFonts w:ascii="Calibri" w:eastAsia="Calibri" w:hAnsi="Calibri" w:cs="Calibri"/>
                <w:noProof/>
                <w:sz w:val="18"/>
                <w:szCs w:val="18"/>
              </w:rPr>
              <w:t>If the Greek Reporting Financial Institutions commit the same infringement within five years from the discovery of the first infringement, the aforesaid penalties (provided under a)-f)) shall be doubled. In case the same infringement is repeated, for each subsequent infringement the said penalties shall be quadrupled.</w:t>
            </w:r>
          </w:p>
          <w:p w14:paraId="05AECEAA" w14:textId="1EFAA578" w:rsidR="42911850" w:rsidRDefault="42911850">
            <w:pPr>
              <w:rPr>
                <w:noProof/>
              </w:rPr>
            </w:pPr>
            <w:r w:rsidRPr="42911850">
              <w:rPr>
                <w:rFonts w:ascii="Calibri" w:eastAsia="Calibri" w:hAnsi="Calibri" w:cs="Calibri"/>
                <w:noProof/>
                <w:sz w:val="18"/>
                <w:szCs w:val="18"/>
              </w:rPr>
              <w:t xml:space="preserve"> </w:t>
            </w:r>
          </w:p>
        </w:tc>
      </w:tr>
      <w:tr w:rsidR="42911850" w14:paraId="1F1CCD31" w14:textId="77777777" w:rsidTr="42911850">
        <w:trPr>
          <w:trHeight w:val="45"/>
        </w:trPr>
        <w:tc>
          <w:tcPr>
            <w:tcW w:w="638" w:type="dxa"/>
            <w:vMerge/>
            <w:tcBorders>
              <w:left w:val="single" w:sz="0" w:space="0" w:color="auto"/>
              <w:right w:val="single" w:sz="0" w:space="0" w:color="auto"/>
            </w:tcBorders>
            <w:vAlign w:val="center"/>
          </w:tcPr>
          <w:p w14:paraId="3F3DB49F"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763B02F" w14:textId="3D35421B"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3671E535" w14:textId="29223ABC" w:rsidR="42911850" w:rsidRDefault="42911850">
            <w:pPr>
              <w:rPr>
                <w:noProof/>
              </w:rPr>
            </w:pPr>
            <w:r w:rsidRPr="42911850">
              <w:rPr>
                <w:rFonts w:ascii="Calibri" w:eastAsia="Calibri" w:hAnsi="Calibri" w:cs="Calibri"/>
                <w:noProof/>
                <w:sz w:val="18"/>
                <w:szCs w:val="18"/>
              </w:rPr>
              <w:t xml:space="preserve">Art. 56A of L. 4174/2013 (Greek Code of Tax Procedures) - sanctions for CbC reporting (no personal distinctions): </w:t>
            </w:r>
          </w:p>
          <w:p w14:paraId="52A1EE32" w14:textId="096CE76A" w:rsidR="42911850" w:rsidRDefault="42911850">
            <w:pPr>
              <w:rPr>
                <w:noProof/>
              </w:rPr>
            </w:pPr>
            <w:r w:rsidRPr="42911850">
              <w:rPr>
                <w:rFonts w:ascii="Calibri" w:eastAsia="Calibri" w:hAnsi="Calibri" w:cs="Calibri"/>
                <w:noProof/>
                <w:sz w:val="18"/>
                <w:szCs w:val="18"/>
              </w:rPr>
              <w:t>A) A filing of an inaccurate report or a belated filing of the report.</w:t>
            </w:r>
          </w:p>
          <w:p w14:paraId="1EDB8BB6" w14:textId="39075C24" w:rsidR="42911850" w:rsidRDefault="42911850">
            <w:pPr>
              <w:rPr>
                <w:noProof/>
              </w:rPr>
            </w:pPr>
            <w:r w:rsidRPr="42911850">
              <w:rPr>
                <w:rFonts w:ascii="Calibri" w:eastAsia="Calibri" w:hAnsi="Calibri" w:cs="Calibri"/>
                <w:noProof/>
                <w:sz w:val="18"/>
                <w:szCs w:val="18"/>
              </w:rPr>
              <w:t xml:space="preserve">B) A failure to submit a country report.  </w:t>
            </w:r>
          </w:p>
          <w:p w14:paraId="770F8F5C" w14:textId="42337ABB"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1D64C62B" w14:textId="2D00FB55" w:rsidR="42911850" w:rsidRDefault="42911850">
            <w:pPr>
              <w:rPr>
                <w:noProof/>
              </w:rPr>
            </w:pPr>
            <w:r w:rsidRPr="42911850">
              <w:rPr>
                <w:rFonts w:ascii="Calibri" w:eastAsia="Calibri" w:hAnsi="Calibri" w:cs="Calibri"/>
                <w:noProof/>
                <w:sz w:val="18"/>
                <w:szCs w:val="18"/>
              </w:rPr>
              <w:t xml:space="preserve"> </w:t>
            </w:r>
          </w:p>
          <w:p w14:paraId="2B788D96" w14:textId="571CFDEE" w:rsidR="42911850" w:rsidRDefault="42911850">
            <w:pPr>
              <w:rPr>
                <w:noProof/>
              </w:rPr>
            </w:pPr>
            <w:r w:rsidRPr="42911850">
              <w:rPr>
                <w:rFonts w:ascii="Calibri" w:eastAsia="Calibri" w:hAnsi="Calibri" w:cs="Calibri"/>
                <w:noProof/>
                <w:sz w:val="18"/>
                <w:szCs w:val="18"/>
              </w:rPr>
              <w:t xml:space="preserve"> </w:t>
            </w:r>
          </w:p>
          <w:p w14:paraId="3DEDC59F" w14:textId="522BB0F2" w:rsidR="42911850" w:rsidRDefault="42911850">
            <w:pPr>
              <w:rPr>
                <w:noProof/>
              </w:rPr>
            </w:pPr>
            <w:r w:rsidRPr="42911850">
              <w:rPr>
                <w:rFonts w:ascii="Calibri" w:eastAsia="Calibri" w:hAnsi="Calibri" w:cs="Calibri"/>
                <w:noProof/>
                <w:sz w:val="18"/>
                <w:szCs w:val="18"/>
              </w:rPr>
              <w:t>A) EUR 10,000</w:t>
            </w:r>
          </w:p>
          <w:p w14:paraId="45B3361A" w14:textId="4450DE5C" w:rsidR="42911850" w:rsidRDefault="42911850">
            <w:pPr>
              <w:rPr>
                <w:noProof/>
              </w:rPr>
            </w:pPr>
            <w:r w:rsidRPr="42911850">
              <w:rPr>
                <w:rFonts w:ascii="Calibri" w:eastAsia="Calibri" w:hAnsi="Calibri" w:cs="Calibri"/>
                <w:noProof/>
                <w:sz w:val="18"/>
                <w:szCs w:val="18"/>
              </w:rPr>
              <w:t>B) EUR 20,000</w:t>
            </w:r>
          </w:p>
        </w:tc>
        <w:tc>
          <w:tcPr>
            <w:tcW w:w="2175" w:type="dxa"/>
            <w:tcBorders>
              <w:top w:val="single" w:sz="8" w:space="0" w:color="auto"/>
              <w:left w:val="single" w:sz="8" w:space="0" w:color="auto"/>
              <w:bottom w:val="single" w:sz="8" w:space="0" w:color="auto"/>
              <w:right w:val="single" w:sz="8" w:space="0" w:color="auto"/>
            </w:tcBorders>
          </w:tcPr>
          <w:p w14:paraId="78182349" w14:textId="2F72F708" w:rsidR="42911850" w:rsidRDefault="42911850">
            <w:pPr>
              <w:rPr>
                <w:noProof/>
              </w:rPr>
            </w:pPr>
            <w:r w:rsidRPr="42911850">
              <w:rPr>
                <w:rFonts w:ascii="Calibri" w:eastAsia="Calibri" w:hAnsi="Calibri" w:cs="Calibri"/>
                <w:noProof/>
                <w:sz w:val="18"/>
                <w:szCs w:val="18"/>
              </w:rPr>
              <w:t xml:space="preserve"> </w:t>
            </w:r>
          </w:p>
          <w:p w14:paraId="3C387B6D" w14:textId="7CAAE581" w:rsidR="42911850" w:rsidRDefault="42911850">
            <w:pPr>
              <w:rPr>
                <w:noProof/>
              </w:rPr>
            </w:pPr>
            <w:r w:rsidRPr="42911850">
              <w:rPr>
                <w:rFonts w:ascii="Calibri" w:eastAsia="Calibri" w:hAnsi="Calibri" w:cs="Calibri"/>
                <w:noProof/>
                <w:sz w:val="18"/>
                <w:szCs w:val="18"/>
              </w:rPr>
              <w:t xml:space="preserve"> </w:t>
            </w:r>
          </w:p>
          <w:p w14:paraId="79282ECA" w14:textId="631A375A" w:rsidR="42911850" w:rsidRDefault="42911850">
            <w:pPr>
              <w:rPr>
                <w:noProof/>
              </w:rPr>
            </w:pPr>
            <w:r w:rsidRPr="42911850">
              <w:rPr>
                <w:rFonts w:ascii="Calibri" w:eastAsia="Calibri" w:hAnsi="Calibri" w:cs="Calibri"/>
                <w:noProof/>
                <w:sz w:val="18"/>
                <w:szCs w:val="18"/>
              </w:rPr>
              <w:t>A) as the minimum (fixed)</w:t>
            </w:r>
          </w:p>
          <w:p w14:paraId="3DBCFA3F" w14:textId="2C5D2C1F" w:rsidR="42911850" w:rsidRDefault="42911850">
            <w:pPr>
              <w:rPr>
                <w:noProof/>
              </w:rPr>
            </w:pPr>
            <w:r w:rsidRPr="42911850">
              <w:rPr>
                <w:rFonts w:ascii="Calibri" w:eastAsia="Calibri" w:hAnsi="Calibri" w:cs="Calibri"/>
                <w:noProof/>
                <w:sz w:val="18"/>
                <w:szCs w:val="18"/>
              </w:rPr>
              <w:t>B) as the minimum (fixed)</w:t>
            </w:r>
          </w:p>
        </w:tc>
      </w:tr>
      <w:tr w:rsidR="42911850" w14:paraId="17573F17"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7026CE5F"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45AD6E22" w14:textId="0CB23174"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308A6343" w14:textId="285CD30E" w:rsidR="42911850" w:rsidRDefault="42911850">
            <w:pPr>
              <w:rPr>
                <w:noProof/>
              </w:rPr>
            </w:pPr>
            <w:r w:rsidRPr="42911850">
              <w:rPr>
                <w:rFonts w:ascii="Calibri" w:eastAsia="Calibri" w:hAnsi="Calibri" w:cs="Calibri"/>
                <w:noProof/>
                <w:sz w:val="18"/>
                <w:szCs w:val="18"/>
              </w:rPr>
              <w:t xml:space="preserve">Art. 56A of L. 4174/2013 (Greek Code of Tax Procedures) - sanctions for MDR violation (no personal distinctions): </w:t>
            </w:r>
          </w:p>
          <w:p w14:paraId="19DB98D7" w14:textId="5ACF58C0" w:rsidR="42911850" w:rsidRDefault="42911850">
            <w:pPr>
              <w:rPr>
                <w:noProof/>
              </w:rPr>
            </w:pPr>
            <w:r w:rsidRPr="42911850">
              <w:rPr>
                <w:rFonts w:ascii="Calibri" w:eastAsia="Calibri" w:hAnsi="Calibri" w:cs="Calibri"/>
                <w:noProof/>
                <w:sz w:val="18"/>
                <w:szCs w:val="18"/>
              </w:rPr>
              <w:t xml:space="preserve">A)  A failure to report information regarding a reportable cross-border arrangement. </w:t>
            </w:r>
          </w:p>
          <w:p w14:paraId="0466985A" w14:textId="0D0985D3" w:rsidR="42911850" w:rsidRDefault="42911850">
            <w:pPr>
              <w:rPr>
                <w:noProof/>
              </w:rPr>
            </w:pPr>
            <w:r w:rsidRPr="42911850">
              <w:rPr>
                <w:rFonts w:ascii="Calibri" w:eastAsia="Calibri" w:hAnsi="Calibri" w:cs="Calibri"/>
                <w:noProof/>
                <w:sz w:val="18"/>
                <w:szCs w:val="18"/>
              </w:rPr>
              <w:t xml:space="preserve"> </w:t>
            </w:r>
          </w:p>
          <w:p w14:paraId="287FC831" w14:textId="366BE772" w:rsidR="42911850" w:rsidRDefault="42911850">
            <w:pPr>
              <w:rPr>
                <w:noProof/>
              </w:rPr>
            </w:pPr>
            <w:r w:rsidRPr="42911850">
              <w:rPr>
                <w:rFonts w:ascii="Calibri" w:eastAsia="Calibri" w:hAnsi="Calibri" w:cs="Calibri"/>
                <w:noProof/>
                <w:sz w:val="18"/>
                <w:szCs w:val="18"/>
              </w:rPr>
              <w:t xml:space="preserve"> </w:t>
            </w:r>
          </w:p>
          <w:p w14:paraId="5893C61A" w14:textId="382450E3" w:rsidR="42911850" w:rsidRDefault="42911850">
            <w:pPr>
              <w:rPr>
                <w:noProof/>
              </w:rPr>
            </w:pPr>
            <w:r w:rsidRPr="42911850">
              <w:rPr>
                <w:rFonts w:ascii="Calibri" w:eastAsia="Calibri" w:hAnsi="Calibri" w:cs="Calibri"/>
                <w:noProof/>
                <w:sz w:val="18"/>
                <w:szCs w:val="18"/>
              </w:rPr>
              <w:t xml:space="preserve">B) A filing of inaccurate or incomplete information in respect of a reportable cross-border arrangement. </w:t>
            </w:r>
          </w:p>
          <w:p w14:paraId="77AED77B" w14:textId="3CA1A44D" w:rsidR="42911850" w:rsidRDefault="42911850">
            <w:pPr>
              <w:rPr>
                <w:noProof/>
              </w:rPr>
            </w:pPr>
            <w:r w:rsidRPr="42911850">
              <w:rPr>
                <w:rFonts w:ascii="Calibri" w:eastAsia="Calibri" w:hAnsi="Calibri" w:cs="Calibri"/>
                <w:noProof/>
                <w:sz w:val="18"/>
                <w:szCs w:val="18"/>
              </w:rPr>
              <w:t xml:space="preserve"> </w:t>
            </w:r>
          </w:p>
          <w:p w14:paraId="48EB4EC5" w14:textId="64182635" w:rsidR="42911850" w:rsidRDefault="42911850">
            <w:pPr>
              <w:rPr>
                <w:noProof/>
              </w:rPr>
            </w:pPr>
            <w:r w:rsidRPr="42911850">
              <w:rPr>
                <w:rFonts w:ascii="Calibri" w:eastAsia="Calibri" w:hAnsi="Calibri" w:cs="Calibri"/>
                <w:noProof/>
                <w:sz w:val="18"/>
                <w:szCs w:val="18"/>
              </w:rPr>
              <w:t xml:space="preserve"> </w:t>
            </w:r>
          </w:p>
          <w:p w14:paraId="6E01C5D9" w14:textId="41E467E6" w:rsidR="42911850" w:rsidRDefault="42911850">
            <w:pPr>
              <w:rPr>
                <w:noProof/>
              </w:rPr>
            </w:pPr>
            <w:r w:rsidRPr="42911850">
              <w:rPr>
                <w:rFonts w:ascii="Calibri" w:eastAsia="Calibri" w:hAnsi="Calibri" w:cs="Calibri"/>
                <w:noProof/>
                <w:sz w:val="18"/>
                <w:szCs w:val="18"/>
              </w:rPr>
              <w:t>C) Late reporting regarding a reportable cross-border arrangement.</w:t>
            </w:r>
          </w:p>
          <w:p w14:paraId="7402EF34" w14:textId="5E5C94AD" w:rsidR="42911850" w:rsidRDefault="42911850">
            <w:pPr>
              <w:rPr>
                <w:noProof/>
              </w:rPr>
            </w:pPr>
            <w:r w:rsidRPr="42911850">
              <w:rPr>
                <w:rFonts w:ascii="Calibri" w:eastAsia="Calibri" w:hAnsi="Calibri" w:cs="Calibri"/>
                <w:noProof/>
                <w:sz w:val="18"/>
                <w:szCs w:val="18"/>
              </w:rPr>
              <w:t xml:space="preserve"> </w:t>
            </w:r>
          </w:p>
          <w:p w14:paraId="4AA8B5C2" w14:textId="2EDD4962" w:rsidR="42911850" w:rsidRDefault="42911850">
            <w:pPr>
              <w:rPr>
                <w:noProof/>
              </w:rPr>
            </w:pPr>
            <w:r w:rsidRPr="42911850">
              <w:rPr>
                <w:rFonts w:ascii="Calibri" w:eastAsia="Calibri" w:hAnsi="Calibri" w:cs="Calibri"/>
                <w:noProof/>
                <w:sz w:val="18"/>
                <w:szCs w:val="18"/>
              </w:rPr>
              <w:t xml:space="preserve"> </w:t>
            </w:r>
          </w:p>
          <w:p w14:paraId="25BEC1B1" w14:textId="312FF024" w:rsidR="42911850" w:rsidRDefault="42911850">
            <w:pPr>
              <w:rPr>
                <w:noProof/>
              </w:rPr>
            </w:pPr>
            <w:r w:rsidRPr="42911850">
              <w:rPr>
                <w:rFonts w:ascii="Calibri" w:eastAsia="Calibri" w:hAnsi="Calibri" w:cs="Calibri"/>
                <w:noProof/>
                <w:sz w:val="18"/>
                <w:szCs w:val="18"/>
              </w:rPr>
              <w:t xml:space="preserve"> </w:t>
            </w:r>
          </w:p>
          <w:p w14:paraId="627E6D29" w14:textId="6B77AB49" w:rsidR="42911850" w:rsidRDefault="42911850">
            <w:pPr>
              <w:rPr>
                <w:noProof/>
              </w:rPr>
            </w:pPr>
            <w:r w:rsidRPr="42911850">
              <w:rPr>
                <w:rFonts w:ascii="Calibri" w:eastAsia="Calibri" w:hAnsi="Calibri" w:cs="Calibri"/>
                <w:noProof/>
                <w:sz w:val="18"/>
                <w:szCs w:val="18"/>
              </w:rPr>
              <w:t>Specific sanction on intermediaries:</w:t>
            </w:r>
          </w:p>
          <w:p w14:paraId="7F74DE5B" w14:textId="0C103A7D" w:rsidR="42911850" w:rsidRDefault="42911850" w:rsidP="00AE537F">
            <w:pPr>
              <w:pStyle w:val="ListParagraph"/>
              <w:numPr>
                <w:ilvl w:val="0"/>
                <w:numId w:val="59"/>
              </w:numPr>
              <w:rPr>
                <w:rFonts w:eastAsiaTheme="minorEastAsia"/>
                <w:noProof/>
                <w:sz w:val="18"/>
                <w:szCs w:val="18"/>
              </w:rPr>
            </w:pPr>
            <w:r w:rsidRPr="42911850">
              <w:rPr>
                <w:noProof/>
                <w:sz w:val="18"/>
                <w:szCs w:val="18"/>
              </w:rPr>
              <w:t xml:space="preserve"> If the intermediary fails to notify another intermediary or the taxpayer for the duty of filing information</w:t>
            </w:r>
          </w:p>
          <w:p w14:paraId="443B04EE" w14:textId="758EC8BF"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C98891F" w14:textId="72E9FB17" w:rsidR="42911850" w:rsidRDefault="42911850">
            <w:pPr>
              <w:rPr>
                <w:noProof/>
              </w:rPr>
            </w:pPr>
            <w:r w:rsidRPr="42911850">
              <w:rPr>
                <w:rFonts w:ascii="Calibri" w:eastAsia="Calibri" w:hAnsi="Calibri" w:cs="Calibri"/>
                <w:noProof/>
                <w:sz w:val="18"/>
                <w:szCs w:val="18"/>
              </w:rPr>
              <w:t xml:space="preserve"> </w:t>
            </w:r>
          </w:p>
          <w:p w14:paraId="02D4A453" w14:textId="35AAAF5C"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60966CBE" w14:textId="64EBD1ED" w:rsidR="42911850" w:rsidRDefault="42911850">
            <w:pPr>
              <w:rPr>
                <w:noProof/>
              </w:rPr>
            </w:pPr>
            <w:r w:rsidRPr="42911850">
              <w:rPr>
                <w:rFonts w:ascii="Calibri" w:eastAsia="Calibri" w:hAnsi="Calibri" w:cs="Calibri"/>
                <w:noProof/>
                <w:sz w:val="18"/>
                <w:szCs w:val="18"/>
              </w:rPr>
              <w:t xml:space="preserve"> </w:t>
            </w:r>
          </w:p>
          <w:p w14:paraId="0C27DDD4" w14:textId="024A8D1A" w:rsidR="42911850" w:rsidRDefault="42911850">
            <w:pPr>
              <w:rPr>
                <w:noProof/>
              </w:rPr>
            </w:pPr>
            <w:r w:rsidRPr="42911850">
              <w:rPr>
                <w:rFonts w:ascii="Calibri" w:eastAsia="Calibri" w:hAnsi="Calibri" w:cs="Calibri"/>
                <w:noProof/>
                <w:sz w:val="18"/>
                <w:szCs w:val="18"/>
              </w:rPr>
              <w:t xml:space="preserve"> </w:t>
            </w:r>
          </w:p>
          <w:p w14:paraId="6EF17997" w14:textId="2D48E7FA" w:rsidR="42911850" w:rsidRDefault="42911850">
            <w:pPr>
              <w:rPr>
                <w:noProof/>
              </w:rPr>
            </w:pPr>
            <w:r w:rsidRPr="42911850">
              <w:rPr>
                <w:rFonts w:ascii="Calibri" w:eastAsia="Calibri" w:hAnsi="Calibri" w:cs="Calibri"/>
                <w:noProof/>
                <w:sz w:val="18"/>
                <w:szCs w:val="18"/>
              </w:rPr>
              <w:t>A) EUR 10,000</w:t>
            </w:r>
          </w:p>
          <w:p w14:paraId="502103AF" w14:textId="13F1F41A" w:rsidR="42911850" w:rsidRDefault="42911850">
            <w:pPr>
              <w:rPr>
                <w:noProof/>
              </w:rPr>
            </w:pPr>
            <w:r w:rsidRPr="42911850">
              <w:rPr>
                <w:rFonts w:ascii="Calibri" w:eastAsia="Calibri" w:hAnsi="Calibri" w:cs="Calibri"/>
                <w:noProof/>
                <w:sz w:val="18"/>
                <w:szCs w:val="18"/>
              </w:rPr>
              <w:t xml:space="preserve"> </w:t>
            </w:r>
          </w:p>
          <w:p w14:paraId="1B825B59" w14:textId="00BC2709" w:rsidR="42911850" w:rsidRDefault="42911850">
            <w:pPr>
              <w:rPr>
                <w:noProof/>
              </w:rPr>
            </w:pPr>
            <w:r w:rsidRPr="42911850">
              <w:rPr>
                <w:rFonts w:ascii="Calibri" w:eastAsia="Calibri" w:hAnsi="Calibri" w:cs="Calibri"/>
                <w:noProof/>
                <w:sz w:val="18"/>
                <w:szCs w:val="18"/>
              </w:rPr>
              <w:t xml:space="preserve"> </w:t>
            </w:r>
          </w:p>
          <w:p w14:paraId="0C176A3A" w14:textId="7C31E536" w:rsidR="42911850" w:rsidRDefault="42911850">
            <w:pPr>
              <w:rPr>
                <w:noProof/>
              </w:rPr>
            </w:pPr>
            <w:r w:rsidRPr="42911850">
              <w:rPr>
                <w:rFonts w:ascii="Calibri" w:eastAsia="Calibri" w:hAnsi="Calibri" w:cs="Calibri"/>
                <w:noProof/>
                <w:sz w:val="18"/>
                <w:szCs w:val="18"/>
              </w:rPr>
              <w:t>B) EUR 5,000</w:t>
            </w:r>
          </w:p>
          <w:p w14:paraId="3520059D" w14:textId="42E2FFD1" w:rsidR="42911850" w:rsidRDefault="42911850">
            <w:pPr>
              <w:rPr>
                <w:noProof/>
              </w:rPr>
            </w:pPr>
            <w:r w:rsidRPr="42911850">
              <w:rPr>
                <w:rFonts w:ascii="Calibri" w:eastAsia="Calibri" w:hAnsi="Calibri" w:cs="Calibri"/>
                <w:noProof/>
                <w:sz w:val="18"/>
                <w:szCs w:val="18"/>
              </w:rPr>
              <w:t xml:space="preserve"> </w:t>
            </w:r>
          </w:p>
          <w:p w14:paraId="6C54F969" w14:textId="0A7F2358" w:rsidR="42911850" w:rsidRDefault="42911850">
            <w:pPr>
              <w:rPr>
                <w:noProof/>
              </w:rPr>
            </w:pPr>
            <w:r w:rsidRPr="42911850">
              <w:rPr>
                <w:rFonts w:ascii="Calibri" w:eastAsia="Calibri" w:hAnsi="Calibri" w:cs="Calibri"/>
                <w:noProof/>
                <w:sz w:val="18"/>
                <w:szCs w:val="18"/>
              </w:rPr>
              <w:t xml:space="preserve"> </w:t>
            </w:r>
          </w:p>
          <w:p w14:paraId="01FEB73F" w14:textId="741DB8DE" w:rsidR="42911850" w:rsidRDefault="42911850">
            <w:pPr>
              <w:rPr>
                <w:noProof/>
              </w:rPr>
            </w:pPr>
            <w:r w:rsidRPr="42911850">
              <w:rPr>
                <w:rFonts w:ascii="Calibri" w:eastAsia="Calibri" w:hAnsi="Calibri" w:cs="Calibri"/>
                <w:noProof/>
                <w:sz w:val="18"/>
                <w:szCs w:val="18"/>
              </w:rPr>
              <w:t xml:space="preserve">C) EUR 500 per month of delay up to three months. Once the three month-period expires, a penalty is EUR 5,000 per reportable cross-border arrangement. </w:t>
            </w:r>
          </w:p>
          <w:p w14:paraId="27E0AA2C" w14:textId="52F91F3A" w:rsidR="42911850" w:rsidRDefault="42911850">
            <w:pPr>
              <w:rPr>
                <w:noProof/>
              </w:rPr>
            </w:pPr>
            <w:r w:rsidRPr="42911850">
              <w:rPr>
                <w:rFonts w:ascii="Calibri" w:eastAsia="Calibri" w:hAnsi="Calibri" w:cs="Calibri"/>
                <w:noProof/>
                <w:sz w:val="18"/>
                <w:szCs w:val="18"/>
              </w:rPr>
              <w:t xml:space="preserve"> </w:t>
            </w:r>
          </w:p>
          <w:p w14:paraId="14B68B5F" w14:textId="11C6928A" w:rsidR="42911850" w:rsidRDefault="42911850">
            <w:pPr>
              <w:rPr>
                <w:noProof/>
              </w:rPr>
            </w:pPr>
            <w:r w:rsidRPr="42911850">
              <w:rPr>
                <w:rFonts w:ascii="Calibri" w:eastAsia="Calibri" w:hAnsi="Calibri" w:cs="Calibri"/>
                <w:noProof/>
                <w:sz w:val="18"/>
                <w:szCs w:val="18"/>
              </w:rPr>
              <w:t xml:space="preserve"> EUR 10,000</w:t>
            </w:r>
          </w:p>
        </w:tc>
        <w:tc>
          <w:tcPr>
            <w:tcW w:w="2175" w:type="dxa"/>
            <w:tcBorders>
              <w:top w:val="single" w:sz="8" w:space="0" w:color="auto"/>
              <w:left w:val="single" w:sz="8" w:space="0" w:color="auto"/>
              <w:bottom w:val="single" w:sz="8" w:space="0" w:color="auto"/>
              <w:right w:val="single" w:sz="8" w:space="0" w:color="auto"/>
            </w:tcBorders>
          </w:tcPr>
          <w:p w14:paraId="3A46C043" w14:textId="6DA5EDFE" w:rsidR="42911850" w:rsidRDefault="42911850">
            <w:pPr>
              <w:rPr>
                <w:noProof/>
              </w:rPr>
            </w:pPr>
            <w:r w:rsidRPr="42911850">
              <w:rPr>
                <w:rFonts w:ascii="Calibri" w:eastAsia="Calibri" w:hAnsi="Calibri" w:cs="Calibri"/>
                <w:noProof/>
                <w:sz w:val="18"/>
                <w:szCs w:val="18"/>
              </w:rPr>
              <w:t xml:space="preserve"> </w:t>
            </w:r>
          </w:p>
          <w:p w14:paraId="30D48DFC" w14:textId="494DF839" w:rsidR="42911850" w:rsidRDefault="42911850">
            <w:pPr>
              <w:rPr>
                <w:noProof/>
              </w:rPr>
            </w:pPr>
            <w:r w:rsidRPr="42911850">
              <w:rPr>
                <w:rFonts w:ascii="Calibri" w:eastAsia="Calibri" w:hAnsi="Calibri" w:cs="Calibri"/>
                <w:noProof/>
                <w:sz w:val="18"/>
                <w:szCs w:val="18"/>
              </w:rPr>
              <w:t xml:space="preserve"> </w:t>
            </w:r>
          </w:p>
          <w:p w14:paraId="2CCA3492" w14:textId="732CBDAE" w:rsidR="42911850" w:rsidRDefault="42911850">
            <w:pPr>
              <w:rPr>
                <w:noProof/>
              </w:rPr>
            </w:pPr>
            <w:r w:rsidRPr="42911850">
              <w:rPr>
                <w:rFonts w:ascii="Calibri" w:eastAsia="Calibri" w:hAnsi="Calibri" w:cs="Calibri"/>
                <w:noProof/>
                <w:sz w:val="18"/>
                <w:szCs w:val="18"/>
              </w:rPr>
              <w:t>A) The sum of penalties shall not exceed the amount of EUR 100,000 per tax audit for each reportable cross-border arrangement.</w:t>
            </w:r>
          </w:p>
          <w:p w14:paraId="7C4BB85F" w14:textId="25125402" w:rsidR="42911850" w:rsidRDefault="42911850">
            <w:pPr>
              <w:rPr>
                <w:noProof/>
              </w:rPr>
            </w:pPr>
            <w:r w:rsidRPr="42911850">
              <w:rPr>
                <w:rFonts w:ascii="Calibri" w:eastAsia="Calibri" w:hAnsi="Calibri" w:cs="Calibri"/>
                <w:noProof/>
                <w:sz w:val="18"/>
                <w:szCs w:val="18"/>
              </w:rPr>
              <w:t>B)  The sum of penalties shall not exceed the amount of EUR 50,000 per tax audit for each reportable cross-border arrangement.</w:t>
            </w:r>
          </w:p>
          <w:p w14:paraId="0B7C04E2" w14:textId="48B7A557" w:rsidR="42911850" w:rsidRDefault="42911850">
            <w:pPr>
              <w:rPr>
                <w:noProof/>
              </w:rPr>
            </w:pPr>
            <w:r w:rsidRPr="42911850">
              <w:rPr>
                <w:rFonts w:ascii="Calibri" w:eastAsia="Calibri" w:hAnsi="Calibri" w:cs="Calibri"/>
                <w:noProof/>
                <w:sz w:val="18"/>
                <w:szCs w:val="18"/>
              </w:rPr>
              <w:t xml:space="preserve"> </w:t>
            </w:r>
          </w:p>
          <w:p w14:paraId="296AD0A9" w14:textId="6D427F66" w:rsidR="42911850" w:rsidRDefault="42911850">
            <w:pPr>
              <w:rPr>
                <w:noProof/>
              </w:rPr>
            </w:pPr>
            <w:r w:rsidRPr="42911850">
              <w:rPr>
                <w:rFonts w:ascii="Calibri" w:eastAsia="Calibri" w:hAnsi="Calibri" w:cs="Calibri"/>
                <w:noProof/>
                <w:sz w:val="18"/>
                <w:szCs w:val="18"/>
              </w:rPr>
              <w:t>C) The sum of penalties shall not exceed the amount of EUR 10,000 per year for each reportable cross-border arrangement.</w:t>
            </w:r>
          </w:p>
          <w:p w14:paraId="73059CDB" w14:textId="4080BF43" w:rsidR="42911850" w:rsidRDefault="42911850">
            <w:pPr>
              <w:rPr>
                <w:noProof/>
              </w:rPr>
            </w:pPr>
            <w:r w:rsidRPr="42911850">
              <w:rPr>
                <w:rFonts w:ascii="Calibri" w:eastAsia="Calibri" w:hAnsi="Calibri" w:cs="Calibri"/>
                <w:noProof/>
                <w:sz w:val="18"/>
                <w:szCs w:val="18"/>
              </w:rPr>
              <w:t xml:space="preserve"> </w:t>
            </w:r>
          </w:p>
          <w:p w14:paraId="13B43AEB" w14:textId="7C28A8F1" w:rsidR="42911850" w:rsidRDefault="42911850">
            <w:pPr>
              <w:rPr>
                <w:noProof/>
              </w:rPr>
            </w:pPr>
            <w:r w:rsidRPr="42911850">
              <w:rPr>
                <w:rFonts w:ascii="Calibri" w:eastAsia="Calibri" w:hAnsi="Calibri" w:cs="Calibri"/>
                <w:noProof/>
                <w:sz w:val="18"/>
                <w:szCs w:val="18"/>
              </w:rPr>
              <w:t xml:space="preserve"> </w:t>
            </w:r>
          </w:p>
          <w:p w14:paraId="5DFE78F4" w14:textId="14031CB4" w:rsidR="42911850" w:rsidRDefault="42911850">
            <w:pPr>
              <w:rPr>
                <w:noProof/>
              </w:rPr>
            </w:pPr>
            <w:r w:rsidRPr="42911850">
              <w:rPr>
                <w:rFonts w:ascii="Calibri" w:eastAsia="Calibri" w:hAnsi="Calibri" w:cs="Calibri"/>
                <w:noProof/>
                <w:sz w:val="18"/>
                <w:szCs w:val="18"/>
              </w:rPr>
              <w:t xml:space="preserve"> EUR 100,000 per tax audit for each reportable cross-border arrangement</w:t>
            </w:r>
          </w:p>
        </w:tc>
      </w:tr>
      <w:tr w:rsidR="42911850" w14:paraId="02570915"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58B66ECB" w14:textId="08D63117" w:rsidR="42911850" w:rsidRDefault="42911850">
            <w:pPr>
              <w:rPr>
                <w:noProof/>
              </w:rPr>
            </w:pPr>
            <w:r w:rsidRPr="42911850">
              <w:rPr>
                <w:rFonts w:ascii="Calibri" w:eastAsia="Calibri" w:hAnsi="Calibri" w:cs="Calibri"/>
                <w:b/>
                <w:bCs/>
                <w:noProof/>
                <w:sz w:val="18"/>
                <w:szCs w:val="18"/>
              </w:rPr>
              <w:t>ES</w:t>
            </w:r>
          </w:p>
        </w:tc>
        <w:tc>
          <w:tcPr>
            <w:tcW w:w="1025" w:type="dxa"/>
            <w:tcBorders>
              <w:top w:val="single" w:sz="8" w:space="0" w:color="auto"/>
              <w:left w:val="single" w:sz="8" w:space="0" w:color="auto"/>
              <w:bottom w:val="single" w:sz="8" w:space="0" w:color="auto"/>
              <w:right w:val="single" w:sz="8" w:space="0" w:color="auto"/>
            </w:tcBorders>
          </w:tcPr>
          <w:p w14:paraId="2125FA48" w14:textId="7F01C130"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2B76CFDB" w14:textId="464A0A51" w:rsidR="42911850" w:rsidRDefault="42911850">
            <w:pPr>
              <w:rPr>
                <w:noProof/>
              </w:rPr>
            </w:pPr>
            <w:r w:rsidRPr="42911850">
              <w:rPr>
                <w:rFonts w:ascii="Calibri" w:eastAsia="Calibri" w:hAnsi="Calibri" w:cs="Calibri"/>
                <w:noProof/>
                <w:sz w:val="18"/>
                <w:szCs w:val="18"/>
              </w:rPr>
              <w:t>Infractions by the financial institutions</w:t>
            </w:r>
          </w:p>
          <w:p w14:paraId="7ACB5525" w14:textId="445FE9BA" w:rsidR="42911850" w:rsidRDefault="42911850">
            <w:pPr>
              <w:rPr>
                <w:noProof/>
              </w:rPr>
            </w:pPr>
            <w:r w:rsidRPr="42911850">
              <w:rPr>
                <w:rFonts w:ascii="Calibri" w:eastAsia="Calibri" w:hAnsi="Calibri" w:cs="Calibri"/>
                <w:noProof/>
                <w:sz w:val="18"/>
                <w:szCs w:val="18"/>
              </w:rPr>
              <w:t xml:space="preserve"> </w:t>
            </w:r>
          </w:p>
          <w:p w14:paraId="427B111C" w14:textId="18E1EADB" w:rsidR="42911850" w:rsidRDefault="42911850">
            <w:pPr>
              <w:rPr>
                <w:noProof/>
              </w:rPr>
            </w:pPr>
            <w:r w:rsidRPr="42911850">
              <w:rPr>
                <w:rFonts w:ascii="Calibri" w:eastAsia="Calibri" w:hAnsi="Calibri" w:cs="Calibri"/>
                <w:noProof/>
                <w:sz w:val="18"/>
                <w:szCs w:val="18"/>
              </w:rPr>
              <w:t xml:space="preserve"> </w:t>
            </w:r>
          </w:p>
          <w:p w14:paraId="4EA8D535" w14:textId="3467B63B" w:rsidR="42911850" w:rsidRDefault="42911850">
            <w:pPr>
              <w:rPr>
                <w:noProof/>
              </w:rPr>
            </w:pPr>
            <w:r w:rsidRPr="42911850">
              <w:rPr>
                <w:rFonts w:ascii="Calibri" w:eastAsia="Calibri" w:hAnsi="Calibri" w:cs="Calibri"/>
                <w:noProof/>
                <w:sz w:val="18"/>
                <w:szCs w:val="18"/>
              </w:rPr>
              <w:t xml:space="preserve"> </w:t>
            </w:r>
          </w:p>
          <w:p w14:paraId="24A2C213" w14:textId="754E055B" w:rsidR="42911850" w:rsidRDefault="42911850" w:rsidP="00AE537F">
            <w:pPr>
              <w:pStyle w:val="ListParagraph"/>
              <w:numPr>
                <w:ilvl w:val="0"/>
                <w:numId w:val="58"/>
              </w:numPr>
              <w:rPr>
                <w:rFonts w:eastAsiaTheme="minorEastAsia"/>
                <w:noProof/>
                <w:sz w:val="18"/>
                <w:szCs w:val="18"/>
              </w:rPr>
            </w:pPr>
            <w:r w:rsidRPr="42911850">
              <w:rPr>
                <w:noProof/>
                <w:sz w:val="18"/>
                <w:szCs w:val="18"/>
              </w:rPr>
              <w:t>No reporting (LGT 198.1)</w:t>
            </w:r>
          </w:p>
          <w:p w14:paraId="080BDF39" w14:textId="4BF5361B"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AEDAF40" w14:textId="41998138" w:rsidR="42911850" w:rsidRDefault="42911850" w:rsidP="00AE537F">
            <w:pPr>
              <w:pStyle w:val="ListParagraph"/>
              <w:numPr>
                <w:ilvl w:val="0"/>
                <w:numId w:val="58"/>
              </w:numPr>
              <w:rPr>
                <w:rFonts w:eastAsiaTheme="minorEastAsia"/>
                <w:noProof/>
                <w:sz w:val="18"/>
                <w:szCs w:val="18"/>
              </w:rPr>
            </w:pPr>
            <w:r w:rsidRPr="42911850">
              <w:rPr>
                <w:noProof/>
                <w:sz w:val="18"/>
                <w:szCs w:val="18"/>
              </w:rPr>
              <w:t xml:space="preserve"> Late reporting (LGT 198.2)</w:t>
            </w:r>
          </w:p>
          <w:p w14:paraId="2F1795F3" w14:textId="090BD88D"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515F28CA" w14:textId="71099798" w:rsidR="42911850" w:rsidRDefault="42911850" w:rsidP="00AE537F">
            <w:pPr>
              <w:pStyle w:val="ListParagraph"/>
              <w:numPr>
                <w:ilvl w:val="0"/>
                <w:numId w:val="58"/>
              </w:numPr>
              <w:rPr>
                <w:rFonts w:eastAsiaTheme="minorEastAsia"/>
                <w:noProof/>
                <w:sz w:val="18"/>
                <w:szCs w:val="18"/>
              </w:rPr>
            </w:pPr>
            <w:r w:rsidRPr="42911850">
              <w:rPr>
                <w:noProof/>
                <w:sz w:val="18"/>
                <w:szCs w:val="18"/>
              </w:rPr>
              <w:t xml:space="preserve"> Wrong reporting (LGT 199.4 y 5)</w:t>
            </w:r>
          </w:p>
          <w:p w14:paraId="59F60867" w14:textId="50671BEA"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479B244" w14:textId="4839B2EB" w:rsidR="42911850" w:rsidRDefault="42911850">
            <w:pPr>
              <w:rPr>
                <w:noProof/>
              </w:rPr>
            </w:pPr>
            <w:r w:rsidRPr="42911850">
              <w:rPr>
                <w:rFonts w:ascii="Calibri" w:eastAsia="Calibri" w:hAnsi="Calibri" w:cs="Calibri"/>
                <w:noProof/>
                <w:sz w:val="18"/>
                <w:szCs w:val="18"/>
              </w:rPr>
              <w:t xml:space="preserve"> </w:t>
            </w:r>
          </w:p>
          <w:p w14:paraId="338D8AEA" w14:textId="75AEB7F2" w:rsidR="42911850" w:rsidRDefault="42911850">
            <w:pPr>
              <w:rPr>
                <w:noProof/>
              </w:rPr>
            </w:pPr>
            <w:r w:rsidRPr="42911850">
              <w:rPr>
                <w:rFonts w:ascii="Calibri" w:eastAsia="Calibri" w:hAnsi="Calibri" w:cs="Calibri"/>
                <w:noProof/>
                <w:sz w:val="18"/>
                <w:szCs w:val="18"/>
              </w:rPr>
              <w:t xml:space="preserve"> </w:t>
            </w:r>
          </w:p>
          <w:p w14:paraId="1C8E3382" w14:textId="4511108D" w:rsidR="42911850" w:rsidRDefault="42911850" w:rsidP="00AE537F">
            <w:pPr>
              <w:pStyle w:val="ListParagraph"/>
              <w:numPr>
                <w:ilvl w:val="0"/>
                <w:numId w:val="58"/>
              </w:numPr>
              <w:rPr>
                <w:rFonts w:eastAsiaTheme="minorEastAsia"/>
                <w:noProof/>
                <w:sz w:val="18"/>
                <w:szCs w:val="18"/>
              </w:rPr>
            </w:pPr>
            <w:r w:rsidRPr="42911850">
              <w:rPr>
                <w:noProof/>
                <w:sz w:val="18"/>
                <w:szCs w:val="18"/>
              </w:rPr>
              <w:t xml:space="preserve"> No identification of the residence of the account holder (LGT AD 22.3)</w:t>
            </w:r>
          </w:p>
          <w:p w14:paraId="74F8C73C" w14:textId="19C35D7D"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Infractions by account holders</w:t>
            </w:r>
          </w:p>
          <w:p w14:paraId="3EF0893C" w14:textId="5E329628" w:rsidR="42911850" w:rsidRDefault="42911850" w:rsidP="00AE537F">
            <w:pPr>
              <w:pStyle w:val="ListParagraph"/>
              <w:numPr>
                <w:ilvl w:val="0"/>
                <w:numId w:val="57"/>
              </w:numPr>
              <w:rPr>
                <w:rFonts w:eastAsiaTheme="minorEastAsia"/>
                <w:noProof/>
                <w:sz w:val="18"/>
                <w:szCs w:val="18"/>
              </w:rPr>
            </w:pPr>
            <w:r w:rsidRPr="42911850">
              <w:rPr>
                <w:noProof/>
                <w:sz w:val="18"/>
                <w:szCs w:val="18"/>
              </w:rPr>
              <w:t xml:space="preserve"> Wrong reporting to the financial institution (LGT AD 22.3)</w:t>
            </w:r>
          </w:p>
        </w:tc>
        <w:tc>
          <w:tcPr>
            <w:tcW w:w="1757" w:type="dxa"/>
            <w:tcBorders>
              <w:top w:val="single" w:sz="8" w:space="0" w:color="auto"/>
              <w:left w:val="single" w:sz="8" w:space="0" w:color="auto"/>
              <w:bottom w:val="single" w:sz="8" w:space="0" w:color="auto"/>
              <w:right w:val="single" w:sz="8" w:space="0" w:color="auto"/>
            </w:tcBorders>
          </w:tcPr>
          <w:p w14:paraId="4E29C27E" w14:textId="6D53F1B7" w:rsidR="42911850" w:rsidRDefault="42911850">
            <w:pPr>
              <w:rPr>
                <w:noProof/>
              </w:rPr>
            </w:pPr>
            <w:r w:rsidRPr="42911850">
              <w:rPr>
                <w:rFonts w:ascii="Calibri" w:eastAsia="Calibri" w:hAnsi="Calibri" w:cs="Calibri"/>
                <w:noProof/>
                <w:sz w:val="18"/>
                <w:szCs w:val="18"/>
              </w:rPr>
              <w:t>Sanctions are per single infringement and calculated per missing/erroneous/fake data in the same infringement</w:t>
            </w:r>
          </w:p>
          <w:p w14:paraId="7D14AEA6" w14:textId="530F3E68" w:rsidR="42911850" w:rsidRDefault="42911850">
            <w:pPr>
              <w:rPr>
                <w:noProof/>
              </w:rPr>
            </w:pPr>
            <w:r w:rsidRPr="42911850">
              <w:rPr>
                <w:rFonts w:ascii="Calibri" w:eastAsia="Calibri" w:hAnsi="Calibri" w:cs="Calibri"/>
                <w:noProof/>
                <w:sz w:val="18"/>
                <w:szCs w:val="18"/>
              </w:rPr>
              <w:t>Infraction by financial institutions</w:t>
            </w:r>
          </w:p>
          <w:p w14:paraId="3A4912BB" w14:textId="0DDD6E6A" w:rsidR="42911850" w:rsidRPr="00AE537F" w:rsidRDefault="42911850" w:rsidP="00AE537F">
            <w:pPr>
              <w:pStyle w:val="ListParagraph"/>
              <w:numPr>
                <w:ilvl w:val="0"/>
                <w:numId w:val="56"/>
              </w:numPr>
              <w:rPr>
                <w:rFonts w:eastAsiaTheme="minorEastAsia"/>
                <w:noProof/>
                <w:sz w:val="18"/>
                <w:szCs w:val="18"/>
                <w:lang w:val="it-IT"/>
              </w:rPr>
            </w:pPr>
            <w:r w:rsidRPr="00AE537F">
              <w:rPr>
                <w:noProof/>
                <w:sz w:val="18"/>
                <w:szCs w:val="18"/>
                <w:lang w:val="it-IT"/>
              </w:rPr>
              <w:t>20€ per data per person, minimum 300€</w:t>
            </w:r>
          </w:p>
          <w:p w14:paraId="768B649F" w14:textId="25F6B78C" w:rsidR="42911850" w:rsidRPr="00AE537F" w:rsidRDefault="42911850" w:rsidP="00AE537F">
            <w:pPr>
              <w:pStyle w:val="ListParagraph"/>
              <w:numPr>
                <w:ilvl w:val="0"/>
                <w:numId w:val="56"/>
              </w:numPr>
              <w:rPr>
                <w:rFonts w:eastAsiaTheme="minorEastAsia"/>
                <w:noProof/>
                <w:sz w:val="18"/>
                <w:szCs w:val="18"/>
                <w:lang w:val="it-IT"/>
              </w:rPr>
            </w:pPr>
            <w:r w:rsidRPr="00AE537F">
              <w:rPr>
                <w:noProof/>
                <w:sz w:val="18"/>
                <w:szCs w:val="18"/>
                <w:lang w:val="it-IT"/>
              </w:rPr>
              <w:t>10€ per data per person, minimum 150€</w:t>
            </w:r>
          </w:p>
          <w:p w14:paraId="7C6FAE0A" w14:textId="17E2BCD1" w:rsidR="42911850" w:rsidRPr="00AE537F" w:rsidRDefault="42911850" w:rsidP="00AE537F">
            <w:pPr>
              <w:pStyle w:val="ListParagraph"/>
              <w:numPr>
                <w:ilvl w:val="0"/>
                <w:numId w:val="56"/>
              </w:numPr>
              <w:rPr>
                <w:rFonts w:eastAsiaTheme="minorEastAsia"/>
                <w:noProof/>
                <w:sz w:val="18"/>
                <w:szCs w:val="18"/>
                <w:lang w:val="it-IT"/>
              </w:rPr>
            </w:pPr>
            <w:r w:rsidRPr="00AE537F">
              <w:rPr>
                <w:noProof/>
                <w:sz w:val="18"/>
                <w:szCs w:val="18"/>
                <w:lang w:val="it-IT"/>
              </w:rPr>
              <w:t>Non-monetary magnitude: 200€ per data per person; monetary magnitude: 0,5% magnitude, minimum €500</w:t>
            </w:r>
          </w:p>
          <w:p w14:paraId="5C38BCFF" w14:textId="3782A907" w:rsidR="42911850" w:rsidRDefault="42911850" w:rsidP="00AE537F">
            <w:pPr>
              <w:pStyle w:val="ListParagraph"/>
              <w:numPr>
                <w:ilvl w:val="0"/>
                <w:numId w:val="56"/>
              </w:numPr>
              <w:rPr>
                <w:rFonts w:eastAsiaTheme="minorEastAsia"/>
                <w:noProof/>
                <w:sz w:val="18"/>
                <w:szCs w:val="18"/>
              </w:rPr>
            </w:pPr>
            <w:r w:rsidRPr="42911850">
              <w:rPr>
                <w:noProof/>
                <w:sz w:val="18"/>
                <w:szCs w:val="18"/>
              </w:rPr>
              <w:t>200€ per person</w:t>
            </w:r>
          </w:p>
          <w:p w14:paraId="5E269DDE" w14:textId="5706FAA5"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700552A1" w14:textId="22154E76" w:rsidR="42911850" w:rsidRDefault="42911850">
            <w:pPr>
              <w:rPr>
                <w:noProof/>
              </w:rPr>
            </w:pPr>
            <w:r w:rsidRPr="42911850">
              <w:rPr>
                <w:rFonts w:ascii="Calibri" w:eastAsia="Calibri" w:hAnsi="Calibri" w:cs="Calibri"/>
                <w:noProof/>
                <w:sz w:val="18"/>
                <w:szCs w:val="18"/>
              </w:rPr>
              <w:t xml:space="preserve"> </w:t>
            </w:r>
          </w:p>
          <w:p w14:paraId="3856E7EE" w14:textId="398B1437" w:rsidR="42911850" w:rsidRDefault="42911850">
            <w:pPr>
              <w:rPr>
                <w:noProof/>
              </w:rPr>
            </w:pPr>
            <w:r w:rsidRPr="42911850">
              <w:rPr>
                <w:rFonts w:ascii="Calibri" w:eastAsia="Calibri" w:hAnsi="Calibri" w:cs="Calibri"/>
                <w:noProof/>
                <w:sz w:val="18"/>
                <w:szCs w:val="18"/>
              </w:rPr>
              <w:t>Infractions by account holder</w:t>
            </w:r>
          </w:p>
          <w:p w14:paraId="1BCB97F6" w14:textId="446B066B" w:rsidR="42911850" w:rsidRDefault="42911850" w:rsidP="00AE537F">
            <w:pPr>
              <w:pStyle w:val="ListParagraph"/>
              <w:numPr>
                <w:ilvl w:val="0"/>
                <w:numId w:val="55"/>
              </w:numPr>
              <w:rPr>
                <w:rFonts w:eastAsiaTheme="minorEastAsia"/>
                <w:noProof/>
                <w:sz w:val="18"/>
                <w:szCs w:val="18"/>
              </w:rPr>
            </w:pPr>
            <w:r w:rsidRPr="42911850">
              <w:rPr>
                <w:noProof/>
                <w:sz w:val="18"/>
                <w:szCs w:val="18"/>
              </w:rPr>
              <w:t>300€</w:t>
            </w:r>
          </w:p>
          <w:p w14:paraId="031E0991" w14:textId="178BB1DA"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153B4B1B" w14:textId="6298FBFA" w:rsidR="42911850" w:rsidRDefault="42911850">
            <w:pPr>
              <w:rPr>
                <w:noProof/>
              </w:rPr>
            </w:pPr>
            <w:r w:rsidRPr="42911850">
              <w:rPr>
                <w:rFonts w:ascii="Calibri" w:eastAsia="Calibri" w:hAnsi="Calibri" w:cs="Calibri"/>
                <w:noProof/>
                <w:sz w:val="18"/>
                <w:szCs w:val="18"/>
              </w:rPr>
              <w:t xml:space="preserve"> </w:t>
            </w:r>
          </w:p>
          <w:p w14:paraId="096FC67D" w14:textId="125527C7" w:rsidR="42911850" w:rsidRDefault="42911850">
            <w:pPr>
              <w:rPr>
                <w:noProof/>
              </w:rPr>
            </w:pPr>
            <w:r w:rsidRPr="42911850">
              <w:rPr>
                <w:rFonts w:ascii="Calibri" w:eastAsia="Calibri" w:hAnsi="Calibri" w:cs="Calibri"/>
                <w:noProof/>
                <w:sz w:val="18"/>
                <w:szCs w:val="18"/>
              </w:rPr>
              <w:t xml:space="preserve"> </w:t>
            </w:r>
          </w:p>
          <w:p w14:paraId="0EE607D1" w14:textId="5D4F3AB1" w:rsidR="42911850" w:rsidRDefault="42911850">
            <w:pPr>
              <w:rPr>
                <w:noProof/>
              </w:rPr>
            </w:pPr>
            <w:r w:rsidRPr="42911850">
              <w:rPr>
                <w:rFonts w:ascii="Calibri" w:eastAsia="Calibri" w:hAnsi="Calibri" w:cs="Calibri"/>
                <w:noProof/>
                <w:sz w:val="18"/>
                <w:szCs w:val="18"/>
              </w:rPr>
              <w:t>Infractions by the financial institutions</w:t>
            </w:r>
          </w:p>
          <w:p w14:paraId="3207E09E" w14:textId="073C1D28" w:rsidR="42911850" w:rsidRDefault="42911850">
            <w:pPr>
              <w:rPr>
                <w:noProof/>
              </w:rPr>
            </w:pPr>
            <w:r w:rsidRPr="42911850">
              <w:rPr>
                <w:rFonts w:ascii="Calibri" w:eastAsia="Calibri" w:hAnsi="Calibri" w:cs="Calibri"/>
                <w:noProof/>
                <w:sz w:val="18"/>
                <w:szCs w:val="18"/>
              </w:rPr>
              <w:t xml:space="preserve"> </w:t>
            </w:r>
          </w:p>
          <w:p w14:paraId="0C2B821D" w14:textId="6DCFA82A" w:rsidR="42911850" w:rsidRDefault="42911850" w:rsidP="00AE537F">
            <w:pPr>
              <w:pStyle w:val="ListParagraph"/>
              <w:numPr>
                <w:ilvl w:val="0"/>
                <w:numId w:val="54"/>
              </w:numPr>
              <w:rPr>
                <w:rFonts w:eastAsiaTheme="minorEastAsia"/>
                <w:noProof/>
                <w:sz w:val="18"/>
                <w:szCs w:val="18"/>
              </w:rPr>
            </w:pPr>
            <w:r w:rsidRPr="42911850">
              <w:rPr>
                <w:noProof/>
                <w:sz w:val="18"/>
                <w:szCs w:val="18"/>
              </w:rPr>
              <w:t>20 000€</w:t>
            </w:r>
          </w:p>
          <w:p w14:paraId="084BB89B" w14:textId="4E180DC6"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243AF948" w14:textId="3E2A70F5" w:rsidR="42911850" w:rsidRDefault="42911850" w:rsidP="00AE537F">
            <w:pPr>
              <w:pStyle w:val="ListParagraph"/>
              <w:numPr>
                <w:ilvl w:val="0"/>
                <w:numId w:val="54"/>
              </w:numPr>
              <w:rPr>
                <w:rFonts w:eastAsiaTheme="minorEastAsia"/>
                <w:noProof/>
                <w:sz w:val="18"/>
                <w:szCs w:val="18"/>
              </w:rPr>
            </w:pPr>
            <w:r w:rsidRPr="42911850">
              <w:rPr>
                <w:noProof/>
                <w:sz w:val="18"/>
                <w:szCs w:val="18"/>
              </w:rPr>
              <w:t>10 000€</w:t>
            </w:r>
          </w:p>
          <w:p w14:paraId="77B23B3F" w14:textId="7AB23625"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255AEDEF" w14:textId="4A4AA407" w:rsidR="42911850" w:rsidRPr="00AE537F" w:rsidRDefault="42911850" w:rsidP="00AE537F">
            <w:pPr>
              <w:pStyle w:val="ListParagraph"/>
              <w:numPr>
                <w:ilvl w:val="0"/>
                <w:numId w:val="54"/>
              </w:numPr>
              <w:rPr>
                <w:rFonts w:eastAsiaTheme="minorEastAsia"/>
                <w:noProof/>
                <w:sz w:val="18"/>
                <w:szCs w:val="18"/>
                <w:lang w:val="it-IT"/>
              </w:rPr>
            </w:pPr>
            <w:r w:rsidRPr="00AE537F">
              <w:rPr>
                <w:noProof/>
                <w:sz w:val="18"/>
                <w:szCs w:val="18"/>
                <w:lang w:val="it-IT"/>
              </w:rPr>
              <w:t xml:space="preserve">Non-monetary magnitude: 200€ per data per person; monetary magnitude: 2% magnitude </w:t>
            </w:r>
          </w:p>
          <w:p w14:paraId="5868D3D4" w14:textId="22B59937" w:rsidR="42911850" w:rsidRPr="00AE537F" w:rsidRDefault="42911850" w:rsidP="00AE537F">
            <w:pPr>
              <w:rPr>
                <w:rFonts w:ascii="Calibri" w:eastAsia="Calibri" w:hAnsi="Calibri" w:cs="Calibri"/>
                <w:noProof/>
                <w:sz w:val="18"/>
                <w:szCs w:val="18"/>
                <w:lang w:val="it-IT"/>
              </w:rPr>
            </w:pPr>
            <w:r w:rsidRPr="00AE537F">
              <w:rPr>
                <w:rFonts w:ascii="Calibri" w:eastAsia="Calibri" w:hAnsi="Calibri" w:cs="Calibri"/>
                <w:noProof/>
                <w:sz w:val="18"/>
                <w:szCs w:val="18"/>
                <w:lang w:val="it-IT"/>
              </w:rPr>
              <w:t xml:space="preserve"> </w:t>
            </w:r>
          </w:p>
          <w:p w14:paraId="6383FDA7" w14:textId="55BD1B21" w:rsidR="42911850" w:rsidRDefault="42911850" w:rsidP="00AE537F">
            <w:pPr>
              <w:pStyle w:val="ListParagraph"/>
              <w:numPr>
                <w:ilvl w:val="0"/>
                <w:numId w:val="54"/>
              </w:numPr>
              <w:rPr>
                <w:rFonts w:eastAsiaTheme="minorEastAsia"/>
                <w:noProof/>
                <w:sz w:val="18"/>
                <w:szCs w:val="18"/>
              </w:rPr>
            </w:pPr>
            <w:r w:rsidRPr="42911850">
              <w:rPr>
                <w:noProof/>
                <w:sz w:val="18"/>
                <w:szCs w:val="18"/>
              </w:rPr>
              <w:t>200€ per person</w:t>
            </w:r>
          </w:p>
          <w:p w14:paraId="01941AB5" w14:textId="106CC333"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05B5BBD9" w14:textId="6E37CB30" w:rsidR="42911850" w:rsidRDefault="42911850">
            <w:pPr>
              <w:rPr>
                <w:noProof/>
              </w:rPr>
            </w:pPr>
            <w:r w:rsidRPr="42911850">
              <w:rPr>
                <w:rFonts w:ascii="Calibri" w:eastAsia="Calibri" w:hAnsi="Calibri" w:cs="Calibri"/>
                <w:noProof/>
                <w:sz w:val="18"/>
                <w:szCs w:val="18"/>
              </w:rPr>
              <w:t>Infractions by account holder</w:t>
            </w:r>
          </w:p>
          <w:p w14:paraId="13789D54" w14:textId="7A34CC04" w:rsidR="42911850" w:rsidRDefault="42911850" w:rsidP="00AE537F">
            <w:pPr>
              <w:pStyle w:val="ListParagraph"/>
              <w:numPr>
                <w:ilvl w:val="0"/>
                <w:numId w:val="53"/>
              </w:numPr>
              <w:rPr>
                <w:rFonts w:eastAsiaTheme="minorEastAsia"/>
                <w:noProof/>
                <w:sz w:val="18"/>
                <w:szCs w:val="18"/>
              </w:rPr>
            </w:pPr>
            <w:r w:rsidRPr="42911850">
              <w:rPr>
                <w:noProof/>
                <w:sz w:val="18"/>
                <w:szCs w:val="18"/>
              </w:rPr>
              <w:t>300€</w:t>
            </w:r>
          </w:p>
        </w:tc>
      </w:tr>
      <w:tr w:rsidR="42911850" w:rsidRPr="008C6F26" w14:paraId="7E1011D6" w14:textId="77777777" w:rsidTr="42911850">
        <w:trPr>
          <w:trHeight w:val="45"/>
        </w:trPr>
        <w:tc>
          <w:tcPr>
            <w:tcW w:w="638" w:type="dxa"/>
            <w:vMerge/>
            <w:tcBorders>
              <w:left w:val="single" w:sz="0" w:space="0" w:color="auto"/>
              <w:right w:val="single" w:sz="0" w:space="0" w:color="auto"/>
            </w:tcBorders>
            <w:vAlign w:val="center"/>
          </w:tcPr>
          <w:p w14:paraId="55E3E54E"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5099D97C" w14:textId="6EFDB734"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56C0E365" w14:textId="03F588B8" w:rsidR="42911850" w:rsidRDefault="42911850">
            <w:pPr>
              <w:rPr>
                <w:noProof/>
              </w:rPr>
            </w:pPr>
            <w:r w:rsidRPr="42911850">
              <w:rPr>
                <w:rFonts w:ascii="Calibri" w:eastAsia="Calibri" w:hAnsi="Calibri" w:cs="Calibri"/>
                <w:noProof/>
                <w:sz w:val="18"/>
                <w:szCs w:val="18"/>
              </w:rPr>
              <w:t xml:space="preserve"> </w:t>
            </w:r>
          </w:p>
          <w:p w14:paraId="32492495" w14:textId="03651933" w:rsidR="42911850" w:rsidRDefault="42911850">
            <w:pPr>
              <w:rPr>
                <w:noProof/>
              </w:rPr>
            </w:pPr>
            <w:r w:rsidRPr="42911850">
              <w:rPr>
                <w:rFonts w:ascii="Calibri" w:eastAsia="Calibri" w:hAnsi="Calibri" w:cs="Calibri"/>
                <w:noProof/>
                <w:sz w:val="18"/>
                <w:szCs w:val="18"/>
              </w:rPr>
              <w:t xml:space="preserve"> </w:t>
            </w:r>
          </w:p>
          <w:p w14:paraId="0FE942FD" w14:textId="27BE0763" w:rsidR="42911850" w:rsidRDefault="42911850">
            <w:pPr>
              <w:rPr>
                <w:noProof/>
              </w:rPr>
            </w:pPr>
            <w:r w:rsidRPr="42911850">
              <w:rPr>
                <w:rFonts w:ascii="Calibri" w:eastAsia="Calibri" w:hAnsi="Calibri" w:cs="Calibri"/>
                <w:noProof/>
                <w:sz w:val="18"/>
                <w:szCs w:val="18"/>
              </w:rPr>
              <w:t xml:space="preserve"> </w:t>
            </w:r>
          </w:p>
          <w:p w14:paraId="613DBD0C" w14:textId="64BD957B" w:rsidR="42911850" w:rsidRDefault="42911850">
            <w:pPr>
              <w:rPr>
                <w:noProof/>
              </w:rPr>
            </w:pPr>
            <w:r w:rsidRPr="42911850">
              <w:rPr>
                <w:rFonts w:ascii="Calibri" w:eastAsia="Calibri" w:hAnsi="Calibri" w:cs="Calibri"/>
                <w:noProof/>
                <w:sz w:val="18"/>
                <w:szCs w:val="18"/>
              </w:rPr>
              <w:t xml:space="preserve"> </w:t>
            </w:r>
          </w:p>
          <w:p w14:paraId="51D0F642" w14:textId="1CA9C62F" w:rsidR="42911850" w:rsidRDefault="42911850">
            <w:pPr>
              <w:rPr>
                <w:noProof/>
              </w:rPr>
            </w:pPr>
            <w:r w:rsidRPr="42911850">
              <w:rPr>
                <w:rFonts w:ascii="Calibri" w:eastAsia="Calibri" w:hAnsi="Calibri" w:cs="Calibri"/>
                <w:noProof/>
                <w:sz w:val="18"/>
                <w:szCs w:val="18"/>
              </w:rPr>
              <w:t>Infractions by reporting entity</w:t>
            </w:r>
          </w:p>
          <w:p w14:paraId="6D11AE81" w14:textId="3CEA4E5A" w:rsidR="42911850" w:rsidRDefault="42911850" w:rsidP="00AE537F">
            <w:pPr>
              <w:pStyle w:val="ListParagraph"/>
              <w:numPr>
                <w:ilvl w:val="0"/>
                <w:numId w:val="52"/>
              </w:numPr>
              <w:rPr>
                <w:rFonts w:eastAsiaTheme="minorEastAsia"/>
                <w:noProof/>
                <w:sz w:val="18"/>
                <w:szCs w:val="18"/>
              </w:rPr>
            </w:pPr>
            <w:r w:rsidRPr="42911850">
              <w:rPr>
                <w:noProof/>
                <w:sz w:val="18"/>
                <w:szCs w:val="18"/>
              </w:rPr>
              <w:t>No reporting (LGT 198.1)</w:t>
            </w:r>
          </w:p>
          <w:p w14:paraId="31E4582F" w14:textId="25F7208B"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2705B357" w14:textId="762409DF" w:rsidR="42911850" w:rsidRDefault="42911850" w:rsidP="00AE537F">
            <w:pPr>
              <w:pStyle w:val="ListParagraph"/>
              <w:numPr>
                <w:ilvl w:val="0"/>
                <w:numId w:val="52"/>
              </w:numPr>
              <w:rPr>
                <w:rFonts w:eastAsiaTheme="minorEastAsia"/>
                <w:noProof/>
                <w:sz w:val="18"/>
                <w:szCs w:val="18"/>
              </w:rPr>
            </w:pPr>
            <w:r w:rsidRPr="42911850">
              <w:rPr>
                <w:noProof/>
                <w:sz w:val="18"/>
                <w:szCs w:val="18"/>
              </w:rPr>
              <w:t>Late reporting (LGT 198.2)</w:t>
            </w:r>
          </w:p>
          <w:p w14:paraId="1400F0B4" w14:textId="44F35B54"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15F4F9FC" w14:textId="3ACF7D15" w:rsidR="42911850" w:rsidRDefault="42911850" w:rsidP="00AE537F">
            <w:pPr>
              <w:pStyle w:val="ListParagraph"/>
              <w:numPr>
                <w:ilvl w:val="0"/>
                <w:numId w:val="52"/>
              </w:numPr>
              <w:rPr>
                <w:rFonts w:eastAsiaTheme="minorEastAsia"/>
                <w:noProof/>
                <w:sz w:val="18"/>
                <w:szCs w:val="18"/>
              </w:rPr>
            </w:pPr>
            <w:r w:rsidRPr="42911850">
              <w:rPr>
                <w:noProof/>
                <w:sz w:val="18"/>
                <w:szCs w:val="18"/>
              </w:rPr>
              <w:t>Wrong reporting (LGT 199.4 y 5)</w:t>
            </w:r>
          </w:p>
        </w:tc>
        <w:tc>
          <w:tcPr>
            <w:tcW w:w="1757" w:type="dxa"/>
            <w:tcBorders>
              <w:top w:val="single" w:sz="8" w:space="0" w:color="auto"/>
              <w:left w:val="single" w:sz="8" w:space="0" w:color="auto"/>
              <w:bottom w:val="single" w:sz="8" w:space="0" w:color="auto"/>
              <w:right w:val="single" w:sz="8" w:space="0" w:color="auto"/>
            </w:tcBorders>
          </w:tcPr>
          <w:p w14:paraId="3C7BBF56" w14:textId="618C5DD1" w:rsidR="42911850" w:rsidRDefault="42911850">
            <w:pPr>
              <w:rPr>
                <w:noProof/>
              </w:rPr>
            </w:pPr>
            <w:r w:rsidRPr="42911850">
              <w:rPr>
                <w:rFonts w:ascii="Calibri" w:eastAsia="Calibri" w:hAnsi="Calibri" w:cs="Calibri"/>
                <w:noProof/>
                <w:sz w:val="18"/>
                <w:szCs w:val="18"/>
              </w:rPr>
              <w:t>Sanctions are per single infringement and calculated per missing/erroneous/fake data in the same infringement</w:t>
            </w:r>
          </w:p>
          <w:p w14:paraId="165119C2" w14:textId="35C0D6C7" w:rsidR="42911850" w:rsidRDefault="42911850">
            <w:pPr>
              <w:rPr>
                <w:noProof/>
              </w:rPr>
            </w:pPr>
            <w:r w:rsidRPr="42911850">
              <w:rPr>
                <w:rFonts w:ascii="Calibri" w:eastAsia="Calibri" w:hAnsi="Calibri" w:cs="Calibri"/>
                <w:noProof/>
                <w:sz w:val="18"/>
                <w:szCs w:val="18"/>
              </w:rPr>
              <w:t xml:space="preserve"> </w:t>
            </w:r>
          </w:p>
          <w:p w14:paraId="4B8859B5" w14:textId="6FF6AB17" w:rsidR="42911850" w:rsidRDefault="42911850">
            <w:pPr>
              <w:rPr>
                <w:noProof/>
              </w:rPr>
            </w:pPr>
            <w:r w:rsidRPr="42911850">
              <w:rPr>
                <w:rFonts w:ascii="Calibri" w:eastAsia="Calibri" w:hAnsi="Calibri" w:cs="Calibri"/>
                <w:noProof/>
                <w:sz w:val="18"/>
                <w:szCs w:val="18"/>
              </w:rPr>
              <w:t>Infraction by reporting entity</w:t>
            </w:r>
          </w:p>
          <w:p w14:paraId="5FB2D118" w14:textId="7E71F12B" w:rsidR="42911850" w:rsidRPr="00AE537F" w:rsidRDefault="42911850" w:rsidP="00AE537F">
            <w:pPr>
              <w:pStyle w:val="ListParagraph"/>
              <w:numPr>
                <w:ilvl w:val="0"/>
                <w:numId w:val="51"/>
              </w:numPr>
              <w:rPr>
                <w:rFonts w:eastAsiaTheme="minorEastAsia"/>
                <w:noProof/>
                <w:sz w:val="18"/>
                <w:szCs w:val="18"/>
                <w:lang w:val="it-IT"/>
              </w:rPr>
            </w:pPr>
            <w:r w:rsidRPr="00AE537F">
              <w:rPr>
                <w:noProof/>
                <w:sz w:val="18"/>
                <w:szCs w:val="18"/>
                <w:lang w:val="it-IT"/>
              </w:rPr>
              <w:t>20€ per data per person, minimum 300€</w:t>
            </w:r>
          </w:p>
          <w:p w14:paraId="5AC20BFD" w14:textId="392B4309" w:rsidR="42911850" w:rsidRPr="00AE537F" w:rsidRDefault="42911850" w:rsidP="00AE537F">
            <w:pPr>
              <w:pStyle w:val="ListParagraph"/>
              <w:numPr>
                <w:ilvl w:val="0"/>
                <w:numId w:val="51"/>
              </w:numPr>
              <w:rPr>
                <w:rFonts w:eastAsiaTheme="minorEastAsia"/>
                <w:noProof/>
                <w:sz w:val="18"/>
                <w:szCs w:val="18"/>
                <w:lang w:val="it-IT"/>
              </w:rPr>
            </w:pPr>
            <w:r w:rsidRPr="00AE537F">
              <w:rPr>
                <w:noProof/>
                <w:sz w:val="18"/>
                <w:szCs w:val="18"/>
                <w:lang w:val="it-IT"/>
              </w:rPr>
              <w:t>10€ per data per person, minimum 150€</w:t>
            </w:r>
          </w:p>
          <w:p w14:paraId="474E7358" w14:textId="7BAB19FF" w:rsidR="42911850" w:rsidRPr="00AE537F" w:rsidRDefault="42911850" w:rsidP="00AE537F">
            <w:pPr>
              <w:pStyle w:val="ListParagraph"/>
              <w:numPr>
                <w:ilvl w:val="0"/>
                <w:numId w:val="51"/>
              </w:numPr>
              <w:rPr>
                <w:rFonts w:eastAsiaTheme="minorEastAsia"/>
                <w:noProof/>
                <w:sz w:val="18"/>
                <w:szCs w:val="18"/>
                <w:lang w:val="it-IT"/>
              </w:rPr>
            </w:pPr>
            <w:r w:rsidRPr="00AE537F">
              <w:rPr>
                <w:noProof/>
                <w:sz w:val="18"/>
                <w:szCs w:val="18"/>
                <w:lang w:val="it-IT"/>
              </w:rPr>
              <w:t>Non-monetary magnitude: 200€ per data per person; monetary magnitude: 0,5% magnitude, minimum €500</w:t>
            </w:r>
          </w:p>
          <w:p w14:paraId="0610472B" w14:textId="1FCAAA1F" w:rsidR="42911850" w:rsidRPr="00AE537F" w:rsidRDefault="42911850" w:rsidP="00AE537F">
            <w:pPr>
              <w:rPr>
                <w:rFonts w:ascii="Calibri" w:eastAsia="Calibri" w:hAnsi="Calibri" w:cs="Calibri"/>
                <w:noProof/>
                <w:sz w:val="18"/>
                <w:szCs w:val="18"/>
                <w:lang w:val="it-IT"/>
              </w:rPr>
            </w:pPr>
            <w:r w:rsidRPr="00AE537F">
              <w:rPr>
                <w:rFonts w:ascii="Calibri" w:eastAsia="Calibri" w:hAnsi="Calibri" w:cs="Calibri"/>
                <w:noProof/>
                <w:sz w:val="18"/>
                <w:szCs w:val="18"/>
                <w:lang w:val="it-IT"/>
              </w:rPr>
              <w:t xml:space="preserve"> </w:t>
            </w:r>
          </w:p>
          <w:p w14:paraId="264BA09F" w14:textId="04FBDCB9" w:rsidR="42911850" w:rsidRPr="00AE537F" w:rsidRDefault="42911850">
            <w:pPr>
              <w:rPr>
                <w:noProof/>
                <w:lang w:val="it-IT"/>
              </w:rPr>
            </w:pPr>
            <w:r w:rsidRPr="00AE537F">
              <w:rPr>
                <w:rFonts w:ascii="Calibri" w:eastAsia="Calibri" w:hAnsi="Calibri" w:cs="Calibri"/>
                <w:noProof/>
                <w:sz w:val="18"/>
                <w:szCs w:val="18"/>
                <w:lang w:val="it-IT"/>
              </w:rPr>
              <w:t xml:space="preserve"> </w:t>
            </w:r>
          </w:p>
        </w:tc>
        <w:tc>
          <w:tcPr>
            <w:tcW w:w="2175" w:type="dxa"/>
            <w:tcBorders>
              <w:top w:val="single" w:sz="8" w:space="0" w:color="auto"/>
              <w:left w:val="single" w:sz="8" w:space="0" w:color="auto"/>
              <w:bottom w:val="single" w:sz="8" w:space="0" w:color="auto"/>
              <w:right w:val="single" w:sz="8" w:space="0" w:color="auto"/>
            </w:tcBorders>
          </w:tcPr>
          <w:p w14:paraId="377F79CB" w14:textId="2B5D7E1C" w:rsidR="42911850" w:rsidRPr="00AE537F" w:rsidRDefault="42911850">
            <w:pPr>
              <w:rPr>
                <w:noProof/>
                <w:lang w:val="it-IT"/>
              </w:rPr>
            </w:pPr>
            <w:r w:rsidRPr="00AE537F">
              <w:rPr>
                <w:rFonts w:ascii="Calibri" w:eastAsia="Calibri" w:hAnsi="Calibri" w:cs="Calibri"/>
                <w:noProof/>
                <w:sz w:val="18"/>
                <w:szCs w:val="18"/>
                <w:lang w:val="it-IT"/>
              </w:rPr>
              <w:t xml:space="preserve"> </w:t>
            </w:r>
          </w:p>
          <w:p w14:paraId="61213DAE" w14:textId="729902F4" w:rsidR="42911850" w:rsidRPr="00AE537F" w:rsidRDefault="42911850">
            <w:pPr>
              <w:rPr>
                <w:noProof/>
                <w:lang w:val="it-IT"/>
              </w:rPr>
            </w:pPr>
            <w:r w:rsidRPr="00AE537F">
              <w:rPr>
                <w:rFonts w:ascii="Calibri" w:eastAsia="Calibri" w:hAnsi="Calibri" w:cs="Calibri"/>
                <w:noProof/>
                <w:sz w:val="18"/>
                <w:szCs w:val="18"/>
                <w:lang w:val="it-IT"/>
              </w:rPr>
              <w:t xml:space="preserve"> </w:t>
            </w:r>
          </w:p>
          <w:p w14:paraId="7ADC46A7" w14:textId="4E9E39E8" w:rsidR="42911850" w:rsidRPr="00AE537F" w:rsidRDefault="42911850">
            <w:pPr>
              <w:rPr>
                <w:noProof/>
                <w:lang w:val="it-IT"/>
              </w:rPr>
            </w:pPr>
            <w:r w:rsidRPr="00AE537F">
              <w:rPr>
                <w:rFonts w:ascii="Calibri" w:eastAsia="Calibri" w:hAnsi="Calibri" w:cs="Calibri"/>
                <w:noProof/>
                <w:sz w:val="18"/>
                <w:szCs w:val="18"/>
                <w:lang w:val="it-IT"/>
              </w:rPr>
              <w:t xml:space="preserve"> </w:t>
            </w:r>
          </w:p>
          <w:p w14:paraId="0D27E9E2" w14:textId="333A6338" w:rsidR="42911850" w:rsidRDefault="42911850">
            <w:pPr>
              <w:rPr>
                <w:noProof/>
              </w:rPr>
            </w:pPr>
            <w:r w:rsidRPr="42911850">
              <w:rPr>
                <w:rFonts w:ascii="Calibri" w:eastAsia="Calibri" w:hAnsi="Calibri" w:cs="Calibri"/>
                <w:noProof/>
                <w:sz w:val="18"/>
                <w:szCs w:val="18"/>
              </w:rPr>
              <w:t>Infraction by reporting entity</w:t>
            </w:r>
          </w:p>
          <w:p w14:paraId="1BE04C8C" w14:textId="7C559A98" w:rsidR="42911850" w:rsidRDefault="42911850" w:rsidP="00AE537F">
            <w:pPr>
              <w:pStyle w:val="ListParagraph"/>
              <w:numPr>
                <w:ilvl w:val="0"/>
                <w:numId w:val="50"/>
              </w:numPr>
              <w:rPr>
                <w:rFonts w:eastAsiaTheme="minorEastAsia"/>
                <w:noProof/>
                <w:sz w:val="18"/>
                <w:szCs w:val="18"/>
              </w:rPr>
            </w:pPr>
            <w:r w:rsidRPr="42911850">
              <w:rPr>
                <w:noProof/>
                <w:sz w:val="18"/>
                <w:szCs w:val="18"/>
              </w:rPr>
              <w:t>20 000€</w:t>
            </w:r>
          </w:p>
          <w:p w14:paraId="4B877214" w14:textId="6937EC80"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49A90D09" w14:textId="7012A19D" w:rsidR="42911850" w:rsidRDefault="42911850" w:rsidP="00AE537F">
            <w:pPr>
              <w:pStyle w:val="ListParagraph"/>
              <w:numPr>
                <w:ilvl w:val="0"/>
                <w:numId w:val="50"/>
              </w:numPr>
              <w:rPr>
                <w:rFonts w:eastAsiaTheme="minorEastAsia"/>
                <w:noProof/>
                <w:sz w:val="18"/>
                <w:szCs w:val="18"/>
              </w:rPr>
            </w:pPr>
            <w:r w:rsidRPr="42911850">
              <w:rPr>
                <w:noProof/>
                <w:sz w:val="18"/>
                <w:szCs w:val="18"/>
              </w:rPr>
              <w:t>10 000€</w:t>
            </w:r>
          </w:p>
          <w:p w14:paraId="4DD3A457" w14:textId="0D8A8D87"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7D0994F4" w14:textId="6D0BD8B2" w:rsidR="42911850" w:rsidRPr="00AE537F" w:rsidRDefault="42911850" w:rsidP="00AE537F">
            <w:pPr>
              <w:pStyle w:val="ListParagraph"/>
              <w:numPr>
                <w:ilvl w:val="0"/>
                <w:numId w:val="50"/>
              </w:numPr>
              <w:rPr>
                <w:rFonts w:eastAsiaTheme="minorEastAsia"/>
                <w:noProof/>
                <w:sz w:val="18"/>
                <w:szCs w:val="18"/>
                <w:lang w:val="it-IT"/>
              </w:rPr>
            </w:pPr>
            <w:r w:rsidRPr="00AE537F">
              <w:rPr>
                <w:noProof/>
                <w:sz w:val="18"/>
                <w:szCs w:val="18"/>
                <w:lang w:val="it-IT"/>
              </w:rPr>
              <w:t>Non-monetary magnitude: 200€ per data per person; monetary magnitude: 2% magnitude</w:t>
            </w:r>
          </w:p>
          <w:p w14:paraId="3F8F026E" w14:textId="2B783C59" w:rsidR="42911850" w:rsidRPr="00AE537F" w:rsidRDefault="42911850" w:rsidP="00AE537F">
            <w:pPr>
              <w:rPr>
                <w:rFonts w:ascii="Calibri" w:eastAsia="Calibri" w:hAnsi="Calibri" w:cs="Calibri"/>
                <w:noProof/>
                <w:sz w:val="18"/>
                <w:szCs w:val="18"/>
                <w:lang w:val="it-IT"/>
              </w:rPr>
            </w:pPr>
            <w:r w:rsidRPr="00AE537F">
              <w:rPr>
                <w:rFonts w:ascii="Calibri" w:eastAsia="Calibri" w:hAnsi="Calibri" w:cs="Calibri"/>
                <w:noProof/>
                <w:sz w:val="18"/>
                <w:szCs w:val="18"/>
                <w:lang w:val="it-IT"/>
              </w:rPr>
              <w:t xml:space="preserve"> </w:t>
            </w:r>
          </w:p>
        </w:tc>
      </w:tr>
      <w:tr w:rsidR="42911850" w14:paraId="7C292900"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7D6F1441" w14:textId="77777777" w:rsidR="000054FB" w:rsidRPr="00AE537F" w:rsidRDefault="000054FB">
            <w:pPr>
              <w:rPr>
                <w:noProof/>
                <w:lang w:val="it-IT"/>
              </w:rPr>
            </w:pPr>
          </w:p>
        </w:tc>
        <w:tc>
          <w:tcPr>
            <w:tcW w:w="1025" w:type="dxa"/>
            <w:tcBorders>
              <w:top w:val="single" w:sz="8" w:space="0" w:color="auto"/>
              <w:left w:val="nil"/>
              <w:bottom w:val="single" w:sz="8" w:space="0" w:color="auto"/>
              <w:right w:val="single" w:sz="8" w:space="0" w:color="auto"/>
            </w:tcBorders>
          </w:tcPr>
          <w:p w14:paraId="0551CB24" w14:textId="6FD937D5"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52ED44AA" w14:textId="68AD1368" w:rsidR="42911850" w:rsidRDefault="42911850">
            <w:pPr>
              <w:rPr>
                <w:noProof/>
              </w:rPr>
            </w:pPr>
            <w:r w:rsidRPr="42911850">
              <w:rPr>
                <w:rFonts w:ascii="Calibri" w:eastAsia="Calibri" w:hAnsi="Calibri" w:cs="Calibri"/>
                <w:noProof/>
                <w:sz w:val="18"/>
                <w:szCs w:val="18"/>
              </w:rPr>
              <w:t xml:space="preserve"> </w:t>
            </w:r>
          </w:p>
          <w:p w14:paraId="72FF4684" w14:textId="1B31809D" w:rsidR="42911850" w:rsidRDefault="42911850">
            <w:pPr>
              <w:rPr>
                <w:noProof/>
              </w:rPr>
            </w:pPr>
            <w:r w:rsidRPr="42911850">
              <w:rPr>
                <w:rFonts w:ascii="Calibri" w:eastAsia="Calibri" w:hAnsi="Calibri" w:cs="Calibri"/>
                <w:noProof/>
                <w:sz w:val="18"/>
                <w:szCs w:val="18"/>
              </w:rPr>
              <w:t xml:space="preserve"> </w:t>
            </w:r>
          </w:p>
          <w:p w14:paraId="2C1DD350" w14:textId="70C31C0E" w:rsidR="42911850" w:rsidRDefault="42911850">
            <w:pPr>
              <w:rPr>
                <w:noProof/>
              </w:rPr>
            </w:pPr>
            <w:r w:rsidRPr="42911850">
              <w:rPr>
                <w:rFonts w:ascii="Calibri" w:eastAsia="Calibri" w:hAnsi="Calibri" w:cs="Calibri"/>
                <w:noProof/>
                <w:sz w:val="18"/>
                <w:szCs w:val="18"/>
              </w:rPr>
              <w:t xml:space="preserve"> </w:t>
            </w:r>
          </w:p>
          <w:p w14:paraId="3AF9B21F" w14:textId="4A7753AC" w:rsidR="42911850" w:rsidRDefault="42911850">
            <w:pPr>
              <w:rPr>
                <w:noProof/>
              </w:rPr>
            </w:pPr>
            <w:r w:rsidRPr="42911850">
              <w:rPr>
                <w:rFonts w:ascii="Calibri" w:eastAsia="Calibri" w:hAnsi="Calibri" w:cs="Calibri"/>
                <w:noProof/>
                <w:sz w:val="18"/>
                <w:szCs w:val="18"/>
              </w:rPr>
              <w:t>Infractions by intermediary or relevant taxpayer</w:t>
            </w:r>
          </w:p>
          <w:p w14:paraId="6448B04C" w14:textId="6A4D9900" w:rsidR="42911850" w:rsidRDefault="42911850" w:rsidP="00AE537F">
            <w:pPr>
              <w:pStyle w:val="ListParagraph"/>
              <w:numPr>
                <w:ilvl w:val="0"/>
                <w:numId w:val="49"/>
              </w:numPr>
              <w:rPr>
                <w:rFonts w:eastAsiaTheme="minorEastAsia"/>
                <w:noProof/>
                <w:sz w:val="18"/>
                <w:szCs w:val="18"/>
              </w:rPr>
            </w:pPr>
            <w:r w:rsidRPr="42911850">
              <w:rPr>
                <w:noProof/>
                <w:sz w:val="18"/>
                <w:szCs w:val="18"/>
              </w:rPr>
              <w:t>No reporting (LGT AD 23.4 a)</w:t>
            </w:r>
          </w:p>
          <w:p w14:paraId="7D8CCD0D" w14:textId="749A53B4" w:rsidR="42911850" w:rsidRDefault="42911850" w:rsidP="00AE537F">
            <w:pPr>
              <w:pStyle w:val="ListParagraph"/>
              <w:numPr>
                <w:ilvl w:val="0"/>
                <w:numId w:val="49"/>
              </w:numPr>
              <w:rPr>
                <w:rFonts w:eastAsiaTheme="minorEastAsia"/>
                <w:noProof/>
                <w:sz w:val="18"/>
                <w:szCs w:val="18"/>
              </w:rPr>
            </w:pPr>
            <w:r w:rsidRPr="42911850">
              <w:rPr>
                <w:noProof/>
                <w:sz w:val="18"/>
                <w:szCs w:val="18"/>
              </w:rPr>
              <w:t>Late reporting (LGT AD 23.4 a)</w:t>
            </w:r>
          </w:p>
          <w:p w14:paraId="20D12C23" w14:textId="0ED37347" w:rsidR="42911850" w:rsidRDefault="42911850" w:rsidP="00AE537F">
            <w:pPr>
              <w:pStyle w:val="ListParagraph"/>
              <w:numPr>
                <w:ilvl w:val="0"/>
                <w:numId w:val="49"/>
              </w:numPr>
              <w:rPr>
                <w:rFonts w:eastAsiaTheme="minorEastAsia"/>
                <w:noProof/>
                <w:sz w:val="18"/>
                <w:szCs w:val="18"/>
              </w:rPr>
            </w:pPr>
            <w:r w:rsidRPr="42911850">
              <w:rPr>
                <w:noProof/>
                <w:sz w:val="18"/>
                <w:szCs w:val="18"/>
              </w:rPr>
              <w:t>Wrong reporting (LGT AD 23.4 B)</w:t>
            </w:r>
          </w:p>
          <w:p w14:paraId="63A9D084" w14:textId="54CA85D8"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58414D39" w14:textId="54268BBB" w:rsidR="42911850" w:rsidRDefault="42911850" w:rsidP="00AE537F">
            <w:pPr>
              <w:pStyle w:val="ListParagraph"/>
              <w:numPr>
                <w:ilvl w:val="0"/>
                <w:numId w:val="49"/>
              </w:numPr>
              <w:rPr>
                <w:rFonts w:eastAsiaTheme="minorEastAsia"/>
                <w:noProof/>
                <w:sz w:val="18"/>
                <w:szCs w:val="18"/>
              </w:rPr>
            </w:pPr>
            <w:r w:rsidRPr="42911850">
              <w:rPr>
                <w:noProof/>
                <w:sz w:val="18"/>
                <w:szCs w:val="18"/>
              </w:rPr>
              <w:t>Non-reporting by electronic means (LGT AD 23.4 c)</w:t>
            </w:r>
          </w:p>
          <w:p w14:paraId="563787C0" w14:textId="1BA953E2"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4EB06462" w14:textId="3B22F97E" w:rsidR="42911850" w:rsidRDefault="42911850" w:rsidP="00AE537F">
            <w:pPr>
              <w:pStyle w:val="ListParagraph"/>
              <w:numPr>
                <w:ilvl w:val="0"/>
                <w:numId w:val="49"/>
              </w:numPr>
              <w:rPr>
                <w:rFonts w:eastAsiaTheme="minorEastAsia"/>
                <w:noProof/>
                <w:sz w:val="18"/>
                <w:szCs w:val="18"/>
              </w:rPr>
            </w:pPr>
            <w:r w:rsidRPr="42911850">
              <w:rPr>
                <w:noProof/>
                <w:sz w:val="18"/>
                <w:szCs w:val="18"/>
              </w:rPr>
              <w:t>Non-communication to other intermediaries or taxpayers of the submission of the declaration (LGT AD 24.3 b)</w:t>
            </w:r>
          </w:p>
          <w:p w14:paraId="0B2C1972" w14:textId="5500E9A1"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4D1328D9" w14:textId="5A1A1DB3" w:rsidR="42911850" w:rsidRDefault="42911850">
            <w:pPr>
              <w:rPr>
                <w:noProof/>
              </w:rPr>
            </w:pPr>
            <w:r w:rsidRPr="42911850">
              <w:rPr>
                <w:rFonts w:ascii="Calibri" w:eastAsia="Calibri" w:hAnsi="Calibri" w:cs="Calibri"/>
                <w:noProof/>
                <w:sz w:val="18"/>
                <w:szCs w:val="18"/>
              </w:rPr>
              <w:t>Infractions by intermediaries</w:t>
            </w:r>
          </w:p>
          <w:p w14:paraId="6B4F12DF" w14:textId="5DD42FEC" w:rsidR="42911850" w:rsidRDefault="42911850" w:rsidP="00AE537F">
            <w:pPr>
              <w:pStyle w:val="ListParagraph"/>
              <w:numPr>
                <w:ilvl w:val="0"/>
                <w:numId w:val="48"/>
              </w:numPr>
              <w:rPr>
                <w:rFonts w:eastAsiaTheme="minorEastAsia"/>
                <w:noProof/>
                <w:sz w:val="18"/>
                <w:szCs w:val="18"/>
              </w:rPr>
            </w:pPr>
            <w:r w:rsidRPr="42911850">
              <w:rPr>
                <w:noProof/>
                <w:sz w:val="18"/>
                <w:szCs w:val="18"/>
              </w:rPr>
              <w:t>Non-communication of professional waiver (LGT AD 24.3 a)</w:t>
            </w:r>
          </w:p>
        </w:tc>
        <w:tc>
          <w:tcPr>
            <w:tcW w:w="1757" w:type="dxa"/>
            <w:tcBorders>
              <w:top w:val="single" w:sz="8" w:space="0" w:color="auto"/>
              <w:left w:val="single" w:sz="8" w:space="0" w:color="auto"/>
              <w:bottom w:val="single" w:sz="8" w:space="0" w:color="auto"/>
              <w:right w:val="single" w:sz="8" w:space="0" w:color="auto"/>
            </w:tcBorders>
          </w:tcPr>
          <w:p w14:paraId="547C8649" w14:textId="4424225D" w:rsidR="42911850" w:rsidRDefault="42911850">
            <w:pPr>
              <w:rPr>
                <w:noProof/>
              </w:rPr>
            </w:pPr>
            <w:r w:rsidRPr="42911850">
              <w:rPr>
                <w:rFonts w:ascii="Calibri" w:eastAsia="Calibri" w:hAnsi="Calibri" w:cs="Calibri"/>
                <w:noProof/>
                <w:sz w:val="18"/>
                <w:szCs w:val="18"/>
              </w:rPr>
              <w:t>Sanctions are per single infringement and calculated per missing/erroneous/</w:t>
            </w:r>
            <w:r w:rsidR="00717751">
              <w:rPr>
                <w:rFonts w:ascii="Calibri" w:eastAsia="Calibri" w:hAnsi="Calibri" w:cs="Calibri"/>
                <w:noProof/>
                <w:sz w:val="18"/>
                <w:szCs w:val="18"/>
              </w:rPr>
              <w:br/>
            </w:r>
            <w:r w:rsidRPr="42911850">
              <w:rPr>
                <w:rFonts w:ascii="Calibri" w:eastAsia="Calibri" w:hAnsi="Calibri" w:cs="Calibri"/>
                <w:noProof/>
                <w:sz w:val="18"/>
                <w:szCs w:val="18"/>
              </w:rPr>
              <w:t>fake data in the same infringemen</w:t>
            </w:r>
            <w:r w:rsidR="00717751">
              <w:rPr>
                <w:rFonts w:ascii="Calibri" w:eastAsia="Calibri" w:hAnsi="Calibri" w:cs="Calibri"/>
                <w:noProof/>
                <w:sz w:val="18"/>
                <w:szCs w:val="18"/>
              </w:rPr>
              <w:t>t</w:t>
            </w:r>
          </w:p>
          <w:p w14:paraId="4B5F256C" w14:textId="4E7E2E46" w:rsidR="42911850" w:rsidRDefault="42911850">
            <w:pPr>
              <w:rPr>
                <w:noProof/>
              </w:rPr>
            </w:pPr>
            <w:r w:rsidRPr="42911850">
              <w:rPr>
                <w:rFonts w:ascii="Calibri" w:eastAsia="Calibri" w:hAnsi="Calibri" w:cs="Calibri"/>
                <w:noProof/>
                <w:sz w:val="18"/>
                <w:szCs w:val="18"/>
              </w:rPr>
              <w:t>Infractions by intermediary or relevant taxpayer</w:t>
            </w:r>
          </w:p>
          <w:p w14:paraId="488AA4CB" w14:textId="3B074099" w:rsidR="42911850" w:rsidRDefault="42911850" w:rsidP="00AE537F">
            <w:pPr>
              <w:pStyle w:val="ListParagraph"/>
              <w:numPr>
                <w:ilvl w:val="0"/>
                <w:numId w:val="47"/>
              </w:numPr>
              <w:rPr>
                <w:rFonts w:eastAsiaTheme="minorEastAsia"/>
                <w:noProof/>
                <w:sz w:val="18"/>
                <w:szCs w:val="18"/>
              </w:rPr>
            </w:pPr>
            <w:r w:rsidRPr="42911850">
              <w:rPr>
                <w:noProof/>
                <w:sz w:val="18"/>
                <w:szCs w:val="18"/>
              </w:rPr>
              <w:t>2 000€ per data, minimum 4 000€</w:t>
            </w:r>
          </w:p>
          <w:p w14:paraId="0CE284B3" w14:textId="6C7BE048" w:rsidR="42911850" w:rsidRDefault="42911850" w:rsidP="00AE537F">
            <w:pPr>
              <w:pStyle w:val="ListParagraph"/>
              <w:numPr>
                <w:ilvl w:val="0"/>
                <w:numId w:val="47"/>
              </w:numPr>
              <w:rPr>
                <w:rFonts w:eastAsiaTheme="minorEastAsia"/>
                <w:noProof/>
                <w:sz w:val="18"/>
                <w:szCs w:val="18"/>
              </w:rPr>
            </w:pPr>
            <w:r w:rsidRPr="42911850">
              <w:rPr>
                <w:noProof/>
                <w:sz w:val="18"/>
                <w:szCs w:val="18"/>
              </w:rPr>
              <w:t>1 000€ per data, minimum 2 000€</w:t>
            </w:r>
          </w:p>
          <w:p w14:paraId="4270A3F1" w14:textId="7A349871" w:rsidR="42911850" w:rsidRDefault="42911850" w:rsidP="00AE537F">
            <w:pPr>
              <w:pStyle w:val="ListParagraph"/>
              <w:numPr>
                <w:ilvl w:val="0"/>
                <w:numId w:val="47"/>
              </w:numPr>
              <w:rPr>
                <w:rFonts w:eastAsiaTheme="minorEastAsia"/>
                <w:noProof/>
                <w:sz w:val="18"/>
                <w:szCs w:val="18"/>
              </w:rPr>
            </w:pPr>
            <w:r w:rsidRPr="42911850">
              <w:rPr>
                <w:noProof/>
                <w:sz w:val="18"/>
                <w:szCs w:val="18"/>
              </w:rPr>
              <w:t>2 000€ per data, minimum 4 000€</w:t>
            </w:r>
          </w:p>
          <w:p w14:paraId="69AF6BC8" w14:textId="03E9DD03" w:rsidR="42911850" w:rsidRDefault="42911850" w:rsidP="00AE537F">
            <w:pPr>
              <w:pStyle w:val="ListParagraph"/>
              <w:numPr>
                <w:ilvl w:val="0"/>
                <w:numId w:val="47"/>
              </w:numPr>
              <w:rPr>
                <w:rFonts w:eastAsiaTheme="minorEastAsia"/>
                <w:noProof/>
                <w:sz w:val="18"/>
                <w:szCs w:val="18"/>
              </w:rPr>
            </w:pPr>
            <w:r w:rsidRPr="42911850">
              <w:rPr>
                <w:noProof/>
                <w:sz w:val="18"/>
                <w:szCs w:val="18"/>
              </w:rPr>
              <w:t xml:space="preserve"> 250€ per data, minimum 750€</w:t>
            </w:r>
          </w:p>
          <w:p w14:paraId="4B68277A" w14:textId="42BABBAE"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69413F5B" w14:textId="6D885C27" w:rsidR="42911850" w:rsidRDefault="42911850" w:rsidP="00AE537F">
            <w:pPr>
              <w:pStyle w:val="ListParagraph"/>
              <w:numPr>
                <w:ilvl w:val="0"/>
                <w:numId w:val="47"/>
              </w:numPr>
              <w:rPr>
                <w:rFonts w:eastAsiaTheme="minorEastAsia"/>
                <w:noProof/>
                <w:sz w:val="18"/>
                <w:szCs w:val="18"/>
              </w:rPr>
            </w:pPr>
            <w:r w:rsidRPr="42911850">
              <w:rPr>
                <w:noProof/>
                <w:sz w:val="18"/>
                <w:szCs w:val="18"/>
              </w:rPr>
              <w:t>600€ (If as result there is no declaration, see above 1)</w:t>
            </w:r>
          </w:p>
          <w:p w14:paraId="6A16FFBB" w14:textId="49C9311F"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Infractions by intermediaries</w:t>
            </w:r>
          </w:p>
          <w:p w14:paraId="020EEFBA" w14:textId="1F455A96" w:rsidR="42911850" w:rsidRDefault="42911850" w:rsidP="00AE537F">
            <w:pPr>
              <w:pStyle w:val="ListParagraph"/>
              <w:numPr>
                <w:ilvl w:val="0"/>
                <w:numId w:val="46"/>
              </w:numPr>
              <w:rPr>
                <w:rFonts w:eastAsiaTheme="minorEastAsia"/>
                <w:noProof/>
                <w:sz w:val="18"/>
                <w:szCs w:val="18"/>
              </w:rPr>
            </w:pPr>
            <w:r w:rsidRPr="42911850">
              <w:rPr>
                <w:noProof/>
                <w:sz w:val="18"/>
                <w:szCs w:val="18"/>
              </w:rPr>
              <w:t>600€</w:t>
            </w:r>
          </w:p>
        </w:tc>
        <w:tc>
          <w:tcPr>
            <w:tcW w:w="2175" w:type="dxa"/>
            <w:tcBorders>
              <w:top w:val="single" w:sz="8" w:space="0" w:color="auto"/>
              <w:left w:val="single" w:sz="8" w:space="0" w:color="auto"/>
              <w:bottom w:val="single" w:sz="8" w:space="0" w:color="auto"/>
              <w:right w:val="single" w:sz="8" w:space="0" w:color="auto"/>
            </w:tcBorders>
          </w:tcPr>
          <w:p w14:paraId="45EB3F05" w14:textId="098B5899" w:rsidR="42911850" w:rsidRDefault="42911850">
            <w:pPr>
              <w:rPr>
                <w:noProof/>
              </w:rPr>
            </w:pPr>
            <w:r w:rsidRPr="42911850">
              <w:rPr>
                <w:rFonts w:ascii="Calibri" w:eastAsia="Calibri" w:hAnsi="Calibri" w:cs="Calibri"/>
                <w:noProof/>
                <w:sz w:val="18"/>
                <w:szCs w:val="18"/>
              </w:rPr>
              <w:t xml:space="preserve"> </w:t>
            </w:r>
          </w:p>
          <w:p w14:paraId="7CF959EF" w14:textId="75B74958" w:rsidR="42911850" w:rsidRDefault="42911850">
            <w:pPr>
              <w:rPr>
                <w:noProof/>
              </w:rPr>
            </w:pPr>
            <w:r w:rsidRPr="42911850">
              <w:rPr>
                <w:rFonts w:ascii="Calibri" w:eastAsia="Calibri" w:hAnsi="Calibri" w:cs="Calibri"/>
                <w:noProof/>
                <w:sz w:val="18"/>
                <w:szCs w:val="18"/>
              </w:rPr>
              <w:t xml:space="preserve"> </w:t>
            </w:r>
          </w:p>
          <w:p w14:paraId="62B94A42" w14:textId="104DAE34" w:rsidR="42911850" w:rsidRDefault="42911850">
            <w:pPr>
              <w:rPr>
                <w:noProof/>
              </w:rPr>
            </w:pPr>
            <w:r w:rsidRPr="42911850">
              <w:rPr>
                <w:rFonts w:ascii="Calibri" w:eastAsia="Calibri" w:hAnsi="Calibri" w:cs="Calibri"/>
                <w:noProof/>
                <w:sz w:val="18"/>
                <w:szCs w:val="18"/>
              </w:rPr>
              <w:t xml:space="preserve"> </w:t>
            </w:r>
          </w:p>
          <w:p w14:paraId="0CBB6FC1" w14:textId="43F86985" w:rsidR="42911850" w:rsidRDefault="42911850">
            <w:pPr>
              <w:rPr>
                <w:noProof/>
              </w:rPr>
            </w:pPr>
            <w:r w:rsidRPr="42911850">
              <w:rPr>
                <w:rFonts w:ascii="Calibri" w:eastAsia="Calibri" w:hAnsi="Calibri" w:cs="Calibri"/>
                <w:noProof/>
                <w:sz w:val="18"/>
                <w:szCs w:val="18"/>
              </w:rPr>
              <w:t>Infractions by intermediary or relevant taxpayer</w:t>
            </w:r>
          </w:p>
          <w:p w14:paraId="39F70FCA" w14:textId="271BFD19" w:rsidR="42911850" w:rsidRDefault="42911850" w:rsidP="00AE537F">
            <w:pPr>
              <w:pStyle w:val="ListParagraph"/>
              <w:numPr>
                <w:ilvl w:val="0"/>
                <w:numId w:val="45"/>
              </w:numPr>
              <w:rPr>
                <w:rFonts w:eastAsiaTheme="minorEastAsia"/>
                <w:noProof/>
                <w:sz w:val="18"/>
                <w:szCs w:val="18"/>
              </w:rPr>
            </w:pPr>
            <w:r w:rsidRPr="42911850">
              <w:rPr>
                <w:noProof/>
                <w:sz w:val="18"/>
                <w:szCs w:val="18"/>
              </w:rPr>
              <w:t>The highest of professional fee or 4 000€</w:t>
            </w:r>
          </w:p>
          <w:p w14:paraId="6E06B025" w14:textId="352BEAEE" w:rsidR="42911850" w:rsidRDefault="42911850" w:rsidP="00AE537F">
            <w:pPr>
              <w:pStyle w:val="ListParagraph"/>
              <w:numPr>
                <w:ilvl w:val="0"/>
                <w:numId w:val="45"/>
              </w:numPr>
              <w:rPr>
                <w:rFonts w:eastAsiaTheme="minorEastAsia"/>
                <w:noProof/>
                <w:sz w:val="18"/>
                <w:szCs w:val="18"/>
              </w:rPr>
            </w:pPr>
            <w:r w:rsidRPr="42911850">
              <w:rPr>
                <w:noProof/>
                <w:sz w:val="18"/>
                <w:szCs w:val="18"/>
              </w:rPr>
              <w:t>Half of the highest of professional fee or 4 000€</w:t>
            </w:r>
          </w:p>
          <w:p w14:paraId="2869366D" w14:textId="705E4B45" w:rsidR="42911850" w:rsidRDefault="42911850" w:rsidP="00AE537F">
            <w:pPr>
              <w:pStyle w:val="ListParagraph"/>
              <w:numPr>
                <w:ilvl w:val="0"/>
                <w:numId w:val="45"/>
              </w:numPr>
              <w:rPr>
                <w:rFonts w:eastAsiaTheme="minorEastAsia"/>
                <w:noProof/>
                <w:sz w:val="18"/>
                <w:szCs w:val="18"/>
              </w:rPr>
            </w:pPr>
            <w:r w:rsidRPr="42911850">
              <w:rPr>
                <w:noProof/>
                <w:sz w:val="18"/>
                <w:szCs w:val="18"/>
              </w:rPr>
              <w:t>The highest of professional fee or 4 000€</w:t>
            </w:r>
          </w:p>
          <w:p w14:paraId="371908A3" w14:textId="1CBF880D" w:rsidR="42911850" w:rsidRDefault="42911850" w:rsidP="00AE537F">
            <w:pPr>
              <w:pStyle w:val="ListParagraph"/>
              <w:numPr>
                <w:ilvl w:val="0"/>
                <w:numId w:val="45"/>
              </w:numPr>
              <w:rPr>
                <w:rFonts w:eastAsiaTheme="minorEastAsia"/>
                <w:noProof/>
                <w:sz w:val="18"/>
                <w:szCs w:val="18"/>
              </w:rPr>
            </w:pPr>
            <w:r w:rsidRPr="42911850">
              <w:rPr>
                <w:noProof/>
                <w:sz w:val="18"/>
                <w:szCs w:val="18"/>
              </w:rPr>
              <w:t>1 500€</w:t>
            </w:r>
          </w:p>
          <w:p w14:paraId="623FC92E" w14:textId="60328780"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3DDAD71" w14:textId="606A324B" w:rsidR="42911850" w:rsidRDefault="42911850" w:rsidP="00AE537F">
            <w:pPr>
              <w:pStyle w:val="ListParagraph"/>
              <w:numPr>
                <w:ilvl w:val="0"/>
                <w:numId w:val="45"/>
              </w:numPr>
              <w:rPr>
                <w:rFonts w:eastAsiaTheme="minorEastAsia"/>
                <w:noProof/>
                <w:sz w:val="18"/>
                <w:szCs w:val="18"/>
              </w:rPr>
            </w:pPr>
            <w:r w:rsidRPr="42911850">
              <w:rPr>
                <w:noProof/>
                <w:sz w:val="18"/>
                <w:szCs w:val="18"/>
              </w:rPr>
              <w:t>600€ (If as result there is no declaration, see above 1)</w:t>
            </w:r>
          </w:p>
          <w:p w14:paraId="07659575" w14:textId="4D71DFE3"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09C42EC7" w14:textId="343B4734" w:rsidR="42911850" w:rsidRDefault="42911850">
            <w:pPr>
              <w:rPr>
                <w:noProof/>
              </w:rPr>
            </w:pPr>
            <w:r w:rsidRPr="42911850">
              <w:rPr>
                <w:rFonts w:ascii="Calibri" w:eastAsia="Calibri" w:hAnsi="Calibri" w:cs="Calibri"/>
                <w:noProof/>
                <w:sz w:val="18"/>
                <w:szCs w:val="18"/>
              </w:rPr>
              <w:t xml:space="preserve"> </w:t>
            </w:r>
          </w:p>
          <w:p w14:paraId="49F638D4" w14:textId="53B99445" w:rsidR="42911850" w:rsidRDefault="42911850">
            <w:pPr>
              <w:rPr>
                <w:noProof/>
              </w:rPr>
            </w:pPr>
            <w:r w:rsidRPr="42911850">
              <w:rPr>
                <w:rFonts w:ascii="Calibri" w:eastAsia="Calibri" w:hAnsi="Calibri" w:cs="Calibri"/>
                <w:noProof/>
                <w:sz w:val="18"/>
                <w:szCs w:val="18"/>
              </w:rPr>
              <w:t>Infractions by intermediaries</w:t>
            </w:r>
          </w:p>
          <w:p w14:paraId="58D0FCF0" w14:textId="5C155F06" w:rsidR="42911850" w:rsidRDefault="42911850" w:rsidP="00AE537F">
            <w:pPr>
              <w:pStyle w:val="ListParagraph"/>
              <w:numPr>
                <w:ilvl w:val="0"/>
                <w:numId w:val="44"/>
              </w:numPr>
              <w:rPr>
                <w:rFonts w:eastAsiaTheme="minorEastAsia"/>
                <w:noProof/>
                <w:sz w:val="18"/>
                <w:szCs w:val="18"/>
              </w:rPr>
            </w:pPr>
            <w:r w:rsidRPr="42911850">
              <w:rPr>
                <w:noProof/>
                <w:sz w:val="18"/>
                <w:szCs w:val="18"/>
              </w:rPr>
              <w:t>600€</w:t>
            </w:r>
          </w:p>
        </w:tc>
      </w:tr>
      <w:tr w:rsidR="42911850" w14:paraId="0092EB06"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020FA18F" w14:textId="41080CB3" w:rsidR="42911850" w:rsidRDefault="42911850">
            <w:pPr>
              <w:rPr>
                <w:noProof/>
              </w:rPr>
            </w:pPr>
            <w:r w:rsidRPr="42911850">
              <w:rPr>
                <w:rFonts w:ascii="Calibri" w:eastAsia="Calibri" w:hAnsi="Calibri" w:cs="Calibri"/>
                <w:b/>
                <w:bCs/>
                <w:noProof/>
                <w:sz w:val="18"/>
                <w:szCs w:val="18"/>
              </w:rPr>
              <w:t>FI</w:t>
            </w:r>
          </w:p>
        </w:tc>
        <w:tc>
          <w:tcPr>
            <w:tcW w:w="1025" w:type="dxa"/>
            <w:tcBorders>
              <w:top w:val="single" w:sz="8" w:space="0" w:color="auto"/>
              <w:left w:val="single" w:sz="8" w:space="0" w:color="auto"/>
              <w:bottom w:val="single" w:sz="8" w:space="0" w:color="auto"/>
              <w:right w:val="single" w:sz="8" w:space="0" w:color="auto"/>
            </w:tcBorders>
          </w:tcPr>
          <w:p w14:paraId="5EF61A74" w14:textId="5F2AEB8E"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540C2504" w14:textId="4B6D529D" w:rsidR="42911850" w:rsidRDefault="42911850">
            <w:pPr>
              <w:rPr>
                <w:noProof/>
              </w:rPr>
            </w:pPr>
            <w:r w:rsidRPr="42911850">
              <w:rPr>
                <w:rFonts w:ascii="Calibri" w:eastAsia="Calibri" w:hAnsi="Calibri" w:cs="Calibri"/>
                <w:noProof/>
                <w:sz w:val="16"/>
                <w:szCs w:val="16"/>
                <w:u w:val="single"/>
              </w:rPr>
              <w:t>Non-compliance/negligence penalty</w:t>
            </w:r>
            <w:r w:rsidRPr="42911850">
              <w:rPr>
                <w:rFonts w:ascii="Calibri" w:eastAsia="Calibri" w:hAnsi="Calibri" w:cs="Calibri"/>
                <w:noProof/>
                <w:sz w:val="16"/>
                <w:szCs w:val="16"/>
              </w:rPr>
              <w:t>:</w:t>
            </w:r>
          </w:p>
          <w:p w14:paraId="26D21368" w14:textId="50675627" w:rsidR="42911850" w:rsidRDefault="42911850">
            <w:pPr>
              <w:rPr>
                <w:noProof/>
              </w:rPr>
            </w:pPr>
            <w:r w:rsidRPr="42911850">
              <w:rPr>
                <w:rFonts w:ascii="Calibri" w:eastAsia="Calibri" w:hAnsi="Calibri" w:cs="Calibri"/>
                <w:noProof/>
                <w:sz w:val="16"/>
                <w:szCs w:val="16"/>
              </w:rPr>
              <w:t>Material scope: failure to report, late reporting, false/inaccurate reporting, failure to correct errors despite explicit request, report/information provided in a manner other than prescribed by law or Tax Administration.</w:t>
            </w:r>
          </w:p>
          <w:p w14:paraId="646AF34F" w14:textId="2A5DD17A" w:rsidR="42911850" w:rsidRDefault="42911850">
            <w:pPr>
              <w:rPr>
                <w:noProof/>
              </w:rPr>
            </w:pPr>
            <w:r w:rsidRPr="42911850">
              <w:rPr>
                <w:rFonts w:ascii="Calibri" w:eastAsia="Calibri" w:hAnsi="Calibri" w:cs="Calibri"/>
                <w:noProof/>
                <w:sz w:val="16"/>
                <w:szCs w:val="16"/>
              </w:rPr>
              <w:t>Personal scope: Financial institutions (liable to report under Directive 2011/16/EU as amended by DAC2 [Directive (EU) 2015/2376]).</w:t>
            </w:r>
          </w:p>
          <w:p w14:paraId="47916654" w14:textId="295E53E8" w:rsidR="42911850" w:rsidRDefault="42911850">
            <w:pPr>
              <w:rPr>
                <w:noProof/>
              </w:rPr>
            </w:pPr>
            <w:r w:rsidRPr="42911850">
              <w:rPr>
                <w:rFonts w:ascii="Calibri" w:eastAsia="Calibri" w:hAnsi="Calibri" w:cs="Calibri"/>
                <w:noProof/>
                <w:sz w:val="16"/>
                <w:szCs w:val="16"/>
              </w:rPr>
              <w:t>The legislation does not explicitly indicate if the penalty applies per individual / cumulative infringements (however, there is no reason to expect that it could not be enforced breach-by-breach).</w:t>
            </w:r>
          </w:p>
        </w:tc>
        <w:tc>
          <w:tcPr>
            <w:tcW w:w="1757" w:type="dxa"/>
            <w:tcBorders>
              <w:top w:val="single" w:sz="8" w:space="0" w:color="auto"/>
              <w:left w:val="single" w:sz="8" w:space="0" w:color="auto"/>
              <w:bottom w:val="single" w:sz="8" w:space="0" w:color="auto"/>
              <w:right w:val="single" w:sz="8" w:space="0" w:color="auto"/>
            </w:tcBorders>
          </w:tcPr>
          <w:p w14:paraId="5D37D11C" w14:textId="227B3989" w:rsidR="42911850" w:rsidRDefault="42911850">
            <w:pPr>
              <w:rPr>
                <w:noProof/>
              </w:rPr>
            </w:pPr>
            <w:r w:rsidRPr="42911850">
              <w:rPr>
                <w:rFonts w:ascii="Calibri" w:eastAsia="Calibri" w:hAnsi="Calibri" w:cs="Calibri"/>
                <w:noProof/>
                <w:sz w:val="16"/>
                <w:szCs w:val="16"/>
              </w:rPr>
              <w:t>EUR 2.000 (not a deductible expense for tax purposes + interest and charges in case of late payment)</w:t>
            </w:r>
          </w:p>
        </w:tc>
        <w:tc>
          <w:tcPr>
            <w:tcW w:w="2175" w:type="dxa"/>
            <w:tcBorders>
              <w:top w:val="single" w:sz="8" w:space="0" w:color="auto"/>
              <w:left w:val="single" w:sz="8" w:space="0" w:color="auto"/>
              <w:bottom w:val="single" w:sz="8" w:space="0" w:color="auto"/>
              <w:right w:val="single" w:sz="8" w:space="0" w:color="auto"/>
            </w:tcBorders>
          </w:tcPr>
          <w:p w14:paraId="46B33C53" w14:textId="736076A5" w:rsidR="42911850" w:rsidRDefault="42911850">
            <w:pPr>
              <w:rPr>
                <w:noProof/>
              </w:rPr>
            </w:pPr>
            <w:r w:rsidRPr="42911850">
              <w:rPr>
                <w:rFonts w:ascii="Calibri" w:eastAsia="Calibri" w:hAnsi="Calibri" w:cs="Calibri"/>
                <w:noProof/>
                <w:sz w:val="16"/>
                <w:szCs w:val="16"/>
              </w:rPr>
              <w:t>EUR 15.000 (not a deductible expense for tax purposes + interest and charges in case of late payment)</w:t>
            </w:r>
          </w:p>
        </w:tc>
      </w:tr>
      <w:tr w:rsidR="42911850" w14:paraId="7D944A02" w14:textId="77777777" w:rsidTr="42911850">
        <w:trPr>
          <w:trHeight w:val="45"/>
        </w:trPr>
        <w:tc>
          <w:tcPr>
            <w:tcW w:w="638" w:type="dxa"/>
            <w:vMerge/>
            <w:tcBorders>
              <w:left w:val="single" w:sz="0" w:space="0" w:color="auto"/>
              <w:right w:val="single" w:sz="0" w:space="0" w:color="auto"/>
            </w:tcBorders>
            <w:vAlign w:val="center"/>
          </w:tcPr>
          <w:p w14:paraId="641008B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289E3AE7" w14:textId="5796176D"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1902E094" w14:textId="2CB9EE67" w:rsidR="42911850" w:rsidRDefault="42911850">
            <w:pPr>
              <w:rPr>
                <w:noProof/>
              </w:rPr>
            </w:pPr>
            <w:r w:rsidRPr="42911850">
              <w:rPr>
                <w:rFonts w:ascii="Calibri" w:eastAsia="Calibri" w:hAnsi="Calibri" w:cs="Calibri"/>
                <w:noProof/>
                <w:sz w:val="16"/>
                <w:szCs w:val="16"/>
                <w:u w:val="single"/>
              </w:rPr>
              <w:t>Non-compliance/negligence penalty</w:t>
            </w:r>
            <w:r w:rsidRPr="42911850">
              <w:rPr>
                <w:rFonts w:ascii="Calibri" w:eastAsia="Calibri" w:hAnsi="Calibri" w:cs="Calibri"/>
                <w:noProof/>
                <w:sz w:val="16"/>
                <w:szCs w:val="16"/>
              </w:rPr>
              <w:t>:</w:t>
            </w:r>
          </w:p>
          <w:p w14:paraId="0B15F867" w14:textId="62AFC0F2" w:rsidR="42911850" w:rsidRDefault="42911850">
            <w:pPr>
              <w:rPr>
                <w:noProof/>
              </w:rPr>
            </w:pPr>
            <w:r w:rsidRPr="42911850">
              <w:rPr>
                <w:rFonts w:ascii="Calibri" w:eastAsia="Calibri" w:hAnsi="Calibri" w:cs="Calibri"/>
                <w:noProof/>
                <w:sz w:val="16"/>
                <w:szCs w:val="16"/>
              </w:rPr>
              <w:t>Material scope: failure to report, late reporting, false/inaccurate reporting, failure to correct errors despite explicit request, report/information provided in a manner other than prescribed by law or Tax Administration.</w:t>
            </w:r>
          </w:p>
          <w:p w14:paraId="324B3A2B" w14:textId="28DEBA2D" w:rsidR="42911850" w:rsidRDefault="42911850">
            <w:pPr>
              <w:rPr>
                <w:noProof/>
              </w:rPr>
            </w:pPr>
            <w:r w:rsidRPr="42911850">
              <w:rPr>
                <w:rFonts w:ascii="Calibri" w:eastAsia="Calibri" w:hAnsi="Calibri" w:cs="Calibri"/>
                <w:noProof/>
                <w:sz w:val="16"/>
                <w:szCs w:val="16"/>
              </w:rPr>
              <w:t>Personal scope: Reporting entities (as defined in Directive 2011/16/EU as amended by DAC4 [Directive (EU) 2016/881])</w:t>
            </w:r>
          </w:p>
          <w:p w14:paraId="00703474" w14:textId="515382F1" w:rsidR="42911850" w:rsidRDefault="42911850">
            <w:pPr>
              <w:rPr>
                <w:noProof/>
              </w:rPr>
            </w:pPr>
            <w:r w:rsidRPr="42911850">
              <w:rPr>
                <w:rFonts w:ascii="Calibri" w:eastAsia="Calibri" w:hAnsi="Calibri" w:cs="Calibri"/>
                <w:noProof/>
                <w:sz w:val="16"/>
                <w:szCs w:val="16"/>
              </w:rPr>
              <w:t>The legislation does not explicitly indicate if the penalty applies per individual / cumulative infringements (this however suggest that there is no reason to expect that it could not be enforced breach-by-breach).</w:t>
            </w:r>
          </w:p>
          <w:p w14:paraId="0D93063E" w14:textId="4EBD9C0F" w:rsidR="42911850" w:rsidRDefault="42911850">
            <w:pPr>
              <w:rPr>
                <w:noProof/>
              </w:rPr>
            </w:pPr>
            <w:r w:rsidRPr="42911850">
              <w:rPr>
                <w:rFonts w:ascii="Calibri" w:eastAsia="Calibri" w:hAnsi="Calibri" w:cs="Calibri"/>
                <w:noProof/>
                <w:sz w:val="16"/>
                <w:szCs w:val="16"/>
                <w:u w:val="single"/>
              </w:rPr>
              <w:t>Tax increase (in addition to the above penalty)</w:t>
            </w:r>
            <w:r w:rsidRPr="42911850">
              <w:rPr>
                <w:rFonts w:ascii="Calibri" w:eastAsia="Calibri" w:hAnsi="Calibri" w:cs="Calibri"/>
                <w:noProof/>
                <w:sz w:val="16"/>
                <w:szCs w:val="16"/>
              </w:rPr>
              <w:t>:</w:t>
            </w:r>
          </w:p>
          <w:p w14:paraId="5CE70851" w14:textId="737C3BDF" w:rsidR="42911850" w:rsidRDefault="42911850">
            <w:pPr>
              <w:rPr>
                <w:noProof/>
              </w:rPr>
            </w:pPr>
            <w:r w:rsidRPr="42911850">
              <w:rPr>
                <w:rFonts w:ascii="Calibri" w:eastAsia="Calibri" w:hAnsi="Calibri" w:cs="Calibri"/>
                <w:noProof/>
                <w:sz w:val="16"/>
                <w:szCs w:val="16"/>
              </w:rPr>
              <w:t>Material scope: the issuer of the declaration or the country-by-country report has failed to fulfil its obligation within the prescribed time limit or has fulfilled it as materially incomplete or incorrect. Tax increase shall not be imposed if the non-compliance is minor or where there is a valid reason for it or if, the matter is open to interpretation or ambiguous and imposition of the tax increase would therefore be disproportionate.</w:t>
            </w:r>
          </w:p>
          <w:p w14:paraId="62CDA494" w14:textId="4AA8E9C5" w:rsidR="42911850" w:rsidRDefault="42911850">
            <w:pPr>
              <w:rPr>
                <w:noProof/>
              </w:rPr>
            </w:pPr>
            <w:r w:rsidRPr="42911850">
              <w:rPr>
                <w:rFonts w:ascii="Calibri" w:eastAsia="Calibri" w:hAnsi="Calibri" w:cs="Calibri"/>
                <w:noProof/>
                <w:sz w:val="16"/>
                <w:szCs w:val="16"/>
              </w:rPr>
              <w:t>Personal scope: Reporting entities (as defined in Directive 2011/16/EU as amended by DAC4 [Directive (EU) 2016/881])</w:t>
            </w:r>
          </w:p>
          <w:p w14:paraId="6FCDB2D5" w14:textId="05CDAE66" w:rsidR="42911850" w:rsidRDefault="42911850">
            <w:pPr>
              <w:rPr>
                <w:noProof/>
              </w:rPr>
            </w:pPr>
            <w:r w:rsidRPr="42911850">
              <w:rPr>
                <w:rFonts w:ascii="Calibri" w:eastAsia="Calibri" w:hAnsi="Calibri" w:cs="Calibri"/>
                <w:noProof/>
                <w:sz w:val="16"/>
                <w:szCs w:val="16"/>
              </w:rPr>
              <w:t>The legislation does not explicitly indicate if the tax increase applies per individual / cumulative infringements. This however suggest that there is no reason to expect that it could not be enforced breach-by-breach, notably because repeat offenses are taken into account in determining minimum amount of tax increase.</w:t>
            </w:r>
          </w:p>
        </w:tc>
        <w:tc>
          <w:tcPr>
            <w:tcW w:w="1757" w:type="dxa"/>
            <w:tcBorders>
              <w:top w:val="single" w:sz="8" w:space="0" w:color="auto"/>
              <w:left w:val="single" w:sz="8" w:space="0" w:color="auto"/>
              <w:bottom w:val="single" w:sz="8" w:space="0" w:color="auto"/>
              <w:right w:val="single" w:sz="8" w:space="0" w:color="auto"/>
            </w:tcBorders>
          </w:tcPr>
          <w:p w14:paraId="3A544A67" w14:textId="183FFF65" w:rsidR="42911850" w:rsidRDefault="42911850">
            <w:pPr>
              <w:rPr>
                <w:noProof/>
              </w:rPr>
            </w:pPr>
            <w:r w:rsidRPr="42911850">
              <w:rPr>
                <w:rFonts w:ascii="Calibri" w:eastAsia="Calibri" w:hAnsi="Calibri" w:cs="Calibri"/>
                <w:noProof/>
                <w:sz w:val="16"/>
                <w:szCs w:val="16"/>
              </w:rPr>
              <w:t>EUR 2.000 (not a deductible expense for tax purposes + interest and charges in case of late payment)</w:t>
            </w:r>
          </w:p>
          <w:p w14:paraId="0B193DCA" w14:textId="46ACA69B" w:rsidR="42911850" w:rsidRDefault="42911850">
            <w:pPr>
              <w:rPr>
                <w:noProof/>
              </w:rPr>
            </w:pPr>
            <w:r w:rsidRPr="42911850">
              <w:rPr>
                <w:rFonts w:ascii="Calibri" w:eastAsia="Calibri" w:hAnsi="Calibri" w:cs="Calibri"/>
                <w:noProof/>
                <w:sz w:val="18"/>
                <w:szCs w:val="18"/>
              </w:rPr>
              <w:t xml:space="preserve"> </w:t>
            </w:r>
          </w:p>
          <w:p w14:paraId="646ECFC1" w14:textId="74D47BB1" w:rsidR="42911850" w:rsidRDefault="42911850">
            <w:pPr>
              <w:rPr>
                <w:noProof/>
              </w:rPr>
            </w:pPr>
            <w:r w:rsidRPr="42911850">
              <w:rPr>
                <w:rFonts w:ascii="Calibri" w:eastAsia="Calibri" w:hAnsi="Calibri" w:cs="Calibri"/>
                <w:noProof/>
                <w:sz w:val="18"/>
                <w:szCs w:val="18"/>
              </w:rPr>
              <w:t xml:space="preserve"> </w:t>
            </w:r>
          </w:p>
          <w:p w14:paraId="61189AF1" w14:textId="5A34EF2B" w:rsidR="42911850" w:rsidRDefault="42911850">
            <w:pPr>
              <w:rPr>
                <w:noProof/>
              </w:rPr>
            </w:pPr>
            <w:r w:rsidRPr="42911850">
              <w:rPr>
                <w:rFonts w:ascii="Calibri" w:eastAsia="Calibri" w:hAnsi="Calibri" w:cs="Calibri"/>
                <w:noProof/>
                <w:sz w:val="18"/>
                <w:szCs w:val="18"/>
              </w:rPr>
              <w:t xml:space="preserve"> </w:t>
            </w:r>
          </w:p>
          <w:p w14:paraId="18D6CF8C" w14:textId="6E6449DF" w:rsidR="42911850" w:rsidRDefault="42911850">
            <w:pPr>
              <w:rPr>
                <w:noProof/>
              </w:rPr>
            </w:pPr>
            <w:r w:rsidRPr="42911850">
              <w:rPr>
                <w:rFonts w:ascii="Calibri" w:eastAsia="Calibri" w:hAnsi="Calibri" w:cs="Calibri"/>
                <w:noProof/>
                <w:sz w:val="18"/>
                <w:szCs w:val="18"/>
              </w:rPr>
              <w:t xml:space="preserve"> </w:t>
            </w:r>
            <w:r>
              <w:rPr>
                <w:noProof/>
              </w:rPr>
              <w:br/>
            </w:r>
            <w:r w:rsidRPr="42911850">
              <w:rPr>
                <w:rFonts w:ascii="Calibri" w:eastAsia="Calibri" w:hAnsi="Calibri" w:cs="Calibri"/>
                <w:noProof/>
                <w:sz w:val="18"/>
                <w:szCs w:val="18"/>
              </w:rPr>
              <w:t xml:space="preserve"> </w:t>
            </w:r>
            <w:r>
              <w:rPr>
                <w:noProof/>
              </w:rPr>
              <w:br/>
            </w:r>
            <w:r w:rsidRPr="42911850">
              <w:rPr>
                <w:rFonts w:ascii="Calibri" w:eastAsia="Calibri" w:hAnsi="Calibri" w:cs="Calibri"/>
                <w:noProof/>
                <w:sz w:val="18"/>
                <w:szCs w:val="18"/>
              </w:rPr>
              <w:t>(0.5% - 3%) commonly 2% of the increased income depending on gravity of offense/negligence, whether it is repeated and on whose initiative correction is made.</w:t>
            </w:r>
          </w:p>
        </w:tc>
        <w:tc>
          <w:tcPr>
            <w:tcW w:w="2175" w:type="dxa"/>
            <w:tcBorders>
              <w:top w:val="single" w:sz="8" w:space="0" w:color="auto"/>
              <w:left w:val="single" w:sz="8" w:space="0" w:color="auto"/>
              <w:bottom w:val="single" w:sz="8" w:space="0" w:color="auto"/>
              <w:right w:val="single" w:sz="8" w:space="0" w:color="auto"/>
            </w:tcBorders>
          </w:tcPr>
          <w:p w14:paraId="73AEDC63" w14:textId="1A831DAF" w:rsidR="42911850" w:rsidRDefault="42911850">
            <w:pPr>
              <w:rPr>
                <w:noProof/>
              </w:rPr>
            </w:pPr>
            <w:r w:rsidRPr="42911850">
              <w:rPr>
                <w:rFonts w:ascii="Calibri" w:eastAsia="Calibri" w:hAnsi="Calibri" w:cs="Calibri"/>
                <w:noProof/>
                <w:sz w:val="16"/>
                <w:szCs w:val="16"/>
              </w:rPr>
              <w:t>EUR 15.000 (not a deductible expense for tax purposes + interest and charges in case of late payment)</w:t>
            </w:r>
          </w:p>
          <w:p w14:paraId="0E64D853" w14:textId="133EC7D0" w:rsidR="42911850" w:rsidRDefault="42911850">
            <w:pPr>
              <w:rPr>
                <w:noProof/>
              </w:rPr>
            </w:pPr>
            <w:r w:rsidRPr="42911850">
              <w:rPr>
                <w:rFonts w:ascii="Calibri" w:eastAsia="Calibri" w:hAnsi="Calibri" w:cs="Calibri"/>
                <w:noProof/>
                <w:sz w:val="18"/>
                <w:szCs w:val="18"/>
              </w:rPr>
              <w:t xml:space="preserve"> </w:t>
            </w:r>
          </w:p>
          <w:p w14:paraId="7102D56E" w14:textId="6E8283AB" w:rsidR="42911850" w:rsidRDefault="42911850">
            <w:pPr>
              <w:rPr>
                <w:noProof/>
              </w:rPr>
            </w:pPr>
            <w:r w:rsidRPr="42911850">
              <w:rPr>
                <w:rFonts w:ascii="Calibri" w:eastAsia="Calibri" w:hAnsi="Calibri" w:cs="Calibri"/>
                <w:noProof/>
                <w:sz w:val="18"/>
                <w:szCs w:val="18"/>
              </w:rPr>
              <w:t xml:space="preserve"> </w:t>
            </w:r>
          </w:p>
          <w:p w14:paraId="078A68F2" w14:textId="496E65E8" w:rsidR="42911850" w:rsidRDefault="42911850">
            <w:pPr>
              <w:rPr>
                <w:noProof/>
              </w:rPr>
            </w:pPr>
            <w:r w:rsidRPr="42911850">
              <w:rPr>
                <w:rFonts w:ascii="Calibri" w:eastAsia="Calibri" w:hAnsi="Calibri" w:cs="Calibri"/>
                <w:noProof/>
                <w:sz w:val="18"/>
                <w:szCs w:val="18"/>
              </w:rPr>
              <w:t xml:space="preserve"> </w:t>
            </w:r>
          </w:p>
          <w:p w14:paraId="3B956A1B" w14:textId="46D18C98" w:rsidR="42911850" w:rsidRDefault="42911850">
            <w:pPr>
              <w:rPr>
                <w:noProof/>
              </w:rPr>
            </w:pPr>
            <w:r w:rsidRPr="42911850">
              <w:rPr>
                <w:rFonts w:ascii="Calibri" w:eastAsia="Calibri" w:hAnsi="Calibri" w:cs="Calibri"/>
                <w:noProof/>
                <w:sz w:val="18"/>
                <w:szCs w:val="18"/>
              </w:rPr>
              <w:t xml:space="preserve"> </w:t>
            </w:r>
          </w:p>
          <w:p w14:paraId="7E87D7AE" w14:textId="2A6FE0A2" w:rsidR="42911850" w:rsidRDefault="42911850">
            <w:pPr>
              <w:rPr>
                <w:noProof/>
              </w:rPr>
            </w:pPr>
            <w:r w:rsidRPr="42911850">
              <w:rPr>
                <w:rFonts w:ascii="Calibri" w:eastAsia="Calibri" w:hAnsi="Calibri" w:cs="Calibri"/>
                <w:noProof/>
                <w:sz w:val="18"/>
                <w:szCs w:val="18"/>
              </w:rPr>
              <w:t xml:space="preserve"> </w:t>
            </w:r>
            <w:r>
              <w:rPr>
                <w:noProof/>
              </w:rPr>
              <w:br/>
            </w:r>
            <w:r w:rsidRPr="42911850">
              <w:rPr>
                <w:rFonts w:ascii="Calibri" w:eastAsia="Calibri" w:hAnsi="Calibri" w:cs="Calibri"/>
                <w:noProof/>
                <w:sz w:val="18"/>
                <w:szCs w:val="18"/>
              </w:rPr>
              <w:t xml:space="preserve"> 1</w:t>
            </w:r>
            <w:r w:rsidRPr="42911850">
              <w:rPr>
                <w:rFonts w:ascii="Calibri" w:eastAsia="Calibri" w:hAnsi="Calibri" w:cs="Calibri"/>
                <w:noProof/>
                <w:sz w:val="16"/>
                <w:szCs w:val="16"/>
              </w:rPr>
              <w:t>0% of the increased income, capped at EUR 25.000.</w:t>
            </w:r>
          </w:p>
          <w:p w14:paraId="2A58E6D7" w14:textId="46D37AB5" w:rsidR="42911850" w:rsidRDefault="42911850">
            <w:pPr>
              <w:rPr>
                <w:noProof/>
              </w:rPr>
            </w:pPr>
            <w:r w:rsidRPr="42911850">
              <w:rPr>
                <w:rFonts w:ascii="Calibri" w:eastAsia="Calibri" w:hAnsi="Calibri" w:cs="Calibri"/>
                <w:noProof/>
                <w:sz w:val="18"/>
                <w:szCs w:val="18"/>
              </w:rPr>
              <w:t xml:space="preserve"> </w:t>
            </w:r>
          </w:p>
        </w:tc>
      </w:tr>
      <w:tr w:rsidR="42911850" w14:paraId="31E9349A"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29EBB2A9"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BC696BD" w14:textId="3B015975"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0F27A39F" w14:textId="34A42992" w:rsidR="42911850" w:rsidRDefault="42911850">
            <w:pPr>
              <w:rPr>
                <w:noProof/>
              </w:rPr>
            </w:pPr>
            <w:r w:rsidRPr="42911850">
              <w:rPr>
                <w:rFonts w:ascii="Calibri" w:eastAsia="Calibri" w:hAnsi="Calibri" w:cs="Calibri"/>
                <w:noProof/>
                <w:sz w:val="16"/>
                <w:szCs w:val="16"/>
                <w:u w:val="single"/>
              </w:rPr>
              <w:t>Non-compliance/negligence penalty</w:t>
            </w:r>
            <w:r w:rsidRPr="42911850">
              <w:rPr>
                <w:rFonts w:ascii="Calibri" w:eastAsia="Calibri" w:hAnsi="Calibri" w:cs="Calibri"/>
                <w:noProof/>
                <w:sz w:val="16"/>
                <w:szCs w:val="16"/>
              </w:rPr>
              <w:t>:</w:t>
            </w:r>
          </w:p>
          <w:p w14:paraId="100DC448" w14:textId="156EF330" w:rsidR="42911850" w:rsidRDefault="42911850">
            <w:pPr>
              <w:rPr>
                <w:noProof/>
              </w:rPr>
            </w:pPr>
            <w:r w:rsidRPr="42911850">
              <w:rPr>
                <w:rFonts w:ascii="Calibri" w:eastAsia="Calibri" w:hAnsi="Calibri" w:cs="Calibri"/>
                <w:noProof/>
                <w:sz w:val="16"/>
                <w:szCs w:val="16"/>
              </w:rPr>
              <w:t>Material scope: failure to report, late reporting, false/inaccurate reporting, failure to correct errors despite explicit request, report/information provided in a manner other than prescribed by law or Tax Administration.</w:t>
            </w:r>
          </w:p>
          <w:p w14:paraId="4CFABA3D" w14:textId="01F19781" w:rsidR="42911850" w:rsidRDefault="42911850">
            <w:pPr>
              <w:rPr>
                <w:noProof/>
              </w:rPr>
            </w:pPr>
            <w:r w:rsidRPr="42911850">
              <w:rPr>
                <w:rFonts w:ascii="Calibri" w:eastAsia="Calibri" w:hAnsi="Calibri" w:cs="Calibri"/>
                <w:noProof/>
                <w:sz w:val="16"/>
                <w:szCs w:val="16"/>
              </w:rPr>
              <w:t>Personal scope: Intermediaries (advisers); relevant taxpayers (users of the reportable arrangements)</w:t>
            </w:r>
          </w:p>
          <w:p w14:paraId="14E2B7E1" w14:textId="074416FF" w:rsidR="42911850" w:rsidRDefault="42911850">
            <w:pPr>
              <w:rPr>
                <w:noProof/>
              </w:rPr>
            </w:pPr>
            <w:r w:rsidRPr="42911850">
              <w:rPr>
                <w:rFonts w:ascii="Calibri" w:eastAsia="Calibri" w:hAnsi="Calibri" w:cs="Calibri"/>
                <w:noProof/>
                <w:sz w:val="16"/>
                <w:szCs w:val="16"/>
              </w:rPr>
              <w:t>The legislation does not explicitly indicate if the penalty applies per individual / cumulative infringements (this however suggest that there is no reason to expect that it could not be enforced breach-by-breach).</w:t>
            </w:r>
          </w:p>
          <w:p w14:paraId="5B7ABAD4" w14:textId="1D6C2C16" w:rsidR="42911850" w:rsidRDefault="42911850">
            <w:pPr>
              <w:rPr>
                <w:noProof/>
              </w:rPr>
            </w:pPr>
            <w:r w:rsidRPr="42911850">
              <w:rPr>
                <w:rFonts w:ascii="Calibri" w:eastAsia="Calibri" w:hAnsi="Calibri" w:cs="Calibri"/>
                <w:noProof/>
                <w:sz w:val="16"/>
                <w:szCs w:val="16"/>
                <w:u w:val="single"/>
              </w:rPr>
              <w:t>Tax increase (in addition to the above penalty)</w:t>
            </w:r>
            <w:r w:rsidRPr="42911850">
              <w:rPr>
                <w:rFonts w:ascii="Calibri" w:eastAsia="Calibri" w:hAnsi="Calibri" w:cs="Calibri"/>
                <w:noProof/>
                <w:sz w:val="16"/>
                <w:szCs w:val="16"/>
              </w:rPr>
              <w:t>:</w:t>
            </w:r>
          </w:p>
          <w:p w14:paraId="356A978E" w14:textId="0A5F63D6" w:rsidR="42911850" w:rsidRDefault="42911850">
            <w:pPr>
              <w:rPr>
                <w:noProof/>
              </w:rPr>
            </w:pPr>
            <w:r w:rsidRPr="42911850">
              <w:rPr>
                <w:rFonts w:ascii="Calibri" w:eastAsia="Calibri" w:hAnsi="Calibri" w:cs="Calibri"/>
                <w:noProof/>
                <w:sz w:val="16"/>
                <w:szCs w:val="16"/>
              </w:rPr>
              <w:t>Material scope: failure to report, late reporting, false/inaccurate reporting, failure to correct errors despite explicit request, report/information provided in a manner other than prescribed by law or Tax Administration. Tax increase shall not be imposed if the non-compliance is minor or where there is a valid reason for it or if, the matter is open to interpretation or ambiguous and imposition of the tax increase would therefore be disproportionate.</w:t>
            </w:r>
          </w:p>
          <w:p w14:paraId="268E992A" w14:textId="47A021DE" w:rsidR="42911850" w:rsidRDefault="42911850">
            <w:pPr>
              <w:rPr>
                <w:noProof/>
              </w:rPr>
            </w:pPr>
            <w:r w:rsidRPr="42911850">
              <w:rPr>
                <w:rFonts w:ascii="Calibri" w:eastAsia="Calibri" w:hAnsi="Calibri" w:cs="Calibri"/>
                <w:noProof/>
                <w:sz w:val="16"/>
                <w:szCs w:val="16"/>
              </w:rPr>
              <w:t>Personal scope: Relevant taxpayers (end users of the reportable arrangements)</w:t>
            </w:r>
          </w:p>
          <w:p w14:paraId="0289D4C1" w14:textId="27B9DF91" w:rsidR="42911850" w:rsidRDefault="42911850">
            <w:pPr>
              <w:rPr>
                <w:noProof/>
              </w:rPr>
            </w:pPr>
            <w:r w:rsidRPr="42911850">
              <w:rPr>
                <w:rFonts w:ascii="Calibri" w:eastAsia="Calibri" w:hAnsi="Calibri" w:cs="Calibri"/>
                <w:noProof/>
                <w:sz w:val="16"/>
                <w:szCs w:val="16"/>
              </w:rPr>
              <w:t>The legislation does not explicitly indicate if the tax increase applies per individual / cumulative infringements. This however suggest that there is no reason to expect that it could not be enforced breach-by-breach, notably because repeat offenses are taken into account in determining minimum amount of tax increase.</w:t>
            </w:r>
          </w:p>
        </w:tc>
        <w:tc>
          <w:tcPr>
            <w:tcW w:w="1757" w:type="dxa"/>
            <w:tcBorders>
              <w:top w:val="single" w:sz="8" w:space="0" w:color="auto"/>
              <w:left w:val="single" w:sz="8" w:space="0" w:color="auto"/>
              <w:bottom w:val="single" w:sz="8" w:space="0" w:color="auto"/>
              <w:right w:val="single" w:sz="8" w:space="0" w:color="auto"/>
            </w:tcBorders>
          </w:tcPr>
          <w:p w14:paraId="67D6C9DB" w14:textId="2D408E23" w:rsidR="42911850" w:rsidRDefault="42911850">
            <w:pPr>
              <w:rPr>
                <w:noProof/>
              </w:rPr>
            </w:pPr>
            <w:r w:rsidRPr="42911850">
              <w:rPr>
                <w:rFonts w:ascii="Calibri" w:eastAsia="Calibri" w:hAnsi="Calibri" w:cs="Calibri"/>
                <w:noProof/>
                <w:sz w:val="16"/>
                <w:szCs w:val="16"/>
              </w:rPr>
              <w:t>EUR 2.000 (not a deductible expense for tax purposes + interest and charges in case of late payment)</w:t>
            </w:r>
          </w:p>
          <w:p w14:paraId="09272896" w14:textId="0FB02EF9" w:rsidR="42911850" w:rsidRDefault="42911850">
            <w:pPr>
              <w:rPr>
                <w:noProof/>
              </w:rPr>
            </w:pPr>
            <w:r w:rsidRPr="42911850">
              <w:rPr>
                <w:rFonts w:ascii="Calibri" w:eastAsia="Calibri" w:hAnsi="Calibri" w:cs="Calibri"/>
                <w:noProof/>
                <w:sz w:val="18"/>
                <w:szCs w:val="18"/>
              </w:rPr>
              <w:t xml:space="preserve"> </w:t>
            </w:r>
          </w:p>
          <w:p w14:paraId="5C3C676B" w14:textId="10F5DC17" w:rsidR="42911850" w:rsidRDefault="42911850">
            <w:pPr>
              <w:rPr>
                <w:noProof/>
              </w:rPr>
            </w:pPr>
            <w:r w:rsidRPr="42911850">
              <w:rPr>
                <w:rFonts w:ascii="Calibri" w:eastAsia="Calibri" w:hAnsi="Calibri" w:cs="Calibri"/>
                <w:noProof/>
                <w:sz w:val="18"/>
                <w:szCs w:val="18"/>
              </w:rPr>
              <w:t xml:space="preserve"> </w:t>
            </w:r>
          </w:p>
          <w:p w14:paraId="361B08EA" w14:textId="7361A7F1" w:rsidR="42911850" w:rsidRDefault="42911850">
            <w:pPr>
              <w:rPr>
                <w:noProof/>
              </w:rPr>
            </w:pPr>
            <w:r w:rsidRPr="42911850">
              <w:rPr>
                <w:rFonts w:ascii="Calibri" w:eastAsia="Calibri" w:hAnsi="Calibri" w:cs="Calibri"/>
                <w:noProof/>
                <w:sz w:val="18"/>
                <w:szCs w:val="18"/>
              </w:rPr>
              <w:t xml:space="preserve"> </w:t>
            </w:r>
          </w:p>
          <w:p w14:paraId="07FDE029" w14:textId="3CDABEA1" w:rsidR="42911850" w:rsidRDefault="42911850">
            <w:pPr>
              <w:rPr>
                <w:noProof/>
              </w:rPr>
            </w:pPr>
            <w:r w:rsidRPr="42911850">
              <w:rPr>
                <w:rFonts w:ascii="Calibri" w:eastAsia="Calibri" w:hAnsi="Calibri" w:cs="Calibri"/>
                <w:noProof/>
                <w:sz w:val="18"/>
                <w:szCs w:val="18"/>
              </w:rPr>
              <w:t xml:space="preserve"> </w:t>
            </w:r>
          </w:p>
          <w:p w14:paraId="66626B1F" w14:textId="0FB93FAF" w:rsidR="42911850" w:rsidRDefault="42911850">
            <w:pPr>
              <w:rPr>
                <w:noProof/>
              </w:rPr>
            </w:pPr>
            <w:r w:rsidRPr="42911850">
              <w:rPr>
                <w:rFonts w:ascii="Calibri" w:eastAsia="Calibri" w:hAnsi="Calibri" w:cs="Calibri"/>
                <w:noProof/>
                <w:sz w:val="16"/>
                <w:szCs w:val="16"/>
              </w:rPr>
              <w:t>(0.5% - 3%) commonly 2% of the increased income depending on gravity of offense/negligence, whether it is repeated and on whose initiative correction is made.</w:t>
            </w:r>
          </w:p>
        </w:tc>
        <w:tc>
          <w:tcPr>
            <w:tcW w:w="2175" w:type="dxa"/>
            <w:tcBorders>
              <w:top w:val="single" w:sz="8" w:space="0" w:color="auto"/>
              <w:left w:val="single" w:sz="8" w:space="0" w:color="auto"/>
              <w:bottom w:val="single" w:sz="8" w:space="0" w:color="auto"/>
              <w:right w:val="single" w:sz="8" w:space="0" w:color="auto"/>
            </w:tcBorders>
          </w:tcPr>
          <w:p w14:paraId="7BD95CCE" w14:textId="484CE3FE" w:rsidR="42911850" w:rsidRDefault="42911850">
            <w:pPr>
              <w:rPr>
                <w:noProof/>
              </w:rPr>
            </w:pPr>
            <w:r w:rsidRPr="42911850">
              <w:rPr>
                <w:rFonts w:ascii="Calibri" w:eastAsia="Calibri" w:hAnsi="Calibri" w:cs="Calibri"/>
                <w:noProof/>
                <w:sz w:val="16"/>
                <w:szCs w:val="16"/>
              </w:rPr>
              <w:t>EUR 15.000 (not a deductible expense for tax purposes + interest and charges in case of late payment)</w:t>
            </w:r>
          </w:p>
          <w:p w14:paraId="0E3FF3B1" w14:textId="357600E5" w:rsidR="42911850" w:rsidRDefault="42911850">
            <w:pPr>
              <w:rPr>
                <w:noProof/>
              </w:rPr>
            </w:pPr>
            <w:r w:rsidRPr="42911850">
              <w:rPr>
                <w:rFonts w:ascii="Calibri" w:eastAsia="Calibri" w:hAnsi="Calibri" w:cs="Calibri"/>
                <w:noProof/>
                <w:sz w:val="18"/>
                <w:szCs w:val="18"/>
              </w:rPr>
              <w:t xml:space="preserve"> </w:t>
            </w:r>
          </w:p>
          <w:p w14:paraId="6E0C4B14" w14:textId="5D8A6819" w:rsidR="42911850" w:rsidRDefault="42911850">
            <w:pPr>
              <w:rPr>
                <w:noProof/>
              </w:rPr>
            </w:pPr>
            <w:r w:rsidRPr="42911850">
              <w:rPr>
                <w:rFonts w:ascii="Calibri" w:eastAsia="Calibri" w:hAnsi="Calibri" w:cs="Calibri"/>
                <w:noProof/>
                <w:sz w:val="18"/>
                <w:szCs w:val="18"/>
              </w:rPr>
              <w:t xml:space="preserve"> </w:t>
            </w:r>
          </w:p>
          <w:p w14:paraId="77F729C8" w14:textId="7807D934" w:rsidR="42911850" w:rsidRDefault="42911850">
            <w:pPr>
              <w:rPr>
                <w:noProof/>
              </w:rPr>
            </w:pPr>
            <w:r w:rsidRPr="42911850">
              <w:rPr>
                <w:rFonts w:ascii="Calibri" w:eastAsia="Calibri" w:hAnsi="Calibri" w:cs="Calibri"/>
                <w:noProof/>
                <w:sz w:val="18"/>
                <w:szCs w:val="18"/>
              </w:rPr>
              <w:t xml:space="preserve"> </w:t>
            </w:r>
          </w:p>
          <w:p w14:paraId="24D05063" w14:textId="2BE7808D" w:rsidR="42911850" w:rsidRDefault="42911850">
            <w:pPr>
              <w:rPr>
                <w:noProof/>
              </w:rPr>
            </w:pPr>
            <w:r w:rsidRPr="42911850">
              <w:rPr>
                <w:rFonts w:ascii="Calibri" w:eastAsia="Calibri" w:hAnsi="Calibri" w:cs="Calibri"/>
                <w:noProof/>
                <w:sz w:val="18"/>
                <w:szCs w:val="18"/>
              </w:rPr>
              <w:t xml:space="preserve"> </w:t>
            </w:r>
          </w:p>
          <w:p w14:paraId="636278FC" w14:textId="78DB4D09" w:rsidR="42911850" w:rsidRDefault="42911850">
            <w:pPr>
              <w:rPr>
                <w:noProof/>
              </w:rPr>
            </w:pPr>
            <w:r w:rsidRPr="42911850">
              <w:rPr>
                <w:rFonts w:ascii="Calibri" w:eastAsia="Calibri" w:hAnsi="Calibri" w:cs="Calibri"/>
                <w:noProof/>
                <w:sz w:val="18"/>
                <w:szCs w:val="18"/>
              </w:rPr>
              <w:t xml:space="preserve"> </w:t>
            </w:r>
            <w:r>
              <w:rPr>
                <w:noProof/>
              </w:rPr>
              <w:br/>
            </w:r>
            <w:r w:rsidRPr="42911850">
              <w:rPr>
                <w:rFonts w:ascii="Calibri" w:eastAsia="Calibri" w:hAnsi="Calibri" w:cs="Calibri"/>
                <w:noProof/>
                <w:sz w:val="18"/>
                <w:szCs w:val="18"/>
              </w:rPr>
              <w:t xml:space="preserve"> </w:t>
            </w:r>
            <w:r w:rsidRPr="42911850">
              <w:rPr>
                <w:rFonts w:ascii="Calibri" w:eastAsia="Calibri" w:hAnsi="Calibri" w:cs="Calibri"/>
                <w:noProof/>
                <w:sz w:val="16"/>
                <w:szCs w:val="16"/>
              </w:rPr>
              <w:t>10% of the increased income, capped at EUR 25.000.</w:t>
            </w:r>
          </w:p>
          <w:p w14:paraId="446D5406" w14:textId="445BDA02" w:rsidR="42911850" w:rsidRDefault="42911850">
            <w:pPr>
              <w:rPr>
                <w:noProof/>
              </w:rPr>
            </w:pPr>
            <w:r w:rsidRPr="42911850">
              <w:rPr>
                <w:rFonts w:ascii="Calibri" w:eastAsia="Calibri" w:hAnsi="Calibri" w:cs="Calibri"/>
                <w:noProof/>
                <w:sz w:val="18"/>
                <w:szCs w:val="18"/>
              </w:rPr>
              <w:t xml:space="preserve"> </w:t>
            </w:r>
          </w:p>
        </w:tc>
      </w:tr>
      <w:tr w:rsidR="42911850" w14:paraId="57F64937"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32BEB74D" w14:textId="65909ADD" w:rsidR="42911850" w:rsidRDefault="42911850">
            <w:pPr>
              <w:rPr>
                <w:noProof/>
              </w:rPr>
            </w:pPr>
            <w:r w:rsidRPr="42911850">
              <w:rPr>
                <w:rFonts w:ascii="Calibri" w:eastAsia="Calibri" w:hAnsi="Calibri" w:cs="Calibri"/>
                <w:b/>
                <w:bCs/>
                <w:noProof/>
                <w:sz w:val="18"/>
                <w:szCs w:val="18"/>
              </w:rPr>
              <w:t>FR</w:t>
            </w:r>
          </w:p>
        </w:tc>
        <w:tc>
          <w:tcPr>
            <w:tcW w:w="1025" w:type="dxa"/>
            <w:tcBorders>
              <w:top w:val="single" w:sz="8" w:space="0" w:color="auto"/>
              <w:left w:val="single" w:sz="8" w:space="0" w:color="auto"/>
              <w:bottom w:val="single" w:sz="8" w:space="0" w:color="auto"/>
              <w:right w:val="single" w:sz="8" w:space="0" w:color="auto"/>
            </w:tcBorders>
          </w:tcPr>
          <w:p w14:paraId="10B29421" w14:textId="756D6D6B"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53F99907" w14:textId="50FDB6DB" w:rsidR="42911850" w:rsidRDefault="42911850" w:rsidP="00AE537F">
            <w:pPr>
              <w:pStyle w:val="ListParagraph"/>
              <w:numPr>
                <w:ilvl w:val="0"/>
                <w:numId w:val="43"/>
              </w:numPr>
              <w:rPr>
                <w:rFonts w:eastAsiaTheme="minorEastAsia"/>
                <w:noProof/>
                <w:sz w:val="16"/>
                <w:szCs w:val="16"/>
                <w:lang w:val="fr-BE"/>
              </w:rPr>
            </w:pPr>
            <w:r w:rsidRPr="42911850">
              <w:rPr>
                <w:noProof/>
                <w:sz w:val="16"/>
                <w:szCs w:val="16"/>
                <w:u w:val="single"/>
                <w:lang w:val="fr-BE"/>
              </w:rPr>
              <w:t xml:space="preserve">Scope ratione materiae </w:t>
            </w:r>
            <w:r w:rsidRPr="42911850">
              <w:rPr>
                <w:noProof/>
                <w:sz w:val="16"/>
                <w:szCs w:val="16"/>
                <w:lang w:val="fr-BE"/>
              </w:rPr>
              <w:t>(</w:t>
            </w:r>
            <w:hyperlink r:id="rId37" w:history="1">
              <w:r w:rsidRPr="42911850">
                <w:rPr>
                  <w:rStyle w:val="Hyperlink"/>
                  <w:noProof/>
                  <w:sz w:val="16"/>
                  <w:szCs w:val="16"/>
                  <w:lang w:val="fr-BE"/>
                </w:rPr>
                <w:t>article 1649 AC of Code général des impôts</w:t>
              </w:r>
            </w:hyperlink>
            <w:r w:rsidRPr="42911850">
              <w:rPr>
                <w:noProof/>
                <w:sz w:val="16"/>
                <w:szCs w:val="16"/>
                <w:lang w:val="fr-BE"/>
              </w:rPr>
              <w:t xml:space="preserve">) </w:t>
            </w:r>
          </w:p>
          <w:p w14:paraId="4B4A7F60" w14:textId="3057D2DA"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Failure to report / Late Reporting / Omitted or Erroneous information</w:t>
            </w:r>
          </w:p>
          <w:p w14:paraId="528EF43D" w14:textId="1B0552B5" w:rsidR="42911850" w:rsidRDefault="42911850" w:rsidP="00AE537F">
            <w:pPr>
              <w:pStyle w:val="ListParagraph"/>
              <w:numPr>
                <w:ilvl w:val="0"/>
                <w:numId w:val="42"/>
              </w:numPr>
              <w:rPr>
                <w:rFonts w:eastAsiaTheme="minorEastAsia"/>
                <w:noProof/>
                <w:sz w:val="16"/>
                <w:szCs w:val="16"/>
              </w:rPr>
            </w:pPr>
            <w:r w:rsidRPr="42911850">
              <w:rPr>
                <w:noProof/>
                <w:sz w:val="16"/>
                <w:szCs w:val="16"/>
              </w:rPr>
              <w:t xml:space="preserve">Failure to report / Late report </w:t>
            </w:r>
          </w:p>
          <w:p w14:paraId="400C82D5" w14:textId="24904CF0" w:rsidR="42911850" w:rsidRDefault="42911850" w:rsidP="00AE537F">
            <w:pPr>
              <w:pStyle w:val="ListParagraph"/>
              <w:numPr>
                <w:ilvl w:val="0"/>
                <w:numId w:val="41"/>
              </w:numPr>
              <w:rPr>
                <w:rFonts w:eastAsiaTheme="minorEastAsia"/>
                <w:noProof/>
                <w:sz w:val="16"/>
                <w:szCs w:val="16"/>
              </w:rPr>
            </w:pPr>
            <w:r w:rsidRPr="42911850">
              <w:rPr>
                <w:noProof/>
                <w:sz w:val="16"/>
                <w:szCs w:val="16"/>
              </w:rPr>
              <w:t xml:space="preserve">Omitted information / Erroneous information </w:t>
            </w:r>
          </w:p>
          <w:p w14:paraId="534B2111" w14:textId="71C26B78"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66E1BA5" w14:textId="71807E08" w:rsidR="42911850" w:rsidRDefault="42911850">
            <w:pPr>
              <w:rPr>
                <w:noProof/>
              </w:rPr>
            </w:pPr>
            <w:r w:rsidRPr="42911850">
              <w:rPr>
                <w:rFonts w:ascii="Calibri" w:eastAsia="Calibri" w:hAnsi="Calibri" w:cs="Calibri"/>
                <w:noProof/>
                <w:sz w:val="16"/>
                <w:szCs w:val="16"/>
              </w:rPr>
              <w:t xml:space="preserve"> </w:t>
            </w:r>
          </w:p>
          <w:p w14:paraId="601260ED" w14:textId="59BC8B95" w:rsidR="42911850" w:rsidRDefault="42911850">
            <w:pPr>
              <w:rPr>
                <w:noProof/>
              </w:rPr>
            </w:pPr>
            <w:r w:rsidRPr="42911850">
              <w:rPr>
                <w:rFonts w:ascii="Calibri" w:eastAsia="Calibri" w:hAnsi="Calibri" w:cs="Calibri"/>
                <w:noProof/>
                <w:sz w:val="16"/>
                <w:szCs w:val="16"/>
              </w:rPr>
              <w:t xml:space="preserve"> </w:t>
            </w:r>
          </w:p>
          <w:p w14:paraId="6D7AF0AD" w14:textId="66CE75E9" w:rsidR="42911850" w:rsidRDefault="42911850" w:rsidP="00AE537F">
            <w:pPr>
              <w:pStyle w:val="ListParagraph"/>
              <w:numPr>
                <w:ilvl w:val="0"/>
                <w:numId w:val="43"/>
              </w:numPr>
              <w:rPr>
                <w:rFonts w:eastAsiaTheme="minorEastAsia"/>
                <w:noProof/>
                <w:sz w:val="16"/>
                <w:szCs w:val="16"/>
              </w:rPr>
            </w:pPr>
            <w:r w:rsidRPr="42911850">
              <w:rPr>
                <w:noProof/>
                <w:sz w:val="16"/>
                <w:szCs w:val="16"/>
                <w:u w:val="single"/>
              </w:rPr>
              <w:t>Personal scope</w:t>
            </w:r>
            <w:r w:rsidRPr="42911850">
              <w:rPr>
                <w:noProof/>
                <w:sz w:val="16"/>
                <w:szCs w:val="16"/>
              </w:rPr>
              <w:t>: Financial institutions</w:t>
            </w:r>
          </w:p>
          <w:p w14:paraId="48C646F4" w14:textId="04FE8CE2"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Penalties are not applicable to financial institutions if they can prove that the infringement results from the client’s refusal to provide the requested information.  Financial institutions should inform the tax administration about such refusal. </w:t>
            </w:r>
          </w:p>
          <w:p w14:paraId="664D7869" w14:textId="43AAF298" w:rsidR="42911850" w:rsidRDefault="42911850" w:rsidP="00AE537F">
            <w:pPr>
              <w:pStyle w:val="ListParagraph"/>
              <w:numPr>
                <w:ilvl w:val="0"/>
                <w:numId w:val="40"/>
              </w:numPr>
              <w:rPr>
                <w:rFonts w:eastAsiaTheme="minorEastAsia"/>
                <w:noProof/>
                <w:sz w:val="16"/>
                <w:szCs w:val="16"/>
              </w:rPr>
            </w:pPr>
            <w:r w:rsidRPr="42911850">
              <w:rPr>
                <w:noProof/>
                <w:sz w:val="16"/>
                <w:szCs w:val="16"/>
                <w:u w:val="single"/>
              </w:rPr>
              <w:t>Individual / Cumulative</w:t>
            </w:r>
            <w:r w:rsidRPr="42911850">
              <w:rPr>
                <w:noProof/>
                <w:sz w:val="16"/>
                <w:szCs w:val="16"/>
              </w:rPr>
              <w:t xml:space="preserve"> </w:t>
            </w:r>
          </w:p>
          <w:p w14:paraId="11784208" w14:textId="5E809E7F"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Sanctions are cumulative and applicable per reportable account </w:t>
            </w:r>
          </w:p>
        </w:tc>
        <w:tc>
          <w:tcPr>
            <w:tcW w:w="1757" w:type="dxa"/>
            <w:tcBorders>
              <w:top w:val="single" w:sz="8" w:space="0" w:color="auto"/>
              <w:left w:val="single" w:sz="8" w:space="0" w:color="auto"/>
              <w:bottom w:val="single" w:sz="8" w:space="0" w:color="auto"/>
              <w:right w:val="single" w:sz="8" w:space="0" w:color="auto"/>
            </w:tcBorders>
          </w:tcPr>
          <w:p w14:paraId="1FE53D3F" w14:textId="0869E977" w:rsidR="42911850" w:rsidRDefault="42911850">
            <w:pPr>
              <w:rPr>
                <w:noProof/>
              </w:rPr>
            </w:pPr>
            <w:r w:rsidRPr="42911850">
              <w:rPr>
                <w:rFonts w:ascii="Calibri" w:eastAsia="Calibri" w:hAnsi="Calibri" w:cs="Calibri"/>
                <w:noProof/>
                <w:sz w:val="18"/>
                <w:szCs w:val="18"/>
              </w:rPr>
              <w:t xml:space="preserve"> </w:t>
            </w:r>
          </w:p>
          <w:p w14:paraId="281C37EF" w14:textId="01B6B745"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0FF4CEFF" w14:textId="09E5D8D4" w:rsidR="42911850" w:rsidRDefault="42911850">
            <w:pPr>
              <w:rPr>
                <w:noProof/>
              </w:rPr>
            </w:pPr>
            <w:r w:rsidRPr="42911850">
              <w:rPr>
                <w:rFonts w:ascii="Calibri" w:eastAsia="Calibri" w:hAnsi="Calibri" w:cs="Calibri"/>
                <w:noProof/>
                <w:sz w:val="18"/>
                <w:szCs w:val="18"/>
              </w:rPr>
              <w:t xml:space="preserve"> </w:t>
            </w:r>
          </w:p>
          <w:p w14:paraId="18ADF22F" w14:textId="5C3138AE" w:rsidR="42911850" w:rsidRDefault="42911850">
            <w:pPr>
              <w:rPr>
                <w:noProof/>
              </w:rPr>
            </w:pPr>
            <w:r w:rsidRPr="42911850">
              <w:rPr>
                <w:rFonts w:ascii="Calibri" w:eastAsia="Calibri" w:hAnsi="Calibri" w:cs="Calibri"/>
                <w:noProof/>
                <w:sz w:val="18"/>
                <w:szCs w:val="18"/>
              </w:rPr>
              <w:t xml:space="preserve"> </w:t>
            </w:r>
          </w:p>
          <w:p w14:paraId="2EDC4720" w14:textId="6E82F77C" w:rsidR="42911850" w:rsidRDefault="42911850" w:rsidP="00AE537F">
            <w:pPr>
              <w:pStyle w:val="ListParagraph"/>
              <w:numPr>
                <w:ilvl w:val="0"/>
                <w:numId w:val="39"/>
              </w:numPr>
              <w:rPr>
                <w:rFonts w:eastAsiaTheme="minorEastAsia"/>
                <w:noProof/>
                <w:sz w:val="18"/>
                <w:szCs w:val="18"/>
              </w:rPr>
            </w:pPr>
            <w:r w:rsidRPr="42911850">
              <w:rPr>
                <w:noProof/>
                <w:sz w:val="18"/>
                <w:szCs w:val="18"/>
              </w:rPr>
              <w:t xml:space="preserve">EUR 150 </w:t>
            </w:r>
          </w:p>
          <w:p w14:paraId="2DDC3A08" w14:textId="23DA9B8F" w:rsidR="42911850" w:rsidRDefault="42911850" w:rsidP="00AE537F">
            <w:pPr>
              <w:pStyle w:val="ListParagraph"/>
              <w:numPr>
                <w:ilvl w:val="0"/>
                <w:numId w:val="39"/>
              </w:numPr>
              <w:rPr>
                <w:rFonts w:eastAsiaTheme="minorEastAsia"/>
                <w:noProof/>
                <w:sz w:val="18"/>
                <w:szCs w:val="18"/>
              </w:rPr>
            </w:pPr>
            <w:r w:rsidRPr="42911850">
              <w:rPr>
                <w:noProof/>
                <w:sz w:val="18"/>
                <w:szCs w:val="18"/>
              </w:rPr>
              <w:t>EUR 200</w:t>
            </w:r>
          </w:p>
          <w:p w14:paraId="40C21E71" w14:textId="0E207BA6"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6DC3A116" w14:textId="26E91BD4" w:rsidR="42911850" w:rsidRDefault="42911850">
            <w:pPr>
              <w:rPr>
                <w:noProof/>
              </w:rPr>
            </w:pPr>
            <w:r w:rsidRPr="42911850">
              <w:rPr>
                <w:rFonts w:ascii="Calibri" w:eastAsia="Calibri" w:hAnsi="Calibri" w:cs="Calibri"/>
                <w:noProof/>
                <w:sz w:val="18"/>
                <w:szCs w:val="18"/>
              </w:rPr>
              <w:t xml:space="preserve"> </w:t>
            </w:r>
          </w:p>
          <w:p w14:paraId="3ADB5AE9" w14:textId="29E19CC1" w:rsidR="42911850" w:rsidRDefault="42911850">
            <w:pPr>
              <w:rPr>
                <w:noProof/>
              </w:rPr>
            </w:pPr>
            <w:r w:rsidRPr="42911850">
              <w:rPr>
                <w:rFonts w:ascii="Calibri" w:eastAsia="Calibri" w:hAnsi="Calibri" w:cs="Calibri"/>
                <w:noProof/>
                <w:sz w:val="18"/>
                <w:szCs w:val="18"/>
              </w:rPr>
              <w:t xml:space="preserve"> </w:t>
            </w:r>
          </w:p>
          <w:p w14:paraId="69ED3AD6" w14:textId="3AD9C3E2" w:rsidR="42911850" w:rsidRDefault="42911850">
            <w:pPr>
              <w:rPr>
                <w:noProof/>
              </w:rPr>
            </w:pPr>
            <w:r w:rsidRPr="42911850">
              <w:rPr>
                <w:rFonts w:ascii="Calibri" w:eastAsia="Calibri" w:hAnsi="Calibri" w:cs="Calibri"/>
                <w:noProof/>
                <w:sz w:val="16"/>
                <w:szCs w:val="16"/>
              </w:rPr>
              <w:t xml:space="preserve"> </w:t>
            </w:r>
          </w:p>
          <w:p w14:paraId="470BE49C" w14:textId="6E9E9E6F" w:rsidR="42911850" w:rsidRDefault="42911850">
            <w:pPr>
              <w:rPr>
                <w:noProof/>
              </w:rPr>
            </w:pPr>
            <w:r w:rsidRPr="42911850">
              <w:rPr>
                <w:rFonts w:ascii="Calibri" w:eastAsia="Calibri" w:hAnsi="Calibri" w:cs="Calibri"/>
                <w:noProof/>
                <w:sz w:val="16"/>
                <w:szCs w:val="16"/>
              </w:rPr>
              <w:t xml:space="preserve"> </w:t>
            </w:r>
          </w:p>
          <w:p w14:paraId="75B6EA5E" w14:textId="47E42EB8" w:rsidR="42911850" w:rsidRDefault="42911850">
            <w:pPr>
              <w:rPr>
                <w:noProof/>
              </w:rPr>
            </w:pPr>
            <w:r w:rsidRPr="42911850">
              <w:rPr>
                <w:rFonts w:ascii="Calibri" w:eastAsia="Calibri" w:hAnsi="Calibri" w:cs="Calibri"/>
                <w:noProof/>
                <w:sz w:val="18"/>
                <w:szCs w:val="18"/>
              </w:rPr>
              <w:t xml:space="preserve"> </w:t>
            </w:r>
          </w:p>
        </w:tc>
      </w:tr>
      <w:tr w:rsidR="42911850" w14:paraId="730EF02A" w14:textId="77777777" w:rsidTr="42911850">
        <w:trPr>
          <w:trHeight w:val="45"/>
        </w:trPr>
        <w:tc>
          <w:tcPr>
            <w:tcW w:w="638" w:type="dxa"/>
            <w:vMerge/>
            <w:tcBorders>
              <w:left w:val="single" w:sz="0" w:space="0" w:color="auto"/>
              <w:right w:val="single" w:sz="0" w:space="0" w:color="auto"/>
            </w:tcBorders>
            <w:vAlign w:val="center"/>
          </w:tcPr>
          <w:p w14:paraId="5F6664E0"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0860BDB" w14:textId="40FE5291"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2CE5D7DF" w14:textId="48E26C57" w:rsidR="42911850" w:rsidRDefault="42911850" w:rsidP="00AE537F">
            <w:pPr>
              <w:pStyle w:val="ListParagraph"/>
              <w:numPr>
                <w:ilvl w:val="0"/>
                <w:numId w:val="38"/>
              </w:numPr>
              <w:spacing w:line="276" w:lineRule="auto"/>
              <w:rPr>
                <w:rFonts w:eastAsiaTheme="minorEastAsia"/>
                <w:noProof/>
                <w:sz w:val="16"/>
                <w:szCs w:val="16"/>
                <w:u w:val="single"/>
              </w:rPr>
            </w:pPr>
            <w:r w:rsidRPr="42911850">
              <w:rPr>
                <w:noProof/>
                <w:sz w:val="16"/>
                <w:szCs w:val="16"/>
                <w:u w:val="single"/>
              </w:rPr>
              <w:t>Scope ratione materiae</w:t>
            </w:r>
          </w:p>
          <w:p w14:paraId="33C0690B" w14:textId="6C9BFCFC" w:rsidR="42911850" w:rsidRDefault="42911850" w:rsidP="00AE537F">
            <w:pPr>
              <w:pStyle w:val="ListParagraph"/>
              <w:numPr>
                <w:ilvl w:val="0"/>
                <w:numId w:val="37"/>
              </w:numPr>
              <w:spacing w:line="276" w:lineRule="auto"/>
              <w:rPr>
                <w:rFonts w:eastAsiaTheme="minorEastAsia"/>
                <w:noProof/>
                <w:sz w:val="16"/>
                <w:szCs w:val="16"/>
              </w:rPr>
            </w:pPr>
            <w:r w:rsidRPr="42911850">
              <w:rPr>
                <w:noProof/>
                <w:sz w:val="16"/>
                <w:szCs w:val="16"/>
              </w:rPr>
              <w:t>Not filing CbC report (no reporting)</w:t>
            </w:r>
          </w:p>
          <w:p w14:paraId="46CC2069" w14:textId="563E84BC" w:rsidR="42911850" w:rsidRDefault="42911850" w:rsidP="00AE537F">
            <w:pPr>
              <w:pStyle w:val="ListParagraph"/>
              <w:numPr>
                <w:ilvl w:val="0"/>
                <w:numId w:val="37"/>
              </w:numPr>
              <w:spacing w:line="276" w:lineRule="auto"/>
              <w:rPr>
                <w:rFonts w:eastAsiaTheme="minorEastAsia"/>
                <w:noProof/>
                <w:sz w:val="16"/>
                <w:szCs w:val="16"/>
              </w:rPr>
            </w:pPr>
            <w:r w:rsidRPr="42911850">
              <w:rPr>
                <w:noProof/>
                <w:sz w:val="16"/>
                <w:szCs w:val="16"/>
              </w:rPr>
              <w:t>Wrong or late reporting</w:t>
            </w:r>
          </w:p>
          <w:p w14:paraId="1012164A" w14:textId="0BD5E08B"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12509748" w14:textId="7DB48AB3" w:rsidR="42911850" w:rsidRDefault="42911850" w:rsidP="00AE537F">
            <w:pPr>
              <w:pStyle w:val="ListParagraph"/>
              <w:numPr>
                <w:ilvl w:val="0"/>
                <w:numId w:val="36"/>
              </w:numPr>
              <w:rPr>
                <w:rFonts w:eastAsiaTheme="minorEastAsia"/>
                <w:noProof/>
                <w:sz w:val="16"/>
                <w:szCs w:val="16"/>
              </w:rPr>
            </w:pPr>
            <w:r w:rsidRPr="42911850">
              <w:rPr>
                <w:noProof/>
                <w:sz w:val="16"/>
                <w:szCs w:val="16"/>
                <w:u w:val="single"/>
              </w:rPr>
              <w:t>Personal scope</w:t>
            </w:r>
            <w:r w:rsidRPr="42911850">
              <w:rPr>
                <w:noProof/>
                <w:sz w:val="16"/>
                <w:szCs w:val="16"/>
              </w:rPr>
              <w:t xml:space="preserve">: </w:t>
            </w:r>
          </w:p>
          <w:p w14:paraId="5BEA7EF3" w14:textId="55FAD4E3"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By any reporting entity falling into the scope</w:t>
            </w:r>
          </w:p>
          <w:p w14:paraId="46DC0459" w14:textId="4F0E16D1" w:rsidR="42911850" w:rsidRDefault="42911850" w:rsidP="00AE537F">
            <w:pPr>
              <w:pStyle w:val="ListParagraph"/>
              <w:numPr>
                <w:ilvl w:val="0"/>
                <w:numId w:val="36"/>
              </w:numPr>
              <w:rPr>
                <w:rFonts w:eastAsiaTheme="minorEastAsia"/>
                <w:noProof/>
                <w:sz w:val="16"/>
                <w:szCs w:val="16"/>
              </w:rPr>
            </w:pPr>
            <w:r w:rsidRPr="42911850">
              <w:rPr>
                <w:noProof/>
                <w:sz w:val="16"/>
                <w:szCs w:val="16"/>
                <w:u w:val="single"/>
              </w:rPr>
              <w:t>Individual / Cumulative</w:t>
            </w:r>
            <w:r w:rsidRPr="42911850">
              <w:rPr>
                <w:noProof/>
                <w:sz w:val="16"/>
                <w:szCs w:val="16"/>
              </w:rPr>
              <w:t xml:space="preserve">:  </w:t>
            </w:r>
          </w:p>
          <w:p w14:paraId="5B2C1FDC" w14:textId="2FBF32F7"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National legislation only mentions that penalties are applicable per each declaration/per each fiscal year. </w:t>
            </w:r>
          </w:p>
        </w:tc>
        <w:tc>
          <w:tcPr>
            <w:tcW w:w="1757" w:type="dxa"/>
            <w:tcBorders>
              <w:top w:val="single" w:sz="8" w:space="0" w:color="auto"/>
              <w:left w:val="single" w:sz="8" w:space="0" w:color="auto"/>
              <w:bottom w:val="single" w:sz="8" w:space="0" w:color="auto"/>
              <w:right w:val="single" w:sz="8" w:space="0" w:color="auto"/>
            </w:tcBorders>
          </w:tcPr>
          <w:p w14:paraId="0A7A3764" w14:textId="0A0BE147" w:rsidR="42911850" w:rsidRDefault="42911850">
            <w:pPr>
              <w:rPr>
                <w:noProof/>
              </w:rPr>
            </w:pPr>
            <w:r w:rsidRPr="42911850">
              <w:rPr>
                <w:rFonts w:ascii="Calibri" w:eastAsia="Calibri" w:hAnsi="Calibri" w:cs="Calibri"/>
                <w:noProof/>
                <w:sz w:val="18"/>
                <w:szCs w:val="18"/>
              </w:rPr>
              <w:t>No minimum amount</w:t>
            </w:r>
          </w:p>
        </w:tc>
        <w:tc>
          <w:tcPr>
            <w:tcW w:w="2175" w:type="dxa"/>
            <w:tcBorders>
              <w:top w:val="single" w:sz="8" w:space="0" w:color="auto"/>
              <w:left w:val="single" w:sz="8" w:space="0" w:color="auto"/>
              <w:bottom w:val="single" w:sz="8" w:space="0" w:color="auto"/>
              <w:right w:val="single" w:sz="8" w:space="0" w:color="auto"/>
            </w:tcBorders>
          </w:tcPr>
          <w:p w14:paraId="35059BDE" w14:textId="59353811"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2B9CA8A" w14:textId="7B4A3EFA" w:rsidR="42911850" w:rsidRDefault="42911850" w:rsidP="00AE537F">
            <w:pPr>
              <w:pStyle w:val="ListParagraph"/>
              <w:numPr>
                <w:ilvl w:val="0"/>
                <w:numId w:val="35"/>
              </w:numPr>
              <w:spacing w:line="276" w:lineRule="auto"/>
              <w:rPr>
                <w:rFonts w:eastAsiaTheme="minorEastAsia"/>
                <w:noProof/>
                <w:sz w:val="16"/>
                <w:szCs w:val="16"/>
              </w:rPr>
            </w:pPr>
            <w:r w:rsidRPr="42911850">
              <w:rPr>
                <w:noProof/>
                <w:sz w:val="16"/>
                <w:szCs w:val="16"/>
              </w:rPr>
              <w:t>penalty Up to EUR 100,000</w:t>
            </w:r>
          </w:p>
          <w:p w14:paraId="01CCE349" w14:textId="00D1E663" w:rsidR="42911850" w:rsidRDefault="42911850" w:rsidP="00AE537F">
            <w:pPr>
              <w:pStyle w:val="ListParagraph"/>
              <w:numPr>
                <w:ilvl w:val="0"/>
                <w:numId w:val="35"/>
              </w:numPr>
              <w:spacing w:line="276" w:lineRule="auto"/>
              <w:rPr>
                <w:rFonts w:eastAsiaTheme="minorEastAsia"/>
                <w:noProof/>
                <w:sz w:val="16"/>
                <w:szCs w:val="16"/>
              </w:rPr>
            </w:pPr>
            <w:r w:rsidRPr="42911850">
              <w:rPr>
                <w:noProof/>
                <w:sz w:val="16"/>
                <w:szCs w:val="16"/>
              </w:rPr>
              <w:t>no penalty</w:t>
            </w:r>
          </w:p>
          <w:p w14:paraId="3B7CE05E" w14:textId="21F3FB1B"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tc>
      </w:tr>
      <w:tr w:rsidR="42911850" w14:paraId="2C98C511"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402EEF97"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47DA2A29" w14:textId="07112AC7"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059D4ED2" w14:textId="313DBA7A" w:rsidR="42911850" w:rsidRDefault="42911850" w:rsidP="00AE537F">
            <w:pPr>
              <w:pStyle w:val="ListParagraph"/>
              <w:numPr>
                <w:ilvl w:val="0"/>
                <w:numId w:val="34"/>
              </w:numPr>
              <w:rPr>
                <w:rFonts w:eastAsiaTheme="minorEastAsia"/>
                <w:noProof/>
                <w:sz w:val="16"/>
                <w:szCs w:val="16"/>
              </w:rPr>
            </w:pPr>
            <w:r w:rsidRPr="42911850">
              <w:rPr>
                <w:noProof/>
                <w:sz w:val="16"/>
                <w:szCs w:val="16"/>
              </w:rPr>
              <w:t>Scope ratione materiae</w:t>
            </w:r>
          </w:p>
          <w:p w14:paraId="2ABAF18A" w14:textId="6E1A079E"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All infractions (absence of reporting, late reporting, wrong reporting)</w:t>
            </w:r>
          </w:p>
          <w:p w14:paraId="11180049" w14:textId="1EDC2674" w:rsidR="42911850" w:rsidRDefault="42911850" w:rsidP="00AE537F">
            <w:pPr>
              <w:pStyle w:val="ListParagraph"/>
              <w:numPr>
                <w:ilvl w:val="0"/>
                <w:numId w:val="33"/>
              </w:numPr>
              <w:rPr>
                <w:rFonts w:eastAsiaTheme="minorEastAsia"/>
                <w:noProof/>
                <w:sz w:val="16"/>
                <w:szCs w:val="16"/>
              </w:rPr>
            </w:pPr>
            <w:r w:rsidRPr="42911850">
              <w:rPr>
                <w:noProof/>
                <w:sz w:val="16"/>
                <w:szCs w:val="16"/>
              </w:rPr>
              <w:t xml:space="preserve"> Personal scope</w:t>
            </w:r>
          </w:p>
          <w:p w14:paraId="7DBD543B" w14:textId="1BAC591F"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By any intermediary (natural/legal)</w:t>
            </w:r>
          </w:p>
          <w:p w14:paraId="3F807C2D" w14:textId="3982FB69" w:rsidR="42911850" w:rsidRDefault="42911850" w:rsidP="00AE537F">
            <w:pPr>
              <w:pStyle w:val="ListParagraph"/>
              <w:numPr>
                <w:ilvl w:val="0"/>
                <w:numId w:val="32"/>
              </w:numPr>
              <w:rPr>
                <w:rFonts w:eastAsiaTheme="minorEastAsia"/>
                <w:noProof/>
                <w:sz w:val="16"/>
                <w:szCs w:val="16"/>
              </w:rPr>
            </w:pPr>
            <w:r w:rsidRPr="42911850">
              <w:rPr>
                <w:noProof/>
                <w:sz w:val="16"/>
                <w:szCs w:val="16"/>
              </w:rPr>
              <w:t>Individual / Cumulative</w:t>
            </w:r>
          </w:p>
          <w:p w14:paraId="2F026E15" w14:textId="14588E91"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For the same intermediary /taxpayer, penalties are cumulatively applicable within the limit of </w:t>
            </w:r>
            <w:r w:rsidRPr="42911850">
              <w:rPr>
                <w:rFonts w:ascii="Calibri" w:eastAsia="Calibri" w:hAnsi="Calibri" w:cs="Calibri"/>
                <w:noProof/>
                <w:color w:val="000000" w:themeColor="text1"/>
                <w:sz w:val="16"/>
                <w:szCs w:val="16"/>
              </w:rPr>
              <w:t>EUR 100,000</w:t>
            </w:r>
            <w:r w:rsidRPr="42911850">
              <w:rPr>
                <w:rFonts w:ascii="Calibri" w:eastAsia="Calibri" w:hAnsi="Calibri" w:cs="Calibri"/>
                <w:noProof/>
                <w:sz w:val="16"/>
                <w:szCs w:val="16"/>
              </w:rPr>
              <w:t xml:space="preserve"> per calendar year.</w:t>
            </w:r>
          </w:p>
        </w:tc>
        <w:tc>
          <w:tcPr>
            <w:tcW w:w="1757" w:type="dxa"/>
            <w:tcBorders>
              <w:top w:val="single" w:sz="8" w:space="0" w:color="auto"/>
              <w:left w:val="single" w:sz="8" w:space="0" w:color="auto"/>
              <w:bottom w:val="single" w:sz="8" w:space="0" w:color="auto"/>
              <w:right w:val="single" w:sz="8" w:space="0" w:color="auto"/>
            </w:tcBorders>
          </w:tcPr>
          <w:p w14:paraId="3E83B515" w14:textId="437F7E74" w:rsidR="42911850" w:rsidRDefault="42911850">
            <w:pPr>
              <w:rPr>
                <w:noProof/>
              </w:rPr>
            </w:pPr>
            <w:r w:rsidRPr="42911850">
              <w:rPr>
                <w:rFonts w:ascii="Calibri" w:eastAsia="Calibri" w:hAnsi="Calibri" w:cs="Calibri"/>
                <w:noProof/>
                <w:sz w:val="18"/>
                <w:szCs w:val="18"/>
              </w:rPr>
              <w:t>No minimum amount</w:t>
            </w:r>
          </w:p>
        </w:tc>
        <w:tc>
          <w:tcPr>
            <w:tcW w:w="2175" w:type="dxa"/>
            <w:tcBorders>
              <w:top w:val="single" w:sz="8" w:space="0" w:color="auto"/>
              <w:left w:val="single" w:sz="8" w:space="0" w:color="auto"/>
              <w:bottom w:val="single" w:sz="8" w:space="0" w:color="auto"/>
              <w:right w:val="single" w:sz="8" w:space="0" w:color="auto"/>
            </w:tcBorders>
          </w:tcPr>
          <w:p w14:paraId="21B64410" w14:textId="5DE8E023" w:rsidR="42911850" w:rsidRDefault="42911850">
            <w:pPr>
              <w:rPr>
                <w:noProof/>
              </w:rPr>
            </w:pPr>
            <w:r w:rsidRPr="42911850">
              <w:rPr>
                <w:rFonts w:ascii="Calibri" w:eastAsia="Calibri" w:hAnsi="Calibri" w:cs="Calibri"/>
                <w:noProof/>
                <w:sz w:val="16"/>
                <w:szCs w:val="16"/>
              </w:rPr>
              <w:t>Up to EUR 10,000 by infraction.</w:t>
            </w:r>
          </w:p>
          <w:p w14:paraId="6A0CE591" w14:textId="3D49940C" w:rsidR="42911850" w:rsidRDefault="42911850">
            <w:pPr>
              <w:rPr>
                <w:noProof/>
              </w:rPr>
            </w:pPr>
            <w:r w:rsidRPr="42911850">
              <w:rPr>
                <w:rFonts w:ascii="Calibri" w:eastAsia="Calibri" w:hAnsi="Calibri" w:cs="Calibri"/>
                <w:noProof/>
                <w:sz w:val="16"/>
                <w:szCs w:val="16"/>
              </w:rPr>
              <w:t>The amount of the fine cannot exceed EUR 5,000 for the first offense in the current calendar year and in the three preceding years.</w:t>
            </w:r>
          </w:p>
          <w:p w14:paraId="3EE1481E" w14:textId="4D5EE96D" w:rsidR="42911850" w:rsidRDefault="42911850">
            <w:pPr>
              <w:rPr>
                <w:noProof/>
              </w:rPr>
            </w:pPr>
            <w:r w:rsidRPr="42911850">
              <w:rPr>
                <w:rFonts w:ascii="Calibri" w:eastAsia="Calibri" w:hAnsi="Calibri" w:cs="Calibri"/>
                <w:noProof/>
                <w:sz w:val="16"/>
                <w:szCs w:val="16"/>
              </w:rPr>
              <w:t xml:space="preserve"> </w:t>
            </w:r>
          </w:p>
        </w:tc>
      </w:tr>
      <w:tr w:rsidR="42911850" w14:paraId="530A6C19" w14:textId="77777777" w:rsidTr="42911850">
        <w:trPr>
          <w:trHeight w:val="540"/>
        </w:trPr>
        <w:tc>
          <w:tcPr>
            <w:tcW w:w="638" w:type="dxa"/>
            <w:vMerge w:val="restart"/>
            <w:tcBorders>
              <w:top w:val="nil"/>
              <w:left w:val="single" w:sz="8" w:space="0" w:color="auto"/>
              <w:bottom w:val="single" w:sz="8" w:space="0" w:color="auto"/>
              <w:right w:val="single" w:sz="8" w:space="0" w:color="auto"/>
            </w:tcBorders>
          </w:tcPr>
          <w:p w14:paraId="191418A3" w14:textId="6C7AAB78" w:rsidR="42911850" w:rsidRDefault="42911850">
            <w:pPr>
              <w:rPr>
                <w:noProof/>
              </w:rPr>
            </w:pPr>
            <w:r w:rsidRPr="42911850">
              <w:rPr>
                <w:rFonts w:ascii="Calibri" w:eastAsia="Calibri" w:hAnsi="Calibri" w:cs="Calibri"/>
                <w:b/>
                <w:bCs/>
                <w:noProof/>
                <w:sz w:val="18"/>
                <w:szCs w:val="18"/>
              </w:rPr>
              <w:t>HR</w:t>
            </w:r>
          </w:p>
        </w:tc>
        <w:tc>
          <w:tcPr>
            <w:tcW w:w="1025" w:type="dxa"/>
            <w:tcBorders>
              <w:top w:val="single" w:sz="8" w:space="0" w:color="auto"/>
              <w:left w:val="single" w:sz="8" w:space="0" w:color="auto"/>
              <w:bottom w:val="single" w:sz="8" w:space="0" w:color="auto"/>
              <w:right w:val="single" w:sz="8" w:space="0" w:color="auto"/>
            </w:tcBorders>
          </w:tcPr>
          <w:p w14:paraId="4E498E11" w14:textId="3D5C9AB1"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74757E7B" w14:textId="44B61639" w:rsidR="42911850" w:rsidRDefault="42911850" w:rsidP="00AE537F">
            <w:pPr>
              <w:pStyle w:val="ListParagraph"/>
              <w:numPr>
                <w:ilvl w:val="0"/>
                <w:numId w:val="31"/>
              </w:numPr>
              <w:rPr>
                <w:rFonts w:eastAsiaTheme="minorEastAsia"/>
                <w:noProof/>
                <w:sz w:val="16"/>
                <w:szCs w:val="16"/>
              </w:rPr>
            </w:pPr>
            <w:r w:rsidRPr="42911850">
              <w:rPr>
                <w:noProof/>
                <w:sz w:val="16"/>
                <w:szCs w:val="16"/>
              </w:rPr>
              <w:t xml:space="preserve">Rationae personae: a </w:t>
            </w:r>
            <w:r w:rsidRPr="42911850">
              <w:rPr>
                <w:noProof/>
                <w:sz w:val="16"/>
                <w:szCs w:val="16"/>
                <w:u w:val="single"/>
              </w:rPr>
              <w:t>legal person</w:t>
            </w:r>
            <w:r w:rsidRPr="42911850">
              <w:rPr>
                <w:noProof/>
                <w:sz w:val="16"/>
                <w:szCs w:val="16"/>
              </w:rPr>
              <w:t xml:space="preserve"> </w:t>
            </w:r>
          </w:p>
          <w:p w14:paraId="1BD6D2EB" w14:textId="3BBFFC5F"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Rationae materiae: Penalties are applied to a legal person if it fails to comply with the obligations as transposed into Croatian law from DAC2 (does not collect the info that is subject to the reporting requirements, does not provide for in depth analysis, does not provide info to the competent authority with regard to reportable accounts, does not provide info in a timely manner,...).</w:t>
            </w:r>
          </w:p>
          <w:p w14:paraId="66AD50E1" w14:textId="11778F89" w:rsidR="42911850" w:rsidRDefault="42911850" w:rsidP="00AE537F">
            <w:pPr>
              <w:pStyle w:val="ListParagraph"/>
              <w:numPr>
                <w:ilvl w:val="0"/>
                <w:numId w:val="30"/>
              </w:numPr>
              <w:rPr>
                <w:rFonts w:eastAsiaTheme="minorEastAsia"/>
                <w:noProof/>
                <w:sz w:val="16"/>
                <w:szCs w:val="16"/>
                <w:u w:val="single"/>
              </w:rPr>
            </w:pPr>
            <w:r w:rsidRPr="42911850">
              <w:rPr>
                <w:noProof/>
                <w:sz w:val="16"/>
                <w:szCs w:val="16"/>
              </w:rPr>
              <w:t xml:space="preserve">Rationae personae: penalty is provided also for </w:t>
            </w:r>
            <w:r w:rsidRPr="42911850">
              <w:rPr>
                <w:noProof/>
                <w:sz w:val="16"/>
                <w:szCs w:val="16"/>
                <w:u w:val="single"/>
              </w:rPr>
              <w:t xml:space="preserve">the responsible person  (individual) in the financial institution, </w:t>
            </w:r>
            <w:r w:rsidRPr="42911850">
              <w:rPr>
                <w:noProof/>
                <w:sz w:val="16"/>
                <w:szCs w:val="16"/>
              </w:rPr>
              <w:t>which is in breach of the above</w:t>
            </w:r>
            <w:r w:rsidRPr="42911850">
              <w:rPr>
                <w:noProof/>
                <w:sz w:val="16"/>
                <w:szCs w:val="16"/>
                <w:u w:val="single"/>
              </w:rPr>
              <w:t xml:space="preserve"> </w:t>
            </w:r>
          </w:p>
          <w:p w14:paraId="704E337D" w14:textId="691F40C6"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Nothing is stated in the Croation legislation as to the application of penalties per individual infringement or cumulative for a number of infringements. When reading the legislation I would tend to think it is a cumulative penalty (and then depending on the severity, number of inf. adjusted accordingly).</w:t>
            </w:r>
          </w:p>
        </w:tc>
        <w:tc>
          <w:tcPr>
            <w:tcW w:w="1757" w:type="dxa"/>
            <w:tcBorders>
              <w:top w:val="single" w:sz="8" w:space="0" w:color="auto"/>
              <w:left w:val="single" w:sz="8" w:space="0" w:color="auto"/>
              <w:bottom w:val="single" w:sz="8" w:space="0" w:color="auto"/>
              <w:right w:val="single" w:sz="8" w:space="0" w:color="auto"/>
            </w:tcBorders>
          </w:tcPr>
          <w:p w14:paraId="011429E9" w14:textId="0AE0AAD7" w:rsidR="42911850" w:rsidRDefault="42911850">
            <w:pPr>
              <w:rPr>
                <w:noProof/>
              </w:rPr>
            </w:pPr>
            <w:r w:rsidRPr="42911850">
              <w:rPr>
                <w:rFonts w:ascii="Calibri" w:eastAsia="Calibri" w:hAnsi="Calibri" w:cs="Calibri"/>
                <w:noProof/>
                <w:sz w:val="18"/>
                <w:szCs w:val="18"/>
              </w:rPr>
              <w:t xml:space="preserve"> From HRK 2000 (EUR 266)</w:t>
            </w:r>
          </w:p>
          <w:p w14:paraId="5EBCC495" w14:textId="664C17D7" w:rsidR="42911850" w:rsidRDefault="42911850">
            <w:pPr>
              <w:rPr>
                <w:noProof/>
              </w:rPr>
            </w:pPr>
            <w:r w:rsidRPr="42911850">
              <w:rPr>
                <w:rFonts w:ascii="Calibri" w:eastAsia="Calibri" w:hAnsi="Calibri" w:cs="Calibri"/>
                <w:noProof/>
                <w:sz w:val="18"/>
                <w:szCs w:val="18"/>
              </w:rPr>
              <w:t xml:space="preserve"> </w:t>
            </w:r>
          </w:p>
          <w:p w14:paraId="4F50D68A" w14:textId="55640635" w:rsidR="42911850" w:rsidRDefault="42911850">
            <w:pPr>
              <w:rPr>
                <w:noProof/>
              </w:rPr>
            </w:pPr>
            <w:r w:rsidRPr="42911850">
              <w:rPr>
                <w:rFonts w:ascii="Calibri" w:eastAsia="Calibri" w:hAnsi="Calibri" w:cs="Calibri"/>
                <w:noProof/>
                <w:sz w:val="18"/>
                <w:szCs w:val="18"/>
              </w:rPr>
              <w:t xml:space="preserve"> </w:t>
            </w:r>
          </w:p>
          <w:p w14:paraId="493CFCE7" w14:textId="5730CFD8" w:rsidR="42911850" w:rsidRDefault="42911850">
            <w:pPr>
              <w:rPr>
                <w:noProof/>
              </w:rPr>
            </w:pPr>
            <w:r w:rsidRPr="42911850">
              <w:rPr>
                <w:rFonts w:ascii="Calibri" w:eastAsia="Calibri" w:hAnsi="Calibri" w:cs="Calibri"/>
                <w:noProof/>
                <w:sz w:val="18"/>
                <w:szCs w:val="18"/>
              </w:rPr>
              <w:t xml:space="preserve"> </w:t>
            </w:r>
          </w:p>
          <w:p w14:paraId="2AE44F92" w14:textId="61320807" w:rsidR="42911850" w:rsidRDefault="42911850">
            <w:pPr>
              <w:rPr>
                <w:noProof/>
              </w:rPr>
            </w:pPr>
            <w:r w:rsidRPr="42911850">
              <w:rPr>
                <w:rFonts w:ascii="Calibri" w:eastAsia="Calibri" w:hAnsi="Calibri" w:cs="Calibri"/>
                <w:noProof/>
                <w:sz w:val="18"/>
                <w:szCs w:val="18"/>
              </w:rPr>
              <w:t>HRK 2000 (EUR 266)</w:t>
            </w:r>
          </w:p>
        </w:tc>
        <w:tc>
          <w:tcPr>
            <w:tcW w:w="2175" w:type="dxa"/>
            <w:tcBorders>
              <w:top w:val="single" w:sz="8" w:space="0" w:color="auto"/>
              <w:left w:val="single" w:sz="8" w:space="0" w:color="auto"/>
              <w:bottom w:val="single" w:sz="8" w:space="0" w:color="auto"/>
              <w:right w:val="single" w:sz="8" w:space="0" w:color="auto"/>
            </w:tcBorders>
          </w:tcPr>
          <w:p w14:paraId="2E4F8184" w14:textId="5868834D" w:rsidR="42911850" w:rsidRDefault="42911850">
            <w:pPr>
              <w:rPr>
                <w:noProof/>
              </w:rPr>
            </w:pPr>
            <w:r w:rsidRPr="42911850">
              <w:rPr>
                <w:rFonts w:ascii="Calibri" w:eastAsia="Calibri" w:hAnsi="Calibri" w:cs="Calibri"/>
                <w:noProof/>
                <w:sz w:val="18"/>
                <w:szCs w:val="18"/>
              </w:rPr>
              <w:t>TO HRK 200.000 (EUR26.638)</w:t>
            </w:r>
          </w:p>
          <w:p w14:paraId="01706284" w14:textId="6FE8D542" w:rsidR="42911850" w:rsidRDefault="42911850">
            <w:pPr>
              <w:rPr>
                <w:noProof/>
              </w:rPr>
            </w:pPr>
            <w:r w:rsidRPr="42911850">
              <w:rPr>
                <w:rFonts w:ascii="Calibri" w:eastAsia="Calibri" w:hAnsi="Calibri" w:cs="Calibri"/>
                <w:noProof/>
                <w:sz w:val="18"/>
                <w:szCs w:val="18"/>
              </w:rPr>
              <w:t xml:space="preserve"> </w:t>
            </w:r>
          </w:p>
          <w:p w14:paraId="7D26745B" w14:textId="10018D13" w:rsidR="42911850" w:rsidRDefault="42911850">
            <w:pPr>
              <w:rPr>
                <w:noProof/>
              </w:rPr>
            </w:pPr>
            <w:r w:rsidRPr="42911850">
              <w:rPr>
                <w:rFonts w:ascii="Calibri" w:eastAsia="Calibri" w:hAnsi="Calibri" w:cs="Calibri"/>
                <w:noProof/>
                <w:sz w:val="18"/>
                <w:szCs w:val="18"/>
              </w:rPr>
              <w:t xml:space="preserve"> </w:t>
            </w:r>
          </w:p>
          <w:p w14:paraId="1B84A395" w14:textId="32037848" w:rsidR="42911850" w:rsidRDefault="42911850">
            <w:pPr>
              <w:rPr>
                <w:noProof/>
              </w:rPr>
            </w:pPr>
            <w:r w:rsidRPr="42911850">
              <w:rPr>
                <w:rFonts w:ascii="Calibri" w:eastAsia="Calibri" w:hAnsi="Calibri" w:cs="Calibri"/>
                <w:noProof/>
                <w:sz w:val="18"/>
                <w:szCs w:val="18"/>
              </w:rPr>
              <w:t xml:space="preserve"> </w:t>
            </w:r>
          </w:p>
          <w:p w14:paraId="27F04FE5" w14:textId="012B1834" w:rsidR="42911850" w:rsidRDefault="42911850">
            <w:pPr>
              <w:rPr>
                <w:noProof/>
              </w:rPr>
            </w:pPr>
            <w:r w:rsidRPr="42911850">
              <w:rPr>
                <w:rFonts w:ascii="Calibri" w:eastAsia="Calibri" w:hAnsi="Calibri" w:cs="Calibri"/>
                <w:noProof/>
                <w:sz w:val="18"/>
                <w:szCs w:val="18"/>
              </w:rPr>
              <w:t>To HRK 20.000</w:t>
            </w:r>
          </w:p>
        </w:tc>
      </w:tr>
      <w:tr w:rsidR="42911850" w14:paraId="1D4836C6" w14:textId="77777777" w:rsidTr="42911850">
        <w:trPr>
          <w:trHeight w:val="45"/>
        </w:trPr>
        <w:tc>
          <w:tcPr>
            <w:tcW w:w="638" w:type="dxa"/>
            <w:vMerge/>
            <w:tcBorders>
              <w:left w:val="single" w:sz="0" w:space="0" w:color="auto"/>
              <w:right w:val="single" w:sz="0" w:space="0" w:color="auto"/>
            </w:tcBorders>
            <w:vAlign w:val="center"/>
          </w:tcPr>
          <w:p w14:paraId="79D1BF3F"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6026B51" w14:textId="5E1BAEA1"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7BFCA001" w14:textId="5C01B750" w:rsidR="42911850" w:rsidRDefault="42911850">
            <w:pPr>
              <w:rPr>
                <w:noProof/>
              </w:rPr>
            </w:pPr>
            <w:r w:rsidRPr="42911850">
              <w:rPr>
                <w:rFonts w:ascii="Calibri" w:eastAsia="Calibri" w:hAnsi="Calibri" w:cs="Calibri"/>
                <w:noProof/>
                <w:sz w:val="16"/>
                <w:szCs w:val="16"/>
              </w:rPr>
              <w:t xml:space="preserve">Rationae personae: </w:t>
            </w:r>
          </w:p>
          <w:p w14:paraId="6CE6B466" w14:textId="1FDB4D2A" w:rsidR="42911850" w:rsidRDefault="42911850" w:rsidP="00AE537F">
            <w:pPr>
              <w:pStyle w:val="ListParagraph"/>
              <w:numPr>
                <w:ilvl w:val="0"/>
                <w:numId w:val="31"/>
              </w:numPr>
              <w:rPr>
                <w:rFonts w:eastAsiaTheme="minorEastAsia"/>
                <w:noProof/>
                <w:sz w:val="16"/>
                <w:szCs w:val="16"/>
              </w:rPr>
            </w:pPr>
            <w:r w:rsidRPr="42911850">
              <w:rPr>
                <w:noProof/>
                <w:sz w:val="16"/>
                <w:szCs w:val="16"/>
              </w:rPr>
              <w:t xml:space="preserve">Penalty for a </w:t>
            </w:r>
            <w:r w:rsidRPr="42911850">
              <w:rPr>
                <w:noProof/>
                <w:sz w:val="16"/>
                <w:szCs w:val="16"/>
                <w:u w:val="single"/>
              </w:rPr>
              <w:t>legal person</w:t>
            </w:r>
            <w:r w:rsidRPr="42911850">
              <w:rPr>
                <w:noProof/>
                <w:sz w:val="16"/>
                <w:szCs w:val="16"/>
              </w:rPr>
              <w:t xml:space="preserve"> </w:t>
            </w:r>
          </w:p>
          <w:p w14:paraId="75CC5072" w14:textId="48AA335D"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Rationae materiae: Penalties are applied to a legal person if it fails to comply with the obligations as transposed from DAC4 into the Croatian law.</w:t>
            </w:r>
          </w:p>
          <w:p w14:paraId="14E34438" w14:textId="03C0BF00" w:rsidR="42911850" w:rsidRDefault="00717751" w:rsidP="00AE537F">
            <w:pPr>
              <w:spacing w:line="276" w:lineRule="auto"/>
              <w:rPr>
                <w:rFonts w:ascii="Calibri" w:eastAsia="Calibri" w:hAnsi="Calibri" w:cs="Calibri"/>
                <w:noProof/>
                <w:sz w:val="16"/>
                <w:szCs w:val="16"/>
              </w:rPr>
            </w:pPr>
            <w:r>
              <w:rPr>
                <w:rFonts w:ascii="Calibri" w:eastAsia="Calibri" w:hAnsi="Calibri" w:cs="Calibri"/>
                <w:noProof/>
                <w:sz w:val="16"/>
                <w:szCs w:val="16"/>
              </w:rPr>
              <w:t>Nothing is stated in the Croatia</w:t>
            </w:r>
            <w:r w:rsidR="42911850" w:rsidRPr="42911850">
              <w:rPr>
                <w:rFonts w:ascii="Calibri" w:eastAsia="Calibri" w:hAnsi="Calibri" w:cs="Calibri"/>
                <w:noProof/>
                <w:sz w:val="16"/>
                <w:szCs w:val="16"/>
              </w:rPr>
              <w:t>n legislation as to individual or cumulative application of penalties. When reading the legislation I would tend to think it is a cumulative penalty (and then depending on the severity, number of inf. adjusted accordingly).</w:t>
            </w:r>
          </w:p>
        </w:tc>
        <w:tc>
          <w:tcPr>
            <w:tcW w:w="1757" w:type="dxa"/>
            <w:tcBorders>
              <w:top w:val="single" w:sz="8" w:space="0" w:color="auto"/>
              <w:left w:val="single" w:sz="8" w:space="0" w:color="auto"/>
              <w:bottom w:val="single" w:sz="8" w:space="0" w:color="auto"/>
              <w:right w:val="single" w:sz="8" w:space="0" w:color="auto"/>
            </w:tcBorders>
          </w:tcPr>
          <w:p w14:paraId="6C51BB62" w14:textId="34E79592" w:rsidR="42911850" w:rsidRDefault="42911850">
            <w:pPr>
              <w:rPr>
                <w:noProof/>
              </w:rPr>
            </w:pPr>
            <w:r w:rsidRPr="42911850">
              <w:rPr>
                <w:rFonts w:ascii="Calibri" w:eastAsia="Calibri" w:hAnsi="Calibri" w:cs="Calibri"/>
                <w:noProof/>
                <w:sz w:val="18"/>
                <w:szCs w:val="18"/>
              </w:rPr>
              <w:t>From HRK 2000 (EUR 266)</w:t>
            </w:r>
          </w:p>
        </w:tc>
        <w:tc>
          <w:tcPr>
            <w:tcW w:w="2175" w:type="dxa"/>
            <w:tcBorders>
              <w:top w:val="single" w:sz="8" w:space="0" w:color="auto"/>
              <w:left w:val="single" w:sz="8" w:space="0" w:color="auto"/>
              <w:bottom w:val="single" w:sz="8" w:space="0" w:color="auto"/>
              <w:right w:val="single" w:sz="8" w:space="0" w:color="auto"/>
            </w:tcBorders>
          </w:tcPr>
          <w:p w14:paraId="6021AC11" w14:textId="25C56D92" w:rsidR="42911850" w:rsidRDefault="42911850">
            <w:pPr>
              <w:rPr>
                <w:noProof/>
              </w:rPr>
            </w:pPr>
            <w:r w:rsidRPr="42911850">
              <w:rPr>
                <w:rFonts w:ascii="Calibri" w:eastAsia="Calibri" w:hAnsi="Calibri" w:cs="Calibri"/>
                <w:noProof/>
                <w:sz w:val="18"/>
                <w:szCs w:val="18"/>
              </w:rPr>
              <w:t>To HRK 200.000 (EUR26.638)</w:t>
            </w:r>
          </w:p>
        </w:tc>
      </w:tr>
      <w:tr w:rsidR="42911850" w14:paraId="7A587368"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44DB46F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479F94AA" w14:textId="5C661947"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611D766E" w14:textId="6D7AEE42"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Material scope:</w:t>
            </w:r>
          </w:p>
          <w:p w14:paraId="74549004" w14:textId="30F48D71"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Penalties are applied when failure to comply with the obligations as transposed from DAC6 </w:t>
            </w:r>
          </w:p>
          <w:p w14:paraId="225B971B" w14:textId="1714E600" w:rsidR="42911850" w:rsidRDefault="42911850">
            <w:pPr>
              <w:rPr>
                <w:noProof/>
              </w:rPr>
            </w:pPr>
            <w:r w:rsidRPr="42911850">
              <w:rPr>
                <w:rFonts w:ascii="Calibri" w:eastAsia="Calibri" w:hAnsi="Calibri" w:cs="Calibri"/>
                <w:noProof/>
                <w:sz w:val="16"/>
                <w:szCs w:val="16"/>
              </w:rPr>
              <w:t xml:space="preserve">Personal scope: </w:t>
            </w:r>
          </w:p>
          <w:p w14:paraId="1E8529AD" w14:textId="18304300" w:rsidR="42911850" w:rsidRDefault="42911850" w:rsidP="00AE537F">
            <w:pPr>
              <w:pStyle w:val="ListParagraph"/>
              <w:numPr>
                <w:ilvl w:val="0"/>
                <w:numId w:val="31"/>
              </w:numPr>
              <w:rPr>
                <w:rFonts w:eastAsiaTheme="minorEastAsia"/>
                <w:noProof/>
                <w:sz w:val="16"/>
                <w:szCs w:val="16"/>
              </w:rPr>
            </w:pPr>
            <w:r w:rsidRPr="42911850">
              <w:rPr>
                <w:noProof/>
                <w:sz w:val="16"/>
                <w:szCs w:val="16"/>
              </w:rPr>
              <w:t xml:space="preserve">Penalty for a </w:t>
            </w:r>
            <w:r w:rsidRPr="42911850">
              <w:rPr>
                <w:noProof/>
                <w:sz w:val="16"/>
                <w:szCs w:val="16"/>
                <w:u w:val="single"/>
              </w:rPr>
              <w:t>legal person</w:t>
            </w:r>
            <w:r w:rsidRPr="42911850">
              <w:rPr>
                <w:noProof/>
                <w:sz w:val="16"/>
                <w:szCs w:val="16"/>
              </w:rPr>
              <w:t xml:space="preserve"> </w:t>
            </w:r>
          </w:p>
          <w:p w14:paraId="36DBEC9D" w14:textId="3D393272" w:rsidR="42911850" w:rsidRDefault="42911850" w:rsidP="00AE537F">
            <w:pPr>
              <w:pStyle w:val="ListParagraph"/>
              <w:numPr>
                <w:ilvl w:val="0"/>
                <w:numId w:val="29"/>
              </w:numPr>
              <w:rPr>
                <w:rFonts w:eastAsiaTheme="minorEastAsia"/>
                <w:noProof/>
                <w:sz w:val="16"/>
                <w:szCs w:val="16"/>
              </w:rPr>
            </w:pPr>
            <w:r w:rsidRPr="42911850">
              <w:rPr>
                <w:noProof/>
                <w:sz w:val="16"/>
                <w:szCs w:val="16"/>
              </w:rPr>
              <w:t>Penalty for a responsible person (individual) in the legal entity</w:t>
            </w:r>
          </w:p>
          <w:p w14:paraId="5E9CB134" w14:textId="67927229" w:rsidR="42911850" w:rsidRDefault="42911850" w:rsidP="00AE537F">
            <w:pPr>
              <w:pStyle w:val="ListParagraph"/>
              <w:numPr>
                <w:ilvl w:val="0"/>
                <w:numId w:val="29"/>
              </w:numPr>
              <w:rPr>
                <w:rFonts w:eastAsiaTheme="minorEastAsia"/>
                <w:noProof/>
                <w:sz w:val="16"/>
                <w:szCs w:val="16"/>
              </w:rPr>
            </w:pPr>
            <w:r w:rsidRPr="42911850">
              <w:rPr>
                <w:noProof/>
                <w:sz w:val="16"/>
                <w:szCs w:val="16"/>
              </w:rPr>
              <w:t xml:space="preserve">Penalty for a </w:t>
            </w:r>
            <w:r w:rsidRPr="42911850">
              <w:rPr>
                <w:noProof/>
                <w:sz w:val="16"/>
                <w:szCs w:val="16"/>
                <w:u w:val="single"/>
              </w:rPr>
              <w:t>natural per</w:t>
            </w:r>
            <w:r w:rsidRPr="42911850">
              <w:rPr>
                <w:noProof/>
                <w:sz w:val="16"/>
                <w:szCs w:val="16"/>
              </w:rPr>
              <w:t>son</w:t>
            </w:r>
            <w:r>
              <w:rPr>
                <w:noProof/>
              </w:rPr>
              <w:br/>
            </w:r>
            <w:r w:rsidRPr="42911850">
              <w:rPr>
                <w:noProof/>
                <w:sz w:val="16"/>
                <w:szCs w:val="16"/>
              </w:rPr>
              <w:t xml:space="preserve"> </w:t>
            </w:r>
            <w:r>
              <w:rPr>
                <w:noProof/>
              </w:rPr>
              <w:br/>
            </w:r>
          </w:p>
          <w:p w14:paraId="11F3C9D7" w14:textId="207ABDFC" w:rsidR="42911850" w:rsidRDefault="42911850" w:rsidP="00293E86">
            <w:pPr>
              <w:spacing w:line="276" w:lineRule="auto"/>
              <w:rPr>
                <w:rFonts w:ascii="Calibri" w:eastAsia="Calibri" w:hAnsi="Calibri" w:cs="Calibri"/>
                <w:noProof/>
                <w:sz w:val="16"/>
                <w:szCs w:val="16"/>
              </w:rPr>
            </w:pPr>
            <w:r w:rsidRPr="42911850">
              <w:rPr>
                <w:rFonts w:ascii="Calibri" w:eastAsia="Calibri" w:hAnsi="Calibri" w:cs="Calibri"/>
                <w:noProof/>
                <w:sz w:val="16"/>
                <w:szCs w:val="16"/>
              </w:rPr>
              <w:t>Nothing is stated in the Croati</w:t>
            </w:r>
            <w:r w:rsidR="00293E86">
              <w:rPr>
                <w:rFonts w:ascii="Calibri" w:eastAsia="Calibri" w:hAnsi="Calibri" w:cs="Calibri"/>
                <w:noProof/>
                <w:sz w:val="16"/>
                <w:szCs w:val="16"/>
              </w:rPr>
              <w:t>a</w:t>
            </w:r>
            <w:r w:rsidRPr="42911850">
              <w:rPr>
                <w:rFonts w:ascii="Calibri" w:eastAsia="Calibri" w:hAnsi="Calibri" w:cs="Calibri"/>
                <w:noProof/>
                <w:sz w:val="16"/>
                <w:szCs w:val="16"/>
              </w:rPr>
              <w:t>n legislation as to individual or cumulative application of penalties. When reading the legislation I would tend to think it is a cumulative penalty (and then depending on the severity, number of inf. adjusted accordingly). But this I understand to be enforced within a certain time frame, and then can be of course repeated.</w:t>
            </w:r>
          </w:p>
        </w:tc>
        <w:tc>
          <w:tcPr>
            <w:tcW w:w="1757" w:type="dxa"/>
            <w:tcBorders>
              <w:top w:val="single" w:sz="8" w:space="0" w:color="auto"/>
              <w:left w:val="single" w:sz="8" w:space="0" w:color="auto"/>
              <w:bottom w:val="single" w:sz="8" w:space="0" w:color="auto"/>
              <w:right w:val="single" w:sz="8" w:space="0" w:color="auto"/>
            </w:tcBorders>
          </w:tcPr>
          <w:p w14:paraId="6B5C2204" w14:textId="13236643" w:rsidR="42911850" w:rsidRDefault="42911850">
            <w:pPr>
              <w:rPr>
                <w:noProof/>
              </w:rPr>
            </w:pPr>
            <w:r w:rsidRPr="42911850">
              <w:rPr>
                <w:rFonts w:ascii="Calibri" w:eastAsia="Calibri" w:hAnsi="Calibri" w:cs="Calibri"/>
                <w:noProof/>
                <w:sz w:val="18"/>
                <w:szCs w:val="18"/>
              </w:rPr>
              <w:t xml:space="preserve"> </w:t>
            </w:r>
          </w:p>
          <w:p w14:paraId="57B0E027" w14:textId="35F5F88A" w:rsidR="42911850" w:rsidRDefault="42911850">
            <w:pPr>
              <w:rPr>
                <w:noProof/>
              </w:rPr>
            </w:pPr>
            <w:r w:rsidRPr="42911850">
              <w:rPr>
                <w:rFonts w:ascii="Calibri" w:eastAsia="Calibri" w:hAnsi="Calibri" w:cs="Calibri"/>
                <w:noProof/>
                <w:sz w:val="18"/>
                <w:szCs w:val="18"/>
              </w:rPr>
              <w:t xml:space="preserve"> </w:t>
            </w:r>
          </w:p>
          <w:p w14:paraId="26E2D253" w14:textId="0AF1D834" w:rsidR="42911850" w:rsidRDefault="42911850">
            <w:pPr>
              <w:rPr>
                <w:noProof/>
              </w:rPr>
            </w:pPr>
            <w:r w:rsidRPr="42911850">
              <w:rPr>
                <w:rFonts w:ascii="Calibri" w:eastAsia="Calibri" w:hAnsi="Calibri" w:cs="Calibri"/>
                <w:noProof/>
                <w:sz w:val="18"/>
                <w:szCs w:val="18"/>
              </w:rPr>
              <w:t xml:space="preserve"> </w:t>
            </w:r>
          </w:p>
          <w:p w14:paraId="66980942" w14:textId="26772A74" w:rsidR="42911850" w:rsidRDefault="42911850">
            <w:pPr>
              <w:rPr>
                <w:noProof/>
              </w:rPr>
            </w:pPr>
            <w:r w:rsidRPr="42911850">
              <w:rPr>
                <w:rFonts w:ascii="Calibri" w:eastAsia="Calibri" w:hAnsi="Calibri" w:cs="Calibri"/>
                <w:noProof/>
                <w:sz w:val="18"/>
                <w:szCs w:val="18"/>
              </w:rPr>
              <w:t xml:space="preserve">From HRK 2000 (EUR 266) </w:t>
            </w:r>
          </w:p>
          <w:p w14:paraId="659DB239" w14:textId="172F895B" w:rsidR="42911850" w:rsidRDefault="42911850">
            <w:pPr>
              <w:rPr>
                <w:noProof/>
              </w:rPr>
            </w:pPr>
            <w:r w:rsidRPr="42911850">
              <w:rPr>
                <w:rFonts w:ascii="Calibri" w:eastAsia="Calibri" w:hAnsi="Calibri" w:cs="Calibri"/>
                <w:noProof/>
                <w:sz w:val="18"/>
                <w:szCs w:val="18"/>
              </w:rPr>
              <w:t>2000 (EUR 266)</w:t>
            </w:r>
          </w:p>
          <w:p w14:paraId="29F55786" w14:textId="2735DC93" w:rsidR="42911850" w:rsidRDefault="42911850">
            <w:pPr>
              <w:rPr>
                <w:noProof/>
              </w:rPr>
            </w:pPr>
            <w:r w:rsidRPr="42911850">
              <w:rPr>
                <w:rFonts w:ascii="Calibri" w:eastAsia="Calibri" w:hAnsi="Calibri" w:cs="Calibri"/>
                <w:noProof/>
                <w:sz w:val="18"/>
                <w:szCs w:val="18"/>
              </w:rPr>
              <w:t>HRK 1000 (EUR 133)</w:t>
            </w:r>
          </w:p>
        </w:tc>
        <w:tc>
          <w:tcPr>
            <w:tcW w:w="2175" w:type="dxa"/>
            <w:tcBorders>
              <w:top w:val="single" w:sz="8" w:space="0" w:color="auto"/>
              <w:left w:val="single" w:sz="8" w:space="0" w:color="auto"/>
              <w:bottom w:val="single" w:sz="8" w:space="0" w:color="auto"/>
              <w:right w:val="single" w:sz="8" w:space="0" w:color="auto"/>
            </w:tcBorders>
          </w:tcPr>
          <w:p w14:paraId="0D117484" w14:textId="7596A40A" w:rsidR="42911850" w:rsidRDefault="42911850">
            <w:pPr>
              <w:rPr>
                <w:noProof/>
              </w:rPr>
            </w:pPr>
            <w:r w:rsidRPr="42911850">
              <w:rPr>
                <w:rFonts w:ascii="Calibri" w:eastAsia="Calibri" w:hAnsi="Calibri" w:cs="Calibri"/>
                <w:noProof/>
                <w:color w:val="000000" w:themeColor="text1"/>
                <w:sz w:val="18"/>
                <w:szCs w:val="18"/>
              </w:rPr>
              <w:t xml:space="preserve"> </w:t>
            </w:r>
          </w:p>
          <w:p w14:paraId="020B3079" w14:textId="418DD8BA" w:rsidR="42911850" w:rsidRDefault="42911850">
            <w:pPr>
              <w:rPr>
                <w:noProof/>
              </w:rPr>
            </w:pPr>
            <w:r w:rsidRPr="42911850">
              <w:rPr>
                <w:rFonts w:ascii="Calibri" w:eastAsia="Calibri" w:hAnsi="Calibri" w:cs="Calibri"/>
                <w:noProof/>
                <w:color w:val="000000" w:themeColor="text1"/>
                <w:sz w:val="18"/>
                <w:szCs w:val="18"/>
              </w:rPr>
              <w:t xml:space="preserve"> </w:t>
            </w:r>
          </w:p>
          <w:p w14:paraId="541F7B44" w14:textId="756964B7" w:rsidR="42911850" w:rsidRDefault="42911850">
            <w:pPr>
              <w:rPr>
                <w:noProof/>
              </w:rPr>
            </w:pPr>
            <w:r w:rsidRPr="42911850">
              <w:rPr>
                <w:rFonts w:ascii="Calibri" w:eastAsia="Calibri" w:hAnsi="Calibri" w:cs="Calibri"/>
                <w:noProof/>
                <w:color w:val="000000" w:themeColor="text1"/>
                <w:sz w:val="18"/>
                <w:szCs w:val="18"/>
              </w:rPr>
              <w:t xml:space="preserve"> </w:t>
            </w:r>
          </w:p>
          <w:p w14:paraId="3A3CAF98" w14:textId="4F6A0099" w:rsidR="42911850" w:rsidRDefault="42911850">
            <w:pPr>
              <w:rPr>
                <w:noProof/>
              </w:rPr>
            </w:pPr>
            <w:r w:rsidRPr="42911850">
              <w:rPr>
                <w:rFonts w:ascii="Calibri" w:eastAsia="Calibri" w:hAnsi="Calibri" w:cs="Calibri"/>
                <w:noProof/>
                <w:color w:val="000000" w:themeColor="text1"/>
                <w:sz w:val="18"/>
                <w:szCs w:val="18"/>
              </w:rPr>
              <w:t>To HRK 200.000 (EUR26.638)</w:t>
            </w:r>
          </w:p>
          <w:p w14:paraId="04D84137" w14:textId="63EFC484" w:rsidR="42911850" w:rsidRDefault="42911850">
            <w:pPr>
              <w:rPr>
                <w:noProof/>
              </w:rPr>
            </w:pPr>
            <w:r w:rsidRPr="42911850">
              <w:rPr>
                <w:rFonts w:ascii="Calibri" w:eastAsia="Calibri" w:hAnsi="Calibri" w:cs="Calibri"/>
                <w:noProof/>
                <w:color w:val="000000" w:themeColor="text1"/>
                <w:sz w:val="18"/>
                <w:szCs w:val="18"/>
              </w:rPr>
              <w:t xml:space="preserve">To HRK 20.000 </w:t>
            </w:r>
          </w:p>
          <w:p w14:paraId="16830CBF" w14:textId="0F6EF9C5" w:rsidR="42911850" w:rsidRDefault="42911850">
            <w:pPr>
              <w:rPr>
                <w:noProof/>
              </w:rPr>
            </w:pPr>
            <w:r w:rsidRPr="42911850">
              <w:rPr>
                <w:rFonts w:ascii="Calibri" w:eastAsia="Calibri" w:hAnsi="Calibri" w:cs="Calibri"/>
                <w:noProof/>
                <w:color w:val="000000" w:themeColor="text1"/>
                <w:sz w:val="18"/>
                <w:szCs w:val="18"/>
              </w:rPr>
              <w:t>HRK 100.000 (EUR 13.300)</w:t>
            </w:r>
          </w:p>
        </w:tc>
      </w:tr>
      <w:tr w:rsidR="42911850" w14:paraId="6806781E"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6E5EA180" w14:textId="51DD2F7C" w:rsidR="42911850" w:rsidRDefault="42911850">
            <w:pPr>
              <w:rPr>
                <w:noProof/>
              </w:rPr>
            </w:pPr>
            <w:r w:rsidRPr="42911850">
              <w:rPr>
                <w:rFonts w:ascii="Calibri" w:eastAsia="Calibri" w:hAnsi="Calibri" w:cs="Calibri"/>
                <w:b/>
                <w:bCs/>
                <w:noProof/>
                <w:sz w:val="18"/>
                <w:szCs w:val="18"/>
              </w:rPr>
              <w:t>HU</w:t>
            </w:r>
          </w:p>
        </w:tc>
        <w:tc>
          <w:tcPr>
            <w:tcW w:w="1025" w:type="dxa"/>
            <w:tcBorders>
              <w:top w:val="single" w:sz="8" w:space="0" w:color="auto"/>
              <w:left w:val="single" w:sz="8" w:space="0" w:color="auto"/>
              <w:bottom w:val="single" w:sz="8" w:space="0" w:color="auto"/>
              <w:right w:val="single" w:sz="8" w:space="0" w:color="auto"/>
            </w:tcBorders>
          </w:tcPr>
          <w:p w14:paraId="51477A62" w14:textId="4BFF055E" w:rsidR="42911850" w:rsidRDefault="42911850">
            <w:pPr>
              <w:rPr>
                <w:noProof/>
              </w:rPr>
            </w:pPr>
            <w:r w:rsidRPr="42911850">
              <w:rPr>
                <w:rFonts w:ascii="Calibri" w:eastAsia="Calibri" w:hAnsi="Calibri" w:cs="Calibri"/>
                <w:noProof/>
                <w:sz w:val="18"/>
                <w:szCs w:val="18"/>
              </w:rPr>
              <w:t>DAC 2</w:t>
            </w:r>
          </w:p>
        </w:tc>
        <w:tc>
          <w:tcPr>
            <w:tcW w:w="3765" w:type="dxa"/>
            <w:tcBorders>
              <w:top w:val="single" w:sz="8" w:space="0" w:color="auto"/>
              <w:left w:val="single" w:sz="8" w:space="0" w:color="auto"/>
              <w:bottom w:val="single" w:sz="8" w:space="0" w:color="auto"/>
              <w:right w:val="single" w:sz="8" w:space="0" w:color="auto"/>
            </w:tcBorders>
          </w:tcPr>
          <w:p w14:paraId="104ADB63" w14:textId="2DDAFB25" w:rsidR="42911850" w:rsidRDefault="42911850">
            <w:pPr>
              <w:rPr>
                <w:noProof/>
              </w:rPr>
            </w:pPr>
            <w:r w:rsidRPr="42911850">
              <w:rPr>
                <w:rFonts w:ascii="Calibri" w:eastAsia="Calibri" w:hAnsi="Calibri" w:cs="Calibri"/>
                <w:b/>
                <w:bCs/>
                <w:noProof/>
                <w:sz w:val="16"/>
                <w:szCs w:val="16"/>
                <w:u w:val="single"/>
              </w:rPr>
              <w:t>Scope ratione materiae</w:t>
            </w:r>
          </w:p>
          <w:p w14:paraId="067E6F07" w14:textId="18F92108" w:rsidR="42911850" w:rsidRDefault="42911850">
            <w:pPr>
              <w:rPr>
                <w:noProof/>
              </w:rPr>
            </w:pPr>
            <w:r w:rsidRPr="42911850">
              <w:rPr>
                <w:rFonts w:ascii="Calibri" w:eastAsia="Calibri" w:hAnsi="Calibri" w:cs="Calibri"/>
                <w:noProof/>
                <w:sz w:val="18"/>
                <w:szCs w:val="18"/>
              </w:rPr>
              <w:t>Failure of the Financial Institution to notify its status as a financial institution to the tax authority; failure of the financial institution to report</w:t>
            </w:r>
          </w:p>
          <w:p w14:paraId="32832C91" w14:textId="5D34C93C" w:rsidR="42911850" w:rsidRDefault="42911850">
            <w:pPr>
              <w:rPr>
                <w:noProof/>
              </w:rPr>
            </w:pPr>
            <w:r w:rsidRPr="42911850">
              <w:rPr>
                <w:rFonts w:ascii="Calibri" w:eastAsia="Calibri" w:hAnsi="Calibri" w:cs="Calibri"/>
                <w:b/>
                <w:bCs/>
                <w:noProof/>
                <w:sz w:val="16"/>
                <w:szCs w:val="16"/>
                <w:u w:val="single"/>
                <w:lang w:val="en-IE"/>
              </w:rPr>
              <w:t>Personal scope</w:t>
            </w:r>
          </w:p>
          <w:p w14:paraId="272F4369" w14:textId="311BEF46"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Only Reporting Financial Institutions, which are legal persons is their vast majority. No fines are present in the notified legislation for failure by the account holder or the Passive Non-Financial Entity to provide valid self-certifications.</w:t>
            </w:r>
          </w:p>
          <w:p w14:paraId="39A302D5" w14:textId="405A4548"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113157EA" w14:textId="238D4FC1" w:rsidR="42911850" w:rsidRDefault="42911850">
            <w:pPr>
              <w:rPr>
                <w:noProof/>
              </w:rPr>
            </w:pPr>
            <w:r w:rsidRPr="42911850">
              <w:rPr>
                <w:rFonts w:ascii="Calibri" w:eastAsia="Calibri" w:hAnsi="Calibri" w:cs="Calibri"/>
                <w:noProof/>
                <w:sz w:val="18"/>
                <w:szCs w:val="18"/>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28877C23" w14:textId="7FF96706" w:rsidR="42911850" w:rsidRDefault="42911850">
            <w:pPr>
              <w:rPr>
                <w:noProof/>
              </w:rPr>
            </w:pPr>
            <w:r w:rsidRPr="42911850">
              <w:rPr>
                <w:rFonts w:ascii="Calibri" w:eastAsia="Calibri" w:hAnsi="Calibri" w:cs="Calibri"/>
                <w:noProof/>
                <w:sz w:val="18"/>
                <w:szCs w:val="18"/>
              </w:rPr>
              <w:t xml:space="preserve"> </w:t>
            </w:r>
          </w:p>
          <w:p w14:paraId="73CCEE63" w14:textId="65A727FA" w:rsidR="42911850" w:rsidRDefault="42911850">
            <w:pPr>
              <w:rPr>
                <w:noProof/>
              </w:rPr>
            </w:pPr>
            <w:r w:rsidRPr="42911850">
              <w:rPr>
                <w:rFonts w:ascii="Calibri" w:eastAsia="Calibri" w:hAnsi="Calibri" w:cs="Calibri"/>
                <w:noProof/>
                <w:sz w:val="18"/>
                <w:szCs w:val="18"/>
              </w:rPr>
              <w:t>Not determined</w:t>
            </w:r>
          </w:p>
        </w:tc>
        <w:tc>
          <w:tcPr>
            <w:tcW w:w="2175" w:type="dxa"/>
            <w:tcBorders>
              <w:top w:val="single" w:sz="8" w:space="0" w:color="auto"/>
              <w:left w:val="single" w:sz="8" w:space="0" w:color="auto"/>
              <w:bottom w:val="single" w:sz="8" w:space="0" w:color="auto"/>
              <w:right w:val="single" w:sz="8" w:space="0" w:color="auto"/>
            </w:tcBorders>
          </w:tcPr>
          <w:p w14:paraId="5DC6D786" w14:textId="3BC00D42" w:rsidR="42911850" w:rsidRDefault="42911850">
            <w:pPr>
              <w:rPr>
                <w:noProof/>
              </w:rPr>
            </w:pPr>
            <w:r w:rsidRPr="42911850">
              <w:rPr>
                <w:rFonts w:ascii="Calibri" w:eastAsia="Calibri" w:hAnsi="Calibri" w:cs="Calibri"/>
                <w:noProof/>
                <w:sz w:val="18"/>
                <w:szCs w:val="18"/>
              </w:rPr>
              <w:t xml:space="preserve"> </w:t>
            </w:r>
          </w:p>
          <w:p w14:paraId="678867DA" w14:textId="7B97CC4E" w:rsidR="42911850" w:rsidRDefault="42911850">
            <w:pPr>
              <w:rPr>
                <w:noProof/>
              </w:rPr>
            </w:pPr>
            <w:r w:rsidRPr="42911850">
              <w:rPr>
                <w:rFonts w:ascii="Calibri" w:eastAsia="Calibri" w:hAnsi="Calibri" w:cs="Calibri"/>
                <w:noProof/>
                <w:sz w:val="18"/>
                <w:szCs w:val="18"/>
              </w:rPr>
              <w:t>EUR 5450</w:t>
            </w:r>
          </w:p>
        </w:tc>
      </w:tr>
      <w:tr w:rsidR="42911850" w14:paraId="0ACDDD32" w14:textId="77777777" w:rsidTr="42911850">
        <w:trPr>
          <w:trHeight w:val="45"/>
        </w:trPr>
        <w:tc>
          <w:tcPr>
            <w:tcW w:w="638" w:type="dxa"/>
            <w:vMerge/>
            <w:tcBorders>
              <w:left w:val="single" w:sz="0" w:space="0" w:color="auto"/>
              <w:right w:val="single" w:sz="0" w:space="0" w:color="auto"/>
            </w:tcBorders>
            <w:vAlign w:val="center"/>
          </w:tcPr>
          <w:p w14:paraId="1AECD427"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69ED2DD0" w14:textId="59688065" w:rsidR="42911850" w:rsidRDefault="42911850">
            <w:pPr>
              <w:rPr>
                <w:noProof/>
              </w:rPr>
            </w:pPr>
            <w:r w:rsidRPr="42911850">
              <w:rPr>
                <w:rFonts w:ascii="Calibri" w:eastAsia="Calibri" w:hAnsi="Calibri" w:cs="Calibri"/>
                <w:noProof/>
                <w:sz w:val="18"/>
                <w:szCs w:val="18"/>
              </w:rPr>
              <w:t>DAC 4</w:t>
            </w:r>
          </w:p>
        </w:tc>
        <w:tc>
          <w:tcPr>
            <w:tcW w:w="3765" w:type="dxa"/>
            <w:tcBorders>
              <w:top w:val="single" w:sz="8" w:space="0" w:color="auto"/>
              <w:left w:val="single" w:sz="8" w:space="0" w:color="auto"/>
              <w:bottom w:val="single" w:sz="8" w:space="0" w:color="auto"/>
              <w:right w:val="single" w:sz="8" w:space="0" w:color="auto"/>
            </w:tcBorders>
          </w:tcPr>
          <w:p w14:paraId="361040F4" w14:textId="436FF0D6" w:rsidR="42911850" w:rsidRDefault="42911850">
            <w:pPr>
              <w:rPr>
                <w:noProof/>
              </w:rPr>
            </w:pPr>
            <w:r w:rsidRPr="42911850">
              <w:rPr>
                <w:rFonts w:ascii="Calibri" w:eastAsia="Calibri" w:hAnsi="Calibri" w:cs="Calibri"/>
                <w:b/>
                <w:bCs/>
                <w:noProof/>
                <w:sz w:val="16"/>
                <w:szCs w:val="16"/>
                <w:u w:val="single"/>
              </w:rPr>
              <w:t>Scope ratione materiae</w:t>
            </w:r>
          </w:p>
          <w:p w14:paraId="0E022CD8" w14:textId="582BAD19" w:rsidR="42911850" w:rsidRDefault="42911850">
            <w:pPr>
              <w:rPr>
                <w:noProof/>
              </w:rPr>
            </w:pPr>
            <w:r w:rsidRPr="42911850">
              <w:rPr>
                <w:rFonts w:ascii="Calibri" w:eastAsia="Calibri" w:hAnsi="Calibri" w:cs="Calibri"/>
                <w:noProof/>
                <w:sz w:val="18"/>
                <w:szCs w:val="18"/>
              </w:rPr>
              <w:t>Failure to submit the CbC Report; failure to notify the tax administration of the designation of the reporting entity of the MNE Group</w:t>
            </w:r>
          </w:p>
          <w:p w14:paraId="040A5A42" w14:textId="2BDDF47B" w:rsidR="42911850" w:rsidRDefault="42911850">
            <w:pPr>
              <w:rPr>
                <w:noProof/>
              </w:rPr>
            </w:pPr>
            <w:r w:rsidRPr="42911850">
              <w:rPr>
                <w:rFonts w:ascii="Calibri" w:eastAsia="Calibri" w:hAnsi="Calibri" w:cs="Calibri"/>
                <w:b/>
                <w:bCs/>
                <w:noProof/>
                <w:sz w:val="16"/>
                <w:szCs w:val="16"/>
                <w:u w:val="single"/>
                <w:lang w:val="en-IE"/>
              </w:rPr>
              <w:t>Personal scope</w:t>
            </w:r>
          </w:p>
          <w:p w14:paraId="1B0FFD1D" w14:textId="0D6733D1"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Constituent entities and reporting entities can only be legal persons</w:t>
            </w:r>
          </w:p>
          <w:p w14:paraId="6124EEB3" w14:textId="7C3A9DC3"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41397526" w14:textId="6855075E" w:rsidR="42911850" w:rsidRDefault="42911850">
            <w:pPr>
              <w:rPr>
                <w:noProof/>
              </w:rPr>
            </w:pPr>
            <w:r w:rsidRPr="42911850">
              <w:rPr>
                <w:rFonts w:ascii="Calibri" w:eastAsia="Calibri" w:hAnsi="Calibri" w:cs="Calibri"/>
                <w:noProof/>
                <w:sz w:val="18"/>
                <w:szCs w:val="18"/>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4F7C680B" w14:textId="5D0C7781" w:rsidR="42911850" w:rsidRDefault="42911850">
            <w:pPr>
              <w:rPr>
                <w:noProof/>
              </w:rPr>
            </w:pPr>
            <w:r w:rsidRPr="42911850">
              <w:rPr>
                <w:rFonts w:ascii="Calibri" w:eastAsia="Calibri" w:hAnsi="Calibri" w:cs="Calibri"/>
                <w:noProof/>
                <w:sz w:val="18"/>
                <w:szCs w:val="18"/>
              </w:rPr>
              <w:t xml:space="preserve"> </w:t>
            </w:r>
          </w:p>
          <w:p w14:paraId="2A71F1AC" w14:textId="0B4C7DA3" w:rsidR="42911850" w:rsidRDefault="42911850">
            <w:pPr>
              <w:rPr>
                <w:noProof/>
              </w:rPr>
            </w:pPr>
            <w:r w:rsidRPr="42911850">
              <w:rPr>
                <w:rFonts w:ascii="Calibri" w:eastAsia="Calibri" w:hAnsi="Calibri" w:cs="Calibri"/>
                <w:noProof/>
                <w:sz w:val="18"/>
                <w:szCs w:val="18"/>
              </w:rPr>
              <w:t>Not determined</w:t>
            </w:r>
          </w:p>
        </w:tc>
        <w:tc>
          <w:tcPr>
            <w:tcW w:w="2175" w:type="dxa"/>
            <w:tcBorders>
              <w:top w:val="single" w:sz="8" w:space="0" w:color="auto"/>
              <w:left w:val="single" w:sz="8" w:space="0" w:color="auto"/>
              <w:bottom w:val="single" w:sz="8" w:space="0" w:color="auto"/>
              <w:right w:val="single" w:sz="8" w:space="0" w:color="auto"/>
            </w:tcBorders>
          </w:tcPr>
          <w:p w14:paraId="361322A6" w14:textId="7A3D743E" w:rsidR="42911850" w:rsidRDefault="42911850">
            <w:pPr>
              <w:rPr>
                <w:noProof/>
              </w:rPr>
            </w:pPr>
            <w:r w:rsidRPr="42911850">
              <w:rPr>
                <w:rFonts w:ascii="Calibri" w:eastAsia="Calibri" w:hAnsi="Calibri" w:cs="Calibri"/>
                <w:noProof/>
                <w:sz w:val="18"/>
                <w:szCs w:val="18"/>
              </w:rPr>
              <w:t xml:space="preserve"> </w:t>
            </w:r>
          </w:p>
          <w:p w14:paraId="13C7A88F" w14:textId="3D5102EE" w:rsidR="42911850" w:rsidRDefault="42911850">
            <w:pPr>
              <w:rPr>
                <w:noProof/>
              </w:rPr>
            </w:pPr>
            <w:r w:rsidRPr="42911850">
              <w:rPr>
                <w:rFonts w:ascii="Calibri" w:eastAsia="Calibri" w:hAnsi="Calibri" w:cs="Calibri"/>
                <w:noProof/>
                <w:sz w:val="18"/>
                <w:szCs w:val="18"/>
              </w:rPr>
              <w:t>EUR 54.500</w:t>
            </w:r>
          </w:p>
        </w:tc>
      </w:tr>
      <w:tr w:rsidR="42911850" w14:paraId="30210CA6"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421C36C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1C44BD6" w14:textId="465D8308" w:rsidR="42911850" w:rsidRDefault="42911850">
            <w:pPr>
              <w:rPr>
                <w:noProof/>
              </w:rPr>
            </w:pPr>
            <w:r w:rsidRPr="42911850">
              <w:rPr>
                <w:rFonts w:ascii="Calibri" w:eastAsia="Calibri" w:hAnsi="Calibri" w:cs="Calibri"/>
                <w:noProof/>
                <w:sz w:val="18"/>
                <w:szCs w:val="18"/>
              </w:rPr>
              <w:t>DAC 6</w:t>
            </w:r>
          </w:p>
        </w:tc>
        <w:tc>
          <w:tcPr>
            <w:tcW w:w="3765" w:type="dxa"/>
            <w:tcBorders>
              <w:top w:val="single" w:sz="8" w:space="0" w:color="auto"/>
              <w:left w:val="single" w:sz="8" w:space="0" w:color="auto"/>
              <w:bottom w:val="single" w:sz="8" w:space="0" w:color="auto"/>
              <w:right w:val="single" w:sz="8" w:space="0" w:color="auto"/>
            </w:tcBorders>
          </w:tcPr>
          <w:p w14:paraId="0B31DE65" w14:textId="7D802D28" w:rsidR="42911850" w:rsidRDefault="42911850">
            <w:pPr>
              <w:rPr>
                <w:noProof/>
              </w:rPr>
            </w:pPr>
            <w:r w:rsidRPr="42911850">
              <w:rPr>
                <w:rFonts w:ascii="Calibri" w:eastAsia="Calibri" w:hAnsi="Calibri" w:cs="Calibri"/>
                <w:b/>
                <w:bCs/>
                <w:noProof/>
                <w:sz w:val="16"/>
                <w:szCs w:val="16"/>
                <w:u w:val="single"/>
              </w:rPr>
              <w:t>Scope ratione materiae</w:t>
            </w:r>
          </w:p>
          <w:p w14:paraId="3980399A" w14:textId="3BDFF230" w:rsidR="42911850" w:rsidRDefault="42911850">
            <w:pPr>
              <w:rPr>
                <w:noProof/>
              </w:rPr>
            </w:pPr>
            <w:r w:rsidRPr="42911850">
              <w:rPr>
                <w:rFonts w:ascii="Calibri" w:eastAsia="Calibri" w:hAnsi="Calibri" w:cs="Calibri"/>
                <w:noProof/>
                <w:sz w:val="18"/>
                <w:szCs w:val="18"/>
              </w:rPr>
              <w:t>Failure to report; failure to notify other intermediaries or the relevant taxpayer; late, incorrect, false or incomplete reporting.</w:t>
            </w:r>
          </w:p>
          <w:p w14:paraId="3FAD310B" w14:textId="51417523" w:rsidR="42911850" w:rsidRDefault="42911850">
            <w:pPr>
              <w:rPr>
                <w:noProof/>
              </w:rPr>
            </w:pPr>
            <w:r w:rsidRPr="42911850">
              <w:rPr>
                <w:rFonts w:ascii="Calibri" w:eastAsia="Calibri" w:hAnsi="Calibri" w:cs="Calibri"/>
                <w:b/>
                <w:bCs/>
                <w:noProof/>
                <w:sz w:val="16"/>
                <w:szCs w:val="16"/>
                <w:lang w:val="en-IE"/>
              </w:rPr>
              <w:t xml:space="preserve"> </w:t>
            </w:r>
          </w:p>
          <w:p w14:paraId="2C89730D" w14:textId="2168BA73" w:rsidR="42911850" w:rsidRDefault="42911850">
            <w:pPr>
              <w:rPr>
                <w:noProof/>
              </w:rPr>
            </w:pPr>
            <w:r w:rsidRPr="42911850">
              <w:rPr>
                <w:rFonts w:ascii="Calibri" w:eastAsia="Calibri" w:hAnsi="Calibri" w:cs="Calibri"/>
                <w:b/>
                <w:bCs/>
                <w:noProof/>
                <w:sz w:val="16"/>
                <w:szCs w:val="16"/>
                <w:lang w:val="en-IE"/>
              </w:rPr>
              <w:t xml:space="preserve"> </w:t>
            </w:r>
          </w:p>
          <w:p w14:paraId="75717191" w14:textId="0828CD81" w:rsidR="42911850" w:rsidRDefault="42911850">
            <w:pPr>
              <w:rPr>
                <w:noProof/>
              </w:rPr>
            </w:pPr>
            <w:r w:rsidRPr="42911850">
              <w:rPr>
                <w:rFonts w:ascii="Calibri" w:eastAsia="Calibri" w:hAnsi="Calibri" w:cs="Calibri"/>
                <w:b/>
                <w:bCs/>
                <w:noProof/>
                <w:sz w:val="16"/>
                <w:szCs w:val="16"/>
                <w:u w:val="single"/>
                <w:lang w:val="en-IE"/>
              </w:rPr>
              <w:t>Personal scope</w:t>
            </w:r>
          </w:p>
          <w:p w14:paraId="1388B6C5" w14:textId="28E6F868" w:rsidR="42911850" w:rsidRDefault="42911850">
            <w:pPr>
              <w:rPr>
                <w:noProof/>
              </w:rPr>
            </w:pPr>
            <w:r w:rsidRPr="42911850">
              <w:rPr>
                <w:rFonts w:ascii="Calibri" w:eastAsia="Calibri" w:hAnsi="Calibri" w:cs="Calibri"/>
                <w:noProof/>
                <w:sz w:val="18"/>
                <w:szCs w:val="18"/>
              </w:rPr>
              <w:t>Any natural person or any legal entity that has an obligation to report or notify</w:t>
            </w:r>
          </w:p>
          <w:p w14:paraId="3DCC8B97" w14:textId="300ADD5D"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4848E7CE" w14:textId="40AD7111" w:rsidR="42911850" w:rsidRDefault="42911850">
            <w:pPr>
              <w:rPr>
                <w:noProof/>
              </w:rPr>
            </w:pPr>
            <w:r w:rsidRPr="42911850">
              <w:rPr>
                <w:rFonts w:ascii="Calibri" w:eastAsia="Calibri" w:hAnsi="Calibri" w:cs="Calibri"/>
                <w:noProof/>
                <w:sz w:val="18"/>
                <w:szCs w:val="18"/>
                <w:lang w:val="en-IE"/>
              </w:rPr>
              <w:t>Penalties are cumulatively applicable</w:t>
            </w:r>
          </w:p>
        </w:tc>
        <w:tc>
          <w:tcPr>
            <w:tcW w:w="1757" w:type="dxa"/>
            <w:tcBorders>
              <w:top w:val="single" w:sz="8" w:space="0" w:color="auto"/>
              <w:left w:val="single" w:sz="8" w:space="0" w:color="auto"/>
              <w:bottom w:val="single" w:sz="8" w:space="0" w:color="auto"/>
              <w:right w:val="single" w:sz="8" w:space="0" w:color="auto"/>
            </w:tcBorders>
          </w:tcPr>
          <w:p w14:paraId="69723963" w14:textId="3EE7BF46" w:rsidR="42911850" w:rsidRDefault="42911850">
            <w:pPr>
              <w:rPr>
                <w:noProof/>
              </w:rPr>
            </w:pPr>
            <w:r w:rsidRPr="42911850">
              <w:rPr>
                <w:rFonts w:ascii="Calibri" w:eastAsia="Calibri" w:hAnsi="Calibri" w:cs="Calibri"/>
                <w:noProof/>
                <w:sz w:val="18"/>
                <w:szCs w:val="18"/>
              </w:rPr>
              <w:t xml:space="preserve"> </w:t>
            </w:r>
          </w:p>
          <w:p w14:paraId="5D8CDEB0" w14:textId="344653BF" w:rsidR="42911850" w:rsidRDefault="42911850">
            <w:pPr>
              <w:rPr>
                <w:noProof/>
              </w:rPr>
            </w:pPr>
            <w:r w:rsidRPr="42911850">
              <w:rPr>
                <w:rFonts w:ascii="Calibri" w:eastAsia="Calibri" w:hAnsi="Calibri" w:cs="Calibri"/>
                <w:noProof/>
                <w:sz w:val="18"/>
                <w:szCs w:val="18"/>
              </w:rPr>
              <w:t>Not determined</w:t>
            </w:r>
          </w:p>
        </w:tc>
        <w:tc>
          <w:tcPr>
            <w:tcW w:w="2175" w:type="dxa"/>
            <w:tcBorders>
              <w:top w:val="single" w:sz="8" w:space="0" w:color="auto"/>
              <w:left w:val="single" w:sz="8" w:space="0" w:color="auto"/>
              <w:bottom w:val="single" w:sz="8" w:space="0" w:color="auto"/>
              <w:right w:val="single" w:sz="8" w:space="0" w:color="auto"/>
            </w:tcBorders>
          </w:tcPr>
          <w:p w14:paraId="155EDB79" w14:textId="57F52133" w:rsidR="42911850" w:rsidRDefault="42911850">
            <w:pPr>
              <w:rPr>
                <w:noProof/>
              </w:rPr>
            </w:pPr>
            <w:r w:rsidRPr="42911850">
              <w:rPr>
                <w:rFonts w:ascii="Calibri" w:eastAsia="Calibri" w:hAnsi="Calibri" w:cs="Calibri"/>
                <w:noProof/>
                <w:sz w:val="18"/>
                <w:szCs w:val="18"/>
              </w:rPr>
              <w:t xml:space="preserve"> </w:t>
            </w:r>
          </w:p>
          <w:p w14:paraId="2E26B59F" w14:textId="2640C448" w:rsidR="42911850" w:rsidRDefault="42911850">
            <w:pPr>
              <w:rPr>
                <w:noProof/>
              </w:rPr>
            </w:pPr>
            <w:r w:rsidRPr="42911850">
              <w:rPr>
                <w:rFonts w:ascii="Calibri" w:eastAsia="Calibri" w:hAnsi="Calibri" w:cs="Calibri"/>
                <w:noProof/>
                <w:sz w:val="18"/>
                <w:szCs w:val="18"/>
              </w:rPr>
              <w:t>EUR 1360 + invitation to comply</w:t>
            </w:r>
          </w:p>
          <w:p w14:paraId="4C231E94" w14:textId="0FB2F0BE" w:rsidR="42911850" w:rsidRDefault="42911850">
            <w:pPr>
              <w:rPr>
                <w:noProof/>
              </w:rPr>
            </w:pPr>
            <w:r w:rsidRPr="42911850">
              <w:rPr>
                <w:rFonts w:ascii="Calibri" w:eastAsia="Calibri" w:hAnsi="Calibri" w:cs="Calibri"/>
                <w:noProof/>
                <w:sz w:val="18"/>
                <w:szCs w:val="18"/>
              </w:rPr>
              <w:t>EUR 13600 in case of no compliance after the invitation to comply</w:t>
            </w:r>
          </w:p>
        </w:tc>
      </w:tr>
      <w:tr w:rsidR="42911850" w14:paraId="1BA4D143"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19ADC6DB" w14:textId="6865B20F" w:rsidR="42911850" w:rsidRDefault="42911850">
            <w:pPr>
              <w:rPr>
                <w:noProof/>
              </w:rPr>
            </w:pPr>
            <w:r w:rsidRPr="42911850">
              <w:rPr>
                <w:rFonts w:ascii="Calibri" w:eastAsia="Calibri" w:hAnsi="Calibri" w:cs="Calibri"/>
                <w:b/>
                <w:bCs/>
                <w:noProof/>
                <w:sz w:val="18"/>
                <w:szCs w:val="18"/>
              </w:rPr>
              <w:t>IE</w:t>
            </w:r>
          </w:p>
        </w:tc>
        <w:tc>
          <w:tcPr>
            <w:tcW w:w="1025" w:type="dxa"/>
            <w:tcBorders>
              <w:top w:val="single" w:sz="8" w:space="0" w:color="auto"/>
              <w:left w:val="single" w:sz="8" w:space="0" w:color="auto"/>
              <w:bottom w:val="single" w:sz="8" w:space="0" w:color="auto"/>
              <w:right w:val="single" w:sz="8" w:space="0" w:color="auto"/>
            </w:tcBorders>
          </w:tcPr>
          <w:p w14:paraId="4DE5B138" w14:textId="455A3FF3"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5D2C3CFA" w14:textId="22D57DE6"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No reporting, wrong reporting and partial reporting are explicitly mentioned as punishable. What is punishable also is the “failure to comply with any of the obligations” concerning the provision of information. This would appear to cover also late reporting and on purpose wrong reporting. </w:t>
            </w:r>
          </w:p>
          <w:p w14:paraId="67E13C21" w14:textId="2B3C2A5F" w:rsidR="42911850" w:rsidRDefault="42911850">
            <w:pPr>
              <w:rPr>
                <w:noProof/>
              </w:rPr>
            </w:pPr>
            <w:r w:rsidRPr="42911850">
              <w:rPr>
                <w:rFonts w:ascii="Calibri" w:eastAsia="Calibri" w:hAnsi="Calibri" w:cs="Calibri"/>
                <w:noProof/>
                <w:sz w:val="16"/>
                <w:szCs w:val="16"/>
              </w:rPr>
              <w:t>No difference is made between legal and natural persons for the purpose of application of penalties.</w:t>
            </w:r>
            <w:r w:rsidRPr="42911850">
              <w:rPr>
                <w:rFonts w:ascii="Calibri" w:eastAsia="Calibri" w:hAnsi="Calibri" w:cs="Calibri"/>
                <w:noProof/>
                <w:sz w:val="18"/>
                <w:szCs w:val="18"/>
              </w:rPr>
              <w:t xml:space="preserve"> </w:t>
            </w:r>
          </w:p>
          <w:p w14:paraId="541A4028" w14:textId="72F5C3B7"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70AA2687" w14:textId="79CF72DC" w:rsidR="42911850" w:rsidRDefault="42911850">
            <w:pPr>
              <w:rPr>
                <w:noProof/>
              </w:rPr>
            </w:pPr>
            <w:r w:rsidRPr="42911850">
              <w:rPr>
                <w:rFonts w:ascii="Calibri" w:eastAsia="Calibri" w:hAnsi="Calibri" w:cs="Calibri"/>
                <w:noProof/>
                <w:sz w:val="18"/>
                <w:szCs w:val="18"/>
              </w:rPr>
              <w:t xml:space="preserve">Fixed penalty for failure to fulfil an obligation under DAC2 is EUR 19,045, plus EUR 2,535 for each day the failure continues. </w:t>
            </w:r>
          </w:p>
        </w:tc>
        <w:tc>
          <w:tcPr>
            <w:tcW w:w="2175" w:type="dxa"/>
            <w:tcBorders>
              <w:top w:val="single" w:sz="8" w:space="0" w:color="auto"/>
              <w:left w:val="single" w:sz="8" w:space="0" w:color="auto"/>
              <w:bottom w:val="single" w:sz="8" w:space="0" w:color="auto"/>
              <w:right w:val="single" w:sz="8" w:space="0" w:color="auto"/>
            </w:tcBorders>
          </w:tcPr>
          <w:p w14:paraId="11EDFF4B" w14:textId="490296CA" w:rsidR="42911850" w:rsidRDefault="42911850">
            <w:pPr>
              <w:rPr>
                <w:noProof/>
              </w:rPr>
            </w:pPr>
            <w:r w:rsidRPr="42911850">
              <w:rPr>
                <w:rFonts w:ascii="Calibri" w:eastAsia="Calibri" w:hAnsi="Calibri" w:cs="Calibri"/>
                <w:noProof/>
                <w:sz w:val="18"/>
                <w:szCs w:val="18"/>
              </w:rPr>
              <w:t>Fixed penalty for failure to fulfil an obligation under DAC2 is EUR 19,045, plus EUR 2,535 for each day the failure continues.</w:t>
            </w:r>
          </w:p>
        </w:tc>
      </w:tr>
      <w:tr w:rsidR="42911850" w14:paraId="67D89F98" w14:textId="77777777" w:rsidTr="42911850">
        <w:trPr>
          <w:trHeight w:val="45"/>
        </w:trPr>
        <w:tc>
          <w:tcPr>
            <w:tcW w:w="638" w:type="dxa"/>
            <w:vMerge/>
            <w:tcBorders>
              <w:left w:val="single" w:sz="0" w:space="0" w:color="auto"/>
              <w:right w:val="single" w:sz="0" w:space="0" w:color="auto"/>
            </w:tcBorders>
            <w:vAlign w:val="center"/>
          </w:tcPr>
          <w:p w14:paraId="4E510178"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7D495925" w14:textId="6C6D77F2"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07218116" w14:textId="327D566A" w:rsidR="42911850" w:rsidRDefault="00717751" w:rsidP="00AE537F">
            <w:pPr>
              <w:spacing w:line="276" w:lineRule="auto"/>
              <w:rPr>
                <w:rFonts w:ascii="Calibri" w:eastAsia="Calibri" w:hAnsi="Calibri" w:cs="Calibri"/>
                <w:noProof/>
                <w:sz w:val="16"/>
                <w:szCs w:val="16"/>
              </w:rPr>
            </w:pPr>
            <w:r>
              <w:rPr>
                <w:rFonts w:ascii="Calibri" w:eastAsia="Calibri" w:hAnsi="Calibri" w:cs="Calibri"/>
                <w:noProof/>
                <w:sz w:val="16"/>
                <w:szCs w:val="16"/>
              </w:rPr>
              <w:t xml:space="preserve">No reporting, late reporting, </w:t>
            </w:r>
            <w:r w:rsidR="42911850" w:rsidRPr="42911850">
              <w:rPr>
                <w:rFonts w:ascii="Calibri" w:eastAsia="Calibri" w:hAnsi="Calibri" w:cs="Calibri"/>
                <w:noProof/>
                <w:sz w:val="16"/>
                <w:szCs w:val="16"/>
              </w:rPr>
              <w:t>wrong reporting and partial reporting are covered. No distinction is made between on purpose wrong reporting and wrong reporting.</w:t>
            </w:r>
          </w:p>
          <w:p w14:paraId="6D470070" w14:textId="4207AB3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No difference is made between legal and natural persons for the purpose of application of penalties.</w:t>
            </w:r>
          </w:p>
          <w:p w14:paraId="17131185" w14:textId="4D0DB751"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242E3045" w14:textId="1123D90C" w:rsidR="42911850" w:rsidRDefault="42911850">
            <w:pPr>
              <w:rPr>
                <w:noProof/>
              </w:rPr>
            </w:pPr>
            <w:r w:rsidRPr="42911850">
              <w:rPr>
                <w:rFonts w:ascii="Calibri" w:eastAsia="Calibri" w:hAnsi="Calibri" w:cs="Calibri"/>
                <w:noProof/>
                <w:sz w:val="16"/>
                <w:szCs w:val="16"/>
              </w:rPr>
              <w:t>Fixed penalty for failure to file a CbC Report / Equivalent CbC Report is EUR 19,045, plus EUR 2,535 for each day the failure continues. The penalty for filing an incomplete or incorrect CbC Report / Equivalent CbC Report is EUR 19,045.</w:t>
            </w:r>
          </w:p>
        </w:tc>
        <w:tc>
          <w:tcPr>
            <w:tcW w:w="2175" w:type="dxa"/>
            <w:tcBorders>
              <w:top w:val="single" w:sz="8" w:space="0" w:color="auto"/>
              <w:left w:val="single" w:sz="8" w:space="0" w:color="auto"/>
              <w:bottom w:val="single" w:sz="8" w:space="0" w:color="auto"/>
              <w:right w:val="single" w:sz="8" w:space="0" w:color="auto"/>
            </w:tcBorders>
          </w:tcPr>
          <w:p w14:paraId="52E99F88" w14:textId="14068096" w:rsidR="42911850" w:rsidRDefault="42911850">
            <w:pPr>
              <w:rPr>
                <w:noProof/>
              </w:rPr>
            </w:pPr>
            <w:r w:rsidRPr="42911850">
              <w:rPr>
                <w:rFonts w:ascii="Calibri" w:eastAsia="Calibri" w:hAnsi="Calibri" w:cs="Calibri"/>
                <w:noProof/>
                <w:sz w:val="16"/>
                <w:szCs w:val="16"/>
              </w:rPr>
              <w:t>Fixed penalty for failure to file a CbC Report / Equivalent CbC Report is EUR 19,045, plus EUR 2,535 for each day the failure continues. The penalty for filing an incomplete or incorrect CbC Report / Equivalent CbC Report is EUR 19,045.</w:t>
            </w:r>
          </w:p>
        </w:tc>
      </w:tr>
      <w:tr w:rsidR="42911850" w14:paraId="4C631660"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02FD7B5B"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22C62626" w14:textId="2F7ADEE7"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45C94A1D" w14:textId="28ACF2FC"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No reporting, late reporting, on purpose wrong reporting and partial reporting are not explicitly mentioned as punishable. What is punishable is the “failure to comply with any of the obligations” concerning the provision of information. This would appear to cover no reporting, late reporting, on purpose wrong reporting and partial reporting. </w:t>
            </w:r>
          </w:p>
          <w:p w14:paraId="6140E87E" w14:textId="645CA823" w:rsidR="42911850" w:rsidRDefault="42911850">
            <w:pPr>
              <w:rPr>
                <w:noProof/>
              </w:rPr>
            </w:pPr>
            <w:r w:rsidRPr="42911850">
              <w:rPr>
                <w:rFonts w:ascii="Calibri" w:eastAsia="Calibri" w:hAnsi="Calibri" w:cs="Calibri"/>
                <w:noProof/>
                <w:sz w:val="16"/>
                <w:szCs w:val="16"/>
              </w:rPr>
              <w:t>No difference is made between legal and natural persons for the purpose of application of penalties.</w:t>
            </w:r>
          </w:p>
          <w:p w14:paraId="7B1761BD" w14:textId="431504E6"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092A1D0A" w14:textId="426890C8" w:rsidR="42911850" w:rsidRDefault="42911850">
            <w:pPr>
              <w:rPr>
                <w:noProof/>
              </w:rPr>
            </w:pPr>
            <w:r w:rsidRPr="42911850">
              <w:rPr>
                <w:rFonts w:ascii="Calibri" w:eastAsia="Calibri" w:hAnsi="Calibri" w:cs="Calibri"/>
                <w:noProof/>
                <w:sz w:val="16"/>
                <w:szCs w:val="16"/>
              </w:rPr>
              <w:t>No minimum for the initial breach of obligations.</w:t>
            </w:r>
          </w:p>
        </w:tc>
        <w:tc>
          <w:tcPr>
            <w:tcW w:w="2175" w:type="dxa"/>
            <w:tcBorders>
              <w:top w:val="single" w:sz="8" w:space="0" w:color="auto"/>
              <w:left w:val="single" w:sz="8" w:space="0" w:color="auto"/>
              <w:bottom w:val="single" w:sz="8" w:space="0" w:color="auto"/>
              <w:right w:val="single" w:sz="8" w:space="0" w:color="auto"/>
            </w:tcBorders>
          </w:tcPr>
          <w:p w14:paraId="75D5DDAB" w14:textId="080196A6" w:rsidR="42911850" w:rsidRDefault="42911850">
            <w:pPr>
              <w:rPr>
                <w:noProof/>
              </w:rPr>
            </w:pPr>
            <w:r w:rsidRPr="42911850">
              <w:rPr>
                <w:rFonts w:ascii="Calibri" w:eastAsia="Calibri" w:hAnsi="Calibri" w:cs="Calibri"/>
                <w:noProof/>
                <w:sz w:val="16"/>
                <w:szCs w:val="16"/>
              </w:rPr>
              <w:t>The penalties are EUR 4.000/5.000 for the initial breach of obligations and EUR 100/500 per day as long as the breach continues after the initial penalty (PS: it would seem a good idea that DAC8 would introduce per diem penalties as well).</w:t>
            </w:r>
          </w:p>
        </w:tc>
      </w:tr>
      <w:tr w:rsidR="42911850" w14:paraId="0FD2E249"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2CB3F210" w14:textId="4D1E306A" w:rsidR="42911850" w:rsidRDefault="42911850">
            <w:pPr>
              <w:rPr>
                <w:noProof/>
              </w:rPr>
            </w:pPr>
            <w:r w:rsidRPr="42911850">
              <w:rPr>
                <w:rFonts w:ascii="Calibri" w:eastAsia="Calibri" w:hAnsi="Calibri" w:cs="Calibri"/>
                <w:b/>
                <w:bCs/>
                <w:noProof/>
                <w:sz w:val="18"/>
                <w:szCs w:val="18"/>
              </w:rPr>
              <w:t>IT</w:t>
            </w:r>
          </w:p>
        </w:tc>
        <w:tc>
          <w:tcPr>
            <w:tcW w:w="1025" w:type="dxa"/>
            <w:tcBorders>
              <w:top w:val="single" w:sz="8" w:space="0" w:color="auto"/>
              <w:left w:val="single" w:sz="8" w:space="0" w:color="auto"/>
              <w:bottom w:val="single" w:sz="8" w:space="0" w:color="auto"/>
              <w:right w:val="single" w:sz="8" w:space="0" w:color="auto"/>
            </w:tcBorders>
          </w:tcPr>
          <w:p w14:paraId="2E86739E" w14:textId="749EDCE7" w:rsidR="42911850" w:rsidRDefault="42911850">
            <w:pPr>
              <w:rPr>
                <w:noProof/>
              </w:rPr>
            </w:pPr>
            <w:r w:rsidRPr="42911850">
              <w:rPr>
                <w:rFonts w:ascii="Calibri" w:eastAsia="Calibri" w:hAnsi="Calibri" w:cs="Calibri"/>
                <w:noProof/>
                <w:sz w:val="18"/>
                <w:szCs w:val="18"/>
              </w:rPr>
              <w:t xml:space="preserve">DAC Art. 9 as implemented by Article 9 of Law n.95/2015 (FATCA) </w:t>
            </w:r>
          </w:p>
        </w:tc>
        <w:tc>
          <w:tcPr>
            <w:tcW w:w="3765" w:type="dxa"/>
            <w:tcBorders>
              <w:top w:val="single" w:sz="8" w:space="0" w:color="auto"/>
              <w:left w:val="single" w:sz="8" w:space="0" w:color="auto"/>
              <w:bottom w:val="single" w:sz="8" w:space="0" w:color="auto"/>
              <w:right w:val="single" w:sz="8" w:space="0" w:color="auto"/>
            </w:tcBorders>
          </w:tcPr>
          <w:p w14:paraId="059A1625" w14:textId="4B74E127"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Material: Violations (omission, incomplete, false) of reporting obligations. </w:t>
            </w:r>
          </w:p>
          <w:p w14:paraId="480618BA" w14:textId="2BF634E2"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Personal:  financial intermediaries (Article 10,1 of Legislative Decree n. 471/1997)</w:t>
            </w:r>
          </w:p>
          <w:p w14:paraId="1F8BF683" w14:textId="14C5C7C4"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Individual/cumulative application:  the Italian legislation does not provide details on whether penalties apply per individual infringement or cumulative for a number of breaches together. </w:t>
            </w:r>
          </w:p>
        </w:tc>
        <w:tc>
          <w:tcPr>
            <w:tcW w:w="1757" w:type="dxa"/>
            <w:tcBorders>
              <w:top w:val="single" w:sz="8" w:space="0" w:color="auto"/>
              <w:left w:val="single" w:sz="8" w:space="0" w:color="auto"/>
              <w:bottom w:val="single" w:sz="8" w:space="0" w:color="auto"/>
              <w:right w:val="single" w:sz="8" w:space="0" w:color="auto"/>
            </w:tcBorders>
          </w:tcPr>
          <w:p w14:paraId="760AC3F9" w14:textId="77A33A31" w:rsidR="42911850" w:rsidRDefault="42911850">
            <w:pPr>
              <w:rPr>
                <w:noProof/>
              </w:rPr>
            </w:pPr>
            <w:r w:rsidRPr="42911850">
              <w:rPr>
                <w:rFonts w:ascii="Calibri" w:eastAsia="Calibri" w:hAnsi="Calibri" w:cs="Calibri"/>
                <w:noProof/>
                <w:sz w:val="16"/>
                <w:szCs w:val="16"/>
              </w:rPr>
              <w:t>From 2,000 EUR</w:t>
            </w:r>
          </w:p>
        </w:tc>
        <w:tc>
          <w:tcPr>
            <w:tcW w:w="2175" w:type="dxa"/>
            <w:tcBorders>
              <w:top w:val="single" w:sz="8" w:space="0" w:color="auto"/>
              <w:left w:val="single" w:sz="8" w:space="0" w:color="auto"/>
              <w:bottom w:val="single" w:sz="8" w:space="0" w:color="auto"/>
              <w:right w:val="single" w:sz="8" w:space="0" w:color="auto"/>
            </w:tcBorders>
          </w:tcPr>
          <w:p w14:paraId="6715E2DA" w14:textId="4DD663DA" w:rsidR="42911850" w:rsidRDefault="42911850">
            <w:pPr>
              <w:rPr>
                <w:noProof/>
              </w:rPr>
            </w:pPr>
            <w:r w:rsidRPr="42911850">
              <w:rPr>
                <w:rFonts w:ascii="Calibri" w:eastAsia="Calibri" w:hAnsi="Calibri" w:cs="Calibri"/>
                <w:noProof/>
                <w:sz w:val="16"/>
                <w:szCs w:val="16"/>
              </w:rPr>
              <w:t>21,000 EUR</w:t>
            </w:r>
          </w:p>
        </w:tc>
      </w:tr>
      <w:tr w:rsidR="42911850" w14:paraId="1126EDA6" w14:textId="77777777" w:rsidTr="42911850">
        <w:trPr>
          <w:trHeight w:val="465"/>
        </w:trPr>
        <w:tc>
          <w:tcPr>
            <w:tcW w:w="638" w:type="dxa"/>
            <w:vMerge/>
            <w:tcBorders>
              <w:left w:val="single" w:sz="0" w:space="0" w:color="auto"/>
              <w:right w:val="single" w:sz="0" w:space="0" w:color="auto"/>
            </w:tcBorders>
            <w:vAlign w:val="center"/>
          </w:tcPr>
          <w:p w14:paraId="5F8C488D"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323741A6" w14:textId="31A0E457" w:rsidR="42911850" w:rsidRDefault="42911850">
            <w:pPr>
              <w:rPr>
                <w:noProof/>
              </w:rPr>
            </w:pPr>
            <w:r w:rsidRPr="42911850">
              <w:rPr>
                <w:rFonts w:ascii="Calibri" w:eastAsia="Calibri" w:hAnsi="Calibri" w:cs="Calibri"/>
                <w:noProof/>
                <w:sz w:val="16"/>
                <w:szCs w:val="16"/>
              </w:rPr>
              <w:t>DAC 4 as implemented by Article 145 of Law 208/2015</w:t>
            </w:r>
          </w:p>
        </w:tc>
        <w:tc>
          <w:tcPr>
            <w:tcW w:w="3765" w:type="dxa"/>
            <w:tcBorders>
              <w:top w:val="single" w:sz="8" w:space="0" w:color="auto"/>
              <w:left w:val="single" w:sz="8" w:space="0" w:color="auto"/>
              <w:bottom w:val="single" w:sz="8" w:space="0" w:color="auto"/>
              <w:right w:val="single" w:sz="8" w:space="0" w:color="auto"/>
            </w:tcBorders>
          </w:tcPr>
          <w:p w14:paraId="126B1C4D" w14:textId="05671098" w:rsidR="42911850" w:rsidRDefault="42911850">
            <w:pPr>
              <w:rPr>
                <w:noProof/>
              </w:rPr>
            </w:pPr>
            <w:r w:rsidRPr="42911850">
              <w:rPr>
                <w:rFonts w:ascii="Calibri" w:eastAsia="Calibri" w:hAnsi="Calibri" w:cs="Calibri"/>
                <w:noProof/>
                <w:sz w:val="16"/>
                <w:szCs w:val="16"/>
              </w:rPr>
              <w:t xml:space="preserve">Material: Violations (omission, incomplete and false) reporting obligations </w:t>
            </w:r>
          </w:p>
          <w:p w14:paraId="1FAD48A4" w14:textId="5EC1DB07" w:rsidR="42911850" w:rsidRDefault="42911850">
            <w:pPr>
              <w:rPr>
                <w:noProof/>
              </w:rPr>
            </w:pPr>
            <w:r w:rsidRPr="42911850">
              <w:rPr>
                <w:rFonts w:ascii="Calibri" w:eastAsia="Calibri" w:hAnsi="Calibri" w:cs="Calibri"/>
                <w:noProof/>
                <w:sz w:val="16"/>
                <w:szCs w:val="16"/>
              </w:rPr>
              <w:t>Personal:  the controlling company of the MNE in Italy</w:t>
            </w:r>
          </w:p>
          <w:p w14:paraId="1CC2193D" w14:textId="0B2E37A7" w:rsidR="42911850" w:rsidRDefault="42911850">
            <w:pPr>
              <w:rPr>
                <w:noProof/>
              </w:rPr>
            </w:pPr>
            <w:r w:rsidRPr="42911850">
              <w:rPr>
                <w:rFonts w:ascii="Calibri" w:eastAsia="Calibri" w:hAnsi="Calibri" w:cs="Calibri"/>
                <w:noProof/>
                <w:sz w:val="16"/>
                <w:szCs w:val="16"/>
              </w:rPr>
              <w:t xml:space="preserve">Individual/cumulative application:  the Italian legislation does not provide details on whether penalties apply per individual infringement or cumulative for a number of breaches together. </w:t>
            </w:r>
          </w:p>
        </w:tc>
        <w:tc>
          <w:tcPr>
            <w:tcW w:w="1757" w:type="dxa"/>
            <w:tcBorders>
              <w:top w:val="single" w:sz="8" w:space="0" w:color="auto"/>
              <w:left w:val="single" w:sz="8" w:space="0" w:color="auto"/>
              <w:bottom w:val="single" w:sz="8" w:space="0" w:color="auto"/>
              <w:right w:val="single" w:sz="8" w:space="0" w:color="auto"/>
            </w:tcBorders>
          </w:tcPr>
          <w:p w14:paraId="656DDAA8" w14:textId="145BB524" w:rsidR="42911850" w:rsidRDefault="42911850">
            <w:pPr>
              <w:rPr>
                <w:noProof/>
              </w:rPr>
            </w:pPr>
            <w:r w:rsidRPr="42911850">
              <w:rPr>
                <w:rFonts w:ascii="Calibri" w:eastAsia="Calibri" w:hAnsi="Calibri" w:cs="Calibri"/>
                <w:noProof/>
                <w:sz w:val="16"/>
                <w:szCs w:val="16"/>
              </w:rPr>
              <w:t xml:space="preserve">From 10,000 EUR </w:t>
            </w:r>
          </w:p>
        </w:tc>
        <w:tc>
          <w:tcPr>
            <w:tcW w:w="2175" w:type="dxa"/>
            <w:tcBorders>
              <w:top w:val="single" w:sz="8" w:space="0" w:color="auto"/>
              <w:left w:val="single" w:sz="8" w:space="0" w:color="auto"/>
              <w:bottom w:val="single" w:sz="8" w:space="0" w:color="auto"/>
              <w:right w:val="single" w:sz="8" w:space="0" w:color="auto"/>
            </w:tcBorders>
          </w:tcPr>
          <w:p w14:paraId="172D8AE1" w14:textId="3AD03081" w:rsidR="42911850" w:rsidRDefault="42911850">
            <w:pPr>
              <w:rPr>
                <w:noProof/>
              </w:rPr>
            </w:pPr>
            <w:r w:rsidRPr="42911850">
              <w:rPr>
                <w:rFonts w:ascii="Calibri" w:eastAsia="Calibri" w:hAnsi="Calibri" w:cs="Calibri"/>
                <w:noProof/>
                <w:sz w:val="16"/>
                <w:szCs w:val="16"/>
              </w:rPr>
              <w:t>50,000 EUR</w:t>
            </w:r>
          </w:p>
        </w:tc>
      </w:tr>
      <w:tr w:rsidR="42911850" w14:paraId="6FFDBFE2"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651DA98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0202210" w14:textId="401A8355" w:rsidR="42911850" w:rsidRDefault="42911850">
            <w:pPr>
              <w:rPr>
                <w:noProof/>
              </w:rPr>
            </w:pPr>
            <w:r w:rsidRPr="42911850">
              <w:rPr>
                <w:rFonts w:ascii="Calibri" w:eastAsia="Calibri" w:hAnsi="Calibri" w:cs="Calibri"/>
                <w:noProof/>
                <w:sz w:val="18"/>
                <w:szCs w:val="18"/>
              </w:rPr>
              <w:t>DAC 6 as implemented by Article 12 of Legislative Decree. n. 100/2020</w:t>
            </w:r>
          </w:p>
        </w:tc>
        <w:tc>
          <w:tcPr>
            <w:tcW w:w="3765" w:type="dxa"/>
            <w:tcBorders>
              <w:top w:val="single" w:sz="8" w:space="0" w:color="auto"/>
              <w:left w:val="single" w:sz="8" w:space="0" w:color="auto"/>
              <w:bottom w:val="single" w:sz="8" w:space="0" w:color="auto"/>
              <w:right w:val="single" w:sz="8" w:space="0" w:color="auto"/>
            </w:tcBorders>
          </w:tcPr>
          <w:p w14:paraId="2DB47F32" w14:textId="74887484" w:rsidR="42911850" w:rsidRDefault="42911850">
            <w:pPr>
              <w:rPr>
                <w:noProof/>
              </w:rPr>
            </w:pPr>
            <w:r w:rsidRPr="42911850">
              <w:rPr>
                <w:rFonts w:ascii="Calibri" w:eastAsia="Calibri" w:hAnsi="Calibri" w:cs="Calibri"/>
                <w:noProof/>
                <w:color w:val="000000" w:themeColor="text1"/>
                <w:sz w:val="16"/>
                <w:szCs w:val="16"/>
              </w:rPr>
              <w:t xml:space="preserve">Material scope: </w:t>
            </w:r>
          </w:p>
          <w:p w14:paraId="2F9A90DD" w14:textId="4FDB6DB7" w:rsidR="42911850" w:rsidRDefault="42911850" w:rsidP="00AE537F">
            <w:pPr>
              <w:pStyle w:val="ListParagraph"/>
              <w:numPr>
                <w:ilvl w:val="0"/>
                <w:numId w:val="28"/>
              </w:numPr>
              <w:rPr>
                <w:rFonts w:eastAsiaTheme="minorEastAsia"/>
                <w:noProof/>
                <w:color w:val="000000" w:themeColor="text1"/>
                <w:sz w:val="16"/>
                <w:szCs w:val="16"/>
              </w:rPr>
            </w:pPr>
            <w:r w:rsidRPr="42911850">
              <w:rPr>
                <w:noProof/>
                <w:color w:val="000000" w:themeColor="text1"/>
                <w:sz w:val="16"/>
                <w:szCs w:val="16"/>
              </w:rPr>
              <w:t xml:space="preserve"> Failure to report</w:t>
            </w:r>
            <w:r w:rsidRPr="42911850">
              <w:rPr>
                <w:rFonts w:ascii="Roboto" w:eastAsia="Roboto" w:hAnsi="Roboto" w:cs="Roboto"/>
                <w:noProof/>
                <w:color w:val="000000" w:themeColor="text1"/>
                <w:sz w:val="16"/>
                <w:szCs w:val="16"/>
              </w:rPr>
              <w:t xml:space="preserve"> </w:t>
            </w:r>
            <w:r w:rsidRPr="42911850">
              <w:rPr>
                <w:noProof/>
                <w:sz w:val="16"/>
                <w:szCs w:val="16"/>
              </w:rPr>
              <w:t xml:space="preserve"> </w:t>
            </w:r>
          </w:p>
          <w:p w14:paraId="6B9904E6" w14:textId="3B4E23E7" w:rsidR="42911850" w:rsidRDefault="42911850" w:rsidP="00AE537F">
            <w:pPr>
              <w:pStyle w:val="ListParagraph"/>
              <w:numPr>
                <w:ilvl w:val="0"/>
                <w:numId w:val="28"/>
              </w:numPr>
              <w:rPr>
                <w:rFonts w:eastAsiaTheme="minorEastAsia"/>
                <w:noProof/>
                <w:sz w:val="16"/>
                <w:szCs w:val="16"/>
              </w:rPr>
            </w:pPr>
            <w:r w:rsidRPr="42911850">
              <w:rPr>
                <w:noProof/>
                <w:sz w:val="16"/>
                <w:szCs w:val="16"/>
              </w:rPr>
              <w:t>Incomplete reporting (with a reduction to 50% if the reporting of the cross-border arrangement is filed within 15 days of the deadline)</w:t>
            </w:r>
          </w:p>
          <w:p w14:paraId="10256CE2" w14:textId="0C1FA627" w:rsidR="42911850" w:rsidRDefault="42911850" w:rsidP="00AE537F">
            <w:pPr>
              <w:pStyle w:val="ListParagraph"/>
              <w:numPr>
                <w:ilvl w:val="0"/>
                <w:numId w:val="28"/>
              </w:numPr>
              <w:rPr>
                <w:rFonts w:eastAsiaTheme="minorEastAsia"/>
                <w:noProof/>
                <w:sz w:val="16"/>
                <w:szCs w:val="16"/>
              </w:rPr>
            </w:pPr>
            <w:r w:rsidRPr="42911850">
              <w:rPr>
                <w:noProof/>
                <w:sz w:val="16"/>
                <w:szCs w:val="16"/>
              </w:rPr>
              <w:t>Multiple violations (Article 12 of Legislative Decree no. 472/1997)</w:t>
            </w:r>
            <w:r w:rsidRPr="42911850">
              <w:rPr>
                <w:noProof/>
                <w:color w:val="000000" w:themeColor="text1"/>
                <w:sz w:val="16"/>
                <w:szCs w:val="16"/>
              </w:rPr>
              <w:t xml:space="preserve"> the sanction to be imposed for the most serious infringement is increased by between </w:t>
            </w:r>
          </w:p>
          <w:p w14:paraId="555CD17B" w14:textId="0723041A" w:rsidR="42911850" w:rsidRDefault="42911850" w:rsidP="00AE537F">
            <w:pPr>
              <w:pStyle w:val="ListParagraph"/>
              <w:numPr>
                <w:ilvl w:val="0"/>
                <w:numId w:val="28"/>
              </w:numPr>
              <w:rPr>
                <w:rFonts w:eastAsiaTheme="minorEastAsia"/>
                <w:noProof/>
                <w:sz w:val="16"/>
                <w:szCs w:val="16"/>
              </w:rPr>
            </w:pPr>
            <w:r w:rsidRPr="42911850">
              <w:rPr>
                <w:noProof/>
                <w:sz w:val="16"/>
                <w:szCs w:val="16"/>
              </w:rPr>
              <w:t>In case of Voluntary amendment, a reduction is provided for.</w:t>
            </w:r>
          </w:p>
          <w:p w14:paraId="44D256FC" w14:textId="157032BE"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Personal scope: </w:t>
            </w:r>
            <w:r w:rsidRPr="42911850">
              <w:rPr>
                <w:rFonts w:ascii="Calibri" w:eastAsia="Calibri" w:hAnsi="Calibri" w:cs="Calibri"/>
                <w:noProof/>
                <w:color w:val="000000" w:themeColor="text1"/>
                <w:sz w:val="16"/>
                <w:szCs w:val="16"/>
              </w:rPr>
              <w:t>by intermediary or taxpayer. W</w:t>
            </w:r>
            <w:r w:rsidRPr="42911850">
              <w:rPr>
                <w:rFonts w:ascii="Calibri" w:eastAsia="Calibri" w:hAnsi="Calibri" w:cs="Calibri"/>
                <w:noProof/>
                <w:sz w:val="16"/>
                <w:szCs w:val="16"/>
              </w:rPr>
              <w:t>here the intermediary is a company or entity with legal personality, the penalties are imposed on the legal entity, itself.  If the infringement is made by an entity without legal personality, the penalties are imposed on the individual who is required to report. That person is the individual in charge of the professional engagement relating to the reportable cross-border arrangement.</w:t>
            </w:r>
          </w:p>
          <w:p w14:paraId="661D7559" w14:textId="3EF915D0" w:rsidR="42911850" w:rsidRDefault="42911850" w:rsidP="00AE537F">
            <w:pPr>
              <w:jc w:val="both"/>
              <w:rPr>
                <w:rFonts w:ascii="Calibri" w:eastAsia="Calibri" w:hAnsi="Calibri" w:cs="Calibri"/>
                <w:noProof/>
                <w:sz w:val="16"/>
                <w:szCs w:val="16"/>
              </w:rPr>
            </w:pPr>
            <w:r w:rsidRPr="42911850">
              <w:rPr>
                <w:rFonts w:ascii="Calibri" w:eastAsia="Calibri" w:hAnsi="Calibri" w:cs="Calibri"/>
                <w:noProof/>
                <w:sz w:val="16"/>
                <w:szCs w:val="16"/>
              </w:rPr>
              <w:t xml:space="preserve">Individual/cumulative application:  the Italian legislation does not provide details on whether penalties apply per individual infringement or cumulative for a number of breaches together. </w:t>
            </w:r>
          </w:p>
        </w:tc>
        <w:tc>
          <w:tcPr>
            <w:tcW w:w="1757" w:type="dxa"/>
            <w:tcBorders>
              <w:top w:val="single" w:sz="8" w:space="0" w:color="auto"/>
              <w:left w:val="single" w:sz="8" w:space="0" w:color="auto"/>
              <w:bottom w:val="single" w:sz="8" w:space="0" w:color="auto"/>
              <w:right w:val="single" w:sz="8" w:space="0" w:color="auto"/>
            </w:tcBorders>
          </w:tcPr>
          <w:p w14:paraId="568F5A7D" w14:textId="1055B287" w:rsidR="42911850" w:rsidRDefault="42911850">
            <w:pPr>
              <w:rPr>
                <w:noProof/>
              </w:rPr>
            </w:pPr>
            <w:r w:rsidRPr="42911850">
              <w:rPr>
                <w:rFonts w:ascii="Calibri" w:eastAsia="Calibri" w:hAnsi="Calibri" w:cs="Calibri"/>
                <w:noProof/>
                <w:sz w:val="16"/>
                <w:szCs w:val="16"/>
              </w:rPr>
              <w:t xml:space="preserve"> </w:t>
            </w:r>
          </w:p>
          <w:p w14:paraId="2FEACFBF" w14:textId="1CDED433" w:rsidR="42911850" w:rsidRDefault="42911850" w:rsidP="00AE537F">
            <w:pPr>
              <w:pStyle w:val="ListParagraph"/>
              <w:numPr>
                <w:ilvl w:val="0"/>
                <w:numId w:val="27"/>
              </w:numPr>
              <w:rPr>
                <w:rFonts w:eastAsiaTheme="minorEastAsia"/>
                <w:noProof/>
                <w:sz w:val="16"/>
                <w:szCs w:val="16"/>
              </w:rPr>
            </w:pPr>
            <w:r w:rsidRPr="42911850">
              <w:rPr>
                <w:noProof/>
                <w:sz w:val="16"/>
                <w:szCs w:val="16"/>
              </w:rPr>
              <w:t xml:space="preserve">From </w:t>
            </w:r>
            <w:r w:rsidRPr="42911850">
              <w:rPr>
                <w:noProof/>
                <w:color w:val="000000" w:themeColor="text1"/>
                <w:sz w:val="16"/>
                <w:szCs w:val="16"/>
              </w:rPr>
              <w:t>3,000 EUR</w:t>
            </w:r>
          </w:p>
          <w:p w14:paraId="2976AF22" w14:textId="2F329FAF" w:rsidR="42911850" w:rsidRDefault="42911850" w:rsidP="00AE537F">
            <w:pPr>
              <w:pStyle w:val="ListParagraph"/>
              <w:numPr>
                <w:ilvl w:val="0"/>
                <w:numId w:val="27"/>
              </w:numPr>
              <w:rPr>
                <w:rFonts w:eastAsiaTheme="minorEastAsia"/>
                <w:noProof/>
                <w:color w:val="000000" w:themeColor="text1"/>
                <w:sz w:val="16"/>
                <w:szCs w:val="16"/>
              </w:rPr>
            </w:pPr>
            <w:r w:rsidRPr="42911850">
              <w:rPr>
                <w:noProof/>
                <w:color w:val="000000" w:themeColor="text1"/>
                <w:sz w:val="16"/>
                <w:szCs w:val="16"/>
              </w:rPr>
              <w:t>From 1,000 EUR</w:t>
            </w:r>
          </w:p>
          <w:p w14:paraId="3F8C1751" w14:textId="4EAAD7CE" w:rsidR="42911850" w:rsidRDefault="42911850" w:rsidP="00AE537F">
            <w:pPr>
              <w:pStyle w:val="ListParagraph"/>
              <w:numPr>
                <w:ilvl w:val="0"/>
                <w:numId w:val="27"/>
              </w:numPr>
              <w:rPr>
                <w:rFonts w:eastAsiaTheme="minorEastAsia"/>
                <w:noProof/>
                <w:color w:val="000000" w:themeColor="text1"/>
                <w:sz w:val="16"/>
                <w:szCs w:val="16"/>
              </w:rPr>
            </w:pPr>
            <w:r w:rsidRPr="42911850">
              <w:rPr>
                <w:noProof/>
                <w:color w:val="000000" w:themeColor="text1"/>
                <w:sz w:val="16"/>
                <w:szCs w:val="16"/>
              </w:rPr>
              <w:t>Heavier sanction increased of a quarter</w:t>
            </w:r>
          </w:p>
          <w:p w14:paraId="3C443AEA" w14:textId="168FF496" w:rsidR="42911850" w:rsidRDefault="42911850" w:rsidP="00AE537F">
            <w:pPr>
              <w:rPr>
                <w:rFonts w:ascii="Calibri" w:eastAsia="Calibri" w:hAnsi="Calibri" w:cs="Calibri"/>
                <w:noProof/>
                <w:color w:val="000000" w:themeColor="text1"/>
                <w:sz w:val="16"/>
                <w:szCs w:val="16"/>
              </w:rPr>
            </w:pPr>
            <w:r w:rsidRPr="42911850">
              <w:rPr>
                <w:rFonts w:ascii="Calibri" w:eastAsia="Calibri" w:hAnsi="Calibri" w:cs="Calibri"/>
                <w:noProof/>
                <w:color w:val="000000" w:themeColor="text1"/>
                <w:sz w:val="16"/>
                <w:szCs w:val="16"/>
              </w:rPr>
              <w:t xml:space="preserve"> </w:t>
            </w:r>
          </w:p>
          <w:p w14:paraId="0F795B96" w14:textId="03F78697" w:rsidR="42911850" w:rsidRDefault="42911850" w:rsidP="00AE537F">
            <w:pPr>
              <w:pStyle w:val="ListParagraph"/>
              <w:numPr>
                <w:ilvl w:val="0"/>
                <w:numId w:val="27"/>
              </w:numPr>
              <w:rPr>
                <w:rFonts w:eastAsiaTheme="minorEastAsia"/>
                <w:noProof/>
                <w:color w:val="000000" w:themeColor="text1"/>
                <w:sz w:val="16"/>
                <w:szCs w:val="16"/>
              </w:rPr>
            </w:pPr>
            <w:r w:rsidRPr="42911850">
              <w:rPr>
                <w:noProof/>
                <w:color w:val="000000" w:themeColor="text1"/>
                <w:sz w:val="16"/>
                <w:szCs w:val="16"/>
              </w:rPr>
              <w:t xml:space="preserve">Not defined  </w:t>
            </w:r>
          </w:p>
        </w:tc>
        <w:tc>
          <w:tcPr>
            <w:tcW w:w="2175" w:type="dxa"/>
            <w:tcBorders>
              <w:top w:val="single" w:sz="8" w:space="0" w:color="auto"/>
              <w:left w:val="single" w:sz="8" w:space="0" w:color="auto"/>
              <w:bottom w:val="single" w:sz="8" w:space="0" w:color="auto"/>
              <w:right w:val="single" w:sz="8" w:space="0" w:color="auto"/>
            </w:tcBorders>
          </w:tcPr>
          <w:p w14:paraId="646DC2EF" w14:textId="0EB03601" w:rsidR="42911850" w:rsidRDefault="42911850">
            <w:pPr>
              <w:rPr>
                <w:noProof/>
              </w:rPr>
            </w:pPr>
            <w:r w:rsidRPr="42911850">
              <w:rPr>
                <w:rFonts w:ascii="Calibri" w:eastAsia="Calibri" w:hAnsi="Calibri" w:cs="Calibri"/>
                <w:noProof/>
                <w:color w:val="000000" w:themeColor="text1"/>
                <w:sz w:val="16"/>
                <w:szCs w:val="16"/>
              </w:rPr>
              <w:t xml:space="preserve"> </w:t>
            </w:r>
          </w:p>
          <w:p w14:paraId="6E7401A7" w14:textId="36EF1E63" w:rsidR="42911850" w:rsidRDefault="42911850" w:rsidP="00AE537F">
            <w:pPr>
              <w:pStyle w:val="ListParagraph"/>
              <w:numPr>
                <w:ilvl w:val="0"/>
                <w:numId w:val="26"/>
              </w:numPr>
              <w:rPr>
                <w:rFonts w:eastAsiaTheme="minorEastAsia"/>
                <w:noProof/>
                <w:color w:val="000000" w:themeColor="text1"/>
                <w:sz w:val="16"/>
                <w:szCs w:val="16"/>
              </w:rPr>
            </w:pPr>
            <w:r w:rsidRPr="42911850">
              <w:rPr>
                <w:noProof/>
                <w:color w:val="000000" w:themeColor="text1"/>
                <w:sz w:val="16"/>
                <w:szCs w:val="16"/>
              </w:rPr>
              <w:t>31,5000</w:t>
            </w:r>
            <w:r w:rsidRPr="42911850">
              <w:rPr>
                <w:noProof/>
                <w:sz w:val="16"/>
                <w:szCs w:val="16"/>
              </w:rPr>
              <w:t xml:space="preserve"> EUR</w:t>
            </w:r>
          </w:p>
          <w:p w14:paraId="1CE87078" w14:textId="72D88D32" w:rsidR="42911850" w:rsidRDefault="42911850" w:rsidP="00AE537F">
            <w:pPr>
              <w:pStyle w:val="ListParagraph"/>
              <w:numPr>
                <w:ilvl w:val="0"/>
                <w:numId w:val="26"/>
              </w:numPr>
              <w:rPr>
                <w:rFonts w:eastAsiaTheme="minorEastAsia"/>
                <w:noProof/>
                <w:sz w:val="16"/>
                <w:szCs w:val="16"/>
              </w:rPr>
            </w:pPr>
            <w:r w:rsidRPr="42911850">
              <w:rPr>
                <w:noProof/>
                <w:sz w:val="16"/>
                <w:szCs w:val="16"/>
              </w:rPr>
              <w:t>10,500 EUR</w:t>
            </w:r>
          </w:p>
          <w:p w14:paraId="4ED8057A" w14:textId="1C75984B" w:rsidR="42911850" w:rsidRDefault="42911850" w:rsidP="00AE537F">
            <w:pPr>
              <w:pStyle w:val="ListParagraph"/>
              <w:numPr>
                <w:ilvl w:val="0"/>
                <w:numId w:val="26"/>
              </w:numPr>
              <w:rPr>
                <w:rFonts w:eastAsiaTheme="minorEastAsia"/>
                <w:noProof/>
                <w:sz w:val="16"/>
                <w:szCs w:val="16"/>
              </w:rPr>
            </w:pPr>
            <w:r w:rsidRPr="42911850">
              <w:rPr>
                <w:noProof/>
                <w:sz w:val="16"/>
                <w:szCs w:val="16"/>
              </w:rPr>
              <w:t xml:space="preserve">Heavier sanction increased of double  </w:t>
            </w:r>
          </w:p>
          <w:p w14:paraId="1E8FF263" w14:textId="57E2348B"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704929DF" w14:textId="308130DD" w:rsidR="42911850" w:rsidRDefault="42911850" w:rsidP="00AE537F">
            <w:pPr>
              <w:pStyle w:val="ListParagraph"/>
              <w:numPr>
                <w:ilvl w:val="0"/>
                <w:numId w:val="26"/>
              </w:numPr>
              <w:rPr>
                <w:rFonts w:eastAsiaTheme="minorEastAsia"/>
                <w:noProof/>
                <w:sz w:val="16"/>
                <w:szCs w:val="16"/>
              </w:rPr>
            </w:pPr>
            <w:r w:rsidRPr="42911850">
              <w:rPr>
                <w:noProof/>
                <w:sz w:val="16"/>
                <w:szCs w:val="16"/>
              </w:rPr>
              <w:t>Not defined</w:t>
            </w:r>
          </w:p>
        </w:tc>
      </w:tr>
      <w:tr w:rsidR="42911850" w14:paraId="256211B8"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0E387CF1" w14:textId="0E675B8F" w:rsidR="42911850" w:rsidRDefault="42911850">
            <w:pPr>
              <w:rPr>
                <w:noProof/>
              </w:rPr>
            </w:pPr>
            <w:r w:rsidRPr="42911850">
              <w:rPr>
                <w:rFonts w:ascii="Calibri" w:eastAsia="Calibri" w:hAnsi="Calibri" w:cs="Calibri"/>
                <w:b/>
                <w:bCs/>
                <w:noProof/>
                <w:sz w:val="18"/>
                <w:szCs w:val="18"/>
              </w:rPr>
              <w:t>LT</w:t>
            </w:r>
          </w:p>
        </w:tc>
        <w:tc>
          <w:tcPr>
            <w:tcW w:w="1025" w:type="dxa"/>
            <w:tcBorders>
              <w:top w:val="single" w:sz="8" w:space="0" w:color="auto"/>
              <w:left w:val="single" w:sz="8" w:space="0" w:color="auto"/>
              <w:bottom w:val="single" w:sz="8" w:space="0" w:color="auto"/>
              <w:right w:val="single" w:sz="8" w:space="0" w:color="auto"/>
            </w:tcBorders>
          </w:tcPr>
          <w:p w14:paraId="474ACB97" w14:textId="6B76BF3C"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4E81DAF5" w14:textId="2FD9E5B8" w:rsidR="42911850" w:rsidRDefault="42911850">
            <w:pPr>
              <w:rPr>
                <w:noProof/>
              </w:rPr>
            </w:pPr>
            <w:r w:rsidRPr="42911850">
              <w:rPr>
                <w:rFonts w:ascii="Calibri" w:eastAsia="Calibri" w:hAnsi="Calibri" w:cs="Calibri"/>
                <w:b/>
                <w:bCs/>
                <w:noProof/>
                <w:sz w:val="16"/>
                <w:szCs w:val="16"/>
                <w:u w:val="single"/>
              </w:rPr>
              <w:t>Scope ratione materiae</w:t>
            </w:r>
          </w:p>
          <w:p w14:paraId="065CFF4D" w14:textId="509B703C" w:rsidR="42911850" w:rsidRDefault="42911850">
            <w:pPr>
              <w:rPr>
                <w:noProof/>
              </w:rPr>
            </w:pPr>
            <w:r w:rsidRPr="42911850">
              <w:rPr>
                <w:rFonts w:ascii="Calibri" w:eastAsia="Calibri" w:hAnsi="Calibri" w:cs="Calibri"/>
                <w:noProof/>
                <w:sz w:val="16"/>
                <w:szCs w:val="16"/>
              </w:rPr>
              <w:t>Failure to provide information or provision of incorrect information to the financial institutions</w:t>
            </w:r>
          </w:p>
          <w:p w14:paraId="432E6DC7" w14:textId="1BBAC49E" w:rsidR="42911850" w:rsidRDefault="42911850">
            <w:pPr>
              <w:rPr>
                <w:noProof/>
              </w:rPr>
            </w:pPr>
            <w:r w:rsidRPr="42911850">
              <w:rPr>
                <w:rFonts w:ascii="Calibri" w:eastAsia="Calibri" w:hAnsi="Calibri" w:cs="Calibri"/>
                <w:noProof/>
                <w:sz w:val="16"/>
                <w:szCs w:val="16"/>
              </w:rPr>
              <w:t>Late submission of information to the tax authorities by the financial institution</w:t>
            </w:r>
          </w:p>
          <w:p w14:paraId="283B2FCA" w14:textId="0AC31C1A" w:rsidR="42911850" w:rsidRDefault="42911850">
            <w:pPr>
              <w:rPr>
                <w:noProof/>
              </w:rPr>
            </w:pPr>
            <w:r w:rsidRPr="42911850">
              <w:rPr>
                <w:rFonts w:ascii="Calibri" w:eastAsia="Calibri" w:hAnsi="Calibri" w:cs="Calibri"/>
                <w:noProof/>
                <w:sz w:val="16"/>
                <w:szCs w:val="16"/>
              </w:rPr>
              <w:t>Failure to provide information to the tax authorities by the financial institution</w:t>
            </w:r>
          </w:p>
          <w:p w14:paraId="6ED2A040" w14:textId="76B9277F" w:rsidR="42911850" w:rsidRDefault="42911850">
            <w:pPr>
              <w:rPr>
                <w:noProof/>
              </w:rPr>
            </w:pPr>
            <w:r w:rsidRPr="42911850">
              <w:rPr>
                <w:rFonts w:ascii="Calibri" w:eastAsia="Calibri" w:hAnsi="Calibri" w:cs="Calibri"/>
                <w:b/>
                <w:bCs/>
                <w:noProof/>
                <w:sz w:val="16"/>
                <w:szCs w:val="16"/>
                <w:u w:val="single"/>
                <w:lang w:val="en-IE"/>
              </w:rPr>
              <w:t>Personal scope</w:t>
            </w:r>
          </w:p>
          <w:p w14:paraId="73326977" w14:textId="0F4B4A0A" w:rsidR="42911850" w:rsidRDefault="42911850">
            <w:pPr>
              <w:rPr>
                <w:noProof/>
              </w:rPr>
            </w:pPr>
            <w:r w:rsidRPr="42911850">
              <w:rPr>
                <w:rFonts w:ascii="Calibri" w:eastAsia="Calibri" w:hAnsi="Calibri" w:cs="Calibri"/>
                <w:noProof/>
                <w:sz w:val="16"/>
                <w:szCs w:val="16"/>
                <w:lang w:val="en-IE"/>
              </w:rPr>
              <w:t>N</w:t>
            </w:r>
            <w:r w:rsidRPr="42911850">
              <w:rPr>
                <w:rFonts w:ascii="Calibri" w:eastAsia="Calibri" w:hAnsi="Calibri" w:cs="Calibri"/>
                <w:noProof/>
                <w:sz w:val="16"/>
                <w:szCs w:val="16"/>
              </w:rPr>
              <w:t>o differentiation between legal entities or natural persons for application of penalties, except the above penalties for financial institutions (legal entities)</w:t>
            </w:r>
          </w:p>
          <w:p w14:paraId="6C149586" w14:textId="5049F0F5"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146CE820" w14:textId="11507749" w:rsidR="42911850" w:rsidRDefault="42911850">
            <w:pPr>
              <w:rPr>
                <w:noProof/>
              </w:rPr>
            </w:pPr>
            <w:r w:rsidRPr="42911850">
              <w:rPr>
                <w:rFonts w:ascii="Calibri" w:eastAsia="Calibri" w:hAnsi="Calibri" w:cs="Calibri"/>
                <w:noProof/>
                <w:sz w:val="16"/>
                <w:szCs w:val="16"/>
                <w:lang w:val="en-IE"/>
              </w:rPr>
              <w:t>Penalties per individual infringement and person</w:t>
            </w:r>
          </w:p>
        </w:tc>
        <w:tc>
          <w:tcPr>
            <w:tcW w:w="1757" w:type="dxa"/>
            <w:tcBorders>
              <w:top w:val="single" w:sz="8" w:space="0" w:color="auto"/>
              <w:left w:val="single" w:sz="8" w:space="0" w:color="auto"/>
              <w:bottom w:val="single" w:sz="8" w:space="0" w:color="auto"/>
              <w:right w:val="single" w:sz="8" w:space="0" w:color="auto"/>
            </w:tcBorders>
          </w:tcPr>
          <w:p w14:paraId="610A842D" w14:textId="0DD49932" w:rsidR="42911850" w:rsidRDefault="42911850">
            <w:pPr>
              <w:rPr>
                <w:noProof/>
              </w:rPr>
            </w:pPr>
            <w:r w:rsidRPr="42911850">
              <w:rPr>
                <w:rFonts w:ascii="Calibri" w:eastAsia="Calibri" w:hAnsi="Calibri" w:cs="Calibri"/>
                <w:noProof/>
                <w:sz w:val="18"/>
                <w:szCs w:val="18"/>
              </w:rPr>
              <w:t xml:space="preserve"> </w:t>
            </w:r>
          </w:p>
          <w:p w14:paraId="428579FB" w14:textId="0DE619AE" w:rsidR="42911850" w:rsidRDefault="42911850">
            <w:pPr>
              <w:rPr>
                <w:noProof/>
              </w:rPr>
            </w:pPr>
            <w:r w:rsidRPr="42911850">
              <w:rPr>
                <w:rFonts w:ascii="Calibri" w:eastAsia="Calibri" w:hAnsi="Calibri" w:cs="Calibri"/>
                <w:noProof/>
                <w:sz w:val="16"/>
                <w:szCs w:val="16"/>
              </w:rPr>
              <w:t>500 EUR</w:t>
            </w:r>
          </w:p>
          <w:p w14:paraId="70AADE7D" w14:textId="6AD267DA" w:rsidR="42911850" w:rsidRDefault="42911850">
            <w:pPr>
              <w:rPr>
                <w:noProof/>
              </w:rPr>
            </w:pPr>
            <w:r w:rsidRPr="42911850">
              <w:rPr>
                <w:rFonts w:ascii="Calibri" w:eastAsia="Calibri" w:hAnsi="Calibri" w:cs="Calibri"/>
                <w:noProof/>
                <w:sz w:val="16"/>
                <w:szCs w:val="16"/>
              </w:rPr>
              <w:t xml:space="preserve"> </w:t>
            </w:r>
          </w:p>
          <w:p w14:paraId="613AC7B5" w14:textId="38294254" w:rsidR="42911850" w:rsidRDefault="42911850">
            <w:pPr>
              <w:rPr>
                <w:noProof/>
              </w:rPr>
            </w:pPr>
            <w:r w:rsidRPr="42911850">
              <w:rPr>
                <w:rFonts w:ascii="Calibri" w:eastAsia="Calibri" w:hAnsi="Calibri" w:cs="Calibri"/>
                <w:noProof/>
                <w:sz w:val="16"/>
                <w:szCs w:val="16"/>
              </w:rPr>
              <w:t>390 EUR</w:t>
            </w:r>
          </w:p>
          <w:p w14:paraId="554ABA84" w14:textId="2A5EA4AF" w:rsidR="42911850" w:rsidRDefault="42911850">
            <w:pPr>
              <w:rPr>
                <w:noProof/>
              </w:rPr>
            </w:pPr>
            <w:r w:rsidRPr="42911850">
              <w:rPr>
                <w:rFonts w:ascii="Calibri" w:eastAsia="Calibri" w:hAnsi="Calibri" w:cs="Calibri"/>
                <w:noProof/>
                <w:sz w:val="16"/>
                <w:szCs w:val="16"/>
              </w:rPr>
              <w:t>780 EUR</w:t>
            </w:r>
          </w:p>
        </w:tc>
        <w:tc>
          <w:tcPr>
            <w:tcW w:w="2175" w:type="dxa"/>
            <w:tcBorders>
              <w:top w:val="single" w:sz="8" w:space="0" w:color="auto"/>
              <w:left w:val="single" w:sz="8" w:space="0" w:color="auto"/>
              <w:bottom w:val="single" w:sz="8" w:space="0" w:color="auto"/>
              <w:right w:val="single" w:sz="8" w:space="0" w:color="auto"/>
            </w:tcBorders>
          </w:tcPr>
          <w:p w14:paraId="4D53B9BB" w14:textId="099683C6" w:rsidR="42911850" w:rsidRDefault="42911850">
            <w:pPr>
              <w:rPr>
                <w:noProof/>
              </w:rPr>
            </w:pPr>
            <w:r w:rsidRPr="42911850">
              <w:rPr>
                <w:rFonts w:ascii="Calibri" w:eastAsia="Calibri" w:hAnsi="Calibri" w:cs="Calibri"/>
                <w:noProof/>
                <w:sz w:val="18"/>
                <w:szCs w:val="18"/>
              </w:rPr>
              <w:t xml:space="preserve"> </w:t>
            </w:r>
          </w:p>
          <w:p w14:paraId="6EA1007D" w14:textId="38A5D0BD" w:rsidR="42911850" w:rsidRDefault="42911850">
            <w:pPr>
              <w:rPr>
                <w:noProof/>
              </w:rPr>
            </w:pPr>
            <w:r w:rsidRPr="42911850">
              <w:rPr>
                <w:rFonts w:ascii="Calibri" w:eastAsia="Calibri" w:hAnsi="Calibri" w:cs="Calibri"/>
                <w:noProof/>
                <w:sz w:val="16"/>
                <w:szCs w:val="16"/>
              </w:rPr>
              <w:t>2400 EUR</w:t>
            </w:r>
          </w:p>
          <w:p w14:paraId="2F98785E" w14:textId="4BDA8DBE" w:rsidR="42911850" w:rsidRDefault="42911850">
            <w:pPr>
              <w:rPr>
                <w:noProof/>
              </w:rPr>
            </w:pPr>
            <w:r w:rsidRPr="42911850">
              <w:rPr>
                <w:rFonts w:ascii="Calibri" w:eastAsia="Calibri" w:hAnsi="Calibri" w:cs="Calibri"/>
                <w:noProof/>
                <w:sz w:val="16"/>
                <w:szCs w:val="16"/>
              </w:rPr>
              <w:t xml:space="preserve"> </w:t>
            </w:r>
          </w:p>
          <w:p w14:paraId="17076E3D" w14:textId="42E16082" w:rsidR="42911850" w:rsidRDefault="42911850">
            <w:pPr>
              <w:rPr>
                <w:noProof/>
              </w:rPr>
            </w:pPr>
            <w:r w:rsidRPr="42911850">
              <w:rPr>
                <w:rFonts w:ascii="Calibri" w:eastAsia="Calibri" w:hAnsi="Calibri" w:cs="Calibri"/>
                <w:noProof/>
                <w:sz w:val="16"/>
                <w:szCs w:val="16"/>
              </w:rPr>
              <w:t>730 EUR</w:t>
            </w:r>
          </w:p>
          <w:p w14:paraId="52C623AC" w14:textId="7FB8EEF0" w:rsidR="42911850" w:rsidRDefault="42911850">
            <w:pPr>
              <w:rPr>
                <w:noProof/>
              </w:rPr>
            </w:pPr>
            <w:r w:rsidRPr="42911850">
              <w:rPr>
                <w:rFonts w:ascii="Calibri" w:eastAsia="Calibri" w:hAnsi="Calibri" w:cs="Calibri"/>
                <w:noProof/>
                <w:sz w:val="16"/>
                <w:szCs w:val="16"/>
              </w:rPr>
              <w:t>1950 EUR</w:t>
            </w:r>
          </w:p>
        </w:tc>
      </w:tr>
      <w:tr w:rsidR="42911850" w14:paraId="5C57AE2D" w14:textId="77777777" w:rsidTr="42911850">
        <w:trPr>
          <w:trHeight w:val="45"/>
        </w:trPr>
        <w:tc>
          <w:tcPr>
            <w:tcW w:w="638" w:type="dxa"/>
            <w:vMerge/>
            <w:tcBorders>
              <w:left w:val="single" w:sz="0" w:space="0" w:color="auto"/>
              <w:right w:val="single" w:sz="0" w:space="0" w:color="auto"/>
            </w:tcBorders>
            <w:vAlign w:val="center"/>
          </w:tcPr>
          <w:p w14:paraId="6B0312EA"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9373AF1" w14:textId="43199C54"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7CBC99AA" w14:textId="5DF9ADAF" w:rsidR="42911850" w:rsidRDefault="42911850">
            <w:pPr>
              <w:rPr>
                <w:noProof/>
              </w:rPr>
            </w:pPr>
            <w:r w:rsidRPr="42911850">
              <w:rPr>
                <w:rFonts w:ascii="Calibri" w:eastAsia="Calibri" w:hAnsi="Calibri" w:cs="Calibri"/>
                <w:b/>
                <w:bCs/>
                <w:noProof/>
                <w:sz w:val="16"/>
                <w:szCs w:val="16"/>
                <w:u w:val="single"/>
              </w:rPr>
              <w:t>Scope ratione materiae</w:t>
            </w:r>
          </w:p>
          <w:p w14:paraId="7921E8F4" w14:textId="23D7C23B" w:rsidR="42911850" w:rsidRDefault="42911850">
            <w:pPr>
              <w:rPr>
                <w:noProof/>
              </w:rPr>
            </w:pPr>
            <w:r w:rsidRPr="42911850">
              <w:rPr>
                <w:rFonts w:ascii="Calibri" w:eastAsia="Calibri" w:hAnsi="Calibri" w:cs="Calibri"/>
                <w:noProof/>
                <w:sz w:val="16"/>
                <w:szCs w:val="16"/>
              </w:rPr>
              <w:t>Failure to provide information, provision of late or incorrect information</w:t>
            </w:r>
          </w:p>
          <w:p w14:paraId="48284BFC" w14:textId="5D3CE0C4" w:rsidR="42911850" w:rsidRDefault="42911850">
            <w:pPr>
              <w:rPr>
                <w:noProof/>
              </w:rPr>
            </w:pPr>
            <w:r w:rsidRPr="42911850">
              <w:rPr>
                <w:rFonts w:ascii="Calibri" w:eastAsia="Calibri" w:hAnsi="Calibri" w:cs="Calibri"/>
                <w:noProof/>
                <w:sz w:val="16"/>
                <w:szCs w:val="16"/>
              </w:rPr>
              <w:t>If the above violations committed with intention to avoid taxes</w:t>
            </w:r>
          </w:p>
          <w:p w14:paraId="0A62E6FE" w14:textId="26A8066C" w:rsidR="42911850" w:rsidRDefault="42911850">
            <w:pPr>
              <w:rPr>
                <w:noProof/>
              </w:rPr>
            </w:pPr>
            <w:r w:rsidRPr="42911850">
              <w:rPr>
                <w:rFonts w:ascii="Calibri" w:eastAsia="Calibri" w:hAnsi="Calibri" w:cs="Calibri"/>
                <w:b/>
                <w:bCs/>
                <w:noProof/>
                <w:sz w:val="16"/>
                <w:szCs w:val="16"/>
                <w:u w:val="single"/>
                <w:lang w:val="en-IE"/>
              </w:rPr>
              <w:t>Personal scope</w:t>
            </w:r>
          </w:p>
          <w:p w14:paraId="4D23601B" w14:textId="69AC3DFA" w:rsidR="42911850" w:rsidRDefault="42911850">
            <w:pPr>
              <w:rPr>
                <w:noProof/>
              </w:rPr>
            </w:pPr>
            <w:r w:rsidRPr="42911850">
              <w:rPr>
                <w:rFonts w:ascii="Calibri" w:eastAsia="Calibri" w:hAnsi="Calibri" w:cs="Calibri"/>
                <w:noProof/>
                <w:sz w:val="16"/>
                <w:szCs w:val="16"/>
                <w:lang w:val="en-IE"/>
              </w:rPr>
              <w:t xml:space="preserve">The wording of the article is general, without </w:t>
            </w:r>
            <w:r w:rsidR="00293E86">
              <w:rPr>
                <w:rFonts w:ascii="Calibri" w:eastAsia="Calibri" w:hAnsi="Calibri" w:cs="Calibri"/>
                <w:noProof/>
                <w:sz w:val="16"/>
                <w:szCs w:val="16"/>
                <w:lang w:val="en-IE"/>
              </w:rPr>
              <w:t xml:space="preserve">differentiation </w:t>
            </w:r>
            <w:r w:rsidRPr="42911850">
              <w:rPr>
                <w:rFonts w:ascii="Calibri" w:eastAsia="Calibri" w:hAnsi="Calibri" w:cs="Calibri"/>
                <w:noProof/>
                <w:sz w:val="16"/>
                <w:szCs w:val="16"/>
              </w:rPr>
              <w:t>between legal entities or natural persons for application of these penalties, but in practice it applies only to legal persons</w:t>
            </w:r>
          </w:p>
          <w:p w14:paraId="69098C7E" w14:textId="621C72A1"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7567ACA3" w14:textId="33D016FE" w:rsidR="42911850" w:rsidRDefault="42911850">
            <w:pPr>
              <w:rPr>
                <w:noProof/>
              </w:rPr>
            </w:pPr>
            <w:r w:rsidRPr="42911850">
              <w:rPr>
                <w:rFonts w:ascii="Calibri" w:eastAsia="Calibri" w:hAnsi="Calibri" w:cs="Calibri"/>
                <w:noProof/>
                <w:sz w:val="16"/>
                <w:szCs w:val="16"/>
                <w:lang w:val="en-IE"/>
              </w:rPr>
              <w:t xml:space="preserve">Penalties per individual infringement and person. </w:t>
            </w:r>
          </w:p>
        </w:tc>
        <w:tc>
          <w:tcPr>
            <w:tcW w:w="1757" w:type="dxa"/>
            <w:tcBorders>
              <w:top w:val="single" w:sz="8" w:space="0" w:color="auto"/>
              <w:left w:val="single" w:sz="8" w:space="0" w:color="auto"/>
              <w:bottom w:val="single" w:sz="8" w:space="0" w:color="auto"/>
              <w:right w:val="single" w:sz="8" w:space="0" w:color="auto"/>
            </w:tcBorders>
          </w:tcPr>
          <w:p w14:paraId="12EB4EF8" w14:textId="59A41FF3" w:rsidR="42911850" w:rsidRDefault="42911850">
            <w:pPr>
              <w:rPr>
                <w:noProof/>
              </w:rPr>
            </w:pPr>
            <w:r w:rsidRPr="42911850">
              <w:rPr>
                <w:rFonts w:ascii="Calibri" w:eastAsia="Calibri" w:hAnsi="Calibri" w:cs="Calibri"/>
                <w:noProof/>
                <w:sz w:val="18"/>
                <w:szCs w:val="18"/>
              </w:rPr>
              <w:t xml:space="preserve"> </w:t>
            </w:r>
          </w:p>
          <w:p w14:paraId="6BBBBF1C" w14:textId="774C9011" w:rsidR="42911850" w:rsidRDefault="42911850">
            <w:pPr>
              <w:rPr>
                <w:noProof/>
              </w:rPr>
            </w:pPr>
            <w:r w:rsidRPr="42911850">
              <w:rPr>
                <w:rFonts w:ascii="Calibri" w:eastAsia="Calibri" w:hAnsi="Calibri" w:cs="Calibri"/>
                <w:noProof/>
                <w:sz w:val="16"/>
                <w:szCs w:val="16"/>
              </w:rPr>
              <w:t>Warning or 200 EUR</w:t>
            </w:r>
          </w:p>
          <w:p w14:paraId="6FCC188F" w14:textId="1202EE30" w:rsidR="42911850" w:rsidRDefault="42911850">
            <w:pPr>
              <w:rPr>
                <w:noProof/>
              </w:rPr>
            </w:pPr>
            <w:r w:rsidRPr="42911850">
              <w:rPr>
                <w:rFonts w:ascii="Calibri" w:eastAsia="Calibri" w:hAnsi="Calibri" w:cs="Calibri"/>
                <w:noProof/>
                <w:sz w:val="16"/>
                <w:szCs w:val="16"/>
              </w:rPr>
              <w:t>200 EUR</w:t>
            </w:r>
          </w:p>
        </w:tc>
        <w:tc>
          <w:tcPr>
            <w:tcW w:w="2175" w:type="dxa"/>
            <w:tcBorders>
              <w:top w:val="single" w:sz="8" w:space="0" w:color="auto"/>
              <w:left w:val="single" w:sz="8" w:space="0" w:color="auto"/>
              <w:bottom w:val="single" w:sz="8" w:space="0" w:color="auto"/>
              <w:right w:val="single" w:sz="8" w:space="0" w:color="auto"/>
            </w:tcBorders>
          </w:tcPr>
          <w:p w14:paraId="76AEDA2B" w14:textId="27145877" w:rsidR="42911850" w:rsidRDefault="42911850">
            <w:pPr>
              <w:rPr>
                <w:noProof/>
              </w:rPr>
            </w:pPr>
            <w:r w:rsidRPr="42911850">
              <w:rPr>
                <w:rFonts w:ascii="Calibri" w:eastAsia="Calibri" w:hAnsi="Calibri" w:cs="Calibri"/>
                <w:noProof/>
                <w:sz w:val="18"/>
                <w:szCs w:val="18"/>
              </w:rPr>
              <w:t xml:space="preserve"> </w:t>
            </w:r>
          </w:p>
          <w:p w14:paraId="08AABBF4" w14:textId="7BAAC882" w:rsidR="42911850" w:rsidRDefault="42911850">
            <w:pPr>
              <w:rPr>
                <w:noProof/>
              </w:rPr>
            </w:pPr>
            <w:r w:rsidRPr="42911850">
              <w:rPr>
                <w:rFonts w:ascii="Calibri" w:eastAsia="Calibri" w:hAnsi="Calibri" w:cs="Calibri"/>
                <w:noProof/>
                <w:sz w:val="16"/>
                <w:szCs w:val="16"/>
              </w:rPr>
              <w:t>300 EUR</w:t>
            </w:r>
          </w:p>
          <w:p w14:paraId="53137F65" w14:textId="4EF51B19" w:rsidR="42911850" w:rsidRDefault="42911850">
            <w:pPr>
              <w:rPr>
                <w:noProof/>
              </w:rPr>
            </w:pPr>
            <w:r w:rsidRPr="42911850">
              <w:rPr>
                <w:rFonts w:ascii="Calibri" w:eastAsia="Calibri" w:hAnsi="Calibri" w:cs="Calibri"/>
                <w:noProof/>
                <w:sz w:val="16"/>
                <w:szCs w:val="16"/>
              </w:rPr>
              <w:t>6000 EUR</w:t>
            </w:r>
          </w:p>
        </w:tc>
      </w:tr>
      <w:tr w:rsidR="42911850" w14:paraId="2A98EAA8"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06D3F43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EEAF90D" w14:textId="4E043705"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6592FA39" w14:textId="4CC3F0F1" w:rsidR="42911850" w:rsidRDefault="42911850">
            <w:pPr>
              <w:rPr>
                <w:noProof/>
              </w:rPr>
            </w:pPr>
            <w:r w:rsidRPr="42911850">
              <w:rPr>
                <w:rFonts w:ascii="Calibri" w:eastAsia="Calibri" w:hAnsi="Calibri" w:cs="Calibri"/>
                <w:b/>
                <w:bCs/>
                <w:noProof/>
                <w:sz w:val="16"/>
                <w:szCs w:val="16"/>
                <w:u w:val="single"/>
              </w:rPr>
              <w:t>Scope ratione materiae</w:t>
            </w:r>
          </w:p>
          <w:p w14:paraId="79F0BDC4" w14:textId="79F9B003" w:rsidR="42911850" w:rsidRDefault="42911850">
            <w:pPr>
              <w:rPr>
                <w:noProof/>
              </w:rPr>
            </w:pPr>
            <w:r w:rsidRPr="42911850">
              <w:rPr>
                <w:rFonts w:ascii="Calibri" w:eastAsia="Calibri" w:hAnsi="Calibri" w:cs="Calibri"/>
                <w:noProof/>
                <w:sz w:val="16"/>
                <w:szCs w:val="16"/>
              </w:rPr>
              <w:t>Failure to provide information, provision of late or incorrect information</w:t>
            </w:r>
          </w:p>
          <w:p w14:paraId="519CF0FF" w14:textId="5C6BD311" w:rsidR="42911850" w:rsidRDefault="42911850">
            <w:pPr>
              <w:rPr>
                <w:noProof/>
              </w:rPr>
            </w:pPr>
            <w:r w:rsidRPr="42911850">
              <w:rPr>
                <w:rFonts w:ascii="Calibri" w:eastAsia="Calibri" w:hAnsi="Calibri" w:cs="Calibri"/>
                <w:noProof/>
                <w:sz w:val="16"/>
                <w:szCs w:val="16"/>
              </w:rPr>
              <w:t xml:space="preserve">If the above violations committed repeatedly </w:t>
            </w:r>
          </w:p>
          <w:p w14:paraId="19F5DAF7" w14:textId="0C27D412" w:rsidR="42911850" w:rsidRDefault="42911850">
            <w:pPr>
              <w:rPr>
                <w:noProof/>
              </w:rPr>
            </w:pPr>
            <w:r w:rsidRPr="42911850">
              <w:rPr>
                <w:rFonts w:ascii="Calibri" w:eastAsia="Calibri" w:hAnsi="Calibri" w:cs="Calibri"/>
                <w:b/>
                <w:bCs/>
                <w:noProof/>
                <w:sz w:val="16"/>
                <w:szCs w:val="16"/>
                <w:u w:val="single"/>
                <w:lang w:val="en-IE"/>
              </w:rPr>
              <w:t>Personal scope</w:t>
            </w:r>
          </w:p>
          <w:p w14:paraId="77A4F95F" w14:textId="22431C45" w:rsidR="42911850" w:rsidRDefault="42911850">
            <w:pPr>
              <w:rPr>
                <w:noProof/>
              </w:rPr>
            </w:pPr>
            <w:r w:rsidRPr="42911850">
              <w:rPr>
                <w:rFonts w:ascii="Calibri" w:eastAsia="Calibri" w:hAnsi="Calibri" w:cs="Calibri"/>
                <w:noProof/>
                <w:sz w:val="16"/>
                <w:szCs w:val="16"/>
                <w:lang w:val="en-IE"/>
              </w:rPr>
              <w:t>N</w:t>
            </w:r>
            <w:r w:rsidRPr="42911850">
              <w:rPr>
                <w:rFonts w:ascii="Calibri" w:eastAsia="Calibri" w:hAnsi="Calibri" w:cs="Calibri"/>
                <w:noProof/>
                <w:sz w:val="16"/>
                <w:szCs w:val="16"/>
              </w:rPr>
              <w:t>o differentiation between legal entities or natural persons for application of penalties</w:t>
            </w:r>
          </w:p>
          <w:p w14:paraId="64133B70" w14:textId="18A99A9F"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517B5573" w14:textId="6A136DB1" w:rsidR="42911850" w:rsidRDefault="42911850">
            <w:pPr>
              <w:rPr>
                <w:noProof/>
              </w:rPr>
            </w:pPr>
            <w:r w:rsidRPr="42911850">
              <w:rPr>
                <w:rFonts w:ascii="Calibri" w:eastAsia="Calibri" w:hAnsi="Calibri" w:cs="Calibri"/>
                <w:noProof/>
                <w:sz w:val="16"/>
                <w:szCs w:val="16"/>
                <w:lang w:val="en-IE"/>
              </w:rPr>
              <w:t>Penalties per individual infringement and person.</w:t>
            </w:r>
          </w:p>
        </w:tc>
        <w:tc>
          <w:tcPr>
            <w:tcW w:w="1757" w:type="dxa"/>
            <w:tcBorders>
              <w:top w:val="single" w:sz="8" w:space="0" w:color="auto"/>
              <w:left w:val="single" w:sz="8" w:space="0" w:color="auto"/>
              <w:bottom w:val="single" w:sz="8" w:space="0" w:color="auto"/>
              <w:right w:val="single" w:sz="8" w:space="0" w:color="auto"/>
            </w:tcBorders>
          </w:tcPr>
          <w:p w14:paraId="74A5937D" w14:textId="4A1C1157" w:rsidR="42911850" w:rsidRDefault="42911850">
            <w:pPr>
              <w:rPr>
                <w:noProof/>
              </w:rPr>
            </w:pPr>
            <w:r w:rsidRPr="42911850">
              <w:rPr>
                <w:rFonts w:ascii="Calibri" w:eastAsia="Calibri" w:hAnsi="Calibri" w:cs="Calibri"/>
                <w:noProof/>
                <w:sz w:val="18"/>
                <w:szCs w:val="18"/>
              </w:rPr>
              <w:t xml:space="preserve"> </w:t>
            </w:r>
          </w:p>
          <w:p w14:paraId="47936C18" w14:textId="19F8EEED" w:rsidR="42911850" w:rsidRDefault="42911850">
            <w:pPr>
              <w:rPr>
                <w:noProof/>
              </w:rPr>
            </w:pPr>
            <w:r w:rsidRPr="42911850">
              <w:rPr>
                <w:rFonts w:ascii="Calibri" w:eastAsia="Calibri" w:hAnsi="Calibri" w:cs="Calibri"/>
                <w:noProof/>
                <w:sz w:val="16"/>
                <w:szCs w:val="16"/>
              </w:rPr>
              <w:t>1820 EUR</w:t>
            </w:r>
          </w:p>
          <w:p w14:paraId="5BBBB1F3" w14:textId="4918566E" w:rsidR="42911850" w:rsidRDefault="42911850">
            <w:pPr>
              <w:rPr>
                <w:noProof/>
              </w:rPr>
            </w:pPr>
            <w:r w:rsidRPr="42911850">
              <w:rPr>
                <w:rFonts w:ascii="Calibri" w:eastAsia="Calibri" w:hAnsi="Calibri" w:cs="Calibri"/>
                <w:noProof/>
                <w:sz w:val="16"/>
                <w:szCs w:val="16"/>
              </w:rPr>
              <w:t>3770 EUR</w:t>
            </w:r>
          </w:p>
        </w:tc>
        <w:tc>
          <w:tcPr>
            <w:tcW w:w="2175" w:type="dxa"/>
            <w:tcBorders>
              <w:top w:val="single" w:sz="8" w:space="0" w:color="auto"/>
              <w:left w:val="single" w:sz="8" w:space="0" w:color="auto"/>
              <w:bottom w:val="single" w:sz="8" w:space="0" w:color="auto"/>
              <w:right w:val="single" w:sz="8" w:space="0" w:color="auto"/>
            </w:tcBorders>
          </w:tcPr>
          <w:p w14:paraId="058F864A" w14:textId="02C26190" w:rsidR="42911850" w:rsidRDefault="42911850">
            <w:pPr>
              <w:rPr>
                <w:noProof/>
              </w:rPr>
            </w:pPr>
            <w:r w:rsidRPr="42911850">
              <w:rPr>
                <w:rFonts w:ascii="Calibri" w:eastAsia="Calibri" w:hAnsi="Calibri" w:cs="Calibri"/>
                <w:noProof/>
                <w:sz w:val="18"/>
                <w:szCs w:val="18"/>
              </w:rPr>
              <w:t xml:space="preserve"> </w:t>
            </w:r>
          </w:p>
          <w:p w14:paraId="5D574B0C" w14:textId="39EFA39B" w:rsidR="42911850" w:rsidRDefault="42911850">
            <w:pPr>
              <w:rPr>
                <w:noProof/>
              </w:rPr>
            </w:pPr>
            <w:r w:rsidRPr="42911850">
              <w:rPr>
                <w:rFonts w:ascii="Calibri" w:eastAsia="Calibri" w:hAnsi="Calibri" w:cs="Calibri"/>
                <w:noProof/>
                <w:sz w:val="16"/>
                <w:szCs w:val="16"/>
              </w:rPr>
              <w:t>5590 EUR</w:t>
            </w:r>
          </w:p>
          <w:p w14:paraId="4F76C581" w14:textId="38B040D2" w:rsidR="42911850" w:rsidRDefault="42911850">
            <w:pPr>
              <w:rPr>
                <w:noProof/>
              </w:rPr>
            </w:pPr>
            <w:r w:rsidRPr="42911850">
              <w:rPr>
                <w:rFonts w:ascii="Calibri" w:eastAsia="Calibri" w:hAnsi="Calibri" w:cs="Calibri"/>
                <w:noProof/>
                <w:sz w:val="16"/>
                <w:szCs w:val="16"/>
              </w:rPr>
              <w:t>6000 EUR</w:t>
            </w:r>
          </w:p>
        </w:tc>
      </w:tr>
      <w:tr w:rsidR="42911850" w14:paraId="123917CA"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1FB0A0E0" w14:textId="75FE09C0" w:rsidR="42911850" w:rsidRDefault="42911850">
            <w:pPr>
              <w:rPr>
                <w:noProof/>
              </w:rPr>
            </w:pPr>
            <w:r w:rsidRPr="42911850">
              <w:rPr>
                <w:rFonts w:ascii="Calibri" w:eastAsia="Calibri" w:hAnsi="Calibri" w:cs="Calibri"/>
                <w:b/>
                <w:bCs/>
                <w:noProof/>
                <w:sz w:val="18"/>
                <w:szCs w:val="18"/>
              </w:rPr>
              <w:t>LU</w:t>
            </w:r>
          </w:p>
        </w:tc>
        <w:tc>
          <w:tcPr>
            <w:tcW w:w="1025" w:type="dxa"/>
            <w:tcBorders>
              <w:top w:val="single" w:sz="8" w:space="0" w:color="auto"/>
              <w:left w:val="single" w:sz="8" w:space="0" w:color="auto"/>
              <w:bottom w:val="single" w:sz="8" w:space="0" w:color="auto"/>
              <w:right w:val="single" w:sz="8" w:space="0" w:color="auto"/>
            </w:tcBorders>
          </w:tcPr>
          <w:p w14:paraId="1A8CEE54" w14:textId="1C408A18"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0323C4DB" w14:textId="7EE89989" w:rsidR="42911850" w:rsidRDefault="42911850" w:rsidP="00AE537F">
            <w:pPr>
              <w:pStyle w:val="ListParagraph"/>
              <w:numPr>
                <w:ilvl w:val="0"/>
                <w:numId w:val="25"/>
              </w:numPr>
              <w:rPr>
                <w:rFonts w:eastAsiaTheme="minorEastAsia"/>
                <w:b/>
                <w:bCs/>
                <w:noProof/>
                <w:sz w:val="18"/>
                <w:szCs w:val="18"/>
              </w:rPr>
            </w:pPr>
            <w:r w:rsidRPr="42911850">
              <w:rPr>
                <w:b/>
                <w:bCs/>
                <w:noProof/>
                <w:sz w:val="18"/>
                <w:szCs w:val="18"/>
              </w:rPr>
              <w:t xml:space="preserve">Scope ratione materiae </w:t>
            </w:r>
          </w:p>
          <w:p w14:paraId="08408180" w14:textId="0C74E1DF" w:rsidR="42911850" w:rsidRDefault="42911850" w:rsidP="00AE537F">
            <w:pPr>
              <w:rPr>
                <w:rStyle w:val="Hyperlink"/>
                <w:rFonts w:ascii="Calibri" w:eastAsia="Calibri" w:hAnsi="Calibri" w:cs="Calibri"/>
                <w:noProof/>
                <w:sz w:val="16"/>
                <w:szCs w:val="16"/>
                <w:lang w:val="en-US"/>
              </w:rPr>
            </w:pPr>
            <w:r w:rsidRPr="42911850">
              <w:rPr>
                <w:rFonts w:ascii="Calibri" w:eastAsia="Calibri" w:hAnsi="Calibri" w:cs="Calibri"/>
                <w:noProof/>
                <w:sz w:val="16"/>
                <w:szCs w:val="16"/>
              </w:rPr>
              <w:t xml:space="preserve">From 01/01/2016 to 31/12/2020 - article 3 </w:t>
            </w:r>
            <w:hyperlink r:id="rId38" w:history="1">
              <w:r w:rsidRPr="42911850">
                <w:rPr>
                  <w:rStyle w:val="Hyperlink"/>
                  <w:rFonts w:ascii="Calibri" w:eastAsia="Calibri" w:hAnsi="Calibri" w:cs="Calibri"/>
                  <w:noProof/>
                  <w:sz w:val="16"/>
                  <w:szCs w:val="16"/>
                </w:rPr>
                <w:t>here</w:t>
              </w:r>
            </w:hyperlink>
          </w:p>
          <w:p w14:paraId="5F5E62FC" w14:textId="14CD818D" w:rsidR="42911850" w:rsidRDefault="42911850">
            <w:pPr>
              <w:rPr>
                <w:noProof/>
              </w:rPr>
            </w:pPr>
            <w:r w:rsidRPr="42911850">
              <w:rPr>
                <w:rFonts w:ascii="Calibri" w:eastAsia="Calibri" w:hAnsi="Calibri" w:cs="Calibri"/>
                <w:b/>
                <w:bCs/>
                <w:noProof/>
                <w:sz w:val="18"/>
                <w:szCs w:val="18"/>
              </w:rPr>
              <w:t xml:space="preserve"> </w:t>
            </w:r>
          </w:p>
          <w:p w14:paraId="19B4E8B7" w14:textId="7B5D8297" w:rsidR="42911850" w:rsidRDefault="42911850" w:rsidP="00AE537F">
            <w:pPr>
              <w:pStyle w:val="ListParagraph"/>
              <w:numPr>
                <w:ilvl w:val="0"/>
                <w:numId w:val="24"/>
              </w:numPr>
              <w:rPr>
                <w:rFonts w:eastAsiaTheme="minorEastAsia"/>
                <w:noProof/>
                <w:color w:val="2D2D2D"/>
                <w:sz w:val="16"/>
                <w:szCs w:val="16"/>
              </w:rPr>
            </w:pPr>
            <w:r w:rsidRPr="42911850">
              <w:rPr>
                <w:noProof/>
                <w:color w:val="2D2D2D"/>
                <w:sz w:val="16"/>
                <w:szCs w:val="16"/>
              </w:rPr>
              <w:t>Omitting to file the required report or if it files a late, incomplete or inaccurate report</w:t>
            </w:r>
          </w:p>
          <w:p w14:paraId="4D50C483" w14:textId="32B719FA" w:rsidR="42911850" w:rsidRDefault="42911850" w:rsidP="00AE537F">
            <w:pPr>
              <w:rPr>
                <w:rFonts w:ascii="Calibri" w:eastAsia="Calibri" w:hAnsi="Calibri" w:cs="Calibri"/>
                <w:noProof/>
                <w:color w:val="2D2D2D"/>
                <w:sz w:val="16"/>
                <w:szCs w:val="16"/>
              </w:rPr>
            </w:pPr>
            <w:r w:rsidRPr="42911850">
              <w:rPr>
                <w:rFonts w:ascii="Calibri" w:eastAsia="Calibri" w:hAnsi="Calibri" w:cs="Calibri"/>
                <w:noProof/>
                <w:color w:val="2D2D2D"/>
                <w:sz w:val="16"/>
                <w:szCs w:val="16"/>
              </w:rPr>
              <w:t xml:space="preserve"> </w:t>
            </w:r>
          </w:p>
          <w:p w14:paraId="5D7140BC" w14:textId="3D97D1A8" w:rsidR="42911850" w:rsidRDefault="42911850" w:rsidP="00AE537F">
            <w:pPr>
              <w:pStyle w:val="ListParagraph"/>
              <w:numPr>
                <w:ilvl w:val="0"/>
                <w:numId w:val="24"/>
              </w:numPr>
              <w:rPr>
                <w:rFonts w:eastAsiaTheme="minorEastAsia"/>
                <w:noProof/>
                <w:color w:val="2D2D2D"/>
                <w:sz w:val="16"/>
                <w:szCs w:val="16"/>
              </w:rPr>
            </w:pPr>
            <w:r w:rsidRPr="42911850">
              <w:rPr>
                <w:noProof/>
                <w:color w:val="2D2D2D"/>
                <w:sz w:val="16"/>
                <w:szCs w:val="16"/>
              </w:rPr>
              <w:t xml:space="preserve">Omitting to comply with due diligence rules or to introduce procedures in view of reporting </w:t>
            </w:r>
          </w:p>
          <w:p w14:paraId="7F684E20" w14:textId="2059C28A"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2F7D8393" w14:textId="13A7137D" w:rsidR="42911850" w:rsidRDefault="42911850">
            <w:pPr>
              <w:rPr>
                <w:noProof/>
              </w:rPr>
            </w:pPr>
            <w:r w:rsidRPr="42911850">
              <w:rPr>
                <w:rFonts w:ascii="Calibri" w:eastAsia="Calibri" w:hAnsi="Calibri" w:cs="Calibri"/>
                <w:noProof/>
                <w:sz w:val="16"/>
                <w:szCs w:val="16"/>
              </w:rPr>
              <w:t xml:space="preserve">After 01/01/2021 - </w:t>
            </w:r>
            <w:hyperlink r:id="rId39" w:history="1">
              <w:r w:rsidRPr="42911850">
                <w:rPr>
                  <w:rStyle w:val="Hyperlink"/>
                  <w:rFonts w:ascii="Calibri" w:eastAsia="Calibri" w:hAnsi="Calibri" w:cs="Calibri"/>
                  <w:noProof/>
                  <w:sz w:val="16"/>
                  <w:szCs w:val="16"/>
                </w:rPr>
                <w:t>here</w:t>
              </w:r>
            </w:hyperlink>
          </w:p>
          <w:p w14:paraId="20C3ED1F" w14:textId="5D29D725" w:rsidR="42911850" w:rsidRDefault="42911850" w:rsidP="00AE537F">
            <w:pPr>
              <w:pStyle w:val="ListParagraph"/>
              <w:numPr>
                <w:ilvl w:val="0"/>
                <w:numId w:val="23"/>
              </w:numPr>
              <w:rPr>
                <w:rFonts w:eastAsiaTheme="minorEastAsia"/>
                <w:noProof/>
                <w:sz w:val="16"/>
                <w:szCs w:val="16"/>
                <w:lang w:val="en-IE"/>
              </w:rPr>
            </w:pPr>
            <w:r w:rsidRPr="42911850">
              <w:rPr>
                <w:noProof/>
                <w:sz w:val="16"/>
                <w:szCs w:val="16"/>
                <w:lang w:val="en-IE"/>
              </w:rPr>
              <w:t>Failure to submit a file within the legal deadline</w:t>
            </w:r>
          </w:p>
          <w:p w14:paraId="472F9CB4" w14:textId="37D4C1EF" w:rsidR="42911850" w:rsidRDefault="42911850" w:rsidP="00AE537F">
            <w:pPr>
              <w:rPr>
                <w:rFonts w:ascii="Calibri" w:eastAsia="Calibri" w:hAnsi="Calibri" w:cs="Calibri"/>
                <w:noProof/>
                <w:sz w:val="16"/>
                <w:szCs w:val="16"/>
                <w:lang w:val="en-IE"/>
              </w:rPr>
            </w:pPr>
            <w:r w:rsidRPr="42911850">
              <w:rPr>
                <w:rFonts w:ascii="Calibri" w:eastAsia="Calibri" w:hAnsi="Calibri" w:cs="Calibri"/>
                <w:noProof/>
                <w:sz w:val="16"/>
                <w:szCs w:val="16"/>
                <w:lang w:val="en-IE"/>
              </w:rPr>
              <w:t xml:space="preserve"> </w:t>
            </w:r>
          </w:p>
          <w:p w14:paraId="5A32BB08" w14:textId="4C534058" w:rsidR="42911850" w:rsidRDefault="42911850" w:rsidP="00AE537F">
            <w:pPr>
              <w:pStyle w:val="ListParagraph"/>
              <w:numPr>
                <w:ilvl w:val="0"/>
                <w:numId w:val="23"/>
              </w:numPr>
              <w:rPr>
                <w:rFonts w:eastAsiaTheme="minorEastAsia"/>
                <w:noProof/>
                <w:color w:val="2D2D2D"/>
                <w:sz w:val="16"/>
                <w:szCs w:val="16"/>
              </w:rPr>
            </w:pPr>
            <w:r w:rsidRPr="42911850">
              <w:rPr>
                <w:noProof/>
                <w:color w:val="2D2D2D"/>
                <w:sz w:val="16"/>
                <w:szCs w:val="16"/>
              </w:rPr>
              <w:t>Omitting to file the required report or if it files a late, incomplete or inaccurate report</w:t>
            </w:r>
          </w:p>
          <w:p w14:paraId="6D78EFD4" w14:textId="6DF30F61" w:rsidR="42911850" w:rsidRDefault="42911850" w:rsidP="00AE537F">
            <w:pPr>
              <w:rPr>
                <w:rFonts w:ascii="Calibri" w:eastAsia="Calibri" w:hAnsi="Calibri" w:cs="Calibri"/>
                <w:noProof/>
                <w:sz w:val="16"/>
                <w:szCs w:val="16"/>
                <w:lang w:val="en-IE"/>
              </w:rPr>
            </w:pPr>
            <w:r w:rsidRPr="42911850">
              <w:rPr>
                <w:rFonts w:ascii="Calibri" w:eastAsia="Calibri" w:hAnsi="Calibri" w:cs="Calibri"/>
                <w:noProof/>
                <w:sz w:val="16"/>
                <w:szCs w:val="16"/>
                <w:lang w:val="en-IE"/>
              </w:rPr>
              <w:t xml:space="preserve"> </w:t>
            </w:r>
          </w:p>
          <w:p w14:paraId="0C2780AF" w14:textId="4FBE242E" w:rsidR="42911850" w:rsidRDefault="42911850" w:rsidP="00AE537F">
            <w:pPr>
              <w:pStyle w:val="ListParagraph"/>
              <w:numPr>
                <w:ilvl w:val="0"/>
                <w:numId w:val="25"/>
              </w:numPr>
              <w:rPr>
                <w:rFonts w:eastAsiaTheme="minorEastAsia"/>
                <w:b/>
                <w:bCs/>
                <w:noProof/>
                <w:sz w:val="18"/>
                <w:szCs w:val="18"/>
              </w:rPr>
            </w:pPr>
            <w:r w:rsidRPr="42911850">
              <w:rPr>
                <w:b/>
                <w:bCs/>
                <w:noProof/>
                <w:sz w:val="18"/>
                <w:szCs w:val="18"/>
              </w:rPr>
              <w:t xml:space="preserve">Personal scope: </w:t>
            </w:r>
            <w:r w:rsidRPr="42911850">
              <w:rPr>
                <w:noProof/>
                <w:sz w:val="16"/>
                <w:szCs w:val="16"/>
              </w:rPr>
              <w:t xml:space="preserve">Financial institutions </w:t>
            </w:r>
          </w:p>
          <w:p w14:paraId="3A1ECCE1" w14:textId="1270D136"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1C71C833" w14:textId="4AFB8755" w:rsidR="42911850" w:rsidRDefault="42911850" w:rsidP="00AE537F">
            <w:pPr>
              <w:pStyle w:val="ListParagraph"/>
              <w:numPr>
                <w:ilvl w:val="0"/>
                <w:numId w:val="25"/>
              </w:numPr>
              <w:rPr>
                <w:rFonts w:eastAsiaTheme="minorEastAsia"/>
                <w:b/>
                <w:bCs/>
                <w:noProof/>
                <w:sz w:val="16"/>
                <w:szCs w:val="16"/>
              </w:rPr>
            </w:pPr>
            <w:r w:rsidRPr="42911850">
              <w:rPr>
                <w:b/>
                <w:bCs/>
                <w:noProof/>
                <w:sz w:val="16"/>
                <w:szCs w:val="16"/>
              </w:rPr>
              <w:t xml:space="preserve">Individual / Cumulative: </w:t>
            </w:r>
            <w:r w:rsidRPr="42911850">
              <w:rPr>
                <w:noProof/>
                <w:sz w:val="16"/>
                <w:szCs w:val="16"/>
              </w:rPr>
              <w:t xml:space="preserve">Not explicit - it appears applicable per infringement / per person </w:t>
            </w:r>
          </w:p>
          <w:p w14:paraId="76551CA3" w14:textId="0A8F58C1" w:rsidR="42911850" w:rsidRDefault="42911850" w:rsidP="00AE537F">
            <w:pPr>
              <w:rPr>
                <w:rFonts w:ascii="Calibri" w:eastAsia="Calibri" w:hAnsi="Calibri" w:cs="Calibri"/>
                <w:b/>
                <w:bCs/>
                <w:noProof/>
                <w:sz w:val="18"/>
                <w:szCs w:val="18"/>
              </w:rPr>
            </w:pPr>
            <w:r w:rsidRPr="42911850">
              <w:rPr>
                <w:rFonts w:ascii="Calibri" w:eastAsia="Calibri" w:hAnsi="Calibri" w:cs="Calibri"/>
                <w:b/>
                <w:bCs/>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4D7F0C78" w14:textId="3BAB4BA1" w:rsidR="42911850" w:rsidRDefault="42911850">
            <w:pPr>
              <w:rPr>
                <w:noProof/>
              </w:rPr>
            </w:pPr>
            <w:r w:rsidRPr="42911850">
              <w:rPr>
                <w:rFonts w:ascii="Calibri" w:eastAsia="Calibri" w:hAnsi="Calibri" w:cs="Calibri"/>
                <w:noProof/>
                <w:sz w:val="16"/>
                <w:szCs w:val="16"/>
              </w:rPr>
              <w:t xml:space="preserve">From 01/01/2016 to 31/12/2020 </w:t>
            </w:r>
          </w:p>
          <w:p w14:paraId="182BA2DC" w14:textId="3610F36F" w:rsidR="42911850" w:rsidRDefault="42911850">
            <w:pPr>
              <w:rPr>
                <w:noProof/>
              </w:rPr>
            </w:pPr>
            <w:r w:rsidRPr="42911850">
              <w:rPr>
                <w:rFonts w:ascii="Calibri" w:eastAsia="Calibri" w:hAnsi="Calibri" w:cs="Calibri"/>
                <w:noProof/>
                <w:sz w:val="16"/>
                <w:szCs w:val="16"/>
              </w:rPr>
              <w:t xml:space="preserve"> </w:t>
            </w:r>
          </w:p>
          <w:p w14:paraId="5BD7AC20" w14:textId="68DB070E" w:rsidR="42911850" w:rsidRDefault="42911850">
            <w:pPr>
              <w:rPr>
                <w:noProof/>
              </w:rPr>
            </w:pPr>
            <w:r w:rsidRPr="42911850">
              <w:rPr>
                <w:rFonts w:ascii="Calibri" w:eastAsia="Calibri" w:hAnsi="Calibri" w:cs="Calibri"/>
                <w:noProof/>
                <w:sz w:val="16"/>
                <w:szCs w:val="16"/>
              </w:rPr>
              <w:t xml:space="preserve"> </w:t>
            </w:r>
          </w:p>
          <w:p w14:paraId="50D0C575" w14:textId="08763D1E" w:rsidR="42911850" w:rsidRDefault="42911850">
            <w:pPr>
              <w:rPr>
                <w:noProof/>
              </w:rPr>
            </w:pPr>
            <w:r w:rsidRPr="42911850">
              <w:rPr>
                <w:rFonts w:ascii="Calibri" w:eastAsia="Calibri" w:hAnsi="Calibri" w:cs="Calibri"/>
                <w:noProof/>
                <w:sz w:val="16"/>
                <w:szCs w:val="16"/>
              </w:rPr>
              <w:t>EUR 1 500</w:t>
            </w:r>
          </w:p>
          <w:p w14:paraId="0A0AC2E3" w14:textId="0563F25E" w:rsidR="42911850" w:rsidRDefault="42911850">
            <w:pPr>
              <w:rPr>
                <w:noProof/>
              </w:rPr>
            </w:pPr>
            <w:r w:rsidRPr="42911850">
              <w:rPr>
                <w:rFonts w:ascii="Calibri" w:eastAsia="Calibri" w:hAnsi="Calibri" w:cs="Calibri"/>
                <w:noProof/>
                <w:sz w:val="16"/>
                <w:szCs w:val="16"/>
              </w:rPr>
              <w:t xml:space="preserve"> </w:t>
            </w:r>
          </w:p>
          <w:p w14:paraId="6FB50405" w14:textId="661D6AFE" w:rsidR="42911850" w:rsidRDefault="42911850">
            <w:pPr>
              <w:rPr>
                <w:noProof/>
              </w:rPr>
            </w:pPr>
            <w:r w:rsidRPr="42911850">
              <w:rPr>
                <w:rFonts w:ascii="Calibri" w:eastAsia="Calibri" w:hAnsi="Calibri" w:cs="Calibri"/>
                <w:noProof/>
                <w:sz w:val="16"/>
                <w:szCs w:val="16"/>
              </w:rPr>
              <w:t xml:space="preserve"> </w:t>
            </w:r>
          </w:p>
          <w:p w14:paraId="644B7D9D" w14:textId="6A7084ED" w:rsidR="42911850" w:rsidRDefault="42911850">
            <w:pPr>
              <w:rPr>
                <w:noProof/>
              </w:rPr>
            </w:pPr>
            <w:r w:rsidRPr="42911850">
              <w:rPr>
                <w:rFonts w:ascii="Calibri" w:eastAsia="Calibri" w:hAnsi="Calibri" w:cs="Calibri"/>
                <w:noProof/>
                <w:sz w:val="16"/>
                <w:szCs w:val="16"/>
              </w:rPr>
              <w:t xml:space="preserve"> </w:t>
            </w:r>
          </w:p>
          <w:p w14:paraId="57954DE2" w14:textId="73E95C3B" w:rsidR="42911850" w:rsidRDefault="42911850">
            <w:pPr>
              <w:rPr>
                <w:noProof/>
              </w:rPr>
            </w:pPr>
            <w:r w:rsidRPr="42911850">
              <w:rPr>
                <w:rFonts w:ascii="Calibri" w:eastAsia="Calibri" w:hAnsi="Calibri" w:cs="Calibri"/>
                <w:noProof/>
                <w:sz w:val="16"/>
                <w:szCs w:val="16"/>
              </w:rPr>
              <w:t xml:space="preserve"> </w:t>
            </w:r>
          </w:p>
          <w:p w14:paraId="1E153D56" w14:textId="7C4B70FB" w:rsidR="42911850" w:rsidRDefault="42911850">
            <w:pPr>
              <w:rPr>
                <w:noProof/>
              </w:rPr>
            </w:pPr>
            <w:r w:rsidRPr="42911850">
              <w:rPr>
                <w:rFonts w:ascii="Calibri" w:eastAsia="Calibri" w:hAnsi="Calibri" w:cs="Calibri"/>
                <w:noProof/>
                <w:sz w:val="16"/>
                <w:szCs w:val="16"/>
              </w:rPr>
              <w:t xml:space="preserve">From 01/01/2021 </w:t>
            </w:r>
          </w:p>
          <w:p w14:paraId="5003D159" w14:textId="43E191F2" w:rsidR="42911850" w:rsidRDefault="42911850">
            <w:pPr>
              <w:rPr>
                <w:noProof/>
              </w:rPr>
            </w:pPr>
            <w:r w:rsidRPr="42911850">
              <w:rPr>
                <w:rFonts w:ascii="Calibri" w:eastAsia="Calibri" w:hAnsi="Calibri" w:cs="Calibri"/>
                <w:noProof/>
                <w:sz w:val="16"/>
                <w:szCs w:val="16"/>
              </w:rPr>
              <w:t xml:space="preserve">No minimum amount </w:t>
            </w:r>
          </w:p>
        </w:tc>
        <w:tc>
          <w:tcPr>
            <w:tcW w:w="2175" w:type="dxa"/>
            <w:tcBorders>
              <w:top w:val="single" w:sz="8" w:space="0" w:color="auto"/>
              <w:left w:val="single" w:sz="8" w:space="0" w:color="auto"/>
              <w:bottom w:val="single" w:sz="8" w:space="0" w:color="auto"/>
              <w:right w:val="single" w:sz="8" w:space="0" w:color="auto"/>
            </w:tcBorders>
          </w:tcPr>
          <w:p w14:paraId="33996BDA" w14:textId="1ED8E41D" w:rsidR="42911850" w:rsidRDefault="42911850">
            <w:pPr>
              <w:rPr>
                <w:noProof/>
              </w:rPr>
            </w:pPr>
            <w:r w:rsidRPr="42911850">
              <w:rPr>
                <w:rFonts w:ascii="Calibri" w:eastAsia="Calibri" w:hAnsi="Calibri" w:cs="Calibri"/>
                <w:noProof/>
                <w:sz w:val="16"/>
                <w:szCs w:val="16"/>
              </w:rPr>
              <w:t xml:space="preserve">From 01/01/2016 to 31/12/2020 </w:t>
            </w:r>
          </w:p>
          <w:p w14:paraId="2EC36508" w14:textId="7D389503" w:rsidR="42911850" w:rsidRDefault="42911850">
            <w:pPr>
              <w:rPr>
                <w:noProof/>
              </w:rPr>
            </w:pPr>
            <w:r w:rsidRPr="42911850">
              <w:rPr>
                <w:rFonts w:ascii="Calibri" w:eastAsia="Calibri" w:hAnsi="Calibri" w:cs="Calibri"/>
                <w:noProof/>
                <w:sz w:val="16"/>
                <w:szCs w:val="16"/>
              </w:rPr>
              <w:t xml:space="preserve"> </w:t>
            </w:r>
          </w:p>
          <w:p w14:paraId="5CAD0A5F" w14:textId="3E44FF69" w:rsidR="42911850" w:rsidRDefault="42911850">
            <w:pPr>
              <w:rPr>
                <w:noProof/>
              </w:rPr>
            </w:pPr>
            <w:r w:rsidRPr="42911850">
              <w:rPr>
                <w:rFonts w:ascii="Calibri" w:eastAsia="Calibri" w:hAnsi="Calibri" w:cs="Calibri"/>
                <w:noProof/>
                <w:sz w:val="16"/>
                <w:szCs w:val="16"/>
              </w:rPr>
              <w:t xml:space="preserve"> </w:t>
            </w:r>
          </w:p>
          <w:p w14:paraId="7BF2ED60" w14:textId="1F08E54A" w:rsidR="42911850" w:rsidRDefault="42911850">
            <w:pPr>
              <w:rPr>
                <w:noProof/>
              </w:rPr>
            </w:pPr>
            <w:r w:rsidRPr="42911850">
              <w:rPr>
                <w:rFonts w:ascii="Calibri" w:eastAsia="Calibri" w:hAnsi="Calibri" w:cs="Calibri"/>
                <w:noProof/>
                <w:sz w:val="16"/>
                <w:szCs w:val="16"/>
              </w:rPr>
              <w:t>Up to 0,5 % of the amount that should have been reported</w:t>
            </w:r>
          </w:p>
          <w:p w14:paraId="5161166D" w14:textId="18379CBD" w:rsidR="42911850" w:rsidRDefault="42911850">
            <w:pPr>
              <w:rPr>
                <w:noProof/>
              </w:rPr>
            </w:pPr>
            <w:r w:rsidRPr="42911850">
              <w:rPr>
                <w:rFonts w:ascii="Calibri" w:eastAsia="Calibri" w:hAnsi="Calibri" w:cs="Calibri"/>
                <w:noProof/>
                <w:sz w:val="16"/>
                <w:szCs w:val="16"/>
              </w:rPr>
              <w:t xml:space="preserve"> </w:t>
            </w:r>
          </w:p>
          <w:p w14:paraId="3117A5EB" w14:textId="24D7A82B" w:rsidR="42911850" w:rsidRDefault="42911850">
            <w:pPr>
              <w:rPr>
                <w:noProof/>
              </w:rPr>
            </w:pPr>
            <w:r w:rsidRPr="42911850">
              <w:rPr>
                <w:rFonts w:ascii="Calibri" w:eastAsia="Calibri" w:hAnsi="Calibri" w:cs="Calibri"/>
                <w:noProof/>
                <w:color w:val="2D2D2D"/>
                <w:sz w:val="16"/>
                <w:szCs w:val="16"/>
              </w:rPr>
              <w:t>Up to EUR 250,000.</w:t>
            </w:r>
          </w:p>
          <w:p w14:paraId="4CFE6E40" w14:textId="58DB171E" w:rsidR="42911850" w:rsidRDefault="42911850">
            <w:pPr>
              <w:rPr>
                <w:noProof/>
              </w:rPr>
            </w:pPr>
            <w:r w:rsidRPr="42911850">
              <w:rPr>
                <w:rFonts w:ascii="Calibri" w:eastAsia="Calibri" w:hAnsi="Calibri" w:cs="Calibri"/>
                <w:noProof/>
                <w:sz w:val="16"/>
                <w:szCs w:val="16"/>
              </w:rPr>
              <w:t xml:space="preserve"> </w:t>
            </w:r>
          </w:p>
          <w:p w14:paraId="22E6B332" w14:textId="7D0C1E2A" w:rsidR="42911850" w:rsidRDefault="42911850">
            <w:pPr>
              <w:rPr>
                <w:noProof/>
              </w:rPr>
            </w:pPr>
            <w:r w:rsidRPr="42911850">
              <w:rPr>
                <w:rFonts w:ascii="Calibri" w:eastAsia="Calibri" w:hAnsi="Calibri" w:cs="Calibri"/>
                <w:noProof/>
                <w:sz w:val="16"/>
                <w:szCs w:val="16"/>
              </w:rPr>
              <w:t>From 01/01/2021</w:t>
            </w:r>
          </w:p>
          <w:p w14:paraId="3CCC46FE" w14:textId="54763C68" w:rsidR="42911850" w:rsidRDefault="42911850">
            <w:pPr>
              <w:rPr>
                <w:noProof/>
              </w:rPr>
            </w:pPr>
            <w:r w:rsidRPr="42911850">
              <w:rPr>
                <w:rFonts w:ascii="Calibri" w:eastAsia="Calibri" w:hAnsi="Calibri" w:cs="Calibri"/>
                <w:noProof/>
                <w:sz w:val="16"/>
                <w:szCs w:val="16"/>
              </w:rPr>
              <w:t xml:space="preserve">10 000 EUR </w:t>
            </w:r>
          </w:p>
          <w:p w14:paraId="6AC9124E" w14:textId="239CD312" w:rsidR="42911850" w:rsidRDefault="42911850">
            <w:pPr>
              <w:rPr>
                <w:noProof/>
              </w:rPr>
            </w:pPr>
            <w:r w:rsidRPr="42911850">
              <w:rPr>
                <w:rFonts w:ascii="Calibri" w:eastAsia="Calibri" w:hAnsi="Calibri" w:cs="Calibri"/>
                <w:noProof/>
                <w:sz w:val="16"/>
                <w:szCs w:val="16"/>
              </w:rPr>
              <w:t xml:space="preserve"> </w:t>
            </w:r>
          </w:p>
          <w:p w14:paraId="65FA473F" w14:textId="5C6B3914" w:rsidR="42911850" w:rsidRDefault="42911850">
            <w:pPr>
              <w:rPr>
                <w:noProof/>
              </w:rPr>
            </w:pPr>
            <w:r w:rsidRPr="42911850">
              <w:rPr>
                <w:rFonts w:ascii="Calibri" w:eastAsia="Calibri" w:hAnsi="Calibri" w:cs="Calibri"/>
                <w:noProof/>
                <w:sz w:val="16"/>
                <w:szCs w:val="16"/>
              </w:rPr>
              <w:t>Up to 250 000 EUR + 0,5 % of the amount that should have been reported</w:t>
            </w:r>
          </w:p>
          <w:p w14:paraId="51827952" w14:textId="7606D8B4" w:rsidR="42911850" w:rsidRDefault="42911850">
            <w:pPr>
              <w:rPr>
                <w:noProof/>
              </w:rPr>
            </w:pPr>
            <w:r w:rsidRPr="42911850">
              <w:rPr>
                <w:rFonts w:ascii="Calibri" w:eastAsia="Calibri" w:hAnsi="Calibri" w:cs="Calibri"/>
                <w:noProof/>
                <w:sz w:val="16"/>
                <w:szCs w:val="16"/>
              </w:rPr>
              <w:t xml:space="preserve"> </w:t>
            </w:r>
          </w:p>
        </w:tc>
      </w:tr>
      <w:tr w:rsidR="42911850" w14:paraId="4F69ECEF" w14:textId="77777777" w:rsidTr="42911850">
        <w:trPr>
          <w:trHeight w:val="45"/>
        </w:trPr>
        <w:tc>
          <w:tcPr>
            <w:tcW w:w="638" w:type="dxa"/>
            <w:vMerge/>
            <w:tcBorders>
              <w:left w:val="single" w:sz="0" w:space="0" w:color="auto"/>
              <w:right w:val="single" w:sz="0" w:space="0" w:color="auto"/>
            </w:tcBorders>
            <w:vAlign w:val="center"/>
          </w:tcPr>
          <w:p w14:paraId="5D18023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3CC6FDBC" w14:textId="3BA82679"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05A8B853" w14:textId="632F724B" w:rsidR="42911850" w:rsidRDefault="42911850" w:rsidP="00AE537F">
            <w:pPr>
              <w:pStyle w:val="ListParagraph"/>
              <w:numPr>
                <w:ilvl w:val="0"/>
                <w:numId w:val="22"/>
              </w:numPr>
              <w:rPr>
                <w:rFonts w:eastAsiaTheme="minorEastAsia"/>
                <w:b/>
                <w:bCs/>
                <w:noProof/>
                <w:sz w:val="16"/>
                <w:szCs w:val="16"/>
              </w:rPr>
            </w:pPr>
            <w:r w:rsidRPr="42911850">
              <w:rPr>
                <w:b/>
                <w:bCs/>
                <w:noProof/>
                <w:sz w:val="16"/>
                <w:szCs w:val="16"/>
              </w:rPr>
              <w:t xml:space="preserve">Scope ratione materiae </w:t>
            </w:r>
          </w:p>
          <w:p w14:paraId="3B969BC6" w14:textId="75DE12CA"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All infractions (absence of reporting, late reporting, wrong reporting)</w:t>
            </w:r>
          </w:p>
          <w:p w14:paraId="0D27804E" w14:textId="0A4A4D52" w:rsidR="42911850" w:rsidRDefault="42911850" w:rsidP="00AE537F">
            <w:pPr>
              <w:pStyle w:val="ListParagraph"/>
              <w:numPr>
                <w:ilvl w:val="0"/>
                <w:numId w:val="21"/>
              </w:numPr>
              <w:rPr>
                <w:rFonts w:eastAsiaTheme="minorEastAsia"/>
                <w:b/>
                <w:bCs/>
                <w:noProof/>
                <w:sz w:val="16"/>
                <w:szCs w:val="16"/>
              </w:rPr>
            </w:pPr>
            <w:r w:rsidRPr="42911850">
              <w:rPr>
                <w:b/>
                <w:bCs/>
                <w:noProof/>
                <w:sz w:val="16"/>
                <w:szCs w:val="16"/>
              </w:rPr>
              <w:t xml:space="preserve">Personal scope: </w:t>
            </w:r>
            <w:r w:rsidRPr="42911850">
              <w:rPr>
                <w:noProof/>
                <w:sz w:val="16"/>
                <w:szCs w:val="16"/>
              </w:rPr>
              <w:t>By any reporting entity</w:t>
            </w:r>
          </w:p>
          <w:p w14:paraId="2A706B58" w14:textId="309D5CDB"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5BCF564B" w14:textId="171E361C" w:rsidR="42911850" w:rsidRDefault="42911850" w:rsidP="00AE537F">
            <w:pPr>
              <w:pStyle w:val="ListParagraph"/>
              <w:numPr>
                <w:ilvl w:val="0"/>
                <w:numId w:val="20"/>
              </w:numPr>
              <w:rPr>
                <w:rFonts w:eastAsiaTheme="minorEastAsia"/>
                <w:b/>
                <w:bCs/>
                <w:noProof/>
                <w:sz w:val="16"/>
                <w:szCs w:val="16"/>
              </w:rPr>
            </w:pPr>
            <w:r w:rsidRPr="42911850">
              <w:rPr>
                <w:b/>
                <w:bCs/>
                <w:noProof/>
                <w:sz w:val="16"/>
                <w:szCs w:val="16"/>
              </w:rPr>
              <w:t xml:space="preserve">Individual / Cumulative:  </w:t>
            </w:r>
            <w:r w:rsidRPr="42911850">
              <w:rPr>
                <w:noProof/>
                <w:sz w:val="16"/>
                <w:szCs w:val="16"/>
              </w:rPr>
              <w:t xml:space="preserve">Not explicit in the national legislation, it appears applicable per infringement / per person </w:t>
            </w:r>
          </w:p>
          <w:p w14:paraId="718B87AF" w14:textId="37D1971D"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0D3A0DA6" w14:textId="2514AC1D" w:rsidR="42911850" w:rsidRDefault="42911850">
            <w:pPr>
              <w:rPr>
                <w:noProof/>
              </w:rPr>
            </w:pPr>
            <w:r w:rsidRPr="42911850">
              <w:rPr>
                <w:rFonts w:ascii="Calibri" w:eastAsia="Calibri" w:hAnsi="Calibri" w:cs="Calibri"/>
                <w:noProof/>
                <w:sz w:val="16"/>
                <w:szCs w:val="16"/>
              </w:rPr>
              <w:t>No minimum amount</w:t>
            </w:r>
          </w:p>
        </w:tc>
        <w:tc>
          <w:tcPr>
            <w:tcW w:w="2175" w:type="dxa"/>
            <w:tcBorders>
              <w:top w:val="single" w:sz="8" w:space="0" w:color="auto"/>
              <w:left w:val="single" w:sz="8" w:space="0" w:color="auto"/>
              <w:bottom w:val="single" w:sz="8" w:space="0" w:color="auto"/>
              <w:right w:val="single" w:sz="8" w:space="0" w:color="auto"/>
            </w:tcBorders>
          </w:tcPr>
          <w:p w14:paraId="55E2C3B3" w14:textId="1CE15602"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Maximum of EUR 250,000 by infraction.</w:t>
            </w:r>
          </w:p>
          <w:p w14:paraId="06B88375" w14:textId="605070C9" w:rsidR="42911850" w:rsidRDefault="42911850">
            <w:pPr>
              <w:rPr>
                <w:noProof/>
              </w:rPr>
            </w:pPr>
            <w:r w:rsidRPr="42911850">
              <w:rPr>
                <w:rFonts w:ascii="Calibri" w:eastAsia="Calibri" w:hAnsi="Calibri" w:cs="Calibri"/>
                <w:noProof/>
                <w:sz w:val="16"/>
                <w:szCs w:val="16"/>
              </w:rPr>
              <w:t>No cumulative maximum in case of multiple infractions</w:t>
            </w:r>
          </w:p>
        </w:tc>
      </w:tr>
      <w:tr w:rsidR="42911850" w14:paraId="19738A89"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2B9E32AC"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7913E9A7" w14:textId="09DC7DAF"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0CF34D28" w14:textId="29E118B5" w:rsidR="42911850" w:rsidRDefault="42911850" w:rsidP="00AE537F">
            <w:pPr>
              <w:pStyle w:val="ListParagraph"/>
              <w:numPr>
                <w:ilvl w:val="0"/>
                <w:numId w:val="19"/>
              </w:numPr>
              <w:rPr>
                <w:rFonts w:eastAsiaTheme="minorEastAsia"/>
                <w:b/>
                <w:bCs/>
                <w:noProof/>
                <w:sz w:val="16"/>
                <w:szCs w:val="16"/>
              </w:rPr>
            </w:pPr>
            <w:r w:rsidRPr="42911850">
              <w:rPr>
                <w:b/>
                <w:bCs/>
                <w:noProof/>
                <w:sz w:val="16"/>
                <w:szCs w:val="16"/>
              </w:rPr>
              <w:t xml:space="preserve">Scope ratione materiae </w:t>
            </w:r>
          </w:p>
          <w:p w14:paraId="1501C910" w14:textId="14729245"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All infractions (absence of reporting, late reporting, wrong reporting)</w:t>
            </w:r>
          </w:p>
          <w:p w14:paraId="76FA7557" w14:textId="3D6CC8DA" w:rsidR="42911850" w:rsidRDefault="42911850" w:rsidP="00AE537F">
            <w:pPr>
              <w:pStyle w:val="ListParagraph"/>
              <w:numPr>
                <w:ilvl w:val="0"/>
                <w:numId w:val="18"/>
              </w:numPr>
              <w:rPr>
                <w:rFonts w:eastAsiaTheme="minorEastAsia"/>
                <w:b/>
                <w:bCs/>
                <w:noProof/>
                <w:sz w:val="16"/>
                <w:szCs w:val="16"/>
              </w:rPr>
            </w:pPr>
            <w:r w:rsidRPr="42911850">
              <w:rPr>
                <w:b/>
                <w:bCs/>
                <w:noProof/>
                <w:sz w:val="16"/>
                <w:szCs w:val="16"/>
              </w:rPr>
              <w:t xml:space="preserve">Personal scope: </w:t>
            </w:r>
            <w:r w:rsidRPr="42911850">
              <w:rPr>
                <w:noProof/>
                <w:sz w:val="16"/>
                <w:szCs w:val="16"/>
              </w:rPr>
              <w:t>By any intermediary (natural/legal)</w:t>
            </w:r>
          </w:p>
          <w:p w14:paraId="2477C656" w14:textId="7A113B0A"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52DA338D" w14:textId="4667A5A1" w:rsidR="42911850" w:rsidRDefault="42911850" w:rsidP="00AE537F">
            <w:pPr>
              <w:pStyle w:val="ListParagraph"/>
              <w:numPr>
                <w:ilvl w:val="0"/>
                <w:numId w:val="17"/>
              </w:numPr>
              <w:rPr>
                <w:rFonts w:eastAsiaTheme="minorEastAsia"/>
                <w:b/>
                <w:bCs/>
                <w:noProof/>
                <w:sz w:val="16"/>
                <w:szCs w:val="16"/>
              </w:rPr>
            </w:pPr>
            <w:r w:rsidRPr="42911850">
              <w:rPr>
                <w:b/>
                <w:bCs/>
                <w:noProof/>
                <w:sz w:val="16"/>
                <w:szCs w:val="16"/>
              </w:rPr>
              <w:t>Individual / Cumulative:</w:t>
            </w:r>
            <w:r w:rsidRPr="42911850">
              <w:rPr>
                <w:noProof/>
                <w:sz w:val="16"/>
                <w:szCs w:val="16"/>
              </w:rPr>
              <w:t xml:space="preserve"> Not explicit in the national legislation – it appears applicable per infringement / per person </w:t>
            </w:r>
          </w:p>
          <w:p w14:paraId="12FD8A6E" w14:textId="2FAC0D87"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62FDC64C" w14:textId="02BB8D94"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0BD216ED" w14:textId="5B90CFC7" w:rsidR="42911850" w:rsidRDefault="42911850">
            <w:pPr>
              <w:rPr>
                <w:noProof/>
              </w:rPr>
            </w:pPr>
            <w:r w:rsidRPr="42911850">
              <w:rPr>
                <w:rFonts w:ascii="Calibri" w:eastAsia="Calibri" w:hAnsi="Calibri" w:cs="Calibri"/>
                <w:noProof/>
                <w:sz w:val="16"/>
                <w:szCs w:val="16"/>
              </w:rPr>
              <w:t>No minimum amount</w:t>
            </w:r>
          </w:p>
        </w:tc>
        <w:tc>
          <w:tcPr>
            <w:tcW w:w="2175" w:type="dxa"/>
            <w:tcBorders>
              <w:top w:val="single" w:sz="8" w:space="0" w:color="auto"/>
              <w:left w:val="single" w:sz="8" w:space="0" w:color="auto"/>
              <w:bottom w:val="single" w:sz="8" w:space="0" w:color="auto"/>
              <w:right w:val="single" w:sz="8" w:space="0" w:color="auto"/>
            </w:tcBorders>
          </w:tcPr>
          <w:p w14:paraId="486E5C6A" w14:textId="0AB8D320"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Maximum of EUR 250,000 by infraction.</w:t>
            </w:r>
          </w:p>
          <w:p w14:paraId="5403DFAD" w14:textId="3B043A3F" w:rsidR="42911850" w:rsidRDefault="42911850">
            <w:pPr>
              <w:rPr>
                <w:noProof/>
              </w:rPr>
            </w:pPr>
            <w:r w:rsidRPr="42911850">
              <w:rPr>
                <w:rFonts w:ascii="Calibri" w:eastAsia="Calibri" w:hAnsi="Calibri" w:cs="Calibri"/>
                <w:noProof/>
                <w:sz w:val="16"/>
                <w:szCs w:val="16"/>
              </w:rPr>
              <w:t xml:space="preserve"> </w:t>
            </w:r>
          </w:p>
          <w:p w14:paraId="3BF65C12" w14:textId="5403FC8C" w:rsidR="42911850" w:rsidRDefault="42911850">
            <w:pPr>
              <w:rPr>
                <w:noProof/>
              </w:rPr>
            </w:pPr>
            <w:r w:rsidRPr="42911850">
              <w:rPr>
                <w:rFonts w:ascii="Calibri" w:eastAsia="Calibri" w:hAnsi="Calibri" w:cs="Calibri"/>
                <w:noProof/>
                <w:sz w:val="16"/>
                <w:szCs w:val="16"/>
              </w:rPr>
              <w:t xml:space="preserve">Legislative work states that the level of the penalty imposed will depend on the facts and circumstances of the case (i.e. Intentional breach, page 26 </w:t>
            </w:r>
            <w:hyperlink r:id="rId40" w:history="1">
              <w:r w:rsidRPr="42911850">
                <w:rPr>
                  <w:rStyle w:val="Hyperlink"/>
                  <w:rFonts w:ascii="Calibri" w:eastAsia="Calibri" w:hAnsi="Calibri" w:cs="Calibri"/>
                  <w:noProof/>
                  <w:sz w:val="16"/>
                  <w:szCs w:val="16"/>
                </w:rPr>
                <w:t>here</w:t>
              </w:r>
            </w:hyperlink>
            <w:r w:rsidRPr="42911850">
              <w:rPr>
                <w:rFonts w:ascii="Calibri" w:eastAsia="Calibri" w:hAnsi="Calibri" w:cs="Calibri"/>
                <w:noProof/>
                <w:sz w:val="16"/>
                <w:szCs w:val="16"/>
              </w:rPr>
              <w:t xml:space="preserve">). </w:t>
            </w:r>
          </w:p>
        </w:tc>
      </w:tr>
      <w:tr w:rsidR="42911850" w14:paraId="3D3F75D6"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624EDD95" w14:textId="5D395F11" w:rsidR="42911850" w:rsidRDefault="42911850">
            <w:pPr>
              <w:rPr>
                <w:noProof/>
              </w:rPr>
            </w:pPr>
            <w:r w:rsidRPr="42911850">
              <w:rPr>
                <w:rFonts w:ascii="Calibri" w:eastAsia="Calibri" w:hAnsi="Calibri" w:cs="Calibri"/>
                <w:b/>
                <w:bCs/>
                <w:noProof/>
                <w:sz w:val="18"/>
                <w:szCs w:val="18"/>
              </w:rPr>
              <w:t>LV</w:t>
            </w:r>
          </w:p>
        </w:tc>
        <w:tc>
          <w:tcPr>
            <w:tcW w:w="1025" w:type="dxa"/>
            <w:tcBorders>
              <w:top w:val="single" w:sz="8" w:space="0" w:color="auto"/>
              <w:left w:val="single" w:sz="8" w:space="0" w:color="auto"/>
              <w:bottom w:val="single" w:sz="8" w:space="0" w:color="auto"/>
              <w:right w:val="single" w:sz="8" w:space="0" w:color="auto"/>
            </w:tcBorders>
          </w:tcPr>
          <w:p w14:paraId="62B68538" w14:textId="54BF95DE"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2AD2DC17" w14:textId="476BDF14" w:rsidR="42911850" w:rsidRDefault="42911850">
            <w:pPr>
              <w:rPr>
                <w:noProof/>
              </w:rPr>
            </w:pPr>
            <w:r w:rsidRPr="42911850">
              <w:rPr>
                <w:rFonts w:ascii="Calibri" w:eastAsia="Calibri" w:hAnsi="Calibri" w:cs="Calibri"/>
                <w:b/>
                <w:bCs/>
                <w:noProof/>
                <w:sz w:val="16"/>
                <w:szCs w:val="16"/>
                <w:u w:val="single"/>
              </w:rPr>
              <w:t>Scope ratione materiae</w:t>
            </w:r>
          </w:p>
          <w:p w14:paraId="64FB2899" w14:textId="2DCCA611" w:rsidR="42911850" w:rsidRDefault="42911850">
            <w:pPr>
              <w:rPr>
                <w:noProof/>
              </w:rPr>
            </w:pPr>
            <w:r w:rsidRPr="42911850">
              <w:rPr>
                <w:rFonts w:ascii="Calibri" w:eastAsia="Calibri" w:hAnsi="Calibri" w:cs="Calibri"/>
                <w:noProof/>
                <w:sz w:val="16"/>
                <w:szCs w:val="16"/>
              </w:rPr>
              <w:t>Violation of reporting obligations by reporting entity</w:t>
            </w:r>
          </w:p>
          <w:p w14:paraId="774D1246" w14:textId="786B6EF3" w:rsidR="42911850" w:rsidRDefault="42911850">
            <w:pPr>
              <w:rPr>
                <w:noProof/>
              </w:rPr>
            </w:pPr>
            <w:r w:rsidRPr="42911850">
              <w:rPr>
                <w:rFonts w:ascii="Calibri" w:eastAsia="Calibri" w:hAnsi="Calibri" w:cs="Calibri"/>
                <w:b/>
                <w:bCs/>
                <w:noProof/>
                <w:sz w:val="16"/>
                <w:szCs w:val="16"/>
                <w:u w:val="single"/>
                <w:lang w:val="en-IE"/>
              </w:rPr>
              <w:t>Personal scope</w:t>
            </w:r>
          </w:p>
          <w:p w14:paraId="294017FD" w14:textId="0A115658" w:rsidR="42911850" w:rsidRDefault="42911850">
            <w:pPr>
              <w:rPr>
                <w:noProof/>
              </w:rPr>
            </w:pPr>
            <w:r w:rsidRPr="42911850">
              <w:rPr>
                <w:rFonts w:ascii="Calibri" w:eastAsia="Calibri" w:hAnsi="Calibri" w:cs="Calibri"/>
                <w:noProof/>
                <w:sz w:val="16"/>
                <w:szCs w:val="16"/>
                <w:lang w:val="en-IE"/>
              </w:rPr>
              <w:t xml:space="preserve">Financial establishments </w:t>
            </w:r>
          </w:p>
          <w:p w14:paraId="25FE2DAA" w14:textId="69D4E8F0"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74F6AF69" w14:textId="05C02D8C" w:rsidR="42911850" w:rsidRDefault="42911850">
            <w:pPr>
              <w:rPr>
                <w:noProof/>
              </w:rPr>
            </w:pPr>
            <w:r w:rsidRPr="42911850">
              <w:rPr>
                <w:rFonts w:ascii="Calibri" w:eastAsia="Calibri" w:hAnsi="Calibri" w:cs="Calibri"/>
                <w:noProof/>
                <w:sz w:val="16"/>
                <w:szCs w:val="16"/>
                <w:lang w:val="en-IE"/>
              </w:rPr>
              <w:t>Unclear, but seems that the penalty is applied per individual infringement and person</w:t>
            </w:r>
          </w:p>
        </w:tc>
        <w:tc>
          <w:tcPr>
            <w:tcW w:w="1757" w:type="dxa"/>
            <w:tcBorders>
              <w:top w:val="single" w:sz="8" w:space="0" w:color="auto"/>
              <w:left w:val="single" w:sz="8" w:space="0" w:color="auto"/>
              <w:bottom w:val="single" w:sz="8" w:space="0" w:color="auto"/>
              <w:right w:val="single" w:sz="8" w:space="0" w:color="auto"/>
            </w:tcBorders>
          </w:tcPr>
          <w:p w14:paraId="17EE75A7" w14:textId="62EF1045" w:rsidR="42911850" w:rsidRDefault="42911850">
            <w:pPr>
              <w:rPr>
                <w:noProof/>
              </w:rPr>
            </w:pPr>
            <w:r w:rsidRPr="42911850">
              <w:rPr>
                <w:rFonts w:ascii="Calibri" w:eastAsia="Calibri" w:hAnsi="Calibri" w:cs="Calibri"/>
                <w:noProof/>
                <w:sz w:val="16"/>
                <w:szCs w:val="16"/>
              </w:rPr>
              <w:t xml:space="preserve"> </w:t>
            </w:r>
          </w:p>
        </w:tc>
        <w:tc>
          <w:tcPr>
            <w:tcW w:w="2175" w:type="dxa"/>
            <w:tcBorders>
              <w:top w:val="single" w:sz="8" w:space="0" w:color="auto"/>
              <w:left w:val="single" w:sz="8" w:space="0" w:color="auto"/>
              <w:bottom w:val="single" w:sz="8" w:space="0" w:color="auto"/>
              <w:right w:val="single" w:sz="8" w:space="0" w:color="auto"/>
            </w:tcBorders>
          </w:tcPr>
          <w:p w14:paraId="32A6E5A2" w14:textId="3518B7E5" w:rsidR="42911850" w:rsidRDefault="42911850">
            <w:pPr>
              <w:rPr>
                <w:noProof/>
              </w:rPr>
            </w:pPr>
            <w:r w:rsidRPr="42911850">
              <w:rPr>
                <w:rFonts w:ascii="Calibri" w:eastAsia="Calibri" w:hAnsi="Calibri" w:cs="Calibri"/>
                <w:noProof/>
                <w:sz w:val="18"/>
                <w:szCs w:val="18"/>
              </w:rPr>
              <w:t xml:space="preserve"> </w:t>
            </w:r>
          </w:p>
          <w:p w14:paraId="13B1C332" w14:textId="189D439F" w:rsidR="42911850" w:rsidRDefault="42911850">
            <w:pPr>
              <w:rPr>
                <w:noProof/>
              </w:rPr>
            </w:pPr>
            <w:r w:rsidRPr="42911850">
              <w:rPr>
                <w:rFonts w:ascii="Calibri" w:eastAsia="Calibri" w:hAnsi="Calibri" w:cs="Calibri"/>
                <w:noProof/>
                <w:sz w:val="16"/>
                <w:szCs w:val="16"/>
              </w:rPr>
              <w:t>Fine of up to 1% of annual turnover, but not exceeding 14 000 EUR</w:t>
            </w:r>
          </w:p>
          <w:p w14:paraId="718EEDF2" w14:textId="15212BFF" w:rsidR="42911850" w:rsidRDefault="42911850">
            <w:pPr>
              <w:rPr>
                <w:noProof/>
              </w:rPr>
            </w:pPr>
            <w:r w:rsidRPr="42911850">
              <w:rPr>
                <w:rFonts w:ascii="Calibri" w:eastAsia="Calibri" w:hAnsi="Calibri" w:cs="Calibri"/>
                <w:noProof/>
                <w:sz w:val="16"/>
                <w:szCs w:val="16"/>
              </w:rPr>
              <w:t xml:space="preserve">  </w:t>
            </w:r>
          </w:p>
        </w:tc>
      </w:tr>
      <w:tr w:rsidR="42911850" w14:paraId="73B199B0" w14:textId="77777777" w:rsidTr="42911850">
        <w:trPr>
          <w:trHeight w:val="45"/>
        </w:trPr>
        <w:tc>
          <w:tcPr>
            <w:tcW w:w="638" w:type="dxa"/>
            <w:vMerge/>
            <w:tcBorders>
              <w:left w:val="single" w:sz="0" w:space="0" w:color="auto"/>
              <w:right w:val="single" w:sz="0" w:space="0" w:color="auto"/>
            </w:tcBorders>
            <w:vAlign w:val="center"/>
          </w:tcPr>
          <w:p w14:paraId="142DE50D"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13489BC" w14:textId="4AFF648B"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505506EF" w14:textId="4A3D5663" w:rsidR="42911850" w:rsidRDefault="42911850">
            <w:pPr>
              <w:rPr>
                <w:noProof/>
              </w:rPr>
            </w:pPr>
            <w:r w:rsidRPr="42911850">
              <w:rPr>
                <w:rFonts w:ascii="Calibri" w:eastAsia="Calibri" w:hAnsi="Calibri" w:cs="Calibri"/>
                <w:b/>
                <w:bCs/>
                <w:noProof/>
                <w:sz w:val="16"/>
                <w:szCs w:val="16"/>
                <w:u w:val="single"/>
              </w:rPr>
              <w:t>Scope ratione materiae</w:t>
            </w:r>
          </w:p>
          <w:p w14:paraId="281A8BE9" w14:textId="009481F6" w:rsidR="42911850" w:rsidRDefault="42911850">
            <w:pPr>
              <w:rPr>
                <w:noProof/>
              </w:rPr>
            </w:pPr>
            <w:r w:rsidRPr="42911850">
              <w:rPr>
                <w:rFonts w:ascii="Calibri" w:eastAsia="Calibri" w:hAnsi="Calibri" w:cs="Calibri"/>
                <w:noProof/>
                <w:sz w:val="16"/>
                <w:szCs w:val="16"/>
              </w:rPr>
              <w:t>Violation of reporting obligations by reporting entity</w:t>
            </w:r>
          </w:p>
          <w:p w14:paraId="2DE1EDFC" w14:textId="72AD9C0A" w:rsidR="42911850" w:rsidRDefault="42911850">
            <w:pPr>
              <w:rPr>
                <w:noProof/>
              </w:rPr>
            </w:pPr>
            <w:r w:rsidRPr="42911850">
              <w:rPr>
                <w:rFonts w:ascii="Calibri" w:eastAsia="Calibri" w:hAnsi="Calibri" w:cs="Calibri"/>
                <w:b/>
                <w:bCs/>
                <w:noProof/>
                <w:sz w:val="16"/>
                <w:szCs w:val="16"/>
                <w:u w:val="single"/>
                <w:lang w:val="en-IE"/>
              </w:rPr>
              <w:t>Personal scope</w:t>
            </w:r>
          </w:p>
          <w:p w14:paraId="7912DF17" w14:textId="009AE5DA" w:rsidR="42911850" w:rsidRDefault="42911850">
            <w:pPr>
              <w:rPr>
                <w:noProof/>
              </w:rPr>
            </w:pPr>
            <w:r w:rsidRPr="42911850">
              <w:rPr>
                <w:rFonts w:ascii="Calibri" w:eastAsia="Calibri" w:hAnsi="Calibri" w:cs="Calibri"/>
                <w:noProof/>
                <w:sz w:val="16"/>
                <w:szCs w:val="16"/>
                <w:lang w:val="en-IE"/>
              </w:rPr>
              <w:t xml:space="preserve">Legal entities </w:t>
            </w:r>
          </w:p>
          <w:p w14:paraId="01BCC3EC" w14:textId="2F3F9842"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04533309" w14:textId="1BCBD3A1" w:rsidR="42911850" w:rsidRDefault="42911850">
            <w:pPr>
              <w:rPr>
                <w:noProof/>
              </w:rPr>
            </w:pPr>
            <w:r w:rsidRPr="42911850">
              <w:rPr>
                <w:rFonts w:ascii="Calibri" w:eastAsia="Calibri" w:hAnsi="Calibri" w:cs="Calibri"/>
                <w:noProof/>
                <w:sz w:val="16"/>
                <w:szCs w:val="16"/>
                <w:lang w:val="en-IE"/>
              </w:rPr>
              <w:t>Penalties per individual infringement and person</w:t>
            </w:r>
          </w:p>
        </w:tc>
        <w:tc>
          <w:tcPr>
            <w:tcW w:w="1757" w:type="dxa"/>
            <w:tcBorders>
              <w:top w:val="single" w:sz="8" w:space="0" w:color="auto"/>
              <w:left w:val="single" w:sz="8" w:space="0" w:color="auto"/>
              <w:bottom w:val="single" w:sz="8" w:space="0" w:color="auto"/>
              <w:right w:val="single" w:sz="8" w:space="0" w:color="auto"/>
            </w:tcBorders>
          </w:tcPr>
          <w:p w14:paraId="6AA30A93" w14:textId="165BCCD3"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4DD01D4C" w14:textId="1F2A97D1" w:rsidR="42911850" w:rsidRDefault="42911850">
            <w:pPr>
              <w:rPr>
                <w:noProof/>
              </w:rPr>
            </w:pPr>
            <w:r w:rsidRPr="42911850">
              <w:rPr>
                <w:rFonts w:ascii="Calibri" w:eastAsia="Calibri" w:hAnsi="Calibri" w:cs="Calibri"/>
                <w:noProof/>
                <w:sz w:val="18"/>
                <w:szCs w:val="18"/>
              </w:rPr>
              <w:t xml:space="preserve"> </w:t>
            </w:r>
          </w:p>
          <w:p w14:paraId="4958B3C4" w14:textId="473560C2" w:rsidR="42911850" w:rsidRDefault="42911850">
            <w:pPr>
              <w:rPr>
                <w:noProof/>
              </w:rPr>
            </w:pPr>
            <w:r w:rsidRPr="42911850">
              <w:rPr>
                <w:rFonts w:ascii="Calibri" w:eastAsia="Calibri" w:hAnsi="Calibri" w:cs="Calibri"/>
                <w:noProof/>
                <w:sz w:val="16"/>
                <w:szCs w:val="16"/>
              </w:rPr>
              <w:t>Fine up to 3200 EUR</w:t>
            </w:r>
          </w:p>
        </w:tc>
      </w:tr>
      <w:tr w:rsidR="42911850" w14:paraId="3354DCFC"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5C499FF9"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568973EA" w14:textId="0EF218E3"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35695B43" w14:textId="455B2893" w:rsidR="42911850" w:rsidRDefault="42911850">
            <w:pPr>
              <w:rPr>
                <w:noProof/>
              </w:rPr>
            </w:pPr>
            <w:r w:rsidRPr="42911850">
              <w:rPr>
                <w:rFonts w:ascii="Calibri" w:eastAsia="Calibri" w:hAnsi="Calibri" w:cs="Calibri"/>
                <w:b/>
                <w:bCs/>
                <w:noProof/>
                <w:sz w:val="16"/>
                <w:szCs w:val="16"/>
                <w:u w:val="single"/>
              </w:rPr>
              <w:t>Scope ratione materiae</w:t>
            </w:r>
          </w:p>
          <w:p w14:paraId="4D623A29" w14:textId="4249A03A" w:rsidR="42911850" w:rsidRDefault="42911850">
            <w:pPr>
              <w:rPr>
                <w:noProof/>
              </w:rPr>
            </w:pPr>
            <w:r w:rsidRPr="42911850">
              <w:rPr>
                <w:rFonts w:ascii="Calibri" w:eastAsia="Calibri" w:hAnsi="Calibri" w:cs="Calibri"/>
                <w:noProof/>
                <w:sz w:val="16"/>
                <w:szCs w:val="16"/>
              </w:rPr>
              <w:t>Violation of reporting obligations by reporting person or entity</w:t>
            </w:r>
          </w:p>
          <w:p w14:paraId="4976CDC9" w14:textId="5E448212" w:rsidR="42911850" w:rsidRDefault="42911850">
            <w:pPr>
              <w:rPr>
                <w:noProof/>
              </w:rPr>
            </w:pPr>
            <w:r w:rsidRPr="42911850">
              <w:rPr>
                <w:rFonts w:ascii="Calibri" w:eastAsia="Calibri" w:hAnsi="Calibri" w:cs="Calibri"/>
                <w:b/>
                <w:bCs/>
                <w:noProof/>
                <w:sz w:val="16"/>
                <w:szCs w:val="16"/>
                <w:u w:val="single"/>
                <w:lang w:val="en-IE"/>
              </w:rPr>
              <w:t>Personal scope</w:t>
            </w:r>
          </w:p>
          <w:p w14:paraId="7714EB78" w14:textId="0482426A" w:rsidR="42911850" w:rsidRDefault="42911850">
            <w:pPr>
              <w:rPr>
                <w:noProof/>
              </w:rPr>
            </w:pPr>
            <w:r w:rsidRPr="42911850">
              <w:rPr>
                <w:rFonts w:ascii="Calibri" w:eastAsia="Calibri" w:hAnsi="Calibri" w:cs="Calibri"/>
                <w:noProof/>
                <w:sz w:val="16"/>
                <w:szCs w:val="16"/>
                <w:lang w:val="en-IE"/>
              </w:rPr>
              <w:t>N</w:t>
            </w:r>
            <w:r w:rsidRPr="42911850">
              <w:rPr>
                <w:rFonts w:ascii="Calibri" w:eastAsia="Calibri" w:hAnsi="Calibri" w:cs="Calibri"/>
                <w:noProof/>
                <w:sz w:val="16"/>
                <w:szCs w:val="16"/>
              </w:rPr>
              <w:t>o differentiation between legal entities or natural persons for application of penalties</w:t>
            </w:r>
          </w:p>
          <w:p w14:paraId="787F3B7E" w14:textId="3C089A86" w:rsidR="42911850" w:rsidRDefault="42911850">
            <w:pPr>
              <w:rPr>
                <w:noProof/>
              </w:rPr>
            </w:pPr>
            <w:r w:rsidRPr="42911850">
              <w:rPr>
                <w:rFonts w:ascii="Calibri" w:eastAsia="Calibri" w:hAnsi="Calibri" w:cs="Calibri"/>
                <w:b/>
                <w:bCs/>
                <w:noProof/>
                <w:sz w:val="16"/>
                <w:szCs w:val="16"/>
                <w:u w:val="single"/>
                <w:lang w:val="en-IE"/>
              </w:rPr>
              <w:t>Individual / Cumulative application</w:t>
            </w:r>
          </w:p>
          <w:p w14:paraId="403AAE20" w14:textId="35EB5412" w:rsidR="42911850" w:rsidRDefault="42911850">
            <w:pPr>
              <w:rPr>
                <w:noProof/>
              </w:rPr>
            </w:pPr>
            <w:r w:rsidRPr="42911850">
              <w:rPr>
                <w:rFonts w:ascii="Calibri" w:eastAsia="Calibri" w:hAnsi="Calibri" w:cs="Calibri"/>
                <w:noProof/>
                <w:sz w:val="16"/>
                <w:szCs w:val="16"/>
                <w:lang w:val="en-IE"/>
              </w:rPr>
              <w:t>Penalties per individual infringement and person</w:t>
            </w:r>
          </w:p>
        </w:tc>
        <w:tc>
          <w:tcPr>
            <w:tcW w:w="1757" w:type="dxa"/>
            <w:tcBorders>
              <w:top w:val="single" w:sz="8" w:space="0" w:color="auto"/>
              <w:left w:val="single" w:sz="8" w:space="0" w:color="auto"/>
              <w:bottom w:val="single" w:sz="8" w:space="0" w:color="auto"/>
              <w:right w:val="single" w:sz="8" w:space="0" w:color="auto"/>
            </w:tcBorders>
          </w:tcPr>
          <w:p w14:paraId="622654C9" w14:textId="381367F7"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0FF64EB6" w14:textId="51B3ABF3" w:rsidR="42911850" w:rsidRDefault="42911850">
            <w:pPr>
              <w:rPr>
                <w:noProof/>
              </w:rPr>
            </w:pPr>
            <w:r w:rsidRPr="42911850">
              <w:rPr>
                <w:rFonts w:ascii="Calibri" w:eastAsia="Calibri" w:hAnsi="Calibri" w:cs="Calibri"/>
                <w:noProof/>
                <w:sz w:val="18"/>
                <w:szCs w:val="18"/>
              </w:rPr>
              <w:t xml:space="preserve"> </w:t>
            </w:r>
          </w:p>
          <w:p w14:paraId="2DE0CE5B" w14:textId="58FE4ACB" w:rsidR="42911850" w:rsidRDefault="42911850">
            <w:pPr>
              <w:rPr>
                <w:noProof/>
              </w:rPr>
            </w:pPr>
            <w:r w:rsidRPr="42911850">
              <w:rPr>
                <w:rFonts w:ascii="Calibri" w:eastAsia="Calibri" w:hAnsi="Calibri" w:cs="Calibri"/>
                <w:noProof/>
                <w:sz w:val="16"/>
                <w:szCs w:val="16"/>
              </w:rPr>
              <w:t>Fine up to 3200 EUR</w:t>
            </w:r>
          </w:p>
          <w:p w14:paraId="67A30DE6" w14:textId="10EF4B2D" w:rsidR="42911850" w:rsidRDefault="42911850">
            <w:pPr>
              <w:rPr>
                <w:noProof/>
              </w:rPr>
            </w:pPr>
            <w:r w:rsidRPr="42911850">
              <w:rPr>
                <w:rFonts w:ascii="Calibri" w:eastAsia="Calibri" w:hAnsi="Calibri" w:cs="Calibri"/>
                <w:noProof/>
                <w:sz w:val="18"/>
                <w:szCs w:val="18"/>
              </w:rPr>
              <w:t xml:space="preserve"> </w:t>
            </w:r>
          </w:p>
        </w:tc>
      </w:tr>
      <w:tr w:rsidR="42911850" w:rsidRPr="00FF0731" w14:paraId="5FC7173E"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2E36B9AF" w14:textId="529144A6" w:rsidR="42911850" w:rsidRDefault="42911850">
            <w:pPr>
              <w:rPr>
                <w:noProof/>
              </w:rPr>
            </w:pPr>
            <w:r w:rsidRPr="42911850">
              <w:rPr>
                <w:rFonts w:ascii="Calibri" w:eastAsia="Calibri" w:hAnsi="Calibri" w:cs="Calibri"/>
                <w:b/>
                <w:bCs/>
                <w:noProof/>
                <w:sz w:val="18"/>
                <w:szCs w:val="18"/>
              </w:rPr>
              <w:t>MT</w:t>
            </w:r>
          </w:p>
        </w:tc>
        <w:tc>
          <w:tcPr>
            <w:tcW w:w="1025" w:type="dxa"/>
            <w:tcBorders>
              <w:top w:val="single" w:sz="8" w:space="0" w:color="auto"/>
              <w:left w:val="single" w:sz="8" w:space="0" w:color="auto"/>
              <w:bottom w:val="single" w:sz="8" w:space="0" w:color="auto"/>
              <w:right w:val="single" w:sz="8" w:space="0" w:color="auto"/>
            </w:tcBorders>
          </w:tcPr>
          <w:p w14:paraId="420D3E2F" w14:textId="7E57E09D"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07B8940B" w14:textId="04182C7C" w:rsidR="42911850" w:rsidRDefault="42911850">
            <w:pPr>
              <w:rPr>
                <w:noProof/>
              </w:rPr>
            </w:pPr>
            <w:r w:rsidRPr="42911850">
              <w:rPr>
                <w:rFonts w:ascii="Calibri" w:eastAsia="Calibri" w:hAnsi="Calibri" w:cs="Calibri"/>
                <w:noProof/>
                <w:sz w:val="18"/>
                <w:szCs w:val="18"/>
              </w:rPr>
              <w:t xml:space="preserve">Personal scope: </w:t>
            </w:r>
            <w:r w:rsidRPr="42911850">
              <w:rPr>
                <w:rFonts w:ascii="Calibri" w:eastAsia="Calibri" w:hAnsi="Calibri" w:cs="Calibri"/>
                <w:noProof/>
                <w:sz w:val="18"/>
                <w:szCs w:val="18"/>
                <w:u w:val="single"/>
              </w:rPr>
              <w:t>Financial Institution (FI) only</w:t>
            </w:r>
          </w:p>
          <w:p w14:paraId="08B06683" w14:textId="5B41E46A" w:rsidR="42911850" w:rsidRDefault="42911850">
            <w:pPr>
              <w:rPr>
                <w:noProof/>
              </w:rPr>
            </w:pPr>
            <w:r w:rsidRPr="42911850">
              <w:rPr>
                <w:rFonts w:ascii="Calibri" w:eastAsia="Calibri" w:hAnsi="Calibri" w:cs="Calibri"/>
                <w:noProof/>
                <w:sz w:val="18"/>
                <w:szCs w:val="18"/>
              </w:rPr>
              <w:t xml:space="preserve">Material scope: </w:t>
            </w:r>
          </w:p>
          <w:p w14:paraId="7AEDB09D" w14:textId="00B11752" w:rsidR="42911850" w:rsidRDefault="42911850">
            <w:pPr>
              <w:rPr>
                <w:noProof/>
              </w:rPr>
            </w:pPr>
            <w:r w:rsidRPr="42911850">
              <w:rPr>
                <w:rFonts w:ascii="Calibri" w:eastAsia="Calibri" w:hAnsi="Calibri" w:cs="Calibri"/>
                <w:noProof/>
                <w:sz w:val="18"/>
                <w:szCs w:val="18"/>
              </w:rPr>
              <w:t>1) non-submission, inaccurate submission:</w:t>
            </w:r>
          </w:p>
          <w:p w14:paraId="799D5800" w14:textId="4BF2CD86" w:rsidR="42911850" w:rsidRDefault="42911850">
            <w:pPr>
              <w:rPr>
                <w:noProof/>
              </w:rPr>
            </w:pPr>
            <w:r w:rsidRPr="42911850">
              <w:rPr>
                <w:rFonts w:ascii="Calibri" w:eastAsia="Calibri" w:hAnsi="Calibri" w:cs="Calibri"/>
                <w:noProof/>
                <w:sz w:val="18"/>
                <w:szCs w:val="18"/>
              </w:rPr>
              <w:t xml:space="preserve"> </w:t>
            </w:r>
          </w:p>
          <w:p w14:paraId="4830DE9F" w14:textId="7A267F59" w:rsidR="42911850" w:rsidRDefault="42911850">
            <w:pPr>
              <w:rPr>
                <w:noProof/>
              </w:rPr>
            </w:pPr>
            <w:r w:rsidRPr="42911850">
              <w:rPr>
                <w:rFonts w:ascii="Calibri" w:eastAsia="Calibri" w:hAnsi="Calibri" w:cs="Calibri"/>
                <w:noProof/>
                <w:sz w:val="18"/>
                <w:szCs w:val="18"/>
              </w:rPr>
              <w:t xml:space="preserve"> </w:t>
            </w:r>
          </w:p>
          <w:p w14:paraId="3E43E6E0" w14:textId="21FAE2B8" w:rsidR="42911850" w:rsidRDefault="42911850">
            <w:pPr>
              <w:rPr>
                <w:noProof/>
              </w:rPr>
            </w:pPr>
            <w:r w:rsidRPr="42911850">
              <w:rPr>
                <w:rFonts w:ascii="Calibri" w:eastAsia="Calibri" w:hAnsi="Calibri" w:cs="Calibri"/>
                <w:noProof/>
                <w:sz w:val="18"/>
                <w:szCs w:val="18"/>
              </w:rPr>
              <w:t xml:space="preserve"> </w:t>
            </w:r>
          </w:p>
          <w:p w14:paraId="5B35A9BE" w14:textId="5CDD3855" w:rsidR="42911850" w:rsidRDefault="42911850">
            <w:pPr>
              <w:rPr>
                <w:noProof/>
              </w:rPr>
            </w:pPr>
            <w:r w:rsidRPr="42911850">
              <w:rPr>
                <w:rFonts w:ascii="Calibri" w:eastAsia="Calibri" w:hAnsi="Calibri" w:cs="Calibri"/>
                <w:noProof/>
                <w:sz w:val="18"/>
                <w:szCs w:val="18"/>
              </w:rPr>
              <w:t xml:space="preserve">2) a) a failure to report in a complete and accurate manner: if minor error </w:t>
            </w:r>
          </w:p>
          <w:p w14:paraId="4838DECE" w14:textId="67FB7545" w:rsidR="42911850" w:rsidRDefault="42911850">
            <w:pPr>
              <w:rPr>
                <w:noProof/>
              </w:rPr>
            </w:pPr>
            <w:r w:rsidRPr="42911850">
              <w:rPr>
                <w:rFonts w:ascii="Calibri" w:eastAsia="Calibri" w:hAnsi="Calibri" w:cs="Calibri"/>
                <w:noProof/>
                <w:sz w:val="18"/>
                <w:szCs w:val="18"/>
              </w:rPr>
              <w:t xml:space="preserve"> </w:t>
            </w:r>
          </w:p>
          <w:p w14:paraId="5EDE5087" w14:textId="43CE6EF9" w:rsidR="42911850" w:rsidRDefault="42911850">
            <w:pPr>
              <w:rPr>
                <w:noProof/>
              </w:rPr>
            </w:pPr>
            <w:r w:rsidRPr="42911850">
              <w:rPr>
                <w:rFonts w:ascii="Calibri" w:eastAsia="Calibri" w:hAnsi="Calibri" w:cs="Calibri"/>
                <w:noProof/>
                <w:sz w:val="18"/>
                <w:szCs w:val="18"/>
              </w:rPr>
              <w:t xml:space="preserve"> </w:t>
            </w:r>
          </w:p>
          <w:p w14:paraId="019AEED2" w14:textId="71D8DE18" w:rsidR="42911850" w:rsidRDefault="42911850">
            <w:pPr>
              <w:rPr>
                <w:noProof/>
              </w:rPr>
            </w:pPr>
            <w:r w:rsidRPr="42911850">
              <w:rPr>
                <w:rFonts w:ascii="Calibri" w:eastAsia="Calibri" w:hAnsi="Calibri" w:cs="Calibri"/>
                <w:noProof/>
                <w:sz w:val="18"/>
                <w:szCs w:val="18"/>
              </w:rPr>
              <w:t xml:space="preserve"> </w:t>
            </w:r>
          </w:p>
          <w:p w14:paraId="6EBD86AC" w14:textId="768B50E0" w:rsidR="42911850" w:rsidRDefault="42911850">
            <w:pPr>
              <w:rPr>
                <w:noProof/>
              </w:rPr>
            </w:pPr>
            <w:r w:rsidRPr="42911850">
              <w:rPr>
                <w:rFonts w:ascii="Calibri" w:eastAsia="Calibri" w:hAnsi="Calibri" w:cs="Calibri"/>
                <w:noProof/>
                <w:sz w:val="18"/>
                <w:szCs w:val="18"/>
              </w:rPr>
              <w:t>2) b) If continual and repeated administrative or minor errors then they will be considered as non-compliance</w:t>
            </w:r>
          </w:p>
          <w:p w14:paraId="53EFBF0E" w14:textId="028032E5" w:rsidR="42911850" w:rsidRDefault="42911850">
            <w:pPr>
              <w:rPr>
                <w:noProof/>
              </w:rPr>
            </w:pPr>
            <w:r w:rsidRPr="42911850">
              <w:rPr>
                <w:rFonts w:ascii="Calibri" w:eastAsia="Calibri" w:hAnsi="Calibri" w:cs="Calibri"/>
                <w:noProof/>
                <w:sz w:val="18"/>
                <w:szCs w:val="18"/>
              </w:rPr>
              <w:t>3) significant non-compliance (e.g. repeated failure to file a return or repeated late filing, ongoing or repeated failure to register, supply accurate information or established appropriate governance or due diligence processes, the intentional provision of substantially incorrect information, the deliberate or negligent omission of required information</w:t>
            </w:r>
          </w:p>
          <w:p w14:paraId="47DC3BF5" w14:textId="0AB57650" w:rsidR="42911850" w:rsidRDefault="42911850">
            <w:pPr>
              <w:rPr>
                <w:noProof/>
              </w:rPr>
            </w:pPr>
            <w:r w:rsidRPr="42911850">
              <w:rPr>
                <w:rFonts w:ascii="Calibri" w:eastAsia="Calibri" w:hAnsi="Calibri" w:cs="Calibri"/>
                <w:noProof/>
                <w:sz w:val="18"/>
                <w:szCs w:val="18"/>
              </w:rPr>
              <w:t>The way legislation is drafted I would conclude it is a cumulative penalty (e.g. having a special provision for significant non-compliance-repeated failure to file a return).</w:t>
            </w:r>
          </w:p>
        </w:tc>
        <w:tc>
          <w:tcPr>
            <w:tcW w:w="1757" w:type="dxa"/>
            <w:tcBorders>
              <w:top w:val="single" w:sz="8" w:space="0" w:color="auto"/>
              <w:left w:val="single" w:sz="8" w:space="0" w:color="auto"/>
              <w:bottom w:val="single" w:sz="8" w:space="0" w:color="auto"/>
              <w:right w:val="single" w:sz="8" w:space="0" w:color="auto"/>
            </w:tcBorders>
          </w:tcPr>
          <w:p w14:paraId="2CFB8536" w14:textId="7378DF95" w:rsidR="42911850" w:rsidRDefault="42911850">
            <w:pPr>
              <w:rPr>
                <w:noProof/>
              </w:rPr>
            </w:pPr>
            <w:r w:rsidRPr="42911850">
              <w:rPr>
                <w:rFonts w:ascii="Calibri" w:eastAsia="Calibri" w:hAnsi="Calibri" w:cs="Calibri"/>
                <w:noProof/>
                <w:sz w:val="18"/>
                <w:szCs w:val="18"/>
              </w:rPr>
              <w:t xml:space="preserve"> </w:t>
            </w:r>
          </w:p>
          <w:p w14:paraId="5BE31E3C" w14:textId="680FA41B" w:rsidR="42911850" w:rsidRDefault="42911850">
            <w:pPr>
              <w:rPr>
                <w:noProof/>
              </w:rPr>
            </w:pPr>
            <w:r w:rsidRPr="42911850">
              <w:rPr>
                <w:rFonts w:ascii="Calibri" w:eastAsia="Calibri" w:hAnsi="Calibri" w:cs="Calibri"/>
                <w:noProof/>
                <w:sz w:val="18"/>
                <w:szCs w:val="18"/>
              </w:rPr>
              <w:t xml:space="preserve"> </w:t>
            </w:r>
          </w:p>
          <w:p w14:paraId="03D0D38A" w14:textId="4CFD77FA" w:rsidR="42911850" w:rsidRDefault="42911850">
            <w:pPr>
              <w:rPr>
                <w:noProof/>
              </w:rPr>
            </w:pPr>
            <w:r w:rsidRPr="42911850">
              <w:rPr>
                <w:rFonts w:ascii="Calibri" w:eastAsia="Calibri" w:hAnsi="Calibri" w:cs="Calibri"/>
                <w:noProof/>
                <w:sz w:val="18"/>
                <w:szCs w:val="18"/>
              </w:rPr>
              <w:t>1) EUR 2500  and EUR 100 for every day during which the default existed, provided that this penalty shall not exceed in total EUR 20000</w:t>
            </w:r>
          </w:p>
          <w:p w14:paraId="3789C22D" w14:textId="1EFD69B0" w:rsidR="42911850" w:rsidRDefault="42911850">
            <w:pPr>
              <w:rPr>
                <w:noProof/>
              </w:rPr>
            </w:pPr>
            <w:r w:rsidRPr="42911850">
              <w:rPr>
                <w:rFonts w:ascii="Calibri" w:eastAsia="Calibri" w:hAnsi="Calibri" w:cs="Calibri"/>
                <w:noProof/>
                <w:sz w:val="18"/>
                <w:szCs w:val="18"/>
              </w:rPr>
              <w:t xml:space="preserve"> </w:t>
            </w:r>
          </w:p>
          <w:p w14:paraId="0C92106A" w14:textId="11883D04" w:rsidR="42911850" w:rsidRDefault="42911850">
            <w:pPr>
              <w:rPr>
                <w:noProof/>
              </w:rPr>
            </w:pPr>
            <w:r w:rsidRPr="42911850">
              <w:rPr>
                <w:rFonts w:ascii="Calibri" w:eastAsia="Calibri" w:hAnsi="Calibri" w:cs="Calibri"/>
                <w:noProof/>
                <w:sz w:val="18"/>
                <w:szCs w:val="18"/>
              </w:rPr>
              <w:t>2)a) EUR 200 and EUR 50 for every day during which the default existed, provided that this penalty shall not exceed in total EUR 5000</w:t>
            </w:r>
          </w:p>
          <w:p w14:paraId="68DAE544" w14:textId="1168ECF5" w:rsidR="42911850" w:rsidRDefault="42911850">
            <w:pPr>
              <w:rPr>
                <w:noProof/>
              </w:rPr>
            </w:pPr>
            <w:r w:rsidRPr="42911850">
              <w:rPr>
                <w:rFonts w:ascii="Calibri" w:eastAsia="Calibri" w:hAnsi="Calibri" w:cs="Calibri"/>
                <w:noProof/>
                <w:sz w:val="18"/>
                <w:szCs w:val="18"/>
              </w:rPr>
              <w:t xml:space="preserve"> </w:t>
            </w:r>
          </w:p>
          <w:p w14:paraId="713C72D8" w14:textId="0D7C8420" w:rsidR="42911850" w:rsidRDefault="42911850">
            <w:pPr>
              <w:rPr>
                <w:noProof/>
              </w:rPr>
            </w:pPr>
            <w:r w:rsidRPr="42911850">
              <w:rPr>
                <w:rFonts w:ascii="Calibri" w:eastAsia="Calibri" w:hAnsi="Calibri" w:cs="Calibri"/>
                <w:noProof/>
                <w:sz w:val="18"/>
                <w:szCs w:val="18"/>
              </w:rPr>
              <w:t>2)b) as under 1)</w:t>
            </w:r>
          </w:p>
          <w:p w14:paraId="1A4484E5" w14:textId="22E2FCB7" w:rsidR="42911850" w:rsidRDefault="42911850">
            <w:pPr>
              <w:rPr>
                <w:noProof/>
              </w:rPr>
            </w:pPr>
            <w:r w:rsidRPr="42911850">
              <w:rPr>
                <w:rFonts w:ascii="Calibri" w:eastAsia="Calibri" w:hAnsi="Calibri" w:cs="Calibri"/>
                <w:noProof/>
                <w:sz w:val="18"/>
                <w:szCs w:val="18"/>
              </w:rPr>
              <w:t xml:space="preserve"> </w:t>
            </w:r>
          </w:p>
          <w:p w14:paraId="64444B64" w14:textId="0D5EAC0C" w:rsidR="42911850" w:rsidRDefault="42911850">
            <w:pPr>
              <w:rPr>
                <w:noProof/>
              </w:rPr>
            </w:pPr>
            <w:r w:rsidRPr="42911850">
              <w:rPr>
                <w:rFonts w:ascii="Calibri" w:eastAsia="Calibri" w:hAnsi="Calibri" w:cs="Calibri"/>
                <w:noProof/>
                <w:sz w:val="18"/>
                <w:szCs w:val="18"/>
              </w:rPr>
              <w:t>3) EUR 50.000</w:t>
            </w:r>
          </w:p>
        </w:tc>
        <w:tc>
          <w:tcPr>
            <w:tcW w:w="2175" w:type="dxa"/>
            <w:tcBorders>
              <w:top w:val="single" w:sz="8" w:space="0" w:color="auto"/>
              <w:left w:val="single" w:sz="8" w:space="0" w:color="auto"/>
              <w:bottom w:val="single" w:sz="8" w:space="0" w:color="auto"/>
              <w:right w:val="single" w:sz="8" w:space="0" w:color="auto"/>
            </w:tcBorders>
          </w:tcPr>
          <w:p w14:paraId="2373F2B3" w14:textId="40FDF0EE"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D276C2F" w14:textId="643BF18D"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31000818" w14:textId="699FE52B" w:rsidR="42911850" w:rsidRPr="00AE537F" w:rsidRDefault="42911850">
            <w:pPr>
              <w:rPr>
                <w:noProof/>
                <w:lang w:val="fr-BE"/>
              </w:rPr>
            </w:pPr>
            <w:r w:rsidRPr="42911850">
              <w:rPr>
                <w:rFonts w:ascii="Calibri" w:eastAsia="Calibri" w:hAnsi="Calibri" w:cs="Calibri"/>
                <w:noProof/>
                <w:sz w:val="18"/>
                <w:szCs w:val="18"/>
                <w:lang w:val="fr-BE"/>
              </w:rPr>
              <w:t>Max EUR 20.000</w:t>
            </w:r>
          </w:p>
          <w:p w14:paraId="2B9EB97C" w14:textId="19383CF4"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3949261" w14:textId="0B804875"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065AFB43" w14:textId="42B46F50"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0F4507E" w14:textId="6AA3E204" w:rsidR="42911850" w:rsidRPr="00AE537F" w:rsidRDefault="42911850">
            <w:pPr>
              <w:rPr>
                <w:noProof/>
                <w:lang w:val="fr-BE"/>
              </w:rPr>
            </w:pPr>
            <w:r w:rsidRPr="42911850">
              <w:rPr>
                <w:rFonts w:ascii="Calibri" w:eastAsia="Calibri" w:hAnsi="Calibri" w:cs="Calibri"/>
                <w:noProof/>
                <w:sz w:val="18"/>
                <w:szCs w:val="18"/>
                <w:lang w:val="fr-BE"/>
              </w:rPr>
              <w:t>Max EUR 5.000</w:t>
            </w:r>
          </w:p>
          <w:p w14:paraId="4C059472" w14:textId="2794E7C2"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2E8F4F13" w14:textId="78DBE0B2"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40DB155F" w14:textId="7272D15C"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534D11F6" w14:textId="0751D5E1"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0F920673" w14:textId="4D6F8F60"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47590FFE" w14:textId="2DF56487"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62A46CDC" w14:textId="76A3A815" w:rsidR="42911850" w:rsidRPr="00AE537F" w:rsidRDefault="42911850">
            <w:pPr>
              <w:rPr>
                <w:noProof/>
                <w:lang w:val="fr-BE"/>
              </w:rPr>
            </w:pPr>
            <w:r w:rsidRPr="42911850">
              <w:rPr>
                <w:rFonts w:ascii="Calibri" w:eastAsia="Calibri" w:hAnsi="Calibri" w:cs="Calibri"/>
                <w:noProof/>
                <w:sz w:val="18"/>
                <w:szCs w:val="18"/>
                <w:lang w:val="fr-BE"/>
              </w:rPr>
              <w:t>Max 50.000</w:t>
            </w:r>
          </w:p>
          <w:p w14:paraId="7C1BF0F1" w14:textId="6739C741"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0A2D5C1E" w14:textId="21BABA50" w:rsidR="42911850" w:rsidRPr="00AE537F" w:rsidRDefault="42911850">
            <w:pPr>
              <w:rPr>
                <w:noProof/>
                <w:lang w:val="fr-BE"/>
              </w:rPr>
            </w:pPr>
            <w:r w:rsidRPr="42911850">
              <w:rPr>
                <w:rFonts w:ascii="Calibri" w:eastAsia="Calibri" w:hAnsi="Calibri" w:cs="Calibri"/>
                <w:noProof/>
                <w:sz w:val="18"/>
                <w:szCs w:val="18"/>
                <w:lang w:val="fr-BE"/>
              </w:rPr>
              <w:t xml:space="preserve"> </w:t>
            </w:r>
          </w:p>
        </w:tc>
      </w:tr>
      <w:tr w:rsidR="42911850" w:rsidRPr="00FF0731" w14:paraId="4B805C4E" w14:textId="77777777" w:rsidTr="42911850">
        <w:trPr>
          <w:trHeight w:val="45"/>
        </w:trPr>
        <w:tc>
          <w:tcPr>
            <w:tcW w:w="638" w:type="dxa"/>
            <w:vMerge/>
            <w:tcBorders>
              <w:left w:val="single" w:sz="0" w:space="0" w:color="auto"/>
              <w:right w:val="single" w:sz="0" w:space="0" w:color="auto"/>
            </w:tcBorders>
            <w:vAlign w:val="center"/>
          </w:tcPr>
          <w:p w14:paraId="7D23FE54" w14:textId="77777777" w:rsidR="000054FB" w:rsidRPr="00AE537F" w:rsidRDefault="000054FB">
            <w:pPr>
              <w:rPr>
                <w:noProof/>
                <w:lang w:val="fr-BE"/>
              </w:rPr>
            </w:pPr>
          </w:p>
        </w:tc>
        <w:tc>
          <w:tcPr>
            <w:tcW w:w="1025" w:type="dxa"/>
            <w:tcBorders>
              <w:top w:val="single" w:sz="8" w:space="0" w:color="auto"/>
              <w:left w:val="nil"/>
              <w:bottom w:val="single" w:sz="8" w:space="0" w:color="auto"/>
              <w:right w:val="single" w:sz="8" w:space="0" w:color="auto"/>
            </w:tcBorders>
          </w:tcPr>
          <w:p w14:paraId="66959AF3" w14:textId="180D1F40"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4787346D" w14:textId="62D1678A" w:rsidR="42911850" w:rsidRDefault="42911850">
            <w:pPr>
              <w:rPr>
                <w:noProof/>
              </w:rPr>
            </w:pPr>
            <w:r w:rsidRPr="42911850">
              <w:rPr>
                <w:rFonts w:ascii="Calibri" w:eastAsia="Calibri" w:hAnsi="Calibri" w:cs="Calibri"/>
                <w:noProof/>
                <w:sz w:val="18"/>
                <w:szCs w:val="18"/>
              </w:rPr>
              <w:t xml:space="preserve">Personal scope: </w:t>
            </w:r>
            <w:r w:rsidRPr="42911850">
              <w:rPr>
                <w:rFonts w:ascii="Calibri" w:eastAsia="Calibri" w:hAnsi="Calibri" w:cs="Calibri"/>
                <w:noProof/>
                <w:sz w:val="18"/>
                <w:szCs w:val="18"/>
                <w:u w:val="single"/>
              </w:rPr>
              <w:t>Maltese constituent entity only</w:t>
            </w:r>
          </w:p>
          <w:p w14:paraId="747DA7F8" w14:textId="596CF5EE" w:rsidR="42911850" w:rsidRDefault="42911850">
            <w:pPr>
              <w:rPr>
                <w:noProof/>
              </w:rPr>
            </w:pPr>
            <w:r w:rsidRPr="42911850">
              <w:rPr>
                <w:rFonts w:ascii="Calibri" w:eastAsia="Calibri" w:hAnsi="Calibri" w:cs="Calibri"/>
                <w:noProof/>
                <w:sz w:val="18"/>
                <w:szCs w:val="18"/>
              </w:rPr>
              <w:t>Material scope: Failure to comply with any of the obligations under DAC4:</w:t>
            </w:r>
          </w:p>
          <w:p w14:paraId="02D46B0F" w14:textId="775CB96D" w:rsidR="42911850" w:rsidRDefault="42911850">
            <w:pPr>
              <w:rPr>
                <w:noProof/>
              </w:rPr>
            </w:pPr>
            <w:r w:rsidRPr="42911850">
              <w:rPr>
                <w:rFonts w:ascii="Calibri" w:eastAsia="Calibri" w:hAnsi="Calibri" w:cs="Calibri"/>
                <w:noProof/>
                <w:sz w:val="18"/>
                <w:szCs w:val="18"/>
              </w:rPr>
              <w:t>A) failure to retain documentation and information collected when meeting its reporting obligations</w:t>
            </w:r>
          </w:p>
          <w:p w14:paraId="7D2CB75D" w14:textId="128DD8B0" w:rsidR="42911850" w:rsidRDefault="42911850">
            <w:pPr>
              <w:rPr>
                <w:noProof/>
              </w:rPr>
            </w:pPr>
            <w:r w:rsidRPr="42911850">
              <w:rPr>
                <w:rFonts w:ascii="Calibri" w:eastAsia="Calibri" w:hAnsi="Calibri" w:cs="Calibri"/>
                <w:noProof/>
                <w:sz w:val="18"/>
                <w:szCs w:val="18"/>
              </w:rPr>
              <w:t xml:space="preserve"> </w:t>
            </w:r>
          </w:p>
          <w:p w14:paraId="049B7092" w14:textId="6629062D" w:rsidR="42911850" w:rsidRDefault="42911850">
            <w:pPr>
              <w:rPr>
                <w:noProof/>
              </w:rPr>
            </w:pPr>
            <w:r w:rsidRPr="42911850">
              <w:rPr>
                <w:rFonts w:ascii="Calibri" w:eastAsia="Calibri" w:hAnsi="Calibri" w:cs="Calibri"/>
                <w:noProof/>
                <w:sz w:val="18"/>
                <w:szCs w:val="18"/>
              </w:rPr>
              <w:t>B) failure to report  within deadline</w:t>
            </w:r>
          </w:p>
          <w:p w14:paraId="031FFC8D" w14:textId="32B197A1" w:rsidR="42911850" w:rsidRDefault="42911850">
            <w:pPr>
              <w:rPr>
                <w:noProof/>
              </w:rPr>
            </w:pPr>
            <w:r w:rsidRPr="42911850">
              <w:rPr>
                <w:rFonts w:ascii="Calibri" w:eastAsia="Calibri" w:hAnsi="Calibri" w:cs="Calibri"/>
                <w:noProof/>
                <w:sz w:val="18"/>
                <w:szCs w:val="18"/>
              </w:rPr>
              <w:t xml:space="preserve"> </w:t>
            </w:r>
          </w:p>
          <w:p w14:paraId="0F15DDDA" w14:textId="3CB642C0" w:rsidR="42911850" w:rsidRDefault="42911850">
            <w:pPr>
              <w:rPr>
                <w:noProof/>
              </w:rPr>
            </w:pPr>
            <w:r w:rsidRPr="42911850">
              <w:rPr>
                <w:rFonts w:ascii="Calibri" w:eastAsia="Calibri" w:hAnsi="Calibri" w:cs="Calibri"/>
                <w:noProof/>
                <w:sz w:val="18"/>
                <w:szCs w:val="18"/>
              </w:rPr>
              <w:t>C) incomplete or inaccurate reporting:</w:t>
            </w:r>
          </w:p>
          <w:p w14:paraId="6B280FC5" w14:textId="083FA7BB" w:rsidR="42911850" w:rsidRDefault="42911850" w:rsidP="00AE537F">
            <w:pPr>
              <w:pStyle w:val="ListParagraph"/>
              <w:numPr>
                <w:ilvl w:val="0"/>
                <w:numId w:val="16"/>
              </w:numPr>
              <w:rPr>
                <w:rFonts w:eastAsiaTheme="minorEastAsia"/>
                <w:noProof/>
                <w:sz w:val="18"/>
                <w:szCs w:val="18"/>
              </w:rPr>
            </w:pPr>
            <w:r w:rsidRPr="42911850">
              <w:rPr>
                <w:noProof/>
                <w:sz w:val="18"/>
                <w:szCs w:val="18"/>
              </w:rPr>
              <w:t>If minor errors</w:t>
            </w:r>
          </w:p>
          <w:p w14:paraId="66136F2E" w14:textId="5E8363F7"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07B09677" w14:textId="5B7B6EF7" w:rsidR="42911850" w:rsidRDefault="42911850">
            <w:pPr>
              <w:rPr>
                <w:noProof/>
              </w:rPr>
            </w:pPr>
            <w:r w:rsidRPr="42911850">
              <w:rPr>
                <w:rFonts w:ascii="Calibri" w:eastAsia="Calibri" w:hAnsi="Calibri" w:cs="Calibri"/>
                <w:noProof/>
                <w:sz w:val="18"/>
                <w:szCs w:val="18"/>
              </w:rPr>
              <w:t xml:space="preserve"> </w:t>
            </w:r>
          </w:p>
          <w:p w14:paraId="18C61300" w14:textId="597FAAF1" w:rsidR="42911850" w:rsidRDefault="42911850" w:rsidP="00AE537F">
            <w:pPr>
              <w:pStyle w:val="ListParagraph"/>
              <w:numPr>
                <w:ilvl w:val="0"/>
                <w:numId w:val="16"/>
              </w:numPr>
              <w:rPr>
                <w:rFonts w:eastAsiaTheme="minorEastAsia"/>
                <w:noProof/>
                <w:sz w:val="18"/>
                <w:szCs w:val="18"/>
              </w:rPr>
            </w:pPr>
            <w:r w:rsidRPr="42911850">
              <w:rPr>
                <w:noProof/>
                <w:sz w:val="18"/>
                <w:szCs w:val="18"/>
              </w:rPr>
              <w:t>If significant non-compliance</w:t>
            </w:r>
          </w:p>
          <w:p w14:paraId="0A14AB0B" w14:textId="0E7D12C7"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75321C79" w14:textId="195F57FB" w:rsidR="42911850" w:rsidRDefault="42911850">
            <w:pPr>
              <w:rPr>
                <w:noProof/>
              </w:rPr>
            </w:pPr>
            <w:r w:rsidRPr="42911850">
              <w:rPr>
                <w:rFonts w:ascii="Calibri" w:eastAsia="Calibri" w:hAnsi="Calibri" w:cs="Calibri"/>
                <w:noProof/>
                <w:sz w:val="18"/>
                <w:szCs w:val="18"/>
              </w:rPr>
              <w:t>D) when not complying with a request for information by the Maltese tax administration</w:t>
            </w:r>
          </w:p>
          <w:p w14:paraId="21F1C550" w14:textId="54ACA134" w:rsidR="42911850" w:rsidRDefault="42911850">
            <w:pPr>
              <w:rPr>
                <w:noProof/>
              </w:rPr>
            </w:pPr>
            <w:r w:rsidRPr="42911850">
              <w:rPr>
                <w:rFonts w:ascii="Calibri" w:eastAsia="Calibri" w:hAnsi="Calibri" w:cs="Calibri"/>
                <w:noProof/>
                <w:sz w:val="18"/>
                <w:szCs w:val="18"/>
              </w:rPr>
              <w:t xml:space="preserve"> </w:t>
            </w:r>
          </w:p>
          <w:p w14:paraId="11CB51F2" w14:textId="11444462" w:rsidR="42911850" w:rsidRDefault="42911850">
            <w:pPr>
              <w:rPr>
                <w:noProof/>
              </w:rPr>
            </w:pPr>
            <w:r w:rsidRPr="42911850">
              <w:rPr>
                <w:rFonts w:ascii="Calibri" w:eastAsia="Calibri" w:hAnsi="Calibri" w:cs="Calibri"/>
                <w:noProof/>
                <w:sz w:val="18"/>
                <w:szCs w:val="18"/>
              </w:rPr>
              <w:t>Recent amendments (Legal Notice 213/2021), which were not part of the NIM added additional penalties for failure to submit a notification letter in accordance with Maltese rules implementing CbC Reporting:</w:t>
            </w:r>
          </w:p>
          <w:p w14:paraId="46061001" w14:textId="25CDC88A" w:rsidR="42911850" w:rsidRDefault="42911850" w:rsidP="00AE537F">
            <w:pPr>
              <w:pStyle w:val="ListParagraph"/>
              <w:numPr>
                <w:ilvl w:val="0"/>
                <w:numId w:val="16"/>
              </w:numPr>
              <w:spacing w:line="276" w:lineRule="auto"/>
              <w:rPr>
                <w:rFonts w:eastAsiaTheme="minorEastAsia"/>
                <w:noProof/>
                <w:sz w:val="18"/>
                <w:szCs w:val="18"/>
              </w:rPr>
            </w:pPr>
            <w:r w:rsidRPr="42911850">
              <w:rPr>
                <w:noProof/>
                <w:sz w:val="18"/>
                <w:szCs w:val="18"/>
              </w:rPr>
              <w:t>failure to notify the identity and tax residence of the reporting entity obliged to file CbC report</w:t>
            </w:r>
          </w:p>
          <w:p w14:paraId="2F50E752" w14:textId="60DB41C1" w:rsidR="42911850" w:rsidRDefault="42911850" w:rsidP="00AE537F">
            <w:pPr>
              <w:pStyle w:val="ListParagraph"/>
              <w:numPr>
                <w:ilvl w:val="0"/>
                <w:numId w:val="16"/>
              </w:numPr>
              <w:spacing w:line="276" w:lineRule="auto"/>
              <w:rPr>
                <w:rFonts w:eastAsiaTheme="minorEastAsia"/>
                <w:noProof/>
                <w:sz w:val="18"/>
                <w:szCs w:val="18"/>
              </w:rPr>
            </w:pPr>
            <w:r w:rsidRPr="42911850">
              <w:rPr>
                <w:noProof/>
                <w:sz w:val="18"/>
                <w:szCs w:val="18"/>
              </w:rPr>
              <w:t xml:space="preserve">Failure to notify if it is the Ultimate Parent Entity of the Surrogate Parent Entity or the Constituent Entity </w:t>
            </w:r>
          </w:p>
          <w:p w14:paraId="02A46BC2" w14:textId="56EBED25"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25E8F9D4" w14:textId="20E4031F" w:rsidR="42911850" w:rsidRDefault="42911850">
            <w:pPr>
              <w:rPr>
                <w:noProof/>
              </w:rPr>
            </w:pPr>
            <w:r w:rsidRPr="42911850">
              <w:rPr>
                <w:rFonts w:ascii="Calibri" w:eastAsia="Calibri" w:hAnsi="Calibri" w:cs="Calibri"/>
                <w:noProof/>
                <w:sz w:val="18"/>
                <w:szCs w:val="18"/>
              </w:rPr>
              <w:t>The way legislation is drafted I would conclude it is a cumulative penalty (e.g. having a special provision for significant non-compliance).</w:t>
            </w:r>
          </w:p>
          <w:p w14:paraId="3153E9DD" w14:textId="39FE3C73"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534E0667" w14:textId="48BD6002" w:rsidR="42911850" w:rsidRDefault="42911850">
            <w:pPr>
              <w:rPr>
                <w:noProof/>
              </w:rPr>
            </w:pPr>
            <w:r w:rsidRPr="42911850">
              <w:rPr>
                <w:rFonts w:ascii="Calibri" w:eastAsia="Calibri" w:hAnsi="Calibri" w:cs="Calibri"/>
                <w:noProof/>
                <w:sz w:val="18"/>
                <w:szCs w:val="18"/>
              </w:rPr>
              <w:t xml:space="preserve"> </w:t>
            </w:r>
          </w:p>
          <w:p w14:paraId="02E9C6C7" w14:textId="1E550D29" w:rsidR="42911850" w:rsidRDefault="42911850">
            <w:pPr>
              <w:rPr>
                <w:noProof/>
              </w:rPr>
            </w:pPr>
            <w:r w:rsidRPr="42911850">
              <w:rPr>
                <w:rFonts w:ascii="Calibri" w:eastAsia="Calibri" w:hAnsi="Calibri" w:cs="Calibri"/>
                <w:noProof/>
                <w:sz w:val="18"/>
                <w:szCs w:val="18"/>
              </w:rPr>
              <w:t xml:space="preserve"> </w:t>
            </w:r>
          </w:p>
          <w:p w14:paraId="7F3E182A" w14:textId="013EE02E" w:rsidR="42911850" w:rsidRDefault="42911850">
            <w:pPr>
              <w:rPr>
                <w:noProof/>
              </w:rPr>
            </w:pPr>
            <w:r w:rsidRPr="42911850">
              <w:rPr>
                <w:rFonts w:ascii="Calibri" w:eastAsia="Calibri" w:hAnsi="Calibri" w:cs="Calibri"/>
                <w:noProof/>
                <w:sz w:val="18"/>
                <w:szCs w:val="18"/>
              </w:rPr>
              <w:t xml:space="preserve"> </w:t>
            </w:r>
          </w:p>
          <w:p w14:paraId="07FE1938" w14:textId="5D573B1F" w:rsidR="42911850" w:rsidRDefault="42911850">
            <w:pPr>
              <w:rPr>
                <w:noProof/>
              </w:rPr>
            </w:pPr>
            <w:r w:rsidRPr="42911850">
              <w:rPr>
                <w:rFonts w:ascii="Calibri" w:eastAsia="Calibri" w:hAnsi="Calibri" w:cs="Calibri"/>
                <w:noProof/>
                <w:sz w:val="18"/>
                <w:szCs w:val="18"/>
              </w:rPr>
              <w:t>EUR 2.500</w:t>
            </w:r>
          </w:p>
          <w:p w14:paraId="14038D81" w14:textId="2CDED8AE" w:rsidR="42911850" w:rsidRDefault="42911850">
            <w:pPr>
              <w:rPr>
                <w:noProof/>
              </w:rPr>
            </w:pPr>
            <w:r w:rsidRPr="42911850">
              <w:rPr>
                <w:rFonts w:ascii="Calibri" w:eastAsia="Calibri" w:hAnsi="Calibri" w:cs="Calibri"/>
                <w:noProof/>
                <w:sz w:val="18"/>
                <w:szCs w:val="18"/>
              </w:rPr>
              <w:t xml:space="preserve"> </w:t>
            </w:r>
          </w:p>
          <w:p w14:paraId="52A2514D" w14:textId="7509E4E0" w:rsidR="42911850" w:rsidRDefault="42911850">
            <w:pPr>
              <w:rPr>
                <w:noProof/>
              </w:rPr>
            </w:pPr>
            <w:r w:rsidRPr="42911850">
              <w:rPr>
                <w:rFonts w:ascii="Calibri" w:eastAsia="Calibri" w:hAnsi="Calibri" w:cs="Calibri"/>
                <w:noProof/>
                <w:sz w:val="18"/>
                <w:szCs w:val="18"/>
              </w:rPr>
              <w:t>EUR 200 and EUR 100 for every day during which the default existed, up to a max. of EUR 20.000</w:t>
            </w:r>
          </w:p>
          <w:p w14:paraId="03AA6A7E" w14:textId="1E5FF1C3" w:rsidR="42911850" w:rsidRDefault="42911850">
            <w:pPr>
              <w:rPr>
                <w:noProof/>
              </w:rPr>
            </w:pPr>
            <w:r w:rsidRPr="42911850">
              <w:rPr>
                <w:rFonts w:ascii="Calibri" w:eastAsia="Calibri" w:hAnsi="Calibri" w:cs="Calibri"/>
                <w:noProof/>
                <w:sz w:val="18"/>
                <w:szCs w:val="18"/>
              </w:rPr>
              <w:t>EUR 200 and EUR 50 per day during which the default existed, but up to max EUR 5000</w:t>
            </w:r>
          </w:p>
          <w:p w14:paraId="2981FF9D" w14:textId="1204A6EB" w:rsidR="42911850" w:rsidRDefault="42911850">
            <w:pPr>
              <w:rPr>
                <w:noProof/>
              </w:rPr>
            </w:pPr>
            <w:r w:rsidRPr="42911850">
              <w:rPr>
                <w:rFonts w:ascii="Calibri" w:eastAsia="Calibri" w:hAnsi="Calibri" w:cs="Calibri"/>
                <w:noProof/>
                <w:sz w:val="18"/>
                <w:szCs w:val="18"/>
              </w:rPr>
              <w:t xml:space="preserve"> </w:t>
            </w:r>
          </w:p>
          <w:p w14:paraId="02E24D60" w14:textId="031F2D19" w:rsidR="42911850" w:rsidRDefault="42911850">
            <w:pPr>
              <w:rPr>
                <w:noProof/>
              </w:rPr>
            </w:pPr>
            <w:r w:rsidRPr="42911850">
              <w:rPr>
                <w:rFonts w:ascii="Calibri" w:eastAsia="Calibri" w:hAnsi="Calibri" w:cs="Calibri"/>
                <w:noProof/>
                <w:sz w:val="18"/>
                <w:szCs w:val="18"/>
              </w:rPr>
              <w:t>EUR 50.000</w:t>
            </w:r>
          </w:p>
          <w:p w14:paraId="1D4D3064" w14:textId="6485C3C6" w:rsidR="42911850" w:rsidRDefault="42911850">
            <w:pPr>
              <w:rPr>
                <w:noProof/>
              </w:rPr>
            </w:pPr>
            <w:r w:rsidRPr="42911850">
              <w:rPr>
                <w:rFonts w:ascii="Calibri" w:eastAsia="Calibri" w:hAnsi="Calibri" w:cs="Calibri"/>
                <w:noProof/>
                <w:sz w:val="18"/>
                <w:szCs w:val="18"/>
              </w:rPr>
              <w:t xml:space="preserve"> </w:t>
            </w:r>
          </w:p>
          <w:p w14:paraId="449DBC9A" w14:textId="3A266154" w:rsidR="42911850" w:rsidRDefault="42911850">
            <w:pPr>
              <w:rPr>
                <w:noProof/>
              </w:rPr>
            </w:pPr>
            <w:r w:rsidRPr="42911850">
              <w:rPr>
                <w:rFonts w:ascii="Calibri" w:eastAsia="Calibri" w:hAnsi="Calibri" w:cs="Calibri"/>
                <w:noProof/>
                <w:sz w:val="18"/>
                <w:szCs w:val="18"/>
              </w:rPr>
              <w:t>EUR 1000 and EUR 100 for every day during which default existed but up to EUR 30.000</w:t>
            </w:r>
          </w:p>
          <w:p w14:paraId="66939631" w14:textId="253085CC" w:rsidR="42911850" w:rsidRDefault="42911850">
            <w:pPr>
              <w:rPr>
                <w:noProof/>
              </w:rPr>
            </w:pPr>
            <w:r w:rsidRPr="42911850">
              <w:rPr>
                <w:rFonts w:ascii="Calibri" w:eastAsia="Calibri" w:hAnsi="Calibri" w:cs="Calibri"/>
                <w:noProof/>
                <w:sz w:val="18"/>
                <w:szCs w:val="18"/>
              </w:rPr>
              <w:t xml:space="preserve"> </w:t>
            </w:r>
          </w:p>
          <w:p w14:paraId="7CE86D25" w14:textId="338CB8C7" w:rsidR="42911850" w:rsidRDefault="42911850">
            <w:pPr>
              <w:rPr>
                <w:noProof/>
              </w:rPr>
            </w:pPr>
            <w:r w:rsidRPr="42911850">
              <w:rPr>
                <w:rFonts w:ascii="Calibri" w:eastAsia="Calibri" w:hAnsi="Calibri" w:cs="Calibri"/>
                <w:noProof/>
                <w:sz w:val="18"/>
                <w:szCs w:val="18"/>
              </w:rPr>
              <w:t xml:space="preserve"> </w:t>
            </w:r>
          </w:p>
          <w:p w14:paraId="792CCB95" w14:textId="6DC745E8" w:rsidR="42911850" w:rsidRDefault="42911850">
            <w:pPr>
              <w:rPr>
                <w:noProof/>
              </w:rPr>
            </w:pPr>
            <w:r w:rsidRPr="42911850">
              <w:rPr>
                <w:rFonts w:ascii="Calibri" w:eastAsia="Calibri" w:hAnsi="Calibri" w:cs="Calibri"/>
                <w:noProof/>
                <w:sz w:val="18"/>
                <w:szCs w:val="18"/>
              </w:rPr>
              <w:t xml:space="preserve"> </w:t>
            </w:r>
          </w:p>
          <w:p w14:paraId="4D385ACB" w14:textId="100C35AC" w:rsidR="42911850" w:rsidRDefault="42911850">
            <w:pPr>
              <w:rPr>
                <w:noProof/>
              </w:rPr>
            </w:pPr>
            <w:r w:rsidRPr="42911850">
              <w:rPr>
                <w:rFonts w:ascii="Calibri" w:eastAsia="Calibri" w:hAnsi="Calibri" w:cs="Calibri"/>
                <w:noProof/>
                <w:sz w:val="18"/>
                <w:szCs w:val="18"/>
              </w:rPr>
              <w:t>EUR 200 and EUR 50 for every day during which the default existed, up to a maximum of EUR 5.000</w:t>
            </w:r>
          </w:p>
        </w:tc>
        <w:tc>
          <w:tcPr>
            <w:tcW w:w="2175" w:type="dxa"/>
            <w:tcBorders>
              <w:top w:val="single" w:sz="8" w:space="0" w:color="auto"/>
              <w:left w:val="single" w:sz="8" w:space="0" w:color="auto"/>
              <w:bottom w:val="single" w:sz="8" w:space="0" w:color="auto"/>
              <w:right w:val="single" w:sz="8" w:space="0" w:color="auto"/>
            </w:tcBorders>
          </w:tcPr>
          <w:p w14:paraId="0D5D9747" w14:textId="4F93849D" w:rsidR="42911850" w:rsidRDefault="42911850">
            <w:pPr>
              <w:rPr>
                <w:noProof/>
              </w:rPr>
            </w:pPr>
            <w:r w:rsidRPr="42911850">
              <w:rPr>
                <w:rFonts w:ascii="Calibri" w:eastAsia="Calibri" w:hAnsi="Calibri" w:cs="Calibri"/>
                <w:noProof/>
                <w:sz w:val="18"/>
                <w:szCs w:val="18"/>
              </w:rPr>
              <w:t xml:space="preserve"> </w:t>
            </w:r>
          </w:p>
          <w:p w14:paraId="6672EF76" w14:textId="6A29FAD6" w:rsidR="42911850" w:rsidRDefault="42911850">
            <w:pPr>
              <w:rPr>
                <w:noProof/>
              </w:rPr>
            </w:pPr>
            <w:r w:rsidRPr="42911850">
              <w:rPr>
                <w:rFonts w:ascii="Calibri" w:eastAsia="Calibri" w:hAnsi="Calibri" w:cs="Calibri"/>
                <w:noProof/>
                <w:sz w:val="18"/>
                <w:szCs w:val="18"/>
              </w:rPr>
              <w:t xml:space="preserve"> </w:t>
            </w:r>
          </w:p>
          <w:p w14:paraId="5DC56C15" w14:textId="357BA09D" w:rsidR="42911850" w:rsidRDefault="42911850">
            <w:pPr>
              <w:rPr>
                <w:noProof/>
              </w:rPr>
            </w:pPr>
            <w:r w:rsidRPr="42911850">
              <w:rPr>
                <w:rFonts w:ascii="Calibri" w:eastAsia="Calibri" w:hAnsi="Calibri" w:cs="Calibri"/>
                <w:noProof/>
                <w:sz w:val="18"/>
                <w:szCs w:val="18"/>
              </w:rPr>
              <w:t xml:space="preserve"> </w:t>
            </w:r>
          </w:p>
          <w:p w14:paraId="100DACE3" w14:textId="685DBC4B" w:rsidR="42911850" w:rsidRDefault="42911850">
            <w:pPr>
              <w:rPr>
                <w:noProof/>
              </w:rPr>
            </w:pPr>
            <w:r w:rsidRPr="42911850">
              <w:rPr>
                <w:rFonts w:ascii="Calibri" w:eastAsia="Calibri" w:hAnsi="Calibri" w:cs="Calibri"/>
                <w:noProof/>
                <w:sz w:val="18"/>
                <w:szCs w:val="18"/>
              </w:rPr>
              <w:t xml:space="preserve"> </w:t>
            </w:r>
          </w:p>
          <w:p w14:paraId="6252512C" w14:textId="35112253" w:rsidR="42911850" w:rsidRDefault="42911850">
            <w:pPr>
              <w:rPr>
                <w:noProof/>
              </w:rPr>
            </w:pPr>
            <w:r w:rsidRPr="42911850">
              <w:rPr>
                <w:rFonts w:ascii="Calibri" w:eastAsia="Calibri" w:hAnsi="Calibri" w:cs="Calibri"/>
                <w:noProof/>
                <w:sz w:val="18"/>
                <w:szCs w:val="18"/>
              </w:rPr>
              <w:t xml:space="preserve"> </w:t>
            </w:r>
          </w:p>
          <w:p w14:paraId="1DD23121" w14:textId="781C4F8D" w:rsidR="42911850" w:rsidRPr="00AE537F" w:rsidRDefault="42911850">
            <w:pPr>
              <w:rPr>
                <w:noProof/>
                <w:lang w:val="fr-BE"/>
              </w:rPr>
            </w:pPr>
            <w:r w:rsidRPr="42911850">
              <w:rPr>
                <w:rFonts w:ascii="Calibri" w:eastAsia="Calibri" w:hAnsi="Calibri" w:cs="Calibri"/>
                <w:noProof/>
                <w:sz w:val="18"/>
                <w:szCs w:val="18"/>
                <w:lang w:val="fr-BE"/>
              </w:rPr>
              <w:t>EUR 20.000</w:t>
            </w:r>
          </w:p>
          <w:p w14:paraId="3DF51F35" w14:textId="3CF7724C"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596F0C69" w14:textId="4EF26F6B"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726D2BA0" w14:textId="15BCF8CC" w:rsidR="42911850" w:rsidRPr="00AE537F" w:rsidRDefault="42911850">
            <w:pPr>
              <w:rPr>
                <w:noProof/>
                <w:lang w:val="fr-BE"/>
              </w:rPr>
            </w:pPr>
            <w:r w:rsidRPr="42911850">
              <w:rPr>
                <w:rFonts w:ascii="Calibri" w:eastAsia="Calibri" w:hAnsi="Calibri" w:cs="Calibri"/>
                <w:noProof/>
                <w:sz w:val="18"/>
                <w:szCs w:val="18"/>
                <w:lang w:val="fr-BE"/>
              </w:rPr>
              <w:t>EUR 5000</w:t>
            </w:r>
          </w:p>
          <w:p w14:paraId="2BF26920" w14:textId="680D3AA9"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5BFBEE22" w14:textId="1A4F465D"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9FF2248" w14:textId="1BF47AAC" w:rsidR="42911850" w:rsidRPr="00AE537F" w:rsidRDefault="42911850">
            <w:pPr>
              <w:rPr>
                <w:noProof/>
                <w:lang w:val="fr-BE"/>
              </w:rPr>
            </w:pPr>
            <w:r w:rsidRPr="42911850">
              <w:rPr>
                <w:rFonts w:ascii="Calibri" w:eastAsia="Calibri" w:hAnsi="Calibri" w:cs="Calibri"/>
                <w:noProof/>
                <w:sz w:val="18"/>
                <w:szCs w:val="18"/>
                <w:lang w:val="fr-BE"/>
              </w:rPr>
              <w:t>EUR 50.000</w:t>
            </w:r>
          </w:p>
          <w:p w14:paraId="1B63665B" w14:textId="77FDD5E0"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78F548EE" w14:textId="4F1B60AF"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A63C707" w14:textId="427F2589" w:rsidR="42911850" w:rsidRPr="00AE537F" w:rsidRDefault="42911850">
            <w:pPr>
              <w:rPr>
                <w:noProof/>
                <w:lang w:val="fr-BE"/>
              </w:rPr>
            </w:pPr>
            <w:r w:rsidRPr="42911850">
              <w:rPr>
                <w:rFonts w:ascii="Calibri" w:eastAsia="Calibri" w:hAnsi="Calibri" w:cs="Calibri"/>
                <w:noProof/>
                <w:sz w:val="18"/>
                <w:szCs w:val="18"/>
                <w:lang w:val="fr-BE"/>
              </w:rPr>
              <w:t>EUR 30.000</w:t>
            </w:r>
          </w:p>
          <w:p w14:paraId="5C39C3E1" w14:textId="3E3CD45D"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508C0F4D" w14:textId="5D3B5EB0"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29DB191C" w14:textId="0B1C66B4"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6113C4BF" w14:textId="56A9A632"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669AE5DC" w14:textId="506A20D8" w:rsidR="42911850" w:rsidRPr="00AE537F" w:rsidRDefault="42911850">
            <w:pPr>
              <w:rPr>
                <w:noProof/>
                <w:lang w:val="fr-BE"/>
              </w:rPr>
            </w:pPr>
            <w:r w:rsidRPr="42911850">
              <w:rPr>
                <w:rFonts w:ascii="Calibri" w:eastAsia="Calibri" w:hAnsi="Calibri" w:cs="Calibri"/>
                <w:noProof/>
                <w:sz w:val="18"/>
                <w:szCs w:val="18"/>
                <w:lang w:val="fr-BE"/>
              </w:rPr>
              <w:t>Max EUR 5000</w:t>
            </w:r>
          </w:p>
        </w:tc>
      </w:tr>
      <w:tr w:rsidR="42911850" w:rsidRPr="00FF0731" w14:paraId="348C2942"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5388AF25" w14:textId="77777777" w:rsidR="000054FB" w:rsidRPr="00AE537F" w:rsidRDefault="000054FB">
            <w:pPr>
              <w:rPr>
                <w:noProof/>
                <w:lang w:val="fr-BE"/>
              </w:rPr>
            </w:pPr>
          </w:p>
        </w:tc>
        <w:tc>
          <w:tcPr>
            <w:tcW w:w="1025" w:type="dxa"/>
            <w:tcBorders>
              <w:top w:val="single" w:sz="8" w:space="0" w:color="auto"/>
              <w:left w:val="nil"/>
              <w:bottom w:val="single" w:sz="8" w:space="0" w:color="auto"/>
              <w:right w:val="single" w:sz="8" w:space="0" w:color="auto"/>
            </w:tcBorders>
          </w:tcPr>
          <w:p w14:paraId="6ACD240A" w14:textId="57C1F53C"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713D6ADB" w14:textId="562D6AE8" w:rsidR="42911850" w:rsidRDefault="42911850">
            <w:pPr>
              <w:rPr>
                <w:noProof/>
              </w:rPr>
            </w:pPr>
            <w:r w:rsidRPr="42911850">
              <w:rPr>
                <w:rFonts w:ascii="Calibri" w:eastAsia="Calibri" w:hAnsi="Calibri" w:cs="Calibri"/>
                <w:noProof/>
                <w:sz w:val="18"/>
                <w:szCs w:val="18"/>
              </w:rPr>
              <w:t xml:space="preserve">Personal scope: </w:t>
            </w:r>
            <w:r w:rsidRPr="42911850">
              <w:rPr>
                <w:rFonts w:ascii="Calibri" w:eastAsia="Calibri" w:hAnsi="Calibri" w:cs="Calibri"/>
                <w:noProof/>
                <w:sz w:val="18"/>
                <w:szCs w:val="18"/>
                <w:u w:val="single"/>
              </w:rPr>
              <w:t>an intermediary or a relevant taxpayer</w:t>
            </w:r>
            <w:r w:rsidRPr="42911850">
              <w:rPr>
                <w:rFonts w:ascii="Calibri" w:eastAsia="Calibri" w:hAnsi="Calibri" w:cs="Calibri"/>
                <w:noProof/>
                <w:sz w:val="18"/>
                <w:szCs w:val="18"/>
              </w:rPr>
              <w:t xml:space="preserve">  (this can be either natural or legal person)</w:t>
            </w:r>
          </w:p>
          <w:p w14:paraId="48868BD6" w14:textId="113F2671" w:rsidR="42911850" w:rsidRDefault="42911850">
            <w:pPr>
              <w:rPr>
                <w:noProof/>
              </w:rPr>
            </w:pPr>
            <w:r w:rsidRPr="42911850">
              <w:rPr>
                <w:rFonts w:ascii="Calibri" w:eastAsia="Calibri" w:hAnsi="Calibri" w:cs="Calibri"/>
                <w:noProof/>
                <w:sz w:val="18"/>
                <w:szCs w:val="18"/>
              </w:rPr>
              <w:t>Material scope: failure to comply with their obligations under the mandatory automatic exchange of information regime in relation to cross-border arrangements:</w:t>
            </w:r>
          </w:p>
          <w:p w14:paraId="39CDB5CA" w14:textId="4F723C36" w:rsidR="42911850" w:rsidRDefault="42911850">
            <w:pPr>
              <w:rPr>
                <w:noProof/>
              </w:rPr>
            </w:pPr>
            <w:r w:rsidRPr="42911850">
              <w:rPr>
                <w:rFonts w:ascii="Calibri" w:eastAsia="Calibri" w:hAnsi="Calibri" w:cs="Calibri"/>
                <w:noProof/>
                <w:sz w:val="18"/>
                <w:szCs w:val="18"/>
              </w:rPr>
              <w:t>Different levels of penalties are applicable with respect to the below failures:</w:t>
            </w:r>
          </w:p>
          <w:p w14:paraId="038DDDAA" w14:textId="34BF93D7" w:rsidR="42911850" w:rsidRDefault="42911850">
            <w:pPr>
              <w:rPr>
                <w:noProof/>
              </w:rPr>
            </w:pPr>
            <w:r w:rsidRPr="42911850">
              <w:rPr>
                <w:rFonts w:ascii="Calibri" w:eastAsia="Calibri" w:hAnsi="Calibri" w:cs="Calibri"/>
                <w:noProof/>
                <w:sz w:val="18"/>
                <w:szCs w:val="18"/>
              </w:rPr>
              <w:t xml:space="preserve"> • failure to collect and retain documentation for a period of five years;</w:t>
            </w:r>
          </w:p>
          <w:p w14:paraId="5F027E3B" w14:textId="5EF41D87" w:rsidR="42911850" w:rsidRDefault="42911850">
            <w:pPr>
              <w:rPr>
                <w:noProof/>
              </w:rPr>
            </w:pPr>
            <w:r w:rsidRPr="42911850">
              <w:rPr>
                <w:rFonts w:ascii="Calibri" w:eastAsia="Calibri" w:hAnsi="Calibri" w:cs="Calibri"/>
                <w:noProof/>
                <w:sz w:val="18"/>
                <w:szCs w:val="18"/>
              </w:rPr>
              <w:t xml:space="preserve"> </w:t>
            </w:r>
          </w:p>
          <w:p w14:paraId="270CB711" w14:textId="6742EE57" w:rsidR="42911850" w:rsidRDefault="42911850">
            <w:pPr>
              <w:rPr>
                <w:noProof/>
              </w:rPr>
            </w:pPr>
            <w:r w:rsidRPr="42911850">
              <w:rPr>
                <w:rFonts w:ascii="Calibri" w:eastAsia="Calibri" w:hAnsi="Calibri" w:cs="Calibri"/>
                <w:noProof/>
                <w:sz w:val="18"/>
                <w:szCs w:val="18"/>
              </w:rPr>
              <w:t xml:space="preserve"> • failure to report information on a timely basis </w:t>
            </w:r>
          </w:p>
          <w:p w14:paraId="5F5114E6" w14:textId="1879AF72" w:rsidR="42911850" w:rsidRDefault="42911850">
            <w:pPr>
              <w:rPr>
                <w:noProof/>
              </w:rPr>
            </w:pPr>
            <w:r w:rsidRPr="42911850">
              <w:rPr>
                <w:rFonts w:ascii="Calibri" w:eastAsia="Calibri" w:hAnsi="Calibri" w:cs="Calibri"/>
                <w:noProof/>
                <w:sz w:val="18"/>
                <w:szCs w:val="18"/>
              </w:rPr>
              <w:t xml:space="preserve"> </w:t>
            </w:r>
          </w:p>
          <w:p w14:paraId="0C975E00" w14:textId="1AB69338" w:rsidR="42911850" w:rsidRDefault="42911850">
            <w:pPr>
              <w:rPr>
                <w:noProof/>
              </w:rPr>
            </w:pPr>
            <w:r w:rsidRPr="42911850">
              <w:rPr>
                <w:rFonts w:ascii="Calibri" w:eastAsia="Calibri" w:hAnsi="Calibri" w:cs="Calibri"/>
                <w:noProof/>
                <w:sz w:val="18"/>
                <w:szCs w:val="18"/>
              </w:rPr>
              <w:t xml:space="preserve"> </w:t>
            </w:r>
          </w:p>
          <w:p w14:paraId="5243929A" w14:textId="2D28ADE4" w:rsidR="42911850" w:rsidRDefault="42911850">
            <w:pPr>
              <w:rPr>
                <w:noProof/>
              </w:rPr>
            </w:pPr>
            <w:r w:rsidRPr="42911850">
              <w:rPr>
                <w:rFonts w:ascii="Calibri" w:eastAsia="Calibri" w:hAnsi="Calibri" w:cs="Calibri"/>
                <w:noProof/>
                <w:sz w:val="18"/>
                <w:szCs w:val="18"/>
              </w:rPr>
              <w:t xml:space="preserve"> </w:t>
            </w:r>
          </w:p>
          <w:p w14:paraId="411DCE28" w14:textId="0DB91D7D" w:rsidR="42911850" w:rsidRDefault="42911850">
            <w:pPr>
              <w:rPr>
                <w:noProof/>
              </w:rPr>
            </w:pPr>
            <w:r w:rsidRPr="42911850">
              <w:rPr>
                <w:rFonts w:ascii="Calibri" w:eastAsia="Calibri" w:hAnsi="Calibri" w:cs="Calibri"/>
                <w:noProof/>
                <w:sz w:val="18"/>
                <w:szCs w:val="18"/>
              </w:rPr>
              <w:t xml:space="preserve"> </w:t>
            </w:r>
          </w:p>
          <w:p w14:paraId="38417D9B" w14:textId="3B89C8E3" w:rsidR="42911850" w:rsidRDefault="42911850">
            <w:pPr>
              <w:rPr>
                <w:noProof/>
              </w:rPr>
            </w:pPr>
            <w:r w:rsidRPr="42911850">
              <w:rPr>
                <w:rFonts w:ascii="Calibri" w:eastAsia="Calibri" w:hAnsi="Calibri" w:cs="Calibri"/>
                <w:noProof/>
                <w:sz w:val="18"/>
                <w:szCs w:val="18"/>
              </w:rPr>
              <w:t xml:space="preserve">• failure to report information in a complete and accurate manner; </w:t>
            </w:r>
          </w:p>
          <w:p w14:paraId="7BFD0667" w14:textId="634FAEAB" w:rsidR="42911850" w:rsidRDefault="42911850">
            <w:pPr>
              <w:rPr>
                <w:noProof/>
              </w:rPr>
            </w:pPr>
            <w:r w:rsidRPr="42911850">
              <w:rPr>
                <w:rFonts w:ascii="Calibri" w:eastAsia="Calibri" w:hAnsi="Calibri" w:cs="Calibri"/>
                <w:noProof/>
                <w:sz w:val="18"/>
                <w:szCs w:val="18"/>
              </w:rPr>
              <w:t xml:space="preserve"> </w:t>
            </w:r>
          </w:p>
          <w:p w14:paraId="142E011B" w14:textId="352BF86E" w:rsidR="42911850" w:rsidRDefault="42911850">
            <w:pPr>
              <w:rPr>
                <w:noProof/>
              </w:rPr>
            </w:pPr>
            <w:r w:rsidRPr="42911850">
              <w:rPr>
                <w:rFonts w:ascii="Calibri" w:eastAsia="Calibri" w:hAnsi="Calibri" w:cs="Calibri"/>
                <w:noProof/>
                <w:sz w:val="18"/>
                <w:szCs w:val="18"/>
              </w:rPr>
              <w:t xml:space="preserve"> </w:t>
            </w:r>
          </w:p>
          <w:p w14:paraId="56B876CC" w14:textId="477B9BC6" w:rsidR="42911850" w:rsidRDefault="42911850">
            <w:pPr>
              <w:rPr>
                <w:noProof/>
              </w:rPr>
            </w:pPr>
            <w:r w:rsidRPr="42911850">
              <w:rPr>
                <w:rFonts w:ascii="Calibri" w:eastAsia="Calibri" w:hAnsi="Calibri" w:cs="Calibri"/>
                <w:noProof/>
                <w:sz w:val="18"/>
                <w:szCs w:val="18"/>
              </w:rPr>
              <w:t xml:space="preserve">• failure to comply with a request made by the Maltese tax authorities </w:t>
            </w:r>
          </w:p>
          <w:p w14:paraId="751192B8" w14:textId="23D0DDB6" w:rsidR="42911850" w:rsidRDefault="42911850">
            <w:pPr>
              <w:rPr>
                <w:noProof/>
              </w:rPr>
            </w:pPr>
            <w:r w:rsidRPr="42911850">
              <w:rPr>
                <w:rFonts w:ascii="Calibri" w:eastAsia="Calibri" w:hAnsi="Calibri" w:cs="Calibri"/>
                <w:noProof/>
                <w:sz w:val="18"/>
                <w:szCs w:val="18"/>
              </w:rPr>
              <w:t xml:space="preserve"> </w:t>
            </w:r>
          </w:p>
          <w:p w14:paraId="5057F7B7" w14:textId="4B294DA5" w:rsidR="42911850" w:rsidRDefault="42911850">
            <w:pPr>
              <w:rPr>
                <w:noProof/>
              </w:rPr>
            </w:pPr>
            <w:r w:rsidRPr="42911850">
              <w:rPr>
                <w:rFonts w:ascii="Calibri" w:eastAsia="Calibri" w:hAnsi="Calibri" w:cs="Calibri"/>
                <w:noProof/>
                <w:sz w:val="18"/>
                <w:szCs w:val="18"/>
              </w:rPr>
              <w:t xml:space="preserve"> </w:t>
            </w:r>
          </w:p>
          <w:p w14:paraId="3D4F3C4E" w14:textId="7A335334" w:rsidR="42911850" w:rsidRDefault="42911850">
            <w:pPr>
              <w:rPr>
                <w:noProof/>
              </w:rPr>
            </w:pPr>
            <w:r w:rsidRPr="42911850">
              <w:rPr>
                <w:rFonts w:ascii="Calibri" w:eastAsia="Calibri" w:hAnsi="Calibri" w:cs="Calibri"/>
                <w:noProof/>
                <w:sz w:val="18"/>
                <w:szCs w:val="18"/>
              </w:rPr>
              <w:t>Not stated whether individual or cumulative nature of penalty.</w:t>
            </w:r>
          </w:p>
        </w:tc>
        <w:tc>
          <w:tcPr>
            <w:tcW w:w="1757" w:type="dxa"/>
            <w:tcBorders>
              <w:top w:val="single" w:sz="8" w:space="0" w:color="auto"/>
              <w:left w:val="single" w:sz="8" w:space="0" w:color="auto"/>
              <w:bottom w:val="single" w:sz="8" w:space="0" w:color="auto"/>
              <w:right w:val="single" w:sz="8" w:space="0" w:color="auto"/>
            </w:tcBorders>
          </w:tcPr>
          <w:p w14:paraId="551BB595" w14:textId="623CBB44" w:rsidR="42911850" w:rsidRDefault="42911850">
            <w:pPr>
              <w:rPr>
                <w:noProof/>
              </w:rPr>
            </w:pPr>
            <w:r w:rsidRPr="42911850">
              <w:rPr>
                <w:rFonts w:ascii="Calibri" w:eastAsia="Calibri" w:hAnsi="Calibri" w:cs="Calibri"/>
                <w:noProof/>
                <w:color w:val="000000" w:themeColor="text1"/>
                <w:sz w:val="18"/>
                <w:szCs w:val="18"/>
              </w:rPr>
              <w:t xml:space="preserve"> </w:t>
            </w:r>
          </w:p>
          <w:p w14:paraId="62DE33AD" w14:textId="33E21FFF" w:rsidR="42911850" w:rsidRDefault="42911850">
            <w:pPr>
              <w:rPr>
                <w:noProof/>
              </w:rPr>
            </w:pPr>
            <w:r w:rsidRPr="42911850">
              <w:rPr>
                <w:rFonts w:ascii="Calibri" w:eastAsia="Calibri" w:hAnsi="Calibri" w:cs="Calibri"/>
                <w:noProof/>
                <w:color w:val="000000" w:themeColor="text1"/>
                <w:sz w:val="18"/>
                <w:szCs w:val="18"/>
              </w:rPr>
              <w:t xml:space="preserve"> </w:t>
            </w:r>
          </w:p>
          <w:p w14:paraId="6D43AC0F" w14:textId="2FA1B358" w:rsidR="42911850" w:rsidRDefault="42911850">
            <w:pPr>
              <w:rPr>
                <w:noProof/>
              </w:rPr>
            </w:pPr>
            <w:r w:rsidRPr="42911850">
              <w:rPr>
                <w:rFonts w:ascii="Calibri" w:eastAsia="Calibri" w:hAnsi="Calibri" w:cs="Calibri"/>
                <w:noProof/>
                <w:color w:val="000000" w:themeColor="text1"/>
                <w:sz w:val="18"/>
                <w:szCs w:val="18"/>
              </w:rPr>
              <w:t xml:space="preserve"> </w:t>
            </w:r>
          </w:p>
          <w:p w14:paraId="63F9499E" w14:textId="09BB4C85" w:rsidR="42911850" w:rsidRDefault="42911850">
            <w:pPr>
              <w:rPr>
                <w:noProof/>
              </w:rPr>
            </w:pPr>
            <w:r w:rsidRPr="42911850">
              <w:rPr>
                <w:rFonts w:ascii="Calibri" w:eastAsia="Calibri" w:hAnsi="Calibri" w:cs="Calibri"/>
                <w:noProof/>
                <w:color w:val="000000" w:themeColor="text1"/>
                <w:sz w:val="18"/>
                <w:szCs w:val="18"/>
              </w:rPr>
              <w:t xml:space="preserve"> </w:t>
            </w:r>
          </w:p>
          <w:p w14:paraId="2F35C5A3" w14:textId="7B049EF9" w:rsidR="42911850" w:rsidRDefault="42911850">
            <w:pPr>
              <w:rPr>
                <w:noProof/>
              </w:rPr>
            </w:pPr>
            <w:r w:rsidRPr="42911850">
              <w:rPr>
                <w:rFonts w:ascii="Calibri" w:eastAsia="Calibri" w:hAnsi="Calibri" w:cs="Calibri"/>
                <w:noProof/>
                <w:color w:val="000000" w:themeColor="text1"/>
                <w:sz w:val="18"/>
                <w:szCs w:val="18"/>
              </w:rPr>
              <w:t xml:space="preserve"> </w:t>
            </w:r>
          </w:p>
          <w:p w14:paraId="1FA5986F" w14:textId="06E8BB86" w:rsidR="42911850" w:rsidRDefault="42911850">
            <w:pPr>
              <w:rPr>
                <w:noProof/>
              </w:rPr>
            </w:pPr>
            <w:r w:rsidRPr="42911850">
              <w:rPr>
                <w:rFonts w:ascii="Calibri" w:eastAsia="Calibri" w:hAnsi="Calibri" w:cs="Calibri"/>
                <w:noProof/>
                <w:color w:val="000000" w:themeColor="text1"/>
                <w:sz w:val="18"/>
                <w:szCs w:val="18"/>
              </w:rPr>
              <w:t>•</w:t>
            </w:r>
            <w:r w:rsidRPr="42911850">
              <w:rPr>
                <w:rFonts w:ascii="Calibri" w:eastAsia="Calibri" w:hAnsi="Calibri" w:cs="Calibri"/>
                <w:noProof/>
                <w:sz w:val="18"/>
                <w:szCs w:val="18"/>
              </w:rPr>
              <w:t xml:space="preserve"> penalty of EUR 2,500 </w:t>
            </w:r>
          </w:p>
          <w:p w14:paraId="155C14A4" w14:textId="4226535B" w:rsidR="42911850" w:rsidRDefault="42911850">
            <w:pPr>
              <w:rPr>
                <w:noProof/>
              </w:rPr>
            </w:pPr>
            <w:r w:rsidRPr="42911850">
              <w:rPr>
                <w:rFonts w:ascii="Calibri" w:eastAsia="Calibri" w:hAnsi="Calibri" w:cs="Calibri"/>
                <w:noProof/>
                <w:sz w:val="18"/>
                <w:szCs w:val="18"/>
              </w:rPr>
              <w:t xml:space="preserve"> </w:t>
            </w:r>
          </w:p>
          <w:p w14:paraId="3BA31FF5" w14:textId="0170A096" w:rsidR="42911850" w:rsidRDefault="42911850">
            <w:pPr>
              <w:rPr>
                <w:noProof/>
              </w:rPr>
            </w:pPr>
            <w:r w:rsidRPr="42911850">
              <w:rPr>
                <w:rFonts w:ascii="Calibri" w:eastAsia="Calibri" w:hAnsi="Calibri" w:cs="Calibri"/>
                <w:noProof/>
                <w:color w:val="000000" w:themeColor="text1"/>
                <w:sz w:val="18"/>
                <w:szCs w:val="18"/>
              </w:rPr>
              <w:t>•</w:t>
            </w:r>
            <w:r w:rsidRPr="42911850">
              <w:rPr>
                <w:rFonts w:ascii="Calibri" w:eastAsia="Calibri" w:hAnsi="Calibri" w:cs="Calibri"/>
                <w:noProof/>
                <w:sz w:val="18"/>
                <w:szCs w:val="18"/>
              </w:rPr>
              <w:t xml:space="preserve"> a penalty of EUR 200; and EUR 100 for every day during which the default existed: provided that this penalty shall not exceed in total EUR 20,000. </w:t>
            </w:r>
          </w:p>
          <w:p w14:paraId="301A8195" w14:textId="18431951" w:rsidR="42911850" w:rsidRDefault="42911850">
            <w:pPr>
              <w:rPr>
                <w:noProof/>
              </w:rPr>
            </w:pPr>
            <w:r w:rsidRPr="42911850">
              <w:rPr>
                <w:rFonts w:ascii="Calibri" w:eastAsia="Calibri" w:hAnsi="Calibri" w:cs="Calibri"/>
                <w:noProof/>
                <w:sz w:val="18"/>
                <w:szCs w:val="18"/>
              </w:rPr>
              <w:t xml:space="preserve"> </w:t>
            </w:r>
          </w:p>
          <w:p w14:paraId="1C7761AE" w14:textId="712AA2A4" w:rsidR="42911850" w:rsidRDefault="42911850">
            <w:pPr>
              <w:rPr>
                <w:noProof/>
              </w:rPr>
            </w:pPr>
            <w:r w:rsidRPr="42911850">
              <w:rPr>
                <w:rFonts w:ascii="Calibri" w:eastAsia="Calibri" w:hAnsi="Calibri" w:cs="Calibri"/>
                <w:noProof/>
                <w:color w:val="000000" w:themeColor="text1"/>
                <w:sz w:val="18"/>
                <w:szCs w:val="18"/>
              </w:rPr>
              <w:t>•</w:t>
            </w:r>
            <w:r w:rsidRPr="42911850">
              <w:rPr>
                <w:rFonts w:ascii="Calibri" w:eastAsia="Calibri" w:hAnsi="Calibri" w:cs="Calibri"/>
                <w:noProof/>
                <w:sz w:val="18"/>
                <w:szCs w:val="18"/>
              </w:rPr>
              <w:t xml:space="preserve"> EUR 200 and EUR</w:t>
            </w:r>
            <w:r w:rsidR="00717751">
              <w:rPr>
                <w:rFonts w:ascii="Calibri" w:eastAsia="Calibri" w:hAnsi="Calibri" w:cs="Calibri"/>
                <w:noProof/>
                <w:sz w:val="18"/>
                <w:szCs w:val="18"/>
              </w:rPr>
              <w:t> </w:t>
            </w:r>
            <w:r w:rsidRPr="42911850">
              <w:rPr>
                <w:rFonts w:ascii="Calibri" w:eastAsia="Calibri" w:hAnsi="Calibri" w:cs="Calibri"/>
                <w:noProof/>
                <w:sz w:val="18"/>
                <w:szCs w:val="18"/>
              </w:rPr>
              <w:t xml:space="preserve">100 for every day during which the default existed: provided that this penalty shall not exceed in total EUR 20,000. </w:t>
            </w:r>
          </w:p>
          <w:p w14:paraId="24EA82ED" w14:textId="1493D018" w:rsidR="42911850" w:rsidRDefault="42911850">
            <w:pPr>
              <w:rPr>
                <w:noProof/>
              </w:rPr>
            </w:pPr>
            <w:r w:rsidRPr="42911850">
              <w:rPr>
                <w:rFonts w:ascii="Calibri" w:eastAsia="Calibri" w:hAnsi="Calibri" w:cs="Calibri"/>
                <w:noProof/>
                <w:sz w:val="18"/>
                <w:szCs w:val="18"/>
              </w:rPr>
              <w:t xml:space="preserve"> </w:t>
            </w:r>
          </w:p>
          <w:p w14:paraId="196203E1" w14:textId="37BC674A" w:rsidR="42911850" w:rsidRDefault="42911850" w:rsidP="00717751">
            <w:pPr>
              <w:rPr>
                <w:noProof/>
              </w:rPr>
            </w:pPr>
            <w:r w:rsidRPr="42911850">
              <w:rPr>
                <w:rFonts w:ascii="Calibri" w:eastAsia="Calibri" w:hAnsi="Calibri" w:cs="Calibri"/>
                <w:noProof/>
                <w:color w:val="000000" w:themeColor="text1"/>
                <w:sz w:val="18"/>
                <w:szCs w:val="18"/>
              </w:rPr>
              <w:t>•</w:t>
            </w:r>
            <w:r w:rsidR="00717751">
              <w:rPr>
                <w:rFonts w:ascii="Calibri" w:eastAsia="Calibri" w:hAnsi="Calibri" w:cs="Calibri"/>
                <w:noProof/>
                <w:sz w:val="18"/>
                <w:szCs w:val="18"/>
              </w:rPr>
              <w:t xml:space="preserve"> EUR 1,000 </w:t>
            </w:r>
            <w:r w:rsidRPr="42911850">
              <w:rPr>
                <w:rFonts w:ascii="Calibri" w:eastAsia="Calibri" w:hAnsi="Calibri" w:cs="Calibri"/>
                <w:noProof/>
                <w:sz w:val="18"/>
                <w:szCs w:val="18"/>
              </w:rPr>
              <w:t>and EUR</w:t>
            </w:r>
            <w:r w:rsidR="00717751">
              <w:rPr>
                <w:rFonts w:ascii="Calibri" w:eastAsia="Calibri" w:hAnsi="Calibri" w:cs="Calibri"/>
                <w:noProof/>
                <w:sz w:val="18"/>
                <w:szCs w:val="18"/>
              </w:rPr>
              <w:t> </w:t>
            </w:r>
            <w:r w:rsidRPr="42911850">
              <w:rPr>
                <w:rFonts w:ascii="Calibri" w:eastAsia="Calibri" w:hAnsi="Calibri" w:cs="Calibri"/>
                <w:noProof/>
                <w:sz w:val="18"/>
                <w:szCs w:val="18"/>
              </w:rPr>
              <w:t>100 for every day during which the default existed, provided that this penalty shall not exceed in total EUR 30,000.</w:t>
            </w:r>
          </w:p>
        </w:tc>
        <w:tc>
          <w:tcPr>
            <w:tcW w:w="2175" w:type="dxa"/>
            <w:tcBorders>
              <w:top w:val="single" w:sz="8" w:space="0" w:color="auto"/>
              <w:left w:val="single" w:sz="8" w:space="0" w:color="auto"/>
              <w:bottom w:val="single" w:sz="8" w:space="0" w:color="auto"/>
              <w:right w:val="single" w:sz="8" w:space="0" w:color="auto"/>
            </w:tcBorders>
          </w:tcPr>
          <w:p w14:paraId="3FE68ED4" w14:textId="7F8D6E10" w:rsidR="42911850" w:rsidRDefault="42911850">
            <w:pPr>
              <w:rPr>
                <w:noProof/>
              </w:rPr>
            </w:pPr>
            <w:r w:rsidRPr="42911850">
              <w:rPr>
                <w:rFonts w:ascii="Calibri" w:eastAsia="Calibri" w:hAnsi="Calibri" w:cs="Calibri"/>
                <w:noProof/>
                <w:sz w:val="18"/>
                <w:szCs w:val="18"/>
              </w:rPr>
              <w:t xml:space="preserve"> </w:t>
            </w:r>
          </w:p>
          <w:p w14:paraId="6508380F" w14:textId="0D9B9512" w:rsidR="42911850" w:rsidRDefault="42911850">
            <w:pPr>
              <w:rPr>
                <w:noProof/>
              </w:rPr>
            </w:pPr>
            <w:r w:rsidRPr="42911850">
              <w:rPr>
                <w:rFonts w:ascii="Calibri" w:eastAsia="Calibri" w:hAnsi="Calibri" w:cs="Calibri"/>
                <w:noProof/>
                <w:sz w:val="18"/>
                <w:szCs w:val="18"/>
              </w:rPr>
              <w:t xml:space="preserve"> </w:t>
            </w:r>
          </w:p>
          <w:p w14:paraId="3CCBABA6" w14:textId="40558599" w:rsidR="42911850" w:rsidRDefault="42911850">
            <w:pPr>
              <w:rPr>
                <w:noProof/>
              </w:rPr>
            </w:pPr>
            <w:r w:rsidRPr="42911850">
              <w:rPr>
                <w:rFonts w:ascii="Calibri" w:eastAsia="Calibri" w:hAnsi="Calibri" w:cs="Calibri"/>
                <w:noProof/>
                <w:sz w:val="18"/>
                <w:szCs w:val="18"/>
              </w:rPr>
              <w:t xml:space="preserve"> </w:t>
            </w:r>
          </w:p>
          <w:p w14:paraId="64CB45F9" w14:textId="3CB20AD7" w:rsidR="42911850" w:rsidRDefault="42911850">
            <w:pPr>
              <w:rPr>
                <w:noProof/>
              </w:rPr>
            </w:pPr>
            <w:r w:rsidRPr="42911850">
              <w:rPr>
                <w:rFonts w:ascii="Calibri" w:eastAsia="Calibri" w:hAnsi="Calibri" w:cs="Calibri"/>
                <w:noProof/>
                <w:sz w:val="18"/>
                <w:szCs w:val="18"/>
              </w:rPr>
              <w:t xml:space="preserve"> </w:t>
            </w:r>
          </w:p>
          <w:p w14:paraId="620F633E" w14:textId="10D71799" w:rsidR="42911850" w:rsidRDefault="42911850">
            <w:pPr>
              <w:rPr>
                <w:noProof/>
              </w:rPr>
            </w:pPr>
            <w:r w:rsidRPr="42911850">
              <w:rPr>
                <w:rFonts w:ascii="Calibri" w:eastAsia="Calibri" w:hAnsi="Calibri" w:cs="Calibri"/>
                <w:noProof/>
                <w:sz w:val="18"/>
                <w:szCs w:val="18"/>
              </w:rPr>
              <w:t xml:space="preserve"> </w:t>
            </w:r>
          </w:p>
          <w:p w14:paraId="635533B8" w14:textId="2247F182" w:rsidR="42911850" w:rsidRDefault="42911850">
            <w:pPr>
              <w:rPr>
                <w:noProof/>
              </w:rPr>
            </w:pPr>
            <w:r w:rsidRPr="42911850">
              <w:rPr>
                <w:rFonts w:ascii="Calibri" w:eastAsia="Calibri" w:hAnsi="Calibri" w:cs="Calibri"/>
                <w:noProof/>
                <w:sz w:val="18"/>
                <w:szCs w:val="18"/>
              </w:rPr>
              <w:t xml:space="preserve"> </w:t>
            </w:r>
          </w:p>
          <w:p w14:paraId="68B3C662" w14:textId="4C38D0C1" w:rsidR="42911850" w:rsidRDefault="42911850">
            <w:pPr>
              <w:rPr>
                <w:noProof/>
              </w:rPr>
            </w:pPr>
            <w:r w:rsidRPr="42911850">
              <w:rPr>
                <w:rFonts w:ascii="Calibri" w:eastAsia="Calibri" w:hAnsi="Calibri" w:cs="Calibri"/>
                <w:noProof/>
                <w:sz w:val="18"/>
                <w:szCs w:val="18"/>
              </w:rPr>
              <w:t xml:space="preserve"> </w:t>
            </w:r>
          </w:p>
          <w:p w14:paraId="695DA21A" w14:textId="12663C8E" w:rsidR="42911850" w:rsidRDefault="42911850">
            <w:pPr>
              <w:rPr>
                <w:noProof/>
              </w:rPr>
            </w:pPr>
            <w:r w:rsidRPr="42911850">
              <w:rPr>
                <w:rFonts w:ascii="Calibri" w:eastAsia="Calibri" w:hAnsi="Calibri" w:cs="Calibri"/>
                <w:noProof/>
                <w:sz w:val="18"/>
                <w:szCs w:val="18"/>
              </w:rPr>
              <w:t xml:space="preserve"> </w:t>
            </w:r>
          </w:p>
          <w:p w14:paraId="5F05A05D" w14:textId="37077F1B" w:rsidR="42911850" w:rsidRDefault="42911850">
            <w:pPr>
              <w:rPr>
                <w:noProof/>
              </w:rPr>
            </w:pPr>
            <w:r w:rsidRPr="42911850">
              <w:rPr>
                <w:rFonts w:ascii="Calibri" w:eastAsia="Calibri" w:hAnsi="Calibri" w:cs="Calibri"/>
                <w:noProof/>
                <w:sz w:val="18"/>
                <w:szCs w:val="18"/>
              </w:rPr>
              <w:t xml:space="preserve"> </w:t>
            </w:r>
          </w:p>
          <w:p w14:paraId="63758868" w14:textId="15CCB946" w:rsidR="42911850" w:rsidRPr="00AE537F" w:rsidRDefault="42911850">
            <w:pPr>
              <w:rPr>
                <w:noProof/>
                <w:lang w:val="fr-BE"/>
              </w:rPr>
            </w:pPr>
            <w:r w:rsidRPr="42911850">
              <w:rPr>
                <w:rFonts w:ascii="Calibri" w:eastAsia="Calibri" w:hAnsi="Calibri" w:cs="Calibri"/>
                <w:noProof/>
                <w:sz w:val="18"/>
                <w:szCs w:val="18"/>
                <w:lang w:val="fr-BE"/>
              </w:rPr>
              <w:t>Max EUR 20 000</w:t>
            </w:r>
          </w:p>
          <w:p w14:paraId="24864FFF" w14:textId="26B9E154"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02BE06E0" w14:textId="36A0C65A"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2240A9C" w14:textId="4A1DEB0C"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729163A9" w14:textId="59B1B185" w:rsidR="42911850" w:rsidRPr="00AE537F" w:rsidRDefault="42911850">
            <w:pPr>
              <w:rPr>
                <w:noProof/>
                <w:lang w:val="fr-BE"/>
              </w:rPr>
            </w:pPr>
            <w:r w:rsidRPr="42911850">
              <w:rPr>
                <w:rFonts w:ascii="Calibri" w:eastAsia="Calibri" w:hAnsi="Calibri" w:cs="Calibri"/>
                <w:noProof/>
                <w:sz w:val="18"/>
                <w:szCs w:val="18"/>
                <w:lang w:val="fr-BE"/>
              </w:rPr>
              <w:t>Ib</w:t>
            </w:r>
          </w:p>
          <w:p w14:paraId="08F9983C" w14:textId="7373E5D8"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1C81C098" w14:textId="32C20DDC"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094B5498" w14:textId="1BD43E57" w:rsidR="42911850" w:rsidRPr="00AE537F" w:rsidRDefault="42911850">
            <w:pPr>
              <w:rPr>
                <w:noProof/>
                <w:lang w:val="fr-BE"/>
              </w:rPr>
            </w:pPr>
            <w:r w:rsidRPr="42911850">
              <w:rPr>
                <w:rFonts w:ascii="Calibri" w:eastAsia="Calibri" w:hAnsi="Calibri" w:cs="Calibri"/>
                <w:noProof/>
                <w:sz w:val="18"/>
                <w:szCs w:val="18"/>
                <w:lang w:val="fr-BE"/>
              </w:rPr>
              <w:t xml:space="preserve"> </w:t>
            </w:r>
          </w:p>
          <w:p w14:paraId="49D20ED4" w14:textId="4F1B5502" w:rsidR="42911850" w:rsidRPr="00AE537F" w:rsidRDefault="42911850">
            <w:pPr>
              <w:rPr>
                <w:noProof/>
                <w:lang w:val="fr-BE"/>
              </w:rPr>
            </w:pPr>
            <w:r w:rsidRPr="42911850">
              <w:rPr>
                <w:rFonts w:ascii="Calibri" w:eastAsia="Calibri" w:hAnsi="Calibri" w:cs="Calibri"/>
                <w:noProof/>
                <w:sz w:val="18"/>
                <w:szCs w:val="18"/>
                <w:lang w:val="fr-BE"/>
              </w:rPr>
              <w:t>Max EUR 30.000</w:t>
            </w:r>
          </w:p>
        </w:tc>
      </w:tr>
      <w:tr w:rsidR="42911850" w14:paraId="55030754"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00E57A31" w14:textId="0EBC5880" w:rsidR="42911850" w:rsidRDefault="42911850">
            <w:pPr>
              <w:rPr>
                <w:noProof/>
              </w:rPr>
            </w:pPr>
            <w:r w:rsidRPr="42911850">
              <w:rPr>
                <w:rFonts w:ascii="Calibri" w:eastAsia="Calibri" w:hAnsi="Calibri" w:cs="Calibri"/>
                <w:b/>
                <w:bCs/>
                <w:noProof/>
                <w:sz w:val="18"/>
                <w:szCs w:val="18"/>
              </w:rPr>
              <w:t>NL</w:t>
            </w:r>
          </w:p>
        </w:tc>
        <w:tc>
          <w:tcPr>
            <w:tcW w:w="1025" w:type="dxa"/>
            <w:tcBorders>
              <w:top w:val="single" w:sz="8" w:space="0" w:color="auto"/>
              <w:left w:val="single" w:sz="8" w:space="0" w:color="auto"/>
              <w:bottom w:val="single" w:sz="8" w:space="0" w:color="auto"/>
              <w:right w:val="single" w:sz="8" w:space="0" w:color="auto"/>
            </w:tcBorders>
          </w:tcPr>
          <w:p w14:paraId="0466F313" w14:textId="6E8205C3" w:rsidR="42911850" w:rsidRDefault="42911850">
            <w:pPr>
              <w:rPr>
                <w:noProof/>
              </w:rPr>
            </w:pPr>
            <w:r w:rsidRPr="42911850">
              <w:rPr>
                <w:rFonts w:ascii="Calibri" w:eastAsia="Calibri" w:hAnsi="Calibri" w:cs="Calibri"/>
                <w:noProof/>
                <w:sz w:val="16"/>
                <w:szCs w:val="16"/>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169CDE0E" w14:textId="1044B1B5" w:rsidR="42911850" w:rsidRDefault="42911850">
            <w:pPr>
              <w:rPr>
                <w:noProof/>
              </w:rPr>
            </w:pPr>
            <w:r w:rsidRPr="42911850">
              <w:rPr>
                <w:rFonts w:ascii="Calibri" w:eastAsia="Calibri" w:hAnsi="Calibri" w:cs="Calibri"/>
                <w:noProof/>
                <w:sz w:val="16"/>
                <w:szCs w:val="16"/>
              </w:rPr>
              <w:t xml:space="preserve">No reporting, late reporting, on purpose wrong reporting and partial reporting are all explicitly mentioned as punishable. </w:t>
            </w:r>
          </w:p>
          <w:p w14:paraId="7074AFE5" w14:textId="1C0389E4" w:rsidR="42911850" w:rsidRDefault="42911850">
            <w:pPr>
              <w:rPr>
                <w:noProof/>
              </w:rPr>
            </w:pPr>
            <w:r w:rsidRPr="42911850">
              <w:rPr>
                <w:rFonts w:ascii="Calibri" w:eastAsia="Calibri" w:hAnsi="Calibri" w:cs="Calibri"/>
                <w:noProof/>
                <w:sz w:val="16"/>
                <w:szCs w:val="16"/>
              </w:rPr>
              <w:t xml:space="preserve">No difference is made between legal and natural persons for the purpose of application of penalties </w:t>
            </w:r>
          </w:p>
          <w:p w14:paraId="3932FA46" w14:textId="002B4E05" w:rsidR="42911850" w:rsidRDefault="42911850">
            <w:pPr>
              <w:rPr>
                <w:noProof/>
              </w:rPr>
            </w:pPr>
            <w:r w:rsidRPr="42911850">
              <w:rPr>
                <w:rFonts w:ascii="Calibri" w:eastAsia="Calibri" w:hAnsi="Calibri" w:cs="Calibri"/>
                <w:noProof/>
                <w:sz w:val="16"/>
                <w:szCs w:val="16"/>
              </w:rPr>
              <w:t>The fine must be proportionate to the seriousness of the offence.</w:t>
            </w:r>
          </w:p>
          <w:p w14:paraId="6346B084" w14:textId="6079BAEA"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321105CA" w14:textId="1C5DFA75" w:rsidR="42911850" w:rsidRDefault="42911850">
            <w:pPr>
              <w:rPr>
                <w:noProof/>
              </w:rPr>
            </w:pPr>
            <w:r w:rsidRPr="42911850">
              <w:rPr>
                <w:rFonts w:ascii="Calibri" w:eastAsia="Calibri" w:hAnsi="Calibri" w:cs="Calibri"/>
                <w:noProof/>
                <w:sz w:val="16"/>
                <w:szCs w:val="16"/>
              </w:rPr>
              <w:t>No minimum</w:t>
            </w:r>
          </w:p>
        </w:tc>
        <w:tc>
          <w:tcPr>
            <w:tcW w:w="2175" w:type="dxa"/>
            <w:tcBorders>
              <w:top w:val="single" w:sz="8" w:space="0" w:color="auto"/>
              <w:left w:val="single" w:sz="8" w:space="0" w:color="auto"/>
              <w:bottom w:val="single" w:sz="8" w:space="0" w:color="auto"/>
              <w:right w:val="single" w:sz="8" w:space="0" w:color="auto"/>
            </w:tcBorders>
          </w:tcPr>
          <w:p w14:paraId="7BB95EDD" w14:textId="4D34B425" w:rsidR="42911850" w:rsidRDefault="42911850">
            <w:pPr>
              <w:rPr>
                <w:noProof/>
              </w:rPr>
            </w:pPr>
            <w:r w:rsidRPr="42911850">
              <w:rPr>
                <w:rFonts w:ascii="Calibri" w:eastAsia="Calibri" w:hAnsi="Calibri" w:cs="Calibri"/>
                <w:noProof/>
                <w:sz w:val="18"/>
                <w:szCs w:val="18"/>
              </w:rPr>
              <w:t>Maximum EUR 21.750</w:t>
            </w:r>
          </w:p>
          <w:p w14:paraId="5510F226" w14:textId="0D4E8D40" w:rsidR="42911850" w:rsidRDefault="42911850">
            <w:pPr>
              <w:rPr>
                <w:noProof/>
              </w:rPr>
            </w:pPr>
            <w:r w:rsidRPr="42911850">
              <w:rPr>
                <w:rFonts w:ascii="Calibri" w:eastAsia="Calibri" w:hAnsi="Calibri" w:cs="Calibri"/>
                <w:noProof/>
                <w:sz w:val="18"/>
                <w:szCs w:val="18"/>
              </w:rPr>
              <w:t xml:space="preserve"> </w:t>
            </w:r>
          </w:p>
        </w:tc>
      </w:tr>
      <w:tr w:rsidR="42911850" w14:paraId="779E6A2C" w14:textId="77777777" w:rsidTr="42911850">
        <w:trPr>
          <w:trHeight w:val="45"/>
        </w:trPr>
        <w:tc>
          <w:tcPr>
            <w:tcW w:w="638" w:type="dxa"/>
            <w:vMerge/>
            <w:tcBorders>
              <w:left w:val="single" w:sz="0" w:space="0" w:color="auto"/>
              <w:right w:val="single" w:sz="0" w:space="0" w:color="auto"/>
            </w:tcBorders>
            <w:vAlign w:val="center"/>
          </w:tcPr>
          <w:p w14:paraId="39AFFA73"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6438951C" w14:textId="28754804" w:rsidR="42911850" w:rsidRDefault="42911850">
            <w:pPr>
              <w:rPr>
                <w:noProof/>
              </w:rPr>
            </w:pPr>
            <w:r w:rsidRPr="42911850">
              <w:rPr>
                <w:rFonts w:ascii="Calibri" w:eastAsia="Calibri" w:hAnsi="Calibri" w:cs="Calibri"/>
                <w:noProof/>
                <w:sz w:val="16"/>
                <w:szCs w:val="16"/>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0038F914" w14:textId="45477A9A" w:rsidR="42911850" w:rsidRDefault="42911850">
            <w:pPr>
              <w:rPr>
                <w:noProof/>
              </w:rPr>
            </w:pPr>
            <w:r w:rsidRPr="42911850">
              <w:rPr>
                <w:rFonts w:ascii="Calibri" w:eastAsia="Calibri" w:hAnsi="Calibri" w:cs="Calibri"/>
                <w:noProof/>
                <w:sz w:val="16"/>
                <w:szCs w:val="16"/>
              </w:rPr>
              <w:t xml:space="preserve">No reporting, late reporting, on purpose wrong reporting and partial reporting are all explicitly mentioned as punishable. </w:t>
            </w:r>
          </w:p>
          <w:p w14:paraId="09A8138D" w14:textId="7D126A38" w:rsidR="42911850" w:rsidRDefault="42911850">
            <w:pPr>
              <w:rPr>
                <w:noProof/>
              </w:rPr>
            </w:pPr>
            <w:r w:rsidRPr="42911850">
              <w:rPr>
                <w:rFonts w:ascii="Calibri" w:eastAsia="Calibri" w:hAnsi="Calibri" w:cs="Calibri"/>
                <w:noProof/>
                <w:sz w:val="16"/>
                <w:szCs w:val="16"/>
              </w:rPr>
              <w:t xml:space="preserve">No difference is made between legal and natural persons for the purpose of application of penalties </w:t>
            </w:r>
          </w:p>
          <w:p w14:paraId="0D826567" w14:textId="11FFD411" w:rsidR="42911850" w:rsidRDefault="42911850">
            <w:pPr>
              <w:rPr>
                <w:noProof/>
              </w:rPr>
            </w:pPr>
            <w:r w:rsidRPr="42911850">
              <w:rPr>
                <w:rFonts w:ascii="Calibri" w:eastAsia="Calibri" w:hAnsi="Calibri" w:cs="Calibri"/>
                <w:noProof/>
                <w:sz w:val="16"/>
                <w:szCs w:val="16"/>
              </w:rPr>
              <w:t>The fine must be proportionate to the seriousness of the offence.</w:t>
            </w:r>
          </w:p>
          <w:p w14:paraId="7BBDF19D" w14:textId="4916910F"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3B47FEFF" w14:textId="04EBE3EF" w:rsidR="42911850" w:rsidRDefault="42911850">
            <w:pPr>
              <w:rPr>
                <w:noProof/>
              </w:rPr>
            </w:pPr>
            <w:r w:rsidRPr="42911850">
              <w:rPr>
                <w:rFonts w:ascii="Calibri" w:eastAsia="Calibri" w:hAnsi="Calibri" w:cs="Calibri"/>
                <w:noProof/>
                <w:sz w:val="16"/>
                <w:szCs w:val="16"/>
              </w:rPr>
              <w:t>No minimum</w:t>
            </w:r>
          </w:p>
        </w:tc>
        <w:tc>
          <w:tcPr>
            <w:tcW w:w="2175" w:type="dxa"/>
            <w:tcBorders>
              <w:top w:val="single" w:sz="8" w:space="0" w:color="auto"/>
              <w:left w:val="single" w:sz="8" w:space="0" w:color="auto"/>
              <w:bottom w:val="single" w:sz="8" w:space="0" w:color="auto"/>
              <w:right w:val="single" w:sz="8" w:space="0" w:color="auto"/>
            </w:tcBorders>
          </w:tcPr>
          <w:p w14:paraId="5A7D0FBD" w14:textId="737FF04B" w:rsidR="42911850" w:rsidRDefault="42911850">
            <w:pPr>
              <w:rPr>
                <w:noProof/>
              </w:rPr>
            </w:pPr>
            <w:r w:rsidRPr="42911850">
              <w:rPr>
                <w:rFonts w:ascii="Calibri" w:eastAsia="Calibri" w:hAnsi="Calibri" w:cs="Calibri"/>
                <w:noProof/>
                <w:sz w:val="18"/>
                <w:szCs w:val="18"/>
              </w:rPr>
              <w:t>Maximum EUR 870.000</w:t>
            </w:r>
          </w:p>
        </w:tc>
      </w:tr>
      <w:tr w:rsidR="42911850" w14:paraId="64B4228C"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6D08A8A9"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6AF37632" w14:textId="372F9F45" w:rsidR="42911850" w:rsidRDefault="42911850">
            <w:pPr>
              <w:rPr>
                <w:noProof/>
              </w:rPr>
            </w:pPr>
            <w:r w:rsidRPr="42911850">
              <w:rPr>
                <w:rFonts w:ascii="Calibri" w:eastAsia="Calibri" w:hAnsi="Calibri" w:cs="Calibri"/>
                <w:noProof/>
                <w:sz w:val="16"/>
                <w:szCs w:val="16"/>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78CFF126" w14:textId="54A5C59A" w:rsidR="42911850" w:rsidRDefault="42911850">
            <w:pPr>
              <w:rPr>
                <w:noProof/>
              </w:rPr>
            </w:pPr>
            <w:r w:rsidRPr="42911850">
              <w:rPr>
                <w:rFonts w:ascii="Calibri" w:eastAsia="Calibri" w:hAnsi="Calibri" w:cs="Calibri"/>
                <w:noProof/>
                <w:sz w:val="16"/>
                <w:szCs w:val="16"/>
              </w:rPr>
              <w:t xml:space="preserve">No reporting, late reporting, on purpose wrong reporting and partial reporting are all explicitly mentioned as punishable. </w:t>
            </w:r>
          </w:p>
          <w:p w14:paraId="17C50469" w14:textId="275A294F" w:rsidR="42911850" w:rsidRDefault="42911850">
            <w:pPr>
              <w:rPr>
                <w:noProof/>
              </w:rPr>
            </w:pPr>
            <w:r w:rsidRPr="42911850">
              <w:rPr>
                <w:rFonts w:ascii="Calibri" w:eastAsia="Calibri" w:hAnsi="Calibri" w:cs="Calibri"/>
                <w:noProof/>
                <w:sz w:val="16"/>
                <w:szCs w:val="16"/>
              </w:rPr>
              <w:t xml:space="preserve">No difference is made between legal and natural persons for the purpose of application of penalties </w:t>
            </w:r>
          </w:p>
          <w:p w14:paraId="77241F1E" w14:textId="41840BE9" w:rsidR="42911850" w:rsidRDefault="42911850">
            <w:pPr>
              <w:rPr>
                <w:noProof/>
              </w:rPr>
            </w:pPr>
            <w:r w:rsidRPr="42911850">
              <w:rPr>
                <w:rFonts w:ascii="Calibri" w:eastAsia="Calibri" w:hAnsi="Calibri" w:cs="Calibri"/>
                <w:noProof/>
                <w:sz w:val="16"/>
                <w:szCs w:val="16"/>
              </w:rPr>
              <w:t>The fine must be proportionate to the seriousness of the offence.</w:t>
            </w:r>
          </w:p>
          <w:p w14:paraId="142E8C47" w14:textId="58C320AF" w:rsidR="42911850" w:rsidRDefault="42911850">
            <w:pPr>
              <w:rPr>
                <w:noProof/>
              </w:rPr>
            </w:pPr>
            <w:r w:rsidRPr="42911850">
              <w:rPr>
                <w:rFonts w:ascii="Calibri" w:eastAsia="Calibri" w:hAnsi="Calibri" w:cs="Calibri"/>
                <w:noProof/>
                <w:sz w:val="16"/>
                <w:szCs w:val="16"/>
              </w:rPr>
              <w:t>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77FDF2B2" w14:textId="4F4418E0" w:rsidR="42911850" w:rsidRDefault="42911850">
            <w:pPr>
              <w:rPr>
                <w:noProof/>
              </w:rPr>
            </w:pPr>
            <w:r w:rsidRPr="42911850">
              <w:rPr>
                <w:rFonts w:ascii="Calibri" w:eastAsia="Calibri" w:hAnsi="Calibri" w:cs="Calibri"/>
                <w:noProof/>
                <w:sz w:val="16"/>
                <w:szCs w:val="16"/>
              </w:rPr>
              <w:t>No minimum</w:t>
            </w:r>
          </w:p>
        </w:tc>
        <w:tc>
          <w:tcPr>
            <w:tcW w:w="2175" w:type="dxa"/>
            <w:tcBorders>
              <w:top w:val="single" w:sz="8" w:space="0" w:color="auto"/>
              <w:left w:val="single" w:sz="8" w:space="0" w:color="auto"/>
              <w:bottom w:val="single" w:sz="8" w:space="0" w:color="auto"/>
              <w:right w:val="single" w:sz="8" w:space="0" w:color="auto"/>
            </w:tcBorders>
          </w:tcPr>
          <w:p w14:paraId="2D102CF6" w14:textId="5387FCCD" w:rsidR="42911850" w:rsidRDefault="42911850">
            <w:pPr>
              <w:rPr>
                <w:noProof/>
              </w:rPr>
            </w:pPr>
            <w:r w:rsidRPr="42911850">
              <w:rPr>
                <w:rFonts w:ascii="Calibri" w:eastAsia="Calibri" w:hAnsi="Calibri" w:cs="Calibri"/>
                <w:noProof/>
                <w:sz w:val="18"/>
                <w:szCs w:val="18"/>
              </w:rPr>
              <w:t>Maximum EUR 870.000</w:t>
            </w:r>
          </w:p>
        </w:tc>
      </w:tr>
      <w:tr w:rsidR="42911850" w14:paraId="0441E42F"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5204D18D" w14:textId="3AFBCDE8" w:rsidR="42911850" w:rsidRDefault="42911850">
            <w:pPr>
              <w:rPr>
                <w:noProof/>
              </w:rPr>
            </w:pPr>
            <w:r w:rsidRPr="42911850">
              <w:rPr>
                <w:rFonts w:ascii="Calibri" w:eastAsia="Calibri" w:hAnsi="Calibri" w:cs="Calibri"/>
                <w:b/>
                <w:bCs/>
                <w:noProof/>
                <w:sz w:val="18"/>
                <w:szCs w:val="18"/>
              </w:rPr>
              <w:t>PL</w:t>
            </w:r>
          </w:p>
        </w:tc>
        <w:tc>
          <w:tcPr>
            <w:tcW w:w="1025" w:type="dxa"/>
            <w:tcBorders>
              <w:top w:val="single" w:sz="8" w:space="0" w:color="auto"/>
              <w:left w:val="single" w:sz="8" w:space="0" w:color="auto"/>
              <w:bottom w:val="single" w:sz="8" w:space="0" w:color="auto"/>
              <w:right w:val="single" w:sz="8" w:space="0" w:color="auto"/>
            </w:tcBorders>
          </w:tcPr>
          <w:p w14:paraId="42B45EEA" w14:textId="4B6B428D"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547091A4" w14:textId="21F28C14" w:rsidR="42911850" w:rsidRDefault="42911850">
            <w:pPr>
              <w:rPr>
                <w:noProof/>
              </w:rPr>
            </w:pPr>
            <w:r w:rsidRPr="42911850">
              <w:rPr>
                <w:rFonts w:ascii="Calibri" w:eastAsia="Calibri" w:hAnsi="Calibri" w:cs="Calibri"/>
                <w:noProof/>
                <w:sz w:val="18"/>
                <w:szCs w:val="18"/>
              </w:rPr>
              <w:t xml:space="preserve">Incorrectness of reporting by the obliged financial institution: </w:t>
            </w:r>
          </w:p>
          <w:p w14:paraId="794AC53F" w14:textId="460D7D48" w:rsidR="42911850" w:rsidRDefault="42911850" w:rsidP="00AE537F">
            <w:pPr>
              <w:pStyle w:val="ListParagraph"/>
              <w:numPr>
                <w:ilvl w:val="0"/>
                <w:numId w:val="15"/>
              </w:numPr>
              <w:rPr>
                <w:rFonts w:eastAsiaTheme="minorEastAsia"/>
                <w:noProof/>
                <w:sz w:val="18"/>
                <w:szCs w:val="18"/>
              </w:rPr>
            </w:pPr>
            <w:r w:rsidRPr="42911850">
              <w:rPr>
                <w:noProof/>
                <w:sz w:val="18"/>
                <w:szCs w:val="18"/>
              </w:rPr>
              <w:t>no strict differentiation between various types of incorrectness, but</w:t>
            </w:r>
          </w:p>
          <w:p w14:paraId="586F548E" w14:textId="785C533C" w:rsidR="42911850" w:rsidRDefault="42911850" w:rsidP="00AE537F">
            <w:pPr>
              <w:pStyle w:val="ListParagraph"/>
              <w:numPr>
                <w:ilvl w:val="0"/>
                <w:numId w:val="15"/>
              </w:numPr>
              <w:rPr>
                <w:rFonts w:eastAsiaTheme="minorEastAsia"/>
                <w:noProof/>
                <w:sz w:val="18"/>
                <w:szCs w:val="18"/>
              </w:rPr>
            </w:pPr>
            <w:r w:rsidRPr="42911850">
              <w:rPr>
                <w:noProof/>
                <w:sz w:val="18"/>
                <w:szCs w:val="18"/>
              </w:rPr>
              <w:t>the gravity of incorrectness should be considered in determination of the penalty</w:t>
            </w:r>
          </w:p>
        </w:tc>
        <w:tc>
          <w:tcPr>
            <w:tcW w:w="1757" w:type="dxa"/>
            <w:tcBorders>
              <w:top w:val="single" w:sz="8" w:space="0" w:color="auto"/>
              <w:left w:val="single" w:sz="8" w:space="0" w:color="auto"/>
              <w:bottom w:val="single" w:sz="8" w:space="0" w:color="auto"/>
              <w:right w:val="single" w:sz="8" w:space="0" w:color="auto"/>
            </w:tcBorders>
          </w:tcPr>
          <w:p w14:paraId="1F9F62F7" w14:textId="20D6ECEF" w:rsidR="42911850" w:rsidRDefault="42911850">
            <w:pPr>
              <w:rPr>
                <w:noProof/>
              </w:rPr>
            </w:pPr>
            <w:r w:rsidRPr="42911850">
              <w:rPr>
                <w:rFonts w:ascii="Calibri" w:eastAsia="Calibri" w:hAnsi="Calibri" w:cs="Calibri"/>
                <w:noProof/>
                <w:sz w:val="18"/>
                <w:szCs w:val="18"/>
              </w:rPr>
              <w:t>No minimum amount</w:t>
            </w:r>
          </w:p>
        </w:tc>
        <w:tc>
          <w:tcPr>
            <w:tcW w:w="2175" w:type="dxa"/>
            <w:tcBorders>
              <w:top w:val="single" w:sz="8" w:space="0" w:color="auto"/>
              <w:left w:val="single" w:sz="8" w:space="0" w:color="auto"/>
              <w:bottom w:val="single" w:sz="8" w:space="0" w:color="auto"/>
              <w:right w:val="single" w:sz="8" w:space="0" w:color="auto"/>
            </w:tcBorders>
          </w:tcPr>
          <w:p w14:paraId="777568E3" w14:textId="7A8CFCD0" w:rsidR="42911850" w:rsidRDefault="42911850">
            <w:pPr>
              <w:rPr>
                <w:noProof/>
              </w:rPr>
            </w:pPr>
            <w:r w:rsidRPr="42911850">
              <w:rPr>
                <w:rFonts w:ascii="Calibri" w:eastAsia="Calibri" w:hAnsi="Calibri" w:cs="Calibri"/>
                <w:noProof/>
                <w:sz w:val="18"/>
                <w:szCs w:val="18"/>
              </w:rPr>
              <w:t>Administrative penalty up to PLN 1,000,000 (EUR 217,850)</w:t>
            </w:r>
          </w:p>
        </w:tc>
      </w:tr>
      <w:tr w:rsidR="42911850" w14:paraId="31BD47A3" w14:textId="77777777" w:rsidTr="42911850">
        <w:trPr>
          <w:trHeight w:val="45"/>
        </w:trPr>
        <w:tc>
          <w:tcPr>
            <w:tcW w:w="638" w:type="dxa"/>
            <w:vMerge/>
            <w:tcBorders>
              <w:left w:val="single" w:sz="0" w:space="0" w:color="auto"/>
              <w:right w:val="single" w:sz="0" w:space="0" w:color="auto"/>
            </w:tcBorders>
            <w:vAlign w:val="center"/>
          </w:tcPr>
          <w:p w14:paraId="7CEADD2C"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2153F2FD" w14:textId="69A375AA"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4BF06528" w14:textId="72BD149D" w:rsidR="42911850" w:rsidRDefault="42911850">
            <w:pPr>
              <w:rPr>
                <w:noProof/>
              </w:rPr>
            </w:pPr>
            <w:r w:rsidRPr="42911850">
              <w:rPr>
                <w:rFonts w:ascii="Calibri" w:eastAsia="Calibri" w:hAnsi="Calibri" w:cs="Calibri"/>
                <w:noProof/>
                <w:sz w:val="18"/>
                <w:szCs w:val="18"/>
              </w:rPr>
              <w:t xml:space="preserve">Incorrectness of reporting by the obliged taxpayer: </w:t>
            </w:r>
          </w:p>
          <w:p w14:paraId="72797AD4" w14:textId="0168F5E1" w:rsidR="42911850" w:rsidRDefault="42911850" w:rsidP="00AE537F">
            <w:pPr>
              <w:pStyle w:val="ListParagraph"/>
              <w:numPr>
                <w:ilvl w:val="0"/>
                <w:numId w:val="15"/>
              </w:numPr>
              <w:rPr>
                <w:rFonts w:eastAsiaTheme="minorEastAsia"/>
                <w:noProof/>
                <w:sz w:val="18"/>
                <w:szCs w:val="18"/>
              </w:rPr>
            </w:pPr>
            <w:r w:rsidRPr="42911850">
              <w:rPr>
                <w:noProof/>
                <w:sz w:val="18"/>
                <w:szCs w:val="18"/>
              </w:rPr>
              <w:t>no strict differentiation between various types of incorrectness, but</w:t>
            </w:r>
          </w:p>
          <w:p w14:paraId="3B871E5B" w14:textId="3C66171E" w:rsidR="42911850" w:rsidRDefault="42911850" w:rsidP="00AE537F">
            <w:pPr>
              <w:pStyle w:val="ListParagraph"/>
              <w:numPr>
                <w:ilvl w:val="0"/>
                <w:numId w:val="15"/>
              </w:numPr>
              <w:rPr>
                <w:rFonts w:eastAsiaTheme="minorEastAsia"/>
                <w:noProof/>
                <w:sz w:val="18"/>
                <w:szCs w:val="18"/>
              </w:rPr>
            </w:pPr>
            <w:r w:rsidRPr="42911850">
              <w:rPr>
                <w:noProof/>
                <w:sz w:val="18"/>
                <w:szCs w:val="18"/>
              </w:rPr>
              <w:t>the gravity of incorrectness should be considered in determination of the penalty</w:t>
            </w:r>
          </w:p>
          <w:p w14:paraId="7E4F693F" w14:textId="2580E94B"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04BE4C9F" w14:textId="26A28A8D" w:rsidR="42911850" w:rsidRDefault="42911850">
            <w:pPr>
              <w:rPr>
                <w:noProof/>
              </w:rPr>
            </w:pPr>
            <w:r w:rsidRPr="42911850">
              <w:rPr>
                <w:rFonts w:ascii="Calibri" w:eastAsia="Calibri" w:hAnsi="Calibri" w:cs="Calibri"/>
                <w:noProof/>
                <w:sz w:val="18"/>
                <w:szCs w:val="18"/>
              </w:rPr>
              <w:t>No minimum amount</w:t>
            </w:r>
          </w:p>
        </w:tc>
        <w:tc>
          <w:tcPr>
            <w:tcW w:w="2175" w:type="dxa"/>
            <w:tcBorders>
              <w:top w:val="single" w:sz="8" w:space="0" w:color="auto"/>
              <w:left w:val="single" w:sz="8" w:space="0" w:color="auto"/>
              <w:bottom w:val="single" w:sz="8" w:space="0" w:color="auto"/>
              <w:right w:val="single" w:sz="8" w:space="0" w:color="auto"/>
            </w:tcBorders>
          </w:tcPr>
          <w:p w14:paraId="04C9A3CA" w14:textId="20BA6439" w:rsidR="42911850" w:rsidRDefault="42911850">
            <w:pPr>
              <w:rPr>
                <w:noProof/>
              </w:rPr>
            </w:pPr>
            <w:r w:rsidRPr="42911850">
              <w:rPr>
                <w:rFonts w:ascii="Calibri" w:eastAsia="Calibri" w:hAnsi="Calibri" w:cs="Calibri"/>
                <w:noProof/>
                <w:sz w:val="18"/>
                <w:szCs w:val="18"/>
              </w:rPr>
              <w:t>Administrative penalty up to PLN 1,000,000 (EUR 217,850)</w:t>
            </w:r>
          </w:p>
          <w:p w14:paraId="2CAA2EED" w14:textId="465E129E" w:rsidR="42911850" w:rsidRDefault="42911850">
            <w:pPr>
              <w:rPr>
                <w:noProof/>
              </w:rPr>
            </w:pPr>
            <w:r w:rsidRPr="42911850">
              <w:rPr>
                <w:rFonts w:ascii="Calibri" w:eastAsia="Calibri" w:hAnsi="Calibri" w:cs="Calibri"/>
                <w:noProof/>
                <w:sz w:val="18"/>
                <w:szCs w:val="18"/>
              </w:rPr>
              <w:t xml:space="preserve"> </w:t>
            </w:r>
          </w:p>
        </w:tc>
      </w:tr>
      <w:tr w:rsidR="42911850" w14:paraId="02FD1A6E"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30ED6C82"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3FDCB108" w14:textId="161A6F03"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05E10A1C" w14:textId="769A7C41" w:rsidR="42911850" w:rsidRDefault="42911850">
            <w:pPr>
              <w:rPr>
                <w:noProof/>
              </w:rPr>
            </w:pPr>
            <w:r w:rsidRPr="42911850">
              <w:rPr>
                <w:rFonts w:ascii="Calibri" w:eastAsia="Calibri" w:hAnsi="Calibri" w:cs="Calibri"/>
                <w:noProof/>
                <w:sz w:val="18"/>
                <w:szCs w:val="18"/>
              </w:rPr>
              <w:t>Two types of incorrectness:</w:t>
            </w:r>
          </w:p>
          <w:p w14:paraId="6BCD8521" w14:textId="56998CB7" w:rsidR="42911850" w:rsidRDefault="42911850">
            <w:pPr>
              <w:rPr>
                <w:noProof/>
              </w:rPr>
            </w:pPr>
            <w:r w:rsidRPr="42911850">
              <w:rPr>
                <w:rFonts w:ascii="Calibri" w:eastAsia="Calibri" w:hAnsi="Calibri" w:cs="Calibri"/>
                <w:noProof/>
                <w:sz w:val="18"/>
                <w:szCs w:val="18"/>
              </w:rPr>
              <w:t>1) “Qualified form” for promotors (advisers) of the schemes who have more than PLN 8,000,000 revenue from tax advisory services (EUR 1,740,000) - who are obliged to establish internal procedure ensuring correct implementation of MDR and failed to do so,</w:t>
            </w:r>
          </w:p>
          <w:p w14:paraId="244956F8" w14:textId="4497F61F" w:rsidR="42911850" w:rsidRDefault="42911850">
            <w:pPr>
              <w:rPr>
                <w:noProof/>
              </w:rPr>
            </w:pPr>
            <w:r w:rsidRPr="42911850">
              <w:rPr>
                <w:rFonts w:ascii="Calibri" w:eastAsia="Calibri" w:hAnsi="Calibri" w:cs="Calibri"/>
                <w:noProof/>
                <w:sz w:val="18"/>
                <w:szCs w:val="18"/>
              </w:rPr>
              <w:t xml:space="preserve"> </w:t>
            </w:r>
          </w:p>
          <w:p w14:paraId="6B97D330" w14:textId="37F5CDBF" w:rsidR="42911850" w:rsidRDefault="42911850">
            <w:pPr>
              <w:rPr>
                <w:noProof/>
              </w:rPr>
            </w:pPr>
            <w:r w:rsidRPr="42911850">
              <w:rPr>
                <w:rFonts w:ascii="Calibri" w:eastAsia="Calibri" w:hAnsi="Calibri" w:cs="Calibri"/>
                <w:noProof/>
                <w:sz w:val="18"/>
                <w:szCs w:val="18"/>
              </w:rPr>
              <w:t xml:space="preserve"> </w:t>
            </w:r>
          </w:p>
          <w:p w14:paraId="51E1DC9F" w14:textId="72A17E2B" w:rsidR="42911850" w:rsidRDefault="42911850">
            <w:pPr>
              <w:rPr>
                <w:noProof/>
              </w:rPr>
            </w:pPr>
            <w:r w:rsidRPr="42911850">
              <w:rPr>
                <w:rFonts w:ascii="Calibri" w:eastAsia="Calibri" w:hAnsi="Calibri" w:cs="Calibri"/>
                <w:noProof/>
                <w:sz w:val="18"/>
                <w:szCs w:val="18"/>
              </w:rPr>
              <w:t xml:space="preserve"> </w:t>
            </w:r>
          </w:p>
          <w:p w14:paraId="5FFE1F20" w14:textId="6DA0D571" w:rsidR="42911850" w:rsidRDefault="42911850">
            <w:pPr>
              <w:rPr>
                <w:noProof/>
              </w:rPr>
            </w:pPr>
            <w:r w:rsidRPr="42911850">
              <w:rPr>
                <w:rFonts w:ascii="Calibri" w:eastAsia="Calibri" w:hAnsi="Calibri" w:cs="Calibri"/>
                <w:noProof/>
                <w:sz w:val="18"/>
                <w:szCs w:val="18"/>
              </w:rPr>
              <w:t>2) Any other incorrectness in reporting (no personal distinctions)</w:t>
            </w:r>
          </w:p>
        </w:tc>
        <w:tc>
          <w:tcPr>
            <w:tcW w:w="1757" w:type="dxa"/>
            <w:tcBorders>
              <w:top w:val="single" w:sz="8" w:space="0" w:color="auto"/>
              <w:left w:val="single" w:sz="8" w:space="0" w:color="auto"/>
              <w:bottom w:val="single" w:sz="8" w:space="0" w:color="auto"/>
              <w:right w:val="single" w:sz="8" w:space="0" w:color="auto"/>
            </w:tcBorders>
          </w:tcPr>
          <w:p w14:paraId="26AAB2C5" w14:textId="5D31C74F" w:rsidR="42911850" w:rsidRDefault="42911850">
            <w:pPr>
              <w:rPr>
                <w:noProof/>
              </w:rPr>
            </w:pPr>
            <w:r w:rsidRPr="42911850">
              <w:rPr>
                <w:rFonts w:ascii="Calibri" w:eastAsia="Calibri" w:hAnsi="Calibri" w:cs="Calibri"/>
                <w:noProof/>
                <w:sz w:val="18"/>
                <w:szCs w:val="18"/>
              </w:rPr>
              <w:t xml:space="preserve"> </w:t>
            </w:r>
          </w:p>
          <w:p w14:paraId="715E538A" w14:textId="562124CB" w:rsidR="42911850" w:rsidRDefault="42911850">
            <w:pPr>
              <w:rPr>
                <w:noProof/>
              </w:rPr>
            </w:pPr>
            <w:r w:rsidRPr="42911850">
              <w:rPr>
                <w:rFonts w:ascii="Calibri" w:eastAsia="Calibri" w:hAnsi="Calibri" w:cs="Calibri"/>
                <w:noProof/>
                <w:sz w:val="18"/>
                <w:szCs w:val="18"/>
              </w:rPr>
              <w:t>No minimum amount</w:t>
            </w:r>
          </w:p>
          <w:p w14:paraId="0A2A33FE" w14:textId="04FF15A5" w:rsidR="42911850" w:rsidRDefault="42911850">
            <w:pPr>
              <w:rPr>
                <w:noProof/>
              </w:rPr>
            </w:pPr>
            <w:r w:rsidRPr="42911850">
              <w:rPr>
                <w:rFonts w:ascii="Calibri" w:eastAsia="Calibri" w:hAnsi="Calibri" w:cs="Calibri"/>
                <w:noProof/>
                <w:sz w:val="18"/>
                <w:szCs w:val="18"/>
              </w:rPr>
              <w:t xml:space="preserve"> </w:t>
            </w:r>
          </w:p>
          <w:p w14:paraId="1E93EBBD" w14:textId="19A953EC" w:rsidR="42911850" w:rsidRDefault="42911850">
            <w:pPr>
              <w:rPr>
                <w:noProof/>
              </w:rPr>
            </w:pPr>
            <w:r w:rsidRPr="42911850">
              <w:rPr>
                <w:rFonts w:ascii="Calibri" w:eastAsia="Calibri" w:hAnsi="Calibri" w:cs="Calibri"/>
                <w:noProof/>
                <w:sz w:val="18"/>
                <w:szCs w:val="18"/>
              </w:rPr>
              <w:t xml:space="preserve"> </w:t>
            </w:r>
          </w:p>
          <w:p w14:paraId="2A1356B7" w14:textId="30DCB73E" w:rsidR="42911850" w:rsidRDefault="42911850">
            <w:pPr>
              <w:rPr>
                <w:noProof/>
              </w:rPr>
            </w:pPr>
            <w:r w:rsidRPr="42911850">
              <w:rPr>
                <w:rFonts w:ascii="Calibri" w:eastAsia="Calibri" w:hAnsi="Calibri" w:cs="Calibri"/>
                <w:noProof/>
                <w:sz w:val="18"/>
                <w:szCs w:val="18"/>
              </w:rPr>
              <w:t xml:space="preserve"> </w:t>
            </w:r>
          </w:p>
          <w:p w14:paraId="3C7CCBD7" w14:textId="339EAE0D" w:rsidR="42911850" w:rsidRDefault="42911850">
            <w:pPr>
              <w:rPr>
                <w:noProof/>
              </w:rPr>
            </w:pPr>
            <w:r w:rsidRPr="42911850">
              <w:rPr>
                <w:rFonts w:ascii="Calibri" w:eastAsia="Calibri" w:hAnsi="Calibri" w:cs="Calibri"/>
                <w:noProof/>
                <w:sz w:val="18"/>
                <w:szCs w:val="18"/>
              </w:rPr>
              <w:t xml:space="preserve"> </w:t>
            </w:r>
          </w:p>
          <w:p w14:paraId="048B247D" w14:textId="191919CD" w:rsidR="42911850" w:rsidRDefault="42911850">
            <w:pPr>
              <w:rPr>
                <w:noProof/>
              </w:rPr>
            </w:pPr>
            <w:r w:rsidRPr="42911850">
              <w:rPr>
                <w:rFonts w:ascii="Calibri" w:eastAsia="Calibri" w:hAnsi="Calibri" w:cs="Calibri"/>
                <w:noProof/>
                <w:sz w:val="18"/>
                <w:szCs w:val="18"/>
              </w:rPr>
              <w:t xml:space="preserve"> </w:t>
            </w:r>
          </w:p>
          <w:p w14:paraId="4878B626" w14:textId="378D8994" w:rsidR="42911850" w:rsidRDefault="42911850">
            <w:pPr>
              <w:rPr>
                <w:noProof/>
              </w:rPr>
            </w:pPr>
            <w:r w:rsidRPr="42911850">
              <w:rPr>
                <w:rFonts w:ascii="Calibri" w:eastAsia="Calibri" w:hAnsi="Calibri" w:cs="Calibri"/>
                <w:noProof/>
                <w:sz w:val="18"/>
                <w:szCs w:val="18"/>
              </w:rPr>
              <w:t>No minimum penalty (but see calculation of daily rates)</w:t>
            </w:r>
          </w:p>
          <w:p w14:paraId="524C9E3A" w14:textId="14FDFEA8"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61518B51" w14:textId="3852F48C" w:rsidR="42911850" w:rsidRDefault="42911850">
            <w:pPr>
              <w:rPr>
                <w:noProof/>
              </w:rPr>
            </w:pPr>
            <w:r w:rsidRPr="42911850">
              <w:rPr>
                <w:rFonts w:ascii="Calibri" w:eastAsia="Calibri" w:hAnsi="Calibri" w:cs="Calibri"/>
                <w:noProof/>
                <w:sz w:val="18"/>
                <w:szCs w:val="18"/>
              </w:rPr>
              <w:t xml:space="preserve"> </w:t>
            </w:r>
          </w:p>
          <w:p w14:paraId="16D18EEF" w14:textId="65DC1B73" w:rsidR="42911850" w:rsidRDefault="42911850">
            <w:pPr>
              <w:rPr>
                <w:noProof/>
              </w:rPr>
            </w:pPr>
            <w:r w:rsidRPr="42911850">
              <w:rPr>
                <w:rFonts w:ascii="Calibri" w:eastAsia="Calibri" w:hAnsi="Calibri" w:cs="Calibri"/>
                <w:noProof/>
                <w:sz w:val="18"/>
                <w:szCs w:val="18"/>
              </w:rPr>
              <w:t>1) Administrative penalty up to PLN 2,000,000 (EUR 435,000)</w:t>
            </w:r>
          </w:p>
          <w:p w14:paraId="53017E61" w14:textId="38D2FB54" w:rsidR="42911850" w:rsidRDefault="42911850">
            <w:pPr>
              <w:rPr>
                <w:noProof/>
              </w:rPr>
            </w:pPr>
            <w:r w:rsidRPr="42911850">
              <w:rPr>
                <w:rFonts w:ascii="Calibri" w:eastAsia="Calibri" w:hAnsi="Calibri" w:cs="Calibri"/>
                <w:noProof/>
                <w:sz w:val="18"/>
                <w:szCs w:val="18"/>
              </w:rPr>
              <w:t>The maximum amount may be increased to PLN 10,000,000 (EUR 2,175,000) if the employee was sentenced in a tax criminal case for promoting tax fraud (evasion)</w:t>
            </w:r>
          </w:p>
          <w:p w14:paraId="4328007D" w14:textId="121E6E68" w:rsidR="42911850" w:rsidRDefault="42911850">
            <w:pPr>
              <w:rPr>
                <w:noProof/>
              </w:rPr>
            </w:pPr>
            <w:r w:rsidRPr="42911850">
              <w:rPr>
                <w:rFonts w:ascii="Calibri" w:eastAsia="Calibri" w:hAnsi="Calibri" w:cs="Calibri"/>
                <w:noProof/>
                <w:sz w:val="18"/>
                <w:szCs w:val="18"/>
              </w:rPr>
              <w:t xml:space="preserve"> </w:t>
            </w:r>
          </w:p>
          <w:p w14:paraId="7B00B09B" w14:textId="2C982645" w:rsidR="42911850" w:rsidRDefault="42911850">
            <w:pPr>
              <w:rPr>
                <w:noProof/>
              </w:rPr>
            </w:pPr>
            <w:r w:rsidRPr="42911850">
              <w:rPr>
                <w:rFonts w:ascii="Calibri" w:eastAsia="Calibri" w:hAnsi="Calibri" w:cs="Calibri"/>
                <w:noProof/>
                <w:sz w:val="18"/>
                <w:szCs w:val="18"/>
              </w:rPr>
              <w:t>2) Criminal penalty - fine up to 720 daily rates (1 rate shall be in the brackets: from 1/30 average wages to 400x average brackets)</w:t>
            </w:r>
          </w:p>
          <w:p w14:paraId="370C740F" w14:textId="07710FFA" w:rsidR="42911850" w:rsidRDefault="42911850" w:rsidP="00AE537F">
            <w:pPr>
              <w:pStyle w:val="ListParagraph"/>
              <w:numPr>
                <w:ilvl w:val="0"/>
                <w:numId w:val="14"/>
              </w:numPr>
              <w:rPr>
                <w:rFonts w:eastAsiaTheme="minorEastAsia"/>
                <w:noProof/>
                <w:sz w:val="18"/>
                <w:szCs w:val="18"/>
              </w:rPr>
            </w:pPr>
            <w:r w:rsidRPr="42911850">
              <w:rPr>
                <w:noProof/>
                <w:sz w:val="18"/>
                <w:szCs w:val="18"/>
              </w:rPr>
              <w:t>The average salary in 2021 is PLN 5800 (EUR 1,300).</w:t>
            </w:r>
          </w:p>
        </w:tc>
      </w:tr>
      <w:tr w:rsidR="42911850" w14:paraId="1789CE4A"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3C20507F" w14:textId="09CE9861" w:rsidR="42911850" w:rsidRDefault="42911850">
            <w:pPr>
              <w:rPr>
                <w:noProof/>
              </w:rPr>
            </w:pPr>
            <w:r w:rsidRPr="42911850">
              <w:rPr>
                <w:rFonts w:ascii="Calibri" w:eastAsia="Calibri" w:hAnsi="Calibri" w:cs="Calibri"/>
                <w:b/>
                <w:bCs/>
                <w:noProof/>
                <w:sz w:val="18"/>
                <w:szCs w:val="18"/>
              </w:rPr>
              <w:t>PT</w:t>
            </w:r>
          </w:p>
        </w:tc>
        <w:tc>
          <w:tcPr>
            <w:tcW w:w="1025" w:type="dxa"/>
            <w:tcBorders>
              <w:top w:val="single" w:sz="8" w:space="0" w:color="auto"/>
              <w:left w:val="single" w:sz="8" w:space="0" w:color="auto"/>
              <w:bottom w:val="single" w:sz="8" w:space="0" w:color="auto"/>
              <w:right w:val="single" w:sz="8" w:space="0" w:color="auto"/>
            </w:tcBorders>
          </w:tcPr>
          <w:p w14:paraId="6234350A" w14:textId="141101D3"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37759400" w14:textId="5A941D03" w:rsidR="42911850" w:rsidRDefault="42911850">
            <w:pPr>
              <w:rPr>
                <w:noProof/>
              </w:rPr>
            </w:pPr>
            <w:r w:rsidRPr="42911850">
              <w:rPr>
                <w:rFonts w:ascii="Calibri" w:eastAsia="Calibri" w:hAnsi="Calibri" w:cs="Calibri"/>
                <w:noProof/>
                <w:sz w:val="18"/>
                <w:szCs w:val="18"/>
              </w:rPr>
              <w:t xml:space="preserve"> </w:t>
            </w:r>
          </w:p>
          <w:p w14:paraId="52DD433E" w14:textId="11C32269" w:rsidR="42911850" w:rsidRDefault="42911850">
            <w:pPr>
              <w:rPr>
                <w:noProof/>
              </w:rPr>
            </w:pPr>
            <w:r w:rsidRPr="42911850">
              <w:rPr>
                <w:rFonts w:ascii="Calibri" w:eastAsia="Calibri" w:hAnsi="Calibri" w:cs="Calibri"/>
                <w:noProof/>
                <w:sz w:val="18"/>
                <w:szCs w:val="18"/>
              </w:rPr>
              <w:t xml:space="preserve"> </w:t>
            </w:r>
          </w:p>
          <w:p w14:paraId="14CE879F" w14:textId="284C8DED" w:rsidR="42911850" w:rsidRDefault="42911850">
            <w:pPr>
              <w:rPr>
                <w:noProof/>
              </w:rPr>
            </w:pPr>
            <w:r w:rsidRPr="42911850">
              <w:rPr>
                <w:rFonts w:ascii="Calibri" w:eastAsia="Calibri" w:hAnsi="Calibri" w:cs="Calibri"/>
                <w:noProof/>
                <w:sz w:val="18"/>
                <w:szCs w:val="18"/>
              </w:rPr>
              <w:t>Infractions by the financial institutions</w:t>
            </w:r>
          </w:p>
          <w:p w14:paraId="1A6016ED" w14:textId="01471D56" w:rsidR="42911850" w:rsidRDefault="42911850">
            <w:pPr>
              <w:rPr>
                <w:noProof/>
              </w:rPr>
            </w:pPr>
            <w:r w:rsidRPr="42911850">
              <w:rPr>
                <w:rFonts w:ascii="Calibri" w:eastAsia="Calibri" w:hAnsi="Calibri" w:cs="Calibri"/>
                <w:noProof/>
                <w:sz w:val="18"/>
                <w:szCs w:val="18"/>
              </w:rPr>
              <w:t xml:space="preserve"> </w:t>
            </w:r>
          </w:p>
          <w:p w14:paraId="7AFFA7E0" w14:textId="37839AFA" w:rsidR="42911850" w:rsidRDefault="42911850" w:rsidP="00AE537F">
            <w:pPr>
              <w:pStyle w:val="ListParagraph"/>
              <w:numPr>
                <w:ilvl w:val="0"/>
                <w:numId w:val="13"/>
              </w:numPr>
              <w:rPr>
                <w:rFonts w:eastAsiaTheme="minorEastAsia"/>
                <w:noProof/>
                <w:sz w:val="18"/>
                <w:szCs w:val="18"/>
              </w:rPr>
            </w:pPr>
            <w:r w:rsidRPr="42911850">
              <w:rPr>
                <w:noProof/>
                <w:sz w:val="18"/>
                <w:szCs w:val="18"/>
              </w:rPr>
              <w:t>No reporting</w:t>
            </w:r>
          </w:p>
          <w:p w14:paraId="47978EAF" w14:textId="10C92820"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0B630E03" w14:textId="40320967" w:rsidR="42911850" w:rsidRDefault="42911850" w:rsidP="00AE537F">
            <w:pPr>
              <w:pStyle w:val="ListParagraph"/>
              <w:numPr>
                <w:ilvl w:val="0"/>
                <w:numId w:val="13"/>
              </w:numPr>
              <w:rPr>
                <w:rFonts w:eastAsiaTheme="minorEastAsia"/>
                <w:noProof/>
                <w:sz w:val="18"/>
                <w:szCs w:val="18"/>
              </w:rPr>
            </w:pPr>
            <w:r w:rsidRPr="42911850">
              <w:rPr>
                <w:noProof/>
                <w:sz w:val="18"/>
                <w:szCs w:val="18"/>
              </w:rPr>
              <w:t xml:space="preserve"> Late reporting</w:t>
            </w:r>
          </w:p>
          <w:p w14:paraId="146565DF" w14:textId="7FBDB3FD"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64808F82" w14:textId="1E28ADFC" w:rsidR="42911850" w:rsidRDefault="42911850" w:rsidP="00AE537F">
            <w:pPr>
              <w:pStyle w:val="ListParagraph"/>
              <w:numPr>
                <w:ilvl w:val="0"/>
                <w:numId w:val="13"/>
              </w:numPr>
              <w:rPr>
                <w:rFonts w:eastAsiaTheme="minorEastAsia"/>
                <w:noProof/>
                <w:sz w:val="18"/>
                <w:szCs w:val="18"/>
              </w:rPr>
            </w:pPr>
            <w:r w:rsidRPr="42911850">
              <w:rPr>
                <w:noProof/>
                <w:sz w:val="18"/>
                <w:szCs w:val="18"/>
              </w:rPr>
              <w:t xml:space="preserve"> Wrong reporting</w:t>
            </w:r>
          </w:p>
          <w:p w14:paraId="1A060D09" w14:textId="56643C6C"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9D7B3EA" w14:textId="682EDE86" w:rsidR="42911850" w:rsidRDefault="42911850" w:rsidP="00AE537F">
            <w:pPr>
              <w:pStyle w:val="ListParagraph"/>
              <w:numPr>
                <w:ilvl w:val="0"/>
                <w:numId w:val="13"/>
              </w:numPr>
              <w:rPr>
                <w:rFonts w:eastAsiaTheme="minorEastAsia"/>
                <w:noProof/>
                <w:sz w:val="18"/>
                <w:szCs w:val="18"/>
              </w:rPr>
            </w:pPr>
            <w:r w:rsidRPr="42911850">
              <w:rPr>
                <w:noProof/>
                <w:sz w:val="18"/>
                <w:szCs w:val="18"/>
              </w:rPr>
              <w:t xml:space="preserve"> Non-compliance with due diligence procedures</w:t>
            </w:r>
          </w:p>
        </w:tc>
        <w:tc>
          <w:tcPr>
            <w:tcW w:w="1757" w:type="dxa"/>
            <w:tcBorders>
              <w:top w:val="single" w:sz="8" w:space="0" w:color="auto"/>
              <w:left w:val="single" w:sz="8" w:space="0" w:color="auto"/>
              <w:bottom w:val="single" w:sz="8" w:space="0" w:color="auto"/>
              <w:right w:val="single" w:sz="8" w:space="0" w:color="auto"/>
            </w:tcBorders>
          </w:tcPr>
          <w:p w14:paraId="063F0045" w14:textId="2ADE61F9" w:rsidR="42911850" w:rsidRDefault="42911850">
            <w:pPr>
              <w:rPr>
                <w:noProof/>
              </w:rPr>
            </w:pPr>
            <w:r w:rsidRPr="42911850">
              <w:rPr>
                <w:rFonts w:ascii="Calibri" w:eastAsia="Calibri" w:hAnsi="Calibri" w:cs="Calibri"/>
                <w:noProof/>
                <w:sz w:val="18"/>
                <w:szCs w:val="18"/>
              </w:rPr>
              <w:t xml:space="preserve">Sanctions are per single infringement </w:t>
            </w:r>
          </w:p>
          <w:p w14:paraId="41DCCC07" w14:textId="22AD1B30" w:rsidR="42911850" w:rsidRDefault="42911850">
            <w:pPr>
              <w:rPr>
                <w:noProof/>
              </w:rPr>
            </w:pPr>
            <w:r w:rsidRPr="42911850">
              <w:rPr>
                <w:rFonts w:ascii="Calibri" w:eastAsia="Calibri" w:hAnsi="Calibri" w:cs="Calibri"/>
                <w:noProof/>
                <w:sz w:val="18"/>
                <w:szCs w:val="18"/>
              </w:rPr>
              <w:t>Infractions by the financial institutions</w:t>
            </w:r>
          </w:p>
          <w:p w14:paraId="07D88C62" w14:textId="70158CB8" w:rsidR="42911850" w:rsidRDefault="42911850" w:rsidP="00AE537F">
            <w:pPr>
              <w:pStyle w:val="ListParagraph"/>
              <w:numPr>
                <w:ilvl w:val="0"/>
                <w:numId w:val="12"/>
              </w:numPr>
              <w:rPr>
                <w:rFonts w:eastAsiaTheme="minorEastAsia"/>
                <w:noProof/>
                <w:sz w:val="18"/>
                <w:szCs w:val="18"/>
              </w:rPr>
            </w:pPr>
            <w:r w:rsidRPr="42911850">
              <w:rPr>
                <w:noProof/>
                <w:sz w:val="18"/>
                <w:szCs w:val="18"/>
              </w:rPr>
              <w:t>1 000€</w:t>
            </w:r>
          </w:p>
          <w:p w14:paraId="47021289" w14:textId="55A5BBA7"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17F1BE6C" w14:textId="5EFD52BF" w:rsidR="42911850" w:rsidRDefault="42911850" w:rsidP="00AE537F">
            <w:pPr>
              <w:pStyle w:val="ListParagraph"/>
              <w:numPr>
                <w:ilvl w:val="0"/>
                <w:numId w:val="12"/>
              </w:numPr>
              <w:rPr>
                <w:rFonts w:eastAsiaTheme="minorEastAsia"/>
                <w:noProof/>
                <w:sz w:val="18"/>
                <w:szCs w:val="18"/>
              </w:rPr>
            </w:pPr>
            <w:r w:rsidRPr="42911850">
              <w:rPr>
                <w:noProof/>
                <w:sz w:val="18"/>
                <w:szCs w:val="18"/>
              </w:rPr>
              <w:t>1 000€</w:t>
            </w:r>
          </w:p>
          <w:p w14:paraId="075A1926" w14:textId="2CC56FAA"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2CFBC606" w14:textId="59DBD089" w:rsidR="42911850" w:rsidRDefault="42911850" w:rsidP="00AE537F">
            <w:pPr>
              <w:pStyle w:val="ListParagraph"/>
              <w:numPr>
                <w:ilvl w:val="0"/>
                <w:numId w:val="12"/>
              </w:numPr>
              <w:rPr>
                <w:rFonts w:eastAsiaTheme="minorEastAsia"/>
                <w:noProof/>
                <w:sz w:val="18"/>
                <w:szCs w:val="18"/>
              </w:rPr>
            </w:pPr>
            <w:r w:rsidRPr="42911850">
              <w:rPr>
                <w:noProof/>
                <w:sz w:val="18"/>
                <w:szCs w:val="18"/>
              </w:rPr>
              <w:t>500€</w:t>
            </w:r>
          </w:p>
          <w:p w14:paraId="03912C15" w14:textId="3F786740"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4F81912" w14:textId="3722BBE5" w:rsidR="42911850" w:rsidRDefault="42911850" w:rsidP="00AE537F">
            <w:pPr>
              <w:pStyle w:val="ListParagraph"/>
              <w:numPr>
                <w:ilvl w:val="0"/>
                <w:numId w:val="12"/>
              </w:numPr>
              <w:rPr>
                <w:rFonts w:eastAsiaTheme="minorEastAsia"/>
                <w:noProof/>
                <w:sz w:val="18"/>
                <w:szCs w:val="18"/>
              </w:rPr>
            </w:pPr>
            <w:r w:rsidRPr="42911850">
              <w:rPr>
                <w:noProof/>
                <w:sz w:val="18"/>
                <w:szCs w:val="18"/>
              </w:rPr>
              <w:t>500€</w:t>
            </w:r>
          </w:p>
        </w:tc>
        <w:tc>
          <w:tcPr>
            <w:tcW w:w="2175" w:type="dxa"/>
            <w:tcBorders>
              <w:top w:val="single" w:sz="8" w:space="0" w:color="auto"/>
              <w:left w:val="single" w:sz="8" w:space="0" w:color="auto"/>
              <w:bottom w:val="single" w:sz="8" w:space="0" w:color="auto"/>
              <w:right w:val="single" w:sz="8" w:space="0" w:color="auto"/>
            </w:tcBorders>
          </w:tcPr>
          <w:p w14:paraId="5CE57EE5" w14:textId="0604F011" w:rsidR="42911850" w:rsidRDefault="42911850">
            <w:pPr>
              <w:rPr>
                <w:noProof/>
              </w:rPr>
            </w:pPr>
            <w:r w:rsidRPr="42911850">
              <w:rPr>
                <w:rFonts w:ascii="Calibri" w:eastAsia="Calibri" w:hAnsi="Calibri" w:cs="Calibri"/>
                <w:noProof/>
                <w:sz w:val="18"/>
                <w:szCs w:val="18"/>
              </w:rPr>
              <w:t xml:space="preserve"> </w:t>
            </w:r>
          </w:p>
          <w:p w14:paraId="11C37C60" w14:textId="303935F4" w:rsidR="42911850" w:rsidRDefault="42911850">
            <w:pPr>
              <w:rPr>
                <w:noProof/>
              </w:rPr>
            </w:pPr>
            <w:r w:rsidRPr="42911850">
              <w:rPr>
                <w:rFonts w:ascii="Calibri" w:eastAsia="Calibri" w:hAnsi="Calibri" w:cs="Calibri"/>
                <w:noProof/>
                <w:sz w:val="18"/>
                <w:szCs w:val="18"/>
              </w:rPr>
              <w:t xml:space="preserve"> </w:t>
            </w:r>
          </w:p>
          <w:p w14:paraId="7798F1F4" w14:textId="1D510716" w:rsidR="42911850" w:rsidRDefault="42911850">
            <w:pPr>
              <w:rPr>
                <w:noProof/>
              </w:rPr>
            </w:pPr>
            <w:r w:rsidRPr="42911850">
              <w:rPr>
                <w:rFonts w:ascii="Calibri" w:eastAsia="Calibri" w:hAnsi="Calibri" w:cs="Calibri"/>
                <w:noProof/>
                <w:sz w:val="18"/>
                <w:szCs w:val="18"/>
              </w:rPr>
              <w:t>Infractions by the financial institutions</w:t>
            </w:r>
          </w:p>
          <w:p w14:paraId="3F80BBB4" w14:textId="1274451A" w:rsidR="42911850" w:rsidRDefault="42911850" w:rsidP="00AE537F">
            <w:pPr>
              <w:pStyle w:val="ListParagraph"/>
              <w:numPr>
                <w:ilvl w:val="0"/>
                <w:numId w:val="11"/>
              </w:numPr>
              <w:rPr>
                <w:rFonts w:eastAsiaTheme="minorEastAsia"/>
                <w:noProof/>
                <w:sz w:val="18"/>
                <w:szCs w:val="18"/>
              </w:rPr>
            </w:pPr>
            <w:r w:rsidRPr="42911850">
              <w:rPr>
                <w:noProof/>
                <w:sz w:val="18"/>
                <w:szCs w:val="18"/>
              </w:rPr>
              <w:t>45 000€</w:t>
            </w:r>
          </w:p>
          <w:p w14:paraId="73909352" w14:textId="19104672"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6AD31A51" w14:textId="04E90B84" w:rsidR="42911850" w:rsidRDefault="42911850" w:rsidP="00AE537F">
            <w:pPr>
              <w:pStyle w:val="ListParagraph"/>
              <w:numPr>
                <w:ilvl w:val="0"/>
                <w:numId w:val="11"/>
              </w:numPr>
              <w:rPr>
                <w:rFonts w:eastAsiaTheme="minorEastAsia"/>
                <w:noProof/>
                <w:sz w:val="18"/>
                <w:szCs w:val="18"/>
              </w:rPr>
            </w:pPr>
            <w:r w:rsidRPr="42911850">
              <w:rPr>
                <w:noProof/>
                <w:sz w:val="18"/>
                <w:szCs w:val="18"/>
              </w:rPr>
              <w:t>45 000€</w:t>
            </w:r>
          </w:p>
          <w:p w14:paraId="54F12F0B" w14:textId="56F5A785"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054813C6" w14:textId="2DEBC098" w:rsidR="42911850" w:rsidRDefault="42911850" w:rsidP="00AE537F">
            <w:pPr>
              <w:pStyle w:val="ListParagraph"/>
              <w:numPr>
                <w:ilvl w:val="0"/>
                <w:numId w:val="11"/>
              </w:numPr>
              <w:rPr>
                <w:rFonts w:eastAsiaTheme="minorEastAsia"/>
                <w:noProof/>
                <w:sz w:val="18"/>
                <w:szCs w:val="18"/>
              </w:rPr>
            </w:pPr>
            <w:r w:rsidRPr="42911850">
              <w:rPr>
                <w:noProof/>
                <w:sz w:val="18"/>
                <w:szCs w:val="18"/>
              </w:rPr>
              <w:t>22 500€</w:t>
            </w:r>
          </w:p>
          <w:p w14:paraId="3D961BAC" w14:textId="0F15A27C"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3E0DD555" w14:textId="7EAB30E3" w:rsidR="42911850" w:rsidRDefault="42911850" w:rsidP="00AE537F">
            <w:pPr>
              <w:pStyle w:val="ListParagraph"/>
              <w:numPr>
                <w:ilvl w:val="0"/>
                <w:numId w:val="11"/>
              </w:numPr>
              <w:rPr>
                <w:rFonts w:eastAsiaTheme="minorEastAsia"/>
                <w:noProof/>
                <w:sz w:val="18"/>
                <w:szCs w:val="18"/>
              </w:rPr>
            </w:pPr>
            <w:r w:rsidRPr="42911850">
              <w:rPr>
                <w:noProof/>
                <w:sz w:val="18"/>
                <w:szCs w:val="18"/>
              </w:rPr>
              <w:t>22 500€</w:t>
            </w:r>
          </w:p>
        </w:tc>
      </w:tr>
      <w:tr w:rsidR="42911850" w14:paraId="24BB8864" w14:textId="77777777" w:rsidTr="42911850">
        <w:trPr>
          <w:trHeight w:val="45"/>
        </w:trPr>
        <w:tc>
          <w:tcPr>
            <w:tcW w:w="638" w:type="dxa"/>
            <w:vMerge/>
            <w:tcBorders>
              <w:left w:val="single" w:sz="0" w:space="0" w:color="auto"/>
              <w:right w:val="single" w:sz="0" w:space="0" w:color="auto"/>
            </w:tcBorders>
            <w:vAlign w:val="center"/>
          </w:tcPr>
          <w:p w14:paraId="073786A1"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63906E03" w14:textId="05AF9333"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5D782686" w14:textId="0B53EEC2" w:rsidR="42911850" w:rsidRDefault="42911850">
            <w:pPr>
              <w:rPr>
                <w:noProof/>
              </w:rPr>
            </w:pPr>
            <w:r w:rsidRPr="42911850">
              <w:rPr>
                <w:rFonts w:ascii="Calibri" w:eastAsia="Calibri" w:hAnsi="Calibri" w:cs="Calibri"/>
                <w:noProof/>
                <w:sz w:val="18"/>
                <w:szCs w:val="18"/>
              </w:rPr>
              <w:t xml:space="preserve"> </w:t>
            </w:r>
          </w:p>
          <w:p w14:paraId="344DF1FB" w14:textId="60A9AB5F" w:rsidR="42911850" w:rsidRDefault="42911850">
            <w:pPr>
              <w:rPr>
                <w:noProof/>
              </w:rPr>
            </w:pPr>
            <w:r w:rsidRPr="42911850">
              <w:rPr>
                <w:rFonts w:ascii="Calibri" w:eastAsia="Calibri" w:hAnsi="Calibri" w:cs="Calibri"/>
                <w:noProof/>
                <w:sz w:val="18"/>
                <w:szCs w:val="18"/>
              </w:rPr>
              <w:t xml:space="preserve"> </w:t>
            </w:r>
          </w:p>
          <w:p w14:paraId="54B01E57" w14:textId="1CA58E24" w:rsidR="42911850" w:rsidRDefault="42911850">
            <w:pPr>
              <w:rPr>
                <w:noProof/>
              </w:rPr>
            </w:pPr>
            <w:r w:rsidRPr="42911850">
              <w:rPr>
                <w:rFonts w:ascii="Calibri" w:eastAsia="Calibri" w:hAnsi="Calibri" w:cs="Calibri"/>
                <w:noProof/>
                <w:sz w:val="18"/>
                <w:szCs w:val="18"/>
              </w:rPr>
              <w:t>Infractions by the reporting entity</w:t>
            </w:r>
          </w:p>
          <w:p w14:paraId="73FC6048" w14:textId="523F649D" w:rsidR="42911850" w:rsidRDefault="42911850" w:rsidP="00AE537F">
            <w:pPr>
              <w:pStyle w:val="ListParagraph"/>
              <w:numPr>
                <w:ilvl w:val="0"/>
                <w:numId w:val="10"/>
              </w:numPr>
              <w:rPr>
                <w:rFonts w:eastAsiaTheme="minorEastAsia"/>
                <w:noProof/>
                <w:sz w:val="18"/>
                <w:szCs w:val="18"/>
              </w:rPr>
            </w:pPr>
            <w:r w:rsidRPr="42911850">
              <w:rPr>
                <w:noProof/>
                <w:sz w:val="18"/>
                <w:szCs w:val="18"/>
              </w:rPr>
              <w:t>No reporting</w:t>
            </w:r>
          </w:p>
          <w:p w14:paraId="75AD246A" w14:textId="567534A7" w:rsidR="42911850" w:rsidRDefault="42911850" w:rsidP="00AE537F">
            <w:pPr>
              <w:pStyle w:val="ListParagraph"/>
              <w:numPr>
                <w:ilvl w:val="0"/>
                <w:numId w:val="10"/>
              </w:numPr>
              <w:rPr>
                <w:rFonts w:eastAsiaTheme="minorEastAsia"/>
                <w:noProof/>
                <w:sz w:val="18"/>
                <w:szCs w:val="18"/>
              </w:rPr>
            </w:pPr>
            <w:r w:rsidRPr="42911850">
              <w:rPr>
                <w:noProof/>
                <w:sz w:val="18"/>
                <w:szCs w:val="18"/>
              </w:rPr>
              <w:t>Late reporting</w:t>
            </w:r>
          </w:p>
          <w:p w14:paraId="2D771B7D" w14:textId="7D1C7640"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0C7C1733" w14:textId="027586FD" w:rsidR="42911850" w:rsidRDefault="42911850">
            <w:pPr>
              <w:rPr>
                <w:noProof/>
              </w:rPr>
            </w:pPr>
            <w:r w:rsidRPr="42911850">
              <w:rPr>
                <w:rFonts w:ascii="Calibri" w:eastAsia="Calibri" w:hAnsi="Calibri" w:cs="Calibri"/>
                <w:noProof/>
                <w:sz w:val="18"/>
                <w:szCs w:val="18"/>
              </w:rPr>
              <w:t>Sanctions are per single infringement</w:t>
            </w:r>
          </w:p>
          <w:p w14:paraId="0BFD34FA" w14:textId="5007185E" w:rsidR="42911850" w:rsidRDefault="42911850">
            <w:pPr>
              <w:rPr>
                <w:noProof/>
              </w:rPr>
            </w:pPr>
            <w:r w:rsidRPr="42911850">
              <w:rPr>
                <w:rFonts w:ascii="Calibri" w:eastAsia="Calibri" w:hAnsi="Calibri" w:cs="Calibri"/>
                <w:noProof/>
                <w:sz w:val="18"/>
                <w:szCs w:val="18"/>
              </w:rPr>
              <w:t>Infractions by reporting entity</w:t>
            </w:r>
          </w:p>
          <w:p w14:paraId="3F4FE217" w14:textId="4CE2AE57" w:rsidR="42911850" w:rsidRDefault="42911850" w:rsidP="00AE537F">
            <w:pPr>
              <w:pStyle w:val="ListParagraph"/>
              <w:numPr>
                <w:ilvl w:val="0"/>
                <w:numId w:val="9"/>
              </w:numPr>
              <w:rPr>
                <w:rFonts w:eastAsiaTheme="minorEastAsia"/>
                <w:noProof/>
                <w:sz w:val="18"/>
                <w:szCs w:val="18"/>
              </w:rPr>
            </w:pPr>
            <w:r w:rsidRPr="42911850">
              <w:rPr>
                <w:noProof/>
                <w:sz w:val="18"/>
                <w:szCs w:val="18"/>
              </w:rPr>
              <w:t>500€</w:t>
            </w:r>
          </w:p>
          <w:p w14:paraId="6809B28E" w14:textId="593DDA39" w:rsidR="42911850" w:rsidRDefault="42911850" w:rsidP="00AE537F">
            <w:pPr>
              <w:pStyle w:val="ListParagraph"/>
              <w:numPr>
                <w:ilvl w:val="0"/>
                <w:numId w:val="9"/>
              </w:numPr>
              <w:rPr>
                <w:rFonts w:eastAsiaTheme="minorEastAsia"/>
                <w:noProof/>
                <w:sz w:val="18"/>
                <w:szCs w:val="18"/>
              </w:rPr>
            </w:pPr>
            <w:r w:rsidRPr="42911850">
              <w:rPr>
                <w:noProof/>
                <w:sz w:val="18"/>
                <w:szCs w:val="18"/>
              </w:rPr>
              <w:t>500€</w:t>
            </w:r>
          </w:p>
          <w:p w14:paraId="2343A617" w14:textId="39C1FE24"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p w14:paraId="0E43D6EA" w14:textId="5716E99E"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25EEE9DA" w14:textId="2EBF81BB" w:rsidR="42911850" w:rsidRDefault="42911850">
            <w:pPr>
              <w:rPr>
                <w:noProof/>
              </w:rPr>
            </w:pPr>
            <w:r w:rsidRPr="42911850">
              <w:rPr>
                <w:rFonts w:ascii="Calibri" w:eastAsia="Calibri" w:hAnsi="Calibri" w:cs="Calibri"/>
                <w:noProof/>
                <w:sz w:val="18"/>
                <w:szCs w:val="18"/>
              </w:rPr>
              <w:t xml:space="preserve"> </w:t>
            </w:r>
          </w:p>
          <w:p w14:paraId="5751AD75" w14:textId="0069D3C9" w:rsidR="42911850" w:rsidRDefault="42911850">
            <w:pPr>
              <w:rPr>
                <w:noProof/>
              </w:rPr>
            </w:pPr>
            <w:r w:rsidRPr="42911850">
              <w:rPr>
                <w:rFonts w:ascii="Calibri" w:eastAsia="Calibri" w:hAnsi="Calibri" w:cs="Calibri"/>
                <w:noProof/>
                <w:sz w:val="18"/>
                <w:szCs w:val="18"/>
              </w:rPr>
              <w:t>Infractions by reporting entity</w:t>
            </w:r>
          </w:p>
          <w:p w14:paraId="55524FB9" w14:textId="47FF8326" w:rsidR="42911850" w:rsidRDefault="42911850" w:rsidP="00AE537F">
            <w:pPr>
              <w:pStyle w:val="ListParagraph"/>
              <w:numPr>
                <w:ilvl w:val="0"/>
                <w:numId w:val="8"/>
              </w:numPr>
              <w:rPr>
                <w:rFonts w:eastAsiaTheme="minorEastAsia"/>
                <w:noProof/>
                <w:sz w:val="18"/>
                <w:szCs w:val="18"/>
              </w:rPr>
            </w:pPr>
            <w:r w:rsidRPr="42911850">
              <w:rPr>
                <w:noProof/>
                <w:sz w:val="18"/>
                <w:szCs w:val="18"/>
              </w:rPr>
              <w:t>500€+additional 5% for each day of delay</w:t>
            </w:r>
          </w:p>
          <w:p w14:paraId="7700F140" w14:textId="05EEF2D9" w:rsidR="42911850" w:rsidRDefault="42911850" w:rsidP="00AE537F">
            <w:pPr>
              <w:pStyle w:val="ListParagraph"/>
              <w:numPr>
                <w:ilvl w:val="0"/>
                <w:numId w:val="8"/>
              </w:numPr>
              <w:rPr>
                <w:rFonts w:eastAsiaTheme="minorEastAsia"/>
                <w:noProof/>
                <w:sz w:val="18"/>
                <w:szCs w:val="18"/>
              </w:rPr>
            </w:pPr>
            <w:r w:rsidRPr="42911850">
              <w:rPr>
                <w:noProof/>
                <w:sz w:val="18"/>
                <w:szCs w:val="18"/>
              </w:rPr>
              <w:t>500€+additional 5% for each day of delay</w:t>
            </w:r>
          </w:p>
        </w:tc>
      </w:tr>
      <w:tr w:rsidR="42911850" w14:paraId="4692FCEB"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22192C47"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13B37C28" w14:textId="574A325B"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59445CAF" w14:textId="45EB651D" w:rsidR="42911850" w:rsidRDefault="42911850">
            <w:pPr>
              <w:rPr>
                <w:noProof/>
              </w:rPr>
            </w:pPr>
            <w:r w:rsidRPr="42911850">
              <w:rPr>
                <w:rFonts w:ascii="Calibri" w:eastAsia="Calibri" w:hAnsi="Calibri" w:cs="Calibri"/>
                <w:noProof/>
                <w:sz w:val="18"/>
                <w:szCs w:val="18"/>
              </w:rPr>
              <w:t xml:space="preserve"> </w:t>
            </w:r>
          </w:p>
          <w:p w14:paraId="0C814E49" w14:textId="362CF7B2" w:rsidR="42911850" w:rsidRDefault="42911850">
            <w:pPr>
              <w:rPr>
                <w:noProof/>
              </w:rPr>
            </w:pPr>
            <w:r w:rsidRPr="42911850">
              <w:rPr>
                <w:rFonts w:ascii="Calibri" w:eastAsia="Calibri" w:hAnsi="Calibri" w:cs="Calibri"/>
                <w:noProof/>
                <w:sz w:val="18"/>
                <w:szCs w:val="18"/>
              </w:rPr>
              <w:t xml:space="preserve"> </w:t>
            </w:r>
          </w:p>
          <w:p w14:paraId="07C28514" w14:textId="7F3A99E9" w:rsidR="42911850" w:rsidRDefault="42911850">
            <w:pPr>
              <w:rPr>
                <w:noProof/>
              </w:rPr>
            </w:pPr>
            <w:r w:rsidRPr="42911850">
              <w:rPr>
                <w:rFonts w:ascii="Calibri" w:eastAsia="Calibri" w:hAnsi="Calibri" w:cs="Calibri"/>
                <w:noProof/>
                <w:sz w:val="18"/>
                <w:szCs w:val="18"/>
              </w:rPr>
              <w:t>Infractions by intermediary or relevant taxpayer</w:t>
            </w:r>
          </w:p>
          <w:p w14:paraId="7E5694E9" w14:textId="15B16EF0" w:rsidR="42911850" w:rsidRDefault="42911850" w:rsidP="00AE537F">
            <w:pPr>
              <w:pStyle w:val="ListParagraph"/>
              <w:numPr>
                <w:ilvl w:val="0"/>
                <w:numId w:val="7"/>
              </w:numPr>
              <w:rPr>
                <w:rFonts w:eastAsiaTheme="minorEastAsia"/>
                <w:noProof/>
                <w:sz w:val="18"/>
                <w:szCs w:val="18"/>
              </w:rPr>
            </w:pPr>
            <w:r w:rsidRPr="42911850">
              <w:rPr>
                <w:noProof/>
                <w:sz w:val="18"/>
                <w:szCs w:val="18"/>
              </w:rPr>
              <w:t>No reporting</w:t>
            </w:r>
          </w:p>
          <w:p w14:paraId="0A00F56B" w14:textId="75395073" w:rsidR="42911850" w:rsidRDefault="42911850" w:rsidP="00AE537F">
            <w:pPr>
              <w:pStyle w:val="ListParagraph"/>
              <w:numPr>
                <w:ilvl w:val="0"/>
                <w:numId w:val="7"/>
              </w:numPr>
              <w:rPr>
                <w:rFonts w:eastAsiaTheme="minorEastAsia"/>
                <w:noProof/>
                <w:sz w:val="18"/>
                <w:szCs w:val="18"/>
              </w:rPr>
            </w:pPr>
            <w:r w:rsidRPr="42911850">
              <w:rPr>
                <w:noProof/>
                <w:sz w:val="18"/>
                <w:szCs w:val="18"/>
              </w:rPr>
              <w:t>Late reporting</w:t>
            </w:r>
          </w:p>
          <w:p w14:paraId="70CC44E3" w14:textId="7B03D986" w:rsidR="42911850" w:rsidRDefault="42911850" w:rsidP="00AE537F">
            <w:pPr>
              <w:pStyle w:val="ListParagraph"/>
              <w:numPr>
                <w:ilvl w:val="0"/>
                <w:numId w:val="7"/>
              </w:numPr>
              <w:rPr>
                <w:rFonts w:eastAsiaTheme="minorEastAsia"/>
                <w:noProof/>
                <w:sz w:val="18"/>
                <w:szCs w:val="18"/>
              </w:rPr>
            </w:pPr>
            <w:r w:rsidRPr="42911850">
              <w:rPr>
                <w:noProof/>
                <w:sz w:val="18"/>
                <w:szCs w:val="18"/>
              </w:rPr>
              <w:t>Wrong reporting</w:t>
            </w:r>
          </w:p>
          <w:p w14:paraId="18C93FAF" w14:textId="374FB7FC" w:rsidR="42911850" w:rsidRDefault="42911850" w:rsidP="00AE537F">
            <w:pPr>
              <w:pStyle w:val="ListParagraph"/>
              <w:numPr>
                <w:ilvl w:val="0"/>
                <w:numId w:val="7"/>
              </w:numPr>
              <w:rPr>
                <w:rFonts w:eastAsiaTheme="minorEastAsia"/>
                <w:noProof/>
                <w:sz w:val="18"/>
                <w:szCs w:val="18"/>
              </w:rPr>
            </w:pPr>
            <w:r w:rsidRPr="42911850">
              <w:rPr>
                <w:noProof/>
                <w:sz w:val="18"/>
                <w:szCs w:val="18"/>
              </w:rPr>
              <w:t>No reply to request of additional information</w:t>
            </w:r>
          </w:p>
          <w:p w14:paraId="5E739022" w14:textId="47BE95A5" w:rsidR="42911850" w:rsidRDefault="42911850" w:rsidP="00AE537F">
            <w:pPr>
              <w:pStyle w:val="ListParagraph"/>
              <w:numPr>
                <w:ilvl w:val="0"/>
                <w:numId w:val="7"/>
              </w:numPr>
              <w:rPr>
                <w:rFonts w:eastAsiaTheme="minorEastAsia"/>
                <w:noProof/>
                <w:sz w:val="18"/>
                <w:szCs w:val="18"/>
              </w:rPr>
            </w:pPr>
            <w:r w:rsidRPr="42911850">
              <w:rPr>
                <w:noProof/>
                <w:sz w:val="18"/>
                <w:szCs w:val="18"/>
              </w:rPr>
              <w:t>Late reply to request of additional information</w:t>
            </w:r>
          </w:p>
        </w:tc>
        <w:tc>
          <w:tcPr>
            <w:tcW w:w="1757" w:type="dxa"/>
            <w:tcBorders>
              <w:top w:val="single" w:sz="8" w:space="0" w:color="auto"/>
              <w:left w:val="single" w:sz="8" w:space="0" w:color="auto"/>
              <w:bottom w:val="single" w:sz="8" w:space="0" w:color="auto"/>
              <w:right w:val="single" w:sz="8" w:space="0" w:color="auto"/>
            </w:tcBorders>
          </w:tcPr>
          <w:p w14:paraId="13D20E6D" w14:textId="78D43AE7" w:rsidR="42911850" w:rsidRDefault="42911850">
            <w:pPr>
              <w:rPr>
                <w:noProof/>
              </w:rPr>
            </w:pPr>
            <w:r w:rsidRPr="42911850">
              <w:rPr>
                <w:rFonts w:ascii="Calibri" w:eastAsia="Calibri" w:hAnsi="Calibri" w:cs="Calibri"/>
                <w:noProof/>
                <w:sz w:val="18"/>
                <w:szCs w:val="18"/>
              </w:rPr>
              <w:t xml:space="preserve">Sanctions are per single infringement </w:t>
            </w:r>
          </w:p>
          <w:p w14:paraId="7060C95D" w14:textId="00D34A01" w:rsidR="42911850" w:rsidRDefault="42911850">
            <w:pPr>
              <w:rPr>
                <w:noProof/>
              </w:rPr>
            </w:pPr>
            <w:r w:rsidRPr="42911850">
              <w:rPr>
                <w:rFonts w:ascii="Calibri" w:eastAsia="Calibri" w:hAnsi="Calibri" w:cs="Calibri"/>
                <w:noProof/>
                <w:sz w:val="18"/>
                <w:szCs w:val="18"/>
              </w:rPr>
              <w:t>Infractions by intermediary or relevant taxpayer</w:t>
            </w:r>
          </w:p>
          <w:p w14:paraId="28BE08EE" w14:textId="7205219B" w:rsidR="42911850" w:rsidRDefault="42911850" w:rsidP="00AE537F">
            <w:pPr>
              <w:pStyle w:val="ListParagraph"/>
              <w:numPr>
                <w:ilvl w:val="0"/>
                <w:numId w:val="6"/>
              </w:numPr>
              <w:rPr>
                <w:rFonts w:eastAsiaTheme="minorEastAsia"/>
                <w:noProof/>
                <w:sz w:val="18"/>
                <w:szCs w:val="18"/>
              </w:rPr>
            </w:pPr>
            <w:r w:rsidRPr="42911850">
              <w:rPr>
                <w:noProof/>
                <w:sz w:val="18"/>
                <w:szCs w:val="18"/>
              </w:rPr>
              <w:t>6 000€</w:t>
            </w:r>
          </w:p>
          <w:p w14:paraId="668D2D8A" w14:textId="49528DA8" w:rsidR="42911850" w:rsidRDefault="42911850" w:rsidP="00AE537F">
            <w:pPr>
              <w:pStyle w:val="ListParagraph"/>
              <w:numPr>
                <w:ilvl w:val="0"/>
                <w:numId w:val="6"/>
              </w:numPr>
              <w:rPr>
                <w:rFonts w:eastAsiaTheme="minorEastAsia"/>
                <w:noProof/>
                <w:sz w:val="18"/>
                <w:szCs w:val="18"/>
              </w:rPr>
            </w:pPr>
            <w:r w:rsidRPr="42911850">
              <w:rPr>
                <w:noProof/>
                <w:sz w:val="18"/>
                <w:szCs w:val="18"/>
              </w:rPr>
              <w:t>6 000€</w:t>
            </w:r>
          </w:p>
          <w:p w14:paraId="34D57E38" w14:textId="68E34DDA" w:rsidR="42911850" w:rsidRDefault="42911850" w:rsidP="00AE537F">
            <w:pPr>
              <w:pStyle w:val="ListParagraph"/>
              <w:numPr>
                <w:ilvl w:val="0"/>
                <w:numId w:val="6"/>
              </w:numPr>
              <w:rPr>
                <w:rFonts w:eastAsiaTheme="minorEastAsia"/>
                <w:noProof/>
                <w:sz w:val="18"/>
                <w:szCs w:val="18"/>
              </w:rPr>
            </w:pPr>
            <w:r w:rsidRPr="42911850">
              <w:rPr>
                <w:noProof/>
                <w:sz w:val="18"/>
                <w:szCs w:val="18"/>
              </w:rPr>
              <w:t>2 000€</w:t>
            </w:r>
          </w:p>
          <w:p w14:paraId="6A85BCF7" w14:textId="4BFEEF4B" w:rsidR="42911850" w:rsidRDefault="42911850" w:rsidP="00AE537F">
            <w:pPr>
              <w:pStyle w:val="ListParagraph"/>
              <w:numPr>
                <w:ilvl w:val="0"/>
                <w:numId w:val="6"/>
              </w:numPr>
              <w:rPr>
                <w:rFonts w:eastAsiaTheme="minorEastAsia"/>
                <w:noProof/>
                <w:sz w:val="18"/>
                <w:szCs w:val="18"/>
              </w:rPr>
            </w:pPr>
            <w:r w:rsidRPr="42911850">
              <w:rPr>
                <w:noProof/>
                <w:sz w:val="18"/>
                <w:szCs w:val="18"/>
              </w:rPr>
              <w:t>3 000€</w:t>
            </w:r>
          </w:p>
          <w:p w14:paraId="417134E3" w14:textId="4214DE4B" w:rsidR="42911850" w:rsidRDefault="42911850" w:rsidP="00AE537F">
            <w:pPr>
              <w:pStyle w:val="ListParagraph"/>
              <w:numPr>
                <w:ilvl w:val="0"/>
                <w:numId w:val="6"/>
              </w:numPr>
              <w:rPr>
                <w:rFonts w:eastAsiaTheme="minorEastAsia"/>
                <w:noProof/>
                <w:sz w:val="18"/>
                <w:szCs w:val="18"/>
              </w:rPr>
            </w:pPr>
            <w:r w:rsidRPr="42911850">
              <w:rPr>
                <w:noProof/>
                <w:sz w:val="18"/>
                <w:szCs w:val="18"/>
              </w:rPr>
              <w:t>3 000€</w:t>
            </w:r>
          </w:p>
          <w:p w14:paraId="49076EC6" w14:textId="41D179CB"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1334919F" w14:textId="4B2A6170" w:rsidR="42911850" w:rsidRDefault="42911850">
            <w:pPr>
              <w:rPr>
                <w:noProof/>
              </w:rPr>
            </w:pPr>
            <w:r w:rsidRPr="42911850">
              <w:rPr>
                <w:rFonts w:ascii="Calibri" w:eastAsia="Calibri" w:hAnsi="Calibri" w:cs="Calibri"/>
                <w:noProof/>
                <w:sz w:val="18"/>
                <w:szCs w:val="18"/>
              </w:rPr>
              <w:t xml:space="preserve"> </w:t>
            </w:r>
          </w:p>
          <w:p w14:paraId="1E250CF3" w14:textId="7F9AEA76" w:rsidR="42911850" w:rsidRDefault="42911850">
            <w:pPr>
              <w:rPr>
                <w:noProof/>
              </w:rPr>
            </w:pPr>
            <w:r w:rsidRPr="42911850">
              <w:rPr>
                <w:rFonts w:ascii="Calibri" w:eastAsia="Calibri" w:hAnsi="Calibri" w:cs="Calibri"/>
                <w:noProof/>
                <w:sz w:val="18"/>
                <w:szCs w:val="18"/>
              </w:rPr>
              <w:t xml:space="preserve"> </w:t>
            </w:r>
          </w:p>
          <w:p w14:paraId="4143B70D" w14:textId="43B24F7A" w:rsidR="42911850" w:rsidRDefault="42911850">
            <w:pPr>
              <w:rPr>
                <w:noProof/>
              </w:rPr>
            </w:pPr>
            <w:r w:rsidRPr="42911850">
              <w:rPr>
                <w:rFonts w:ascii="Calibri" w:eastAsia="Calibri" w:hAnsi="Calibri" w:cs="Calibri"/>
                <w:noProof/>
                <w:sz w:val="18"/>
                <w:szCs w:val="18"/>
              </w:rPr>
              <w:t>Infractions by intermediary or relevant taxpayer</w:t>
            </w:r>
          </w:p>
          <w:p w14:paraId="698ACF2D" w14:textId="578848E3" w:rsidR="42911850" w:rsidRDefault="42911850" w:rsidP="00AE537F">
            <w:pPr>
              <w:pStyle w:val="ListParagraph"/>
              <w:numPr>
                <w:ilvl w:val="0"/>
                <w:numId w:val="5"/>
              </w:numPr>
              <w:rPr>
                <w:rFonts w:eastAsiaTheme="minorEastAsia"/>
                <w:noProof/>
                <w:sz w:val="18"/>
                <w:szCs w:val="18"/>
              </w:rPr>
            </w:pPr>
            <w:r w:rsidRPr="42911850">
              <w:rPr>
                <w:noProof/>
                <w:sz w:val="18"/>
                <w:szCs w:val="18"/>
              </w:rPr>
              <w:t>80 000€</w:t>
            </w:r>
          </w:p>
          <w:p w14:paraId="3F67ED21" w14:textId="68F1D141" w:rsidR="42911850" w:rsidRDefault="42911850" w:rsidP="00AE537F">
            <w:pPr>
              <w:pStyle w:val="ListParagraph"/>
              <w:numPr>
                <w:ilvl w:val="0"/>
                <w:numId w:val="5"/>
              </w:numPr>
              <w:rPr>
                <w:rFonts w:eastAsiaTheme="minorEastAsia"/>
                <w:noProof/>
                <w:sz w:val="18"/>
                <w:szCs w:val="18"/>
              </w:rPr>
            </w:pPr>
            <w:r w:rsidRPr="42911850">
              <w:rPr>
                <w:noProof/>
                <w:sz w:val="18"/>
                <w:szCs w:val="18"/>
              </w:rPr>
              <w:t>80 000€</w:t>
            </w:r>
          </w:p>
          <w:p w14:paraId="24546778" w14:textId="34D29CEE" w:rsidR="42911850" w:rsidRDefault="42911850" w:rsidP="00AE537F">
            <w:pPr>
              <w:pStyle w:val="ListParagraph"/>
              <w:numPr>
                <w:ilvl w:val="0"/>
                <w:numId w:val="5"/>
              </w:numPr>
              <w:rPr>
                <w:rFonts w:eastAsiaTheme="minorEastAsia"/>
                <w:noProof/>
                <w:sz w:val="18"/>
                <w:szCs w:val="18"/>
              </w:rPr>
            </w:pPr>
            <w:r w:rsidRPr="42911850">
              <w:rPr>
                <w:noProof/>
                <w:sz w:val="18"/>
                <w:szCs w:val="18"/>
              </w:rPr>
              <w:t>60 000€</w:t>
            </w:r>
          </w:p>
          <w:p w14:paraId="11CDB0AF" w14:textId="0AFB96F3" w:rsidR="42911850" w:rsidRDefault="42911850" w:rsidP="00AE537F">
            <w:pPr>
              <w:pStyle w:val="ListParagraph"/>
              <w:numPr>
                <w:ilvl w:val="0"/>
                <w:numId w:val="5"/>
              </w:numPr>
              <w:rPr>
                <w:rFonts w:eastAsiaTheme="minorEastAsia"/>
                <w:noProof/>
                <w:sz w:val="18"/>
                <w:szCs w:val="18"/>
              </w:rPr>
            </w:pPr>
            <w:r w:rsidRPr="42911850">
              <w:rPr>
                <w:noProof/>
                <w:sz w:val="18"/>
                <w:szCs w:val="18"/>
              </w:rPr>
              <w:t>80 000€</w:t>
            </w:r>
          </w:p>
          <w:p w14:paraId="3C632230" w14:textId="0C37EFB0" w:rsidR="42911850" w:rsidRDefault="42911850" w:rsidP="00AE537F">
            <w:pPr>
              <w:pStyle w:val="ListParagraph"/>
              <w:numPr>
                <w:ilvl w:val="0"/>
                <w:numId w:val="5"/>
              </w:numPr>
              <w:rPr>
                <w:rFonts w:eastAsiaTheme="minorEastAsia"/>
                <w:noProof/>
                <w:sz w:val="18"/>
                <w:szCs w:val="18"/>
              </w:rPr>
            </w:pPr>
            <w:r w:rsidRPr="42911850">
              <w:rPr>
                <w:noProof/>
                <w:sz w:val="18"/>
                <w:szCs w:val="18"/>
              </w:rPr>
              <w:t>80 000€</w:t>
            </w:r>
          </w:p>
          <w:p w14:paraId="5DF8CEF7" w14:textId="1F1DB45A" w:rsidR="42911850" w:rsidRDefault="42911850" w:rsidP="00AE537F">
            <w:pPr>
              <w:rPr>
                <w:rFonts w:ascii="Calibri" w:eastAsia="Calibri" w:hAnsi="Calibri" w:cs="Calibri"/>
                <w:noProof/>
                <w:sz w:val="18"/>
                <w:szCs w:val="18"/>
              </w:rPr>
            </w:pPr>
            <w:r w:rsidRPr="42911850">
              <w:rPr>
                <w:rFonts w:ascii="Calibri" w:eastAsia="Calibri" w:hAnsi="Calibri" w:cs="Calibri"/>
                <w:noProof/>
                <w:sz w:val="18"/>
                <w:szCs w:val="18"/>
              </w:rPr>
              <w:t xml:space="preserve"> </w:t>
            </w:r>
          </w:p>
        </w:tc>
      </w:tr>
      <w:tr w:rsidR="42911850" w14:paraId="0424CCCD"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73CFF4C2" w14:textId="39A7D551" w:rsidR="42911850" w:rsidRDefault="42911850">
            <w:pPr>
              <w:rPr>
                <w:noProof/>
              </w:rPr>
            </w:pPr>
            <w:r w:rsidRPr="42911850">
              <w:rPr>
                <w:rFonts w:ascii="Calibri" w:eastAsia="Calibri" w:hAnsi="Calibri" w:cs="Calibri"/>
                <w:b/>
                <w:bCs/>
                <w:noProof/>
                <w:sz w:val="18"/>
                <w:szCs w:val="18"/>
              </w:rPr>
              <w:t>RO</w:t>
            </w:r>
          </w:p>
        </w:tc>
        <w:tc>
          <w:tcPr>
            <w:tcW w:w="1025" w:type="dxa"/>
            <w:tcBorders>
              <w:top w:val="single" w:sz="8" w:space="0" w:color="auto"/>
              <w:left w:val="single" w:sz="8" w:space="0" w:color="auto"/>
              <w:bottom w:val="single" w:sz="8" w:space="0" w:color="auto"/>
              <w:right w:val="single" w:sz="8" w:space="0" w:color="auto"/>
            </w:tcBorders>
          </w:tcPr>
          <w:p w14:paraId="6C989F24" w14:textId="17CC70C9"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1168EFA2" w14:textId="1D2A73A1" w:rsidR="42911850" w:rsidRDefault="42911850">
            <w:pPr>
              <w:rPr>
                <w:noProof/>
              </w:rPr>
            </w:pPr>
            <w:r w:rsidRPr="42911850">
              <w:rPr>
                <w:rFonts w:ascii="Calibri" w:eastAsia="Calibri" w:hAnsi="Calibri" w:cs="Calibri"/>
                <w:noProof/>
                <w:sz w:val="18"/>
                <w:szCs w:val="18"/>
              </w:rPr>
              <w:t>The non-transmission, by the Financial Institutions, at the deadline provided by law, of the information related to the non-resident taxpayers or the transmission of incorrect or incomplete information</w:t>
            </w:r>
          </w:p>
        </w:tc>
        <w:tc>
          <w:tcPr>
            <w:tcW w:w="1757" w:type="dxa"/>
            <w:tcBorders>
              <w:top w:val="single" w:sz="8" w:space="0" w:color="auto"/>
              <w:left w:val="single" w:sz="8" w:space="0" w:color="auto"/>
              <w:bottom w:val="single" w:sz="8" w:space="0" w:color="auto"/>
              <w:right w:val="single" w:sz="8" w:space="0" w:color="auto"/>
            </w:tcBorders>
          </w:tcPr>
          <w:p w14:paraId="271E53B0" w14:textId="3A84D525" w:rsidR="42911850" w:rsidRDefault="42911850">
            <w:pPr>
              <w:rPr>
                <w:noProof/>
              </w:rPr>
            </w:pPr>
            <w:r w:rsidRPr="42911850">
              <w:rPr>
                <w:rFonts w:ascii="Calibri" w:eastAsia="Calibri" w:hAnsi="Calibri" w:cs="Calibri"/>
                <w:noProof/>
                <w:sz w:val="18"/>
                <w:szCs w:val="18"/>
              </w:rPr>
              <w:t xml:space="preserve"> RON 500</w:t>
            </w:r>
          </w:p>
          <w:p w14:paraId="371B6394" w14:textId="1A6A9704" w:rsidR="42911850" w:rsidRDefault="42911850">
            <w:pPr>
              <w:rPr>
                <w:noProof/>
              </w:rPr>
            </w:pPr>
            <w:r w:rsidRPr="42911850">
              <w:rPr>
                <w:rFonts w:ascii="Calibri" w:eastAsia="Calibri" w:hAnsi="Calibri" w:cs="Calibri"/>
                <w:noProof/>
                <w:sz w:val="18"/>
                <w:szCs w:val="18"/>
              </w:rPr>
              <w:t>for legal entities classified in the category of medium and large taxpayers  RON 1 000</w:t>
            </w:r>
          </w:p>
        </w:tc>
        <w:tc>
          <w:tcPr>
            <w:tcW w:w="2175" w:type="dxa"/>
            <w:tcBorders>
              <w:top w:val="single" w:sz="8" w:space="0" w:color="auto"/>
              <w:left w:val="single" w:sz="8" w:space="0" w:color="auto"/>
              <w:bottom w:val="single" w:sz="8" w:space="0" w:color="auto"/>
              <w:right w:val="single" w:sz="8" w:space="0" w:color="auto"/>
            </w:tcBorders>
          </w:tcPr>
          <w:p w14:paraId="338AF21D" w14:textId="5ACC77E3" w:rsidR="42911850" w:rsidRDefault="42911850">
            <w:pPr>
              <w:rPr>
                <w:noProof/>
              </w:rPr>
            </w:pPr>
            <w:r w:rsidRPr="42911850">
              <w:rPr>
                <w:rFonts w:ascii="Calibri" w:eastAsia="Calibri" w:hAnsi="Calibri" w:cs="Calibri"/>
                <w:noProof/>
                <w:sz w:val="18"/>
                <w:szCs w:val="18"/>
              </w:rPr>
              <w:t>RON 1 000</w:t>
            </w:r>
          </w:p>
          <w:p w14:paraId="058E173C" w14:textId="14F48448" w:rsidR="42911850" w:rsidRDefault="42911850">
            <w:pPr>
              <w:rPr>
                <w:noProof/>
              </w:rPr>
            </w:pPr>
            <w:r w:rsidRPr="42911850">
              <w:rPr>
                <w:rFonts w:ascii="Calibri" w:eastAsia="Calibri" w:hAnsi="Calibri" w:cs="Calibri"/>
                <w:noProof/>
                <w:sz w:val="18"/>
                <w:szCs w:val="18"/>
              </w:rPr>
              <w:t xml:space="preserve">for legal entities classified in the category of medium and large taxpayers  RON 5 000  </w:t>
            </w:r>
          </w:p>
        </w:tc>
      </w:tr>
      <w:tr w:rsidR="42911850" w14:paraId="13E6DDA3" w14:textId="77777777" w:rsidTr="42911850">
        <w:trPr>
          <w:trHeight w:val="45"/>
        </w:trPr>
        <w:tc>
          <w:tcPr>
            <w:tcW w:w="638" w:type="dxa"/>
            <w:vMerge/>
            <w:tcBorders>
              <w:left w:val="single" w:sz="0" w:space="0" w:color="auto"/>
              <w:right w:val="single" w:sz="0" w:space="0" w:color="auto"/>
            </w:tcBorders>
            <w:vAlign w:val="center"/>
          </w:tcPr>
          <w:p w14:paraId="123BBE9D"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D296940" w14:textId="32C66567"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0D7271A5" w14:textId="3410934B" w:rsidR="42911850" w:rsidRDefault="42911850">
            <w:pPr>
              <w:rPr>
                <w:noProof/>
              </w:rPr>
            </w:pPr>
            <w:r w:rsidRPr="42911850">
              <w:rPr>
                <w:rFonts w:ascii="Calibri" w:eastAsia="Calibri" w:hAnsi="Calibri" w:cs="Calibri"/>
                <w:noProof/>
                <w:sz w:val="18"/>
                <w:szCs w:val="18"/>
              </w:rPr>
              <w:t>1) The late submission by the reporting entities of the report for each country or the transmission of incorrect or incomplete information</w:t>
            </w:r>
          </w:p>
          <w:p w14:paraId="134E9FEA" w14:textId="5058F4EF" w:rsidR="42911850" w:rsidRDefault="42911850">
            <w:pPr>
              <w:rPr>
                <w:noProof/>
              </w:rPr>
            </w:pPr>
            <w:r w:rsidRPr="42911850">
              <w:rPr>
                <w:rFonts w:ascii="Calibri" w:eastAsia="Calibri" w:hAnsi="Calibri" w:cs="Calibri"/>
                <w:noProof/>
                <w:sz w:val="18"/>
                <w:szCs w:val="18"/>
              </w:rPr>
              <w:t>2) The failure of the reporting entities to submit the report for each country</w:t>
            </w:r>
          </w:p>
        </w:tc>
        <w:tc>
          <w:tcPr>
            <w:tcW w:w="1757" w:type="dxa"/>
            <w:tcBorders>
              <w:top w:val="single" w:sz="8" w:space="0" w:color="auto"/>
              <w:left w:val="single" w:sz="8" w:space="0" w:color="auto"/>
              <w:bottom w:val="single" w:sz="8" w:space="0" w:color="auto"/>
              <w:right w:val="single" w:sz="8" w:space="0" w:color="auto"/>
            </w:tcBorders>
          </w:tcPr>
          <w:p w14:paraId="36864D6C" w14:textId="14D8F991" w:rsidR="42911850" w:rsidRDefault="42911850">
            <w:pPr>
              <w:rPr>
                <w:noProof/>
              </w:rPr>
            </w:pPr>
            <w:r w:rsidRPr="42911850">
              <w:rPr>
                <w:rFonts w:ascii="Calibri" w:eastAsia="Calibri" w:hAnsi="Calibri" w:cs="Calibri"/>
                <w:noProof/>
                <w:sz w:val="18"/>
                <w:szCs w:val="18"/>
              </w:rPr>
              <w:t xml:space="preserve">1) RON 30 000                                   </w:t>
            </w:r>
          </w:p>
          <w:p w14:paraId="0143C9B0" w14:textId="0E6AA44C" w:rsidR="42911850" w:rsidRDefault="42911850">
            <w:pPr>
              <w:rPr>
                <w:noProof/>
              </w:rPr>
            </w:pPr>
            <w:r w:rsidRPr="42911850">
              <w:rPr>
                <w:rFonts w:ascii="Calibri" w:eastAsia="Calibri" w:hAnsi="Calibri" w:cs="Calibri"/>
                <w:noProof/>
                <w:sz w:val="18"/>
                <w:szCs w:val="18"/>
              </w:rPr>
              <w:t>2) RON 70 000</w:t>
            </w:r>
          </w:p>
          <w:p w14:paraId="0651A864" w14:textId="61217F17"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22C6F203" w14:textId="03168836" w:rsidR="42911850" w:rsidRDefault="42911850">
            <w:pPr>
              <w:rPr>
                <w:noProof/>
              </w:rPr>
            </w:pPr>
            <w:r w:rsidRPr="42911850">
              <w:rPr>
                <w:rFonts w:ascii="Calibri" w:eastAsia="Calibri" w:hAnsi="Calibri" w:cs="Calibri"/>
                <w:noProof/>
                <w:sz w:val="18"/>
                <w:szCs w:val="18"/>
              </w:rPr>
              <w:t xml:space="preserve">1) RON 50 000                                                  </w:t>
            </w:r>
          </w:p>
          <w:p w14:paraId="2D81F47A" w14:textId="59365AAD" w:rsidR="42911850" w:rsidRDefault="42911850">
            <w:pPr>
              <w:rPr>
                <w:noProof/>
              </w:rPr>
            </w:pPr>
            <w:r w:rsidRPr="42911850">
              <w:rPr>
                <w:rFonts w:ascii="Calibri" w:eastAsia="Calibri" w:hAnsi="Calibri" w:cs="Calibri"/>
                <w:noProof/>
                <w:sz w:val="18"/>
                <w:szCs w:val="18"/>
              </w:rPr>
              <w:t>2) RON 100 000</w:t>
            </w:r>
          </w:p>
        </w:tc>
      </w:tr>
      <w:tr w:rsidR="42911850" w14:paraId="2E9C6673"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7D59C533"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45BA0DE2" w14:textId="5A2DFDEF"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4CC23809" w14:textId="0730D22D" w:rsidR="42911850" w:rsidRDefault="42911850">
            <w:pPr>
              <w:rPr>
                <w:noProof/>
              </w:rPr>
            </w:pPr>
            <w:r w:rsidRPr="42911850">
              <w:rPr>
                <w:rFonts w:ascii="Calibri" w:eastAsia="Calibri" w:hAnsi="Calibri" w:cs="Calibri"/>
                <w:noProof/>
                <w:sz w:val="18"/>
                <w:szCs w:val="18"/>
              </w:rPr>
              <w:t>1) Non-reporting or late reporting by the relevant intermediaries or taxpayers, as the case may be, of the cross-border arrangements subject to reporting</w:t>
            </w:r>
          </w:p>
          <w:p w14:paraId="767BA571" w14:textId="5E0B1A42" w:rsidR="42911850" w:rsidRDefault="42911850">
            <w:pPr>
              <w:rPr>
                <w:noProof/>
              </w:rPr>
            </w:pPr>
            <w:r w:rsidRPr="42911850">
              <w:rPr>
                <w:rFonts w:ascii="Calibri" w:eastAsia="Calibri" w:hAnsi="Calibri" w:cs="Calibri"/>
                <w:noProof/>
                <w:sz w:val="18"/>
                <w:szCs w:val="18"/>
              </w:rPr>
              <w:t>2) Failure of the intermediary to comply with the obligation to notify another intermediary or the relevant taxpayer</w:t>
            </w:r>
          </w:p>
        </w:tc>
        <w:tc>
          <w:tcPr>
            <w:tcW w:w="1757" w:type="dxa"/>
            <w:tcBorders>
              <w:top w:val="single" w:sz="8" w:space="0" w:color="auto"/>
              <w:left w:val="single" w:sz="8" w:space="0" w:color="auto"/>
              <w:bottom w:val="single" w:sz="8" w:space="0" w:color="auto"/>
              <w:right w:val="single" w:sz="8" w:space="0" w:color="auto"/>
            </w:tcBorders>
          </w:tcPr>
          <w:p w14:paraId="26F2E9F0" w14:textId="1B6DFE0C" w:rsidR="42911850" w:rsidRDefault="42911850">
            <w:pPr>
              <w:rPr>
                <w:noProof/>
              </w:rPr>
            </w:pPr>
            <w:r w:rsidRPr="42911850">
              <w:rPr>
                <w:rFonts w:ascii="Calibri" w:eastAsia="Calibri" w:hAnsi="Calibri" w:cs="Calibri"/>
                <w:noProof/>
                <w:sz w:val="18"/>
                <w:szCs w:val="18"/>
              </w:rPr>
              <w:t xml:space="preserve">1) RON 20 000                                                                                      </w:t>
            </w:r>
          </w:p>
          <w:p w14:paraId="01F078C6" w14:textId="3B3D0F7D" w:rsidR="42911850" w:rsidRDefault="42911850">
            <w:pPr>
              <w:rPr>
                <w:noProof/>
              </w:rPr>
            </w:pPr>
            <w:r w:rsidRPr="42911850">
              <w:rPr>
                <w:rFonts w:ascii="Calibri" w:eastAsia="Calibri" w:hAnsi="Calibri" w:cs="Calibri"/>
                <w:noProof/>
                <w:sz w:val="18"/>
                <w:szCs w:val="18"/>
              </w:rPr>
              <w:t>2) RON 5 000</w:t>
            </w:r>
          </w:p>
        </w:tc>
        <w:tc>
          <w:tcPr>
            <w:tcW w:w="2175" w:type="dxa"/>
            <w:tcBorders>
              <w:top w:val="single" w:sz="8" w:space="0" w:color="auto"/>
              <w:left w:val="single" w:sz="8" w:space="0" w:color="auto"/>
              <w:bottom w:val="single" w:sz="8" w:space="0" w:color="auto"/>
              <w:right w:val="single" w:sz="8" w:space="0" w:color="auto"/>
            </w:tcBorders>
          </w:tcPr>
          <w:p w14:paraId="68C2C165" w14:textId="192D8E61" w:rsidR="42911850" w:rsidRDefault="42911850">
            <w:pPr>
              <w:rPr>
                <w:noProof/>
              </w:rPr>
            </w:pPr>
            <w:r w:rsidRPr="42911850">
              <w:rPr>
                <w:rFonts w:ascii="Calibri" w:eastAsia="Calibri" w:hAnsi="Calibri" w:cs="Calibri"/>
                <w:noProof/>
                <w:sz w:val="18"/>
                <w:szCs w:val="18"/>
              </w:rPr>
              <w:t>1) RON 100 000</w:t>
            </w:r>
          </w:p>
          <w:p w14:paraId="5FB55CAA" w14:textId="6CE064AC" w:rsidR="42911850" w:rsidRDefault="42911850">
            <w:pPr>
              <w:rPr>
                <w:noProof/>
              </w:rPr>
            </w:pPr>
            <w:r w:rsidRPr="42911850">
              <w:rPr>
                <w:rFonts w:ascii="Calibri" w:eastAsia="Calibri" w:hAnsi="Calibri" w:cs="Calibri"/>
                <w:noProof/>
                <w:sz w:val="18"/>
                <w:szCs w:val="18"/>
              </w:rPr>
              <w:t xml:space="preserve"> </w:t>
            </w:r>
          </w:p>
          <w:p w14:paraId="50CC82A1" w14:textId="2AA3465A" w:rsidR="42911850" w:rsidRDefault="42911850">
            <w:pPr>
              <w:rPr>
                <w:noProof/>
              </w:rPr>
            </w:pPr>
            <w:r w:rsidRPr="42911850">
              <w:rPr>
                <w:rFonts w:ascii="Calibri" w:eastAsia="Calibri" w:hAnsi="Calibri" w:cs="Calibri"/>
                <w:noProof/>
                <w:sz w:val="18"/>
                <w:szCs w:val="18"/>
              </w:rPr>
              <w:t>3) RON 30 000</w:t>
            </w:r>
          </w:p>
        </w:tc>
      </w:tr>
      <w:tr w:rsidR="42911850" w14:paraId="27382035"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14641985" w14:textId="0E6E4621" w:rsidR="42911850" w:rsidRDefault="42911850">
            <w:pPr>
              <w:rPr>
                <w:noProof/>
              </w:rPr>
            </w:pPr>
            <w:r w:rsidRPr="42911850">
              <w:rPr>
                <w:rFonts w:ascii="Calibri" w:eastAsia="Calibri" w:hAnsi="Calibri" w:cs="Calibri"/>
                <w:b/>
                <w:bCs/>
                <w:noProof/>
                <w:sz w:val="18"/>
                <w:szCs w:val="18"/>
              </w:rPr>
              <w:t xml:space="preserve">SE </w:t>
            </w:r>
          </w:p>
        </w:tc>
        <w:tc>
          <w:tcPr>
            <w:tcW w:w="1025" w:type="dxa"/>
            <w:tcBorders>
              <w:top w:val="single" w:sz="8" w:space="0" w:color="auto"/>
              <w:left w:val="single" w:sz="8" w:space="0" w:color="auto"/>
              <w:bottom w:val="single" w:sz="8" w:space="0" w:color="auto"/>
              <w:right w:val="single" w:sz="8" w:space="0" w:color="auto"/>
            </w:tcBorders>
          </w:tcPr>
          <w:p w14:paraId="7114D8E5" w14:textId="0C6F0DB9"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287AD029" w14:textId="149A5365" w:rsidR="42911850" w:rsidRDefault="42911850">
            <w:pPr>
              <w:rPr>
                <w:noProof/>
              </w:rPr>
            </w:pPr>
            <w:r w:rsidRPr="42911850">
              <w:rPr>
                <w:rFonts w:ascii="Calibri" w:eastAsia="Calibri" w:hAnsi="Calibri" w:cs="Calibri"/>
                <w:noProof/>
                <w:sz w:val="16"/>
                <w:szCs w:val="16"/>
                <w:u w:val="single"/>
              </w:rPr>
              <w:t>Documentation fee/penalty</w:t>
            </w:r>
          </w:p>
          <w:p w14:paraId="24D365DE" w14:textId="0DA7EDCB" w:rsidR="42911850" w:rsidRDefault="42911850">
            <w:pPr>
              <w:rPr>
                <w:noProof/>
              </w:rPr>
            </w:pPr>
            <w:r w:rsidRPr="42911850">
              <w:rPr>
                <w:rFonts w:ascii="Calibri" w:eastAsia="Calibri" w:hAnsi="Calibri" w:cs="Calibri"/>
                <w:noProof/>
                <w:sz w:val="16"/>
                <w:szCs w:val="16"/>
              </w:rPr>
              <w:t>Material scope: failure to collect and keep documents, data and other documentation relating to a financial account (in the manner specified in the law 2015:911 on the identification of reportable accounts in the event of automatic exchange of financial account information)</w:t>
            </w:r>
          </w:p>
          <w:p w14:paraId="2FA400E2" w14:textId="195BC7FF" w:rsidR="42911850" w:rsidRDefault="42911850">
            <w:pPr>
              <w:rPr>
                <w:noProof/>
              </w:rPr>
            </w:pPr>
            <w:r w:rsidRPr="42911850">
              <w:rPr>
                <w:rFonts w:ascii="Calibri" w:eastAsia="Calibri" w:hAnsi="Calibri" w:cs="Calibri"/>
                <w:noProof/>
                <w:sz w:val="16"/>
                <w:szCs w:val="16"/>
              </w:rPr>
              <w:t xml:space="preserve"> Personal scope: Financial institutions (liable to report under DAC2)</w:t>
            </w:r>
          </w:p>
          <w:p w14:paraId="26206E1C" w14:textId="223C492B" w:rsidR="42911850" w:rsidRDefault="42911850">
            <w:pPr>
              <w:rPr>
                <w:noProof/>
              </w:rPr>
            </w:pPr>
            <w:r w:rsidRPr="42911850">
              <w:rPr>
                <w:rFonts w:ascii="Calibri" w:eastAsia="Calibri" w:hAnsi="Calibri" w:cs="Calibri"/>
                <w:noProof/>
                <w:sz w:val="16"/>
                <w:szCs w:val="16"/>
              </w:rPr>
              <w:t xml:space="preserve">The legislation explicitly indicates that the fee/penalty applies per each account in respect of which a breach is committed. </w:t>
            </w:r>
          </w:p>
          <w:p w14:paraId="07327699" w14:textId="3CD9781C" w:rsidR="42911850" w:rsidRDefault="42911850">
            <w:pPr>
              <w:rPr>
                <w:noProof/>
              </w:rPr>
            </w:pPr>
            <w:r w:rsidRPr="42911850">
              <w:rPr>
                <w:rFonts w:ascii="Calibri" w:eastAsia="Calibri" w:hAnsi="Calibri" w:cs="Calibri"/>
                <w:noProof/>
                <w:sz w:val="16"/>
                <w:szCs w:val="16"/>
                <w:u w:val="single"/>
              </w:rPr>
              <w:t>Penal code sanctions</w:t>
            </w:r>
          </w:p>
          <w:p w14:paraId="7E46BD33" w14:textId="0B999514" w:rsidR="42911850" w:rsidRDefault="42911850">
            <w:pPr>
              <w:rPr>
                <w:noProof/>
              </w:rPr>
            </w:pPr>
            <w:r w:rsidRPr="42911850">
              <w:rPr>
                <w:rFonts w:ascii="Calibri" w:eastAsia="Calibri" w:hAnsi="Calibri" w:cs="Calibri"/>
                <w:noProof/>
                <w:sz w:val="16"/>
                <w:szCs w:val="16"/>
              </w:rPr>
              <w:t xml:space="preserve">Material scope: false / inaccurate reporting. </w:t>
            </w:r>
          </w:p>
          <w:p w14:paraId="44F78123" w14:textId="70693496" w:rsidR="42911850" w:rsidRDefault="42911850">
            <w:pPr>
              <w:rPr>
                <w:noProof/>
              </w:rPr>
            </w:pPr>
            <w:r w:rsidRPr="42911850">
              <w:rPr>
                <w:rFonts w:ascii="Calibri" w:eastAsia="Calibri" w:hAnsi="Calibri" w:cs="Calibri"/>
                <w:noProof/>
                <w:sz w:val="16"/>
                <w:szCs w:val="16"/>
              </w:rPr>
              <w:t>NB! Under ordinance (2015:921) a certification for identification of reportable accounts shall be made on honour. Provision of false information (on honour and when it undermines evidence) is sanctioned in the penal code 1962:700 by a fine or imprisonment (unlikely to be applied in this context save in very exceptional situations).</w:t>
            </w:r>
          </w:p>
          <w:p w14:paraId="4B0F9519" w14:textId="0E863C70" w:rsidR="42911850" w:rsidRDefault="42911850">
            <w:pPr>
              <w:rPr>
                <w:noProof/>
              </w:rPr>
            </w:pPr>
            <w:r w:rsidRPr="42911850">
              <w:rPr>
                <w:rFonts w:ascii="Calibri" w:eastAsia="Calibri" w:hAnsi="Calibri" w:cs="Calibri"/>
                <w:noProof/>
                <w:sz w:val="16"/>
                <w:szCs w:val="16"/>
              </w:rPr>
              <w:t>Personal scope: Financial institutions (liable to report under DAC2) and their representatives in charge (individuals).</w:t>
            </w:r>
          </w:p>
          <w:p w14:paraId="19CCCAFC" w14:textId="32555144" w:rsidR="42911850" w:rsidRDefault="42911850">
            <w:pPr>
              <w:rPr>
                <w:noProof/>
              </w:rPr>
            </w:pPr>
            <w:r w:rsidRPr="42911850">
              <w:rPr>
                <w:rFonts w:ascii="Calibri" w:eastAsia="Calibri" w:hAnsi="Calibri" w:cs="Calibri"/>
                <w:noProof/>
                <w:sz w:val="16"/>
                <w:szCs w:val="16"/>
              </w:rPr>
              <w:t>Legislation does not explicitly indicate if these penalties apply per individual / cumulative infringements.</w:t>
            </w:r>
          </w:p>
        </w:tc>
        <w:tc>
          <w:tcPr>
            <w:tcW w:w="1757" w:type="dxa"/>
            <w:tcBorders>
              <w:top w:val="single" w:sz="8" w:space="0" w:color="auto"/>
              <w:left w:val="single" w:sz="8" w:space="0" w:color="auto"/>
              <w:bottom w:val="single" w:sz="8" w:space="0" w:color="auto"/>
              <w:right w:val="single" w:sz="8" w:space="0" w:color="auto"/>
            </w:tcBorders>
          </w:tcPr>
          <w:p w14:paraId="45A95DDC" w14:textId="5BCACA08" w:rsidR="42911850" w:rsidRPr="00F53A39" w:rsidRDefault="42911850">
            <w:pPr>
              <w:rPr>
                <w:noProof/>
                <w:lang w:val="en-IE"/>
              </w:rPr>
            </w:pPr>
            <w:r w:rsidRPr="00F53A39">
              <w:rPr>
                <w:rFonts w:ascii="Calibri" w:eastAsia="Calibri" w:hAnsi="Calibri" w:cs="Calibri"/>
                <w:noProof/>
                <w:sz w:val="16"/>
                <w:szCs w:val="16"/>
                <w:lang w:val="en-IE"/>
              </w:rPr>
              <w:t>SEK 7.500 (EUR 731)</w:t>
            </w:r>
          </w:p>
          <w:p w14:paraId="4A93D378" w14:textId="43DE8746" w:rsidR="42911850" w:rsidRPr="00F53A39" w:rsidRDefault="42911850">
            <w:pPr>
              <w:rPr>
                <w:noProof/>
                <w:lang w:val="en-IE"/>
              </w:rPr>
            </w:pPr>
            <w:r w:rsidRPr="00F53A39">
              <w:rPr>
                <w:rFonts w:ascii="Calibri" w:eastAsia="Calibri" w:hAnsi="Calibri" w:cs="Calibri"/>
                <w:noProof/>
                <w:sz w:val="16"/>
                <w:szCs w:val="16"/>
                <w:lang w:val="en-IE"/>
              </w:rPr>
              <w:t xml:space="preserve"> </w:t>
            </w:r>
          </w:p>
          <w:p w14:paraId="6C6E6356" w14:textId="28D5D47E" w:rsidR="42911850" w:rsidRPr="00F53A39" w:rsidRDefault="42911850">
            <w:pPr>
              <w:rPr>
                <w:noProof/>
                <w:lang w:val="en-IE"/>
              </w:rPr>
            </w:pPr>
            <w:r w:rsidRPr="00F53A39">
              <w:rPr>
                <w:rFonts w:ascii="Calibri" w:eastAsia="Calibri" w:hAnsi="Calibri" w:cs="Calibri"/>
                <w:noProof/>
                <w:sz w:val="16"/>
                <w:szCs w:val="16"/>
                <w:lang w:val="en-IE"/>
              </w:rPr>
              <w:t xml:space="preserve"> </w:t>
            </w:r>
          </w:p>
          <w:p w14:paraId="68C9CCE7" w14:textId="420686C4" w:rsidR="42911850" w:rsidRPr="00F53A39" w:rsidRDefault="42911850">
            <w:pPr>
              <w:rPr>
                <w:noProof/>
                <w:lang w:val="en-IE"/>
              </w:rPr>
            </w:pPr>
            <w:r w:rsidRPr="00F53A39">
              <w:rPr>
                <w:rFonts w:ascii="Calibri" w:eastAsia="Calibri" w:hAnsi="Calibri" w:cs="Calibri"/>
                <w:noProof/>
                <w:sz w:val="16"/>
                <w:szCs w:val="16"/>
                <w:lang w:val="en-IE"/>
              </w:rPr>
              <w:t xml:space="preserve"> </w:t>
            </w:r>
          </w:p>
          <w:p w14:paraId="1C1178C3" w14:textId="29DEAFD5" w:rsidR="42911850" w:rsidRPr="00F53A39" w:rsidRDefault="42911850">
            <w:pPr>
              <w:rPr>
                <w:noProof/>
                <w:lang w:val="en-IE"/>
              </w:rPr>
            </w:pPr>
            <w:r w:rsidRPr="00F53A39">
              <w:rPr>
                <w:rFonts w:ascii="Calibri" w:eastAsia="Calibri" w:hAnsi="Calibri" w:cs="Calibri"/>
                <w:noProof/>
                <w:sz w:val="16"/>
                <w:szCs w:val="16"/>
                <w:lang w:val="en-IE"/>
              </w:rPr>
              <w:t xml:space="preserve"> </w:t>
            </w:r>
          </w:p>
          <w:p w14:paraId="408913B3" w14:textId="1B087E01" w:rsidR="42911850" w:rsidRPr="00F53A39" w:rsidRDefault="42911850">
            <w:pPr>
              <w:rPr>
                <w:noProof/>
                <w:lang w:val="en-IE"/>
              </w:rPr>
            </w:pPr>
            <w:r w:rsidRPr="00F53A39">
              <w:rPr>
                <w:rFonts w:ascii="Calibri" w:eastAsia="Calibri" w:hAnsi="Calibri" w:cs="Calibri"/>
                <w:noProof/>
                <w:sz w:val="16"/>
                <w:szCs w:val="16"/>
                <w:lang w:val="en-IE"/>
              </w:rPr>
              <w:t xml:space="preserve"> </w:t>
            </w:r>
          </w:p>
          <w:p w14:paraId="0991D3D7" w14:textId="38B8B62A" w:rsidR="42911850" w:rsidRPr="00F53A39" w:rsidRDefault="42911850">
            <w:pPr>
              <w:rPr>
                <w:noProof/>
                <w:lang w:val="en-IE"/>
              </w:rPr>
            </w:pPr>
            <w:r w:rsidRPr="00F53A39">
              <w:rPr>
                <w:rFonts w:ascii="Calibri" w:eastAsia="Calibri" w:hAnsi="Calibri" w:cs="Calibri"/>
                <w:noProof/>
                <w:sz w:val="16"/>
                <w:szCs w:val="16"/>
                <w:lang w:val="en-IE"/>
              </w:rPr>
              <w:t xml:space="preserve"> </w:t>
            </w:r>
            <w:r w:rsidRPr="00F53A39">
              <w:rPr>
                <w:noProof/>
                <w:lang w:val="en-IE"/>
              </w:rPr>
              <w:br/>
            </w:r>
            <w:r w:rsidRPr="00F53A39">
              <w:rPr>
                <w:rFonts w:ascii="Calibri" w:eastAsia="Calibri" w:hAnsi="Calibri" w:cs="Calibri"/>
                <w:noProof/>
                <w:sz w:val="16"/>
                <w:szCs w:val="16"/>
                <w:lang w:val="en-IE"/>
              </w:rPr>
              <w:t xml:space="preserve"> SEK 5.000 (EUR 487) legal persons</w:t>
            </w:r>
          </w:p>
          <w:p w14:paraId="5C6BDDAC" w14:textId="566FDA52" w:rsidR="42911850" w:rsidRDefault="42911850">
            <w:pPr>
              <w:rPr>
                <w:noProof/>
              </w:rPr>
            </w:pPr>
            <w:r w:rsidRPr="42911850">
              <w:rPr>
                <w:rFonts w:ascii="Calibri" w:eastAsia="Calibri" w:hAnsi="Calibri" w:cs="Calibri"/>
                <w:noProof/>
                <w:sz w:val="16"/>
                <w:szCs w:val="16"/>
              </w:rPr>
              <w:t>Fines for individuals depend on income level (unspecified).</w:t>
            </w:r>
          </w:p>
          <w:p w14:paraId="31050FCB" w14:textId="0E7894C9"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35F470A1" w14:textId="1BB5F298" w:rsidR="42911850" w:rsidRPr="00F53A39" w:rsidRDefault="42911850">
            <w:pPr>
              <w:rPr>
                <w:noProof/>
                <w:lang w:val="en-IE"/>
              </w:rPr>
            </w:pPr>
            <w:r w:rsidRPr="00F53A39">
              <w:rPr>
                <w:rFonts w:ascii="Calibri" w:eastAsia="Calibri" w:hAnsi="Calibri" w:cs="Calibri"/>
                <w:noProof/>
                <w:sz w:val="16"/>
                <w:szCs w:val="16"/>
                <w:lang w:val="en-IE"/>
              </w:rPr>
              <w:t>SEK 7.500 (EUR 731)</w:t>
            </w:r>
          </w:p>
          <w:p w14:paraId="02A08521" w14:textId="2956EDFC" w:rsidR="42911850" w:rsidRPr="00F53A39" w:rsidRDefault="42911850">
            <w:pPr>
              <w:rPr>
                <w:noProof/>
                <w:lang w:val="en-IE"/>
              </w:rPr>
            </w:pPr>
            <w:r w:rsidRPr="00F53A39">
              <w:rPr>
                <w:rFonts w:ascii="Calibri" w:eastAsia="Calibri" w:hAnsi="Calibri" w:cs="Calibri"/>
                <w:noProof/>
                <w:sz w:val="18"/>
                <w:szCs w:val="18"/>
                <w:lang w:val="en-IE"/>
              </w:rPr>
              <w:t xml:space="preserve"> </w:t>
            </w:r>
          </w:p>
          <w:p w14:paraId="5DEB1D05" w14:textId="5381BB2C" w:rsidR="42911850" w:rsidRPr="00F53A39" w:rsidRDefault="42911850">
            <w:pPr>
              <w:rPr>
                <w:noProof/>
                <w:lang w:val="en-IE"/>
              </w:rPr>
            </w:pPr>
            <w:r w:rsidRPr="00F53A39">
              <w:rPr>
                <w:rFonts w:ascii="Calibri" w:eastAsia="Calibri" w:hAnsi="Calibri" w:cs="Calibri"/>
                <w:noProof/>
                <w:sz w:val="18"/>
                <w:szCs w:val="18"/>
                <w:lang w:val="en-IE"/>
              </w:rPr>
              <w:t xml:space="preserve"> </w:t>
            </w:r>
          </w:p>
          <w:p w14:paraId="2A759DDE" w14:textId="7F0BF1D4" w:rsidR="42911850" w:rsidRPr="00F53A39" w:rsidRDefault="42911850">
            <w:pPr>
              <w:rPr>
                <w:noProof/>
                <w:lang w:val="en-IE"/>
              </w:rPr>
            </w:pPr>
            <w:r w:rsidRPr="00F53A39">
              <w:rPr>
                <w:rFonts w:ascii="Calibri" w:eastAsia="Calibri" w:hAnsi="Calibri" w:cs="Calibri"/>
                <w:noProof/>
                <w:sz w:val="18"/>
                <w:szCs w:val="18"/>
                <w:lang w:val="en-IE"/>
              </w:rPr>
              <w:t xml:space="preserve"> </w:t>
            </w:r>
          </w:p>
          <w:p w14:paraId="71158621" w14:textId="25C28675" w:rsidR="42911850" w:rsidRPr="00F53A39" w:rsidRDefault="42911850">
            <w:pPr>
              <w:rPr>
                <w:noProof/>
                <w:lang w:val="en-IE"/>
              </w:rPr>
            </w:pPr>
            <w:r w:rsidRPr="00F53A39">
              <w:rPr>
                <w:rFonts w:ascii="Calibri" w:eastAsia="Calibri" w:hAnsi="Calibri" w:cs="Calibri"/>
                <w:noProof/>
                <w:sz w:val="18"/>
                <w:szCs w:val="18"/>
                <w:lang w:val="en-IE"/>
              </w:rPr>
              <w:t xml:space="preserve"> </w:t>
            </w:r>
          </w:p>
          <w:p w14:paraId="089EEC57" w14:textId="55301522" w:rsidR="42911850" w:rsidRPr="00F53A39" w:rsidRDefault="42911850">
            <w:pPr>
              <w:rPr>
                <w:noProof/>
                <w:lang w:val="en-IE"/>
              </w:rPr>
            </w:pPr>
            <w:r w:rsidRPr="00F53A39">
              <w:rPr>
                <w:rFonts w:ascii="Calibri" w:eastAsia="Calibri" w:hAnsi="Calibri" w:cs="Calibri"/>
                <w:noProof/>
                <w:sz w:val="18"/>
                <w:szCs w:val="18"/>
                <w:lang w:val="en-IE"/>
              </w:rPr>
              <w:t xml:space="preserve"> </w:t>
            </w:r>
          </w:p>
          <w:p w14:paraId="5EFE2C18" w14:textId="5D42C063" w:rsidR="42911850" w:rsidRPr="00F53A39" w:rsidRDefault="42911850">
            <w:pPr>
              <w:rPr>
                <w:noProof/>
                <w:lang w:val="en-IE"/>
              </w:rPr>
            </w:pPr>
            <w:r w:rsidRPr="00F53A39">
              <w:rPr>
                <w:noProof/>
                <w:lang w:val="en-IE"/>
              </w:rPr>
              <w:br/>
            </w:r>
            <w:r w:rsidRPr="00F53A39">
              <w:rPr>
                <w:rFonts w:ascii="Calibri" w:eastAsia="Calibri" w:hAnsi="Calibri" w:cs="Calibri"/>
                <w:noProof/>
                <w:sz w:val="16"/>
                <w:szCs w:val="16"/>
                <w:lang w:val="en-IE"/>
              </w:rPr>
              <w:t>SEK 10.000.000 (EUR 975.000) legal persons</w:t>
            </w:r>
          </w:p>
          <w:p w14:paraId="3AA18C16" w14:textId="2B3DC2A0" w:rsidR="42911850" w:rsidRDefault="42911850">
            <w:pPr>
              <w:rPr>
                <w:noProof/>
              </w:rPr>
            </w:pPr>
            <w:r w:rsidRPr="42911850">
              <w:rPr>
                <w:rFonts w:ascii="Calibri" w:eastAsia="Calibri" w:hAnsi="Calibri" w:cs="Calibri"/>
                <w:noProof/>
                <w:sz w:val="16"/>
                <w:szCs w:val="16"/>
              </w:rPr>
              <w:t>Fines for individuals depend on income level (unspecified). Individuals also risk (in theory) imprisonment up to 2 years.</w:t>
            </w:r>
          </w:p>
        </w:tc>
      </w:tr>
      <w:tr w:rsidR="42911850" w14:paraId="2B1E5846" w14:textId="77777777" w:rsidTr="42911850">
        <w:trPr>
          <w:trHeight w:val="45"/>
        </w:trPr>
        <w:tc>
          <w:tcPr>
            <w:tcW w:w="638" w:type="dxa"/>
            <w:vMerge/>
            <w:tcBorders>
              <w:left w:val="single" w:sz="0" w:space="0" w:color="auto"/>
              <w:right w:val="single" w:sz="0" w:space="0" w:color="auto"/>
            </w:tcBorders>
            <w:vAlign w:val="center"/>
          </w:tcPr>
          <w:p w14:paraId="6FDB5637"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301303E8" w14:textId="2E842798"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56011CF2" w14:textId="2E22698B" w:rsidR="42911850" w:rsidRDefault="42911850">
            <w:pPr>
              <w:rPr>
                <w:noProof/>
              </w:rPr>
            </w:pPr>
            <w:r w:rsidRPr="42911850">
              <w:rPr>
                <w:rFonts w:ascii="Calibri" w:eastAsia="Calibri" w:hAnsi="Calibri" w:cs="Calibri"/>
                <w:noProof/>
                <w:sz w:val="16"/>
                <w:szCs w:val="16"/>
                <w:u w:val="single"/>
              </w:rPr>
              <w:t>Injunction with fixed/periodic penalty</w:t>
            </w:r>
          </w:p>
          <w:p w14:paraId="0796216C" w14:textId="7022EF30" w:rsidR="42911850" w:rsidRDefault="42911850">
            <w:pPr>
              <w:rPr>
                <w:noProof/>
              </w:rPr>
            </w:pPr>
            <w:r w:rsidRPr="42911850">
              <w:rPr>
                <w:rFonts w:ascii="Calibri" w:eastAsia="Calibri" w:hAnsi="Calibri" w:cs="Calibri"/>
                <w:noProof/>
                <w:sz w:val="16"/>
                <w:szCs w:val="16"/>
              </w:rPr>
              <w:t>Material scope: Failure to report. Injunctions and, fixed or periodic penalties attached to them, shall apply if a country-by-country report is not submitted.</w:t>
            </w:r>
          </w:p>
          <w:p w14:paraId="4FAC2C5E" w14:textId="36E1336B" w:rsidR="42911850" w:rsidRDefault="42911850">
            <w:pPr>
              <w:rPr>
                <w:noProof/>
              </w:rPr>
            </w:pPr>
            <w:r w:rsidRPr="42911850">
              <w:rPr>
                <w:rFonts w:ascii="Calibri" w:eastAsia="Calibri" w:hAnsi="Calibri" w:cs="Calibri"/>
                <w:noProof/>
                <w:sz w:val="16"/>
                <w:szCs w:val="16"/>
              </w:rPr>
              <w:t>Personal scope: Reporting entities (as defined in Directive 2011/16/EU as amended by DAC4 [Directive (EU) 2016/881]).</w:t>
            </w:r>
          </w:p>
          <w:p w14:paraId="60B960E7" w14:textId="4958BE7E" w:rsidR="42911850" w:rsidRDefault="42911850">
            <w:pPr>
              <w:rPr>
                <w:noProof/>
              </w:rPr>
            </w:pPr>
            <w:r w:rsidRPr="42911850">
              <w:rPr>
                <w:rFonts w:ascii="Calibri" w:eastAsia="Calibri" w:hAnsi="Calibri" w:cs="Calibri"/>
                <w:noProof/>
                <w:sz w:val="16"/>
                <w:szCs w:val="16"/>
              </w:rPr>
              <w:t>The legislation does not explicitly indicate if the fixed penalty applies per individual / cumulative infringements. However, there is no reason to expect that it could not be enforced breach-by-breach. Moreover, repeat offenses can be taken into account in determining the amount of the penalty or to impose a periodic penalty attached to the injunction.</w:t>
            </w:r>
          </w:p>
          <w:p w14:paraId="045D8885" w14:textId="551C7E71" w:rsidR="42911850" w:rsidRDefault="42911850">
            <w:pPr>
              <w:rPr>
                <w:noProof/>
              </w:rPr>
            </w:pPr>
            <w:r w:rsidRPr="42911850">
              <w:rPr>
                <w:rFonts w:ascii="Calibri" w:eastAsia="Calibri" w:hAnsi="Calibri" w:cs="Calibri"/>
                <w:noProof/>
                <w:sz w:val="16"/>
                <w:szCs w:val="16"/>
                <w:u w:val="single"/>
              </w:rPr>
              <w:t>Tax increase (in addition to the above penalty)</w:t>
            </w:r>
            <w:r w:rsidRPr="42911850">
              <w:rPr>
                <w:rFonts w:ascii="Calibri" w:eastAsia="Calibri" w:hAnsi="Calibri" w:cs="Calibri"/>
                <w:noProof/>
                <w:sz w:val="16"/>
                <w:szCs w:val="16"/>
              </w:rPr>
              <w:t>:</w:t>
            </w:r>
          </w:p>
          <w:p w14:paraId="3F7042F7" w14:textId="1EC8CAF1" w:rsidR="42911850" w:rsidRDefault="42911850">
            <w:pPr>
              <w:rPr>
                <w:noProof/>
              </w:rPr>
            </w:pPr>
            <w:r w:rsidRPr="42911850">
              <w:rPr>
                <w:rFonts w:ascii="Calibri" w:eastAsia="Calibri" w:hAnsi="Calibri" w:cs="Calibri"/>
                <w:noProof/>
                <w:sz w:val="16"/>
                <w:szCs w:val="16"/>
              </w:rPr>
              <w:t>Material scope: materially incomplete or incorrect country-by-country report.</w:t>
            </w:r>
          </w:p>
          <w:p w14:paraId="0BCD49DA" w14:textId="7767D7BD" w:rsidR="42911850" w:rsidRDefault="42911850">
            <w:pPr>
              <w:rPr>
                <w:noProof/>
              </w:rPr>
            </w:pPr>
            <w:r w:rsidRPr="42911850">
              <w:rPr>
                <w:rFonts w:ascii="Calibri" w:eastAsia="Calibri" w:hAnsi="Calibri" w:cs="Calibri"/>
                <w:noProof/>
                <w:sz w:val="16"/>
                <w:szCs w:val="16"/>
              </w:rPr>
              <w:t>Personal scope: Reporting entities (as defined in Directive 2011/16/EU as amended by DAC4 [Directive (EU) 2016/881])</w:t>
            </w:r>
          </w:p>
        </w:tc>
        <w:tc>
          <w:tcPr>
            <w:tcW w:w="1757" w:type="dxa"/>
            <w:tcBorders>
              <w:top w:val="single" w:sz="8" w:space="0" w:color="auto"/>
              <w:left w:val="single" w:sz="8" w:space="0" w:color="auto"/>
              <w:bottom w:val="single" w:sz="8" w:space="0" w:color="auto"/>
              <w:right w:val="single" w:sz="8" w:space="0" w:color="auto"/>
            </w:tcBorders>
          </w:tcPr>
          <w:p w14:paraId="59E4E113" w14:textId="6F93624F" w:rsidR="42911850" w:rsidRDefault="42911850">
            <w:pPr>
              <w:rPr>
                <w:noProof/>
              </w:rPr>
            </w:pPr>
            <w:r w:rsidRPr="42911850">
              <w:rPr>
                <w:rFonts w:ascii="Calibri" w:eastAsia="Calibri" w:hAnsi="Calibri" w:cs="Calibri"/>
                <w:noProof/>
                <w:sz w:val="16"/>
                <w:szCs w:val="16"/>
              </w:rPr>
              <w:t xml:space="preserve">Unspecified. The fixed/periodic penalty shall be set at an amount which, in view of addressee’s economic situation and other circumstances, is likely to induce compliance with the injunction. </w:t>
            </w:r>
          </w:p>
          <w:p w14:paraId="1549F269" w14:textId="716F9C95" w:rsidR="42911850" w:rsidRDefault="42911850">
            <w:pPr>
              <w:rPr>
                <w:noProof/>
              </w:rPr>
            </w:pPr>
            <w:r w:rsidRPr="42911850">
              <w:rPr>
                <w:rFonts w:ascii="Calibri" w:eastAsia="Calibri" w:hAnsi="Calibri" w:cs="Calibri"/>
                <w:noProof/>
                <w:sz w:val="18"/>
                <w:szCs w:val="18"/>
              </w:rPr>
              <w:t xml:space="preserve"> </w:t>
            </w:r>
          </w:p>
          <w:p w14:paraId="6D2B66E4" w14:textId="7BBBCAEA" w:rsidR="42911850" w:rsidRDefault="42911850">
            <w:pPr>
              <w:rPr>
                <w:noProof/>
              </w:rPr>
            </w:pPr>
            <w:r w:rsidRPr="42911850">
              <w:rPr>
                <w:rFonts w:ascii="Calibri" w:eastAsia="Calibri" w:hAnsi="Calibri" w:cs="Calibri"/>
                <w:noProof/>
                <w:sz w:val="18"/>
                <w:szCs w:val="18"/>
              </w:rPr>
              <w:t xml:space="preserve"> </w:t>
            </w:r>
          </w:p>
          <w:p w14:paraId="198913A7" w14:textId="1D8A78AA" w:rsidR="42911850" w:rsidRDefault="42911850">
            <w:pPr>
              <w:rPr>
                <w:noProof/>
              </w:rPr>
            </w:pPr>
            <w:r w:rsidRPr="42911850">
              <w:rPr>
                <w:rFonts w:ascii="Calibri" w:eastAsia="Calibri" w:hAnsi="Calibri" w:cs="Calibri"/>
                <w:noProof/>
                <w:sz w:val="16"/>
                <w:szCs w:val="16"/>
              </w:rPr>
              <w:t xml:space="preserve"> </w:t>
            </w:r>
          </w:p>
          <w:p w14:paraId="3AA16613" w14:textId="148DB7F1" w:rsidR="42911850" w:rsidRDefault="42911850">
            <w:pPr>
              <w:rPr>
                <w:noProof/>
              </w:rPr>
            </w:pPr>
            <w:r w:rsidRPr="42911850">
              <w:rPr>
                <w:rFonts w:ascii="Calibri" w:eastAsia="Calibri" w:hAnsi="Calibri" w:cs="Calibri"/>
                <w:noProof/>
                <w:sz w:val="16"/>
                <w:szCs w:val="16"/>
              </w:rPr>
              <w:t xml:space="preserve"> </w:t>
            </w:r>
          </w:p>
          <w:p w14:paraId="3ECEF56A" w14:textId="0BDE5D6D" w:rsidR="42911850" w:rsidRDefault="42911850">
            <w:pPr>
              <w:rPr>
                <w:noProof/>
              </w:rPr>
            </w:pPr>
            <w:r w:rsidRPr="42911850">
              <w:rPr>
                <w:rFonts w:ascii="Calibri" w:eastAsia="Calibri" w:hAnsi="Calibri" w:cs="Calibri"/>
                <w:noProof/>
                <w:sz w:val="16"/>
                <w:szCs w:val="16"/>
              </w:rPr>
              <w:t>Unspecified. Tax administration may reduce the amount of tax increase (i.e. fully or partially exempt from the 40% main rule) in case it would be unreasonable to impose it in full.</w:t>
            </w:r>
          </w:p>
        </w:tc>
        <w:tc>
          <w:tcPr>
            <w:tcW w:w="2175" w:type="dxa"/>
            <w:tcBorders>
              <w:top w:val="single" w:sz="8" w:space="0" w:color="auto"/>
              <w:left w:val="single" w:sz="8" w:space="0" w:color="auto"/>
              <w:bottom w:val="single" w:sz="8" w:space="0" w:color="auto"/>
              <w:right w:val="single" w:sz="8" w:space="0" w:color="auto"/>
            </w:tcBorders>
          </w:tcPr>
          <w:p w14:paraId="5FB26AF8" w14:textId="19D35A13" w:rsidR="42911850" w:rsidRDefault="42911850">
            <w:pPr>
              <w:rPr>
                <w:noProof/>
              </w:rPr>
            </w:pPr>
            <w:r w:rsidRPr="42911850">
              <w:rPr>
                <w:rFonts w:ascii="Calibri" w:eastAsia="Calibri" w:hAnsi="Calibri" w:cs="Calibri"/>
                <w:noProof/>
                <w:sz w:val="16"/>
                <w:szCs w:val="16"/>
              </w:rPr>
              <w:t>Unspecified. The fixed/periodic penalty shall be set at an amount which, in view of addressee’s economic situation and other circumstances, is likely to induce compliance with the injunction.</w:t>
            </w:r>
          </w:p>
          <w:p w14:paraId="19C2CCA3" w14:textId="59D71847" w:rsidR="42911850" w:rsidRDefault="42911850">
            <w:pPr>
              <w:rPr>
                <w:noProof/>
              </w:rPr>
            </w:pPr>
            <w:r w:rsidRPr="42911850">
              <w:rPr>
                <w:rFonts w:ascii="Calibri" w:eastAsia="Calibri" w:hAnsi="Calibri" w:cs="Calibri"/>
                <w:noProof/>
                <w:sz w:val="18"/>
                <w:szCs w:val="18"/>
              </w:rPr>
              <w:t xml:space="preserve"> </w:t>
            </w:r>
          </w:p>
          <w:p w14:paraId="54F144F9" w14:textId="630C06D5" w:rsidR="42911850" w:rsidRDefault="42911850">
            <w:pPr>
              <w:rPr>
                <w:noProof/>
              </w:rPr>
            </w:pPr>
            <w:r w:rsidRPr="42911850">
              <w:rPr>
                <w:rFonts w:ascii="Calibri" w:eastAsia="Calibri" w:hAnsi="Calibri" w:cs="Calibri"/>
                <w:noProof/>
                <w:sz w:val="18"/>
                <w:szCs w:val="18"/>
              </w:rPr>
              <w:t xml:space="preserve"> </w:t>
            </w:r>
          </w:p>
          <w:p w14:paraId="7B061FDF" w14:textId="073C9F2A" w:rsidR="42911850" w:rsidRDefault="42911850">
            <w:pPr>
              <w:rPr>
                <w:noProof/>
              </w:rPr>
            </w:pPr>
            <w:r w:rsidRPr="42911850">
              <w:rPr>
                <w:rFonts w:ascii="Calibri" w:eastAsia="Calibri" w:hAnsi="Calibri" w:cs="Calibri"/>
                <w:noProof/>
                <w:sz w:val="18"/>
                <w:szCs w:val="18"/>
              </w:rPr>
              <w:t xml:space="preserve"> </w:t>
            </w:r>
          </w:p>
          <w:p w14:paraId="09B4BA1E" w14:textId="60A00D58" w:rsidR="42911850" w:rsidRDefault="42911850">
            <w:pPr>
              <w:rPr>
                <w:noProof/>
              </w:rPr>
            </w:pPr>
            <w:r w:rsidRPr="42911850">
              <w:rPr>
                <w:rFonts w:ascii="Calibri" w:eastAsia="Calibri" w:hAnsi="Calibri" w:cs="Calibri"/>
                <w:noProof/>
                <w:sz w:val="18"/>
                <w:szCs w:val="18"/>
              </w:rPr>
              <w:t xml:space="preserve"> </w:t>
            </w:r>
          </w:p>
          <w:p w14:paraId="6A6EE86E" w14:textId="6EF97B0E" w:rsidR="42911850" w:rsidRDefault="42911850">
            <w:pPr>
              <w:rPr>
                <w:noProof/>
              </w:rPr>
            </w:pPr>
            <w:r>
              <w:rPr>
                <w:noProof/>
              </w:rPr>
              <w:br/>
            </w:r>
            <w:r w:rsidRPr="42911850">
              <w:rPr>
                <w:rFonts w:ascii="Calibri" w:eastAsia="Calibri" w:hAnsi="Calibri" w:cs="Calibri"/>
                <w:noProof/>
                <w:sz w:val="16"/>
                <w:szCs w:val="16"/>
              </w:rPr>
              <w:t>40% of the amount of tax that would have been left non-imposed in case assessment had been based on the inaccurate information</w:t>
            </w:r>
            <w:r w:rsidRPr="42911850">
              <w:rPr>
                <w:rFonts w:ascii="Calibri" w:eastAsia="Calibri" w:hAnsi="Calibri" w:cs="Calibri"/>
                <w:noProof/>
                <w:sz w:val="18"/>
                <w:szCs w:val="18"/>
              </w:rPr>
              <w:t>.</w:t>
            </w:r>
          </w:p>
        </w:tc>
      </w:tr>
      <w:tr w:rsidR="42911850" w14:paraId="7821F0E8"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303FFF2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7A4CEDB" w14:textId="60905172"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54A78162" w14:textId="6F9872D9" w:rsidR="42911850" w:rsidRDefault="42911850">
            <w:pPr>
              <w:rPr>
                <w:noProof/>
              </w:rPr>
            </w:pPr>
            <w:r w:rsidRPr="42911850">
              <w:rPr>
                <w:rFonts w:ascii="Calibri" w:eastAsia="Calibri" w:hAnsi="Calibri" w:cs="Calibri"/>
                <w:noProof/>
                <w:sz w:val="16"/>
                <w:szCs w:val="16"/>
                <w:u w:val="single"/>
              </w:rPr>
              <w:t>Penalty fee 1</w:t>
            </w:r>
          </w:p>
          <w:p w14:paraId="5E197585" w14:textId="0B86E202" w:rsidR="42911850" w:rsidRDefault="42911850">
            <w:pPr>
              <w:rPr>
                <w:noProof/>
              </w:rPr>
            </w:pPr>
            <w:r w:rsidRPr="42911850">
              <w:rPr>
                <w:rFonts w:ascii="Calibri" w:eastAsia="Calibri" w:hAnsi="Calibri" w:cs="Calibri"/>
                <w:noProof/>
                <w:sz w:val="16"/>
                <w:szCs w:val="16"/>
              </w:rPr>
              <w:t>Material scope: Failure to report, incomplete or incorrect reporting.</w:t>
            </w:r>
          </w:p>
          <w:p w14:paraId="57092EFF" w14:textId="61DBAC12" w:rsidR="42911850" w:rsidRDefault="42911850">
            <w:pPr>
              <w:rPr>
                <w:noProof/>
              </w:rPr>
            </w:pPr>
            <w:r w:rsidRPr="42911850">
              <w:rPr>
                <w:rFonts w:ascii="Calibri" w:eastAsia="Calibri" w:hAnsi="Calibri" w:cs="Calibri"/>
                <w:noProof/>
                <w:sz w:val="16"/>
                <w:szCs w:val="16"/>
              </w:rPr>
              <w:t>Personal scope: Intermediaries (advisers); relevant taxpayers (users of the reportable arrangements)</w:t>
            </w:r>
          </w:p>
          <w:p w14:paraId="58EDF364" w14:textId="5867902C" w:rsidR="42911850" w:rsidRDefault="42911850">
            <w:pPr>
              <w:rPr>
                <w:noProof/>
              </w:rPr>
            </w:pPr>
            <w:r w:rsidRPr="42911850">
              <w:rPr>
                <w:rFonts w:ascii="Calibri" w:eastAsia="Calibri" w:hAnsi="Calibri" w:cs="Calibri"/>
                <w:noProof/>
                <w:sz w:val="16"/>
                <w:szCs w:val="16"/>
              </w:rPr>
              <w:t>The legislation explicitly provides that the penalty fee (1) applies per each individual reportable arrangement and each quarterly report required.</w:t>
            </w:r>
          </w:p>
          <w:p w14:paraId="79F537E7" w14:textId="72F968A2" w:rsidR="42911850" w:rsidRDefault="42911850">
            <w:pPr>
              <w:rPr>
                <w:noProof/>
              </w:rPr>
            </w:pPr>
            <w:r w:rsidRPr="42911850">
              <w:rPr>
                <w:rFonts w:ascii="Calibri" w:eastAsia="Calibri" w:hAnsi="Calibri" w:cs="Calibri"/>
                <w:noProof/>
                <w:sz w:val="16"/>
                <w:szCs w:val="16"/>
                <w:u w:val="single"/>
              </w:rPr>
              <w:t>Penalty fee 2</w:t>
            </w:r>
          </w:p>
          <w:p w14:paraId="6FB8B071" w14:textId="12E56A6C" w:rsidR="42911850" w:rsidRDefault="42911850">
            <w:pPr>
              <w:rPr>
                <w:noProof/>
              </w:rPr>
            </w:pPr>
            <w:r w:rsidRPr="42911850">
              <w:rPr>
                <w:rFonts w:ascii="Calibri" w:eastAsia="Calibri" w:hAnsi="Calibri" w:cs="Calibri"/>
                <w:noProof/>
                <w:sz w:val="16"/>
                <w:szCs w:val="16"/>
              </w:rPr>
              <w:t>Material scope: Late (over 60 days) reporting.</w:t>
            </w:r>
          </w:p>
          <w:p w14:paraId="75939296" w14:textId="1B8C2D00" w:rsidR="42911850" w:rsidRDefault="42911850">
            <w:pPr>
              <w:rPr>
                <w:noProof/>
              </w:rPr>
            </w:pPr>
            <w:r w:rsidRPr="42911850">
              <w:rPr>
                <w:rFonts w:ascii="Calibri" w:eastAsia="Calibri" w:hAnsi="Calibri" w:cs="Calibri"/>
                <w:noProof/>
                <w:sz w:val="16"/>
                <w:szCs w:val="16"/>
              </w:rPr>
              <w:t>Personal scope: Intermediaries (advisers); relevant taxpayers (users of the reportable arrangements)</w:t>
            </w:r>
          </w:p>
          <w:p w14:paraId="12F0036D" w14:textId="26FADB0E" w:rsidR="42911850" w:rsidRDefault="42911850">
            <w:pPr>
              <w:rPr>
                <w:noProof/>
              </w:rPr>
            </w:pPr>
            <w:r w:rsidRPr="42911850">
              <w:rPr>
                <w:rFonts w:ascii="Calibri" w:eastAsia="Calibri" w:hAnsi="Calibri" w:cs="Calibri"/>
                <w:noProof/>
                <w:sz w:val="16"/>
                <w:szCs w:val="16"/>
              </w:rPr>
              <w:t>The legislation does not explicitly indicate if the penalty fee (2) applies per individual / cumulative infringements. However, there is no reason to expect that it could not be enforced breach-by-breach.</w:t>
            </w:r>
          </w:p>
          <w:p w14:paraId="5E83F4EF" w14:textId="318B0B16" w:rsidR="42911850" w:rsidRDefault="42911850">
            <w:pPr>
              <w:rPr>
                <w:noProof/>
              </w:rPr>
            </w:pPr>
            <w:r w:rsidRPr="42911850">
              <w:rPr>
                <w:rFonts w:ascii="Calibri" w:eastAsia="Calibri" w:hAnsi="Calibri" w:cs="Calibri"/>
                <w:noProof/>
                <w:sz w:val="16"/>
                <w:szCs w:val="16"/>
              </w:rPr>
              <w:t>NB! The penalty (2) is fixed at SEK 20.000 (advisers) and SEK 10.000 (users) but if the infringement is committed in the course of the economic activity of the adviser/user liable to report, the amount of the penalty depends on the turnover in the previous financial year:</w:t>
            </w:r>
          </w:p>
          <w:p w14:paraId="38FABA9D" w14:textId="457E5459" w:rsidR="42911850" w:rsidRDefault="42911850">
            <w:pPr>
              <w:rPr>
                <w:noProof/>
              </w:rPr>
            </w:pPr>
            <w:r w:rsidRPr="42911850">
              <w:rPr>
                <w:rFonts w:ascii="Calibri" w:eastAsia="Calibri" w:hAnsi="Calibri" w:cs="Calibri"/>
                <w:noProof/>
                <w:sz w:val="16"/>
                <w:szCs w:val="16"/>
              </w:rPr>
              <w:t>Turnover at least SEK 15.000.000 (EUR 1.462.415) but under SEK 75.000.000 (EUR 7.312.079):</w:t>
            </w:r>
            <w:r>
              <w:rPr>
                <w:noProof/>
              </w:rPr>
              <w:br/>
            </w:r>
            <w:r w:rsidRPr="42911850">
              <w:rPr>
                <w:rFonts w:ascii="Calibri" w:eastAsia="Calibri" w:hAnsi="Calibri" w:cs="Calibri"/>
                <w:noProof/>
                <w:sz w:val="16"/>
                <w:szCs w:val="16"/>
              </w:rPr>
              <w:t xml:space="preserve"> SEK 30.000 (EUR 2.925) advisers</w:t>
            </w:r>
            <w:r>
              <w:rPr>
                <w:noProof/>
              </w:rPr>
              <w:br/>
            </w:r>
            <w:r w:rsidRPr="42911850">
              <w:rPr>
                <w:rFonts w:ascii="Calibri" w:eastAsia="Calibri" w:hAnsi="Calibri" w:cs="Calibri"/>
                <w:noProof/>
                <w:sz w:val="16"/>
                <w:szCs w:val="16"/>
              </w:rPr>
              <w:t xml:space="preserve"> SEK 15.000 (EUR 1.462) users</w:t>
            </w:r>
          </w:p>
          <w:p w14:paraId="4A0075C7" w14:textId="02BB24A1" w:rsidR="42911850" w:rsidRDefault="42911850">
            <w:pPr>
              <w:rPr>
                <w:noProof/>
              </w:rPr>
            </w:pPr>
            <w:r w:rsidRPr="42911850">
              <w:rPr>
                <w:rFonts w:ascii="Calibri" w:eastAsia="Calibri" w:hAnsi="Calibri" w:cs="Calibri"/>
                <w:noProof/>
                <w:sz w:val="16"/>
                <w:szCs w:val="16"/>
              </w:rPr>
              <w:t>Turnover at least SEK 75.000.000 (EUR 7.312.079) but under SEK 500.000.000 (EUR 48.747.197):</w:t>
            </w:r>
            <w:r>
              <w:rPr>
                <w:noProof/>
              </w:rPr>
              <w:br/>
            </w:r>
            <w:r w:rsidRPr="42911850">
              <w:rPr>
                <w:rFonts w:ascii="Calibri" w:eastAsia="Calibri" w:hAnsi="Calibri" w:cs="Calibri"/>
                <w:noProof/>
                <w:sz w:val="16"/>
                <w:szCs w:val="16"/>
              </w:rPr>
              <w:t xml:space="preserve"> SEK 60.000 (EUR 5.850) advisers</w:t>
            </w:r>
            <w:r>
              <w:rPr>
                <w:noProof/>
              </w:rPr>
              <w:br/>
            </w:r>
            <w:r w:rsidRPr="42911850">
              <w:rPr>
                <w:rFonts w:ascii="Calibri" w:eastAsia="Calibri" w:hAnsi="Calibri" w:cs="Calibri"/>
                <w:noProof/>
                <w:sz w:val="16"/>
                <w:szCs w:val="16"/>
              </w:rPr>
              <w:t xml:space="preserve"> SEK 30.000 (EUR 2.925) users</w:t>
            </w:r>
          </w:p>
          <w:p w14:paraId="6E8B43A1" w14:textId="0A2797F7" w:rsidR="42911850" w:rsidRDefault="42911850">
            <w:pPr>
              <w:rPr>
                <w:noProof/>
              </w:rPr>
            </w:pPr>
            <w:r w:rsidRPr="42911850">
              <w:rPr>
                <w:rFonts w:ascii="Calibri" w:eastAsia="Calibri" w:hAnsi="Calibri" w:cs="Calibri"/>
                <w:noProof/>
                <w:sz w:val="16"/>
                <w:szCs w:val="16"/>
              </w:rPr>
              <w:t>Turnover at least SEK 500.000.000 (EUR 48.747.197):</w:t>
            </w:r>
            <w:r>
              <w:rPr>
                <w:noProof/>
              </w:rPr>
              <w:br/>
            </w:r>
            <w:r w:rsidRPr="42911850">
              <w:rPr>
                <w:rFonts w:ascii="Calibri" w:eastAsia="Calibri" w:hAnsi="Calibri" w:cs="Calibri"/>
                <w:noProof/>
                <w:sz w:val="16"/>
                <w:szCs w:val="16"/>
              </w:rPr>
              <w:t xml:space="preserve"> SEK 150.000 (EUR 14.624) advisers</w:t>
            </w:r>
            <w:r>
              <w:rPr>
                <w:noProof/>
              </w:rPr>
              <w:br/>
            </w:r>
            <w:r w:rsidRPr="42911850">
              <w:rPr>
                <w:rFonts w:ascii="Calibri" w:eastAsia="Calibri" w:hAnsi="Calibri" w:cs="Calibri"/>
                <w:noProof/>
                <w:sz w:val="16"/>
                <w:szCs w:val="16"/>
              </w:rPr>
              <w:t xml:space="preserve"> SEK 75.000 (EUR 7.312) users</w:t>
            </w:r>
          </w:p>
          <w:p w14:paraId="44F8CF76" w14:textId="27E73F69" w:rsidR="42911850" w:rsidRDefault="42911850">
            <w:pPr>
              <w:rPr>
                <w:noProof/>
              </w:rPr>
            </w:pPr>
            <w:r w:rsidRPr="42911850">
              <w:rPr>
                <w:rFonts w:ascii="Calibri" w:eastAsia="Calibri" w:hAnsi="Calibri" w:cs="Calibri"/>
                <w:noProof/>
                <w:sz w:val="16"/>
                <w:szCs w:val="16"/>
              </w:rPr>
              <w:t>Should the length of the previous financial year differ from 12 months the amounts of the penalties are adjusted pro-rata accordingly.</w:t>
            </w:r>
          </w:p>
          <w:p w14:paraId="2477BEED" w14:textId="62D29BBC" w:rsidR="42911850" w:rsidRDefault="42911850">
            <w:pPr>
              <w:rPr>
                <w:noProof/>
              </w:rPr>
            </w:pPr>
            <w:r w:rsidRPr="42911850">
              <w:rPr>
                <w:rFonts w:ascii="Calibri" w:eastAsia="Calibri" w:hAnsi="Calibri" w:cs="Calibri"/>
                <w:noProof/>
                <w:sz w:val="16"/>
                <w:szCs w:val="16"/>
              </w:rPr>
              <w:t>Legislation does not explicitly indicate if these penalties apply per individual / cumulative infringements.</w:t>
            </w:r>
          </w:p>
          <w:p w14:paraId="403DEB95" w14:textId="2F137E72" w:rsidR="42911850" w:rsidRDefault="42911850">
            <w:pPr>
              <w:rPr>
                <w:noProof/>
              </w:rPr>
            </w:pPr>
            <w:r w:rsidRPr="42911850">
              <w:rPr>
                <w:rFonts w:ascii="Calibri" w:eastAsia="Calibri" w:hAnsi="Calibri" w:cs="Calibri"/>
                <w:noProof/>
                <w:sz w:val="16"/>
                <w:szCs w:val="16"/>
                <w:u w:val="single"/>
              </w:rPr>
              <w:t>Tax increase (in addition to the above penalties)</w:t>
            </w:r>
            <w:r w:rsidRPr="42911850">
              <w:rPr>
                <w:rFonts w:ascii="Calibri" w:eastAsia="Calibri" w:hAnsi="Calibri" w:cs="Calibri"/>
                <w:noProof/>
                <w:sz w:val="16"/>
                <w:szCs w:val="16"/>
              </w:rPr>
              <w:t>:</w:t>
            </w:r>
          </w:p>
          <w:p w14:paraId="176C159A" w14:textId="78118017" w:rsidR="42911850" w:rsidRDefault="42911850">
            <w:pPr>
              <w:rPr>
                <w:noProof/>
              </w:rPr>
            </w:pPr>
            <w:r w:rsidRPr="42911850">
              <w:rPr>
                <w:rFonts w:ascii="Calibri" w:eastAsia="Calibri" w:hAnsi="Calibri" w:cs="Calibri"/>
                <w:noProof/>
                <w:sz w:val="16"/>
                <w:szCs w:val="16"/>
              </w:rPr>
              <w:t xml:space="preserve">Material scope: materially incomplete or incorrect reporting/submission of required information </w:t>
            </w:r>
          </w:p>
          <w:p w14:paraId="2F8C62ED" w14:textId="449D0458" w:rsidR="42911850" w:rsidRDefault="42911850">
            <w:pPr>
              <w:rPr>
                <w:noProof/>
              </w:rPr>
            </w:pPr>
            <w:r w:rsidRPr="42911850">
              <w:rPr>
                <w:rFonts w:ascii="Calibri" w:eastAsia="Calibri" w:hAnsi="Calibri" w:cs="Calibri"/>
                <w:noProof/>
                <w:sz w:val="16"/>
                <w:szCs w:val="16"/>
              </w:rPr>
              <w:t>Personal scope: Relevant taxpayers (users of the reportable arrangements)</w:t>
            </w:r>
          </w:p>
        </w:tc>
        <w:tc>
          <w:tcPr>
            <w:tcW w:w="1757" w:type="dxa"/>
            <w:tcBorders>
              <w:top w:val="single" w:sz="8" w:space="0" w:color="auto"/>
              <w:left w:val="single" w:sz="8" w:space="0" w:color="auto"/>
              <w:bottom w:val="single" w:sz="8" w:space="0" w:color="auto"/>
              <w:right w:val="single" w:sz="8" w:space="0" w:color="auto"/>
            </w:tcBorders>
          </w:tcPr>
          <w:p w14:paraId="2C65016D" w14:textId="586948F0" w:rsidR="42911850" w:rsidRDefault="42911850">
            <w:pPr>
              <w:rPr>
                <w:noProof/>
              </w:rPr>
            </w:pPr>
            <w:r w:rsidRPr="42911850">
              <w:rPr>
                <w:rFonts w:ascii="Calibri" w:eastAsia="Calibri" w:hAnsi="Calibri" w:cs="Calibri"/>
                <w:noProof/>
                <w:sz w:val="16"/>
                <w:szCs w:val="16"/>
              </w:rPr>
              <w:t xml:space="preserve">SEK 15.000 (EUR 1.462) for advisers and SEK 7.500 (EUR 731) for users </w:t>
            </w:r>
          </w:p>
          <w:p w14:paraId="1A2F9E71" w14:textId="05270876" w:rsidR="42911850" w:rsidRDefault="42911850">
            <w:pPr>
              <w:rPr>
                <w:noProof/>
              </w:rPr>
            </w:pPr>
            <w:r w:rsidRPr="42911850">
              <w:rPr>
                <w:rFonts w:ascii="Calibri" w:eastAsia="Calibri" w:hAnsi="Calibri" w:cs="Calibri"/>
                <w:noProof/>
                <w:sz w:val="18"/>
                <w:szCs w:val="18"/>
              </w:rPr>
              <w:t xml:space="preserve"> </w:t>
            </w:r>
          </w:p>
          <w:p w14:paraId="2881C789" w14:textId="737D77F4" w:rsidR="42911850" w:rsidRDefault="42911850">
            <w:pPr>
              <w:rPr>
                <w:noProof/>
              </w:rPr>
            </w:pPr>
            <w:r w:rsidRPr="42911850">
              <w:rPr>
                <w:rFonts w:ascii="Calibri" w:eastAsia="Calibri" w:hAnsi="Calibri" w:cs="Calibri"/>
                <w:noProof/>
                <w:sz w:val="18"/>
                <w:szCs w:val="18"/>
              </w:rPr>
              <w:t xml:space="preserve"> </w:t>
            </w:r>
          </w:p>
          <w:p w14:paraId="597173F3" w14:textId="4C48B943" w:rsidR="42911850" w:rsidRDefault="42911850">
            <w:pPr>
              <w:rPr>
                <w:noProof/>
              </w:rPr>
            </w:pPr>
            <w:r w:rsidRPr="42911850">
              <w:rPr>
                <w:rFonts w:ascii="Calibri" w:eastAsia="Calibri" w:hAnsi="Calibri" w:cs="Calibri"/>
                <w:noProof/>
                <w:sz w:val="18"/>
                <w:szCs w:val="18"/>
              </w:rPr>
              <w:t xml:space="preserve"> </w:t>
            </w:r>
          </w:p>
          <w:p w14:paraId="3139B11B" w14:textId="6C0E1BC4" w:rsidR="42911850" w:rsidRDefault="42911850">
            <w:pPr>
              <w:rPr>
                <w:noProof/>
              </w:rPr>
            </w:pPr>
            <w:r w:rsidRPr="42911850">
              <w:rPr>
                <w:rFonts w:ascii="Calibri" w:eastAsia="Calibri" w:hAnsi="Calibri" w:cs="Calibri"/>
                <w:noProof/>
                <w:sz w:val="16"/>
                <w:szCs w:val="16"/>
              </w:rPr>
              <w:t>SEK 20.000 (EUR 1.950) advisers</w:t>
            </w:r>
            <w:r>
              <w:rPr>
                <w:noProof/>
              </w:rPr>
              <w:br/>
            </w:r>
            <w:r w:rsidRPr="42911850">
              <w:rPr>
                <w:rFonts w:ascii="Calibri" w:eastAsia="Calibri" w:hAnsi="Calibri" w:cs="Calibri"/>
                <w:noProof/>
                <w:sz w:val="16"/>
                <w:szCs w:val="16"/>
              </w:rPr>
              <w:t xml:space="preserve"> SEK 10.000 (EUR 975) users</w:t>
            </w:r>
          </w:p>
          <w:p w14:paraId="48CF6FD4" w14:textId="79000CB2" w:rsidR="42911850" w:rsidRDefault="42911850">
            <w:pPr>
              <w:rPr>
                <w:noProof/>
              </w:rPr>
            </w:pPr>
            <w:r w:rsidRPr="42911850">
              <w:rPr>
                <w:rFonts w:ascii="Calibri" w:eastAsia="Calibri" w:hAnsi="Calibri" w:cs="Calibri"/>
                <w:noProof/>
                <w:sz w:val="16"/>
                <w:szCs w:val="16"/>
              </w:rPr>
              <w:t xml:space="preserve"> </w:t>
            </w:r>
          </w:p>
          <w:p w14:paraId="6B1294B2" w14:textId="5770E495" w:rsidR="42911850" w:rsidRDefault="42911850">
            <w:pPr>
              <w:rPr>
                <w:noProof/>
              </w:rPr>
            </w:pPr>
            <w:r w:rsidRPr="42911850">
              <w:rPr>
                <w:rFonts w:ascii="Calibri" w:eastAsia="Calibri" w:hAnsi="Calibri" w:cs="Calibri"/>
                <w:noProof/>
                <w:sz w:val="16"/>
                <w:szCs w:val="16"/>
              </w:rPr>
              <w:t xml:space="preserve"> </w:t>
            </w:r>
          </w:p>
          <w:p w14:paraId="50725168" w14:textId="17FA8328" w:rsidR="42911850" w:rsidRDefault="42911850">
            <w:pPr>
              <w:rPr>
                <w:noProof/>
              </w:rPr>
            </w:pPr>
            <w:r w:rsidRPr="42911850">
              <w:rPr>
                <w:rFonts w:ascii="Calibri" w:eastAsia="Calibri" w:hAnsi="Calibri" w:cs="Calibri"/>
                <w:noProof/>
                <w:sz w:val="16"/>
                <w:szCs w:val="16"/>
              </w:rPr>
              <w:t xml:space="preserve"> </w:t>
            </w:r>
          </w:p>
          <w:p w14:paraId="1A75E790" w14:textId="3C161D74" w:rsidR="42911850" w:rsidRDefault="42911850">
            <w:pPr>
              <w:rPr>
                <w:noProof/>
              </w:rPr>
            </w:pPr>
            <w:r w:rsidRPr="42911850">
              <w:rPr>
                <w:rFonts w:ascii="Calibri" w:eastAsia="Calibri" w:hAnsi="Calibri" w:cs="Calibri"/>
                <w:noProof/>
                <w:sz w:val="16"/>
                <w:szCs w:val="16"/>
              </w:rPr>
              <w:t>Turnover at least SEK 15.000.000 (EUR 1.462.415):</w:t>
            </w:r>
            <w:r>
              <w:rPr>
                <w:noProof/>
              </w:rPr>
              <w:br/>
            </w:r>
            <w:r w:rsidRPr="42911850">
              <w:rPr>
                <w:rFonts w:ascii="Calibri" w:eastAsia="Calibri" w:hAnsi="Calibri" w:cs="Calibri"/>
                <w:noProof/>
                <w:sz w:val="16"/>
                <w:szCs w:val="16"/>
              </w:rPr>
              <w:t xml:space="preserve"> SEK 30.000 (EUR 2.925) advisers</w:t>
            </w:r>
            <w:r>
              <w:rPr>
                <w:noProof/>
              </w:rPr>
              <w:br/>
            </w:r>
            <w:r w:rsidRPr="42911850">
              <w:rPr>
                <w:rFonts w:ascii="Calibri" w:eastAsia="Calibri" w:hAnsi="Calibri" w:cs="Calibri"/>
                <w:noProof/>
                <w:sz w:val="16"/>
                <w:szCs w:val="16"/>
              </w:rPr>
              <w:t xml:space="preserve"> SEK 15.000 (EUR 1.462) users</w:t>
            </w:r>
          </w:p>
          <w:p w14:paraId="682A60BF" w14:textId="165D9E9C" w:rsidR="42911850" w:rsidRDefault="42911850">
            <w:pPr>
              <w:rPr>
                <w:noProof/>
              </w:rPr>
            </w:pPr>
            <w:r w:rsidRPr="42911850">
              <w:rPr>
                <w:rFonts w:ascii="Calibri" w:eastAsia="Calibri" w:hAnsi="Calibri" w:cs="Calibri"/>
                <w:noProof/>
                <w:sz w:val="18"/>
                <w:szCs w:val="18"/>
              </w:rPr>
              <w:t xml:space="preserve"> </w:t>
            </w:r>
          </w:p>
          <w:p w14:paraId="2B2FA3F3" w14:textId="77635BB1" w:rsidR="42911850" w:rsidRDefault="42911850">
            <w:pPr>
              <w:rPr>
                <w:noProof/>
              </w:rPr>
            </w:pPr>
            <w:r w:rsidRPr="42911850">
              <w:rPr>
                <w:rFonts w:ascii="Calibri" w:eastAsia="Calibri" w:hAnsi="Calibri" w:cs="Calibri"/>
                <w:noProof/>
                <w:sz w:val="18"/>
                <w:szCs w:val="18"/>
              </w:rPr>
              <w:t xml:space="preserve"> </w:t>
            </w:r>
          </w:p>
          <w:p w14:paraId="2938C804" w14:textId="0F0A2026" w:rsidR="42911850" w:rsidRDefault="42911850">
            <w:pPr>
              <w:rPr>
                <w:noProof/>
              </w:rPr>
            </w:pPr>
            <w:r w:rsidRPr="42911850">
              <w:rPr>
                <w:rFonts w:ascii="Calibri" w:eastAsia="Calibri" w:hAnsi="Calibri" w:cs="Calibri"/>
                <w:noProof/>
                <w:sz w:val="18"/>
                <w:szCs w:val="18"/>
              </w:rPr>
              <w:t xml:space="preserve"> </w:t>
            </w:r>
          </w:p>
          <w:p w14:paraId="7BBFA4A1" w14:textId="7D494E42" w:rsidR="42911850" w:rsidRDefault="42911850">
            <w:pPr>
              <w:rPr>
                <w:noProof/>
              </w:rPr>
            </w:pPr>
            <w:r w:rsidRPr="42911850">
              <w:rPr>
                <w:rFonts w:ascii="Calibri" w:eastAsia="Calibri" w:hAnsi="Calibri" w:cs="Calibri"/>
                <w:noProof/>
                <w:sz w:val="18"/>
                <w:szCs w:val="18"/>
              </w:rPr>
              <w:t xml:space="preserve"> </w:t>
            </w:r>
          </w:p>
          <w:p w14:paraId="36CA50A1" w14:textId="6E90969D" w:rsidR="42911850" w:rsidRDefault="42911850">
            <w:pPr>
              <w:rPr>
                <w:noProof/>
              </w:rPr>
            </w:pPr>
            <w:r w:rsidRPr="42911850">
              <w:rPr>
                <w:rFonts w:ascii="Calibri" w:eastAsia="Calibri" w:hAnsi="Calibri" w:cs="Calibri"/>
                <w:noProof/>
                <w:sz w:val="18"/>
                <w:szCs w:val="18"/>
              </w:rPr>
              <w:t xml:space="preserve"> </w:t>
            </w:r>
          </w:p>
          <w:p w14:paraId="457635B0" w14:textId="7439A765" w:rsidR="42911850" w:rsidRDefault="42911850">
            <w:pPr>
              <w:rPr>
                <w:noProof/>
              </w:rPr>
            </w:pPr>
            <w:r w:rsidRPr="42911850">
              <w:rPr>
                <w:rFonts w:ascii="Calibri" w:eastAsia="Calibri" w:hAnsi="Calibri" w:cs="Calibri"/>
                <w:noProof/>
                <w:sz w:val="18"/>
                <w:szCs w:val="18"/>
              </w:rPr>
              <w:t xml:space="preserve"> </w:t>
            </w:r>
          </w:p>
          <w:p w14:paraId="2E00ABFE" w14:textId="04191854" w:rsidR="42911850" w:rsidRDefault="42911850">
            <w:pPr>
              <w:rPr>
                <w:noProof/>
              </w:rPr>
            </w:pPr>
            <w:r w:rsidRPr="42911850">
              <w:rPr>
                <w:rFonts w:ascii="Calibri" w:eastAsia="Calibri" w:hAnsi="Calibri" w:cs="Calibri"/>
                <w:noProof/>
                <w:sz w:val="18"/>
                <w:szCs w:val="18"/>
              </w:rPr>
              <w:t xml:space="preserve"> </w:t>
            </w:r>
          </w:p>
          <w:p w14:paraId="1E62388A" w14:textId="6C72C35C" w:rsidR="42911850" w:rsidRDefault="42911850">
            <w:pPr>
              <w:rPr>
                <w:noProof/>
              </w:rPr>
            </w:pPr>
            <w:r w:rsidRPr="42911850">
              <w:rPr>
                <w:rFonts w:ascii="Calibri" w:eastAsia="Calibri" w:hAnsi="Calibri" w:cs="Calibri"/>
                <w:noProof/>
                <w:sz w:val="18"/>
                <w:szCs w:val="18"/>
              </w:rPr>
              <w:t xml:space="preserve"> </w:t>
            </w:r>
          </w:p>
          <w:p w14:paraId="2EB13AB8" w14:textId="27499F8E" w:rsidR="42911850" w:rsidRDefault="42911850">
            <w:pPr>
              <w:rPr>
                <w:noProof/>
              </w:rPr>
            </w:pPr>
            <w:r w:rsidRPr="42911850">
              <w:rPr>
                <w:rFonts w:ascii="Calibri" w:eastAsia="Calibri" w:hAnsi="Calibri" w:cs="Calibri"/>
                <w:noProof/>
                <w:sz w:val="18"/>
                <w:szCs w:val="18"/>
              </w:rPr>
              <w:t xml:space="preserve"> </w:t>
            </w:r>
          </w:p>
          <w:p w14:paraId="5C8C21BF" w14:textId="694AB083" w:rsidR="42911850" w:rsidRDefault="42911850">
            <w:pPr>
              <w:rPr>
                <w:noProof/>
              </w:rPr>
            </w:pPr>
            <w:r>
              <w:rPr>
                <w:noProof/>
              </w:rPr>
              <w:br/>
            </w:r>
            <w:r>
              <w:rPr>
                <w:noProof/>
              </w:rPr>
              <w:br/>
            </w:r>
            <w:r>
              <w:rPr>
                <w:noProof/>
              </w:rPr>
              <w:br/>
            </w:r>
            <w:r w:rsidRPr="42911850">
              <w:rPr>
                <w:rFonts w:ascii="Calibri" w:eastAsia="Calibri" w:hAnsi="Calibri" w:cs="Calibri"/>
                <w:noProof/>
                <w:sz w:val="16"/>
                <w:szCs w:val="16"/>
              </w:rPr>
              <w:t>Unspecified. Tax administration may reduce the amount of tax increase (i.e. fully or partially exempt from the 40% main rule) in case it would be unreasonable to impose it in full.</w:t>
            </w:r>
          </w:p>
        </w:tc>
        <w:tc>
          <w:tcPr>
            <w:tcW w:w="2175" w:type="dxa"/>
            <w:tcBorders>
              <w:top w:val="single" w:sz="8" w:space="0" w:color="auto"/>
              <w:left w:val="single" w:sz="8" w:space="0" w:color="auto"/>
              <w:bottom w:val="single" w:sz="8" w:space="0" w:color="auto"/>
              <w:right w:val="single" w:sz="8" w:space="0" w:color="auto"/>
            </w:tcBorders>
          </w:tcPr>
          <w:p w14:paraId="5A0E5F2C" w14:textId="6CDD6B5D" w:rsidR="42911850" w:rsidRDefault="42911850">
            <w:pPr>
              <w:rPr>
                <w:noProof/>
              </w:rPr>
            </w:pPr>
            <w:r w:rsidRPr="42911850">
              <w:rPr>
                <w:rFonts w:ascii="Calibri" w:eastAsia="Calibri" w:hAnsi="Calibri" w:cs="Calibri"/>
                <w:noProof/>
                <w:sz w:val="16"/>
                <w:szCs w:val="16"/>
              </w:rPr>
              <w:t xml:space="preserve">SEK 15.000 (EUR 1.462) for advisers and SEK 7.500 (EUR 731) for users </w:t>
            </w:r>
          </w:p>
          <w:p w14:paraId="5F5B58F6" w14:textId="1BDD32A6" w:rsidR="42911850" w:rsidRDefault="42911850">
            <w:pPr>
              <w:rPr>
                <w:noProof/>
              </w:rPr>
            </w:pPr>
            <w:r w:rsidRPr="42911850">
              <w:rPr>
                <w:rFonts w:ascii="Calibri" w:eastAsia="Calibri" w:hAnsi="Calibri" w:cs="Calibri"/>
                <w:noProof/>
                <w:sz w:val="16"/>
                <w:szCs w:val="16"/>
              </w:rPr>
              <w:t xml:space="preserve"> </w:t>
            </w:r>
          </w:p>
          <w:p w14:paraId="342596B7" w14:textId="1D7093EA" w:rsidR="42911850" w:rsidRDefault="42911850">
            <w:pPr>
              <w:rPr>
                <w:noProof/>
              </w:rPr>
            </w:pPr>
            <w:r w:rsidRPr="42911850">
              <w:rPr>
                <w:rFonts w:ascii="Calibri" w:eastAsia="Calibri" w:hAnsi="Calibri" w:cs="Calibri"/>
                <w:noProof/>
                <w:sz w:val="18"/>
                <w:szCs w:val="18"/>
              </w:rPr>
              <w:t xml:space="preserve"> </w:t>
            </w:r>
          </w:p>
          <w:p w14:paraId="5C69DC23" w14:textId="00ECB7C2" w:rsidR="42911850" w:rsidRDefault="42911850">
            <w:pPr>
              <w:rPr>
                <w:noProof/>
              </w:rPr>
            </w:pPr>
            <w:r w:rsidRPr="42911850">
              <w:rPr>
                <w:rFonts w:ascii="Calibri" w:eastAsia="Calibri" w:hAnsi="Calibri" w:cs="Calibri"/>
                <w:noProof/>
                <w:sz w:val="18"/>
                <w:szCs w:val="18"/>
              </w:rPr>
              <w:t xml:space="preserve"> </w:t>
            </w:r>
          </w:p>
          <w:p w14:paraId="6989AC3F" w14:textId="39BF08C6" w:rsidR="42911850" w:rsidRDefault="42911850">
            <w:pPr>
              <w:rPr>
                <w:noProof/>
              </w:rPr>
            </w:pPr>
            <w:r>
              <w:rPr>
                <w:noProof/>
              </w:rPr>
              <w:br/>
            </w:r>
            <w:r w:rsidRPr="42911850">
              <w:rPr>
                <w:rFonts w:ascii="Calibri" w:eastAsia="Calibri" w:hAnsi="Calibri" w:cs="Calibri"/>
                <w:noProof/>
                <w:sz w:val="16"/>
                <w:szCs w:val="16"/>
              </w:rPr>
              <w:t>SEK 20.000 (EUR 1.950) advisers</w:t>
            </w:r>
            <w:r>
              <w:rPr>
                <w:noProof/>
              </w:rPr>
              <w:br/>
            </w:r>
            <w:r w:rsidRPr="42911850">
              <w:rPr>
                <w:rFonts w:ascii="Calibri" w:eastAsia="Calibri" w:hAnsi="Calibri" w:cs="Calibri"/>
                <w:noProof/>
                <w:sz w:val="16"/>
                <w:szCs w:val="16"/>
              </w:rPr>
              <w:t xml:space="preserve"> SEK 10.000 (EUR 975) users</w:t>
            </w:r>
          </w:p>
          <w:p w14:paraId="06833FEE" w14:textId="6B9B9375" w:rsidR="42911850" w:rsidRDefault="42911850">
            <w:pPr>
              <w:rPr>
                <w:noProof/>
              </w:rPr>
            </w:pPr>
            <w:r w:rsidRPr="42911850">
              <w:rPr>
                <w:rFonts w:ascii="Calibri" w:eastAsia="Calibri" w:hAnsi="Calibri" w:cs="Calibri"/>
                <w:noProof/>
                <w:sz w:val="16"/>
                <w:szCs w:val="16"/>
              </w:rPr>
              <w:t xml:space="preserve"> </w:t>
            </w:r>
          </w:p>
          <w:p w14:paraId="4D6B2C3D" w14:textId="09C9C62D" w:rsidR="42911850" w:rsidRDefault="42911850">
            <w:pPr>
              <w:rPr>
                <w:noProof/>
              </w:rPr>
            </w:pPr>
            <w:r w:rsidRPr="42911850">
              <w:rPr>
                <w:rFonts w:ascii="Calibri" w:eastAsia="Calibri" w:hAnsi="Calibri" w:cs="Calibri"/>
                <w:noProof/>
                <w:sz w:val="16"/>
                <w:szCs w:val="16"/>
              </w:rPr>
              <w:t xml:space="preserve"> </w:t>
            </w:r>
          </w:p>
          <w:p w14:paraId="46B8B778" w14:textId="4F1C6A14" w:rsidR="42911850" w:rsidRDefault="42911850">
            <w:pPr>
              <w:rPr>
                <w:noProof/>
              </w:rPr>
            </w:pPr>
            <w:r w:rsidRPr="42911850">
              <w:rPr>
                <w:rFonts w:ascii="Calibri" w:eastAsia="Calibri" w:hAnsi="Calibri" w:cs="Calibri"/>
                <w:noProof/>
                <w:sz w:val="16"/>
                <w:szCs w:val="16"/>
              </w:rPr>
              <w:t xml:space="preserve"> </w:t>
            </w:r>
          </w:p>
          <w:p w14:paraId="44441B15" w14:textId="0170D0AC" w:rsidR="42911850" w:rsidRDefault="42911850">
            <w:pPr>
              <w:rPr>
                <w:noProof/>
              </w:rPr>
            </w:pPr>
            <w:r w:rsidRPr="42911850">
              <w:rPr>
                <w:rFonts w:ascii="Calibri" w:eastAsia="Calibri" w:hAnsi="Calibri" w:cs="Calibri"/>
                <w:noProof/>
                <w:sz w:val="16"/>
                <w:szCs w:val="16"/>
              </w:rPr>
              <w:t>Turnover at least SEK 500.000.000 (EUR 48.747.197):</w:t>
            </w:r>
            <w:r>
              <w:rPr>
                <w:noProof/>
              </w:rPr>
              <w:br/>
            </w:r>
            <w:r w:rsidRPr="42911850">
              <w:rPr>
                <w:rFonts w:ascii="Calibri" w:eastAsia="Calibri" w:hAnsi="Calibri" w:cs="Calibri"/>
                <w:noProof/>
                <w:sz w:val="16"/>
                <w:szCs w:val="16"/>
              </w:rPr>
              <w:t xml:space="preserve"> SEK 150.000 (EUR 14.624) advisers</w:t>
            </w:r>
            <w:r>
              <w:rPr>
                <w:noProof/>
              </w:rPr>
              <w:br/>
            </w:r>
            <w:r w:rsidRPr="42911850">
              <w:rPr>
                <w:rFonts w:ascii="Calibri" w:eastAsia="Calibri" w:hAnsi="Calibri" w:cs="Calibri"/>
                <w:noProof/>
                <w:sz w:val="16"/>
                <w:szCs w:val="16"/>
              </w:rPr>
              <w:t xml:space="preserve"> SEK 75.000 (EUR 7.312) users</w:t>
            </w:r>
          </w:p>
          <w:p w14:paraId="5E6F8524" w14:textId="346F72D2" w:rsidR="42911850" w:rsidRDefault="42911850">
            <w:pPr>
              <w:rPr>
                <w:noProof/>
              </w:rPr>
            </w:pPr>
            <w:r w:rsidRPr="42911850">
              <w:rPr>
                <w:rFonts w:ascii="Calibri" w:eastAsia="Calibri" w:hAnsi="Calibri" w:cs="Calibri"/>
                <w:noProof/>
                <w:sz w:val="18"/>
                <w:szCs w:val="18"/>
              </w:rPr>
              <w:t xml:space="preserve"> </w:t>
            </w:r>
          </w:p>
          <w:p w14:paraId="5206BC21" w14:textId="625791C6" w:rsidR="42911850" w:rsidRDefault="42911850">
            <w:pPr>
              <w:rPr>
                <w:noProof/>
              </w:rPr>
            </w:pPr>
            <w:r w:rsidRPr="42911850">
              <w:rPr>
                <w:rFonts w:ascii="Calibri" w:eastAsia="Calibri" w:hAnsi="Calibri" w:cs="Calibri"/>
                <w:noProof/>
                <w:sz w:val="18"/>
                <w:szCs w:val="18"/>
              </w:rPr>
              <w:t xml:space="preserve"> </w:t>
            </w:r>
          </w:p>
          <w:p w14:paraId="056E08A5" w14:textId="168E2880" w:rsidR="42911850" w:rsidRDefault="42911850">
            <w:pPr>
              <w:rPr>
                <w:noProof/>
              </w:rPr>
            </w:pPr>
            <w:r w:rsidRPr="42911850">
              <w:rPr>
                <w:rFonts w:ascii="Calibri" w:eastAsia="Calibri" w:hAnsi="Calibri" w:cs="Calibri"/>
                <w:noProof/>
                <w:sz w:val="18"/>
                <w:szCs w:val="18"/>
              </w:rPr>
              <w:t xml:space="preserve"> </w:t>
            </w:r>
          </w:p>
          <w:p w14:paraId="4B055F26" w14:textId="5121B3AC" w:rsidR="42911850" w:rsidRDefault="42911850">
            <w:pPr>
              <w:rPr>
                <w:noProof/>
              </w:rPr>
            </w:pPr>
            <w:r w:rsidRPr="42911850">
              <w:rPr>
                <w:rFonts w:ascii="Calibri" w:eastAsia="Calibri" w:hAnsi="Calibri" w:cs="Calibri"/>
                <w:noProof/>
                <w:sz w:val="18"/>
                <w:szCs w:val="18"/>
              </w:rPr>
              <w:t xml:space="preserve"> </w:t>
            </w:r>
          </w:p>
          <w:p w14:paraId="701878B2" w14:textId="36FECEA6" w:rsidR="42911850" w:rsidRDefault="42911850">
            <w:pPr>
              <w:rPr>
                <w:noProof/>
              </w:rPr>
            </w:pPr>
            <w:r w:rsidRPr="42911850">
              <w:rPr>
                <w:rFonts w:ascii="Calibri" w:eastAsia="Calibri" w:hAnsi="Calibri" w:cs="Calibri"/>
                <w:noProof/>
                <w:sz w:val="18"/>
                <w:szCs w:val="18"/>
              </w:rPr>
              <w:t xml:space="preserve"> </w:t>
            </w:r>
          </w:p>
          <w:p w14:paraId="148D7634" w14:textId="75127FB1" w:rsidR="42911850" w:rsidRDefault="42911850">
            <w:pPr>
              <w:rPr>
                <w:noProof/>
              </w:rPr>
            </w:pPr>
            <w:r w:rsidRPr="42911850">
              <w:rPr>
                <w:rFonts w:ascii="Calibri" w:eastAsia="Calibri" w:hAnsi="Calibri" w:cs="Calibri"/>
                <w:noProof/>
                <w:sz w:val="18"/>
                <w:szCs w:val="18"/>
              </w:rPr>
              <w:t xml:space="preserve"> </w:t>
            </w:r>
          </w:p>
          <w:p w14:paraId="29799B4F" w14:textId="2F68076B" w:rsidR="42911850" w:rsidRDefault="42911850">
            <w:pPr>
              <w:rPr>
                <w:noProof/>
              </w:rPr>
            </w:pPr>
            <w:r w:rsidRPr="42911850">
              <w:rPr>
                <w:rFonts w:ascii="Calibri" w:eastAsia="Calibri" w:hAnsi="Calibri" w:cs="Calibri"/>
                <w:noProof/>
                <w:sz w:val="18"/>
                <w:szCs w:val="18"/>
              </w:rPr>
              <w:t xml:space="preserve"> </w:t>
            </w:r>
          </w:p>
          <w:p w14:paraId="6F49D5DA" w14:textId="4E535158" w:rsidR="42911850" w:rsidRDefault="42911850">
            <w:pPr>
              <w:rPr>
                <w:noProof/>
              </w:rPr>
            </w:pPr>
            <w:r w:rsidRPr="42911850">
              <w:rPr>
                <w:rFonts w:ascii="Calibri" w:eastAsia="Calibri" w:hAnsi="Calibri" w:cs="Calibri"/>
                <w:noProof/>
                <w:sz w:val="18"/>
                <w:szCs w:val="18"/>
              </w:rPr>
              <w:t xml:space="preserve"> </w:t>
            </w:r>
          </w:p>
          <w:p w14:paraId="519EF9A2" w14:textId="79F2376E" w:rsidR="42911850" w:rsidRDefault="42911850">
            <w:pPr>
              <w:rPr>
                <w:noProof/>
              </w:rPr>
            </w:pPr>
            <w:r w:rsidRPr="42911850">
              <w:rPr>
                <w:rFonts w:ascii="Calibri" w:eastAsia="Calibri" w:hAnsi="Calibri" w:cs="Calibri"/>
                <w:noProof/>
                <w:sz w:val="18"/>
                <w:szCs w:val="18"/>
              </w:rPr>
              <w:t xml:space="preserve"> </w:t>
            </w:r>
          </w:p>
          <w:p w14:paraId="2BAC080B" w14:textId="47722347" w:rsidR="42911850" w:rsidRDefault="42911850">
            <w:pPr>
              <w:rPr>
                <w:noProof/>
              </w:rPr>
            </w:pPr>
            <w:r w:rsidRPr="42911850">
              <w:rPr>
                <w:rFonts w:ascii="Calibri" w:eastAsia="Calibri" w:hAnsi="Calibri" w:cs="Calibri"/>
                <w:noProof/>
                <w:sz w:val="16"/>
                <w:szCs w:val="16"/>
              </w:rPr>
              <w:t xml:space="preserve"> </w:t>
            </w:r>
          </w:p>
          <w:p w14:paraId="508C8E59" w14:textId="00229F1B" w:rsidR="42911850" w:rsidRDefault="42911850">
            <w:pPr>
              <w:rPr>
                <w:noProof/>
              </w:rPr>
            </w:pPr>
            <w:r>
              <w:rPr>
                <w:noProof/>
              </w:rPr>
              <w:br/>
            </w:r>
            <w:r w:rsidRPr="42911850">
              <w:rPr>
                <w:rFonts w:ascii="Calibri" w:eastAsia="Calibri" w:hAnsi="Calibri" w:cs="Calibri"/>
                <w:noProof/>
                <w:sz w:val="16"/>
                <w:szCs w:val="16"/>
              </w:rPr>
              <w:t>40% of the amount of tax that would have been left non-imposed in case assessment had been based on the inaccurate information.</w:t>
            </w:r>
          </w:p>
        </w:tc>
      </w:tr>
      <w:tr w:rsidR="42911850" w14:paraId="71CCC046"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23D3DECE" w14:textId="5CFBE9AE" w:rsidR="42911850" w:rsidRDefault="42911850">
            <w:pPr>
              <w:rPr>
                <w:noProof/>
              </w:rPr>
            </w:pPr>
            <w:r w:rsidRPr="42911850">
              <w:rPr>
                <w:rFonts w:ascii="Calibri" w:eastAsia="Calibri" w:hAnsi="Calibri" w:cs="Calibri"/>
                <w:b/>
                <w:bCs/>
                <w:noProof/>
                <w:sz w:val="18"/>
                <w:szCs w:val="18"/>
              </w:rPr>
              <w:t>SI</w:t>
            </w:r>
          </w:p>
        </w:tc>
        <w:tc>
          <w:tcPr>
            <w:tcW w:w="1025" w:type="dxa"/>
            <w:tcBorders>
              <w:top w:val="single" w:sz="8" w:space="0" w:color="auto"/>
              <w:left w:val="single" w:sz="8" w:space="0" w:color="auto"/>
              <w:bottom w:val="single" w:sz="8" w:space="0" w:color="auto"/>
              <w:right w:val="single" w:sz="8" w:space="0" w:color="auto"/>
            </w:tcBorders>
          </w:tcPr>
          <w:p w14:paraId="239D863E" w14:textId="642F41D5" w:rsidR="42911850" w:rsidRDefault="42911850">
            <w:pPr>
              <w:rPr>
                <w:noProof/>
              </w:rPr>
            </w:pPr>
            <w:r w:rsidRPr="42911850">
              <w:rPr>
                <w:rFonts w:ascii="Calibri" w:eastAsia="Calibri" w:hAnsi="Calibri" w:cs="Calibri"/>
                <w:noProof/>
                <w:sz w:val="18"/>
                <w:szCs w:val="18"/>
              </w:rPr>
              <w:t xml:space="preserve">DAC 2 </w:t>
            </w:r>
          </w:p>
        </w:tc>
        <w:tc>
          <w:tcPr>
            <w:tcW w:w="3765" w:type="dxa"/>
            <w:tcBorders>
              <w:top w:val="single" w:sz="8" w:space="0" w:color="auto"/>
              <w:left w:val="single" w:sz="8" w:space="0" w:color="auto"/>
              <w:bottom w:val="single" w:sz="8" w:space="0" w:color="auto"/>
              <w:right w:val="single" w:sz="8" w:space="0" w:color="auto"/>
            </w:tcBorders>
          </w:tcPr>
          <w:p w14:paraId="4D4A5FBE" w14:textId="16D3359E" w:rsidR="42911850" w:rsidRDefault="42911850">
            <w:pPr>
              <w:rPr>
                <w:noProof/>
              </w:rPr>
            </w:pPr>
            <w:r w:rsidRPr="42911850">
              <w:rPr>
                <w:rFonts w:ascii="Calibri" w:eastAsia="Calibri" w:hAnsi="Calibri" w:cs="Calibri"/>
                <w:noProof/>
                <w:sz w:val="16"/>
                <w:szCs w:val="16"/>
              </w:rPr>
              <w:t xml:space="preserve">The scope </w:t>
            </w:r>
            <w:r w:rsidRPr="42911850">
              <w:rPr>
                <w:rFonts w:ascii="Calibri" w:eastAsia="Calibri" w:hAnsi="Calibri" w:cs="Calibri"/>
                <w:i/>
                <w:iCs/>
                <w:noProof/>
                <w:sz w:val="16"/>
                <w:szCs w:val="16"/>
              </w:rPr>
              <w:t>r</w:t>
            </w:r>
            <w:r w:rsidRPr="42911850">
              <w:rPr>
                <w:rFonts w:ascii="Calibri" w:eastAsia="Calibri" w:hAnsi="Calibri" w:cs="Calibri"/>
                <w:noProof/>
                <w:sz w:val="16"/>
                <w:szCs w:val="16"/>
              </w:rPr>
              <w:t xml:space="preserve">ationae personae: </w:t>
            </w:r>
            <w:r w:rsidRPr="42911850">
              <w:rPr>
                <w:rFonts w:ascii="Calibri" w:eastAsia="Calibri" w:hAnsi="Calibri" w:cs="Calibri"/>
                <w:i/>
                <w:iCs/>
                <w:noProof/>
                <w:sz w:val="16"/>
                <w:szCs w:val="16"/>
                <w:u w:val="single"/>
              </w:rPr>
              <w:t>reporting financial institutions (FI)</w:t>
            </w:r>
            <w:r w:rsidRPr="42911850">
              <w:rPr>
                <w:rFonts w:ascii="Calibri" w:eastAsia="Calibri" w:hAnsi="Calibri" w:cs="Calibri"/>
                <w:i/>
                <w:iCs/>
                <w:noProof/>
                <w:sz w:val="16"/>
                <w:szCs w:val="16"/>
              </w:rPr>
              <w:t xml:space="preserve"> </w:t>
            </w:r>
            <w:r w:rsidRPr="42911850">
              <w:rPr>
                <w:rFonts w:ascii="Calibri" w:eastAsia="Calibri" w:hAnsi="Calibri" w:cs="Calibri"/>
                <w:noProof/>
                <w:sz w:val="16"/>
                <w:szCs w:val="16"/>
              </w:rPr>
              <w:t xml:space="preserve"> </w:t>
            </w:r>
          </w:p>
          <w:p w14:paraId="451DBD21" w14:textId="3AA1C61A" w:rsidR="42911850" w:rsidRDefault="42911850">
            <w:pPr>
              <w:rPr>
                <w:noProof/>
              </w:rPr>
            </w:pPr>
            <w:r w:rsidRPr="42911850">
              <w:rPr>
                <w:rFonts w:ascii="Calibri" w:eastAsia="Calibri" w:hAnsi="Calibri" w:cs="Calibri"/>
                <w:noProof/>
                <w:sz w:val="16"/>
                <w:szCs w:val="16"/>
              </w:rPr>
              <w:t xml:space="preserve">The scope </w:t>
            </w:r>
            <w:r w:rsidRPr="42911850">
              <w:rPr>
                <w:rFonts w:ascii="Calibri" w:eastAsia="Calibri" w:hAnsi="Calibri" w:cs="Calibri"/>
                <w:i/>
                <w:iCs/>
                <w:noProof/>
                <w:sz w:val="16"/>
                <w:szCs w:val="16"/>
              </w:rPr>
              <w:t>rationae materiae</w:t>
            </w:r>
            <w:r w:rsidRPr="42911850">
              <w:rPr>
                <w:rFonts w:ascii="Calibri" w:eastAsia="Calibri" w:hAnsi="Calibri" w:cs="Calibri"/>
                <w:noProof/>
                <w:sz w:val="16"/>
                <w:szCs w:val="16"/>
              </w:rPr>
              <w:t>:</w:t>
            </w:r>
          </w:p>
          <w:p w14:paraId="5159A676" w14:textId="7AD997AA" w:rsidR="42911850" w:rsidRDefault="42911850">
            <w:pPr>
              <w:rPr>
                <w:noProof/>
              </w:rPr>
            </w:pPr>
            <w:r w:rsidRPr="42911850">
              <w:rPr>
                <w:rFonts w:ascii="Calibri" w:eastAsia="Calibri" w:hAnsi="Calibri" w:cs="Calibri"/>
                <w:noProof/>
                <w:sz w:val="16"/>
                <w:szCs w:val="16"/>
              </w:rPr>
              <w:t xml:space="preserve"> 1)FI does not implement due diligence procedures and collect the info that is subject to the reporting requirements, 2) does not keep documentation showing the procedures used to collect information,3) does not provide info to the competent authority with regard to reportable accounts or does not provide info in a timely manner or 4) fails to state relevant currencies in its report or 5) does not provide info showing that it has not identified the reportable accounts in the respective calendar year.</w:t>
            </w:r>
          </w:p>
          <w:p w14:paraId="1BFB9D89" w14:textId="25753F73" w:rsidR="42911850" w:rsidRDefault="42911850" w:rsidP="00AE537F">
            <w:pPr>
              <w:pStyle w:val="ListParagraph"/>
              <w:numPr>
                <w:ilvl w:val="0"/>
                <w:numId w:val="4"/>
              </w:numPr>
              <w:rPr>
                <w:rFonts w:eastAsiaTheme="minorEastAsia"/>
                <w:noProof/>
                <w:sz w:val="16"/>
                <w:szCs w:val="16"/>
              </w:rPr>
            </w:pPr>
            <w:r w:rsidRPr="42911850">
              <w:rPr>
                <w:noProof/>
                <w:sz w:val="16"/>
                <w:szCs w:val="16"/>
              </w:rPr>
              <w:t xml:space="preserve">A penalty for </w:t>
            </w:r>
            <w:r w:rsidRPr="42911850">
              <w:rPr>
                <w:noProof/>
                <w:sz w:val="16"/>
                <w:szCs w:val="16"/>
                <w:u w:val="single"/>
              </w:rPr>
              <w:t>a responsible person</w:t>
            </w:r>
            <w:r w:rsidRPr="42911850">
              <w:rPr>
                <w:noProof/>
                <w:sz w:val="16"/>
                <w:szCs w:val="16"/>
              </w:rPr>
              <w:t xml:space="preserve">  (individual) of the Reporting FI for the above stated offences:</w:t>
            </w:r>
          </w:p>
          <w:p w14:paraId="22388E10" w14:textId="67781D83"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68E31AB6" w14:textId="0066F0C3" w:rsidR="42911850" w:rsidRDefault="42911850" w:rsidP="00AE537F">
            <w:pPr>
              <w:pStyle w:val="ListParagraph"/>
              <w:numPr>
                <w:ilvl w:val="0"/>
                <w:numId w:val="4"/>
              </w:numPr>
              <w:spacing w:line="276" w:lineRule="auto"/>
              <w:rPr>
                <w:rFonts w:eastAsiaTheme="minorEastAsia"/>
                <w:noProof/>
                <w:sz w:val="16"/>
                <w:szCs w:val="16"/>
              </w:rPr>
            </w:pPr>
            <w:r w:rsidRPr="42911850">
              <w:rPr>
                <w:noProof/>
                <w:sz w:val="16"/>
                <w:szCs w:val="16"/>
              </w:rPr>
              <w:t>A penalty for a responsible management company or a manager of an investment or pension fund without a legal entity for the above stated offences:</w:t>
            </w:r>
          </w:p>
          <w:p w14:paraId="2F82168B" w14:textId="05A0390B"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1EE06E05" w14:textId="653C69C3" w:rsidR="42911850" w:rsidRDefault="42911850" w:rsidP="00AE537F">
            <w:pPr>
              <w:pStyle w:val="ListParagraph"/>
              <w:numPr>
                <w:ilvl w:val="0"/>
                <w:numId w:val="4"/>
              </w:numPr>
              <w:rPr>
                <w:rFonts w:eastAsiaTheme="minorEastAsia"/>
                <w:noProof/>
                <w:sz w:val="16"/>
                <w:szCs w:val="16"/>
              </w:rPr>
            </w:pPr>
            <w:r w:rsidRPr="42911850">
              <w:rPr>
                <w:noProof/>
                <w:sz w:val="16"/>
                <w:szCs w:val="16"/>
              </w:rPr>
              <w:t>A penalty for a responsible person of the management company or manager of the investment or pension fund without a legal entity for the above offences:</w:t>
            </w:r>
          </w:p>
          <w:p w14:paraId="0EAE4DAC" w14:textId="3A2DD74E" w:rsidR="42911850" w:rsidRDefault="42911850" w:rsidP="00AE537F">
            <w:pPr>
              <w:rPr>
                <w:rFonts w:ascii="Calibri" w:eastAsia="Calibri" w:hAnsi="Calibri" w:cs="Calibri"/>
                <w:noProof/>
                <w:sz w:val="16"/>
                <w:szCs w:val="16"/>
              </w:rPr>
            </w:pPr>
          </w:p>
          <w:p w14:paraId="5897EC59" w14:textId="435E4D29" w:rsidR="42911850" w:rsidRDefault="42911850">
            <w:pPr>
              <w:rPr>
                <w:noProof/>
              </w:rPr>
            </w:pPr>
            <w:r w:rsidRPr="42911850">
              <w:rPr>
                <w:rFonts w:ascii="Calibri" w:eastAsia="Calibri" w:hAnsi="Calibri" w:cs="Calibri"/>
                <w:noProof/>
                <w:sz w:val="16"/>
                <w:szCs w:val="16"/>
              </w:rPr>
              <w:t>Legislation does not explicitly indicate if these penalties apply per single or cumulative infringement, but from the way it is drafted I would tend to think it can apply to an individual infringement, but also globally to all infringements within a certain time period</w:t>
            </w:r>
            <w:r w:rsidR="00242AF7">
              <w:rPr>
                <w:rFonts w:ascii="Calibri" w:eastAsia="Calibri" w:hAnsi="Calibri" w:cs="Calibri"/>
                <w:noProof/>
                <w:sz w:val="16"/>
                <w:szCs w:val="16"/>
              </w:rPr>
              <w:t xml:space="preserve"> </w:t>
            </w:r>
            <w:r w:rsidRPr="42911850">
              <w:rPr>
                <w:rFonts w:ascii="Calibri" w:eastAsia="Calibri" w:hAnsi="Calibri" w:cs="Calibri"/>
                <w:noProof/>
                <w:sz w:val="16"/>
                <w:szCs w:val="16"/>
              </w:rPr>
              <w:t>(the act uses continues tense and plural verbal forms: e.g. the FI is not collecting information as required, is not reporting,..) The number of inf. will then</w:t>
            </w:r>
            <w:r w:rsidR="00242AF7">
              <w:rPr>
                <w:rFonts w:ascii="Calibri" w:eastAsia="Calibri" w:hAnsi="Calibri" w:cs="Calibri"/>
                <w:noProof/>
                <w:sz w:val="16"/>
                <w:szCs w:val="16"/>
              </w:rPr>
              <w:t>,</w:t>
            </w:r>
            <w:r w:rsidRPr="42911850">
              <w:rPr>
                <w:rFonts w:ascii="Calibri" w:eastAsia="Calibri" w:hAnsi="Calibri" w:cs="Calibri"/>
                <w:noProof/>
                <w:sz w:val="16"/>
                <w:szCs w:val="16"/>
              </w:rPr>
              <w:t xml:space="preserve"> in my view, determine the level of penalty (between EUR 1060 and </w:t>
            </w:r>
            <w:r w:rsidR="00242AF7">
              <w:rPr>
                <w:rFonts w:ascii="Calibri" w:eastAsia="Calibri" w:hAnsi="Calibri" w:cs="Calibri"/>
                <w:noProof/>
                <w:sz w:val="16"/>
                <w:szCs w:val="16"/>
              </w:rPr>
              <w:t xml:space="preserve">25.000). </w:t>
            </w:r>
            <w:r w:rsidRPr="42911850">
              <w:rPr>
                <w:rFonts w:ascii="Calibri" w:eastAsia="Calibri" w:hAnsi="Calibri" w:cs="Calibri"/>
                <w:noProof/>
                <w:sz w:val="16"/>
                <w:szCs w:val="16"/>
              </w:rPr>
              <w:t>This is purely my personal view.</w:t>
            </w:r>
          </w:p>
          <w:p w14:paraId="687990A1" w14:textId="769338BF" w:rsidR="42911850" w:rsidRDefault="42911850">
            <w:pPr>
              <w:rPr>
                <w:noProof/>
              </w:rPr>
            </w:pPr>
          </w:p>
        </w:tc>
        <w:tc>
          <w:tcPr>
            <w:tcW w:w="1757" w:type="dxa"/>
            <w:tcBorders>
              <w:top w:val="single" w:sz="8" w:space="0" w:color="auto"/>
              <w:left w:val="single" w:sz="8" w:space="0" w:color="auto"/>
              <w:bottom w:val="single" w:sz="8" w:space="0" w:color="auto"/>
              <w:right w:val="single" w:sz="8" w:space="0" w:color="auto"/>
            </w:tcBorders>
          </w:tcPr>
          <w:p w14:paraId="5D9176B8" w14:textId="57A1ED70" w:rsidR="42911850" w:rsidRDefault="42911850">
            <w:pPr>
              <w:rPr>
                <w:noProof/>
              </w:rPr>
            </w:pPr>
            <w:r w:rsidRPr="42911850">
              <w:rPr>
                <w:rFonts w:ascii="Calibri" w:eastAsia="Calibri" w:hAnsi="Calibri" w:cs="Calibri"/>
                <w:noProof/>
                <w:sz w:val="18"/>
                <w:szCs w:val="18"/>
              </w:rPr>
              <w:t xml:space="preserve"> </w:t>
            </w:r>
          </w:p>
          <w:p w14:paraId="73FDF760" w14:textId="6AC565A0" w:rsidR="42911850" w:rsidRDefault="42911850">
            <w:pPr>
              <w:rPr>
                <w:noProof/>
              </w:rPr>
            </w:pPr>
            <w:r w:rsidRPr="42911850">
              <w:rPr>
                <w:rFonts w:ascii="Calibri" w:eastAsia="Calibri" w:hAnsi="Calibri" w:cs="Calibri"/>
                <w:noProof/>
                <w:sz w:val="18"/>
                <w:szCs w:val="18"/>
              </w:rPr>
              <w:t xml:space="preserve"> </w:t>
            </w:r>
          </w:p>
          <w:p w14:paraId="6702F098" w14:textId="54428639" w:rsidR="42911850" w:rsidRDefault="42911850">
            <w:pPr>
              <w:rPr>
                <w:noProof/>
              </w:rPr>
            </w:pPr>
            <w:r w:rsidRPr="42911850">
              <w:rPr>
                <w:rFonts w:ascii="Calibri" w:eastAsia="Calibri" w:hAnsi="Calibri" w:cs="Calibri"/>
                <w:noProof/>
                <w:sz w:val="18"/>
                <w:szCs w:val="18"/>
              </w:rPr>
              <w:t>From EUR 1600</w:t>
            </w:r>
          </w:p>
          <w:p w14:paraId="27F136F2" w14:textId="6D854160" w:rsidR="42911850" w:rsidRDefault="42911850">
            <w:pPr>
              <w:rPr>
                <w:noProof/>
              </w:rPr>
            </w:pPr>
            <w:r w:rsidRPr="42911850">
              <w:rPr>
                <w:rFonts w:ascii="Calibri" w:eastAsia="Calibri" w:hAnsi="Calibri" w:cs="Calibri"/>
                <w:noProof/>
                <w:sz w:val="18"/>
                <w:szCs w:val="18"/>
              </w:rPr>
              <w:t xml:space="preserve"> </w:t>
            </w:r>
          </w:p>
          <w:p w14:paraId="47C8DD63" w14:textId="46B73C5D" w:rsidR="42911850" w:rsidRDefault="42911850">
            <w:pPr>
              <w:rPr>
                <w:noProof/>
              </w:rPr>
            </w:pPr>
            <w:r w:rsidRPr="42911850">
              <w:rPr>
                <w:rFonts w:ascii="Calibri" w:eastAsia="Calibri" w:hAnsi="Calibri" w:cs="Calibri"/>
                <w:noProof/>
                <w:sz w:val="18"/>
                <w:szCs w:val="18"/>
              </w:rPr>
              <w:t xml:space="preserve"> </w:t>
            </w:r>
          </w:p>
          <w:p w14:paraId="483B4AFF" w14:textId="47E4D107" w:rsidR="42911850" w:rsidRDefault="42911850">
            <w:pPr>
              <w:rPr>
                <w:noProof/>
              </w:rPr>
            </w:pPr>
            <w:r w:rsidRPr="42911850">
              <w:rPr>
                <w:rFonts w:ascii="Calibri" w:eastAsia="Calibri" w:hAnsi="Calibri" w:cs="Calibri"/>
                <w:noProof/>
                <w:sz w:val="18"/>
                <w:szCs w:val="18"/>
              </w:rPr>
              <w:t xml:space="preserve"> </w:t>
            </w:r>
          </w:p>
          <w:p w14:paraId="2B30C73A" w14:textId="57D30B5D" w:rsidR="42911850" w:rsidRDefault="42911850">
            <w:pPr>
              <w:rPr>
                <w:noProof/>
              </w:rPr>
            </w:pPr>
            <w:r w:rsidRPr="42911850">
              <w:rPr>
                <w:rFonts w:ascii="Calibri" w:eastAsia="Calibri" w:hAnsi="Calibri" w:cs="Calibri"/>
                <w:noProof/>
                <w:sz w:val="18"/>
                <w:szCs w:val="18"/>
              </w:rPr>
              <w:t>From EUR 400</w:t>
            </w:r>
          </w:p>
          <w:p w14:paraId="2A088D77" w14:textId="78442C79" w:rsidR="42911850" w:rsidRDefault="42911850">
            <w:pPr>
              <w:rPr>
                <w:noProof/>
              </w:rPr>
            </w:pPr>
            <w:r w:rsidRPr="42911850">
              <w:rPr>
                <w:rFonts w:ascii="Calibri" w:eastAsia="Calibri" w:hAnsi="Calibri" w:cs="Calibri"/>
                <w:noProof/>
                <w:sz w:val="18"/>
                <w:szCs w:val="18"/>
              </w:rPr>
              <w:t xml:space="preserve"> </w:t>
            </w:r>
          </w:p>
          <w:p w14:paraId="32C380F2" w14:textId="22974747" w:rsidR="42911850" w:rsidRDefault="42911850">
            <w:pPr>
              <w:rPr>
                <w:noProof/>
              </w:rPr>
            </w:pPr>
            <w:r w:rsidRPr="42911850">
              <w:rPr>
                <w:rFonts w:ascii="Calibri" w:eastAsia="Calibri" w:hAnsi="Calibri" w:cs="Calibri"/>
                <w:noProof/>
                <w:sz w:val="18"/>
                <w:szCs w:val="18"/>
              </w:rPr>
              <w:t xml:space="preserve"> </w:t>
            </w:r>
          </w:p>
          <w:p w14:paraId="2DF72B7D" w14:textId="77D6A648" w:rsidR="42911850" w:rsidRDefault="42911850">
            <w:pPr>
              <w:rPr>
                <w:noProof/>
              </w:rPr>
            </w:pPr>
            <w:r w:rsidRPr="42911850">
              <w:rPr>
                <w:rFonts w:ascii="Calibri" w:eastAsia="Calibri" w:hAnsi="Calibri" w:cs="Calibri"/>
                <w:noProof/>
                <w:sz w:val="18"/>
                <w:szCs w:val="18"/>
              </w:rPr>
              <w:t>From EUR 1600</w:t>
            </w:r>
          </w:p>
          <w:p w14:paraId="65F237CB" w14:textId="281AE994" w:rsidR="42911850" w:rsidRDefault="42911850">
            <w:pPr>
              <w:rPr>
                <w:noProof/>
              </w:rPr>
            </w:pPr>
            <w:r w:rsidRPr="42911850">
              <w:rPr>
                <w:rFonts w:ascii="Calibri" w:eastAsia="Calibri" w:hAnsi="Calibri" w:cs="Calibri"/>
                <w:noProof/>
                <w:sz w:val="18"/>
                <w:szCs w:val="18"/>
              </w:rPr>
              <w:t xml:space="preserve"> </w:t>
            </w:r>
          </w:p>
          <w:p w14:paraId="19F3A5B8" w14:textId="7AA99BF9" w:rsidR="42911850" w:rsidRDefault="42911850">
            <w:pPr>
              <w:rPr>
                <w:noProof/>
              </w:rPr>
            </w:pPr>
            <w:r w:rsidRPr="42911850">
              <w:rPr>
                <w:rFonts w:ascii="Calibri" w:eastAsia="Calibri" w:hAnsi="Calibri" w:cs="Calibri"/>
                <w:noProof/>
                <w:sz w:val="18"/>
                <w:szCs w:val="18"/>
              </w:rPr>
              <w:t>From EUR 400</w:t>
            </w:r>
          </w:p>
        </w:tc>
        <w:tc>
          <w:tcPr>
            <w:tcW w:w="2175" w:type="dxa"/>
            <w:tcBorders>
              <w:top w:val="single" w:sz="8" w:space="0" w:color="auto"/>
              <w:left w:val="single" w:sz="8" w:space="0" w:color="auto"/>
              <w:bottom w:val="single" w:sz="8" w:space="0" w:color="auto"/>
              <w:right w:val="single" w:sz="8" w:space="0" w:color="auto"/>
            </w:tcBorders>
          </w:tcPr>
          <w:p w14:paraId="78FD91DF" w14:textId="12FF335F" w:rsidR="42911850" w:rsidRDefault="42911850">
            <w:pPr>
              <w:rPr>
                <w:noProof/>
              </w:rPr>
            </w:pPr>
            <w:r w:rsidRPr="42911850">
              <w:rPr>
                <w:rFonts w:ascii="Calibri" w:eastAsia="Calibri" w:hAnsi="Calibri" w:cs="Calibri"/>
                <w:noProof/>
                <w:sz w:val="18"/>
                <w:szCs w:val="18"/>
              </w:rPr>
              <w:t xml:space="preserve"> </w:t>
            </w:r>
          </w:p>
          <w:p w14:paraId="13986F1F" w14:textId="4B741BA4" w:rsidR="42911850" w:rsidRDefault="42911850">
            <w:pPr>
              <w:rPr>
                <w:noProof/>
              </w:rPr>
            </w:pPr>
            <w:r w:rsidRPr="42911850">
              <w:rPr>
                <w:rFonts w:ascii="Calibri" w:eastAsia="Calibri" w:hAnsi="Calibri" w:cs="Calibri"/>
                <w:noProof/>
                <w:sz w:val="18"/>
                <w:szCs w:val="18"/>
              </w:rPr>
              <w:t xml:space="preserve"> </w:t>
            </w:r>
          </w:p>
          <w:p w14:paraId="2155D9ED" w14:textId="5F9BD2D6" w:rsidR="42911850" w:rsidRDefault="42911850">
            <w:pPr>
              <w:rPr>
                <w:noProof/>
              </w:rPr>
            </w:pPr>
            <w:r w:rsidRPr="42911850">
              <w:rPr>
                <w:rFonts w:ascii="Calibri" w:eastAsia="Calibri" w:hAnsi="Calibri" w:cs="Calibri"/>
                <w:noProof/>
                <w:sz w:val="18"/>
                <w:szCs w:val="18"/>
              </w:rPr>
              <w:t>To EUR 25 000</w:t>
            </w:r>
          </w:p>
          <w:p w14:paraId="66CC996A" w14:textId="3C39719C" w:rsidR="42911850" w:rsidRDefault="42911850">
            <w:pPr>
              <w:rPr>
                <w:noProof/>
              </w:rPr>
            </w:pPr>
            <w:r w:rsidRPr="42911850">
              <w:rPr>
                <w:rFonts w:ascii="Calibri" w:eastAsia="Calibri" w:hAnsi="Calibri" w:cs="Calibri"/>
                <w:noProof/>
                <w:sz w:val="18"/>
                <w:szCs w:val="18"/>
              </w:rPr>
              <w:t xml:space="preserve"> </w:t>
            </w:r>
          </w:p>
          <w:p w14:paraId="351F8056" w14:textId="73C2E8FC" w:rsidR="42911850" w:rsidRDefault="42911850">
            <w:pPr>
              <w:rPr>
                <w:noProof/>
              </w:rPr>
            </w:pPr>
            <w:r w:rsidRPr="42911850">
              <w:rPr>
                <w:rFonts w:ascii="Calibri" w:eastAsia="Calibri" w:hAnsi="Calibri" w:cs="Calibri"/>
                <w:noProof/>
                <w:sz w:val="18"/>
                <w:szCs w:val="18"/>
              </w:rPr>
              <w:t xml:space="preserve"> </w:t>
            </w:r>
          </w:p>
          <w:p w14:paraId="06986E23" w14:textId="53482B31" w:rsidR="42911850" w:rsidRDefault="42911850">
            <w:pPr>
              <w:rPr>
                <w:noProof/>
              </w:rPr>
            </w:pPr>
            <w:r w:rsidRPr="42911850">
              <w:rPr>
                <w:rFonts w:ascii="Calibri" w:eastAsia="Calibri" w:hAnsi="Calibri" w:cs="Calibri"/>
                <w:noProof/>
                <w:sz w:val="18"/>
                <w:szCs w:val="18"/>
              </w:rPr>
              <w:t xml:space="preserve"> </w:t>
            </w:r>
          </w:p>
          <w:p w14:paraId="4014E098" w14:textId="5F764493" w:rsidR="42911850" w:rsidRDefault="42911850">
            <w:pPr>
              <w:rPr>
                <w:noProof/>
              </w:rPr>
            </w:pPr>
            <w:r w:rsidRPr="42911850">
              <w:rPr>
                <w:rFonts w:ascii="Calibri" w:eastAsia="Calibri" w:hAnsi="Calibri" w:cs="Calibri"/>
                <w:noProof/>
                <w:sz w:val="18"/>
                <w:szCs w:val="18"/>
              </w:rPr>
              <w:t>To EUR 4000</w:t>
            </w:r>
          </w:p>
          <w:p w14:paraId="57775571" w14:textId="2A14E838" w:rsidR="42911850" w:rsidRDefault="42911850">
            <w:pPr>
              <w:rPr>
                <w:noProof/>
              </w:rPr>
            </w:pPr>
            <w:r w:rsidRPr="42911850">
              <w:rPr>
                <w:rFonts w:ascii="Calibri" w:eastAsia="Calibri" w:hAnsi="Calibri" w:cs="Calibri"/>
                <w:noProof/>
                <w:sz w:val="18"/>
                <w:szCs w:val="18"/>
              </w:rPr>
              <w:t xml:space="preserve"> </w:t>
            </w:r>
          </w:p>
          <w:p w14:paraId="7F2447DA" w14:textId="2A42BFDA" w:rsidR="42911850" w:rsidRDefault="42911850">
            <w:pPr>
              <w:rPr>
                <w:noProof/>
              </w:rPr>
            </w:pPr>
            <w:r w:rsidRPr="42911850">
              <w:rPr>
                <w:rFonts w:ascii="Calibri" w:eastAsia="Calibri" w:hAnsi="Calibri" w:cs="Calibri"/>
                <w:noProof/>
                <w:sz w:val="18"/>
                <w:szCs w:val="18"/>
              </w:rPr>
              <w:t xml:space="preserve"> </w:t>
            </w:r>
          </w:p>
          <w:p w14:paraId="42F00BC0" w14:textId="011E76FF" w:rsidR="42911850" w:rsidRDefault="42911850">
            <w:pPr>
              <w:rPr>
                <w:noProof/>
              </w:rPr>
            </w:pPr>
            <w:r w:rsidRPr="42911850">
              <w:rPr>
                <w:rFonts w:ascii="Calibri" w:eastAsia="Calibri" w:hAnsi="Calibri" w:cs="Calibri"/>
                <w:noProof/>
                <w:sz w:val="18"/>
                <w:szCs w:val="18"/>
              </w:rPr>
              <w:t>To EUR 25.000</w:t>
            </w:r>
          </w:p>
          <w:p w14:paraId="711D373E" w14:textId="22BE00A4" w:rsidR="42911850" w:rsidRDefault="42911850">
            <w:pPr>
              <w:rPr>
                <w:noProof/>
              </w:rPr>
            </w:pPr>
            <w:r w:rsidRPr="42911850">
              <w:rPr>
                <w:rFonts w:ascii="Calibri" w:eastAsia="Calibri" w:hAnsi="Calibri" w:cs="Calibri"/>
                <w:noProof/>
                <w:sz w:val="18"/>
                <w:szCs w:val="18"/>
              </w:rPr>
              <w:t xml:space="preserve"> </w:t>
            </w:r>
          </w:p>
          <w:p w14:paraId="6C0D340B" w14:textId="42C0C7D8" w:rsidR="42911850" w:rsidRDefault="42911850">
            <w:pPr>
              <w:rPr>
                <w:noProof/>
              </w:rPr>
            </w:pPr>
            <w:r w:rsidRPr="42911850">
              <w:rPr>
                <w:rFonts w:ascii="Calibri" w:eastAsia="Calibri" w:hAnsi="Calibri" w:cs="Calibri"/>
                <w:noProof/>
                <w:sz w:val="18"/>
                <w:szCs w:val="18"/>
              </w:rPr>
              <w:t>To EUR 4000</w:t>
            </w:r>
          </w:p>
        </w:tc>
      </w:tr>
      <w:tr w:rsidR="42911850" w14:paraId="3A8B7267" w14:textId="77777777" w:rsidTr="42911850">
        <w:trPr>
          <w:trHeight w:val="45"/>
        </w:trPr>
        <w:tc>
          <w:tcPr>
            <w:tcW w:w="638" w:type="dxa"/>
            <w:vMerge/>
            <w:tcBorders>
              <w:left w:val="single" w:sz="0" w:space="0" w:color="auto"/>
              <w:right w:val="single" w:sz="0" w:space="0" w:color="auto"/>
            </w:tcBorders>
            <w:vAlign w:val="center"/>
          </w:tcPr>
          <w:p w14:paraId="490A0DD4"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266169EE" w14:textId="0DFD584A" w:rsidR="42911850" w:rsidRDefault="42911850">
            <w:pPr>
              <w:rPr>
                <w:noProof/>
              </w:rPr>
            </w:pPr>
            <w:r w:rsidRPr="42911850">
              <w:rPr>
                <w:rFonts w:ascii="Calibri" w:eastAsia="Calibri" w:hAnsi="Calibri" w:cs="Calibri"/>
                <w:noProof/>
                <w:sz w:val="18"/>
                <w:szCs w:val="18"/>
              </w:rPr>
              <w:t xml:space="preserve">DAC 4 </w:t>
            </w:r>
          </w:p>
        </w:tc>
        <w:tc>
          <w:tcPr>
            <w:tcW w:w="3765" w:type="dxa"/>
            <w:tcBorders>
              <w:top w:val="single" w:sz="8" w:space="0" w:color="auto"/>
              <w:left w:val="single" w:sz="8" w:space="0" w:color="auto"/>
              <w:bottom w:val="single" w:sz="8" w:space="0" w:color="auto"/>
              <w:right w:val="single" w:sz="8" w:space="0" w:color="auto"/>
            </w:tcBorders>
          </w:tcPr>
          <w:p w14:paraId="63AE0D5E" w14:textId="22485C74" w:rsidR="42911850" w:rsidRDefault="42911850">
            <w:pPr>
              <w:rPr>
                <w:noProof/>
              </w:rPr>
            </w:pPr>
            <w:r w:rsidRPr="42911850">
              <w:rPr>
                <w:rFonts w:ascii="Calibri" w:eastAsia="Calibri" w:hAnsi="Calibri" w:cs="Calibri"/>
                <w:noProof/>
                <w:sz w:val="16"/>
                <w:szCs w:val="16"/>
                <w:u w:val="single"/>
              </w:rPr>
              <w:t>Personal scope:</w:t>
            </w:r>
            <w:r w:rsidRPr="42911850">
              <w:rPr>
                <w:rFonts w:ascii="Calibri" w:eastAsia="Calibri" w:hAnsi="Calibri" w:cs="Calibri"/>
                <w:noProof/>
                <w:sz w:val="16"/>
                <w:szCs w:val="16"/>
              </w:rPr>
              <w:t xml:space="preserve"> Reporting entities (as defined under DAC4 , I.e. legal entities </w:t>
            </w:r>
          </w:p>
          <w:p w14:paraId="56CB96FC" w14:textId="2ECDF793"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Higher penalties for medium sized and big companies, which will  be the case for the entities at stake here:</w:t>
            </w:r>
          </w:p>
          <w:p w14:paraId="6FBA5AA6" w14:textId="6498F6FC" w:rsidR="42911850" w:rsidRDefault="42911850" w:rsidP="00AE537F">
            <w:pPr>
              <w:pStyle w:val="ListParagraph"/>
              <w:numPr>
                <w:ilvl w:val="0"/>
                <w:numId w:val="3"/>
              </w:numPr>
              <w:spacing w:line="276" w:lineRule="auto"/>
              <w:rPr>
                <w:rFonts w:eastAsiaTheme="minorEastAsia"/>
                <w:noProof/>
                <w:sz w:val="16"/>
                <w:szCs w:val="16"/>
              </w:rPr>
            </w:pPr>
            <w:r w:rsidRPr="42911850">
              <w:rPr>
                <w:noProof/>
                <w:sz w:val="16"/>
                <w:szCs w:val="16"/>
              </w:rPr>
              <w:t xml:space="preserve">A penalty for </w:t>
            </w:r>
            <w:r w:rsidRPr="42911850">
              <w:rPr>
                <w:noProof/>
                <w:sz w:val="16"/>
                <w:szCs w:val="16"/>
                <w:u w:val="single"/>
              </w:rPr>
              <w:t>a responsible person</w:t>
            </w:r>
            <w:r w:rsidRPr="42911850">
              <w:rPr>
                <w:noProof/>
                <w:sz w:val="16"/>
                <w:szCs w:val="16"/>
              </w:rPr>
              <w:t xml:space="preserve">  (individual) of the Reporting entity, which will be  considered  as ‘’middle sized or big company’’:</w:t>
            </w:r>
          </w:p>
          <w:p w14:paraId="70C23526" w14:textId="67A609EC" w:rsidR="42911850" w:rsidRDefault="42911850" w:rsidP="00AE537F">
            <w:pPr>
              <w:rPr>
                <w:rFonts w:ascii="Calibri" w:eastAsia="Calibri" w:hAnsi="Calibri" w:cs="Calibri"/>
                <w:noProof/>
                <w:sz w:val="16"/>
                <w:szCs w:val="16"/>
              </w:rPr>
            </w:pPr>
            <w:r w:rsidRPr="42911850">
              <w:rPr>
                <w:rFonts w:ascii="Calibri" w:eastAsia="Calibri" w:hAnsi="Calibri" w:cs="Calibri"/>
                <w:noProof/>
                <w:sz w:val="16"/>
                <w:szCs w:val="16"/>
              </w:rPr>
              <w:t xml:space="preserve">If the nature of the infringement is particularly  serious (on purpose wrong reporting, intention to secure financial advantage, or because of serious damage caused to the fisc- considered as more than EUR 25.000) for medium and big entities the penalty is: </w:t>
            </w:r>
          </w:p>
          <w:p w14:paraId="12D99D89" w14:textId="706E3376" w:rsidR="42911850" w:rsidRDefault="42911850">
            <w:pPr>
              <w:rPr>
                <w:noProof/>
              </w:rPr>
            </w:pPr>
          </w:p>
          <w:p w14:paraId="239BF9BE" w14:textId="22DF767D" w:rsidR="42911850" w:rsidRDefault="42911850" w:rsidP="00AE537F">
            <w:pPr>
              <w:pStyle w:val="ListParagraph"/>
              <w:numPr>
                <w:ilvl w:val="0"/>
                <w:numId w:val="2"/>
              </w:numPr>
              <w:spacing w:line="276" w:lineRule="auto"/>
              <w:rPr>
                <w:rFonts w:eastAsiaTheme="minorEastAsia"/>
                <w:noProof/>
                <w:sz w:val="16"/>
                <w:szCs w:val="16"/>
              </w:rPr>
            </w:pPr>
            <w:r w:rsidRPr="42911850">
              <w:rPr>
                <w:noProof/>
                <w:sz w:val="16"/>
                <w:szCs w:val="16"/>
              </w:rPr>
              <w:t xml:space="preserve">  A penalty for </w:t>
            </w:r>
            <w:r w:rsidRPr="42911850">
              <w:rPr>
                <w:noProof/>
                <w:sz w:val="16"/>
                <w:szCs w:val="16"/>
                <w:u w:val="single"/>
              </w:rPr>
              <w:t>a responsible person</w:t>
            </w:r>
            <w:r w:rsidRPr="42911850">
              <w:rPr>
                <w:noProof/>
                <w:sz w:val="16"/>
                <w:szCs w:val="16"/>
              </w:rPr>
              <w:t xml:space="preserve">  (individual) of the Reporting entity, which will be  considered  as ‘’middle sized or big company’’ in case of the above mentioned particularly serious infringement:</w:t>
            </w:r>
          </w:p>
          <w:p w14:paraId="20636955" w14:textId="627C97EA"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 xml:space="preserve"> </w:t>
            </w:r>
          </w:p>
          <w:p w14:paraId="398DF3E8" w14:textId="7BA6F3A8" w:rsidR="42911850" w:rsidRDefault="42911850">
            <w:pPr>
              <w:rPr>
                <w:noProof/>
              </w:rPr>
            </w:pPr>
            <w:r w:rsidRPr="42911850">
              <w:rPr>
                <w:rFonts w:ascii="Calibri" w:eastAsia="Calibri" w:hAnsi="Calibri" w:cs="Calibri"/>
                <w:noProof/>
                <w:sz w:val="16"/>
                <w:szCs w:val="16"/>
                <w:u w:val="single"/>
              </w:rPr>
              <w:t>Material scope</w:t>
            </w:r>
            <w:r w:rsidRPr="42911850">
              <w:rPr>
                <w:rFonts w:ascii="Calibri" w:eastAsia="Calibri" w:hAnsi="Calibri" w:cs="Calibri"/>
                <w:noProof/>
                <w:sz w:val="16"/>
                <w:szCs w:val="16"/>
              </w:rPr>
              <w:t>: failure to report, reporting not in line with the required formalities or not within the deadline.</w:t>
            </w:r>
          </w:p>
          <w:p w14:paraId="7DCD0DEA" w14:textId="53BC3F10" w:rsidR="42911850" w:rsidRDefault="42911850">
            <w:pPr>
              <w:rPr>
                <w:noProof/>
              </w:rPr>
            </w:pPr>
            <w:r w:rsidRPr="42911850">
              <w:rPr>
                <w:rFonts w:ascii="Calibri" w:eastAsia="Calibri" w:hAnsi="Calibri" w:cs="Calibri"/>
                <w:noProof/>
                <w:sz w:val="16"/>
                <w:szCs w:val="16"/>
              </w:rPr>
              <w:t>The provision speaks about penalty when an entity commits an infringement  by not reporting,, missing deadlines...difficult to say whether individual or cumulative, but I would tend more towards the cumulative nature, of course considering a certain time frame (e.g. within a tax year).</w:t>
            </w:r>
          </w:p>
        </w:tc>
        <w:tc>
          <w:tcPr>
            <w:tcW w:w="1757" w:type="dxa"/>
            <w:tcBorders>
              <w:top w:val="single" w:sz="8" w:space="0" w:color="auto"/>
              <w:left w:val="single" w:sz="8" w:space="0" w:color="auto"/>
              <w:bottom w:val="single" w:sz="8" w:space="0" w:color="auto"/>
              <w:right w:val="single" w:sz="8" w:space="0" w:color="auto"/>
            </w:tcBorders>
          </w:tcPr>
          <w:p w14:paraId="5CBF0EA4" w14:textId="2B03CD5F" w:rsidR="42911850" w:rsidRDefault="42911850">
            <w:pPr>
              <w:rPr>
                <w:noProof/>
              </w:rPr>
            </w:pPr>
            <w:r w:rsidRPr="42911850">
              <w:rPr>
                <w:rFonts w:ascii="Calibri" w:eastAsia="Calibri" w:hAnsi="Calibri" w:cs="Calibri"/>
                <w:noProof/>
                <w:sz w:val="18"/>
                <w:szCs w:val="18"/>
              </w:rPr>
              <w:t xml:space="preserve"> </w:t>
            </w:r>
          </w:p>
          <w:p w14:paraId="5BA50598" w14:textId="123DB02B" w:rsidR="42911850" w:rsidRDefault="42911850">
            <w:pPr>
              <w:rPr>
                <w:noProof/>
              </w:rPr>
            </w:pPr>
            <w:r w:rsidRPr="42911850">
              <w:rPr>
                <w:rFonts w:ascii="Calibri" w:eastAsia="Calibri" w:hAnsi="Calibri" w:cs="Calibri"/>
                <w:noProof/>
                <w:sz w:val="18"/>
                <w:szCs w:val="18"/>
              </w:rPr>
              <w:t>From EUR 3.200</w:t>
            </w:r>
          </w:p>
          <w:p w14:paraId="04084E70" w14:textId="3C73D369" w:rsidR="42911850" w:rsidRDefault="42911850">
            <w:pPr>
              <w:rPr>
                <w:noProof/>
              </w:rPr>
            </w:pPr>
            <w:r w:rsidRPr="42911850">
              <w:rPr>
                <w:rFonts w:ascii="Calibri" w:eastAsia="Calibri" w:hAnsi="Calibri" w:cs="Calibri"/>
                <w:noProof/>
                <w:sz w:val="18"/>
                <w:szCs w:val="18"/>
              </w:rPr>
              <w:t xml:space="preserve"> </w:t>
            </w:r>
          </w:p>
          <w:p w14:paraId="52FA1148" w14:textId="0C10704E" w:rsidR="42911850" w:rsidRDefault="42911850">
            <w:pPr>
              <w:rPr>
                <w:noProof/>
              </w:rPr>
            </w:pPr>
            <w:r w:rsidRPr="42911850">
              <w:rPr>
                <w:rFonts w:ascii="Calibri" w:eastAsia="Calibri" w:hAnsi="Calibri" w:cs="Calibri"/>
                <w:noProof/>
                <w:sz w:val="18"/>
                <w:szCs w:val="18"/>
              </w:rPr>
              <w:t>EUR 800</w:t>
            </w:r>
          </w:p>
          <w:p w14:paraId="7775BE81" w14:textId="09F30693" w:rsidR="42911850" w:rsidRDefault="42911850">
            <w:pPr>
              <w:rPr>
                <w:noProof/>
              </w:rPr>
            </w:pPr>
            <w:r w:rsidRPr="42911850">
              <w:rPr>
                <w:rFonts w:ascii="Calibri" w:eastAsia="Calibri" w:hAnsi="Calibri" w:cs="Calibri"/>
                <w:noProof/>
                <w:sz w:val="18"/>
                <w:szCs w:val="18"/>
              </w:rPr>
              <w:t xml:space="preserve"> </w:t>
            </w:r>
          </w:p>
          <w:p w14:paraId="37CD92B1" w14:textId="13E433A6" w:rsidR="42911850" w:rsidRDefault="42911850">
            <w:pPr>
              <w:rPr>
                <w:noProof/>
              </w:rPr>
            </w:pPr>
            <w:r w:rsidRPr="42911850">
              <w:rPr>
                <w:rFonts w:ascii="Calibri" w:eastAsia="Calibri" w:hAnsi="Calibri" w:cs="Calibri"/>
                <w:noProof/>
                <w:sz w:val="18"/>
                <w:szCs w:val="18"/>
              </w:rPr>
              <w:t>From 10.500</w:t>
            </w:r>
          </w:p>
          <w:p w14:paraId="2D457A47" w14:textId="587BFAD3" w:rsidR="42911850" w:rsidRDefault="42911850">
            <w:pPr>
              <w:rPr>
                <w:noProof/>
              </w:rPr>
            </w:pPr>
            <w:r w:rsidRPr="42911850">
              <w:rPr>
                <w:rFonts w:ascii="Calibri" w:eastAsia="Calibri" w:hAnsi="Calibri" w:cs="Calibri"/>
                <w:noProof/>
                <w:sz w:val="18"/>
                <w:szCs w:val="18"/>
              </w:rPr>
              <w:t xml:space="preserve"> </w:t>
            </w:r>
          </w:p>
          <w:p w14:paraId="2C911E28" w14:textId="6707589C" w:rsidR="42911850" w:rsidRDefault="42911850">
            <w:pPr>
              <w:rPr>
                <w:noProof/>
              </w:rPr>
            </w:pPr>
            <w:r w:rsidRPr="42911850">
              <w:rPr>
                <w:rFonts w:ascii="Calibri" w:eastAsia="Calibri" w:hAnsi="Calibri" w:cs="Calibri"/>
                <w:noProof/>
                <w:sz w:val="18"/>
                <w:szCs w:val="18"/>
              </w:rPr>
              <w:t>EUR 1400</w:t>
            </w:r>
          </w:p>
          <w:p w14:paraId="067F5328" w14:textId="7E012DC1" w:rsidR="42911850" w:rsidRDefault="42911850">
            <w:pPr>
              <w:rPr>
                <w:noProof/>
              </w:rPr>
            </w:pPr>
            <w:r w:rsidRPr="42911850">
              <w:rPr>
                <w:rFonts w:ascii="Calibri" w:eastAsia="Calibri" w:hAnsi="Calibri" w:cs="Calibri"/>
                <w:noProof/>
                <w:sz w:val="18"/>
                <w:szCs w:val="18"/>
              </w:rPr>
              <w:t xml:space="preserve"> </w:t>
            </w:r>
          </w:p>
          <w:p w14:paraId="7B68BF37" w14:textId="7CDB6331"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46678BD0" w14:textId="1B4F6EBA" w:rsidR="42911850" w:rsidRDefault="42911850">
            <w:pPr>
              <w:rPr>
                <w:noProof/>
              </w:rPr>
            </w:pPr>
            <w:r w:rsidRPr="42911850">
              <w:rPr>
                <w:rFonts w:ascii="Calibri" w:eastAsia="Calibri" w:hAnsi="Calibri" w:cs="Calibri"/>
                <w:noProof/>
                <w:sz w:val="18"/>
                <w:szCs w:val="18"/>
              </w:rPr>
              <w:t xml:space="preserve"> </w:t>
            </w:r>
          </w:p>
          <w:p w14:paraId="34F1A56B" w14:textId="22EB79E6" w:rsidR="42911850" w:rsidRDefault="42911850">
            <w:pPr>
              <w:rPr>
                <w:noProof/>
              </w:rPr>
            </w:pPr>
            <w:r w:rsidRPr="42911850">
              <w:rPr>
                <w:rFonts w:ascii="Calibri" w:eastAsia="Calibri" w:hAnsi="Calibri" w:cs="Calibri"/>
                <w:noProof/>
                <w:sz w:val="18"/>
                <w:szCs w:val="18"/>
              </w:rPr>
              <w:t>EUR 30. 000</w:t>
            </w:r>
          </w:p>
          <w:p w14:paraId="58F03148" w14:textId="372125E6" w:rsidR="42911850" w:rsidRDefault="42911850">
            <w:pPr>
              <w:rPr>
                <w:noProof/>
              </w:rPr>
            </w:pPr>
            <w:r w:rsidRPr="42911850">
              <w:rPr>
                <w:rFonts w:ascii="Calibri" w:eastAsia="Calibri" w:hAnsi="Calibri" w:cs="Calibri"/>
                <w:noProof/>
                <w:sz w:val="18"/>
                <w:szCs w:val="18"/>
              </w:rPr>
              <w:t xml:space="preserve"> </w:t>
            </w:r>
          </w:p>
          <w:p w14:paraId="595903C4" w14:textId="55FA760B" w:rsidR="42911850" w:rsidRDefault="42911850">
            <w:pPr>
              <w:rPr>
                <w:noProof/>
              </w:rPr>
            </w:pPr>
            <w:r w:rsidRPr="42911850">
              <w:rPr>
                <w:rFonts w:ascii="Calibri" w:eastAsia="Calibri" w:hAnsi="Calibri" w:cs="Calibri"/>
                <w:noProof/>
                <w:sz w:val="18"/>
                <w:szCs w:val="18"/>
              </w:rPr>
              <w:t>To EUR 4.000</w:t>
            </w:r>
          </w:p>
          <w:p w14:paraId="1A8FCC98" w14:textId="3701C907" w:rsidR="42911850" w:rsidRDefault="42911850">
            <w:pPr>
              <w:rPr>
                <w:noProof/>
              </w:rPr>
            </w:pPr>
            <w:r w:rsidRPr="42911850">
              <w:rPr>
                <w:rFonts w:ascii="Calibri" w:eastAsia="Calibri" w:hAnsi="Calibri" w:cs="Calibri"/>
                <w:noProof/>
                <w:sz w:val="18"/>
                <w:szCs w:val="18"/>
              </w:rPr>
              <w:t xml:space="preserve"> </w:t>
            </w:r>
          </w:p>
          <w:p w14:paraId="1FE78E44" w14:textId="329B05E7" w:rsidR="42911850" w:rsidRDefault="42911850">
            <w:pPr>
              <w:rPr>
                <w:noProof/>
              </w:rPr>
            </w:pPr>
            <w:r w:rsidRPr="42911850">
              <w:rPr>
                <w:rFonts w:ascii="Calibri" w:eastAsia="Calibri" w:hAnsi="Calibri" w:cs="Calibri"/>
                <w:noProof/>
                <w:sz w:val="18"/>
                <w:szCs w:val="18"/>
              </w:rPr>
              <w:t>To EUR 150.000</w:t>
            </w:r>
          </w:p>
          <w:p w14:paraId="5F4E28E0" w14:textId="0C3CD9A7" w:rsidR="42911850" w:rsidRDefault="42911850">
            <w:pPr>
              <w:rPr>
                <w:noProof/>
              </w:rPr>
            </w:pPr>
            <w:r w:rsidRPr="42911850">
              <w:rPr>
                <w:rFonts w:ascii="Calibri" w:eastAsia="Calibri" w:hAnsi="Calibri" w:cs="Calibri"/>
                <w:noProof/>
                <w:sz w:val="18"/>
                <w:szCs w:val="18"/>
              </w:rPr>
              <w:t xml:space="preserve"> </w:t>
            </w:r>
          </w:p>
          <w:p w14:paraId="1DD30693" w14:textId="088C1304" w:rsidR="42911850" w:rsidRDefault="42911850">
            <w:pPr>
              <w:rPr>
                <w:noProof/>
              </w:rPr>
            </w:pPr>
            <w:r w:rsidRPr="42911850">
              <w:rPr>
                <w:rFonts w:ascii="Calibri" w:eastAsia="Calibri" w:hAnsi="Calibri" w:cs="Calibri"/>
                <w:noProof/>
                <w:sz w:val="18"/>
                <w:szCs w:val="18"/>
              </w:rPr>
              <w:t>To EUR 20.000</w:t>
            </w:r>
          </w:p>
          <w:p w14:paraId="4DD587F7" w14:textId="23B79CCF" w:rsidR="42911850" w:rsidRDefault="42911850">
            <w:pPr>
              <w:rPr>
                <w:noProof/>
              </w:rPr>
            </w:pPr>
            <w:r w:rsidRPr="42911850">
              <w:rPr>
                <w:rFonts w:ascii="Calibri" w:eastAsia="Calibri" w:hAnsi="Calibri" w:cs="Calibri"/>
                <w:noProof/>
                <w:sz w:val="18"/>
                <w:szCs w:val="18"/>
              </w:rPr>
              <w:t xml:space="preserve"> </w:t>
            </w:r>
          </w:p>
        </w:tc>
      </w:tr>
      <w:tr w:rsidR="42911850" w14:paraId="6486BFCC"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663F88D0"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09022413" w14:textId="0BDAF479"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6AB527D7" w14:textId="7FB86351" w:rsidR="42911850" w:rsidRDefault="42911850">
            <w:pPr>
              <w:rPr>
                <w:noProof/>
              </w:rPr>
            </w:pPr>
            <w:r w:rsidRPr="42911850">
              <w:rPr>
                <w:rFonts w:ascii="Calibri" w:eastAsia="Calibri" w:hAnsi="Calibri" w:cs="Calibri"/>
                <w:noProof/>
                <w:sz w:val="16"/>
                <w:szCs w:val="16"/>
              </w:rPr>
              <w:t>Article 394 of the Tax Procedure Act (TPA) for individuals and Article  397 TPA for entrepreneurs and companies</w:t>
            </w:r>
          </w:p>
          <w:p w14:paraId="0321DE3C" w14:textId="633E4236" w:rsidR="42911850" w:rsidRDefault="42911850">
            <w:pPr>
              <w:rPr>
                <w:noProof/>
              </w:rPr>
            </w:pPr>
            <w:r w:rsidRPr="42911850">
              <w:rPr>
                <w:rFonts w:ascii="Calibri" w:eastAsia="Calibri" w:hAnsi="Calibri" w:cs="Calibri"/>
                <w:noProof/>
                <w:sz w:val="16"/>
                <w:szCs w:val="16"/>
              </w:rPr>
              <w:t>The scope rationae personae: individuals;</w:t>
            </w:r>
          </w:p>
          <w:p w14:paraId="2ED4830E" w14:textId="76921C10" w:rsidR="42911850" w:rsidRDefault="42911850">
            <w:pPr>
              <w:rPr>
                <w:noProof/>
              </w:rPr>
            </w:pPr>
            <w:r w:rsidRPr="42911850">
              <w:rPr>
                <w:rFonts w:ascii="Calibri" w:eastAsia="Calibri" w:hAnsi="Calibri" w:cs="Calibri"/>
                <w:noProof/>
                <w:sz w:val="16"/>
                <w:szCs w:val="16"/>
              </w:rPr>
              <w:t>The scope rationae materiae:</w:t>
            </w:r>
            <w:r w:rsidR="00242AF7">
              <w:rPr>
                <w:rFonts w:ascii="Calibri" w:eastAsia="Calibri" w:hAnsi="Calibri" w:cs="Calibri"/>
                <w:noProof/>
                <w:sz w:val="16"/>
                <w:szCs w:val="16"/>
              </w:rPr>
              <w:t xml:space="preserve"> </w:t>
            </w:r>
            <w:r w:rsidRPr="42911850">
              <w:rPr>
                <w:rFonts w:ascii="Calibri" w:eastAsia="Calibri" w:hAnsi="Calibri" w:cs="Calibri"/>
                <w:noProof/>
                <w:sz w:val="16"/>
                <w:szCs w:val="16"/>
              </w:rPr>
              <w:t>1) no reporting (‘’</w:t>
            </w:r>
            <w:r w:rsidRPr="42911850">
              <w:rPr>
                <w:rFonts w:ascii="Calibri" w:eastAsia="Calibri" w:hAnsi="Calibri" w:cs="Calibri"/>
                <w:noProof/>
                <w:sz w:val="16"/>
                <w:szCs w:val="16"/>
                <w:lang w:val="en"/>
              </w:rPr>
              <w:t xml:space="preserve">fails to submit data on the cross-border arrangement to be reported’’), </w:t>
            </w:r>
            <w:r w:rsidRPr="42911850">
              <w:rPr>
                <w:rFonts w:ascii="Calibri" w:eastAsia="Calibri" w:hAnsi="Calibri" w:cs="Calibri"/>
                <w:noProof/>
                <w:sz w:val="16"/>
                <w:szCs w:val="16"/>
              </w:rPr>
              <w:t>2) late reporting (‘’</w:t>
            </w:r>
            <w:r w:rsidRPr="42911850">
              <w:rPr>
                <w:rFonts w:ascii="Calibri" w:eastAsia="Calibri" w:hAnsi="Calibri" w:cs="Calibri"/>
                <w:noProof/>
                <w:sz w:val="16"/>
                <w:szCs w:val="16"/>
                <w:lang w:val="en"/>
              </w:rPr>
              <w:t>fails to submit them within the prescribed time limit), 3) partial reporting (‘’fails to submit them for each year in which the arrangement applies).</w:t>
            </w:r>
          </w:p>
          <w:p w14:paraId="4172E059" w14:textId="11AF4AF2" w:rsidR="42911850" w:rsidRDefault="42911850">
            <w:pPr>
              <w:rPr>
                <w:noProof/>
              </w:rPr>
            </w:pPr>
            <w:r w:rsidRPr="42911850">
              <w:rPr>
                <w:rFonts w:ascii="Calibri" w:eastAsia="Calibri" w:hAnsi="Calibri" w:cs="Calibri"/>
                <w:noProof/>
                <w:sz w:val="16"/>
                <w:szCs w:val="16"/>
              </w:rPr>
              <w:t>The scope rationae personae: entrepreneurs and legal persons ; the scope rationae materiae:1) no reporting (‘’</w:t>
            </w:r>
            <w:r w:rsidRPr="42911850">
              <w:rPr>
                <w:rFonts w:ascii="Calibri" w:eastAsia="Calibri" w:hAnsi="Calibri" w:cs="Calibri"/>
                <w:noProof/>
                <w:sz w:val="16"/>
                <w:szCs w:val="16"/>
                <w:lang w:val="en"/>
              </w:rPr>
              <w:t xml:space="preserve">fails to submit data on the cross-border arrangement to be reported’’), </w:t>
            </w:r>
            <w:r w:rsidRPr="42911850">
              <w:rPr>
                <w:rFonts w:ascii="Calibri" w:eastAsia="Calibri" w:hAnsi="Calibri" w:cs="Calibri"/>
                <w:noProof/>
                <w:sz w:val="16"/>
                <w:szCs w:val="16"/>
              </w:rPr>
              <w:t>2) late reporting (‘’</w:t>
            </w:r>
            <w:r w:rsidRPr="42911850">
              <w:rPr>
                <w:rFonts w:ascii="Calibri" w:eastAsia="Calibri" w:hAnsi="Calibri" w:cs="Calibri"/>
                <w:noProof/>
                <w:sz w:val="16"/>
                <w:szCs w:val="16"/>
                <w:lang w:val="en"/>
              </w:rPr>
              <w:t xml:space="preserve">fails to submit them within the prescribed time limit),  no regular reporting, 3) partial reporting (‘’fails to submit them for each year in which the arrangement applies), 5) fails to inform the intermediary or a taxpayer about the use of the professional secrecy waiver. </w:t>
            </w:r>
          </w:p>
          <w:p w14:paraId="0227CC2B" w14:textId="39013C16"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Legislation does not explicitly indicate if these penalties apply per individual or cumulative infringements.</w:t>
            </w:r>
          </w:p>
          <w:p w14:paraId="770BD4D0" w14:textId="75AFF0BC" w:rsidR="42911850" w:rsidRDefault="42911850" w:rsidP="00AE537F">
            <w:pPr>
              <w:spacing w:line="276" w:lineRule="auto"/>
              <w:rPr>
                <w:rFonts w:ascii="Calibri" w:eastAsia="Calibri" w:hAnsi="Calibri" w:cs="Calibri"/>
                <w:noProof/>
                <w:sz w:val="18"/>
                <w:szCs w:val="18"/>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0731F29F" w14:textId="13B49730" w:rsidR="42911850" w:rsidRDefault="42911850">
            <w:pPr>
              <w:rPr>
                <w:noProof/>
              </w:rPr>
            </w:pPr>
            <w:r w:rsidRPr="42911850">
              <w:rPr>
                <w:rFonts w:ascii="Calibri" w:eastAsia="Calibri" w:hAnsi="Calibri" w:cs="Calibri"/>
                <w:noProof/>
                <w:sz w:val="18"/>
                <w:szCs w:val="18"/>
              </w:rPr>
              <w:t xml:space="preserve"> </w:t>
            </w:r>
          </w:p>
          <w:p w14:paraId="6B9BAEE5" w14:textId="7B21B706" w:rsidR="42911850" w:rsidRDefault="42911850">
            <w:pPr>
              <w:rPr>
                <w:noProof/>
              </w:rPr>
            </w:pPr>
            <w:r w:rsidRPr="42911850">
              <w:rPr>
                <w:rFonts w:ascii="Calibri" w:eastAsia="Calibri" w:hAnsi="Calibri" w:cs="Calibri"/>
                <w:noProof/>
                <w:sz w:val="18"/>
                <w:szCs w:val="18"/>
              </w:rPr>
              <w:t xml:space="preserve"> </w:t>
            </w:r>
          </w:p>
          <w:p w14:paraId="04AA28B1" w14:textId="70D11195"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From EUR 250</w:t>
            </w:r>
          </w:p>
          <w:p w14:paraId="336A73BD" w14:textId="0431F491" w:rsidR="42911850" w:rsidRDefault="42911850">
            <w:pPr>
              <w:rPr>
                <w:noProof/>
              </w:rPr>
            </w:pPr>
            <w:r w:rsidRPr="42911850">
              <w:rPr>
                <w:rFonts w:ascii="Calibri" w:eastAsia="Calibri" w:hAnsi="Calibri" w:cs="Calibri"/>
                <w:noProof/>
                <w:sz w:val="18"/>
                <w:szCs w:val="18"/>
              </w:rPr>
              <w:t xml:space="preserve"> </w:t>
            </w:r>
          </w:p>
          <w:p w14:paraId="5D431E18" w14:textId="08B7BEE8" w:rsidR="42911850" w:rsidRDefault="42911850">
            <w:pPr>
              <w:rPr>
                <w:noProof/>
              </w:rPr>
            </w:pPr>
            <w:r w:rsidRPr="42911850">
              <w:rPr>
                <w:rFonts w:ascii="Calibri" w:eastAsia="Calibri" w:hAnsi="Calibri" w:cs="Calibri"/>
                <w:noProof/>
                <w:sz w:val="18"/>
                <w:szCs w:val="18"/>
              </w:rPr>
              <w:t xml:space="preserve"> </w:t>
            </w:r>
          </w:p>
          <w:p w14:paraId="081308C2" w14:textId="779878CB" w:rsidR="42911850" w:rsidRDefault="42911850">
            <w:pPr>
              <w:rPr>
                <w:noProof/>
              </w:rPr>
            </w:pPr>
            <w:r w:rsidRPr="42911850">
              <w:rPr>
                <w:rFonts w:ascii="Calibri" w:eastAsia="Calibri" w:hAnsi="Calibri" w:cs="Calibri"/>
                <w:noProof/>
                <w:sz w:val="18"/>
                <w:szCs w:val="18"/>
              </w:rPr>
              <w:t xml:space="preserve"> </w:t>
            </w:r>
          </w:p>
          <w:p w14:paraId="1D9C9786" w14:textId="367CD273" w:rsidR="42911850" w:rsidRDefault="42911850">
            <w:pPr>
              <w:rPr>
                <w:noProof/>
              </w:rPr>
            </w:pPr>
            <w:r w:rsidRPr="42911850">
              <w:rPr>
                <w:rFonts w:ascii="Calibri" w:eastAsia="Calibri" w:hAnsi="Calibri" w:cs="Calibri"/>
                <w:noProof/>
                <w:sz w:val="16"/>
                <w:szCs w:val="16"/>
              </w:rPr>
              <w:t>From EUR 800</w:t>
            </w:r>
          </w:p>
          <w:p w14:paraId="1DA08881" w14:textId="78F4EAEF" w:rsidR="42911850" w:rsidRDefault="42911850">
            <w:pPr>
              <w:rPr>
                <w:noProof/>
              </w:rPr>
            </w:pPr>
            <w:r w:rsidRPr="42911850">
              <w:rPr>
                <w:rFonts w:ascii="Calibri" w:eastAsia="Calibri" w:hAnsi="Calibri" w:cs="Calibri"/>
                <w:noProof/>
                <w:sz w:val="18"/>
                <w:szCs w:val="18"/>
              </w:rPr>
              <w:t xml:space="preserve"> </w:t>
            </w:r>
          </w:p>
          <w:p w14:paraId="582B3A35" w14:textId="4E768561" w:rsidR="42911850" w:rsidRDefault="42911850">
            <w:pPr>
              <w:rPr>
                <w:noProof/>
              </w:rPr>
            </w:pPr>
            <w:r w:rsidRPr="42911850">
              <w:rPr>
                <w:rFonts w:ascii="Calibri" w:eastAsia="Calibri" w:hAnsi="Calibri" w:cs="Calibri"/>
                <w:noProof/>
                <w:sz w:val="18"/>
                <w:szCs w:val="18"/>
              </w:rPr>
              <w:t xml:space="preserve"> </w:t>
            </w:r>
          </w:p>
          <w:p w14:paraId="5A2A6D7C" w14:textId="523ABEA0" w:rsidR="42911850" w:rsidRDefault="42911850">
            <w:pPr>
              <w:rPr>
                <w:noProof/>
              </w:rPr>
            </w:pPr>
            <w:r w:rsidRPr="42911850">
              <w:rPr>
                <w:rFonts w:ascii="Calibri" w:eastAsia="Calibri" w:hAnsi="Calibri" w:cs="Calibri"/>
                <w:noProof/>
                <w:sz w:val="18"/>
                <w:szCs w:val="18"/>
              </w:rPr>
              <w:t xml:space="preserve"> </w:t>
            </w:r>
          </w:p>
        </w:tc>
        <w:tc>
          <w:tcPr>
            <w:tcW w:w="2175" w:type="dxa"/>
            <w:tcBorders>
              <w:top w:val="single" w:sz="8" w:space="0" w:color="auto"/>
              <w:left w:val="single" w:sz="8" w:space="0" w:color="auto"/>
              <w:bottom w:val="single" w:sz="8" w:space="0" w:color="auto"/>
              <w:right w:val="single" w:sz="8" w:space="0" w:color="auto"/>
            </w:tcBorders>
          </w:tcPr>
          <w:p w14:paraId="1FCA88A1" w14:textId="118361FA" w:rsidR="42911850" w:rsidRDefault="42911850">
            <w:pPr>
              <w:rPr>
                <w:noProof/>
              </w:rPr>
            </w:pPr>
            <w:r w:rsidRPr="42911850">
              <w:rPr>
                <w:rFonts w:ascii="Calibri" w:eastAsia="Calibri" w:hAnsi="Calibri" w:cs="Calibri"/>
                <w:noProof/>
                <w:sz w:val="18"/>
                <w:szCs w:val="18"/>
              </w:rPr>
              <w:t xml:space="preserve"> </w:t>
            </w:r>
          </w:p>
          <w:p w14:paraId="0346C12F" w14:textId="0B1685F9" w:rsidR="42911850" w:rsidRDefault="42911850">
            <w:pPr>
              <w:rPr>
                <w:noProof/>
              </w:rPr>
            </w:pPr>
            <w:r w:rsidRPr="42911850">
              <w:rPr>
                <w:rFonts w:ascii="Calibri" w:eastAsia="Calibri" w:hAnsi="Calibri" w:cs="Calibri"/>
                <w:noProof/>
                <w:sz w:val="18"/>
                <w:szCs w:val="18"/>
              </w:rPr>
              <w:t xml:space="preserve"> </w:t>
            </w:r>
          </w:p>
          <w:p w14:paraId="1AC83FFB" w14:textId="4940A68D" w:rsidR="42911850" w:rsidRDefault="42911850" w:rsidP="00AE537F">
            <w:pPr>
              <w:spacing w:line="276" w:lineRule="auto"/>
              <w:rPr>
                <w:rFonts w:ascii="Calibri" w:eastAsia="Calibri" w:hAnsi="Calibri" w:cs="Calibri"/>
                <w:noProof/>
                <w:sz w:val="16"/>
                <w:szCs w:val="16"/>
              </w:rPr>
            </w:pPr>
            <w:r w:rsidRPr="42911850">
              <w:rPr>
                <w:rFonts w:ascii="Calibri" w:eastAsia="Calibri" w:hAnsi="Calibri" w:cs="Calibri"/>
                <w:noProof/>
                <w:sz w:val="16"/>
                <w:szCs w:val="16"/>
              </w:rPr>
              <w:t>to EUR 400</w:t>
            </w:r>
          </w:p>
          <w:p w14:paraId="3079F8C0" w14:textId="349437F8" w:rsidR="42911850" w:rsidRDefault="42911850">
            <w:pPr>
              <w:rPr>
                <w:noProof/>
              </w:rPr>
            </w:pPr>
            <w:r w:rsidRPr="42911850">
              <w:rPr>
                <w:rFonts w:ascii="Calibri" w:eastAsia="Calibri" w:hAnsi="Calibri" w:cs="Calibri"/>
                <w:noProof/>
                <w:sz w:val="18"/>
                <w:szCs w:val="18"/>
              </w:rPr>
              <w:t xml:space="preserve"> </w:t>
            </w:r>
          </w:p>
          <w:p w14:paraId="48EF8A43" w14:textId="6C23FDCD" w:rsidR="42911850" w:rsidRDefault="42911850">
            <w:pPr>
              <w:rPr>
                <w:noProof/>
              </w:rPr>
            </w:pPr>
            <w:r w:rsidRPr="42911850">
              <w:rPr>
                <w:rFonts w:ascii="Calibri" w:eastAsia="Calibri" w:hAnsi="Calibri" w:cs="Calibri"/>
                <w:noProof/>
                <w:sz w:val="18"/>
                <w:szCs w:val="18"/>
              </w:rPr>
              <w:t xml:space="preserve"> </w:t>
            </w:r>
          </w:p>
          <w:p w14:paraId="6BD4367C" w14:textId="281715C3" w:rsidR="42911850" w:rsidRDefault="42911850">
            <w:pPr>
              <w:rPr>
                <w:noProof/>
              </w:rPr>
            </w:pPr>
            <w:r w:rsidRPr="42911850">
              <w:rPr>
                <w:rFonts w:ascii="Calibri" w:eastAsia="Calibri" w:hAnsi="Calibri" w:cs="Calibri"/>
                <w:noProof/>
                <w:sz w:val="18"/>
                <w:szCs w:val="18"/>
              </w:rPr>
              <w:t xml:space="preserve"> </w:t>
            </w:r>
          </w:p>
          <w:p w14:paraId="0A65FF0E" w14:textId="3C1CE221" w:rsidR="42911850" w:rsidRDefault="42911850">
            <w:pPr>
              <w:rPr>
                <w:noProof/>
              </w:rPr>
            </w:pPr>
            <w:r w:rsidRPr="42911850">
              <w:rPr>
                <w:rFonts w:ascii="Calibri" w:eastAsia="Calibri" w:hAnsi="Calibri" w:cs="Calibri"/>
                <w:noProof/>
                <w:sz w:val="18"/>
                <w:szCs w:val="18"/>
              </w:rPr>
              <w:t>to</w:t>
            </w:r>
            <w:r w:rsidRPr="42911850">
              <w:rPr>
                <w:rFonts w:ascii="Calibri" w:eastAsia="Calibri" w:hAnsi="Calibri" w:cs="Calibri"/>
                <w:noProof/>
                <w:sz w:val="16"/>
                <w:szCs w:val="16"/>
              </w:rPr>
              <w:t xml:space="preserve"> EUR  10.000</w:t>
            </w:r>
          </w:p>
        </w:tc>
      </w:tr>
      <w:tr w:rsidR="42911850" w14:paraId="7E5A706D" w14:textId="77777777" w:rsidTr="42911850">
        <w:trPr>
          <w:trHeight w:val="45"/>
        </w:trPr>
        <w:tc>
          <w:tcPr>
            <w:tcW w:w="638" w:type="dxa"/>
            <w:vMerge w:val="restart"/>
            <w:tcBorders>
              <w:top w:val="nil"/>
              <w:left w:val="single" w:sz="8" w:space="0" w:color="auto"/>
              <w:bottom w:val="single" w:sz="8" w:space="0" w:color="auto"/>
              <w:right w:val="single" w:sz="8" w:space="0" w:color="auto"/>
            </w:tcBorders>
          </w:tcPr>
          <w:p w14:paraId="06888420" w14:textId="6EE66950" w:rsidR="42911850" w:rsidRDefault="42911850">
            <w:pPr>
              <w:rPr>
                <w:noProof/>
              </w:rPr>
            </w:pPr>
            <w:r w:rsidRPr="42911850">
              <w:rPr>
                <w:rFonts w:ascii="Calibri" w:eastAsia="Calibri" w:hAnsi="Calibri" w:cs="Calibri"/>
                <w:b/>
                <w:bCs/>
                <w:noProof/>
                <w:sz w:val="18"/>
                <w:szCs w:val="18"/>
              </w:rPr>
              <w:t xml:space="preserve">SK </w:t>
            </w:r>
          </w:p>
        </w:tc>
        <w:tc>
          <w:tcPr>
            <w:tcW w:w="1025" w:type="dxa"/>
            <w:tcBorders>
              <w:top w:val="single" w:sz="8" w:space="0" w:color="auto"/>
              <w:left w:val="single" w:sz="8" w:space="0" w:color="auto"/>
              <w:bottom w:val="single" w:sz="8" w:space="0" w:color="auto"/>
              <w:right w:val="single" w:sz="8" w:space="0" w:color="auto"/>
            </w:tcBorders>
          </w:tcPr>
          <w:p w14:paraId="5E48C4A4" w14:textId="7AF7EA64" w:rsidR="42911850" w:rsidRDefault="42911850">
            <w:pPr>
              <w:rPr>
                <w:noProof/>
              </w:rPr>
            </w:pPr>
            <w:r w:rsidRPr="42911850">
              <w:rPr>
                <w:rFonts w:ascii="Calibri" w:eastAsia="Calibri" w:hAnsi="Calibri" w:cs="Calibri"/>
                <w:noProof/>
                <w:sz w:val="18"/>
                <w:szCs w:val="18"/>
              </w:rPr>
              <w:t>DAC 2 as implemented by Section 23 of Law 359/2015</w:t>
            </w:r>
          </w:p>
        </w:tc>
        <w:tc>
          <w:tcPr>
            <w:tcW w:w="3765" w:type="dxa"/>
            <w:tcBorders>
              <w:top w:val="single" w:sz="8" w:space="0" w:color="auto"/>
              <w:left w:val="single" w:sz="8" w:space="0" w:color="auto"/>
              <w:bottom w:val="single" w:sz="8" w:space="0" w:color="auto"/>
              <w:right w:val="single" w:sz="8" w:space="0" w:color="auto"/>
            </w:tcBorders>
          </w:tcPr>
          <w:p w14:paraId="5A8FBE4A" w14:textId="0F4EBE48" w:rsidR="42911850" w:rsidRDefault="42911850">
            <w:pPr>
              <w:rPr>
                <w:noProof/>
              </w:rPr>
            </w:pPr>
            <w:r w:rsidRPr="42911850">
              <w:rPr>
                <w:rFonts w:ascii="Calibri" w:eastAsia="Calibri" w:hAnsi="Calibri" w:cs="Calibri"/>
                <w:noProof/>
                <w:sz w:val="18"/>
                <w:szCs w:val="18"/>
              </w:rPr>
              <w:t>Material scope: failure of reviewing financial accounts, obtaining information on financial accounts, notification obligation and FACTA obligations</w:t>
            </w:r>
          </w:p>
          <w:p w14:paraId="64D86B00" w14:textId="53D5377F" w:rsidR="42911850" w:rsidRDefault="42911850">
            <w:pPr>
              <w:rPr>
                <w:noProof/>
              </w:rPr>
            </w:pPr>
            <w:r w:rsidRPr="42911850">
              <w:rPr>
                <w:rFonts w:ascii="Calibri" w:eastAsia="Calibri" w:hAnsi="Calibri" w:cs="Calibri"/>
                <w:noProof/>
                <w:sz w:val="18"/>
                <w:szCs w:val="18"/>
              </w:rPr>
              <w:t>Personal scope: financial institutions</w:t>
            </w:r>
          </w:p>
          <w:p w14:paraId="118B25F3" w14:textId="09513060" w:rsidR="42911850" w:rsidRDefault="42911850">
            <w:pPr>
              <w:rPr>
                <w:noProof/>
              </w:rPr>
            </w:pPr>
            <w:r w:rsidRPr="42911850">
              <w:rPr>
                <w:rFonts w:ascii="Calibri" w:eastAsia="Calibri" w:hAnsi="Calibri" w:cs="Calibri"/>
                <w:noProof/>
                <w:sz w:val="18"/>
                <w:szCs w:val="18"/>
              </w:rPr>
              <w:t xml:space="preserve">Individual/cumulative application: The law does not say whether the penalties are per individual infringement or for cumulative infringements, however it specifies that sanctions could be </w:t>
            </w:r>
            <w:r w:rsidRPr="42911850">
              <w:rPr>
                <w:rFonts w:ascii="Calibri" w:eastAsia="Calibri" w:hAnsi="Calibri" w:cs="Calibri"/>
                <w:noProof/>
                <w:sz w:val="18"/>
                <w:szCs w:val="18"/>
                <w:u w:val="single"/>
              </w:rPr>
              <w:t>repeatedly</w:t>
            </w:r>
            <w:r w:rsidRPr="42911850">
              <w:rPr>
                <w:rFonts w:ascii="Calibri" w:eastAsia="Calibri" w:hAnsi="Calibri" w:cs="Calibri"/>
                <w:noProof/>
                <w:sz w:val="18"/>
                <w:szCs w:val="18"/>
              </w:rPr>
              <w:t xml:space="preserve"> applied.</w:t>
            </w:r>
          </w:p>
        </w:tc>
        <w:tc>
          <w:tcPr>
            <w:tcW w:w="1757" w:type="dxa"/>
            <w:tcBorders>
              <w:top w:val="single" w:sz="8" w:space="0" w:color="auto"/>
              <w:left w:val="single" w:sz="8" w:space="0" w:color="auto"/>
              <w:bottom w:val="single" w:sz="8" w:space="0" w:color="auto"/>
              <w:right w:val="single" w:sz="8" w:space="0" w:color="auto"/>
            </w:tcBorders>
          </w:tcPr>
          <w:p w14:paraId="745933D6" w14:textId="0F249657" w:rsidR="42911850" w:rsidRDefault="42911850" w:rsidP="00AE537F">
            <w:pPr>
              <w:jc w:val="center"/>
              <w:rPr>
                <w:rFonts w:ascii="Calibri" w:eastAsia="Calibri" w:hAnsi="Calibri" w:cs="Calibri"/>
                <w:noProof/>
                <w:sz w:val="18"/>
                <w:szCs w:val="18"/>
              </w:rPr>
            </w:pPr>
            <w:r w:rsidRPr="42911850">
              <w:rPr>
                <w:rFonts w:ascii="Calibri" w:eastAsia="Calibri" w:hAnsi="Calibri" w:cs="Calibri"/>
                <w:noProof/>
                <w:sz w:val="18"/>
                <w:szCs w:val="18"/>
              </w:rPr>
              <w:t>n.a.</w:t>
            </w:r>
          </w:p>
        </w:tc>
        <w:tc>
          <w:tcPr>
            <w:tcW w:w="2175" w:type="dxa"/>
            <w:tcBorders>
              <w:top w:val="single" w:sz="8" w:space="0" w:color="auto"/>
              <w:left w:val="single" w:sz="8" w:space="0" w:color="auto"/>
              <w:bottom w:val="single" w:sz="8" w:space="0" w:color="auto"/>
              <w:right w:val="single" w:sz="8" w:space="0" w:color="auto"/>
            </w:tcBorders>
          </w:tcPr>
          <w:p w14:paraId="59EC2304" w14:textId="621FF18B" w:rsidR="42911850" w:rsidRDefault="42911850">
            <w:pPr>
              <w:rPr>
                <w:noProof/>
              </w:rPr>
            </w:pPr>
            <w:r w:rsidRPr="42911850">
              <w:rPr>
                <w:rFonts w:ascii="Calibri" w:eastAsia="Calibri" w:hAnsi="Calibri" w:cs="Calibri"/>
                <w:noProof/>
                <w:sz w:val="18"/>
                <w:szCs w:val="18"/>
              </w:rPr>
              <w:t xml:space="preserve"> 10,000 EUR, also repeatedly.</w:t>
            </w:r>
          </w:p>
        </w:tc>
      </w:tr>
      <w:tr w:rsidR="42911850" w14:paraId="419D4CB6" w14:textId="77777777" w:rsidTr="42911850">
        <w:trPr>
          <w:trHeight w:val="45"/>
        </w:trPr>
        <w:tc>
          <w:tcPr>
            <w:tcW w:w="638" w:type="dxa"/>
            <w:vMerge/>
            <w:tcBorders>
              <w:left w:val="single" w:sz="0" w:space="0" w:color="auto"/>
              <w:right w:val="single" w:sz="0" w:space="0" w:color="auto"/>
            </w:tcBorders>
            <w:vAlign w:val="center"/>
          </w:tcPr>
          <w:p w14:paraId="712D5912"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74B736F8" w14:textId="1C42379C" w:rsidR="42911850" w:rsidRDefault="42911850">
            <w:pPr>
              <w:rPr>
                <w:noProof/>
              </w:rPr>
            </w:pPr>
            <w:r w:rsidRPr="42911850">
              <w:rPr>
                <w:rFonts w:ascii="Calibri" w:eastAsia="Calibri" w:hAnsi="Calibri" w:cs="Calibri"/>
                <w:noProof/>
                <w:sz w:val="18"/>
                <w:szCs w:val="18"/>
              </w:rPr>
              <w:t>DAC 4 as implemented by Act No. 442/2012 Coll.</w:t>
            </w:r>
          </w:p>
        </w:tc>
        <w:tc>
          <w:tcPr>
            <w:tcW w:w="3765" w:type="dxa"/>
            <w:tcBorders>
              <w:top w:val="single" w:sz="8" w:space="0" w:color="auto"/>
              <w:left w:val="single" w:sz="8" w:space="0" w:color="auto"/>
              <w:bottom w:val="single" w:sz="8" w:space="0" w:color="auto"/>
              <w:right w:val="single" w:sz="8" w:space="0" w:color="auto"/>
            </w:tcBorders>
          </w:tcPr>
          <w:p w14:paraId="4CC53512" w14:textId="150301A9" w:rsidR="42911850" w:rsidRDefault="42911850">
            <w:pPr>
              <w:rPr>
                <w:noProof/>
              </w:rPr>
            </w:pPr>
            <w:r w:rsidRPr="42911850">
              <w:rPr>
                <w:rFonts w:ascii="Calibri" w:eastAsia="Calibri" w:hAnsi="Calibri" w:cs="Calibri"/>
                <w:noProof/>
                <w:sz w:val="18"/>
                <w:szCs w:val="18"/>
              </w:rPr>
              <w:t>Material scope:  not reporting on CbCR basis or not providing notification</w:t>
            </w:r>
          </w:p>
          <w:p w14:paraId="494DFA3E" w14:textId="1D737A1E" w:rsidR="42911850" w:rsidRDefault="42911850">
            <w:pPr>
              <w:rPr>
                <w:noProof/>
              </w:rPr>
            </w:pPr>
            <w:r w:rsidRPr="42911850">
              <w:rPr>
                <w:rFonts w:ascii="Calibri" w:eastAsia="Calibri" w:hAnsi="Calibri" w:cs="Calibri"/>
                <w:noProof/>
                <w:sz w:val="18"/>
                <w:szCs w:val="18"/>
              </w:rPr>
              <w:t xml:space="preserve">Personal scope: a) the ultimate parent entity, the surrogate parent body or the constituent entity, if it fails to report on a CbC basis (pursuant to Sections 22b to 22d and 22 f); </w:t>
            </w:r>
          </w:p>
          <w:p w14:paraId="59CD03DD" w14:textId="1AAD9BFF" w:rsidR="42911850" w:rsidRDefault="42911850">
            <w:pPr>
              <w:rPr>
                <w:noProof/>
              </w:rPr>
            </w:pPr>
            <w:r w:rsidRPr="42911850">
              <w:rPr>
                <w:rFonts w:ascii="Calibri" w:eastAsia="Calibri" w:hAnsi="Calibri" w:cs="Calibri"/>
                <w:noProof/>
                <w:sz w:val="18"/>
                <w:szCs w:val="18"/>
              </w:rPr>
              <w:t>b) a constituent entity referred to in Section 22c (1) if it fails to notify (under Section 22c (2) and (3), i.e. inform the competent authority that the ultimate parent entity has refused to make the necessary information available);</w:t>
            </w:r>
          </w:p>
          <w:p w14:paraId="10D2E5B8" w14:textId="7B54CBDA" w:rsidR="42911850" w:rsidRDefault="42911850">
            <w:pPr>
              <w:rPr>
                <w:noProof/>
              </w:rPr>
            </w:pPr>
            <w:r w:rsidRPr="42911850">
              <w:rPr>
                <w:rFonts w:ascii="Calibri" w:eastAsia="Calibri" w:hAnsi="Calibri" w:cs="Calibri"/>
                <w:noProof/>
                <w:sz w:val="18"/>
                <w:szCs w:val="18"/>
              </w:rPr>
              <w:t>c) the constituent entity, if it does not submit a notification (notify the competent authority of the name, registered office, identification number of the reporting entity pursuant to Section 22e).</w:t>
            </w:r>
          </w:p>
          <w:p w14:paraId="50CA6D33" w14:textId="1305BF63" w:rsidR="42911850" w:rsidRDefault="42911850">
            <w:pPr>
              <w:rPr>
                <w:noProof/>
              </w:rPr>
            </w:pPr>
            <w:r w:rsidRPr="42911850">
              <w:rPr>
                <w:rFonts w:ascii="Calibri" w:eastAsia="Calibri" w:hAnsi="Calibri" w:cs="Calibri"/>
                <w:noProof/>
                <w:sz w:val="18"/>
                <w:szCs w:val="18"/>
              </w:rPr>
              <w:t xml:space="preserve"> </w:t>
            </w:r>
          </w:p>
          <w:p w14:paraId="645A4000" w14:textId="4D33C6C4" w:rsidR="42911850" w:rsidRDefault="42911850" w:rsidP="00AE537F">
            <w:pPr>
              <w:jc w:val="both"/>
              <w:rPr>
                <w:rFonts w:ascii="Calibri" w:eastAsia="Calibri" w:hAnsi="Calibri" w:cs="Calibri"/>
                <w:noProof/>
                <w:sz w:val="18"/>
                <w:szCs w:val="18"/>
              </w:rPr>
            </w:pPr>
            <w:r w:rsidRPr="42911850">
              <w:rPr>
                <w:rFonts w:ascii="Calibri" w:eastAsia="Calibri" w:hAnsi="Calibri" w:cs="Calibri"/>
                <w:noProof/>
                <w:sz w:val="18"/>
                <w:szCs w:val="18"/>
              </w:rPr>
              <w:t>Individual/cumulative application: The law does not say whether the penalties are per individual infringement or for cumulative infringements, however it specifies that sanctions could be repeatedly applied</w:t>
            </w:r>
          </w:p>
          <w:p w14:paraId="1CD83C32" w14:textId="2AD394FA" w:rsidR="42911850" w:rsidRDefault="42911850">
            <w:pPr>
              <w:rPr>
                <w:noProof/>
              </w:rPr>
            </w:pPr>
            <w:r w:rsidRPr="42911850">
              <w:rPr>
                <w:rFonts w:ascii="Calibri" w:eastAsia="Calibri" w:hAnsi="Calibri" w:cs="Calibri"/>
                <w:noProof/>
                <w:sz w:val="18"/>
                <w:szCs w:val="18"/>
              </w:rPr>
              <w:t xml:space="preserve"> </w:t>
            </w:r>
          </w:p>
        </w:tc>
        <w:tc>
          <w:tcPr>
            <w:tcW w:w="1757" w:type="dxa"/>
            <w:tcBorders>
              <w:top w:val="single" w:sz="8" w:space="0" w:color="auto"/>
              <w:left w:val="single" w:sz="8" w:space="0" w:color="auto"/>
              <w:bottom w:val="single" w:sz="8" w:space="0" w:color="auto"/>
              <w:right w:val="single" w:sz="8" w:space="0" w:color="auto"/>
            </w:tcBorders>
          </w:tcPr>
          <w:p w14:paraId="74921362" w14:textId="06712B53" w:rsidR="42911850" w:rsidRDefault="42911850" w:rsidP="00AE537F">
            <w:pPr>
              <w:jc w:val="center"/>
              <w:rPr>
                <w:rFonts w:ascii="Calibri" w:eastAsia="Calibri" w:hAnsi="Calibri" w:cs="Calibri"/>
                <w:noProof/>
                <w:sz w:val="18"/>
                <w:szCs w:val="18"/>
              </w:rPr>
            </w:pPr>
            <w:r w:rsidRPr="42911850">
              <w:rPr>
                <w:rFonts w:ascii="Calibri" w:eastAsia="Calibri" w:hAnsi="Calibri" w:cs="Calibri"/>
                <w:noProof/>
                <w:sz w:val="18"/>
                <w:szCs w:val="18"/>
              </w:rPr>
              <w:t>n.a</w:t>
            </w:r>
          </w:p>
        </w:tc>
        <w:tc>
          <w:tcPr>
            <w:tcW w:w="2175" w:type="dxa"/>
            <w:tcBorders>
              <w:top w:val="single" w:sz="8" w:space="0" w:color="auto"/>
              <w:left w:val="single" w:sz="8" w:space="0" w:color="auto"/>
              <w:bottom w:val="single" w:sz="8" w:space="0" w:color="auto"/>
              <w:right w:val="single" w:sz="8" w:space="0" w:color="auto"/>
            </w:tcBorders>
          </w:tcPr>
          <w:p w14:paraId="0F5E074D" w14:textId="651F5DD1" w:rsidR="42911850" w:rsidRDefault="42911850">
            <w:pPr>
              <w:rPr>
                <w:noProof/>
              </w:rPr>
            </w:pPr>
            <w:r w:rsidRPr="42911850">
              <w:rPr>
                <w:rFonts w:ascii="Calibri" w:eastAsia="Calibri" w:hAnsi="Calibri" w:cs="Calibri"/>
                <w:noProof/>
                <w:sz w:val="18"/>
                <w:szCs w:val="18"/>
              </w:rPr>
              <w:t>a) a fine of up to 10,000 EUR, including repeatedly;</w:t>
            </w:r>
          </w:p>
          <w:p w14:paraId="1E66686C" w14:textId="2D7E384D" w:rsidR="42911850" w:rsidRDefault="42911850">
            <w:pPr>
              <w:rPr>
                <w:noProof/>
              </w:rPr>
            </w:pPr>
            <w:r w:rsidRPr="42911850">
              <w:rPr>
                <w:rFonts w:ascii="Calibri" w:eastAsia="Calibri" w:hAnsi="Calibri" w:cs="Calibri"/>
                <w:noProof/>
                <w:sz w:val="18"/>
                <w:szCs w:val="18"/>
              </w:rPr>
              <w:t>(b) and (c) a fine of up to EUR 3,000, even repeatedly.</w:t>
            </w:r>
          </w:p>
          <w:p w14:paraId="77A39918" w14:textId="788E3E21" w:rsidR="42911850" w:rsidRDefault="42911850">
            <w:pPr>
              <w:rPr>
                <w:noProof/>
              </w:rPr>
            </w:pPr>
            <w:r w:rsidRPr="42911850">
              <w:rPr>
                <w:rFonts w:ascii="Calibri" w:eastAsia="Calibri" w:hAnsi="Calibri" w:cs="Calibri"/>
                <w:noProof/>
                <w:sz w:val="18"/>
                <w:szCs w:val="18"/>
              </w:rPr>
              <w:t xml:space="preserve"> </w:t>
            </w:r>
          </w:p>
        </w:tc>
      </w:tr>
      <w:tr w:rsidR="42911850" w14:paraId="7D57ED85" w14:textId="77777777" w:rsidTr="42911850">
        <w:trPr>
          <w:trHeight w:val="45"/>
        </w:trPr>
        <w:tc>
          <w:tcPr>
            <w:tcW w:w="638" w:type="dxa"/>
            <w:vMerge/>
            <w:tcBorders>
              <w:left w:val="single" w:sz="0" w:space="0" w:color="auto"/>
              <w:bottom w:val="single" w:sz="0" w:space="0" w:color="auto"/>
              <w:right w:val="single" w:sz="0" w:space="0" w:color="auto"/>
            </w:tcBorders>
            <w:vAlign w:val="center"/>
          </w:tcPr>
          <w:p w14:paraId="6CD22C55" w14:textId="77777777" w:rsidR="000054FB" w:rsidRDefault="000054FB">
            <w:pPr>
              <w:rPr>
                <w:noProof/>
              </w:rPr>
            </w:pPr>
          </w:p>
        </w:tc>
        <w:tc>
          <w:tcPr>
            <w:tcW w:w="1025" w:type="dxa"/>
            <w:tcBorders>
              <w:top w:val="single" w:sz="8" w:space="0" w:color="auto"/>
              <w:left w:val="nil"/>
              <w:bottom w:val="single" w:sz="8" w:space="0" w:color="auto"/>
              <w:right w:val="single" w:sz="8" w:space="0" w:color="auto"/>
            </w:tcBorders>
          </w:tcPr>
          <w:p w14:paraId="27F10E32" w14:textId="26DACF37" w:rsidR="42911850" w:rsidRDefault="42911850">
            <w:pPr>
              <w:rPr>
                <w:noProof/>
              </w:rPr>
            </w:pPr>
            <w:r w:rsidRPr="42911850">
              <w:rPr>
                <w:rFonts w:ascii="Calibri" w:eastAsia="Calibri" w:hAnsi="Calibri" w:cs="Calibri"/>
                <w:noProof/>
                <w:sz w:val="18"/>
                <w:szCs w:val="18"/>
              </w:rPr>
              <w:t xml:space="preserve">DAC 6 </w:t>
            </w:r>
          </w:p>
        </w:tc>
        <w:tc>
          <w:tcPr>
            <w:tcW w:w="3765" w:type="dxa"/>
            <w:tcBorders>
              <w:top w:val="single" w:sz="8" w:space="0" w:color="auto"/>
              <w:left w:val="single" w:sz="8" w:space="0" w:color="auto"/>
              <w:bottom w:val="single" w:sz="8" w:space="0" w:color="auto"/>
              <w:right w:val="single" w:sz="8" w:space="0" w:color="auto"/>
            </w:tcBorders>
          </w:tcPr>
          <w:p w14:paraId="75D9A1F4" w14:textId="33C1C7AC" w:rsidR="42911850" w:rsidRDefault="42911850" w:rsidP="00AE537F">
            <w:pPr>
              <w:jc w:val="both"/>
              <w:rPr>
                <w:rFonts w:ascii="Calibri" w:eastAsia="Calibri" w:hAnsi="Calibri" w:cs="Calibri"/>
                <w:noProof/>
                <w:sz w:val="18"/>
                <w:szCs w:val="18"/>
              </w:rPr>
            </w:pPr>
            <w:r w:rsidRPr="42911850">
              <w:rPr>
                <w:rFonts w:ascii="Calibri" w:eastAsia="Calibri" w:hAnsi="Calibri" w:cs="Calibri"/>
                <w:noProof/>
                <w:sz w:val="18"/>
                <w:szCs w:val="18"/>
              </w:rPr>
              <w:t>Material scope: failure to meet reporting obligations, including confirmation that reporting has been made by another intermediary or taxpayer or failure to meet the relevant deadlines. Fine can be applied for each Slovak MDR reporting obligation</w:t>
            </w:r>
          </w:p>
          <w:p w14:paraId="68853569" w14:textId="39EB11A0" w:rsidR="42911850" w:rsidRDefault="42911850">
            <w:pPr>
              <w:rPr>
                <w:noProof/>
              </w:rPr>
            </w:pPr>
            <w:r w:rsidRPr="42911850">
              <w:rPr>
                <w:rFonts w:ascii="Calibri" w:eastAsia="Calibri" w:hAnsi="Calibri" w:cs="Calibri"/>
                <w:noProof/>
                <w:sz w:val="18"/>
                <w:szCs w:val="18"/>
              </w:rPr>
              <w:t>Personal scope: intermediaries and taxpayer</w:t>
            </w:r>
          </w:p>
          <w:p w14:paraId="5CEA7E03" w14:textId="5CED89D1" w:rsidR="42911850" w:rsidRDefault="42911850" w:rsidP="00AE537F">
            <w:pPr>
              <w:jc w:val="both"/>
              <w:rPr>
                <w:rFonts w:ascii="Calibri" w:eastAsia="Calibri" w:hAnsi="Calibri" w:cs="Calibri"/>
                <w:noProof/>
                <w:sz w:val="18"/>
                <w:szCs w:val="18"/>
              </w:rPr>
            </w:pPr>
            <w:r w:rsidRPr="42911850">
              <w:rPr>
                <w:rFonts w:ascii="Calibri" w:eastAsia="Calibri" w:hAnsi="Calibri" w:cs="Calibri"/>
                <w:noProof/>
                <w:sz w:val="18"/>
                <w:szCs w:val="18"/>
              </w:rPr>
              <w:t>Individual/cumulative application: The law does not say whether the penalties are per individual infringement or for cumulative infringements.</w:t>
            </w:r>
          </w:p>
        </w:tc>
        <w:tc>
          <w:tcPr>
            <w:tcW w:w="1757" w:type="dxa"/>
            <w:tcBorders>
              <w:top w:val="single" w:sz="8" w:space="0" w:color="auto"/>
              <w:left w:val="single" w:sz="8" w:space="0" w:color="auto"/>
              <w:bottom w:val="single" w:sz="8" w:space="0" w:color="auto"/>
              <w:right w:val="single" w:sz="8" w:space="0" w:color="auto"/>
            </w:tcBorders>
          </w:tcPr>
          <w:p w14:paraId="18250504" w14:textId="30046329" w:rsidR="42911850" w:rsidRDefault="42911850" w:rsidP="00AE537F">
            <w:pPr>
              <w:jc w:val="center"/>
              <w:rPr>
                <w:rFonts w:ascii="Calibri" w:eastAsia="Calibri" w:hAnsi="Calibri" w:cs="Calibri"/>
                <w:noProof/>
                <w:sz w:val="18"/>
                <w:szCs w:val="18"/>
              </w:rPr>
            </w:pPr>
            <w:r w:rsidRPr="42911850">
              <w:rPr>
                <w:rFonts w:ascii="Calibri" w:eastAsia="Calibri" w:hAnsi="Calibri" w:cs="Calibri"/>
                <w:noProof/>
                <w:sz w:val="18"/>
                <w:szCs w:val="18"/>
              </w:rPr>
              <w:t>n.a</w:t>
            </w:r>
          </w:p>
        </w:tc>
        <w:tc>
          <w:tcPr>
            <w:tcW w:w="2175" w:type="dxa"/>
            <w:tcBorders>
              <w:top w:val="single" w:sz="8" w:space="0" w:color="auto"/>
              <w:left w:val="single" w:sz="8" w:space="0" w:color="auto"/>
              <w:bottom w:val="single" w:sz="8" w:space="0" w:color="auto"/>
              <w:right w:val="single" w:sz="8" w:space="0" w:color="auto"/>
            </w:tcBorders>
          </w:tcPr>
          <w:p w14:paraId="4208EBEC" w14:textId="29477927" w:rsidR="42911850" w:rsidRDefault="42911850">
            <w:pPr>
              <w:rPr>
                <w:noProof/>
              </w:rPr>
            </w:pPr>
            <w:r w:rsidRPr="42911850">
              <w:rPr>
                <w:rFonts w:ascii="Calibri" w:eastAsia="Calibri" w:hAnsi="Calibri" w:cs="Calibri"/>
                <w:noProof/>
                <w:sz w:val="18"/>
                <w:szCs w:val="18"/>
              </w:rPr>
              <w:t>30,000 EUR</w:t>
            </w:r>
          </w:p>
        </w:tc>
      </w:tr>
    </w:tbl>
    <w:p w14:paraId="2525CEFD" w14:textId="42298EBF" w:rsidR="42911850" w:rsidRDefault="42911850" w:rsidP="42911850">
      <w:pPr>
        <w:rPr>
          <w:rFonts w:ascii="Times New Roman" w:hAnsi="Times New Roman" w:cs="Times New Roman"/>
          <w:noProof/>
          <w:sz w:val="20"/>
          <w:szCs w:val="20"/>
        </w:rPr>
      </w:pPr>
    </w:p>
    <w:p w14:paraId="4291B7A8" w14:textId="77777777" w:rsidR="004E5034" w:rsidRPr="006F30DD" w:rsidRDefault="004E5034" w:rsidP="004E5034">
      <w:pPr>
        <w:jc w:val="both"/>
        <w:rPr>
          <w:rFonts w:ascii="Times New Roman" w:hAnsi="Times New Roman" w:cs="Times New Roman"/>
          <w:noProof/>
        </w:rPr>
      </w:pPr>
      <w:r w:rsidRPr="006F30DD">
        <w:rPr>
          <w:rFonts w:ascii="Times New Roman" w:hAnsi="Times New Roman" w:cs="Times New Roman"/>
          <w:noProof/>
        </w:rPr>
        <w:t>DAC7 was adopted in March 2021 and shall be implemented by 1 January 2023. As a consequence, there is not yet any information available on the compliance measures applicable in Member States based on the obligations on DAC7.</w:t>
      </w:r>
    </w:p>
    <w:p w14:paraId="6B3F8E75" w14:textId="77777777" w:rsidR="004E5034" w:rsidRPr="006F30DD" w:rsidRDefault="004E5034" w:rsidP="004E5034">
      <w:pPr>
        <w:jc w:val="both"/>
        <w:rPr>
          <w:rFonts w:ascii="Times New Roman" w:eastAsiaTheme="minorEastAsia" w:hAnsi="Times New Roman" w:cs="Times New Roman"/>
          <w:noProof/>
        </w:rPr>
      </w:pPr>
    </w:p>
    <w:p w14:paraId="004903F6" w14:textId="77777777" w:rsidR="004E5034" w:rsidRPr="008704BD" w:rsidRDefault="004E5034" w:rsidP="006E5F59">
      <w:pPr>
        <w:jc w:val="both"/>
        <w:rPr>
          <w:rFonts w:ascii="Times New Roman" w:hAnsi="Times New Roman"/>
          <w:noProof/>
          <w:sz w:val="24"/>
        </w:rPr>
      </w:pPr>
    </w:p>
    <w:p w14:paraId="0C29A5C0" w14:textId="77777777" w:rsidR="006E5F59" w:rsidRPr="006E5F59" w:rsidRDefault="006E5F59" w:rsidP="006E5F59">
      <w:pPr>
        <w:pStyle w:val="Heading1"/>
        <w:rPr>
          <w:rFonts w:ascii="Times New Roman" w:hAnsi="Times New Roman" w:cs="Times New Roman"/>
          <w:noProof/>
        </w:rPr>
      </w:pPr>
      <w:bookmarkStart w:id="540" w:name="_Toc1186545744"/>
      <w:bookmarkStart w:id="541" w:name="_Toc2094804966"/>
      <w:bookmarkStart w:id="542" w:name="_Toc285139004"/>
      <w:r w:rsidRPr="41BAA3BB">
        <w:rPr>
          <w:rFonts w:ascii="Times New Roman" w:hAnsi="Times New Roman"/>
          <w:noProof/>
          <w:sz w:val="24"/>
          <w:szCs w:val="24"/>
        </w:rPr>
        <w:br w:type="page"/>
      </w:r>
      <w:bookmarkStart w:id="543" w:name="_Toc84520063"/>
      <w:bookmarkStart w:id="544" w:name="_Toc84579928"/>
      <w:bookmarkStart w:id="545" w:name="_Toc85052223"/>
      <w:bookmarkStart w:id="546" w:name="_Toc93306901"/>
      <w:r w:rsidRPr="41BAA3BB">
        <w:rPr>
          <w:rFonts w:ascii="Times New Roman" w:hAnsi="Times New Roman" w:cs="Times New Roman"/>
          <w:noProof/>
        </w:rPr>
        <w:t xml:space="preserve">ANNEX </w:t>
      </w:r>
      <w:r w:rsidR="004E5034" w:rsidRPr="41BAA3BB">
        <w:rPr>
          <w:rFonts w:ascii="Times New Roman" w:hAnsi="Times New Roman" w:cs="Times New Roman"/>
          <w:noProof/>
        </w:rPr>
        <w:t>8</w:t>
      </w:r>
      <w:r w:rsidRPr="41BAA3BB">
        <w:rPr>
          <w:rFonts w:ascii="Times New Roman" w:hAnsi="Times New Roman" w:cs="Times New Roman"/>
          <w:noProof/>
        </w:rPr>
        <w:t>:</w:t>
      </w:r>
      <w:r>
        <w:rPr>
          <w:noProof/>
        </w:rPr>
        <w:tab/>
      </w:r>
      <w:r w:rsidRPr="41BAA3BB">
        <w:rPr>
          <w:rFonts w:ascii="Times New Roman" w:hAnsi="Times New Roman" w:cs="Times New Roman"/>
          <w:noProof/>
        </w:rPr>
        <w:t>BIBLIOGRAPHY</w:t>
      </w:r>
      <w:bookmarkEnd w:id="540"/>
      <w:bookmarkEnd w:id="541"/>
      <w:bookmarkEnd w:id="542"/>
      <w:bookmarkEnd w:id="543"/>
      <w:bookmarkEnd w:id="544"/>
      <w:bookmarkEnd w:id="545"/>
      <w:bookmarkEnd w:id="546"/>
    </w:p>
    <w:p w14:paraId="34C85EC4"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 xml:space="preserve">Beer, S, Coelho, M. and Leduc, S. (2019) Hidden Treasures: the impact of automatic exchange of information on cross-border tax evasion, IMF working paper, WP/19/286. </w:t>
      </w:r>
    </w:p>
    <w:p w14:paraId="05E846E9"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European Commission. (2021). Proposal for a Regulation of the European Parliament and of the Council on the prevention of the use of the financial system for the purposes of money laundering or terrorist financing</w:t>
      </w:r>
      <w:r w:rsidR="3D141061" w:rsidRPr="008704BD">
        <w:rPr>
          <w:rFonts w:ascii="Times New Roman" w:hAnsi="Times New Roman"/>
          <w:noProof/>
          <w:sz w:val="24"/>
        </w:rPr>
        <w:t>,</w:t>
      </w:r>
      <w:r w:rsidRPr="008704BD">
        <w:rPr>
          <w:rFonts w:ascii="Times New Roman" w:hAnsi="Times New Roman"/>
          <w:noProof/>
          <w:sz w:val="24"/>
        </w:rPr>
        <w:t xml:space="preserve"> COM/2021/420 final</w:t>
      </w:r>
      <w:r w:rsidR="3D141061" w:rsidRPr="008704BD">
        <w:rPr>
          <w:rFonts w:ascii="Times New Roman" w:hAnsi="Times New Roman"/>
          <w:noProof/>
          <w:sz w:val="24"/>
        </w:rPr>
        <w:t>.</w:t>
      </w:r>
    </w:p>
    <w:p w14:paraId="3AF50856" w14:textId="77777777" w:rsidR="00FA764C" w:rsidRPr="008704BD" w:rsidRDefault="006E5F59" w:rsidP="00425F11">
      <w:pPr>
        <w:jc w:val="both"/>
        <w:rPr>
          <w:rFonts w:ascii="Times New Roman" w:hAnsi="Times New Roman"/>
          <w:noProof/>
          <w:sz w:val="24"/>
        </w:rPr>
      </w:pPr>
      <w:r w:rsidRPr="008704BD">
        <w:rPr>
          <w:rFonts w:ascii="Times New Roman" w:hAnsi="Times New Roman"/>
          <w:noProof/>
          <w:sz w:val="24"/>
        </w:rPr>
        <w:t>European Commission. (2020). Proposal for a Regulation of the European Parliament and of the Council on Markets in Crypto-assets, and amending Directive (EU) 2019/1937</w:t>
      </w:r>
      <w:r w:rsidR="3D141061" w:rsidRPr="008704BD">
        <w:rPr>
          <w:rFonts w:ascii="Times New Roman" w:hAnsi="Times New Roman"/>
          <w:noProof/>
          <w:sz w:val="24"/>
        </w:rPr>
        <w:t>,</w:t>
      </w:r>
      <w:r w:rsidRPr="008704BD">
        <w:rPr>
          <w:rFonts w:ascii="Times New Roman" w:hAnsi="Times New Roman"/>
          <w:noProof/>
          <w:sz w:val="24"/>
        </w:rPr>
        <w:t xml:space="preserve"> COM/2020/593 final.</w:t>
      </w:r>
    </w:p>
    <w:p w14:paraId="654DA976"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lang w:val="en-IE"/>
        </w:rPr>
        <w:t xml:space="preserve">European Commission. (2020). </w:t>
      </w:r>
      <w:r w:rsidRPr="008704BD">
        <w:rPr>
          <w:rFonts w:ascii="Times New Roman" w:hAnsi="Times New Roman"/>
          <w:noProof/>
          <w:sz w:val="24"/>
        </w:rPr>
        <w:t>Communication from the Commission to the European Parliament and the Council, An action plan for fair and simple taxation supporting the recovery strategy</w:t>
      </w:r>
      <w:r w:rsidR="3D141061" w:rsidRPr="008704BD">
        <w:rPr>
          <w:rFonts w:ascii="Times New Roman" w:hAnsi="Times New Roman"/>
          <w:noProof/>
          <w:sz w:val="24"/>
        </w:rPr>
        <w:t>.</w:t>
      </w:r>
    </w:p>
    <w:p w14:paraId="6F6B10B2" w14:textId="77777777" w:rsidR="00FA764C" w:rsidRPr="008704BD" w:rsidRDefault="00FA764C" w:rsidP="00FA764C">
      <w:pPr>
        <w:jc w:val="both"/>
        <w:rPr>
          <w:rFonts w:ascii="Times New Roman" w:hAnsi="Times New Roman"/>
          <w:noProof/>
          <w:sz w:val="24"/>
        </w:rPr>
      </w:pPr>
      <w:r w:rsidRPr="008704BD">
        <w:rPr>
          <w:rFonts w:ascii="Times New Roman" w:hAnsi="Times New Roman"/>
          <w:noProof/>
          <w:sz w:val="24"/>
        </w:rPr>
        <w:t>European Commission. (2020).</w:t>
      </w:r>
      <w:r w:rsidRPr="008704BD">
        <w:rPr>
          <w:noProof/>
          <w:sz w:val="24"/>
        </w:rPr>
        <w:t xml:space="preserve"> </w:t>
      </w:r>
      <w:r w:rsidRPr="008704BD">
        <w:rPr>
          <w:rFonts w:ascii="Times New Roman" w:hAnsi="Times New Roman"/>
          <w:noProof/>
          <w:sz w:val="24"/>
        </w:rPr>
        <w:t>Commission Staff Working Document – Impact assessment accompanying the Proposal for a Council Directive amending Directive 2011/16/EU on administrative cooperation in the field of taxation</w:t>
      </w:r>
      <w:r w:rsidR="00526BCD" w:rsidRPr="008704BD">
        <w:rPr>
          <w:rFonts w:ascii="Times New Roman" w:hAnsi="Times New Roman"/>
          <w:noProof/>
          <w:sz w:val="24"/>
        </w:rPr>
        <w:t>,</w:t>
      </w:r>
      <w:r w:rsidR="00526BCD" w:rsidRPr="008704BD">
        <w:rPr>
          <w:noProof/>
          <w:sz w:val="24"/>
        </w:rPr>
        <w:t xml:space="preserve"> </w:t>
      </w:r>
      <w:r w:rsidR="00526BCD" w:rsidRPr="008704BD">
        <w:rPr>
          <w:rFonts w:ascii="Times New Roman" w:hAnsi="Times New Roman"/>
          <w:noProof/>
          <w:sz w:val="24"/>
        </w:rPr>
        <w:t>SWD(2020) 131 final</w:t>
      </w:r>
      <w:r w:rsidRPr="008704BD">
        <w:rPr>
          <w:rFonts w:ascii="Times New Roman" w:hAnsi="Times New Roman"/>
          <w:noProof/>
          <w:sz w:val="24"/>
        </w:rPr>
        <w:t>.</w:t>
      </w:r>
    </w:p>
    <w:p w14:paraId="796C6E07" w14:textId="39747764" w:rsidR="006E5F59" w:rsidRPr="008704BD" w:rsidRDefault="00447B93" w:rsidP="64C8329E">
      <w:pPr>
        <w:jc w:val="both"/>
        <w:rPr>
          <w:rFonts w:ascii="Times New Roman" w:hAnsi="Times New Roman"/>
          <w:noProof/>
          <w:sz w:val="24"/>
        </w:rPr>
      </w:pPr>
      <w:r w:rsidRPr="008704BD">
        <w:rPr>
          <w:rFonts w:ascii="Times New Roman" w:hAnsi="Times New Roman"/>
          <w:noProof/>
          <w:sz w:val="24"/>
        </w:rPr>
        <w:t>European Commission. (2019). Evaluation of the Council Directive 2011/16/EU on administrative cooperation in the field of taxation and repealing Directive 77/799/EEC, SWD</w:t>
      </w:r>
      <w:r w:rsidR="00242AF7">
        <w:rPr>
          <w:rFonts w:ascii="Times New Roman" w:hAnsi="Times New Roman"/>
          <w:noProof/>
          <w:sz w:val="24"/>
        </w:rPr>
        <w:t xml:space="preserve"> </w:t>
      </w:r>
      <w:r w:rsidRPr="008704BD">
        <w:rPr>
          <w:rFonts w:ascii="Times New Roman" w:hAnsi="Times New Roman"/>
          <w:noProof/>
          <w:sz w:val="24"/>
        </w:rPr>
        <w:t>(2019) 327 final</w:t>
      </w:r>
      <w:r w:rsidR="5B33B653" w:rsidRPr="008704BD">
        <w:rPr>
          <w:rFonts w:ascii="Times New Roman" w:hAnsi="Times New Roman"/>
          <w:noProof/>
          <w:sz w:val="24"/>
        </w:rPr>
        <w:t>.</w:t>
      </w:r>
    </w:p>
    <w:p w14:paraId="4FC5FC00"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European Commission (2018). Report from the Commission to the European Parliament and the Council on overview and assessment of the statistics and information on the automatic exchanges in the field of direct taxation</w:t>
      </w:r>
      <w:r w:rsidR="00CC4ABD" w:rsidRPr="008704BD">
        <w:rPr>
          <w:rFonts w:ascii="Times New Roman" w:hAnsi="Times New Roman"/>
          <w:noProof/>
          <w:sz w:val="24"/>
        </w:rPr>
        <w:t>,</w:t>
      </w:r>
      <w:r w:rsidRPr="008704BD">
        <w:rPr>
          <w:rFonts w:ascii="Times New Roman" w:hAnsi="Times New Roman"/>
          <w:noProof/>
          <w:sz w:val="24"/>
        </w:rPr>
        <w:t xml:space="preserve"> COM/2018/844 final.</w:t>
      </w:r>
    </w:p>
    <w:p w14:paraId="796176C5" w14:textId="77777777" w:rsidR="003F480B" w:rsidRPr="008704BD" w:rsidRDefault="003F480B" w:rsidP="226F0C83">
      <w:pPr>
        <w:spacing w:line="257" w:lineRule="auto"/>
        <w:jc w:val="both"/>
        <w:rPr>
          <w:rFonts w:ascii="Times New Roman" w:hAnsi="Times New Roman"/>
          <w:noProof/>
          <w:sz w:val="24"/>
          <w:highlight w:val="yellow"/>
        </w:rPr>
      </w:pPr>
      <w:r w:rsidRPr="008704BD">
        <w:rPr>
          <w:rFonts w:ascii="Times New Roman" w:hAnsi="Times New Roman"/>
          <w:noProof/>
          <w:sz w:val="24"/>
        </w:rPr>
        <w:t xml:space="preserve">European Commission </w:t>
      </w:r>
      <w:r w:rsidR="50518C0E" w:rsidRPr="008704BD">
        <w:rPr>
          <w:rFonts w:ascii="Times New Roman" w:hAnsi="Times New Roman"/>
          <w:noProof/>
          <w:sz w:val="24"/>
        </w:rPr>
        <w:t xml:space="preserve">Impact assessment </w:t>
      </w:r>
      <w:r w:rsidR="24E5D1A4" w:rsidRPr="008704BD">
        <w:rPr>
          <w:rFonts w:ascii="Times New Roman" w:hAnsi="Times New Roman"/>
          <w:noProof/>
          <w:sz w:val="24"/>
        </w:rPr>
        <w:t>a</w:t>
      </w:r>
      <w:r w:rsidR="50518C0E" w:rsidRPr="008704BD">
        <w:rPr>
          <w:rFonts w:ascii="Times New Roman" w:hAnsi="Times New Roman"/>
          <w:noProof/>
          <w:sz w:val="24"/>
        </w:rPr>
        <w:t>ccompanying the document Proposal for a Council Directive amending Directive 2011/16/EU as regards mandatory automatic exchange of information in the field of taxation in relation to reportable cross-border arrangements</w:t>
      </w:r>
      <w:r w:rsidR="4D226F58" w:rsidRPr="008704BD">
        <w:rPr>
          <w:rFonts w:ascii="Times New Roman" w:hAnsi="Times New Roman"/>
          <w:noProof/>
          <w:sz w:val="24"/>
        </w:rPr>
        <w:t>,</w:t>
      </w:r>
      <w:r w:rsidR="50518C0E" w:rsidRPr="008704BD">
        <w:rPr>
          <w:rFonts w:ascii="Times New Roman" w:hAnsi="Times New Roman"/>
          <w:noProof/>
          <w:sz w:val="24"/>
        </w:rPr>
        <w:t xml:space="preserve"> </w:t>
      </w:r>
      <w:r w:rsidRPr="008704BD">
        <w:rPr>
          <w:rFonts w:ascii="Times New Roman" w:hAnsi="Times New Roman"/>
          <w:noProof/>
          <w:sz w:val="24"/>
        </w:rPr>
        <w:t xml:space="preserve"> </w:t>
      </w:r>
      <w:r w:rsidR="7517B258" w:rsidRPr="008704BD">
        <w:rPr>
          <w:rFonts w:ascii="Times New Roman" w:hAnsi="Times New Roman"/>
          <w:noProof/>
          <w:sz w:val="24"/>
        </w:rPr>
        <w:t>SWD(2017) 236 final</w:t>
      </w:r>
      <w:r w:rsidR="4956BCC3" w:rsidRPr="008704BD">
        <w:rPr>
          <w:rFonts w:ascii="Times New Roman" w:hAnsi="Times New Roman"/>
          <w:noProof/>
          <w:sz w:val="24"/>
        </w:rPr>
        <w:t>.</w:t>
      </w:r>
    </w:p>
    <w:p w14:paraId="2B165D8D" w14:textId="77777777" w:rsidR="00447B93" w:rsidRPr="008704BD" w:rsidRDefault="00447B93" w:rsidP="00447B93">
      <w:pPr>
        <w:jc w:val="both"/>
        <w:rPr>
          <w:rFonts w:ascii="Times New Roman" w:hAnsi="Times New Roman"/>
          <w:noProof/>
          <w:sz w:val="24"/>
        </w:rPr>
      </w:pPr>
      <w:r w:rsidRPr="008704BD">
        <w:rPr>
          <w:rFonts w:ascii="Times New Roman" w:hAnsi="Times New Roman"/>
          <w:noProof/>
          <w:sz w:val="24"/>
        </w:rPr>
        <w:t>European Court of Auditors. (2021). Exchanging tax information in the EU: solid foundation, cracks in the implementation, Exchanges of information have increased, but some information is still not reported.</w:t>
      </w:r>
    </w:p>
    <w:p w14:paraId="140FB8FA" w14:textId="77777777" w:rsidR="006E5F59" w:rsidRPr="008704BD" w:rsidRDefault="006E5F59" w:rsidP="00425F11">
      <w:pPr>
        <w:pStyle w:val="FootnoteText"/>
        <w:rPr>
          <w:noProof/>
          <w:sz w:val="24"/>
        </w:rPr>
      </w:pPr>
      <w:r w:rsidRPr="008704BD">
        <w:rPr>
          <w:noProof/>
          <w:sz w:val="24"/>
        </w:rPr>
        <w:t xml:space="preserve">European Parliament. (2021). European Parliament resolution of 16 September 2021 on the implementation of the EU requirements for exchange of tax information: progress, lessons learnt and obstacles to overcome, </w:t>
      </w:r>
    </w:p>
    <w:p w14:paraId="3A37FEA0" w14:textId="77777777" w:rsidR="006E5F59" w:rsidRPr="008704BD" w:rsidRDefault="006E5F59" w:rsidP="00425F11">
      <w:pPr>
        <w:pStyle w:val="FootnoteText"/>
        <w:rPr>
          <w:noProof/>
          <w:sz w:val="24"/>
        </w:rPr>
      </w:pPr>
    </w:p>
    <w:p w14:paraId="1130159F"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European Parliament. (2021). Report on the implementation of the EU requirements for exchange of tax information: progress, lessons learnt and obstacles to overcome (2020/2046 (INI)) Committee on Economic and Monetary Affairs</w:t>
      </w:r>
      <w:r w:rsidRPr="008704BD" w:rsidDel="00FA764C">
        <w:rPr>
          <w:rFonts w:ascii="Times New Roman" w:hAnsi="Times New Roman"/>
          <w:noProof/>
          <w:sz w:val="24"/>
        </w:rPr>
        <w:t>.</w:t>
      </w:r>
    </w:p>
    <w:p w14:paraId="7CBA31E6" w14:textId="77777777" w:rsidR="00447B93" w:rsidRPr="008704BD" w:rsidRDefault="00447B93" w:rsidP="00425F11">
      <w:pPr>
        <w:jc w:val="both"/>
        <w:rPr>
          <w:rFonts w:ascii="Times New Roman" w:hAnsi="Times New Roman"/>
          <w:noProof/>
          <w:sz w:val="24"/>
        </w:rPr>
      </w:pPr>
      <w:r w:rsidRPr="008704BD">
        <w:rPr>
          <w:rFonts w:ascii="Times New Roman" w:hAnsi="Times New Roman"/>
          <w:noProof/>
          <w:sz w:val="24"/>
        </w:rPr>
        <w:t>European Parliament. (2019). European Parliament resolution of 26 March 2019 on financial crimes, tax evasion and tax avoidance (2018/2121(INI)).</w:t>
      </w:r>
    </w:p>
    <w:p w14:paraId="0E194D27"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European Parliament. (2016). Tax fraud: 75% of Europeans want EU to do more to fight it, European Parliament News, retrieved from: https://www.europarl.europa.eu/news/en/headlines/economy/20160707STO36204/tax-fraud-75-of-europeans-want-eu-to-do-more-to-fight-it</w:t>
      </w:r>
    </w:p>
    <w:p w14:paraId="7BB189BC"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Hungerford (2010). The Redistributive Effect of Selected Federal Transfer and Tax Provisions.</w:t>
      </w:r>
    </w:p>
    <w:p w14:paraId="64FDF6D1"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OECD. (2020). Taxing Virtual Currencies: An Overview of Tax Treatments and Emerging Tax Policy Issues, OECD.</w:t>
      </w:r>
    </w:p>
    <w:p w14:paraId="7DF2A423"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 xml:space="preserve">OECD. CRS-related Frequently Asked Questions (updated February 2019) covering under Section VIII, A, number 8 the treatment of E-money service providers, retrieved from: </w:t>
      </w:r>
      <w:hyperlink r:id="rId41">
        <w:r w:rsidRPr="008704BD">
          <w:rPr>
            <w:rFonts w:ascii="Times New Roman" w:hAnsi="Times New Roman"/>
            <w:noProof/>
            <w:sz w:val="24"/>
          </w:rPr>
          <w:t>https://www.oecd.org/tax/exchange-of-tax-information/CRS-related-FAQs.pdf</w:t>
        </w:r>
      </w:hyperlink>
      <w:r w:rsidRPr="008704BD">
        <w:rPr>
          <w:rFonts w:ascii="Times New Roman" w:hAnsi="Times New Roman"/>
          <w:noProof/>
          <w:sz w:val="24"/>
        </w:rPr>
        <w:t>https://www.oecd.org/tax/exchange-of-tax-information/CRS-related-FAQs.pdf</w:t>
      </w:r>
    </w:p>
    <w:p w14:paraId="608FC85A" w14:textId="77777777" w:rsidR="006E5F59" w:rsidRPr="008704BD" w:rsidRDefault="006E5F59" w:rsidP="00425F11">
      <w:pPr>
        <w:jc w:val="both"/>
        <w:rPr>
          <w:rFonts w:ascii="Times New Roman" w:hAnsi="Times New Roman"/>
          <w:noProof/>
          <w:sz w:val="24"/>
        </w:rPr>
      </w:pPr>
      <w:r w:rsidRPr="008704BD">
        <w:rPr>
          <w:rFonts w:ascii="Times New Roman" w:hAnsi="Times New Roman"/>
          <w:noProof/>
          <w:sz w:val="24"/>
        </w:rPr>
        <w:t>Shaw, J., Slemrod, J., &amp; Whiting, J. (2010). Administration and compliance. Dimensions of Tax Design. The Mirrlees Review. Oxford University Press, chapter 12, p. 1126.</w:t>
      </w:r>
    </w:p>
    <w:p w14:paraId="0706056E" w14:textId="77777777" w:rsidR="0086021E" w:rsidRPr="008704BD" w:rsidRDefault="0086021E" w:rsidP="0086021E">
      <w:pPr>
        <w:jc w:val="both"/>
        <w:rPr>
          <w:rFonts w:ascii="Times New Roman" w:hAnsi="Times New Roman"/>
          <w:noProof/>
          <w:sz w:val="24"/>
        </w:rPr>
      </w:pPr>
      <w:r w:rsidRPr="008704BD">
        <w:rPr>
          <w:rFonts w:ascii="Times New Roman" w:hAnsi="Times New Roman"/>
          <w:noProof/>
          <w:sz w:val="24"/>
        </w:rPr>
        <w:t>Thiemann (2021). Cryptocurrencies: An empirical view from a tax perspective, JRC Working Papers on Taxation and Structural Reforms, No 12.</w:t>
      </w:r>
    </w:p>
    <w:p w14:paraId="0D0B138C" w14:textId="77777777" w:rsidR="00973547" w:rsidRPr="008704BD" w:rsidRDefault="00973547" w:rsidP="00811206">
      <w:pPr>
        <w:jc w:val="both"/>
        <w:rPr>
          <w:rFonts w:ascii="Times New Roman" w:hAnsi="Times New Roman"/>
          <w:noProof/>
          <w:sz w:val="24"/>
        </w:rPr>
      </w:pPr>
    </w:p>
    <w:sectPr w:rsidR="00973547" w:rsidRPr="008704BD" w:rsidSect="001E5C5E">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84746" w14:textId="77777777" w:rsidR="003016F3" w:rsidRDefault="003016F3" w:rsidP="001D5CAA">
      <w:pPr>
        <w:spacing w:after="0" w:line="240" w:lineRule="auto"/>
      </w:pPr>
      <w:r>
        <w:separator/>
      </w:r>
    </w:p>
  </w:endnote>
  <w:endnote w:type="continuationSeparator" w:id="0">
    <w:p w14:paraId="66721B02" w14:textId="77777777" w:rsidR="003016F3" w:rsidRDefault="003016F3" w:rsidP="001D5CAA">
      <w:pPr>
        <w:spacing w:after="0" w:line="240" w:lineRule="auto"/>
      </w:pPr>
      <w:r>
        <w:continuationSeparator/>
      </w:r>
    </w:p>
  </w:endnote>
  <w:endnote w:type="continuationNotice" w:id="1">
    <w:p w14:paraId="37EAE3A2" w14:textId="77777777" w:rsidR="003016F3" w:rsidRDefault="00301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02DA" w14:textId="77777777" w:rsidR="003A04A1" w:rsidRPr="003A04A1" w:rsidRDefault="003A04A1" w:rsidP="003A0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05E6" w14:textId="18403F12" w:rsidR="00B355AD" w:rsidRPr="003A04A1" w:rsidRDefault="003A04A1" w:rsidP="003A04A1">
    <w:pPr>
      <w:pStyle w:val="FooterCoverPage"/>
      <w:rPr>
        <w:rFonts w:ascii="Arial" w:hAnsi="Arial" w:cs="Arial"/>
        <w:b/>
        <w:sz w:val="48"/>
      </w:rPr>
    </w:pPr>
    <w:r w:rsidRPr="003A04A1">
      <w:rPr>
        <w:rFonts w:ascii="Arial" w:hAnsi="Arial" w:cs="Arial"/>
        <w:b/>
        <w:sz w:val="48"/>
      </w:rPr>
      <w:t>EN</w:t>
    </w:r>
    <w:r w:rsidRPr="003A04A1">
      <w:rPr>
        <w:rFonts w:ascii="Arial" w:hAnsi="Arial" w:cs="Arial"/>
        <w:b/>
        <w:sz w:val="48"/>
      </w:rPr>
      <w:tab/>
    </w:r>
    <w:r w:rsidRPr="003A04A1">
      <w:rPr>
        <w:rFonts w:ascii="Arial" w:hAnsi="Arial" w:cs="Arial"/>
        <w:b/>
        <w:sz w:val="48"/>
      </w:rPr>
      <w:tab/>
    </w:r>
    <w:r w:rsidRPr="003A04A1">
      <w:tab/>
    </w:r>
    <w:r w:rsidRPr="003A04A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9895" w14:textId="77777777" w:rsidR="003A04A1" w:rsidRPr="003A04A1" w:rsidRDefault="003A04A1" w:rsidP="003A04A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1E30" w14:textId="77777777" w:rsidR="003016F3" w:rsidRDefault="003016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072659"/>
      <w:docPartObj>
        <w:docPartGallery w:val="Page Numbers (Bottom of Page)"/>
        <w:docPartUnique/>
      </w:docPartObj>
    </w:sdtPr>
    <w:sdtEndPr>
      <w:rPr>
        <w:noProof/>
      </w:rPr>
    </w:sdtEndPr>
    <w:sdtContent>
      <w:p w14:paraId="2987C965" w14:textId="01F7554F" w:rsidR="003016F3" w:rsidRDefault="003016F3">
        <w:pPr>
          <w:pStyle w:val="Footer"/>
          <w:jc w:val="center"/>
        </w:pPr>
        <w:r w:rsidRPr="00425F11">
          <w:rPr>
            <w:rFonts w:ascii="Times New Roman" w:hAnsi="Times New Roman" w:cs="Times New Roman"/>
            <w:color w:val="2B579A"/>
            <w:sz w:val="20"/>
            <w:szCs w:val="20"/>
            <w:shd w:val="clear" w:color="auto" w:fill="E6E6E6"/>
          </w:rPr>
          <w:fldChar w:fldCharType="begin"/>
        </w:r>
        <w:r w:rsidRPr="00425F11">
          <w:rPr>
            <w:rFonts w:ascii="Times New Roman" w:hAnsi="Times New Roman" w:cs="Times New Roman"/>
            <w:sz w:val="20"/>
            <w:szCs w:val="20"/>
          </w:rPr>
          <w:instrText xml:space="preserve"> PAGE   \* MERGEFORMAT </w:instrText>
        </w:r>
        <w:r w:rsidRPr="00425F11">
          <w:rPr>
            <w:rFonts w:ascii="Times New Roman" w:hAnsi="Times New Roman" w:cs="Times New Roman"/>
            <w:color w:val="2B579A"/>
            <w:sz w:val="20"/>
            <w:szCs w:val="20"/>
            <w:shd w:val="clear" w:color="auto" w:fill="E6E6E6"/>
          </w:rPr>
          <w:fldChar w:fldCharType="separate"/>
        </w:r>
        <w:r w:rsidR="003A04A1">
          <w:rPr>
            <w:rFonts w:ascii="Times New Roman" w:hAnsi="Times New Roman" w:cs="Times New Roman"/>
            <w:noProof/>
            <w:sz w:val="20"/>
            <w:szCs w:val="20"/>
          </w:rPr>
          <w:t>1</w:t>
        </w:r>
        <w:r w:rsidRPr="00425F11">
          <w:rPr>
            <w:rFonts w:ascii="Times New Roman" w:hAnsi="Times New Roman" w:cs="Times New Roman"/>
            <w:color w:val="2B579A"/>
            <w:sz w:val="20"/>
            <w:szCs w:val="20"/>
            <w:shd w:val="clear" w:color="auto" w:fill="E6E6E6"/>
          </w:rPr>
          <w:fldChar w:fldCharType="end"/>
        </w:r>
      </w:p>
    </w:sdtContent>
  </w:sdt>
  <w:p w14:paraId="5945E787" w14:textId="77777777" w:rsidR="003016F3" w:rsidRDefault="003016F3" w:rsidP="00DD46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59C3" w14:textId="77777777" w:rsidR="003016F3" w:rsidRDefault="0030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1725E" w14:textId="77777777" w:rsidR="003016F3" w:rsidRDefault="003016F3" w:rsidP="001D5CAA">
      <w:pPr>
        <w:spacing w:after="0" w:line="240" w:lineRule="auto"/>
      </w:pPr>
      <w:r>
        <w:separator/>
      </w:r>
    </w:p>
  </w:footnote>
  <w:footnote w:type="continuationSeparator" w:id="0">
    <w:p w14:paraId="5EA66596" w14:textId="77777777" w:rsidR="003016F3" w:rsidRDefault="003016F3" w:rsidP="001D5CAA">
      <w:pPr>
        <w:spacing w:after="0" w:line="240" w:lineRule="auto"/>
      </w:pPr>
      <w:r>
        <w:continuationSeparator/>
      </w:r>
    </w:p>
  </w:footnote>
  <w:footnote w:type="continuationNotice" w:id="1">
    <w:p w14:paraId="3E8B46C7" w14:textId="77777777" w:rsidR="003016F3" w:rsidRDefault="003016F3">
      <w:pPr>
        <w:spacing w:after="0" w:line="240" w:lineRule="auto"/>
      </w:pPr>
    </w:p>
  </w:footnote>
  <w:footnote w:id="2">
    <w:p w14:paraId="067A9B58" w14:textId="77777777" w:rsidR="003016F3" w:rsidRPr="006D0EE0" w:rsidRDefault="003016F3" w:rsidP="006D0EE0">
      <w:pPr>
        <w:spacing w:after="0"/>
        <w:rPr>
          <w:rFonts w:eastAsia="Times New Roman" w:cs="Times New Roman"/>
        </w:rPr>
      </w:pPr>
      <w:r w:rsidRPr="005C4213">
        <w:rPr>
          <w:rStyle w:val="FootnoteReference"/>
          <w:rFonts w:ascii="Times New Roman" w:hAnsi="Times New Roman"/>
          <w:sz w:val="20"/>
          <w:szCs w:val="20"/>
          <w:lang w:val="en-GB"/>
        </w:rPr>
        <w:footnoteRef/>
      </w:r>
      <w:r>
        <w:t xml:space="preserve"> </w:t>
      </w:r>
      <w:r w:rsidRPr="006D0EE0">
        <w:rPr>
          <w:rFonts w:ascii="Times New Roman" w:hAnsi="Times New Roman"/>
          <w:sz w:val="16"/>
          <w:szCs w:val="16"/>
          <w:lang w:val="en-GB"/>
        </w:rPr>
        <w:t>Political guidelines for the next European Commission. (2019-2024). A union that strives for more – My agenda for Europa</w:t>
      </w:r>
      <w:r w:rsidRPr="3740FAE7">
        <w:rPr>
          <w:rFonts w:eastAsia="Times New Roman" w:cs="Times New Roman"/>
        </w:rPr>
        <w:t xml:space="preserve">  </w:t>
      </w:r>
    </w:p>
  </w:footnote>
  <w:footnote w:id="3">
    <w:p w14:paraId="28A626AF" w14:textId="77777777" w:rsidR="003016F3" w:rsidRDefault="003016F3" w:rsidP="006D0EE0">
      <w:pPr>
        <w:pStyle w:val="FootnoteText"/>
        <w:rPr>
          <w:sz w:val="16"/>
          <w:szCs w:val="16"/>
          <w:lang w:val="en-IE"/>
        </w:rPr>
      </w:pPr>
      <w:r w:rsidRPr="0D0D3BA0">
        <w:rPr>
          <w:rStyle w:val="FootnoteReference"/>
        </w:rPr>
        <w:footnoteRef/>
      </w:r>
      <w:r>
        <w:t xml:space="preserve"> </w:t>
      </w:r>
      <w:r w:rsidRPr="0D0D3BA0">
        <w:rPr>
          <w:sz w:val="16"/>
          <w:szCs w:val="16"/>
          <w:lang w:val="en-IE"/>
        </w:rPr>
        <w:t xml:space="preserve">European Commission. (2020). </w:t>
      </w:r>
      <w:r w:rsidRPr="0D0D3BA0">
        <w:rPr>
          <w:sz w:val="16"/>
          <w:szCs w:val="16"/>
        </w:rPr>
        <w:t>Communication from the Commission to the European Parliament and the Council</w:t>
      </w:r>
      <w:r>
        <w:rPr>
          <w:sz w:val="16"/>
          <w:szCs w:val="16"/>
        </w:rPr>
        <w:t>, A</w:t>
      </w:r>
      <w:r w:rsidRPr="0D0D3BA0">
        <w:rPr>
          <w:sz w:val="16"/>
          <w:szCs w:val="16"/>
        </w:rPr>
        <w:t>n action plan for fair and simple taxation supporting the recovery strategy</w:t>
      </w:r>
      <w:r>
        <w:rPr>
          <w:sz w:val="16"/>
          <w:szCs w:val="16"/>
        </w:rPr>
        <w:t>,</w:t>
      </w:r>
      <w:r w:rsidRPr="00D519CA">
        <w:t xml:space="preserve"> </w:t>
      </w:r>
      <w:r w:rsidRPr="00D519CA">
        <w:rPr>
          <w:sz w:val="16"/>
          <w:szCs w:val="16"/>
        </w:rPr>
        <w:t>COM(2020) 312 final</w:t>
      </w:r>
      <w:r>
        <w:rPr>
          <w:sz w:val="16"/>
          <w:szCs w:val="16"/>
        </w:rPr>
        <w:t>.</w:t>
      </w:r>
      <w:r w:rsidRPr="0D0D3BA0">
        <w:rPr>
          <w:sz w:val="16"/>
          <w:szCs w:val="16"/>
        </w:rPr>
        <w:t xml:space="preserve"> </w:t>
      </w:r>
    </w:p>
  </w:footnote>
  <w:footnote w:id="4">
    <w:p w14:paraId="0926C565" w14:textId="77777777" w:rsidR="003016F3" w:rsidRDefault="003016F3" w:rsidP="006D0EE0">
      <w:pPr>
        <w:pStyle w:val="FootnoteText"/>
      </w:pPr>
      <w:r w:rsidRPr="3BD7FCA1">
        <w:rPr>
          <w:rStyle w:val="FootnoteReference"/>
        </w:rPr>
        <w:footnoteRef/>
      </w:r>
      <w:r>
        <w:t xml:space="preserve"> </w:t>
      </w:r>
      <w:r w:rsidRPr="3BD7FCA1">
        <w:rPr>
          <w:rFonts w:cs="Times New Roman"/>
          <w:sz w:val="16"/>
          <w:szCs w:val="16"/>
        </w:rPr>
        <w:t>European Parliament</w:t>
      </w:r>
      <w:r>
        <w:rPr>
          <w:rFonts w:cs="Times New Roman"/>
          <w:sz w:val="16"/>
          <w:szCs w:val="16"/>
        </w:rPr>
        <w:t>.</w:t>
      </w:r>
      <w:r w:rsidRPr="3BD7FCA1">
        <w:rPr>
          <w:rFonts w:cs="Times New Roman"/>
          <w:sz w:val="16"/>
          <w:szCs w:val="16"/>
        </w:rPr>
        <w:t xml:space="preserve"> (2019). European Parliament resolution of 26 March 2019 on financial crimes, tax evasion and tax avoidance (2018/2121(INI))</w:t>
      </w:r>
      <w:r>
        <w:rPr>
          <w:rFonts w:cs="Times New Roman"/>
          <w:sz w:val="16"/>
          <w:szCs w:val="16"/>
        </w:rPr>
        <w:t>.</w:t>
      </w:r>
    </w:p>
  </w:footnote>
  <w:footnote w:id="5">
    <w:p w14:paraId="2F6F618D" w14:textId="77777777" w:rsidR="003016F3" w:rsidRPr="006D0EE0" w:rsidRDefault="003016F3" w:rsidP="00C32AD0">
      <w:pPr>
        <w:pStyle w:val="FootnoteText"/>
        <w:rPr>
          <w:sz w:val="16"/>
          <w:szCs w:val="16"/>
        </w:rPr>
      </w:pPr>
      <w:r>
        <w:rPr>
          <w:rStyle w:val="FootnoteReference"/>
        </w:rPr>
        <w:footnoteRef/>
      </w:r>
      <w:r>
        <w:t xml:space="preserve"> </w:t>
      </w:r>
      <w:r w:rsidRPr="004009B2">
        <w:rPr>
          <w:sz w:val="16"/>
          <w:szCs w:val="16"/>
        </w:rPr>
        <w:t>European Parliament</w:t>
      </w:r>
      <w:r>
        <w:rPr>
          <w:sz w:val="16"/>
          <w:szCs w:val="16"/>
        </w:rPr>
        <w:t>.</w:t>
      </w:r>
      <w:r w:rsidRPr="004009B2">
        <w:rPr>
          <w:sz w:val="16"/>
          <w:szCs w:val="16"/>
        </w:rPr>
        <w:t xml:space="preserve"> (2021).</w:t>
      </w:r>
      <w:r w:rsidRPr="00127CF4">
        <w:rPr>
          <w:sz w:val="16"/>
          <w:szCs w:val="16"/>
        </w:rPr>
        <w:t xml:space="preserve"> </w:t>
      </w:r>
      <w:r w:rsidRPr="004009B2">
        <w:rPr>
          <w:sz w:val="16"/>
          <w:szCs w:val="16"/>
        </w:rPr>
        <w:t>European Parliament resolution of 16 September 2021 on the implementation of the EU requirements for exchange of tax information: progress, lessons learnt and obstacles to overcome</w:t>
      </w:r>
      <w:r w:rsidDel="0044246C">
        <w:rPr>
          <w:sz w:val="16"/>
          <w:szCs w:val="16"/>
        </w:rPr>
        <w:t xml:space="preserve"> </w:t>
      </w:r>
    </w:p>
  </w:footnote>
  <w:footnote w:id="6">
    <w:p w14:paraId="5EFE17FE" w14:textId="77777777" w:rsidR="003016F3" w:rsidRDefault="003016F3" w:rsidP="006D0EE0">
      <w:pPr>
        <w:pStyle w:val="FootnoteText"/>
      </w:pPr>
      <w:r>
        <w:rPr>
          <w:rStyle w:val="FootnoteReference"/>
        </w:rPr>
        <w:footnoteRef/>
      </w:r>
      <w:r w:rsidRPr="00FC5A00">
        <w:rPr>
          <w:rStyle w:val="FootnoteReference"/>
        </w:rPr>
        <w:t xml:space="preserve"> </w:t>
      </w:r>
      <w:r w:rsidRPr="00FC5A00">
        <w:rPr>
          <w:sz w:val="16"/>
          <w:szCs w:val="16"/>
        </w:rPr>
        <w:t>Council Directive 2011/16/EU of 15 February 2011 on administrative cooperation in the field of taxation and repealing Directive 77/799/EEC, OJ L 64/1.</w:t>
      </w:r>
    </w:p>
  </w:footnote>
  <w:footnote w:id="7">
    <w:p w14:paraId="54EB46D6" w14:textId="77777777" w:rsidR="003016F3" w:rsidRDefault="003016F3" w:rsidP="006D0EE0">
      <w:pPr>
        <w:pStyle w:val="Text2"/>
        <w:spacing w:after="0"/>
        <w:ind w:left="0"/>
        <w:rPr>
          <w:rStyle w:val="FootnoteReference"/>
          <w:rFonts w:asciiTheme="minorHAnsi" w:eastAsiaTheme="minorHAnsi" w:hAnsiTheme="minorHAnsi" w:cstheme="minorBidi"/>
          <w:sz w:val="16"/>
          <w:szCs w:val="16"/>
          <w:lang w:val="fr-BE"/>
        </w:rPr>
      </w:pPr>
      <w:r w:rsidRPr="005C4213">
        <w:rPr>
          <w:rStyle w:val="FootnoteReference"/>
          <w:rFonts w:eastAsiaTheme="minorHAnsi" w:cstheme="minorBidi"/>
          <w:sz w:val="20"/>
        </w:rPr>
        <w:footnoteRef/>
      </w:r>
      <w:r w:rsidRPr="3BD7FCA1">
        <w:rPr>
          <w:lang w:val="fr-BE"/>
        </w:rPr>
        <w:t xml:space="preserve"> </w:t>
      </w:r>
      <w:r w:rsidRPr="3BD7FCA1">
        <w:rPr>
          <w:rFonts w:eastAsiaTheme="minorEastAsia"/>
          <w:sz w:val="16"/>
          <w:szCs w:val="16"/>
          <w:lang w:val="fr-BE"/>
        </w:rPr>
        <w:t>Directive 2014/107/EU (DAC2), Directive 2015/2376/EU (DAC3), Directive 2016/881/EU (DAC4), Directive 2016/2258/EU (DAC5), Directive 2018/822/EU (DAC6), Council Directive (EU) 2021/514 (DAC7).</w:t>
      </w:r>
    </w:p>
  </w:footnote>
  <w:footnote w:id="8">
    <w:p w14:paraId="6109583B" w14:textId="77777777" w:rsidR="003016F3" w:rsidRDefault="003016F3" w:rsidP="006D0EE0">
      <w:pPr>
        <w:pStyle w:val="paragraph"/>
        <w:shd w:val="clear" w:color="auto" w:fill="FFFFFF"/>
        <w:spacing w:before="0" w:beforeAutospacing="0" w:after="0" w:afterAutospacing="0"/>
        <w:jc w:val="both"/>
        <w:textAlignment w:val="baseline"/>
        <w:rPr>
          <w:rFonts w:ascii="Segoe UI" w:hAnsi="Segoe UI" w:cs="Segoe UI"/>
          <w:sz w:val="18"/>
          <w:szCs w:val="18"/>
        </w:rPr>
      </w:pPr>
      <w:r w:rsidRPr="005C4213">
        <w:rPr>
          <w:rStyle w:val="FootnoteReference"/>
          <w:rFonts w:eastAsiaTheme="minorHAnsi" w:cstheme="minorBidi"/>
          <w:sz w:val="20"/>
          <w:szCs w:val="20"/>
          <w:lang w:val="en-GB"/>
        </w:rPr>
        <w:footnoteRef/>
      </w:r>
      <w:r>
        <w:t xml:space="preserve"> </w:t>
      </w:r>
      <w:r w:rsidRPr="004568B5">
        <w:rPr>
          <w:rStyle w:val="normaltextrun"/>
          <w:sz w:val="16"/>
          <w:szCs w:val="16"/>
        </w:rPr>
        <w:t xml:space="preserve">European Commission. (2020). </w:t>
      </w:r>
      <w:r>
        <w:rPr>
          <w:rStyle w:val="normaltextrun"/>
          <w:sz w:val="16"/>
          <w:szCs w:val="16"/>
        </w:rPr>
        <w:t>Proposal for a Regulation of the European Parliament and of the Council on Markets in Crypto-assets, and amending Directive (EU) 2019/1937, COM/2020/593 final. </w:t>
      </w:r>
      <w:r>
        <w:rPr>
          <w:rStyle w:val="eop"/>
          <w:sz w:val="16"/>
          <w:szCs w:val="16"/>
        </w:rPr>
        <w:t> </w:t>
      </w:r>
    </w:p>
  </w:footnote>
  <w:footnote w:id="9">
    <w:p w14:paraId="3E8ABD21" w14:textId="77777777" w:rsidR="003016F3" w:rsidRPr="005C4213" w:rsidRDefault="003016F3">
      <w:pPr>
        <w:pStyle w:val="FootnoteText"/>
        <w:rPr>
          <w:sz w:val="16"/>
          <w:szCs w:val="16"/>
          <w:lang w:val="en-US"/>
        </w:rPr>
      </w:pPr>
      <w:r>
        <w:rPr>
          <w:rStyle w:val="FootnoteReference"/>
        </w:rPr>
        <w:footnoteRef/>
      </w:r>
      <w:r>
        <w:t xml:space="preserve"> </w:t>
      </w:r>
      <w:r w:rsidRPr="005C4213">
        <w:rPr>
          <w:sz w:val="16"/>
          <w:szCs w:val="16"/>
          <w:lang w:val="en-US"/>
        </w:rPr>
        <w:t>European Commission. (2021). Proposal for a Regulation of the European Parliament and of the Council on the prevention of the use of the financial system for the purpose of money laundering or terror</w:t>
      </w:r>
      <w:r>
        <w:rPr>
          <w:sz w:val="16"/>
          <w:szCs w:val="16"/>
          <w:lang w:val="en-US"/>
        </w:rPr>
        <w:t>is</w:t>
      </w:r>
      <w:r w:rsidRPr="005C4213">
        <w:rPr>
          <w:sz w:val="16"/>
          <w:szCs w:val="16"/>
          <w:lang w:val="en-US"/>
        </w:rPr>
        <w:t>t financing, COM (2021) 420 final, 2021/0239 (COD).</w:t>
      </w:r>
    </w:p>
  </w:footnote>
  <w:footnote w:id="10">
    <w:p w14:paraId="6B8671D4" w14:textId="77777777" w:rsidR="003016F3" w:rsidRPr="00FC5A00" w:rsidRDefault="003016F3" w:rsidP="00B8409E">
      <w:pPr>
        <w:pStyle w:val="FootnoteText"/>
        <w:rPr>
          <w:sz w:val="16"/>
          <w:szCs w:val="16"/>
        </w:rPr>
      </w:pPr>
      <w:r w:rsidRPr="005C4213">
        <w:rPr>
          <w:rStyle w:val="FootnoteReference"/>
        </w:rPr>
        <w:footnoteRef/>
      </w:r>
      <w:r>
        <w:rPr>
          <w:sz w:val="16"/>
          <w:szCs w:val="16"/>
        </w:rPr>
        <w:t xml:space="preserve"> European Court of Auditors. (2021). </w:t>
      </w:r>
      <w:r w:rsidRPr="00FC5A00">
        <w:rPr>
          <w:sz w:val="16"/>
          <w:szCs w:val="16"/>
        </w:rPr>
        <w:t>Special Report N°03/2021: Exchanging tax information in the EU: solid foundation, cracks in the implementation. Page</w:t>
      </w:r>
      <w:r>
        <w:rPr>
          <w:sz w:val="16"/>
          <w:szCs w:val="16"/>
        </w:rPr>
        <w:t>s</w:t>
      </w:r>
      <w:r w:rsidRPr="00FC5A00">
        <w:rPr>
          <w:sz w:val="16"/>
          <w:szCs w:val="16"/>
        </w:rPr>
        <w:t xml:space="preserve"> 20 and 29.</w:t>
      </w:r>
    </w:p>
  </w:footnote>
  <w:footnote w:id="11">
    <w:p w14:paraId="1FC9BFDD" w14:textId="77777777" w:rsidR="003016F3" w:rsidRDefault="003016F3" w:rsidP="50FEADB2">
      <w:pPr>
        <w:pStyle w:val="FootnoteText"/>
        <w:rPr>
          <w:sz w:val="16"/>
          <w:szCs w:val="16"/>
        </w:rPr>
      </w:pPr>
      <w:r w:rsidRPr="50FEADB2">
        <w:rPr>
          <w:rStyle w:val="FootnoteReference"/>
        </w:rPr>
        <w:footnoteRef/>
      </w:r>
      <w:r w:rsidRPr="50FEADB2">
        <w:rPr>
          <w:rStyle w:val="FootnoteReference"/>
        </w:rPr>
        <w:t xml:space="preserve"> </w:t>
      </w:r>
      <w:hyperlink r:id="rId1">
        <w:r w:rsidRPr="50FEADB2">
          <w:rPr>
            <w:rStyle w:val="Hyperlink"/>
            <w:sz w:val="16"/>
            <w:szCs w:val="16"/>
          </w:rPr>
          <w:t>https://coinmarketcap.com/de/largest-companies/</w:t>
        </w:r>
      </w:hyperlink>
      <w:r w:rsidRPr="50FEADB2">
        <w:rPr>
          <w:sz w:val="16"/>
          <w:szCs w:val="16"/>
        </w:rPr>
        <w:t xml:space="preserve"> (accessed on </w:t>
      </w:r>
      <w:r>
        <w:rPr>
          <w:sz w:val="16"/>
          <w:szCs w:val="16"/>
        </w:rPr>
        <w:t>September</w:t>
      </w:r>
      <w:r w:rsidRPr="50FEADB2">
        <w:rPr>
          <w:sz w:val="16"/>
          <w:szCs w:val="16"/>
        </w:rPr>
        <w:t xml:space="preserve"> </w:t>
      </w:r>
      <w:r>
        <w:rPr>
          <w:sz w:val="16"/>
          <w:szCs w:val="16"/>
        </w:rPr>
        <w:t>29</w:t>
      </w:r>
      <w:r w:rsidRPr="50FEADB2">
        <w:rPr>
          <w:sz w:val="16"/>
          <w:szCs w:val="16"/>
        </w:rPr>
        <w:t>, 2021).</w:t>
      </w:r>
    </w:p>
  </w:footnote>
  <w:footnote w:id="12">
    <w:p w14:paraId="19D23FDA" w14:textId="77777777" w:rsidR="003016F3" w:rsidRDefault="003016F3" w:rsidP="00D603CB">
      <w:pPr>
        <w:spacing w:after="0"/>
      </w:pPr>
      <w:r w:rsidRPr="009378DC">
        <w:rPr>
          <w:rStyle w:val="FootnoteReference"/>
          <w:rFonts w:ascii="Times New Roman" w:hAnsi="Times New Roman"/>
          <w:sz w:val="20"/>
          <w:szCs w:val="20"/>
          <w:lang w:val="en-GB"/>
        </w:rPr>
        <w:footnoteRef/>
      </w:r>
      <w:r>
        <w:t xml:space="preserve"> </w:t>
      </w:r>
      <w:r w:rsidRPr="4E4E7CB7">
        <w:rPr>
          <w:rFonts w:ascii="Times New Roman" w:hAnsi="Times New Roman"/>
          <w:sz w:val="16"/>
          <w:szCs w:val="16"/>
          <w:lang w:val="en-GB"/>
        </w:rPr>
        <w:t>Bitcoin is a digital currency that is not backed by a central bank and is used for payment or investment purposes.</w:t>
      </w:r>
    </w:p>
  </w:footnote>
  <w:footnote w:id="13">
    <w:p w14:paraId="31E85B5F" w14:textId="77777777" w:rsidR="003016F3" w:rsidRPr="008E2DB3" w:rsidRDefault="003016F3" w:rsidP="006D0EE0">
      <w:pPr>
        <w:pStyle w:val="FootnoteText"/>
        <w:rPr>
          <w:lang w:val="en-IE"/>
        </w:rPr>
      </w:pPr>
      <w:r>
        <w:rPr>
          <w:rStyle w:val="FootnoteReference"/>
        </w:rPr>
        <w:footnoteRef/>
      </w:r>
      <w:r>
        <w:t xml:space="preserve"> </w:t>
      </w:r>
      <w:r w:rsidRPr="008E2DB3">
        <w:rPr>
          <w:sz w:val="16"/>
          <w:szCs w:val="16"/>
          <w:lang w:val="en-US"/>
        </w:rPr>
        <w:t>https://coinmarketcap.com/charts/</w:t>
      </w:r>
    </w:p>
  </w:footnote>
  <w:footnote w:id="14">
    <w:p w14:paraId="3A0628CC" w14:textId="77777777" w:rsidR="003016F3" w:rsidRDefault="003016F3" w:rsidP="006D0EE0">
      <w:pPr>
        <w:pStyle w:val="FootnoteText"/>
        <w:rPr>
          <w:sz w:val="16"/>
          <w:szCs w:val="16"/>
        </w:rPr>
      </w:pPr>
      <w:r>
        <w:rPr>
          <w:rStyle w:val="FootnoteReference"/>
        </w:rPr>
        <w:footnoteRef/>
      </w:r>
      <w:r>
        <w:t xml:space="preserve"> </w:t>
      </w:r>
      <w:r>
        <w:rPr>
          <w:sz w:val="16"/>
          <w:szCs w:val="16"/>
          <w:lang w:val="en-US"/>
        </w:rPr>
        <w:t>Directive 2014/107/EU introducing the exchange of</w:t>
      </w:r>
      <w:r w:rsidRPr="006D0EE0">
        <w:rPr>
          <w:sz w:val="16"/>
          <w:szCs w:val="16"/>
          <w:lang w:val="en-US"/>
        </w:rPr>
        <w:t> </w:t>
      </w:r>
      <w:hyperlink r:id="rId2" w:history="1">
        <w:r w:rsidRPr="006D0EE0">
          <w:rPr>
            <w:sz w:val="16"/>
            <w:szCs w:val="16"/>
            <w:lang w:val="en-US"/>
          </w:rPr>
          <w:t>financial account information</w:t>
        </w:r>
      </w:hyperlink>
    </w:p>
  </w:footnote>
  <w:footnote w:id="15">
    <w:p w14:paraId="1957F96C" w14:textId="77777777" w:rsidR="003016F3" w:rsidRDefault="003016F3" w:rsidP="006D0EE0">
      <w:pPr>
        <w:spacing w:after="0" w:line="240" w:lineRule="auto"/>
        <w:jc w:val="both"/>
      </w:pPr>
      <w:r w:rsidRPr="005C4213">
        <w:rPr>
          <w:rStyle w:val="FootnoteReference"/>
          <w:rFonts w:ascii="Times New Roman" w:hAnsi="Times New Roman"/>
          <w:sz w:val="20"/>
          <w:szCs w:val="20"/>
          <w:lang w:val="en-GB"/>
        </w:rPr>
        <w:footnoteRef/>
      </w:r>
      <w:r w:rsidRPr="00791141">
        <w:rPr>
          <w:rStyle w:val="FootnoteReference"/>
          <w:sz w:val="20"/>
          <w:szCs w:val="20"/>
          <w:lang w:val="en-GB"/>
        </w:rPr>
        <w:t xml:space="preserve"> </w:t>
      </w:r>
      <w:r w:rsidRPr="00791141">
        <w:rPr>
          <w:rFonts w:ascii="Times New Roman" w:hAnsi="Times New Roman"/>
          <w:sz w:val="16"/>
          <w:szCs w:val="16"/>
          <w:lang w:val="en-GB"/>
        </w:rPr>
        <w:t>While some Member States are planning to introduce changes to their national legislation (e.g. Slovenia).</w:t>
      </w:r>
      <w:r>
        <w:t xml:space="preserve"> </w:t>
      </w:r>
    </w:p>
  </w:footnote>
  <w:footnote w:id="16">
    <w:p w14:paraId="5F085982" w14:textId="77777777" w:rsidR="003016F3" w:rsidRPr="00FC5A00" w:rsidRDefault="003016F3" w:rsidP="006D0EE0">
      <w:pPr>
        <w:pStyle w:val="FootnoteText"/>
        <w:rPr>
          <w:sz w:val="16"/>
          <w:szCs w:val="16"/>
        </w:rPr>
      </w:pPr>
      <w:r w:rsidRPr="005C4213">
        <w:rPr>
          <w:rStyle w:val="FootnoteReference"/>
        </w:rPr>
        <w:footnoteRef/>
      </w:r>
      <w:r w:rsidRPr="005C4213">
        <w:rPr>
          <w:rStyle w:val="FootnoteReference"/>
        </w:rPr>
        <w:t xml:space="preserve"> </w:t>
      </w:r>
      <w:r>
        <w:rPr>
          <w:sz w:val="16"/>
          <w:szCs w:val="16"/>
        </w:rPr>
        <w:t>OECD. (</w:t>
      </w:r>
      <w:r w:rsidRPr="00FC5A00">
        <w:rPr>
          <w:sz w:val="16"/>
          <w:szCs w:val="16"/>
        </w:rPr>
        <w:t>2020</w:t>
      </w:r>
      <w:r>
        <w:rPr>
          <w:sz w:val="16"/>
          <w:szCs w:val="16"/>
        </w:rPr>
        <w:t>)</w:t>
      </w:r>
      <w:r w:rsidRPr="00FC5A00">
        <w:rPr>
          <w:sz w:val="16"/>
          <w:szCs w:val="16"/>
        </w:rPr>
        <w:t>.</w:t>
      </w:r>
      <w:r>
        <w:rPr>
          <w:sz w:val="16"/>
          <w:szCs w:val="16"/>
        </w:rPr>
        <w:t xml:space="preserve"> </w:t>
      </w:r>
      <w:r w:rsidRPr="00FC5A00">
        <w:rPr>
          <w:sz w:val="16"/>
          <w:szCs w:val="16"/>
        </w:rPr>
        <w:t>Taxing Virtual Currencies: An Overview of Tax Treatments and Emerging Tax Policy Issues</w:t>
      </w:r>
      <w:r>
        <w:rPr>
          <w:sz w:val="16"/>
          <w:szCs w:val="16"/>
        </w:rPr>
        <w:t xml:space="preserve">. </w:t>
      </w:r>
    </w:p>
  </w:footnote>
  <w:footnote w:id="17">
    <w:p w14:paraId="5E5EAFAF" w14:textId="77777777" w:rsidR="003016F3" w:rsidRDefault="003016F3" w:rsidP="006D0EE0">
      <w:pPr>
        <w:spacing w:after="0" w:line="240" w:lineRule="auto"/>
        <w:jc w:val="both"/>
        <w:rPr>
          <w:rFonts w:ascii="Calibri" w:eastAsia="Calibri" w:hAnsi="Calibri" w:cs="Calibri"/>
          <w:sz w:val="16"/>
          <w:szCs w:val="16"/>
        </w:rPr>
      </w:pPr>
      <w:r w:rsidRPr="005C4213">
        <w:rPr>
          <w:rStyle w:val="FootnoteReference"/>
          <w:rFonts w:ascii="Times New Roman" w:hAnsi="Times New Roman"/>
          <w:sz w:val="20"/>
          <w:szCs w:val="20"/>
          <w:lang w:val="en-GB"/>
        </w:rPr>
        <w:footnoteRef/>
      </w:r>
      <w:r w:rsidRPr="005C4213">
        <w:rPr>
          <w:rStyle w:val="FootnoteReference"/>
          <w:rFonts w:ascii="Times New Roman" w:hAnsi="Times New Roman"/>
          <w:sz w:val="20"/>
          <w:szCs w:val="20"/>
          <w:lang w:val="en-GB"/>
        </w:rPr>
        <w:t xml:space="preserve"> </w:t>
      </w:r>
      <w:r w:rsidRPr="00D603CB">
        <w:rPr>
          <w:rFonts w:ascii="Times New Roman" w:hAnsi="Times New Roman"/>
          <w:sz w:val="16"/>
          <w:szCs w:val="16"/>
          <w:lang w:val="en-GB"/>
        </w:rPr>
        <w:t>Thiemann (2021). Cryptocurrencies: An empirical view from a tax perspective, JRC Working Papers on Taxation and Structural Reforms, No 12.</w:t>
      </w:r>
    </w:p>
  </w:footnote>
  <w:footnote w:id="18">
    <w:p w14:paraId="7186B625" w14:textId="77777777" w:rsidR="003016F3" w:rsidRDefault="003016F3" w:rsidP="00DD1A36">
      <w:pPr>
        <w:pStyle w:val="FootnoteText"/>
      </w:pPr>
      <w:r>
        <w:rPr>
          <w:rStyle w:val="FootnoteReference"/>
        </w:rPr>
        <w:footnoteRef/>
      </w:r>
      <w:r>
        <w:t xml:space="preserve"> </w:t>
      </w:r>
      <w:r w:rsidRPr="00FC5A00">
        <w:rPr>
          <w:rFonts w:cs="Times New Roman"/>
          <w:sz w:val="16"/>
          <w:szCs w:val="16"/>
        </w:rPr>
        <w:t>European Parliament</w:t>
      </w:r>
      <w:r>
        <w:rPr>
          <w:rFonts w:cs="Times New Roman"/>
          <w:sz w:val="16"/>
          <w:szCs w:val="16"/>
        </w:rPr>
        <w:t>.</w:t>
      </w:r>
      <w:r w:rsidRPr="00FC5A00">
        <w:rPr>
          <w:rFonts w:cs="Times New Roman"/>
          <w:sz w:val="16"/>
          <w:szCs w:val="16"/>
        </w:rPr>
        <w:t xml:space="preserve"> (2019). European Parliament resolution of 26 March 2019 on financial crimes, tax evasion and tax avoidance (2018/2121(INI)).</w:t>
      </w:r>
    </w:p>
  </w:footnote>
  <w:footnote w:id="19">
    <w:p w14:paraId="5806A705" w14:textId="55DA794E" w:rsidR="003016F3" w:rsidRPr="00026A5D" w:rsidRDefault="003016F3" w:rsidP="00026A5D">
      <w:pPr>
        <w:pStyle w:val="NormalWeb"/>
        <w:shd w:val="clear" w:color="auto" w:fill="FFFFFF"/>
        <w:spacing w:after="0" w:line="240" w:lineRule="auto"/>
        <w:jc w:val="both"/>
        <w:rPr>
          <w:sz w:val="16"/>
          <w:szCs w:val="16"/>
        </w:rPr>
      </w:pPr>
      <w:r w:rsidRPr="005C4213">
        <w:rPr>
          <w:rStyle w:val="FootnoteReference"/>
          <w:sz w:val="20"/>
          <w:szCs w:val="20"/>
        </w:rPr>
        <w:footnoteRef/>
      </w:r>
      <w:r w:rsidRPr="005C4213">
        <w:rPr>
          <w:sz w:val="20"/>
          <w:szCs w:val="20"/>
        </w:rPr>
        <w:t xml:space="preserve"> </w:t>
      </w:r>
      <w:r w:rsidRPr="00026A5D">
        <w:rPr>
          <w:rFonts w:cstheme="minorBidi"/>
          <w:sz w:val="16"/>
          <w:szCs w:val="16"/>
          <w:lang w:val="en-GB"/>
        </w:rPr>
        <w:t>European Commission. (2021). Proposal for a Regulation of the European Parliament and of the Council on the prevention of the use of the financial system for the purposes of money laundering or terrorist financing</w:t>
      </w:r>
      <w:r>
        <w:rPr>
          <w:rFonts w:cstheme="minorBidi"/>
          <w:sz w:val="16"/>
          <w:szCs w:val="16"/>
          <w:lang w:val="en-GB"/>
        </w:rPr>
        <w:t>,</w:t>
      </w:r>
      <w:r w:rsidRPr="00026A5D">
        <w:rPr>
          <w:rFonts w:cstheme="minorBidi"/>
          <w:sz w:val="16"/>
          <w:szCs w:val="16"/>
          <w:lang w:val="en-GB"/>
        </w:rPr>
        <w:t xml:space="preserve"> COM</w:t>
      </w:r>
      <w:r w:rsidR="00507449">
        <w:rPr>
          <w:rFonts w:cstheme="minorBidi"/>
          <w:sz w:val="16"/>
          <w:szCs w:val="16"/>
          <w:lang w:val="en-GB"/>
        </w:rPr>
        <w:t>(</w:t>
      </w:r>
      <w:r w:rsidRPr="00026A5D">
        <w:rPr>
          <w:rFonts w:cstheme="minorBidi"/>
          <w:sz w:val="16"/>
          <w:szCs w:val="16"/>
          <w:lang w:val="en-GB"/>
        </w:rPr>
        <w:t>2021</w:t>
      </w:r>
      <w:r w:rsidR="00507449">
        <w:rPr>
          <w:rFonts w:cstheme="minorBidi"/>
          <w:sz w:val="16"/>
          <w:szCs w:val="16"/>
          <w:lang w:val="en-GB"/>
        </w:rPr>
        <w:t>)</w:t>
      </w:r>
      <w:r w:rsidRPr="00026A5D">
        <w:rPr>
          <w:rFonts w:cstheme="minorBidi"/>
          <w:sz w:val="16"/>
          <w:szCs w:val="16"/>
          <w:lang w:val="en-GB"/>
        </w:rPr>
        <w:t>420 final</w:t>
      </w:r>
      <w:r>
        <w:rPr>
          <w:rFonts w:cstheme="minorBidi"/>
          <w:sz w:val="16"/>
          <w:szCs w:val="16"/>
          <w:lang w:val="en-GB"/>
        </w:rPr>
        <w:t>.</w:t>
      </w:r>
    </w:p>
  </w:footnote>
  <w:footnote w:id="20">
    <w:p w14:paraId="12425525" w14:textId="203EDC92" w:rsidR="003016F3" w:rsidRPr="00434311" w:rsidRDefault="003016F3">
      <w:pPr>
        <w:pStyle w:val="FootnoteText"/>
      </w:pPr>
      <w:r>
        <w:rPr>
          <w:rStyle w:val="FootnoteReference"/>
        </w:rPr>
        <w:footnoteRef/>
      </w:r>
      <w:r>
        <w:t xml:space="preserve"> </w:t>
      </w:r>
      <w:r w:rsidRPr="00D312CE">
        <w:rPr>
          <w:sz w:val="16"/>
          <w:szCs w:val="16"/>
        </w:rPr>
        <w:t>Designation of competent authorities for CASPs, honourability checks, etc</w:t>
      </w:r>
    </w:p>
  </w:footnote>
  <w:footnote w:id="21">
    <w:p w14:paraId="15C91641" w14:textId="77777777" w:rsidR="003016F3" w:rsidRDefault="003016F3" w:rsidP="00E264F0">
      <w:pPr>
        <w:pStyle w:val="FootnoteText"/>
        <w:rPr>
          <w:sz w:val="16"/>
          <w:szCs w:val="16"/>
          <w:lang w:val="en-IE"/>
        </w:rPr>
      </w:pPr>
      <w:r w:rsidRPr="005C4213">
        <w:rPr>
          <w:rStyle w:val="FootnoteReference"/>
        </w:rPr>
        <w:footnoteRef/>
      </w:r>
      <w:r w:rsidRPr="005C4213">
        <w:t xml:space="preserve"> </w:t>
      </w:r>
      <w:r w:rsidRPr="00026A5D">
        <w:rPr>
          <w:sz w:val="16"/>
          <w:szCs w:val="16"/>
        </w:rPr>
        <w:t>Shaw, J., Slemrod, J., &amp; Whiting, J. (2010). Administration and compliance. Dimensions of Tax Design. The Mirrlees Review. Oxford University Press, chapter 12, p. 1126.</w:t>
      </w:r>
    </w:p>
  </w:footnote>
  <w:footnote w:id="22">
    <w:p w14:paraId="5E677CB9" w14:textId="77777777" w:rsidR="003016F3" w:rsidRPr="00026A5D" w:rsidRDefault="003016F3" w:rsidP="00E264F0">
      <w:pPr>
        <w:pStyle w:val="FootnoteText"/>
        <w:rPr>
          <w:sz w:val="16"/>
          <w:szCs w:val="16"/>
        </w:rPr>
      </w:pPr>
      <w:r w:rsidRPr="005C4213">
        <w:rPr>
          <w:rStyle w:val="FootnoteReference"/>
        </w:rPr>
        <w:footnoteRef/>
      </w:r>
      <w:r>
        <w:rPr>
          <w:sz w:val="16"/>
          <w:szCs w:val="16"/>
        </w:rPr>
        <w:t xml:space="preserve"> </w:t>
      </w:r>
      <w:r w:rsidRPr="00026A5D">
        <w:rPr>
          <w:sz w:val="16"/>
          <w:szCs w:val="16"/>
        </w:rPr>
        <w:t>Beer, S, Coelho, M. and Leduc, S. (2019) Hidden Treasures: the impact of automatic exchange of information on cross-border tax evasion, IMF working paper, WP/19/286</w:t>
      </w:r>
      <w:r>
        <w:rPr>
          <w:sz w:val="16"/>
          <w:szCs w:val="16"/>
        </w:rPr>
        <w:t>.</w:t>
      </w:r>
    </w:p>
  </w:footnote>
  <w:footnote w:id="23">
    <w:p w14:paraId="4328BF7D" w14:textId="77777777" w:rsidR="003016F3" w:rsidRDefault="003016F3" w:rsidP="00944664">
      <w:pPr>
        <w:pStyle w:val="FootnoteText"/>
        <w:rPr>
          <w:lang w:val="en-IE"/>
        </w:rPr>
      </w:pPr>
      <w:r>
        <w:rPr>
          <w:rStyle w:val="FootnoteReference"/>
        </w:rPr>
        <w:footnoteRef/>
      </w:r>
      <w:r>
        <w:t xml:space="preserve"> </w:t>
      </w:r>
      <w:r>
        <w:rPr>
          <w:sz w:val="16"/>
          <w:szCs w:val="16"/>
          <w:lang w:val="en-IE"/>
        </w:rPr>
        <w:t>MiCA and AML package.</w:t>
      </w:r>
    </w:p>
  </w:footnote>
  <w:footnote w:id="24">
    <w:p w14:paraId="0D470909" w14:textId="77777777" w:rsidR="003016F3" w:rsidRDefault="003016F3" w:rsidP="10C510F9">
      <w:pPr>
        <w:pStyle w:val="Default"/>
      </w:pPr>
      <w:r w:rsidRPr="005C4213">
        <w:rPr>
          <w:rStyle w:val="FootnoteReference"/>
          <w:rFonts w:ascii="Times New Roman" w:hAnsi="Times New Roman" w:cs="Times New Roman"/>
          <w:sz w:val="20"/>
          <w:szCs w:val="20"/>
        </w:rPr>
        <w:footnoteRef/>
      </w:r>
      <w:r>
        <w:t xml:space="preserve"> </w:t>
      </w:r>
      <w:r w:rsidRPr="10C510F9">
        <w:rPr>
          <w:rFonts w:ascii="Times New Roman" w:hAnsi="Times New Roman" w:cs="Times New Roman"/>
          <w:sz w:val="16"/>
          <w:szCs w:val="16"/>
        </w:rPr>
        <w:t xml:space="preserve">Article 3.1(2) of the proposed Regulation on MICA. </w:t>
      </w:r>
    </w:p>
  </w:footnote>
  <w:footnote w:id="25">
    <w:p w14:paraId="793263F3" w14:textId="77777777" w:rsidR="003016F3" w:rsidRPr="005C4213" w:rsidRDefault="003016F3" w:rsidP="0014712A">
      <w:pPr>
        <w:pStyle w:val="Default"/>
        <w:jc w:val="both"/>
        <w:rPr>
          <w:rFonts w:ascii="Times New Roman" w:hAnsi="Times New Roman" w:cs="Times New Roman"/>
          <w:sz w:val="16"/>
          <w:szCs w:val="16"/>
        </w:rPr>
      </w:pPr>
      <w:r w:rsidRPr="005C4213">
        <w:rPr>
          <w:rStyle w:val="FootnoteReference"/>
          <w:rFonts w:ascii="Times New Roman" w:hAnsi="Times New Roman" w:cs="Times New Roman"/>
          <w:sz w:val="20"/>
          <w:szCs w:val="20"/>
        </w:rPr>
        <w:footnoteRef/>
      </w:r>
      <w:r>
        <w:t xml:space="preserve"> </w:t>
      </w:r>
      <w:r w:rsidRPr="005C4213">
        <w:rPr>
          <w:rFonts w:ascii="Times New Roman" w:hAnsi="Times New Roman" w:cs="Times New Roman"/>
          <w:sz w:val="16"/>
          <w:szCs w:val="16"/>
        </w:rPr>
        <w:t xml:space="preserve">OECD uses the term Closed-Loop Crypto-Assets to refer to those crypto-Assets redeemed for a specified good or service and transferred with the intervention of the issuer or the supplier of such good or service. (e.g. currency in a video game, a tokenised representation of frequent flyer miles, or a tokenised redemption right to a consumer good) </w:t>
      </w:r>
    </w:p>
  </w:footnote>
  <w:footnote w:id="26">
    <w:p w14:paraId="1D315EA3" w14:textId="77777777" w:rsidR="003016F3" w:rsidRPr="005C4213" w:rsidRDefault="003016F3" w:rsidP="10C510F9">
      <w:pPr>
        <w:pStyle w:val="Default"/>
        <w:jc w:val="both"/>
        <w:rPr>
          <w:rFonts w:ascii="Times New Roman" w:hAnsi="Times New Roman" w:cs="Times New Roman"/>
          <w:sz w:val="16"/>
          <w:szCs w:val="16"/>
        </w:rPr>
      </w:pPr>
      <w:r w:rsidRPr="005C4213">
        <w:rPr>
          <w:rStyle w:val="FootnoteReference"/>
          <w:rFonts w:ascii="Times New Roman" w:hAnsi="Times New Roman" w:cs="Times New Roman"/>
          <w:sz w:val="20"/>
          <w:szCs w:val="20"/>
        </w:rPr>
        <w:footnoteRef/>
      </w:r>
      <w:r w:rsidRPr="10C510F9">
        <w:rPr>
          <w:rFonts w:eastAsiaTheme="minorEastAsia"/>
          <w:color w:val="auto"/>
          <w:sz w:val="16"/>
          <w:szCs w:val="16"/>
          <w:vertAlign w:val="superscript"/>
          <w:lang w:val="en-GB" w:eastAsia="en-US"/>
        </w:rPr>
        <w:t xml:space="preserve"> </w:t>
      </w:r>
      <w:r>
        <w:rPr>
          <w:rFonts w:eastAsiaTheme="minorEastAsia"/>
          <w:color w:val="auto"/>
          <w:sz w:val="16"/>
          <w:szCs w:val="16"/>
          <w:vertAlign w:val="superscript"/>
          <w:lang w:val="en-GB" w:eastAsia="en-US"/>
        </w:rPr>
        <w:t xml:space="preserve"> </w:t>
      </w:r>
      <w:r w:rsidRPr="005C4213">
        <w:rPr>
          <w:rFonts w:ascii="Times New Roman" w:hAnsi="Times New Roman" w:cs="Times New Roman"/>
          <w:sz w:val="16"/>
          <w:szCs w:val="16"/>
        </w:rPr>
        <w:t xml:space="preserve">According to MICA: ‘crypto-asset service’ means any of the services and activities listed below relating to any crypto-asset: </w:t>
      </w:r>
    </w:p>
    <w:p w14:paraId="0A084259" w14:textId="77777777" w:rsidR="003016F3" w:rsidRPr="005C4213" w:rsidRDefault="003016F3" w:rsidP="10C510F9">
      <w:pPr>
        <w:spacing w:after="0"/>
        <w:jc w:val="both"/>
        <w:rPr>
          <w:rFonts w:ascii="Times New Roman" w:eastAsia="Times New Roman" w:hAnsi="Times New Roman" w:cs="Times New Roman"/>
          <w:color w:val="000000"/>
          <w:sz w:val="16"/>
          <w:szCs w:val="16"/>
          <w:lang w:eastAsia="en-GB"/>
        </w:rPr>
      </w:pPr>
      <w:r w:rsidRPr="005C4213">
        <w:rPr>
          <w:rFonts w:ascii="Times New Roman" w:eastAsia="Times New Roman" w:hAnsi="Times New Roman" w:cs="Times New Roman"/>
          <w:color w:val="000000"/>
          <w:sz w:val="16"/>
          <w:szCs w:val="16"/>
          <w:lang w:eastAsia="en-GB"/>
        </w:rPr>
        <w:t>(a) the custody and administration of crypto-assets on behalf of third parties; (b) the operation of a trading platform for crypto-assets; (c) the exchange of crypto-assets for fiat currency that is legal tender; (d) the exchange of crypto-assets for other crypto-assets; (e) the execution of orders for crypto-assets on behalf of third parties; (f) placing of crypto-assets; (g) the reception and transmission of orders for crypto-assets on behalf of third parties; (h) providing advice on crypto-assets.</w:t>
      </w:r>
    </w:p>
  </w:footnote>
  <w:footnote w:id="27">
    <w:p w14:paraId="79E60D78" w14:textId="77777777" w:rsidR="003016F3" w:rsidRPr="005C4213" w:rsidRDefault="003016F3" w:rsidP="005C4213">
      <w:pPr>
        <w:pStyle w:val="FootnoteText"/>
        <w:jc w:val="left"/>
        <w:rPr>
          <w:rFonts w:eastAsia="Times New Roman" w:cs="Times New Roman"/>
          <w:color w:val="000000"/>
          <w:sz w:val="16"/>
          <w:szCs w:val="16"/>
          <w:lang w:val="en-US" w:eastAsia="en-GB"/>
        </w:rPr>
      </w:pPr>
      <w:r w:rsidRPr="005C4213">
        <w:rPr>
          <w:rStyle w:val="FootnoteReference"/>
          <w:rFonts w:eastAsia="Times New Roman" w:cs="Times New Roman"/>
          <w:color w:val="000000"/>
          <w:lang w:val="en-US" w:eastAsia="en-GB"/>
        </w:rPr>
        <w:footnoteRef/>
      </w:r>
      <w:r w:rsidRPr="005C4213">
        <w:rPr>
          <w:rStyle w:val="FootnoteReference"/>
          <w:rFonts w:eastAsia="Times New Roman" w:cs="Times New Roman"/>
          <w:color w:val="000000"/>
          <w:lang w:val="en-US" w:eastAsia="en-GB"/>
        </w:rPr>
        <w:t xml:space="preserve"> </w:t>
      </w:r>
      <w:r w:rsidRPr="005C4213">
        <w:rPr>
          <w:rFonts w:eastAsia="Times New Roman" w:cs="Times New Roman"/>
          <w:color w:val="000000"/>
          <w:sz w:val="16"/>
          <w:szCs w:val="16"/>
          <w:lang w:val="en-US" w:eastAsia="en-GB"/>
        </w:rPr>
        <w:t>Definition of “Virtual assets service providers”, retrieved from: https://www.fatf-gafi.org/media/fatf/documents/recommendations/pdfs/FATF%20Recommendations%202012.pdf</w:t>
      </w:r>
    </w:p>
  </w:footnote>
  <w:footnote w:id="28">
    <w:p w14:paraId="099FBD31" w14:textId="77777777" w:rsidR="003016F3" w:rsidRPr="005C4213" w:rsidRDefault="003016F3" w:rsidP="10C510F9">
      <w:pPr>
        <w:pStyle w:val="FootnoteText"/>
        <w:rPr>
          <w:rFonts w:eastAsia="Times New Roman" w:cs="Times New Roman"/>
          <w:color w:val="000000"/>
          <w:sz w:val="16"/>
          <w:szCs w:val="16"/>
          <w:lang w:val="en-US" w:eastAsia="en-GB"/>
        </w:rPr>
      </w:pPr>
      <w:r w:rsidRPr="005C4213">
        <w:rPr>
          <w:rStyle w:val="FootnoteReference"/>
          <w:rFonts w:eastAsia="Times New Roman" w:cs="Times New Roman"/>
          <w:color w:val="000000"/>
          <w:lang w:val="en-US" w:eastAsia="en-GB"/>
        </w:rPr>
        <w:footnoteRef/>
      </w:r>
      <w:r>
        <w:t xml:space="preserve"> </w:t>
      </w:r>
      <w:r w:rsidRPr="005C4213">
        <w:rPr>
          <w:rFonts w:eastAsia="Times New Roman" w:cs="Times New Roman"/>
          <w:color w:val="000000"/>
          <w:sz w:val="16"/>
          <w:szCs w:val="16"/>
          <w:lang w:val="en-US" w:eastAsia="en-GB"/>
        </w:rPr>
        <w:t>Anti-money laundering/know your client</w:t>
      </w:r>
    </w:p>
  </w:footnote>
  <w:footnote w:id="29">
    <w:p w14:paraId="5029B95F" w14:textId="77777777" w:rsidR="003016F3" w:rsidRPr="005C4213" w:rsidRDefault="003016F3" w:rsidP="10C510F9">
      <w:pPr>
        <w:pStyle w:val="FootnoteText"/>
        <w:rPr>
          <w:rFonts w:eastAsia="Times New Roman" w:cs="Times New Roman"/>
          <w:color w:val="000000"/>
          <w:sz w:val="16"/>
          <w:szCs w:val="16"/>
          <w:lang w:val="en-US" w:eastAsia="en-GB"/>
        </w:rPr>
      </w:pPr>
      <w:r w:rsidRPr="005C4213">
        <w:rPr>
          <w:rStyle w:val="FootnoteReference"/>
          <w:rFonts w:eastAsia="Times New Roman" w:cs="Times New Roman"/>
          <w:color w:val="000000"/>
          <w:lang w:val="en-US" w:eastAsia="en-GB"/>
        </w:rPr>
        <w:footnoteRef/>
      </w:r>
      <w:r>
        <w:t xml:space="preserve"> </w:t>
      </w:r>
      <w:r w:rsidRPr="005C4213">
        <w:rPr>
          <w:rFonts w:eastAsia="Times New Roman" w:cs="Times New Roman"/>
          <w:color w:val="000000"/>
          <w:sz w:val="16"/>
          <w:szCs w:val="16"/>
          <w:lang w:val="en-US" w:eastAsia="en-GB"/>
        </w:rPr>
        <w:t>It should be noted that CASPs that would be subject to an equivalent reporting standard, following agreement in the OECD negotiations, may be excluded from the scope of an EU standard. This would require an equivalence decision from the EU, similar to what has been adopted in the context of DAC 7 for reporting by non-EU digital platform operators.</w:t>
      </w:r>
    </w:p>
  </w:footnote>
  <w:footnote w:id="30">
    <w:p w14:paraId="6BB950AB" w14:textId="77777777" w:rsidR="003016F3" w:rsidRDefault="003016F3" w:rsidP="10C510F9">
      <w:pPr>
        <w:pStyle w:val="FootnoteText"/>
        <w:rPr>
          <w:lang w:val="en-IE"/>
        </w:rPr>
      </w:pPr>
      <w:r w:rsidRPr="10C510F9">
        <w:rPr>
          <w:rStyle w:val="FootnoteReference"/>
        </w:rPr>
        <w:footnoteRef/>
      </w:r>
      <w:r w:rsidRPr="10C510F9">
        <w:rPr>
          <w:sz w:val="16"/>
          <w:szCs w:val="16"/>
        </w:rPr>
        <w:t xml:space="preserve"> According to Title V (articles 53 to 75) of MICA: CASPs will need to have a registered office in a Member State of the Union and obtain an administrative authorisation to operate in the EU in accordance with article 55. In some cases, they may be subject to additional requirements.</w:t>
      </w:r>
    </w:p>
  </w:footnote>
  <w:footnote w:id="31">
    <w:p w14:paraId="3F58A42F" w14:textId="77777777" w:rsidR="003016F3" w:rsidRDefault="003016F3" w:rsidP="10C510F9">
      <w:pPr>
        <w:pStyle w:val="FootnoteText"/>
      </w:pPr>
      <w:r w:rsidRPr="10C510F9">
        <w:rPr>
          <w:rStyle w:val="FootnoteReference"/>
        </w:rPr>
        <w:footnoteRef/>
      </w:r>
      <w:r>
        <w:t xml:space="preserve"> </w:t>
      </w:r>
      <w:r w:rsidRPr="10C510F9">
        <w:rPr>
          <w:sz w:val="16"/>
          <w:szCs w:val="16"/>
        </w:rPr>
        <w:t>A transfer is the movement of a crypto-asset to a different wallet. These wallets can be the so-called cold wallets which are not managed by CASPs but by the users itself, or a wallet managed by a different CASPs. All transfers and transactions are performed via blockchain.</w:t>
      </w:r>
    </w:p>
  </w:footnote>
  <w:footnote w:id="32">
    <w:p w14:paraId="469F86DA" w14:textId="77777777" w:rsidR="003016F3" w:rsidRPr="0097262B" w:rsidRDefault="003016F3">
      <w:pPr>
        <w:pStyle w:val="FootnoteText"/>
      </w:pPr>
      <w:r>
        <w:rPr>
          <w:rStyle w:val="FootnoteReference"/>
        </w:rPr>
        <w:footnoteRef/>
      </w:r>
      <w:r>
        <w:t xml:space="preserve"> </w:t>
      </w:r>
      <w:r w:rsidRPr="0097262B">
        <w:t xml:space="preserve">See Annex </w:t>
      </w:r>
      <w:r>
        <w:t>5.</w:t>
      </w:r>
    </w:p>
  </w:footnote>
  <w:footnote w:id="33">
    <w:p w14:paraId="7105229F" w14:textId="77777777" w:rsidR="003016F3" w:rsidRPr="00A25ECA" w:rsidRDefault="003016F3">
      <w:pPr>
        <w:pStyle w:val="FootnoteText"/>
      </w:pPr>
      <w:r>
        <w:rPr>
          <w:rStyle w:val="FootnoteReference"/>
        </w:rPr>
        <w:footnoteRef/>
      </w:r>
      <w:r>
        <w:t xml:space="preserve"> As defined in </w:t>
      </w:r>
      <w:r w:rsidRPr="00A25ECA">
        <w:t>Commission Recommendation of 6 May 2003 concerning the definition of micro, small and medium-sized enterprises OJ L 124, 20.5.2003, p. 36</w:t>
      </w:r>
      <w:r>
        <w:t>.</w:t>
      </w:r>
    </w:p>
  </w:footnote>
  <w:footnote w:id="34">
    <w:p w14:paraId="6D0E2E43" w14:textId="77777777" w:rsidR="003016F3" w:rsidRDefault="003016F3">
      <w:pPr>
        <w:pStyle w:val="FootnoteText"/>
      </w:pPr>
      <w:r w:rsidRPr="005C4213">
        <w:rPr>
          <w:rStyle w:val="FootnoteReference"/>
        </w:rPr>
        <w:footnoteRef/>
      </w:r>
      <w:r w:rsidRPr="00791141">
        <w:rPr>
          <w:sz w:val="16"/>
          <w:szCs w:val="16"/>
        </w:rPr>
        <w:t xml:space="preserve"> Capital gains can be realised or unrealised. The latter is not being addressed </w:t>
      </w:r>
      <w:r>
        <w:rPr>
          <w:sz w:val="16"/>
          <w:szCs w:val="16"/>
        </w:rPr>
        <w:t xml:space="preserve">in this section </w:t>
      </w:r>
      <w:r w:rsidRPr="00791141">
        <w:rPr>
          <w:sz w:val="16"/>
          <w:szCs w:val="16"/>
        </w:rPr>
        <w:t>as only realised capital gains concern the analysis.</w:t>
      </w:r>
    </w:p>
  </w:footnote>
  <w:footnote w:id="35">
    <w:p w14:paraId="5411ADF6" w14:textId="77777777" w:rsidR="003016F3" w:rsidRPr="00FC5A00" w:rsidRDefault="003016F3" w:rsidP="00572424">
      <w:pPr>
        <w:pStyle w:val="FootnoteText"/>
        <w:rPr>
          <w:rFonts w:cs="Times New Roman"/>
          <w:sz w:val="16"/>
          <w:szCs w:val="16"/>
        </w:rPr>
      </w:pPr>
      <w:r w:rsidRPr="005C4213">
        <w:rPr>
          <w:rStyle w:val="FootnoteReference"/>
        </w:rPr>
        <w:footnoteRef/>
      </w:r>
      <w:r w:rsidRPr="00FC5A00">
        <w:rPr>
          <w:rFonts w:cs="Times New Roman"/>
          <w:sz w:val="16"/>
          <w:szCs w:val="16"/>
        </w:rPr>
        <w:t xml:space="preserve"> Hungerford (2010). “The Redistributive Effect of Selected Federal Transfer and Tax Provisions”</w:t>
      </w:r>
      <w:r>
        <w:rPr>
          <w:rFonts w:cs="Times New Roman"/>
          <w:sz w:val="16"/>
          <w:szCs w:val="16"/>
        </w:rPr>
        <w:t>.</w:t>
      </w:r>
    </w:p>
  </w:footnote>
  <w:footnote w:id="36">
    <w:p w14:paraId="454B8651" w14:textId="77777777" w:rsidR="003016F3" w:rsidRPr="000D791F" w:rsidRDefault="003016F3" w:rsidP="00572424">
      <w:pPr>
        <w:pStyle w:val="FootnoteText"/>
        <w:rPr>
          <w:rFonts w:cs="Times New Roman"/>
        </w:rPr>
      </w:pPr>
      <w:r w:rsidRPr="005C4213">
        <w:rPr>
          <w:rStyle w:val="FootnoteReference"/>
        </w:rPr>
        <w:footnoteRef/>
      </w:r>
      <w:r w:rsidRPr="005C4213">
        <w:rPr>
          <w:rStyle w:val="FootnoteReference"/>
        </w:rPr>
        <w:t xml:space="preserve"> </w:t>
      </w:r>
      <w:r w:rsidRPr="00D603CB">
        <w:rPr>
          <w:rFonts w:cs="Times New Roman"/>
          <w:sz w:val="16"/>
          <w:szCs w:val="16"/>
        </w:rPr>
        <w:t xml:space="preserve">Thiemann </w:t>
      </w:r>
      <w:r w:rsidRPr="00FC5A00">
        <w:rPr>
          <w:rFonts w:cs="Times New Roman"/>
          <w:sz w:val="16"/>
          <w:szCs w:val="16"/>
        </w:rPr>
        <w:t>(2021). Cryptocurrencies</w:t>
      </w:r>
      <w:r w:rsidRPr="00D603CB">
        <w:rPr>
          <w:rFonts w:cs="Times New Roman"/>
          <w:sz w:val="16"/>
          <w:szCs w:val="16"/>
        </w:rPr>
        <w:t>: An empirical view from a tax perspective, JRC Working Papers on Taxation and Structural Reforms, No 12.</w:t>
      </w:r>
      <w:r w:rsidRPr="00FC5A00">
        <w:rPr>
          <w:rFonts w:cs="Times New Roman"/>
          <w:sz w:val="16"/>
          <w:szCs w:val="16"/>
        </w:rPr>
        <w:t xml:space="preserve"> </w:t>
      </w:r>
    </w:p>
  </w:footnote>
  <w:footnote w:id="37">
    <w:p w14:paraId="7D6CA3FE" w14:textId="77777777" w:rsidR="003016F3" w:rsidRDefault="003016F3" w:rsidP="00572424">
      <w:pPr>
        <w:pStyle w:val="FootnoteText"/>
      </w:pPr>
      <w:r w:rsidRPr="005C4213">
        <w:rPr>
          <w:rStyle w:val="FootnoteReference"/>
        </w:rPr>
        <w:footnoteRef/>
      </w:r>
      <w:r w:rsidRPr="005C4213">
        <w:rPr>
          <w:rStyle w:val="FootnoteReference"/>
        </w:rPr>
        <w:t xml:space="preserve"> </w:t>
      </w:r>
      <w:r w:rsidRPr="00EF640C">
        <w:rPr>
          <w:rFonts w:cs="Times New Roman"/>
          <w:sz w:val="16"/>
          <w:szCs w:val="16"/>
        </w:rPr>
        <w:t>The an</w:t>
      </w:r>
      <w:r w:rsidRPr="00F53214">
        <w:rPr>
          <w:rFonts w:cs="Times New Roman"/>
          <w:sz w:val="16"/>
          <w:szCs w:val="16"/>
        </w:rPr>
        <w:t xml:space="preserve">alysis includes capital losses, but the </w:t>
      </w:r>
      <w:r w:rsidRPr="00EF640C">
        <w:rPr>
          <w:rFonts w:cs="Times New Roman"/>
          <w:sz w:val="16"/>
          <w:szCs w:val="16"/>
        </w:rPr>
        <w:t>aggregate outcome is positive (i.e. capital gains).</w:t>
      </w:r>
    </w:p>
  </w:footnote>
  <w:footnote w:id="38">
    <w:p w14:paraId="4BDC4DEB" w14:textId="77777777" w:rsidR="003016F3" w:rsidRDefault="003016F3">
      <w:pPr>
        <w:pStyle w:val="FootnoteText"/>
      </w:pPr>
      <w:r>
        <w:rPr>
          <w:rStyle w:val="FootnoteReference"/>
        </w:rPr>
        <w:footnoteRef/>
      </w:r>
      <w:r>
        <w:t xml:space="preserve"> </w:t>
      </w:r>
      <w:r w:rsidRPr="00931BFE">
        <w:rPr>
          <w:rFonts w:cs="Times New Roman"/>
          <w:sz w:val="16"/>
          <w:szCs w:val="16"/>
        </w:rPr>
        <w:t>Chainalysis has been commissioned by various governments, research agencies, financial institutions and insurance and cybersecurity companies worldwide</w:t>
      </w:r>
      <w:r>
        <w:rPr>
          <w:rFonts w:cs="Times New Roman"/>
          <w:sz w:val="16"/>
          <w:szCs w:val="16"/>
        </w:rPr>
        <w:t>, but even them experience limitations in collecting data (e.g. the use of VPN networks that hide the true location of transacting parties).</w:t>
      </w:r>
    </w:p>
  </w:footnote>
  <w:footnote w:id="39">
    <w:p w14:paraId="5DA619F2" w14:textId="77777777" w:rsidR="003016F3" w:rsidRPr="00FC5A00" w:rsidRDefault="003016F3" w:rsidP="00630A3F">
      <w:pPr>
        <w:pStyle w:val="FootnoteText"/>
        <w:rPr>
          <w:sz w:val="16"/>
          <w:szCs w:val="16"/>
        </w:rPr>
      </w:pPr>
      <w:r w:rsidRPr="005C4213">
        <w:rPr>
          <w:rStyle w:val="FootnoteReference"/>
          <w:rFonts w:cs="Times New Roman"/>
        </w:rPr>
        <w:footnoteRef/>
      </w:r>
      <w:r w:rsidRPr="00FC5A00">
        <w:rPr>
          <w:rStyle w:val="FootnoteReference"/>
          <w:rFonts w:cs="Times New Roman"/>
          <w:sz w:val="16"/>
          <w:szCs w:val="16"/>
        </w:rPr>
        <w:t xml:space="preserve"> </w:t>
      </w:r>
      <w:r w:rsidRPr="00FC5A00">
        <w:rPr>
          <w:rStyle w:val="FootnoteReference"/>
          <w:rFonts w:cs="Times New Roman"/>
          <w:sz w:val="16"/>
          <w:szCs w:val="16"/>
          <w:vertAlign w:val="baseline"/>
        </w:rPr>
        <w:t>Evaluation of the Council Directive 2011/16/EU (2019).</w:t>
      </w:r>
    </w:p>
  </w:footnote>
  <w:footnote w:id="40">
    <w:p w14:paraId="483E3021" w14:textId="77777777" w:rsidR="003016F3" w:rsidRPr="00A17B06" w:rsidRDefault="003016F3" w:rsidP="00D6384C">
      <w:pPr>
        <w:pStyle w:val="FootnoteText"/>
        <w:rPr>
          <w:rFonts w:cs="Times New Roman"/>
          <w:sz w:val="16"/>
          <w:szCs w:val="16"/>
        </w:rPr>
      </w:pPr>
      <w:r w:rsidRPr="005C4213">
        <w:rPr>
          <w:rStyle w:val="FootnoteReference"/>
          <w:rFonts w:cs="Times New Roman"/>
        </w:rPr>
        <w:footnoteRef/>
      </w:r>
      <w:r w:rsidRPr="005C4213">
        <w:rPr>
          <w:rStyle w:val="FootnoteReference"/>
        </w:rPr>
        <w:t xml:space="preserve"> </w:t>
      </w:r>
      <w:r w:rsidRPr="00931BFE">
        <w:rPr>
          <w:rFonts w:cs="Times New Roman"/>
          <w:sz w:val="16"/>
          <w:szCs w:val="16"/>
        </w:rPr>
        <w:t xml:space="preserve">The costs will likely benefit from the effects of the economy of scale: </w:t>
      </w:r>
      <w:r>
        <w:rPr>
          <w:rFonts w:cs="Times New Roman"/>
          <w:sz w:val="16"/>
          <w:szCs w:val="16"/>
        </w:rPr>
        <w:t>d</w:t>
      </w:r>
      <w:r w:rsidRPr="00A17B06">
        <w:rPr>
          <w:rFonts w:cs="Times New Roman"/>
          <w:sz w:val="16"/>
          <w:szCs w:val="16"/>
        </w:rPr>
        <w:t>ecreasing marginal costs, so that as more sellers are covered, the price per seller for setting up the system decreases.</w:t>
      </w:r>
    </w:p>
  </w:footnote>
  <w:footnote w:id="41">
    <w:p w14:paraId="14C94C51" w14:textId="77777777" w:rsidR="003016F3" w:rsidRPr="00FC5A00" w:rsidRDefault="003016F3" w:rsidP="00451CD8">
      <w:pPr>
        <w:pStyle w:val="FootnoteText"/>
        <w:jc w:val="left"/>
        <w:rPr>
          <w:sz w:val="16"/>
          <w:szCs w:val="16"/>
        </w:rPr>
      </w:pPr>
      <w:r w:rsidRPr="005C4213">
        <w:rPr>
          <w:rStyle w:val="FootnoteReference"/>
          <w:rFonts w:cs="Times New Roman"/>
        </w:rPr>
        <w:footnoteRef/>
      </w:r>
      <w:r w:rsidRPr="00FC5A00">
        <w:rPr>
          <w:rFonts w:cs="Times New Roman"/>
          <w:sz w:val="16"/>
          <w:szCs w:val="16"/>
        </w:rPr>
        <w:t xml:space="preserve"> “Tax fraud: 75% of Europeans want EU to do more to fight it”, European Parliament News, 29-07-2016. </w:t>
      </w:r>
      <w:hyperlink r:id="rId3" w:history="1">
        <w:r w:rsidRPr="00FC5A00">
          <w:rPr>
            <w:rStyle w:val="Hyperlink"/>
            <w:rFonts w:cs="Times New Roman"/>
            <w:sz w:val="16"/>
            <w:szCs w:val="16"/>
          </w:rPr>
          <w:t>https://www.europarl.europa.eu/news/en/headlines/economy/20160707STO36204/tax-fraud-75-of-europeans-want-eu-to-do-more-to-fight-it</w:t>
        </w:r>
      </w:hyperlink>
      <w:r w:rsidRPr="00FC5A00">
        <w:rPr>
          <w:sz w:val="16"/>
          <w:szCs w:val="16"/>
        </w:rPr>
        <w:t xml:space="preserve"> </w:t>
      </w:r>
    </w:p>
  </w:footnote>
  <w:footnote w:id="42">
    <w:p w14:paraId="0981693D" w14:textId="77777777" w:rsidR="003016F3" w:rsidRPr="00FC5A00" w:rsidRDefault="003016F3" w:rsidP="00572424">
      <w:pPr>
        <w:pStyle w:val="FootnoteText"/>
        <w:rPr>
          <w:rFonts w:cs="Times New Roman"/>
          <w:sz w:val="16"/>
          <w:szCs w:val="16"/>
        </w:rPr>
      </w:pPr>
      <w:r w:rsidRPr="005C4213">
        <w:rPr>
          <w:rStyle w:val="FootnoteReference"/>
          <w:rFonts w:cs="Times New Roman"/>
        </w:rPr>
        <w:footnoteRef/>
      </w:r>
      <w:r w:rsidRPr="00FC5A00">
        <w:rPr>
          <w:rFonts w:cs="Times New Roman"/>
          <w:sz w:val="16"/>
          <w:szCs w:val="16"/>
        </w:rPr>
        <w:t xml:space="preserve"> Information obtained during the stakeholder consultation process.</w:t>
      </w:r>
    </w:p>
  </w:footnote>
  <w:footnote w:id="43">
    <w:p w14:paraId="44AF0A46" w14:textId="20281F54" w:rsidR="003016F3" w:rsidRDefault="003016F3" w:rsidP="00572424">
      <w:pPr>
        <w:pStyle w:val="FootnoteText"/>
      </w:pPr>
      <w:r w:rsidRPr="005C4213">
        <w:rPr>
          <w:rStyle w:val="FootnoteReference"/>
          <w:rFonts w:cs="Times New Roman"/>
        </w:rPr>
        <w:footnoteRef/>
      </w:r>
      <w:r w:rsidRPr="00FC5A00">
        <w:rPr>
          <w:rFonts w:cs="Times New Roman"/>
          <w:sz w:val="16"/>
          <w:szCs w:val="16"/>
        </w:rPr>
        <w:t xml:space="preserve"> European Commission</w:t>
      </w:r>
      <w:r>
        <w:rPr>
          <w:rFonts w:cs="Times New Roman"/>
          <w:sz w:val="16"/>
          <w:szCs w:val="16"/>
        </w:rPr>
        <w:t>.</w:t>
      </w:r>
      <w:r w:rsidRPr="00FC5A00">
        <w:rPr>
          <w:rFonts w:cs="Times New Roman"/>
          <w:sz w:val="16"/>
          <w:szCs w:val="16"/>
        </w:rPr>
        <w:t xml:space="preserve"> (2018). Report from the Commission to the European Parliament and the Council on overview and assessment of the statistics and information on the automatic exchanges in the field of direct taxation COM</w:t>
      </w:r>
      <w:r w:rsidR="00507449">
        <w:rPr>
          <w:rFonts w:cs="Times New Roman"/>
          <w:sz w:val="16"/>
          <w:szCs w:val="16"/>
        </w:rPr>
        <w:t>(</w:t>
      </w:r>
      <w:r w:rsidRPr="00FC5A00">
        <w:rPr>
          <w:rFonts w:cs="Times New Roman"/>
          <w:sz w:val="16"/>
          <w:szCs w:val="16"/>
        </w:rPr>
        <w:t>2018</w:t>
      </w:r>
      <w:r w:rsidR="00507449">
        <w:rPr>
          <w:rFonts w:cs="Times New Roman"/>
          <w:sz w:val="16"/>
          <w:szCs w:val="16"/>
        </w:rPr>
        <w:t>)</w:t>
      </w:r>
      <w:r w:rsidRPr="00FC5A00">
        <w:rPr>
          <w:rFonts w:cs="Times New Roman"/>
          <w:sz w:val="16"/>
          <w:szCs w:val="16"/>
        </w:rPr>
        <w:t>844 final.</w:t>
      </w:r>
    </w:p>
  </w:footnote>
  <w:footnote w:id="44">
    <w:p w14:paraId="0A29F35A" w14:textId="77777777" w:rsidR="003016F3" w:rsidRDefault="003016F3">
      <w:pPr>
        <w:pStyle w:val="FootnoteText"/>
      </w:pPr>
      <w:r w:rsidRPr="005C4213">
        <w:rPr>
          <w:rStyle w:val="FootnoteReference"/>
        </w:rPr>
        <w:footnoteRef/>
      </w:r>
      <w:r w:rsidRPr="005C4213">
        <w:t xml:space="preserve"> </w:t>
      </w:r>
      <w:r w:rsidRPr="00CA3A68">
        <w:rPr>
          <w:sz w:val="16"/>
          <w:szCs w:val="16"/>
        </w:rPr>
        <w:t>Estimated impacts may look at the amount, range or degree of a certain criteria. Limited indicates impacts that are not quite great, sizeable refers to ones that are large, considerable or substantial, while strong indicates extremely powerful impacts.</w:t>
      </w:r>
    </w:p>
  </w:footnote>
  <w:footnote w:id="45">
    <w:p w14:paraId="066987F5" w14:textId="77777777" w:rsidR="003016F3" w:rsidRPr="008E2DB3" w:rsidRDefault="003016F3" w:rsidP="00292CCD">
      <w:pPr>
        <w:pStyle w:val="FootnoteText"/>
        <w:rPr>
          <w:rStyle w:val="FootnoteReference"/>
          <w:sz w:val="16"/>
          <w:szCs w:val="16"/>
          <w:vertAlign w:val="baseline"/>
        </w:rPr>
      </w:pPr>
      <w:r w:rsidRPr="005C4213">
        <w:rPr>
          <w:rStyle w:val="FootnoteReference"/>
        </w:rPr>
        <w:footnoteRef/>
      </w:r>
      <w:r w:rsidRPr="00BA53D5">
        <w:rPr>
          <w:rStyle w:val="FootnoteReference"/>
          <w:sz w:val="16"/>
          <w:szCs w:val="16"/>
        </w:rPr>
        <w:t xml:space="preserve"> </w:t>
      </w:r>
      <w:r w:rsidRPr="008E2DB3">
        <w:rPr>
          <w:rStyle w:val="FootnoteReference"/>
          <w:sz w:val="16"/>
          <w:szCs w:val="16"/>
          <w:vertAlign w:val="baseline"/>
        </w:rPr>
        <w:t>The granularity of information reported plays an important role when accounting for both benefits and costs. The more data is transmitted to tax administrations, the more transparency is provided, leading to a higher degree of discretion when shaping tax policies. At the same time, though, the authorities are likely to become overflown with data, which can likely decrease their ability to properly analyse the received information.</w:t>
      </w:r>
    </w:p>
  </w:footnote>
  <w:footnote w:id="46">
    <w:p w14:paraId="199187B1" w14:textId="77777777" w:rsidR="003016F3" w:rsidRPr="004568B5" w:rsidRDefault="003016F3" w:rsidP="005856FF">
      <w:pPr>
        <w:pStyle w:val="FootnoteText"/>
        <w:rPr>
          <w:sz w:val="16"/>
          <w:szCs w:val="16"/>
          <w:lang w:val="en-US"/>
        </w:rPr>
      </w:pPr>
      <w:r w:rsidRPr="005C4213">
        <w:rPr>
          <w:rStyle w:val="FootnoteReference"/>
        </w:rPr>
        <w:footnoteRef/>
      </w:r>
      <w:r w:rsidRPr="005C4213">
        <w:t xml:space="preserve"> </w:t>
      </w:r>
      <w:r w:rsidRPr="00FC5A00">
        <w:rPr>
          <w:sz w:val="16"/>
          <w:szCs w:val="16"/>
        </w:rPr>
        <w:t>The first report on the application of the D</w:t>
      </w:r>
      <w:r>
        <w:rPr>
          <w:sz w:val="16"/>
          <w:szCs w:val="16"/>
        </w:rPr>
        <w:t>AC</w:t>
      </w:r>
      <w:r w:rsidRPr="00FC5A00">
        <w:rPr>
          <w:sz w:val="16"/>
          <w:szCs w:val="16"/>
        </w:rPr>
        <w:t xml:space="preserve"> was due by 1 January 2018. Report from the Commission to the European Parliament and the Council on the application of Council Directive (EU) 2011/16/EU on administrative cooperation in the field of direct taxation. COM/2017/0781 final. The second report is due by 2023.</w:t>
      </w:r>
    </w:p>
  </w:footnote>
  <w:footnote w:id="47">
    <w:p w14:paraId="7F0F41ED" w14:textId="77777777" w:rsidR="003016F3" w:rsidRPr="00F42C0E" w:rsidRDefault="003016F3" w:rsidP="005C4213">
      <w:pPr>
        <w:spacing w:after="0" w:line="240" w:lineRule="auto"/>
        <w:rPr>
          <w:rFonts w:ascii="Times New Roman" w:eastAsia="Times New Roman" w:hAnsi="Times New Roman" w:cs="Times New Roman"/>
        </w:rPr>
      </w:pPr>
      <w:r w:rsidRPr="005C4213">
        <w:rPr>
          <w:rStyle w:val="FootnoteReference"/>
          <w:rFonts w:ascii="Times New Roman" w:hAnsi="Times New Roman" w:cs="Times New Roman"/>
          <w:sz w:val="20"/>
          <w:szCs w:val="20"/>
        </w:rPr>
        <w:footnoteRef/>
      </w:r>
      <w:r w:rsidRPr="005B0C83">
        <w:rPr>
          <w:rFonts w:ascii="Times New Roman" w:hAnsi="Times New Roman" w:cs="Times New Roman"/>
          <w:sz w:val="16"/>
          <w:szCs w:val="16"/>
        </w:rPr>
        <w:t xml:space="preserve"> European Commission. (2020). Communication from the Commission to the European Parliament and the Council, </w:t>
      </w:r>
      <w:r w:rsidRPr="00F42C0E">
        <w:rPr>
          <w:rFonts w:ascii="Times New Roman" w:hAnsi="Times New Roman" w:cs="Times New Roman"/>
          <w:sz w:val="16"/>
          <w:szCs w:val="16"/>
        </w:rPr>
        <w:t>An action plan for fair and simple taxation supporting the recovery strategy</w:t>
      </w:r>
      <w:r>
        <w:rPr>
          <w:rFonts w:ascii="Times New Roman" w:hAnsi="Times New Roman" w:cs="Times New Roman"/>
          <w:sz w:val="16"/>
          <w:szCs w:val="16"/>
        </w:rPr>
        <w:t>.</w:t>
      </w:r>
    </w:p>
    <w:p w14:paraId="07611CE2" w14:textId="77777777" w:rsidR="003016F3" w:rsidRPr="00D9633F" w:rsidRDefault="003016F3" w:rsidP="006E5F59">
      <w:pPr>
        <w:pStyle w:val="FootnoteText"/>
        <w:rPr>
          <w:lang w:val="en-IE"/>
        </w:rPr>
      </w:pPr>
    </w:p>
  </w:footnote>
  <w:footnote w:id="48">
    <w:p w14:paraId="339DC047" w14:textId="77777777" w:rsidR="003016F3" w:rsidRPr="00A409B3" w:rsidRDefault="003016F3">
      <w:pPr>
        <w:pStyle w:val="FootnoteText"/>
      </w:pPr>
      <w:r>
        <w:rPr>
          <w:rStyle w:val="FootnoteReference"/>
        </w:rPr>
        <w:footnoteRef/>
      </w:r>
      <w:r>
        <w:t xml:space="preserve"> </w:t>
      </w:r>
      <w:r w:rsidRPr="00181EE5">
        <w:rPr>
          <w:sz w:val="16"/>
          <w:szCs w:val="16"/>
        </w:rPr>
        <w:t xml:space="preserve">See Footnote </w:t>
      </w:r>
      <w:r w:rsidRPr="004F19FC">
        <w:rPr>
          <w:sz w:val="16"/>
          <w:szCs w:val="16"/>
        </w:rPr>
        <w:t>1</w:t>
      </w:r>
      <w:r>
        <w:rPr>
          <w:sz w:val="16"/>
          <w:szCs w:val="16"/>
        </w:rPr>
        <w:t>6</w:t>
      </w:r>
    </w:p>
  </w:footnote>
  <w:footnote w:id="49">
    <w:p w14:paraId="45E623C8" w14:textId="77777777" w:rsidR="003016F3" w:rsidRPr="005C4213" w:rsidRDefault="003016F3" w:rsidP="00425F11">
      <w:pPr>
        <w:pStyle w:val="FootnoteText"/>
        <w:jc w:val="left"/>
        <w:rPr>
          <w:sz w:val="16"/>
          <w:szCs w:val="16"/>
        </w:rPr>
      </w:pPr>
      <w:r>
        <w:rPr>
          <w:rStyle w:val="FootnoteReference"/>
        </w:rPr>
        <w:footnoteRef/>
      </w:r>
      <w:r>
        <w:t xml:space="preserve"> </w:t>
      </w:r>
      <w:hyperlink r:id="rId4" w:history="1">
        <w:r w:rsidRPr="005C4213">
          <w:rPr>
            <w:sz w:val="16"/>
            <w:szCs w:val="16"/>
          </w:rPr>
          <w:t>https://ec.europa.eu/info/law/better-regulation/have-your-say/initiatives/12632-Tax-fraud-evasion-strengthening-rules-on-administrative-cooperation-and-expanding-the-exchange-of-information_en</w:t>
        </w:r>
      </w:hyperlink>
    </w:p>
    <w:p w14:paraId="28F78E24" w14:textId="77777777" w:rsidR="003016F3" w:rsidRPr="005C4213" w:rsidRDefault="003016F3" w:rsidP="006E5F59">
      <w:pPr>
        <w:pStyle w:val="FootnoteText"/>
        <w:rPr>
          <w:sz w:val="16"/>
          <w:szCs w:val="16"/>
        </w:rPr>
      </w:pPr>
    </w:p>
  </w:footnote>
  <w:footnote w:id="50">
    <w:p w14:paraId="3C14D6CA" w14:textId="77777777" w:rsidR="003016F3" w:rsidRPr="005C4213" w:rsidRDefault="003016F3" w:rsidP="006E5F59">
      <w:pPr>
        <w:pStyle w:val="Default"/>
        <w:rPr>
          <w:rFonts w:ascii="Times New Roman" w:eastAsiaTheme="minorHAnsi" w:hAnsi="Times New Roman" w:cstheme="minorBidi"/>
          <w:color w:val="auto"/>
          <w:sz w:val="16"/>
          <w:szCs w:val="16"/>
          <w:lang w:val="en-GB" w:eastAsia="en-US"/>
        </w:rPr>
      </w:pPr>
      <w:r w:rsidRPr="00425F11">
        <w:rPr>
          <w:rStyle w:val="FootnoteReference"/>
          <w:rFonts w:ascii="Times New Roman" w:hAnsi="Times New Roman" w:cs="Times New Roman"/>
          <w:sz w:val="20"/>
          <w:szCs w:val="20"/>
        </w:rPr>
        <w:footnoteRef/>
      </w:r>
      <w:r>
        <w:t xml:space="preserve"> </w:t>
      </w:r>
      <w:r w:rsidRPr="005C4213">
        <w:rPr>
          <w:rFonts w:ascii="Times New Roman" w:eastAsiaTheme="minorHAnsi" w:hAnsi="Times New Roman" w:cstheme="minorBidi"/>
          <w:color w:val="auto"/>
          <w:sz w:val="16"/>
          <w:szCs w:val="16"/>
          <w:lang w:val="en-GB" w:eastAsia="en-US"/>
        </w:rPr>
        <w:t xml:space="preserve">Information on this Commission expert group is available at: </w:t>
      </w:r>
    </w:p>
    <w:p w14:paraId="0680E9D0" w14:textId="77777777" w:rsidR="003016F3" w:rsidRPr="00425F11" w:rsidRDefault="003A04A1" w:rsidP="006E5F59">
      <w:pPr>
        <w:pStyle w:val="FootnoteText"/>
        <w:rPr>
          <w:sz w:val="16"/>
          <w:szCs w:val="16"/>
        </w:rPr>
      </w:pPr>
      <w:hyperlink r:id="rId5" w:history="1">
        <w:r w:rsidR="003016F3" w:rsidRPr="005C4213">
          <w:rPr>
            <w:sz w:val="16"/>
            <w:szCs w:val="16"/>
          </w:rPr>
          <w:t>https://ec.europa.eu/transparency/regexpert/index.cfm?do=groupDetail.groupDetail&amp;groupID=953&amp;NewSearch=1&amp;NewSearch=1</w:t>
        </w:r>
      </w:hyperlink>
    </w:p>
    <w:p w14:paraId="1A968FA8" w14:textId="77777777" w:rsidR="003016F3" w:rsidRPr="006020B1" w:rsidRDefault="003016F3" w:rsidP="006E5F59">
      <w:pPr>
        <w:pStyle w:val="FootnoteText"/>
        <w:rPr>
          <w:lang w:val="en-US"/>
        </w:rPr>
      </w:pPr>
      <w:r w:rsidRPr="006020B1">
        <w:rPr>
          <w:rFonts w:cs="Times New Roman"/>
          <w:color w:val="000000"/>
          <w:lang w:val="en-US"/>
        </w:rPr>
        <w:t xml:space="preserve"> </w:t>
      </w:r>
      <w:r w:rsidRPr="006020B1">
        <w:rPr>
          <w:rFonts w:cs="Times New Roman"/>
          <w:color w:val="000000"/>
          <w:sz w:val="24"/>
          <w:szCs w:val="24"/>
          <w:lang w:val="en-US"/>
        </w:rPr>
        <w:t xml:space="preserve"> </w:t>
      </w:r>
    </w:p>
  </w:footnote>
  <w:footnote w:id="51">
    <w:p w14:paraId="29D05CF7" w14:textId="77777777" w:rsidR="003016F3" w:rsidRDefault="003016F3" w:rsidP="00E53E87">
      <w:pPr>
        <w:pStyle w:val="FootnoteText"/>
        <w:rPr>
          <w:lang w:val="en-IE"/>
        </w:rPr>
      </w:pPr>
      <w:r>
        <w:rPr>
          <w:rStyle w:val="FootnoteReference"/>
        </w:rPr>
        <w:footnoteRef/>
      </w:r>
      <w:r>
        <w:t xml:space="preserve"> Due to existence of EU initiatives relative to crypto-assets, in particular the MiCA Regulation and AML Package (i.e. transfers of Funds Regulation), the estimated costs for DAC8 should be considered an upper bound as there could be commonalities already taken into account in the estimations of those proposals.</w:t>
      </w:r>
    </w:p>
  </w:footnote>
  <w:footnote w:id="52">
    <w:p w14:paraId="4F95B7C7" w14:textId="77777777" w:rsidR="003016F3" w:rsidRPr="00425F11" w:rsidRDefault="003016F3" w:rsidP="00EE2327">
      <w:pPr>
        <w:pStyle w:val="FootnoteText"/>
        <w:rPr>
          <w:rFonts w:cstheme="minorHAnsi"/>
          <w:sz w:val="16"/>
          <w:szCs w:val="16"/>
        </w:rPr>
      </w:pPr>
      <w:r w:rsidRPr="005C4213">
        <w:rPr>
          <w:rStyle w:val="FootnoteReference"/>
          <w:rFonts w:cstheme="minorHAnsi"/>
        </w:rPr>
        <w:footnoteRef/>
      </w:r>
      <w:r w:rsidRPr="005C4213">
        <w:rPr>
          <w:rFonts w:cstheme="minorHAnsi"/>
        </w:rPr>
        <w:t xml:space="preserve"> </w:t>
      </w:r>
      <w:r w:rsidRPr="00425F11">
        <w:rPr>
          <w:rFonts w:cstheme="minorHAnsi"/>
          <w:sz w:val="16"/>
          <w:szCs w:val="16"/>
        </w:rPr>
        <w:t>Coin Market Cap (2021).</w:t>
      </w:r>
    </w:p>
  </w:footnote>
  <w:footnote w:id="53">
    <w:p w14:paraId="3DB82F3A" w14:textId="77777777" w:rsidR="003016F3" w:rsidRDefault="003016F3" w:rsidP="00B53181">
      <w:pPr>
        <w:pStyle w:val="FootnoteText"/>
      </w:pPr>
      <w:r>
        <w:rPr>
          <w:rStyle w:val="FootnoteReference"/>
        </w:rPr>
        <w:footnoteRef/>
      </w:r>
      <w:r>
        <w:t xml:space="preserve"> </w:t>
      </w:r>
      <w:r w:rsidRPr="003449EB">
        <w:rPr>
          <w:sz w:val="16"/>
          <w:szCs w:val="16"/>
        </w:rPr>
        <w:t>Chainalysis (2021). The 2021 Geography of Cryptocurrency Report. Analysis of Geographic Trends in Cryptocurrency Adoption and Usage.</w:t>
      </w:r>
    </w:p>
  </w:footnote>
  <w:footnote w:id="54">
    <w:p w14:paraId="5DF8870E" w14:textId="77777777" w:rsidR="003016F3" w:rsidRDefault="003016F3">
      <w:pPr>
        <w:pStyle w:val="FootnoteText"/>
      </w:pPr>
      <w:r>
        <w:rPr>
          <w:rStyle w:val="FootnoteReference"/>
        </w:rPr>
        <w:footnoteRef/>
      </w:r>
      <w:r>
        <w:t xml:space="preserve"> </w:t>
      </w:r>
      <w:r w:rsidRPr="003449EB">
        <w:rPr>
          <w:sz w:val="16"/>
          <w:szCs w:val="16"/>
        </w:rPr>
        <w:t>Idem.</w:t>
      </w:r>
    </w:p>
  </w:footnote>
  <w:footnote w:id="55">
    <w:p w14:paraId="22620CC3" w14:textId="77777777" w:rsidR="003016F3" w:rsidRPr="00425F11" w:rsidRDefault="003016F3" w:rsidP="00EE2327">
      <w:pPr>
        <w:pStyle w:val="FootnoteText"/>
        <w:rPr>
          <w:sz w:val="16"/>
          <w:szCs w:val="16"/>
        </w:rPr>
      </w:pPr>
      <w:r>
        <w:rPr>
          <w:rStyle w:val="FootnoteReference"/>
        </w:rPr>
        <w:footnoteRef/>
      </w:r>
      <w:r>
        <w:t xml:space="preserve"> </w:t>
      </w:r>
      <w:r w:rsidRPr="00D603CB">
        <w:rPr>
          <w:sz w:val="16"/>
          <w:szCs w:val="16"/>
        </w:rPr>
        <w:t>Thiemann</w:t>
      </w:r>
      <w:r>
        <w:rPr>
          <w:sz w:val="16"/>
          <w:szCs w:val="16"/>
        </w:rPr>
        <w:t xml:space="preserve"> (2021</w:t>
      </w:r>
      <w:r w:rsidRPr="00D603CB">
        <w:rPr>
          <w:sz w:val="16"/>
          <w:szCs w:val="16"/>
        </w:rPr>
        <w:t>).</w:t>
      </w:r>
      <w:r>
        <w:rPr>
          <w:sz w:val="16"/>
          <w:szCs w:val="16"/>
        </w:rPr>
        <w:t xml:space="preserve"> </w:t>
      </w:r>
      <w:r w:rsidRPr="00425F11">
        <w:rPr>
          <w:sz w:val="16"/>
          <w:szCs w:val="16"/>
        </w:rPr>
        <w:t>Cryptocurrencies</w:t>
      </w:r>
      <w:r w:rsidRPr="00D603CB">
        <w:rPr>
          <w:sz w:val="16"/>
          <w:szCs w:val="16"/>
        </w:rPr>
        <w:t>: An empirical view from a tax perspective, JRC Working Papers on Taxation and Structural Reforms, No 12</w:t>
      </w:r>
      <w:r w:rsidRPr="00A409B3">
        <w:rPr>
          <w:sz w:val="16"/>
          <w:szCs w:val="16"/>
        </w:rPr>
        <w:t xml:space="preserve">, </w:t>
      </w:r>
      <w:r>
        <w:rPr>
          <w:sz w:val="16"/>
          <w:szCs w:val="16"/>
        </w:rPr>
        <w:t>also footnote 16</w:t>
      </w:r>
      <w:r w:rsidRPr="00A409B3">
        <w:rPr>
          <w:sz w:val="16"/>
          <w:szCs w:val="16"/>
        </w:rPr>
        <w:t>.</w:t>
      </w:r>
    </w:p>
  </w:footnote>
  <w:footnote w:id="56">
    <w:p w14:paraId="2690652A" w14:textId="77777777" w:rsidR="003016F3" w:rsidRPr="00425F11" w:rsidRDefault="003016F3" w:rsidP="00EE2327">
      <w:pPr>
        <w:pStyle w:val="FootnoteText"/>
        <w:rPr>
          <w:sz w:val="16"/>
          <w:szCs w:val="16"/>
        </w:rPr>
      </w:pPr>
      <w:r w:rsidRPr="005C4213">
        <w:rPr>
          <w:vertAlign w:val="superscript"/>
        </w:rPr>
        <w:footnoteRef/>
      </w:r>
      <w:r w:rsidRPr="005C4213">
        <w:t xml:space="preserve"> </w:t>
      </w:r>
      <w:r w:rsidRPr="00425F11">
        <w:rPr>
          <w:sz w:val="16"/>
          <w:szCs w:val="16"/>
        </w:rPr>
        <w:t>The analysis includes capital losses. The aggregate outcome is positive however (i.e. capital gains).</w:t>
      </w:r>
    </w:p>
  </w:footnote>
  <w:footnote w:id="57">
    <w:p w14:paraId="0C85CB50" w14:textId="77777777" w:rsidR="003016F3" w:rsidRPr="00425F11" w:rsidRDefault="003016F3" w:rsidP="00EE2327">
      <w:pPr>
        <w:rPr>
          <w:rFonts w:ascii="Times New Roman" w:hAnsi="Times New Roman"/>
          <w:sz w:val="16"/>
          <w:szCs w:val="16"/>
          <w:lang w:val="en-GB"/>
        </w:rPr>
      </w:pPr>
      <w:r w:rsidRPr="005C4213">
        <w:rPr>
          <w:rFonts w:ascii="Times New Roman" w:hAnsi="Times New Roman" w:cs="Times New Roman"/>
          <w:sz w:val="20"/>
          <w:szCs w:val="20"/>
          <w:vertAlign w:val="superscript"/>
        </w:rPr>
        <w:footnoteRef/>
      </w:r>
      <w:r w:rsidRPr="00425F11">
        <w:rPr>
          <w:sz w:val="16"/>
          <w:szCs w:val="16"/>
          <w:vertAlign w:val="superscript"/>
        </w:rPr>
        <w:t xml:space="preserve"> </w:t>
      </w:r>
      <w:r w:rsidRPr="00425F11">
        <w:rPr>
          <w:rFonts w:ascii="Times New Roman" w:hAnsi="Times New Roman"/>
          <w:sz w:val="16"/>
          <w:szCs w:val="16"/>
          <w:lang w:val="en-GB"/>
        </w:rPr>
        <w:t>Hungerford (2010). The Redistributive Effect of Selected Federal Transfer and Tax Provisions.</w:t>
      </w:r>
    </w:p>
    <w:p w14:paraId="03D56161" w14:textId="77777777" w:rsidR="003016F3" w:rsidRPr="00425F11" w:rsidRDefault="003016F3" w:rsidP="00EE2327">
      <w:pPr>
        <w:pStyle w:val="FootnoteText"/>
        <w:rPr>
          <w:sz w:val="16"/>
          <w:szCs w:val="16"/>
          <w:lang w:val="en-US"/>
        </w:rPr>
      </w:pPr>
    </w:p>
  </w:footnote>
  <w:footnote w:id="58">
    <w:p w14:paraId="2C058B40" w14:textId="77777777" w:rsidR="003016F3" w:rsidRPr="00F42C0E" w:rsidRDefault="003016F3" w:rsidP="006E5F59">
      <w:pPr>
        <w:pStyle w:val="FootnoteText"/>
        <w:rPr>
          <w:sz w:val="16"/>
          <w:szCs w:val="16"/>
        </w:rPr>
      </w:pPr>
      <w:r w:rsidRPr="005C4213">
        <w:rPr>
          <w:rStyle w:val="FootnoteReference"/>
          <w:rFonts w:cstheme="minorHAnsi"/>
        </w:rPr>
        <w:footnoteRef/>
      </w:r>
      <w:r w:rsidRPr="005C4213">
        <w:rPr>
          <w:rFonts w:cstheme="minorHAnsi"/>
        </w:rPr>
        <w:t xml:space="preserve"> </w:t>
      </w:r>
      <w:r w:rsidRPr="00F42C0E">
        <w:rPr>
          <w:rFonts w:cstheme="minorHAnsi"/>
          <w:sz w:val="16"/>
          <w:szCs w:val="16"/>
        </w:rPr>
        <w:t>XML schema is u</w:t>
      </w:r>
      <w:r w:rsidRPr="00F42C0E">
        <w:rPr>
          <w:rFonts w:eastAsia="Arial" w:cstheme="minorHAnsi"/>
          <w:color w:val="000000" w:themeColor="text1"/>
          <w:sz w:val="16"/>
          <w:szCs w:val="16"/>
        </w:rPr>
        <w:t>sed to describe and validate the structure and the content of XML data. XML schema defines the elements, attributes and data types. These are filled in with the information to be exchanged under DAC.</w:t>
      </w:r>
    </w:p>
  </w:footnote>
  <w:footnote w:id="59">
    <w:p w14:paraId="755F7388" w14:textId="5C3C14EB" w:rsidR="003016F3" w:rsidRPr="003D20D6" w:rsidRDefault="003016F3">
      <w:pPr>
        <w:pStyle w:val="FootnoteText"/>
      </w:pPr>
      <w:r>
        <w:rPr>
          <w:rStyle w:val="FootnoteReference"/>
        </w:rPr>
        <w:footnoteRef/>
      </w:r>
      <w:r>
        <w:t xml:space="preserve"> </w:t>
      </w:r>
      <w:r w:rsidRPr="00707C8C">
        <w:rPr>
          <w:sz w:val="16"/>
          <w:szCs w:val="16"/>
        </w:rPr>
        <w:t>Those CASPs that are not already authorised and registered under the MiCA registration would be registered in a separate register for direct tax purposes. Member States would feed the register</w:t>
      </w:r>
      <w:r w:rsidRPr="14B6D9EE">
        <w:rPr>
          <w:sz w:val="24"/>
          <w:szCs w:val="24"/>
        </w:rPr>
        <w:t xml:space="preserve"> </w:t>
      </w:r>
      <w:r w:rsidRPr="00707C8C">
        <w:rPr>
          <w:sz w:val="16"/>
          <w:szCs w:val="16"/>
        </w:rPr>
        <w:t>while the Commission services would provide the infrastructure. This is a similar approach to DAC7.</w:t>
      </w:r>
    </w:p>
  </w:footnote>
  <w:footnote w:id="60">
    <w:p w14:paraId="1FE302FA" w14:textId="77777777" w:rsidR="003016F3" w:rsidRPr="00425F11" w:rsidRDefault="003016F3" w:rsidP="006E5F59">
      <w:pPr>
        <w:pStyle w:val="FootnoteText"/>
        <w:rPr>
          <w:sz w:val="16"/>
          <w:szCs w:val="16"/>
        </w:rPr>
      </w:pPr>
      <w:r w:rsidRPr="004418DE">
        <w:rPr>
          <w:vertAlign w:val="superscript"/>
        </w:rPr>
        <w:footnoteRef/>
      </w:r>
      <w:r w:rsidRPr="00425F11">
        <w:rPr>
          <w:sz w:val="16"/>
          <w:szCs w:val="16"/>
        </w:rPr>
        <w:t xml:space="preserve"> </w:t>
      </w:r>
      <w:r>
        <w:rPr>
          <w:sz w:val="16"/>
          <w:szCs w:val="16"/>
        </w:rPr>
        <w:t xml:space="preserve">European </w:t>
      </w:r>
      <w:r w:rsidRPr="00F6210F">
        <w:rPr>
          <w:sz w:val="16"/>
          <w:szCs w:val="16"/>
        </w:rPr>
        <w:t xml:space="preserve">Commission </w:t>
      </w:r>
      <w:r>
        <w:rPr>
          <w:sz w:val="16"/>
          <w:szCs w:val="16"/>
        </w:rPr>
        <w:t xml:space="preserve">(2017). </w:t>
      </w:r>
      <w:r w:rsidRPr="00F42C0E">
        <w:rPr>
          <w:sz w:val="16"/>
          <w:szCs w:val="16"/>
        </w:rPr>
        <w:t>Commission staff working document</w:t>
      </w:r>
      <w:r>
        <w:rPr>
          <w:sz w:val="16"/>
          <w:szCs w:val="16"/>
        </w:rPr>
        <w:t>-</w:t>
      </w:r>
      <w:r w:rsidRPr="00504B4D">
        <w:rPr>
          <w:sz w:val="16"/>
          <w:szCs w:val="16"/>
        </w:rPr>
        <w:t xml:space="preserve"> </w:t>
      </w:r>
      <w:r w:rsidRPr="00F42C0E">
        <w:rPr>
          <w:sz w:val="16"/>
          <w:szCs w:val="16"/>
        </w:rPr>
        <w:t>Impact Assessment Accompanying the document Proposal for a COUNCIL DIRECTIVE amending Directive 2011/16/EU as regards mandatory automatic exchange of information in the field of taxation in relation to reportable cross-border arrangements</w:t>
      </w:r>
      <w:r>
        <w:rPr>
          <w:sz w:val="16"/>
          <w:szCs w:val="16"/>
        </w:rPr>
        <w:t xml:space="preserve">, </w:t>
      </w:r>
      <w:r w:rsidRPr="00DF37D7">
        <w:rPr>
          <w:sz w:val="16"/>
          <w:szCs w:val="16"/>
        </w:rPr>
        <w:t>SWD/2017/0236 final</w:t>
      </w:r>
      <w:r>
        <w:rPr>
          <w:sz w:val="16"/>
          <w:szCs w:val="16"/>
        </w:rPr>
        <w:t>.</w:t>
      </w:r>
      <w:r w:rsidRPr="00DF37D7">
        <w:rPr>
          <w:sz w:val="16"/>
          <w:szCs w:val="16"/>
        </w:rPr>
        <w:t xml:space="preserve"> </w:t>
      </w:r>
    </w:p>
  </w:footnote>
  <w:footnote w:id="61">
    <w:p w14:paraId="62F5E3B2" w14:textId="77777777" w:rsidR="003016F3" w:rsidRDefault="003016F3" w:rsidP="00C77499">
      <w:pPr>
        <w:pStyle w:val="FootnoteText"/>
      </w:pPr>
      <w:r w:rsidRPr="005C4213">
        <w:rPr>
          <w:vertAlign w:val="superscript"/>
        </w:rPr>
        <w:footnoteRef/>
      </w:r>
      <w:r>
        <w:t xml:space="preserve"> </w:t>
      </w:r>
      <w:r w:rsidRPr="00F42C0E">
        <w:rPr>
          <w:sz w:val="16"/>
          <w:szCs w:val="16"/>
        </w:rPr>
        <w:t>European Commission. (2019). Evaluation of the Council Directive 2011/16/EU on administrative cooperation in the field of taxation and repealing Directive 77/799/EEC, SWD(2019) 327 final</w:t>
      </w:r>
      <w:r w:rsidRPr="00CF096D">
        <w:t xml:space="preserve"> </w:t>
      </w:r>
    </w:p>
  </w:footnote>
  <w:footnote w:id="62">
    <w:p w14:paraId="0E2D0A52" w14:textId="77777777" w:rsidR="003016F3" w:rsidRDefault="003016F3">
      <w:pPr>
        <w:pStyle w:val="FootnoteText"/>
      </w:pPr>
      <w:r w:rsidRPr="005C4213">
        <w:rPr>
          <w:vertAlign w:val="superscript"/>
        </w:rPr>
        <w:footnoteRef/>
      </w:r>
      <w:r>
        <w:t xml:space="preserve"> </w:t>
      </w:r>
      <w:r w:rsidRPr="00F42C0E">
        <w:rPr>
          <w:sz w:val="16"/>
          <w:szCs w:val="16"/>
        </w:rPr>
        <w:t>European Commission. (2020). Commission Staff Working Document – Impact assessment accompanying the Proposal for a Council Directive amending Directive 2011/16/EU on administrative cooperation in the field of taxation, SWD(2020) 131 final.</w:t>
      </w:r>
    </w:p>
  </w:footnote>
  <w:footnote w:id="63">
    <w:p w14:paraId="70F1996B" w14:textId="77777777" w:rsidR="003016F3" w:rsidRPr="00425F11" w:rsidRDefault="003016F3" w:rsidP="006E5F59">
      <w:pPr>
        <w:pStyle w:val="FootnoteText"/>
        <w:rPr>
          <w:sz w:val="16"/>
          <w:szCs w:val="16"/>
        </w:rPr>
      </w:pPr>
      <w:r w:rsidRPr="00024E19">
        <w:rPr>
          <w:rStyle w:val="FootnoteReference"/>
        </w:rPr>
        <w:footnoteRef/>
      </w:r>
      <w:r w:rsidRPr="00425F11">
        <w:rPr>
          <w:sz w:val="16"/>
          <w:szCs w:val="16"/>
        </w:rPr>
        <w:t xml:space="preserve"> </w:t>
      </w:r>
      <w:r w:rsidRPr="007C465E">
        <w:rPr>
          <w:sz w:val="16"/>
          <w:szCs w:val="16"/>
        </w:rPr>
        <w:t>European Commission. (2020). Commission Staff Working Document – Impact assessment accompanying the Proposal for a Council Directive amending Directive 2011/16/EU on administrative cooperation in the field of taxation, SWD(2020) 131 final.</w:t>
      </w:r>
    </w:p>
  </w:footnote>
  <w:footnote w:id="64">
    <w:p w14:paraId="7F978F75" w14:textId="77777777" w:rsidR="003016F3" w:rsidRDefault="003016F3" w:rsidP="006E5F59">
      <w:pPr>
        <w:pStyle w:val="FootnoteText"/>
      </w:pPr>
      <w:r w:rsidRPr="00024E19">
        <w:rPr>
          <w:rStyle w:val="FootnoteReference"/>
        </w:rPr>
        <w:footnoteRef/>
      </w:r>
      <w:r w:rsidRPr="00425F11">
        <w:rPr>
          <w:sz w:val="16"/>
          <w:szCs w:val="16"/>
        </w:rPr>
        <w:t xml:space="preserve"> </w:t>
      </w:r>
      <w:r>
        <w:rPr>
          <w:sz w:val="16"/>
          <w:szCs w:val="16"/>
        </w:rPr>
        <w:t>Information on h</w:t>
      </w:r>
      <w:r w:rsidRPr="00425F11">
        <w:rPr>
          <w:sz w:val="16"/>
          <w:szCs w:val="16"/>
        </w:rPr>
        <w:t xml:space="preserve">ow we estimate the number of CASPs and their reporting costs </w:t>
      </w:r>
      <w:r>
        <w:rPr>
          <w:sz w:val="16"/>
          <w:szCs w:val="16"/>
        </w:rPr>
        <w:t>can be found</w:t>
      </w:r>
      <w:r w:rsidRPr="00425F11">
        <w:rPr>
          <w:sz w:val="16"/>
          <w:szCs w:val="16"/>
        </w:rPr>
        <w:t xml:space="preserve"> in Annex 4.</w:t>
      </w:r>
    </w:p>
  </w:footnote>
  <w:footnote w:id="65">
    <w:p w14:paraId="746789CA" w14:textId="77777777" w:rsidR="003016F3" w:rsidRDefault="003016F3" w:rsidP="004E5034">
      <w:pPr>
        <w:pStyle w:val="FootnoteText"/>
      </w:pPr>
      <w:r w:rsidRPr="292CF5E4">
        <w:rPr>
          <w:rStyle w:val="FootnoteReference"/>
        </w:rPr>
        <w:footnoteRef/>
      </w:r>
      <w:r>
        <w:t xml:space="preserve"> </w:t>
      </w:r>
      <w:r w:rsidRPr="292CF5E4">
        <w:rPr>
          <w:sz w:val="16"/>
          <w:szCs w:val="16"/>
        </w:rPr>
        <w:t>Special Report N°03/2021: Exchanging tax information in the EU: solid foundation, cracks in the implementation.</w:t>
      </w:r>
    </w:p>
  </w:footnote>
  <w:footnote w:id="66">
    <w:p w14:paraId="431E0830" w14:textId="77777777" w:rsidR="003016F3" w:rsidRPr="00127CF4" w:rsidRDefault="003016F3" w:rsidP="004E5034">
      <w:pPr>
        <w:pStyle w:val="FootnoteText"/>
        <w:rPr>
          <w:sz w:val="16"/>
          <w:szCs w:val="16"/>
        </w:rPr>
      </w:pPr>
      <w:r w:rsidRPr="292CF5E4">
        <w:rPr>
          <w:rStyle w:val="FootnoteReference"/>
        </w:rPr>
        <w:footnoteRef/>
      </w:r>
      <w:r>
        <w:t xml:space="preserve"> </w:t>
      </w:r>
      <w:r>
        <w:rPr>
          <w:sz w:val="16"/>
          <w:szCs w:val="16"/>
        </w:rPr>
        <w:t xml:space="preserve">See footnote 4. </w:t>
      </w:r>
      <w:r w:rsidRPr="00392984">
        <w:rPr>
          <w:sz w:val="16"/>
          <w:szCs w:val="16"/>
        </w:rPr>
        <w:t>European Parliament</w:t>
      </w:r>
      <w:r>
        <w:rPr>
          <w:sz w:val="16"/>
          <w:szCs w:val="16"/>
        </w:rPr>
        <w:t>.</w:t>
      </w:r>
      <w:r w:rsidRPr="00392984">
        <w:rPr>
          <w:sz w:val="16"/>
          <w:szCs w:val="16"/>
        </w:rPr>
        <w:t xml:space="preserve"> (2021). European Parliament resolution of 16 September 2021 on the implementation of the EU requirements for exchange of tax information: progress, lessons learnt and obstacles to overcome</w:t>
      </w:r>
      <w:r>
        <w:rPr>
          <w:sz w:val="16"/>
          <w:szCs w:val="16"/>
        </w:rPr>
        <w:t>, retrieved from:</w:t>
      </w:r>
      <w:r w:rsidRPr="00127CF4">
        <w:rPr>
          <w:sz w:val="16"/>
          <w:szCs w:val="16"/>
        </w:rPr>
        <w:t xml:space="preserve"> </w:t>
      </w:r>
    </w:p>
    <w:p w14:paraId="722CF260" w14:textId="77777777" w:rsidR="003016F3" w:rsidRDefault="003A04A1" w:rsidP="004E5034">
      <w:pPr>
        <w:pStyle w:val="FootnoteText"/>
      </w:pPr>
      <w:hyperlink r:id="rId6" w:history="1">
        <w:r w:rsidR="003016F3" w:rsidRPr="00392984">
          <w:rPr>
            <w:sz w:val="16"/>
            <w:szCs w:val="16"/>
          </w:rPr>
          <w:t>https://www.europarl.europa.eu/doceo/document/TA-9-2021-0392_EN.pdf</w:t>
        </w:r>
      </w:hyperlink>
    </w:p>
  </w:footnote>
  <w:footnote w:id="67">
    <w:p w14:paraId="415B3E04" w14:textId="77777777" w:rsidR="003016F3" w:rsidRPr="00026A5D" w:rsidRDefault="003016F3" w:rsidP="004E5034">
      <w:pPr>
        <w:spacing w:after="0"/>
        <w:jc w:val="both"/>
        <w:rPr>
          <w:rFonts w:ascii="Times New Roman" w:hAnsi="Times New Roman"/>
          <w:sz w:val="16"/>
          <w:szCs w:val="16"/>
          <w:lang w:val="en-GB"/>
        </w:rPr>
      </w:pPr>
      <w:r w:rsidRPr="00DC06E0">
        <w:rPr>
          <w:rStyle w:val="FootnoteReference"/>
          <w:rFonts w:ascii="Times New Roman" w:hAnsi="Times New Roman"/>
          <w:sz w:val="20"/>
          <w:szCs w:val="20"/>
          <w:lang w:val="en-GB"/>
        </w:rPr>
        <w:footnoteRef/>
      </w:r>
      <w:r w:rsidRPr="00DC06E0">
        <w:rPr>
          <w:rStyle w:val="FootnoteReference"/>
          <w:rFonts w:ascii="Times New Roman" w:hAnsi="Times New Roman"/>
          <w:sz w:val="20"/>
          <w:szCs w:val="20"/>
          <w:lang w:val="en-GB"/>
        </w:rPr>
        <w:t xml:space="preserve"> </w:t>
      </w:r>
      <w:r w:rsidRPr="00DC06E0">
        <w:rPr>
          <w:rFonts w:ascii="Times New Roman" w:hAnsi="Times New Roman"/>
          <w:sz w:val="16"/>
          <w:szCs w:val="16"/>
          <w:lang w:val="en-GB"/>
        </w:rPr>
        <w:t>European Court of Auditors. (2021). Exchanging tax information in the EU: solid foundation</w:t>
      </w:r>
      <w:r w:rsidRPr="00026A5D">
        <w:rPr>
          <w:rFonts w:ascii="Times New Roman" w:hAnsi="Times New Roman"/>
          <w:sz w:val="16"/>
          <w:szCs w:val="16"/>
          <w:lang w:val="en-GB"/>
        </w:rPr>
        <w:t xml:space="preserve">, cracks in the implementation, Exchanges of information have increased, but some information is still not reported. Pages 33-34, retrieved from: </w:t>
      </w:r>
      <w:hyperlink r:id="rId7">
        <w:r w:rsidRPr="00026A5D">
          <w:rPr>
            <w:rFonts w:ascii="Times New Roman" w:hAnsi="Times New Roman"/>
            <w:sz w:val="16"/>
            <w:szCs w:val="16"/>
            <w:lang w:val="en-GB"/>
          </w:rPr>
          <w:t>https://www.eca.europa.eu/Lists/ECADocuments/SR21_03/SR_Exchange_tax_inform_EN.pdf</w:t>
        </w:r>
      </w:hyperlink>
    </w:p>
  </w:footnote>
  <w:footnote w:id="68">
    <w:p w14:paraId="180C2711" w14:textId="77777777" w:rsidR="003016F3" w:rsidRPr="00FC5A00" w:rsidRDefault="003016F3" w:rsidP="004E5034">
      <w:pPr>
        <w:pStyle w:val="FootnoteText"/>
        <w:rPr>
          <w:sz w:val="16"/>
          <w:szCs w:val="16"/>
        </w:rPr>
      </w:pPr>
      <w:r w:rsidRPr="00FC5A00">
        <w:rPr>
          <w:rStyle w:val="FootnoteReference"/>
          <w:sz w:val="16"/>
          <w:szCs w:val="16"/>
        </w:rPr>
        <w:footnoteRef/>
      </w:r>
      <w:r w:rsidRPr="00FC5A00">
        <w:rPr>
          <w:sz w:val="16"/>
          <w:szCs w:val="16"/>
        </w:rPr>
        <w:t xml:space="preserve"> </w:t>
      </w:r>
      <w:r>
        <w:rPr>
          <w:sz w:val="16"/>
          <w:szCs w:val="16"/>
        </w:rPr>
        <w:t xml:space="preserve">European </w:t>
      </w:r>
      <w:r w:rsidRPr="00FC5A00">
        <w:rPr>
          <w:sz w:val="16"/>
          <w:szCs w:val="16"/>
        </w:rPr>
        <w:t>Commission SWD</w:t>
      </w:r>
      <w:r>
        <w:rPr>
          <w:sz w:val="16"/>
          <w:szCs w:val="16"/>
        </w:rPr>
        <w:t>. (2015)</w:t>
      </w:r>
      <w:r w:rsidRPr="00FC5A00">
        <w:rPr>
          <w:sz w:val="16"/>
          <w:szCs w:val="16"/>
        </w:rPr>
        <w:t>: Technical analysis of focus and scope of the legal proposal Accompanying the document Proposal for a Council Directive amending Directive 2011/16/EU as regards exchange of infor</w:t>
      </w:r>
      <w:r>
        <w:rPr>
          <w:sz w:val="16"/>
          <w:szCs w:val="16"/>
        </w:rPr>
        <w:t>mation in the field of taxation.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3780" w14:textId="77777777" w:rsidR="003A04A1" w:rsidRPr="003A04A1" w:rsidRDefault="003A04A1" w:rsidP="003A0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60FA" w14:textId="77777777" w:rsidR="003A04A1" w:rsidRPr="003A04A1" w:rsidRDefault="003A04A1" w:rsidP="003A04A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B4F20" w14:textId="77777777" w:rsidR="003A04A1" w:rsidRPr="003A04A1" w:rsidRDefault="003A04A1" w:rsidP="003A04A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67CF" w14:textId="77777777" w:rsidR="003016F3" w:rsidRDefault="003016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3016F3" w14:paraId="3265C62F" w14:textId="77777777" w:rsidTr="00DD46F9">
      <w:tc>
        <w:tcPr>
          <w:tcW w:w="3120" w:type="dxa"/>
        </w:tcPr>
        <w:p w14:paraId="781842C4" w14:textId="77777777" w:rsidR="003016F3" w:rsidRDefault="003016F3" w:rsidP="00DD46F9">
          <w:pPr>
            <w:pStyle w:val="Header"/>
            <w:ind w:left="-115"/>
          </w:pPr>
        </w:p>
      </w:tc>
      <w:tc>
        <w:tcPr>
          <w:tcW w:w="3120" w:type="dxa"/>
        </w:tcPr>
        <w:p w14:paraId="55C642DA" w14:textId="77777777" w:rsidR="003016F3" w:rsidRDefault="003016F3" w:rsidP="00DD46F9">
          <w:pPr>
            <w:pStyle w:val="Header"/>
            <w:jc w:val="center"/>
          </w:pPr>
        </w:p>
      </w:tc>
      <w:tc>
        <w:tcPr>
          <w:tcW w:w="3120" w:type="dxa"/>
        </w:tcPr>
        <w:p w14:paraId="31FF8388" w14:textId="77777777" w:rsidR="003016F3" w:rsidRDefault="003016F3" w:rsidP="00DD46F9">
          <w:pPr>
            <w:pStyle w:val="Header"/>
            <w:ind w:right="-115"/>
            <w:jc w:val="right"/>
          </w:pPr>
        </w:p>
      </w:tc>
    </w:tr>
  </w:tbl>
  <w:p w14:paraId="0570C162" w14:textId="77777777" w:rsidR="003016F3" w:rsidRDefault="003016F3" w:rsidP="00DD46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A098" w14:textId="77777777" w:rsidR="003016F3" w:rsidRDefault="00301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B92"/>
    <w:multiLevelType w:val="hybridMultilevel"/>
    <w:tmpl w:val="A70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67F4"/>
    <w:multiLevelType w:val="hybridMultilevel"/>
    <w:tmpl w:val="A2BEE5D8"/>
    <w:lvl w:ilvl="0" w:tplc="3F92175E">
      <w:start w:val="1"/>
      <w:numFmt w:val="bullet"/>
      <w:lvlText w:val="·"/>
      <w:lvlJc w:val="left"/>
      <w:pPr>
        <w:ind w:left="720" w:hanging="360"/>
      </w:pPr>
      <w:rPr>
        <w:rFonts w:ascii="Symbol" w:hAnsi="Symbol" w:hint="default"/>
      </w:rPr>
    </w:lvl>
    <w:lvl w:ilvl="1" w:tplc="D26CF7B0">
      <w:start w:val="1"/>
      <w:numFmt w:val="bullet"/>
      <w:lvlText w:val="o"/>
      <w:lvlJc w:val="left"/>
      <w:pPr>
        <w:ind w:left="1440" w:hanging="360"/>
      </w:pPr>
      <w:rPr>
        <w:rFonts w:ascii="Courier New" w:hAnsi="Courier New" w:hint="default"/>
      </w:rPr>
    </w:lvl>
    <w:lvl w:ilvl="2" w:tplc="9E861E44">
      <w:start w:val="1"/>
      <w:numFmt w:val="bullet"/>
      <w:lvlText w:val=""/>
      <w:lvlJc w:val="left"/>
      <w:pPr>
        <w:ind w:left="2160" w:hanging="360"/>
      </w:pPr>
      <w:rPr>
        <w:rFonts w:ascii="Wingdings" w:hAnsi="Wingdings" w:hint="default"/>
      </w:rPr>
    </w:lvl>
    <w:lvl w:ilvl="3" w:tplc="67F49D6C">
      <w:start w:val="1"/>
      <w:numFmt w:val="bullet"/>
      <w:lvlText w:val=""/>
      <w:lvlJc w:val="left"/>
      <w:pPr>
        <w:ind w:left="2880" w:hanging="360"/>
      </w:pPr>
      <w:rPr>
        <w:rFonts w:ascii="Symbol" w:hAnsi="Symbol" w:hint="default"/>
      </w:rPr>
    </w:lvl>
    <w:lvl w:ilvl="4" w:tplc="E00228D0">
      <w:start w:val="1"/>
      <w:numFmt w:val="bullet"/>
      <w:lvlText w:val="o"/>
      <w:lvlJc w:val="left"/>
      <w:pPr>
        <w:ind w:left="3600" w:hanging="360"/>
      </w:pPr>
      <w:rPr>
        <w:rFonts w:ascii="Courier New" w:hAnsi="Courier New" w:hint="default"/>
      </w:rPr>
    </w:lvl>
    <w:lvl w:ilvl="5" w:tplc="1DF49A36">
      <w:start w:val="1"/>
      <w:numFmt w:val="bullet"/>
      <w:lvlText w:val=""/>
      <w:lvlJc w:val="left"/>
      <w:pPr>
        <w:ind w:left="4320" w:hanging="360"/>
      </w:pPr>
      <w:rPr>
        <w:rFonts w:ascii="Wingdings" w:hAnsi="Wingdings" w:hint="default"/>
      </w:rPr>
    </w:lvl>
    <w:lvl w:ilvl="6" w:tplc="A75ABB52">
      <w:start w:val="1"/>
      <w:numFmt w:val="bullet"/>
      <w:lvlText w:val=""/>
      <w:lvlJc w:val="left"/>
      <w:pPr>
        <w:ind w:left="5040" w:hanging="360"/>
      </w:pPr>
      <w:rPr>
        <w:rFonts w:ascii="Symbol" w:hAnsi="Symbol" w:hint="default"/>
      </w:rPr>
    </w:lvl>
    <w:lvl w:ilvl="7" w:tplc="DCAC3F24">
      <w:start w:val="1"/>
      <w:numFmt w:val="bullet"/>
      <w:lvlText w:val="o"/>
      <w:lvlJc w:val="left"/>
      <w:pPr>
        <w:ind w:left="5760" w:hanging="360"/>
      </w:pPr>
      <w:rPr>
        <w:rFonts w:ascii="Courier New" w:hAnsi="Courier New" w:hint="default"/>
      </w:rPr>
    </w:lvl>
    <w:lvl w:ilvl="8" w:tplc="C952E478">
      <w:start w:val="1"/>
      <w:numFmt w:val="bullet"/>
      <w:lvlText w:val=""/>
      <w:lvlJc w:val="left"/>
      <w:pPr>
        <w:ind w:left="6480" w:hanging="360"/>
      </w:pPr>
      <w:rPr>
        <w:rFonts w:ascii="Wingdings" w:hAnsi="Wingdings" w:hint="default"/>
      </w:rPr>
    </w:lvl>
  </w:abstractNum>
  <w:abstractNum w:abstractNumId="2" w15:restartNumberingAfterBreak="0">
    <w:nsid w:val="031733A8"/>
    <w:multiLevelType w:val="hybridMultilevel"/>
    <w:tmpl w:val="F49CAE6A"/>
    <w:lvl w:ilvl="0" w:tplc="ABAC5BCA">
      <w:start w:val="1"/>
      <w:numFmt w:val="bullet"/>
      <w:lvlText w:val="-"/>
      <w:lvlJc w:val="left"/>
      <w:pPr>
        <w:ind w:left="720" w:hanging="360"/>
      </w:pPr>
      <w:rPr>
        <w:rFonts w:ascii="Calibri" w:hAnsi="Calibri" w:hint="default"/>
      </w:rPr>
    </w:lvl>
    <w:lvl w:ilvl="1" w:tplc="DFD0B830">
      <w:start w:val="1"/>
      <w:numFmt w:val="bullet"/>
      <w:lvlText w:val="o"/>
      <w:lvlJc w:val="left"/>
      <w:pPr>
        <w:ind w:left="1440" w:hanging="360"/>
      </w:pPr>
      <w:rPr>
        <w:rFonts w:ascii="Courier New" w:hAnsi="Courier New" w:hint="default"/>
      </w:rPr>
    </w:lvl>
    <w:lvl w:ilvl="2" w:tplc="98C2E946">
      <w:start w:val="1"/>
      <w:numFmt w:val="bullet"/>
      <w:lvlText w:val=""/>
      <w:lvlJc w:val="left"/>
      <w:pPr>
        <w:ind w:left="2160" w:hanging="360"/>
      </w:pPr>
      <w:rPr>
        <w:rFonts w:ascii="Wingdings" w:hAnsi="Wingdings" w:hint="default"/>
      </w:rPr>
    </w:lvl>
    <w:lvl w:ilvl="3" w:tplc="E99A5B4E">
      <w:start w:val="1"/>
      <w:numFmt w:val="bullet"/>
      <w:lvlText w:val=""/>
      <w:lvlJc w:val="left"/>
      <w:pPr>
        <w:ind w:left="2880" w:hanging="360"/>
      </w:pPr>
      <w:rPr>
        <w:rFonts w:ascii="Symbol" w:hAnsi="Symbol" w:hint="default"/>
      </w:rPr>
    </w:lvl>
    <w:lvl w:ilvl="4" w:tplc="15B891D2">
      <w:start w:val="1"/>
      <w:numFmt w:val="bullet"/>
      <w:lvlText w:val="o"/>
      <w:lvlJc w:val="left"/>
      <w:pPr>
        <w:ind w:left="3600" w:hanging="360"/>
      </w:pPr>
      <w:rPr>
        <w:rFonts w:ascii="Courier New" w:hAnsi="Courier New" w:hint="default"/>
      </w:rPr>
    </w:lvl>
    <w:lvl w:ilvl="5" w:tplc="B3DA3660">
      <w:start w:val="1"/>
      <w:numFmt w:val="bullet"/>
      <w:lvlText w:val=""/>
      <w:lvlJc w:val="left"/>
      <w:pPr>
        <w:ind w:left="4320" w:hanging="360"/>
      </w:pPr>
      <w:rPr>
        <w:rFonts w:ascii="Wingdings" w:hAnsi="Wingdings" w:hint="default"/>
      </w:rPr>
    </w:lvl>
    <w:lvl w:ilvl="6" w:tplc="568A69A0">
      <w:start w:val="1"/>
      <w:numFmt w:val="bullet"/>
      <w:lvlText w:val=""/>
      <w:lvlJc w:val="left"/>
      <w:pPr>
        <w:ind w:left="5040" w:hanging="360"/>
      </w:pPr>
      <w:rPr>
        <w:rFonts w:ascii="Symbol" w:hAnsi="Symbol" w:hint="default"/>
      </w:rPr>
    </w:lvl>
    <w:lvl w:ilvl="7" w:tplc="8DAC6188">
      <w:start w:val="1"/>
      <w:numFmt w:val="bullet"/>
      <w:lvlText w:val="o"/>
      <w:lvlJc w:val="left"/>
      <w:pPr>
        <w:ind w:left="5760" w:hanging="360"/>
      </w:pPr>
      <w:rPr>
        <w:rFonts w:ascii="Courier New" w:hAnsi="Courier New" w:hint="default"/>
      </w:rPr>
    </w:lvl>
    <w:lvl w:ilvl="8" w:tplc="12801E22">
      <w:start w:val="1"/>
      <w:numFmt w:val="bullet"/>
      <w:lvlText w:val=""/>
      <w:lvlJc w:val="left"/>
      <w:pPr>
        <w:ind w:left="6480" w:hanging="360"/>
      </w:pPr>
      <w:rPr>
        <w:rFonts w:ascii="Wingdings" w:hAnsi="Wingdings" w:hint="default"/>
      </w:rPr>
    </w:lvl>
  </w:abstractNum>
  <w:abstractNum w:abstractNumId="3" w15:restartNumberingAfterBreak="0">
    <w:nsid w:val="03893D1F"/>
    <w:multiLevelType w:val="hybridMultilevel"/>
    <w:tmpl w:val="2A2A00EE"/>
    <w:lvl w:ilvl="0" w:tplc="EFECB92A">
      <w:start w:val="1"/>
      <w:numFmt w:val="decimal"/>
      <w:lvlText w:val="%1."/>
      <w:lvlJc w:val="left"/>
      <w:pPr>
        <w:ind w:left="720" w:hanging="360"/>
      </w:pPr>
    </w:lvl>
    <w:lvl w:ilvl="1" w:tplc="FF8A01D4">
      <w:start w:val="1"/>
      <w:numFmt w:val="lowerLetter"/>
      <w:lvlText w:val="%2."/>
      <w:lvlJc w:val="left"/>
      <w:pPr>
        <w:ind w:left="1440" w:hanging="360"/>
      </w:pPr>
    </w:lvl>
    <w:lvl w:ilvl="2" w:tplc="7B2A8728">
      <w:start w:val="1"/>
      <w:numFmt w:val="lowerRoman"/>
      <w:lvlText w:val="%3."/>
      <w:lvlJc w:val="right"/>
      <w:pPr>
        <w:ind w:left="2160" w:hanging="180"/>
      </w:pPr>
    </w:lvl>
    <w:lvl w:ilvl="3" w:tplc="A6D6C7F0">
      <w:start w:val="1"/>
      <w:numFmt w:val="decimal"/>
      <w:lvlText w:val="%4."/>
      <w:lvlJc w:val="left"/>
      <w:pPr>
        <w:ind w:left="2880" w:hanging="360"/>
      </w:pPr>
    </w:lvl>
    <w:lvl w:ilvl="4" w:tplc="D5526264">
      <w:start w:val="1"/>
      <w:numFmt w:val="lowerLetter"/>
      <w:lvlText w:val="%5."/>
      <w:lvlJc w:val="left"/>
      <w:pPr>
        <w:ind w:left="3600" w:hanging="360"/>
      </w:pPr>
    </w:lvl>
    <w:lvl w:ilvl="5" w:tplc="ECD4401A">
      <w:start w:val="1"/>
      <w:numFmt w:val="lowerRoman"/>
      <w:lvlText w:val="%6."/>
      <w:lvlJc w:val="right"/>
      <w:pPr>
        <w:ind w:left="4320" w:hanging="180"/>
      </w:pPr>
    </w:lvl>
    <w:lvl w:ilvl="6" w:tplc="7E5AC3D8">
      <w:start w:val="1"/>
      <w:numFmt w:val="decimal"/>
      <w:lvlText w:val="%7."/>
      <w:lvlJc w:val="left"/>
      <w:pPr>
        <w:ind w:left="5040" w:hanging="360"/>
      </w:pPr>
    </w:lvl>
    <w:lvl w:ilvl="7" w:tplc="ADF63F92">
      <w:start w:val="1"/>
      <w:numFmt w:val="lowerLetter"/>
      <w:lvlText w:val="%8."/>
      <w:lvlJc w:val="left"/>
      <w:pPr>
        <w:ind w:left="5760" w:hanging="360"/>
      </w:pPr>
    </w:lvl>
    <w:lvl w:ilvl="8" w:tplc="58E6DAE4">
      <w:start w:val="1"/>
      <w:numFmt w:val="lowerRoman"/>
      <w:lvlText w:val="%9."/>
      <w:lvlJc w:val="right"/>
      <w:pPr>
        <w:ind w:left="6480" w:hanging="180"/>
      </w:pPr>
    </w:lvl>
  </w:abstractNum>
  <w:abstractNum w:abstractNumId="4" w15:restartNumberingAfterBreak="0">
    <w:nsid w:val="042C3795"/>
    <w:multiLevelType w:val="hybridMultilevel"/>
    <w:tmpl w:val="136EAC76"/>
    <w:lvl w:ilvl="0" w:tplc="97EA63BC">
      <w:start w:val="1"/>
      <w:numFmt w:val="bullet"/>
      <w:lvlText w:val="·"/>
      <w:lvlJc w:val="left"/>
      <w:pPr>
        <w:ind w:left="720" w:hanging="360"/>
      </w:pPr>
      <w:rPr>
        <w:rFonts w:ascii="Symbol" w:hAnsi="Symbol" w:hint="default"/>
      </w:rPr>
    </w:lvl>
    <w:lvl w:ilvl="1" w:tplc="7CCC3A4E">
      <w:start w:val="1"/>
      <w:numFmt w:val="bullet"/>
      <w:lvlText w:val="o"/>
      <w:lvlJc w:val="left"/>
      <w:pPr>
        <w:ind w:left="1440" w:hanging="360"/>
      </w:pPr>
      <w:rPr>
        <w:rFonts w:ascii="Courier New" w:hAnsi="Courier New" w:hint="default"/>
      </w:rPr>
    </w:lvl>
    <w:lvl w:ilvl="2" w:tplc="38381884">
      <w:start w:val="1"/>
      <w:numFmt w:val="bullet"/>
      <w:lvlText w:val=""/>
      <w:lvlJc w:val="left"/>
      <w:pPr>
        <w:ind w:left="2160" w:hanging="360"/>
      </w:pPr>
      <w:rPr>
        <w:rFonts w:ascii="Wingdings" w:hAnsi="Wingdings" w:hint="default"/>
      </w:rPr>
    </w:lvl>
    <w:lvl w:ilvl="3" w:tplc="DAEC2FF4">
      <w:start w:val="1"/>
      <w:numFmt w:val="bullet"/>
      <w:lvlText w:val=""/>
      <w:lvlJc w:val="left"/>
      <w:pPr>
        <w:ind w:left="2880" w:hanging="360"/>
      </w:pPr>
      <w:rPr>
        <w:rFonts w:ascii="Symbol" w:hAnsi="Symbol" w:hint="default"/>
      </w:rPr>
    </w:lvl>
    <w:lvl w:ilvl="4" w:tplc="139210CC">
      <w:start w:val="1"/>
      <w:numFmt w:val="bullet"/>
      <w:lvlText w:val="o"/>
      <w:lvlJc w:val="left"/>
      <w:pPr>
        <w:ind w:left="3600" w:hanging="360"/>
      </w:pPr>
      <w:rPr>
        <w:rFonts w:ascii="Courier New" w:hAnsi="Courier New" w:hint="default"/>
      </w:rPr>
    </w:lvl>
    <w:lvl w:ilvl="5" w:tplc="B50ABCBC">
      <w:start w:val="1"/>
      <w:numFmt w:val="bullet"/>
      <w:lvlText w:val=""/>
      <w:lvlJc w:val="left"/>
      <w:pPr>
        <w:ind w:left="4320" w:hanging="360"/>
      </w:pPr>
      <w:rPr>
        <w:rFonts w:ascii="Wingdings" w:hAnsi="Wingdings" w:hint="default"/>
      </w:rPr>
    </w:lvl>
    <w:lvl w:ilvl="6" w:tplc="F0C8D7B0">
      <w:start w:val="1"/>
      <w:numFmt w:val="bullet"/>
      <w:lvlText w:val=""/>
      <w:lvlJc w:val="left"/>
      <w:pPr>
        <w:ind w:left="5040" w:hanging="360"/>
      </w:pPr>
      <w:rPr>
        <w:rFonts w:ascii="Symbol" w:hAnsi="Symbol" w:hint="default"/>
      </w:rPr>
    </w:lvl>
    <w:lvl w:ilvl="7" w:tplc="2C922878">
      <w:start w:val="1"/>
      <w:numFmt w:val="bullet"/>
      <w:lvlText w:val="o"/>
      <w:lvlJc w:val="left"/>
      <w:pPr>
        <w:ind w:left="5760" w:hanging="360"/>
      </w:pPr>
      <w:rPr>
        <w:rFonts w:ascii="Courier New" w:hAnsi="Courier New" w:hint="default"/>
      </w:rPr>
    </w:lvl>
    <w:lvl w:ilvl="8" w:tplc="EF0AD146">
      <w:start w:val="1"/>
      <w:numFmt w:val="bullet"/>
      <w:lvlText w:val=""/>
      <w:lvlJc w:val="left"/>
      <w:pPr>
        <w:ind w:left="6480" w:hanging="360"/>
      </w:pPr>
      <w:rPr>
        <w:rFonts w:ascii="Wingdings" w:hAnsi="Wingdings" w:hint="default"/>
      </w:rPr>
    </w:lvl>
  </w:abstractNum>
  <w:abstractNum w:abstractNumId="5" w15:restartNumberingAfterBreak="0">
    <w:nsid w:val="05BC3B14"/>
    <w:multiLevelType w:val="hybridMultilevel"/>
    <w:tmpl w:val="FC2CE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1416"/>
    <w:multiLevelType w:val="hybridMultilevel"/>
    <w:tmpl w:val="FC2CE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C47F6"/>
    <w:multiLevelType w:val="hybridMultilevel"/>
    <w:tmpl w:val="BF0A7FDE"/>
    <w:lvl w:ilvl="0" w:tplc="DF86D57C">
      <w:start w:val="1"/>
      <w:numFmt w:val="bullet"/>
      <w:lvlText w:val="·"/>
      <w:lvlJc w:val="left"/>
      <w:pPr>
        <w:ind w:left="720" w:hanging="360"/>
      </w:pPr>
      <w:rPr>
        <w:rFonts w:ascii="Symbol" w:hAnsi="Symbol" w:hint="default"/>
      </w:rPr>
    </w:lvl>
    <w:lvl w:ilvl="1" w:tplc="A1907BD2">
      <w:start w:val="1"/>
      <w:numFmt w:val="bullet"/>
      <w:lvlText w:val="o"/>
      <w:lvlJc w:val="left"/>
      <w:pPr>
        <w:ind w:left="1440" w:hanging="360"/>
      </w:pPr>
      <w:rPr>
        <w:rFonts w:ascii="Courier New" w:hAnsi="Courier New" w:hint="default"/>
      </w:rPr>
    </w:lvl>
    <w:lvl w:ilvl="2" w:tplc="B978AECC">
      <w:start w:val="1"/>
      <w:numFmt w:val="bullet"/>
      <w:lvlText w:val=""/>
      <w:lvlJc w:val="left"/>
      <w:pPr>
        <w:ind w:left="2160" w:hanging="360"/>
      </w:pPr>
      <w:rPr>
        <w:rFonts w:ascii="Wingdings" w:hAnsi="Wingdings" w:hint="default"/>
      </w:rPr>
    </w:lvl>
    <w:lvl w:ilvl="3" w:tplc="440619AA">
      <w:start w:val="1"/>
      <w:numFmt w:val="bullet"/>
      <w:lvlText w:val=""/>
      <w:lvlJc w:val="left"/>
      <w:pPr>
        <w:ind w:left="2880" w:hanging="360"/>
      </w:pPr>
      <w:rPr>
        <w:rFonts w:ascii="Symbol" w:hAnsi="Symbol" w:hint="default"/>
      </w:rPr>
    </w:lvl>
    <w:lvl w:ilvl="4" w:tplc="FBEC5A5C">
      <w:start w:val="1"/>
      <w:numFmt w:val="bullet"/>
      <w:lvlText w:val="o"/>
      <w:lvlJc w:val="left"/>
      <w:pPr>
        <w:ind w:left="3600" w:hanging="360"/>
      </w:pPr>
      <w:rPr>
        <w:rFonts w:ascii="Courier New" w:hAnsi="Courier New" w:hint="default"/>
      </w:rPr>
    </w:lvl>
    <w:lvl w:ilvl="5" w:tplc="CF625CCA">
      <w:start w:val="1"/>
      <w:numFmt w:val="bullet"/>
      <w:lvlText w:val=""/>
      <w:lvlJc w:val="left"/>
      <w:pPr>
        <w:ind w:left="4320" w:hanging="360"/>
      </w:pPr>
      <w:rPr>
        <w:rFonts w:ascii="Wingdings" w:hAnsi="Wingdings" w:hint="default"/>
      </w:rPr>
    </w:lvl>
    <w:lvl w:ilvl="6" w:tplc="26F00F54">
      <w:start w:val="1"/>
      <w:numFmt w:val="bullet"/>
      <w:lvlText w:val=""/>
      <w:lvlJc w:val="left"/>
      <w:pPr>
        <w:ind w:left="5040" w:hanging="360"/>
      </w:pPr>
      <w:rPr>
        <w:rFonts w:ascii="Symbol" w:hAnsi="Symbol" w:hint="default"/>
      </w:rPr>
    </w:lvl>
    <w:lvl w:ilvl="7" w:tplc="82FA23E0">
      <w:start w:val="1"/>
      <w:numFmt w:val="bullet"/>
      <w:lvlText w:val="o"/>
      <w:lvlJc w:val="left"/>
      <w:pPr>
        <w:ind w:left="5760" w:hanging="360"/>
      </w:pPr>
      <w:rPr>
        <w:rFonts w:ascii="Courier New" w:hAnsi="Courier New" w:hint="default"/>
      </w:rPr>
    </w:lvl>
    <w:lvl w:ilvl="8" w:tplc="B4F21B2A">
      <w:start w:val="1"/>
      <w:numFmt w:val="bullet"/>
      <w:lvlText w:val=""/>
      <w:lvlJc w:val="left"/>
      <w:pPr>
        <w:ind w:left="6480" w:hanging="360"/>
      </w:pPr>
      <w:rPr>
        <w:rFonts w:ascii="Wingdings" w:hAnsi="Wingdings" w:hint="default"/>
      </w:rPr>
    </w:lvl>
  </w:abstractNum>
  <w:abstractNum w:abstractNumId="8" w15:restartNumberingAfterBreak="0">
    <w:nsid w:val="07E517C8"/>
    <w:multiLevelType w:val="hybridMultilevel"/>
    <w:tmpl w:val="FC222F96"/>
    <w:lvl w:ilvl="0" w:tplc="FFFFFFFF">
      <w:start w:val="3"/>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462B0"/>
    <w:multiLevelType w:val="hybridMultilevel"/>
    <w:tmpl w:val="8548B4D0"/>
    <w:lvl w:ilvl="0" w:tplc="025A777C">
      <w:start w:val="1"/>
      <w:numFmt w:val="bullet"/>
      <w:lvlText w:val="·"/>
      <w:lvlJc w:val="left"/>
      <w:pPr>
        <w:ind w:left="720" w:hanging="360"/>
      </w:pPr>
      <w:rPr>
        <w:rFonts w:ascii="Symbol" w:hAnsi="Symbol" w:hint="default"/>
      </w:rPr>
    </w:lvl>
    <w:lvl w:ilvl="1" w:tplc="3D0ED57A">
      <w:start w:val="1"/>
      <w:numFmt w:val="bullet"/>
      <w:lvlText w:val="o"/>
      <w:lvlJc w:val="left"/>
      <w:pPr>
        <w:ind w:left="1440" w:hanging="360"/>
      </w:pPr>
      <w:rPr>
        <w:rFonts w:ascii="Courier New" w:hAnsi="Courier New" w:hint="default"/>
      </w:rPr>
    </w:lvl>
    <w:lvl w:ilvl="2" w:tplc="239EC80A">
      <w:start w:val="1"/>
      <w:numFmt w:val="bullet"/>
      <w:lvlText w:val=""/>
      <w:lvlJc w:val="left"/>
      <w:pPr>
        <w:ind w:left="2160" w:hanging="360"/>
      </w:pPr>
      <w:rPr>
        <w:rFonts w:ascii="Wingdings" w:hAnsi="Wingdings" w:hint="default"/>
      </w:rPr>
    </w:lvl>
    <w:lvl w:ilvl="3" w:tplc="B40E10BA">
      <w:start w:val="1"/>
      <w:numFmt w:val="bullet"/>
      <w:lvlText w:val=""/>
      <w:lvlJc w:val="left"/>
      <w:pPr>
        <w:ind w:left="2880" w:hanging="360"/>
      </w:pPr>
      <w:rPr>
        <w:rFonts w:ascii="Symbol" w:hAnsi="Symbol" w:hint="default"/>
      </w:rPr>
    </w:lvl>
    <w:lvl w:ilvl="4" w:tplc="0AFCC656">
      <w:start w:val="1"/>
      <w:numFmt w:val="bullet"/>
      <w:lvlText w:val="o"/>
      <w:lvlJc w:val="left"/>
      <w:pPr>
        <w:ind w:left="3600" w:hanging="360"/>
      </w:pPr>
      <w:rPr>
        <w:rFonts w:ascii="Courier New" w:hAnsi="Courier New" w:hint="default"/>
      </w:rPr>
    </w:lvl>
    <w:lvl w:ilvl="5" w:tplc="7E2A9244">
      <w:start w:val="1"/>
      <w:numFmt w:val="bullet"/>
      <w:lvlText w:val=""/>
      <w:lvlJc w:val="left"/>
      <w:pPr>
        <w:ind w:left="4320" w:hanging="360"/>
      </w:pPr>
      <w:rPr>
        <w:rFonts w:ascii="Wingdings" w:hAnsi="Wingdings" w:hint="default"/>
      </w:rPr>
    </w:lvl>
    <w:lvl w:ilvl="6" w:tplc="D1D8DE86">
      <w:start w:val="1"/>
      <w:numFmt w:val="bullet"/>
      <w:lvlText w:val=""/>
      <w:lvlJc w:val="left"/>
      <w:pPr>
        <w:ind w:left="5040" w:hanging="360"/>
      </w:pPr>
      <w:rPr>
        <w:rFonts w:ascii="Symbol" w:hAnsi="Symbol" w:hint="default"/>
      </w:rPr>
    </w:lvl>
    <w:lvl w:ilvl="7" w:tplc="71F67BBA">
      <w:start w:val="1"/>
      <w:numFmt w:val="bullet"/>
      <w:lvlText w:val="o"/>
      <w:lvlJc w:val="left"/>
      <w:pPr>
        <w:ind w:left="5760" w:hanging="360"/>
      </w:pPr>
      <w:rPr>
        <w:rFonts w:ascii="Courier New" w:hAnsi="Courier New" w:hint="default"/>
      </w:rPr>
    </w:lvl>
    <w:lvl w:ilvl="8" w:tplc="FC7EF108">
      <w:start w:val="1"/>
      <w:numFmt w:val="bullet"/>
      <w:lvlText w:val=""/>
      <w:lvlJc w:val="left"/>
      <w:pPr>
        <w:ind w:left="6480" w:hanging="360"/>
      </w:pPr>
      <w:rPr>
        <w:rFonts w:ascii="Wingdings" w:hAnsi="Wingdings" w:hint="default"/>
      </w:rPr>
    </w:lvl>
  </w:abstractNum>
  <w:abstractNum w:abstractNumId="10" w15:restartNumberingAfterBreak="0">
    <w:nsid w:val="087774E1"/>
    <w:multiLevelType w:val="hybridMultilevel"/>
    <w:tmpl w:val="6BDC475A"/>
    <w:lvl w:ilvl="0" w:tplc="C5C0E9EA">
      <w:start w:val="1"/>
      <w:numFmt w:val="bullet"/>
      <w:lvlText w:val="·"/>
      <w:lvlJc w:val="left"/>
      <w:pPr>
        <w:ind w:left="720" w:hanging="360"/>
      </w:pPr>
      <w:rPr>
        <w:rFonts w:ascii="Symbol" w:hAnsi="Symbol" w:hint="default"/>
      </w:rPr>
    </w:lvl>
    <w:lvl w:ilvl="1" w:tplc="4A46CA56">
      <w:start w:val="1"/>
      <w:numFmt w:val="bullet"/>
      <w:lvlText w:val="o"/>
      <w:lvlJc w:val="left"/>
      <w:pPr>
        <w:ind w:left="1440" w:hanging="360"/>
      </w:pPr>
      <w:rPr>
        <w:rFonts w:ascii="Courier New" w:hAnsi="Courier New" w:hint="default"/>
      </w:rPr>
    </w:lvl>
    <w:lvl w:ilvl="2" w:tplc="BEBA6FA6">
      <w:start w:val="1"/>
      <w:numFmt w:val="bullet"/>
      <w:lvlText w:val=""/>
      <w:lvlJc w:val="left"/>
      <w:pPr>
        <w:ind w:left="2160" w:hanging="360"/>
      </w:pPr>
      <w:rPr>
        <w:rFonts w:ascii="Wingdings" w:hAnsi="Wingdings" w:hint="default"/>
      </w:rPr>
    </w:lvl>
    <w:lvl w:ilvl="3" w:tplc="9A6E19EC">
      <w:start w:val="1"/>
      <w:numFmt w:val="bullet"/>
      <w:lvlText w:val=""/>
      <w:lvlJc w:val="left"/>
      <w:pPr>
        <w:ind w:left="2880" w:hanging="360"/>
      </w:pPr>
      <w:rPr>
        <w:rFonts w:ascii="Symbol" w:hAnsi="Symbol" w:hint="default"/>
      </w:rPr>
    </w:lvl>
    <w:lvl w:ilvl="4" w:tplc="DFC072DA">
      <w:start w:val="1"/>
      <w:numFmt w:val="bullet"/>
      <w:lvlText w:val="o"/>
      <w:lvlJc w:val="left"/>
      <w:pPr>
        <w:ind w:left="3600" w:hanging="360"/>
      </w:pPr>
      <w:rPr>
        <w:rFonts w:ascii="Courier New" w:hAnsi="Courier New" w:hint="default"/>
      </w:rPr>
    </w:lvl>
    <w:lvl w:ilvl="5" w:tplc="A03CBD4C">
      <w:start w:val="1"/>
      <w:numFmt w:val="bullet"/>
      <w:lvlText w:val=""/>
      <w:lvlJc w:val="left"/>
      <w:pPr>
        <w:ind w:left="4320" w:hanging="360"/>
      </w:pPr>
      <w:rPr>
        <w:rFonts w:ascii="Wingdings" w:hAnsi="Wingdings" w:hint="default"/>
      </w:rPr>
    </w:lvl>
    <w:lvl w:ilvl="6" w:tplc="8D2E999A">
      <w:start w:val="1"/>
      <w:numFmt w:val="bullet"/>
      <w:lvlText w:val=""/>
      <w:lvlJc w:val="left"/>
      <w:pPr>
        <w:ind w:left="5040" w:hanging="360"/>
      </w:pPr>
      <w:rPr>
        <w:rFonts w:ascii="Symbol" w:hAnsi="Symbol" w:hint="default"/>
      </w:rPr>
    </w:lvl>
    <w:lvl w:ilvl="7" w:tplc="4708870C">
      <w:start w:val="1"/>
      <w:numFmt w:val="bullet"/>
      <w:lvlText w:val="o"/>
      <w:lvlJc w:val="left"/>
      <w:pPr>
        <w:ind w:left="5760" w:hanging="360"/>
      </w:pPr>
      <w:rPr>
        <w:rFonts w:ascii="Courier New" w:hAnsi="Courier New" w:hint="default"/>
      </w:rPr>
    </w:lvl>
    <w:lvl w:ilvl="8" w:tplc="59F474F2">
      <w:start w:val="1"/>
      <w:numFmt w:val="bullet"/>
      <w:lvlText w:val=""/>
      <w:lvlJc w:val="left"/>
      <w:pPr>
        <w:ind w:left="6480" w:hanging="360"/>
      </w:pPr>
      <w:rPr>
        <w:rFonts w:ascii="Wingdings" w:hAnsi="Wingdings" w:hint="default"/>
      </w:rPr>
    </w:lvl>
  </w:abstractNum>
  <w:abstractNum w:abstractNumId="11" w15:restartNumberingAfterBreak="0">
    <w:nsid w:val="0AC6127D"/>
    <w:multiLevelType w:val="hybridMultilevel"/>
    <w:tmpl w:val="E79C0D1C"/>
    <w:lvl w:ilvl="0" w:tplc="45AEA0B6">
      <w:start w:val="1"/>
      <w:numFmt w:val="decimal"/>
      <w:lvlText w:val="%1."/>
      <w:lvlJc w:val="left"/>
      <w:pPr>
        <w:ind w:left="720" w:hanging="360"/>
      </w:pPr>
    </w:lvl>
    <w:lvl w:ilvl="1" w:tplc="CD64F360">
      <w:start w:val="1"/>
      <w:numFmt w:val="lowerLetter"/>
      <w:lvlText w:val="%2."/>
      <w:lvlJc w:val="left"/>
      <w:pPr>
        <w:ind w:left="1440" w:hanging="360"/>
      </w:pPr>
    </w:lvl>
    <w:lvl w:ilvl="2" w:tplc="32D0E674">
      <w:start w:val="1"/>
      <w:numFmt w:val="lowerRoman"/>
      <w:lvlText w:val="%3."/>
      <w:lvlJc w:val="right"/>
      <w:pPr>
        <w:ind w:left="2160" w:hanging="180"/>
      </w:pPr>
    </w:lvl>
    <w:lvl w:ilvl="3" w:tplc="7A0C8916">
      <w:start w:val="1"/>
      <w:numFmt w:val="decimal"/>
      <w:lvlText w:val="%4."/>
      <w:lvlJc w:val="left"/>
      <w:pPr>
        <w:ind w:left="2880" w:hanging="360"/>
      </w:pPr>
    </w:lvl>
    <w:lvl w:ilvl="4" w:tplc="97D088CE">
      <w:start w:val="1"/>
      <w:numFmt w:val="lowerLetter"/>
      <w:lvlText w:val="%5."/>
      <w:lvlJc w:val="left"/>
      <w:pPr>
        <w:ind w:left="3600" w:hanging="360"/>
      </w:pPr>
    </w:lvl>
    <w:lvl w:ilvl="5" w:tplc="CCD23EA6">
      <w:start w:val="1"/>
      <w:numFmt w:val="lowerRoman"/>
      <w:lvlText w:val="%6."/>
      <w:lvlJc w:val="right"/>
      <w:pPr>
        <w:ind w:left="4320" w:hanging="180"/>
      </w:pPr>
    </w:lvl>
    <w:lvl w:ilvl="6" w:tplc="C82A7D24">
      <w:start w:val="1"/>
      <w:numFmt w:val="decimal"/>
      <w:lvlText w:val="%7."/>
      <w:lvlJc w:val="left"/>
      <w:pPr>
        <w:ind w:left="5040" w:hanging="360"/>
      </w:pPr>
    </w:lvl>
    <w:lvl w:ilvl="7" w:tplc="54FCC828">
      <w:start w:val="1"/>
      <w:numFmt w:val="lowerLetter"/>
      <w:lvlText w:val="%8."/>
      <w:lvlJc w:val="left"/>
      <w:pPr>
        <w:ind w:left="5760" w:hanging="360"/>
      </w:pPr>
    </w:lvl>
    <w:lvl w:ilvl="8" w:tplc="43989F72">
      <w:start w:val="1"/>
      <w:numFmt w:val="lowerRoman"/>
      <w:lvlText w:val="%9."/>
      <w:lvlJc w:val="right"/>
      <w:pPr>
        <w:ind w:left="6480" w:hanging="180"/>
      </w:pPr>
    </w:lvl>
  </w:abstractNum>
  <w:abstractNum w:abstractNumId="12" w15:restartNumberingAfterBreak="0">
    <w:nsid w:val="0EA74E14"/>
    <w:multiLevelType w:val="hybridMultilevel"/>
    <w:tmpl w:val="314CAFAA"/>
    <w:lvl w:ilvl="0" w:tplc="B1B62B06">
      <w:start w:val="1"/>
      <w:numFmt w:val="bullet"/>
      <w:lvlText w:val="·"/>
      <w:lvlJc w:val="left"/>
      <w:pPr>
        <w:ind w:left="720" w:hanging="360"/>
      </w:pPr>
      <w:rPr>
        <w:rFonts w:ascii="Symbol" w:hAnsi="Symbol" w:hint="default"/>
      </w:rPr>
    </w:lvl>
    <w:lvl w:ilvl="1" w:tplc="D9344590">
      <w:start w:val="1"/>
      <w:numFmt w:val="bullet"/>
      <w:lvlText w:val="o"/>
      <w:lvlJc w:val="left"/>
      <w:pPr>
        <w:ind w:left="1440" w:hanging="360"/>
      </w:pPr>
      <w:rPr>
        <w:rFonts w:ascii="Courier New" w:hAnsi="Courier New" w:hint="default"/>
      </w:rPr>
    </w:lvl>
    <w:lvl w:ilvl="2" w:tplc="FB50F83E">
      <w:start w:val="1"/>
      <w:numFmt w:val="bullet"/>
      <w:lvlText w:val=""/>
      <w:lvlJc w:val="left"/>
      <w:pPr>
        <w:ind w:left="2160" w:hanging="360"/>
      </w:pPr>
      <w:rPr>
        <w:rFonts w:ascii="Wingdings" w:hAnsi="Wingdings" w:hint="default"/>
      </w:rPr>
    </w:lvl>
    <w:lvl w:ilvl="3" w:tplc="0B88D29C">
      <w:start w:val="1"/>
      <w:numFmt w:val="bullet"/>
      <w:lvlText w:val=""/>
      <w:lvlJc w:val="left"/>
      <w:pPr>
        <w:ind w:left="2880" w:hanging="360"/>
      </w:pPr>
      <w:rPr>
        <w:rFonts w:ascii="Symbol" w:hAnsi="Symbol" w:hint="default"/>
      </w:rPr>
    </w:lvl>
    <w:lvl w:ilvl="4" w:tplc="46300F0A">
      <w:start w:val="1"/>
      <w:numFmt w:val="bullet"/>
      <w:lvlText w:val="o"/>
      <w:lvlJc w:val="left"/>
      <w:pPr>
        <w:ind w:left="3600" w:hanging="360"/>
      </w:pPr>
      <w:rPr>
        <w:rFonts w:ascii="Courier New" w:hAnsi="Courier New" w:hint="default"/>
      </w:rPr>
    </w:lvl>
    <w:lvl w:ilvl="5" w:tplc="3FAE7AA4">
      <w:start w:val="1"/>
      <w:numFmt w:val="bullet"/>
      <w:lvlText w:val=""/>
      <w:lvlJc w:val="left"/>
      <w:pPr>
        <w:ind w:left="4320" w:hanging="360"/>
      </w:pPr>
      <w:rPr>
        <w:rFonts w:ascii="Wingdings" w:hAnsi="Wingdings" w:hint="default"/>
      </w:rPr>
    </w:lvl>
    <w:lvl w:ilvl="6" w:tplc="8D06B3F2">
      <w:start w:val="1"/>
      <w:numFmt w:val="bullet"/>
      <w:lvlText w:val=""/>
      <w:lvlJc w:val="left"/>
      <w:pPr>
        <w:ind w:left="5040" w:hanging="360"/>
      </w:pPr>
      <w:rPr>
        <w:rFonts w:ascii="Symbol" w:hAnsi="Symbol" w:hint="default"/>
      </w:rPr>
    </w:lvl>
    <w:lvl w:ilvl="7" w:tplc="E9FAA790">
      <w:start w:val="1"/>
      <w:numFmt w:val="bullet"/>
      <w:lvlText w:val="o"/>
      <w:lvlJc w:val="left"/>
      <w:pPr>
        <w:ind w:left="5760" w:hanging="360"/>
      </w:pPr>
      <w:rPr>
        <w:rFonts w:ascii="Courier New" w:hAnsi="Courier New" w:hint="default"/>
      </w:rPr>
    </w:lvl>
    <w:lvl w:ilvl="8" w:tplc="DA3A8B10">
      <w:start w:val="1"/>
      <w:numFmt w:val="bullet"/>
      <w:lvlText w:val=""/>
      <w:lvlJc w:val="left"/>
      <w:pPr>
        <w:ind w:left="6480" w:hanging="360"/>
      </w:pPr>
      <w:rPr>
        <w:rFonts w:ascii="Wingdings" w:hAnsi="Wingdings" w:hint="default"/>
      </w:rPr>
    </w:lvl>
  </w:abstractNum>
  <w:abstractNum w:abstractNumId="13" w15:restartNumberingAfterBreak="0">
    <w:nsid w:val="0F513CF1"/>
    <w:multiLevelType w:val="hybridMultilevel"/>
    <w:tmpl w:val="6E004E44"/>
    <w:lvl w:ilvl="0" w:tplc="5AFAB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F314C3"/>
    <w:multiLevelType w:val="hybridMultilevel"/>
    <w:tmpl w:val="58AADB80"/>
    <w:lvl w:ilvl="0" w:tplc="62467746">
      <w:start w:val="1"/>
      <w:numFmt w:val="bullet"/>
      <w:lvlText w:val="·"/>
      <w:lvlJc w:val="left"/>
      <w:pPr>
        <w:ind w:left="720" w:hanging="360"/>
      </w:pPr>
      <w:rPr>
        <w:rFonts w:ascii="Symbol" w:hAnsi="Symbol" w:hint="default"/>
      </w:rPr>
    </w:lvl>
    <w:lvl w:ilvl="1" w:tplc="42DA12C4">
      <w:start w:val="1"/>
      <w:numFmt w:val="bullet"/>
      <w:lvlText w:val="o"/>
      <w:lvlJc w:val="left"/>
      <w:pPr>
        <w:ind w:left="1440" w:hanging="360"/>
      </w:pPr>
      <w:rPr>
        <w:rFonts w:ascii="Courier New" w:hAnsi="Courier New" w:hint="default"/>
      </w:rPr>
    </w:lvl>
    <w:lvl w:ilvl="2" w:tplc="380EB98A">
      <w:start w:val="1"/>
      <w:numFmt w:val="bullet"/>
      <w:lvlText w:val=""/>
      <w:lvlJc w:val="left"/>
      <w:pPr>
        <w:ind w:left="2160" w:hanging="360"/>
      </w:pPr>
      <w:rPr>
        <w:rFonts w:ascii="Wingdings" w:hAnsi="Wingdings" w:hint="default"/>
      </w:rPr>
    </w:lvl>
    <w:lvl w:ilvl="3" w:tplc="95A6805E">
      <w:start w:val="1"/>
      <w:numFmt w:val="bullet"/>
      <w:lvlText w:val=""/>
      <w:lvlJc w:val="left"/>
      <w:pPr>
        <w:ind w:left="2880" w:hanging="360"/>
      </w:pPr>
      <w:rPr>
        <w:rFonts w:ascii="Symbol" w:hAnsi="Symbol" w:hint="default"/>
      </w:rPr>
    </w:lvl>
    <w:lvl w:ilvl="4" w:tplc="FBE413F2">
      <w:start w:val="1"/>
      <w:numFmt w:val="bullet"/>
      <w:lvlText w:val="o"/>
      <w:lvlJc w:val="left"/>
      <w:pPr>
        <w:ind w:left="3600" w:hanging="360"/>
      </w:pPr>
      <w:rPr>
        <w:rFonts w:ascii="Courier New" w:hAnsi="Courier New" w:hint="default"/>
      </w:rPr>
    </w:lvl>
    <w:lvl w:ilvl="5" w:tplc="7F98715C">
      <w:start w:val="1"/>
      <w:numFmt w:val="bullet"/>
      <w:lvlText w:val=""/>
      <w:lvlJc w:val="left"/>
      <w:pPr>
        <w:ind w:left="4320" w:hanging="360"/>
      </w:pPr>
      <w:rPr>
        <w:rFonts w:ascii="Wingdings" w:hAnsi="Wingdings" w:hint="default"/>
      </w:rPr>
    </w:lvl>
    <w:lvl w:ilvl="6" w:tplc="459CDDCA">
      <w:start w:val="1"/>
      <w:numFmt w:val="bullet"/>
      <w:lvlText w:val=""/>
      <w:lvlJc w:val="left"/>
      <w:pPr>
        <w:ind w:left="5040" w:hanging="360"/>
      </w:pPr>
      <w:rPr>
        <w:rFonts w:ascii="Symbol" w:hAnsi="Symbol" w:hint="default"/>
      </w:rPr>
    </w:lvl>
    <w:lvl w:ilvl="7" w:tplc="4E9061A0">
      <w:start w:val="1"/>
      <w:numFmt w:val="bullet"/>
      <w:lvlText w:val="o"/>
      <w:lvlJc w:val="left"/>
      <w:pPr>
        <w:ind w:left="5760" w:hanging="360"/>
      </w:pPr>
      <w:rPr>
        <w:rFonts w:ascii="Courier New" w:hAnsi="Courier New" w:hint="default"/>
      </w:rPr>
    </w:lvl>
    <w:lvl w:ilvl="8" w:tplc="B2A4F3AA">
      <w:start w:val="1"/>
      <w:numFmt w:val="bullet"/>
      <w:lvlText w:val=""/>
      <w:lvlJc w:val="left"/>
      <w:pPr>
        <w:ind w:left="6480" w:hanging="360"/>
      </w:pPr>
      <w:rPr>
        <w:rFonts w:ascii="Wingdings" w:hAnsi="Wingdings" w:hint="default"/>
      </w:rPr>
    </w:lvl>
  </w:abstractNum>
  <w:abstractNum w:abstractNumId="15" w15:restartNumberingAfterBreak="0">
    <w:nsid w:val="11C27F85"/>
    <w:multiLevelType w:val="hybridMultilevel"/>
    <w:tmpl w:val="AC62D906"/>
    <w:lvl w:ilvl="0" w:tplc="56BA89B2">
      <w:start w:val="1"/>
      <w:numFmt w:val="decimal"/>
      <w:lvlText w:val="%1."/>
      <w:lvlJc w:val="left"/>
      <w:pPr>
        <w:ind w:left="720" w:hanging="360"/>
      </w:pPr>
    </w:lvl>
    <w:lvl w:ilvl="1" w:tplc="18D63E1C">
      <w:start w:val="1"/>
      <w:numFmt w:val="lowerLetter"/>
      <w:lvlText w:val="%2."/>
      <w:lvlJc w:val="left"/>
      <w:pPr>
        <w:ind w:left="1440" w:hanging="360"/>
      </w:pPr>
    </w:lvl>
    <w:lvl w:ilvl="2" w:tplc="152A39C8">
      <w:start w:val="1"/>
      <w:numFmt w:val="lowerRoman"/>
      <w:lvlText w:val="%3."/>
      <w:lvlJc w:val="right"/>
      <w:pPr>
        <w:ind w:left="2160" w:hanging="180"/>
      </w:pPr>
    </w:lvl>
    <w:lvl w:ilvl="3" w:tplc="06C2B34C">
      <w:start w:val="1"/>
      <w:numFmt w:val="decimal"/>
      <w:lvlText w:val="%4."/>
      <w:lvlJc w:val="left"/>
      <w:pPr>
        <w:ind w:left="2880" w:hanging="360"/>
      </w:pPr>
    </w:lvl>
    <w:lvl w:ilvl="4" w:tplc="E6BC7E78">
      <w:start w:val="1"/>
      <w:numFmt w:val="lowerLetter"/>
      <w:lvlText w:val="%5."/>
      <w:lvlJc w:val="left"/>
      <w:pPr>
        <w:ind w:left="3600" w:hanging="360"/>
      </w:pPr>
    </w:lvl>
    <w:lvl w:ilvl="5" w:tplc="536E3EAE">
      <w:start w:val="1"/>
      <w:numFmt w:val="lowerRoman"/>
      <w:lvlText w:val="%6."/>
      <w:lvlJc w:val="right"/>
      <w:pPr>
        <w:ind w:left="4320" w:hanging="180"/>
      </w:pPr>
    </w:lvl>
    <w:lvl w:ilvl="6" w:tplc="2A987234">
      <w:start w:val="1"/>
      <w:numFmt w:val="decimal"/>
      <w:lvlText w:val="%7."/>
      <w:lvlJc w:val="left"/>
      <w:pPr>
        <w:ind w:left="5040" w:hanging="360"/>
      </w:pPr>
    </w:lvl>
    <w:lvl w:ilvl="7" w:tplc="C632F12C">
      <w:start w:val="1"/>
      <w:numFmt w:val="lowerLetter"/>
      <w:lvlText w:val="%8."/>
      <w:lvlJc w:val="left"/>
      <w:pPr>
        <w:ind w:left="5760" w:hanging="360"/>
      </w:pPr>
    </w:lvl>
    <w:lvl w:ilvl="8" w:tplc="D368BDF0">
      <w:start w:val="1"/>
      <w:numFmt w:val="lowerRoman"/>
      <w:lvlText w:val="%9."/>
      <w:lvlJc w:val="right"/>
      <w:pPr>
        <w:ind w:left="6480" w:hanging="180"/>
      </w:pPr>
    </w:lvl>
  </w:abstractNum>
  <w:abstractNum w:abstractNumId="16" w15:restartNumberingAfterBreak="0">
    <w:nsid w:val="12ED30F3"/>
    <w:multiLevelType w:val="hybridMultilevel"/>
    <w:tmpl w:val="2EF6F0DE"/>
    <w:lvl w:ilvl="0" w:tplc="08B09574">
      <w:start w:val="1"/>
      <w:numFmt w:val="decimal"/>
      <w:lvlText w:val="%1."/>
      <w:lvlJc w:val="left"/>
      <w:pPr>
        <w:ind w:left="720" w:hanging="360"/>
      </w:pPr>
    </w:lvl>
    <w:lvl w:ilvl="1" w:tplc="205851AC">
      <w:start w:val="1"/>
      <w:numFmt w:val="lowerLetter"/>
      <w:lvlText w:val="%2."/>
      <w:lvlJc w:val="left"/>
      <w:pPr>
        <w:ind w:left="1440" w:hanging="360"/>
      </w:pPr>
    </w:lvl>
    <w:lvl w:ilvl="2" w:tplc="BC327700">
      <w:start w:val="1"/>
      <w:numFmt w:val="lowerRoman"/>
      <w:lvlText w:val="%3."/>
      <w:lvlJc w:val="right"/>
      <w:pPr>
        <w:ind w:left="2160" w:hanging="180"/>
      </w:pPr>
    </w:lvl>
    <w:lvl w:ilvl="3" w:tplc="C8BC5466">
      <w:start w:val="1"/>
      <w:numFmt w:val="decimal"/>
      <w:lvlText w:val="%4."/>
      <w:lvlJc w:val="left"/>
      <w:pPr>
        <w:ind w:left="2880" w:hanging="360"/>
      </w:pPr>
    </w:lvl>
    <w:lvl w:ilvl="4" w:tplc="564ACD58">
      <w:start w:val="1"/>
      <w:numFmt w:val="lowerLetter"/>
      <w:lvlText w:val="%5."/>
      <w:lvlJc w:val="left"/>
      <w:pPr>
        <w:ind w:left="3600" w:hanging="360"/>
      </w:pPr>
    </w:lvl>
    <w:lvl w:ilvl="5" w:tplc="39828AB4">
      <w:start w:val="1"/>
      <w:numFmt w:val="lowerRoman"/>
      <w:lvlText w:val="%6."/>
      <w:lvlJc w:val="right"/>
      <w:pPr>
        <w:ind w:left="4320" w:hanging="180"/>
      </w:pPr>
    </w:lvl>
    <w:lvl w:ilvl="6" w:tplc="8EB08C16">
      <w:start w:val="1"/>
      <w:numFmt w:val="decimal"/>
      <w:lvlText w:val="%7."/>
      <w:lvlJc w:val="left"/>
      <w:pPr>
        <w:ind w:left="5040" w:hanging="360"/>
      </w:pPr>
    </w:lvl>
    <w:lvl w:ilvl="7" w:tplc="8C924DBA">
      <w:start w:val="1"/>
      <w:numFmt w:val="lowerLetter"/>
      <w:lvlText w:val="%8."/>
      <w:lvlJc w:val="left"/>
      <w:pPr>
        <w:ind w:left="5760" w:hanging="360"/>
      </w:pPr>
    </w:lvl>
    <w:lvl w:ilvl="8" w:tplc="6EDC8678">
      <w:start w:val="1"/>
      <w:numFmt w:val="lowerRoman"/>
      <w:lvlText w:val="%9."/>
      <w:lvlJc w:val="right"/>
      <w:pPr>
        <w:ind w:left="6480" w:hanging="180"/>
      </w:pPr>
    </w:lvl>
  </w:abstractNum>
  <w:abstractNum w:abstractNumId="17" w15:restartNumberingAfterBreak="0">
    <w:nsid w:val="14E37843"/>
    <w:multiLevelType w:val="hybridMultilevel"/>
    <w:tmpl w:val="06E4BB06"/>
    <w:lvl w:ilvl="0" w:tplc="87A65E96">
      <w:start w:val="1"/>
      <w:numFmt w:val="bullet"/>
      <w:lvlText w:val="·"/>
      <w:lvlJc w:val="left"/>
      <w:pPr>
        <w:ind w:left="720" w:hanging="360"/>
      </w:pPr>
      <w:rPr>
        <w:rFonts w:ascii="Symbol" w:hAnsi="Symbol" w:hint="default"/>
      </w:rPr>
    </w:lvl>
    <w:lvl w:ilvl="1" w:tplc="35E277B8">
      <w:start w:val="1"/>
      <w:numFmt w:val="bullet"/>
      <w:lvlText w:val="o"/>
      <w:lvlJc w:val="left"/>
      <w:pPr>
        <w:ind w:left="1440" w:hanging="360"/>
      </w:pPr>
      <w:rPr>
        <w:rFonts w:ascii="Courier New" w:hAnsi="Courier New" w:hint="default"/>
      </w:rPr>
    </w:lvl>
    <w:lvl w:ilvl="2" w:tplc="3D36BA04">
      <w:start w:val="1"/>
      <w:numFmt w:val="bullet"/>
      <w:lvlText w:val=""/>
      <w:lvlJc w:val="left"/>
      <w:pPr>
        <w:ind w:left="2160" w:hanging="360"/>
      </w:pPr>
      <w:rPr>
        <w:rFonts w:ascii="Wingdings" w:hAnsi="Wingdings" w:hint="default"/>
      </w:rPr>
    </w:lvl>
    <w:lvl w:ilvl="3" w:tplc="BBF0977C">
      <w:start w:val="1"/>
      <w:numFmt w:val="bullet"/>
      <w:lvlText w:val=""/>
      <w:lvlJc w:val="left"/>
      <w:pPr>
        <w:ind w:left="2880" w:hanging="360"/>
      </w:pPr>
      <w:rPr>
        <w:rFonts w:ascii="Symbol" w:hAnsi="Symbol" w:hint="default"/>
      </w:rPr>
    </w:lvl>
    <w:lvl w:ilvl="4" w:tplc="006A5ABE">
      <w:start w:val="1"/>
      <w:numFmt w:val="bullet"/>
      <w:lvlText w:val="o"/>
      <w:lvlJc w:val="left"/>
      <w:pPr>
        <w:ind w:left="3600" w:hanging="360"/>
      </w:pPr>
      <w:rPr>
        <w:rFonts w:ascii="Courier New" w:hAnsi="Courier New" w:hint="default"/>
      </w:rPr>
    </w:lvl>
    <w:lvl w:ilvl="5" w:tplc="B586783E">
      <w:start w:val="1"/>
      <w:numFmt w:val="bullet"/>
      <w:lvlText w:val=""/>
      <w:lvlJc w:val="left"/>
      <w:pPr>
        <w:ind w:left="4320" w:hanging="360"/>
      </w:pPr>
      <w:rPr>
        <w:rFonts w:ascii="Wingdings" w:hAnsi="Wingdings" w:hint="default"/>
      </w:rPr>
    </w:lvl>
    <w:lvl w:ilvl="6" w:tplc="72E644DA">
      <w:start w:val="1"/>
      <w:numFmt w:val="bullet"/>
      <w:lvlText w:val=""/>
      <w:lvlJc w:val="left"/>
      <w:pPr>
        <w:ind w:left="5040" w:hanging="360"/>
      </w:pPr>
      <w:rPr>
        <w:rFonts w:ascii="Symbol" w:hAnsi="Symbol" w:hint="default"/>
      </w:rPr>
    </w:lvl>
    <w:lvl w:ilvl="7" w:tplc="AFC80596">
      <w:start w:val="1"/>
      <w:numFmt w:val="bullet"/>
      <w:lvlText w:val="o"/>
      <w:lvlJc w:val="left"/>
      <w:pPr>
        <w:ind w:left="5760" w:hanging="360"/>
      </w:pPr>
      <w:rPr>
        <w:rFonts w:ascii="Courier New" w:hAnsi="Courier New" w:hint="default"/>
      </w:rPr>
    </w:lvl>
    <w:lvl w:ilvl="8" w:tplc="9B826EAE">
      <w:start w:val="1"/>
      <w:numFmt w:val="bullet"/>
      <w:lvlText w:val=""/>
      <w:lvlJc w:val="left"/>
      <w:pPr>
        <w:ind w:left="6480" w:hanging="360"/>
      </w:pPr>
      <w:rPr>
        <w:rFonts w:ascii="Wingdings" w:hAnsi="Wingdings" w:hint="default"/>
      </w:rPr>
    </w:lvl>
  </w:abstractNum>
  <w:abstractNum w:abstractNumId="18" w15:restartNumberingAfterBreak="0">
    <w:nsid w:val="167110EC"/>
    <w:multiLevelType w:val="hybridMultilevel"/>
    <w:tmpl w:val="61DCB332"/>
    <w:lvl w:ilvl="0" w:tplc="4FA62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197B88"/>
    <w:multiLevelType w:val="hybridMultilevel"/>
    <w:tmpl w:val="D1A682C2"/>
    <w:lvl w:ilvl="0" w:tplc="C4B04A9C">
      <w:start w:val="1"/>
      <w:numFmt w:val="bullet"/>
      <w:lvlText w:val="·"/>
      <w:lvlJc w:val="left"/>
      <w:pPr>
        <w:ind w:left="720" w:hanging="360"/>
      </w:pPr>
      <w:rPr>
        <w:rFonts w:ascii="Symbol" w:hAnsi="Symbol" w:hint="default"/>
      </w:rPr>
    </w:lvl>
    <w:lvl w:ilvl="1" w:tplc="C36ED41E">
      <w:start w:val="1"/>
      <w:numFmt w:val="bullet"/>
      <w:lvlText w:val="o"/>
      <w:lvlJc w:val="left"/>
      <w:pPr>
        <w:ind w:left="1440" w:hanging="360"/>
      </w:pPr>
      <w:rPr>
        <w:rFonts w:ascii="Courier New" w:hAnsi="Courier New" w:hint="default"/>
      </w:rPr>
    </w:lvl>
    <w:lvl w:ilvl="2" w:tplc="3A82EE7A">
      <w:start w:val="1"/>
      <w:numFmt w:val="bullet"/>
      <w:lvlText w:val=""/>
      <w:lvlJc w:val="left"/>
      <w:pPr>
        <w:ind w:left="2160" w:hanging="360"/>
      </w:pPr>
      <w:rPr>
        <w:rFonts w:ascii="Wingdings" w:hAnsi="Wingdings" w:hint="default"/>
      </w:rPr>
    </w:lvl>
    <w:lvl w:ilvl="3" w:tplc="3CC0F316">
      <w:start w:val="1"/>
      <w:numFmt w:val="bullet"/>
      <w:lvlText w:val=""/>
      <w:lvlJc w:val="left"/>
      <w:pPr>
        <w:ind w:left="2880" w:hanging="360"/>
      </w:pPr>
      <w:rPr>
        <w:rFonts w:ascii="Symbol" w:hAnsi="Symbol" w:hint="default"/>
      </w:rPr>
    </w:lvl>
    <w:lvl w:ilvl="4" w:tplc="29088B1E">
      <w:start w:val="1"/>
      <w:numFmt w:val="bullet"/>
      <w:lvlText w:val="o"/>
      <w:lvlJc w:val="left"/>
      <w:pPr>
        <w:ind w:left="3600" w:hanging="360"/>
      </w:pPr>
      <w:rPr>
        <w:rFonts w:ascii="Courier New" w:hAnsi="Courier New" w:hint="default"/>
      </w:rPr>
    </w:lvl>
    <w:lvl w:ilvl="5" w:tplc="65307A0A">
      <w:start w:val="1"/>
      <w:numFmt w:val="bullet"/>
      <w:lvlText w:val=""/>
      <w:lvlJc w:val="left"/>
      <w:pPr>
        <w:ind w:left="4320" w:hanging="360"/>
      </w:pPr>
      <w:rPr>
        <w:rFonts w:ascii="Wingdings" w:hAnsi="Wingdings" w:hint="default"/>
      </w:rPr>
    </w:lvl>
    <w:lvl w:ilvl="6" w:tplc="3BC07FA6">
      <w:start w:val="1"/>
      <w:numFmt w:val="bullet"/>
      <w:lvlText w:val=""/>
      <w:lvlJc w:val="left"/>
      <w:pPr>
        <w:ind w:left="5040" w:hanging="360"/>
      </w:pPr>
      <w:rPr>
        <w:rFonts w:ascii="Symbol" w:hAnsi="Symbol" w:hint="default"/>
      </w:rPr>
    </w:lvl>
    <w:lvl w:ilvl="7" w:tplc="A072A0DC">
      <w:start w:val="1"/>
      <w:numFmt w:val="bullet"/>
      <w:lvlText w:val="o"/>
      <w:lvlJc w:val="left"/>
      <w:pPr>
        <w:ind w:left="5760" w:hanging="360"/>
      </w:pPr>
      <w:rPr>
        <w:rFonts w:ascii="Courier New" w:hAnsi="Courier New" w:hint="default"/>
      </w:rPr>
    </w:lvl>
    <w:lvl w:ilvl="8" w:tplc="91F6F91E">
      <w:start w:val="1"/>
      <w:numFmt w:val="bullet"/>
      <w:lvlText w:val=""/>
      <w:lvlJc w:val="left"/>
      <w:pPr>
        <w:ind w:left="6480" w:hanging="360"/>
      </w:pPr>
      <w:rPr>
        <w:rFonts w:ascii="Wingdings" w:hAnsi="Wingdings" w:hint="default"/>
      </w:rPr>
    </w:lvl>
  </w:abstractNum>
  <w:abstractNum w:abstractNumId="20" w15:restartNumberingAfterBreak="0">
    <w:nsid w:val="1DD107CE"/>
    <w:multiLevelType w:val="hybridMultilevel"/>
    <w:tmpl w:val="26644F2C"/>
    <w:lvl w:ilvl="0" w:tplc="B29CAF64">
      <w:start w:val="1"/>
      <w:numFmt w:val="bullet"/>
      <w:lvlText w:val="-"/>
      <w:lvlJc w:val="left"/>
      <w:pPr>
        <w:ind w:left="720" w:hanging="360"/>
      </w:pPr>
      <w:rPr>
        <w:rFonts w:ascii="Calibri" w:hAnsi="Calibri" w:hint="default"/>
      </w:rPr>
    </w:lvl>
    <w:lvl w:ilvl="1" w:tplc="0BA2AF08">
      <w:start w:val="1"/>
      <w:numFmt w:val="bullet"/>
      <w:lvlText w:val="o"/>
      <w:lvlJc w:val="left"/>
      <w:pPr>
        <w:ind w:left="1440" w:hanging="360"/>
      </w:pPr>
      <w:rPr>
        <w:rFonts w:ascii="Courier New" w:hAnsi="Courier New" w:hint="default"/>
      </w:rPr>
    </w:lvl>
    <w:lvl w:ilvl="2" w:tplc="5F5814DC">
      <w:start w:val="1"/>
      <w:numFmt w:val="bullet"/>
      <w:lvlText w:val=""/>
      <w:lvlJc w:val="left"/>
      <w:pPr>
        <w:ind w:left="2160" w:hanging="360"/>
      </w:pPr>
      <w:rPr>
        <w:rFonts w:ascii="Wingdings" w:hAnsi="Wingdings" w:hint="default"/>
      </w:rPr>
    </w:lvl>
    <w:lvl w:ilvl="3" w:tplc="BC9C413A">
      <w:start w:val="1"/>
      <w:numFmt w:val="bullet"/>
      <w:lvlText w:val=""/>
      <w:lvlJc w:val="left"/>
      <w:pPr>
        <w:ind w:left="2880" w:hanging="360"/>
      </w:pPr>
      <w:rPr>
        <w:rFonts w:ascii="Symbol" w:hAnsi="Symbol" w:hint="default"/>
      </w:rPr>
    </w:lvl>
    <w:lvl w:ilvl="4" w:tplc="AD44BEC4">
      <w:start w:val="1"/>
      <w:numFmt w:val="bullet"/>
      <w:lvlText w:val="o"/>
      <w:lvlJc w:val="left"/>
      <w:pPr>
        <w:ind w:left="3600" w:hanging="360"/>
      </w:pPr>
      <w:rPr>
        <w:rFonts w:ascii="Courier New" w:hAnsi="Courier New" w:hint="default"/>
      </w:rPr>
    </w:lvl>
    <w:lvl w:ilvl="5" w:tplc="E0128EE8">
      <w:start w:val="1"/>
      <w:numFmt w:val="bullet"/>
      <w:lvlText w:val=""/>
      <w:lvlJc w:val="left"/>
      <w:pPr>
        <w:ind w:left="4320" w:hanging="360"/>
      </w:pPr>
      <w:rPr>
        <w:rFonts w:ascii="Wingdings" w:hAnsi="Wingdings" w:hint="default"/>
      </w:rPr>
    </w:lvl>
    <w:lvl w:ilvl="6" w:tplc="FF561D68">
      <w:start w:val="1"/>
      <w:numFmt w:val="bullet"/>
      <w:lvlText w:val=""/>
      <w:lvlJc w:val="left"/>
      <w:pPr>
        <w:ind w:left="5040" w:hanging="360"/>
      </w:pPr>
      <w:rPr>
        <w:rFonts w:ascii="Symbol" w:hAnsi="Symbol" w:hint="default"/>
      </w:rPr>
    </w:lvl>
    <w:lvl w:ilvl="7" w:tplc="A8CC1038">
      <w:start w:val="1"/>
      <w:numFmt w:val="bullet"/>
      <w:lvlText w:val="o"/>
      <w:lvlJc w:val="left"/>
      <w:pPr>
        <w:ind w:left="5760" w:hanging="360"/>
      </w:pPr>
      <w:rPr>
        <w:rFonts w:ascii="Courier New" w:hAnsi="Courier New" w:hint="default"/>
      </w:rPr>
    </w:lvl>
    <w:lvl w:ilvl="8" w:tplc="7E2E179C">
      <w:start w:val="1"/>
      <w:numFmt w:val="bullet"/>
      <w:lvlText w:val=""/>
      <w:lvlJc w:val="left"/>
      <w:pPr>
        <w:ind w:left="6480" w:hanging="360"/>
      </w:pPr>
      <w:rPr>
        <w:rFonts w:ascii="Wingdings" w:hAnsi="Wingdings" w:hint="default"/>
      </w:rPr>
    </w:lvl>
  </w:abstractNum>
  <w:abstractNum w:abstractNumId="21" w15:restartNumberingAfterBreak="0">
    <w:nsid w:val="21352F7F"/>
    <w:multiLevelType w:val="hybridMultilevel"/>
    <w:tmpl w:val="9B6AC760"/>
    <w:lvl w:ilvl="0" w:tplc="5FEC693A">
      <w:start w:val="1"/>
      <w:numFmt w:val="bullet"/>
      <w:lvlText w:val="•"/>
      <w:lvlJc w:val="left"/>
      <w:pPr>
        <w:tabs>
          <w:tab w:val="num" w:pos="720"/>
        </w:tabs>
        <w:ind w:left="720" w:hanging="360"/>
      </w:pPr>
      <w:rPr>
        <w:rFonts w:ascii="Times New Roman" w:hAnsi="Times New Roman" w:hint="default"/>
      </w:rPr>
    </w:lvl>
    <w:lvl w:ilvl="1" w:tplc="567C49F0" w:tentative="1">
      <w:start w:val="1"/>
      <w:numFmt w:val="bullet"/>
      <w:lvlText w:val="•"/>
      <w:lvlJc w:val="left"/>
      <w:pPr>
        <w:tabs>
          <w:tab w:val="num" w:pos="1440"/>
        </w:tabs>
        <w:ind w:left="1440" w:hanging="360"/>
      </w:pPr>
      <w:rPr>
        <w:rFonts w:ascii="Times New Roman" w:hAnsi="Times New Roman" w:hint="default"/>
      </w:rPr>
    </w:lvl>
    <w:lvl w:ilvl="2" w:tplc="CE203C08" w:tentative="1">
      <w:start w:val="1"/>
      <w:numFmt w:val="bullet"/>
      <w:lvlText w:val="•"/>
      <w:lvlJc w:val="left"/>
      <w:pPr>
        <w:tabs>
          <w:tab w:val="num" w:pos="2160"/>
        </w:tabs>
        <w:ind w:left="2160" w:hanging="360"/>
      </w:pPr>
      <w:rPr>
        <w:rFonts w:ascii="Times New Roman" w:hAnsi="Times New Roman" w:hint="default"/>
      </w:rPr>
    </w:lvl>
    <w:lvl w:ilvl="3" w:tplc="48F67D72" w:tentative="1">
      <w:start w:val="1"/>
      <w:numFmt w:val="bullet"/>
      <w:lvlText w:val="•"/>
      <w:lvlJc w:val="left"/>
      <w:pPr>
        <w:tabs>
          <w:tab w:val="num" w:pos="2880"/>
        </w:tabs>
        <w:ind w:left="2880" w:hanging="360"/>
      </w:pPr>
      <w:rPr>
        <w:rFonts w:ascii="Times New Roman" w:hAnsi="Times New Roman" w:hint="default"/>
      </w:rPr>
    </w:lvl>
    <w:lvl w:ilvl="4" w:tplc="1922A246" w:tentative="1">
      <w:start w:val="1"/>
      <w:numFmt w:val="bullet"/>
      <w:lvlText w:val="•"/>
      <w:lvlJc w:val="left"/>
      <w:pPr>
        <w:tabs>
          <w:tab w:val="num" w:pos="3600"/>
        </w:tabs>
        <w:ind w:left="3600" w:hanging="360"/>
      </w:pPr>
      <w:rPr>
        <w:rFonts w:ascii="Times New Roman" w:hAnsi="Times New Roman" w:hint="default"/>
      </w:rPr>
    </w:lvl>
    <w:lvl w:ilvl="5" w:tplc="EBF6BFF6" w:tentative="1">
      <w:start w:val="1"/>
      <w:numFmt w:val="bullet"/>
      <w:lvlText w:val="•"/>
      <w:lvlJc w:val="left"/>
      <w:pPr>
        <w:tabs>
          <w:tab w:val="num" w:pos="4320"/>
        </w:tabs>
        <w:ind w:left="4320" w:hanging="360"/>
      </w:pPr>
      <w:rPr>
        <w:rFonts w:ascii="Times New Roman" w:hAnsi="Times New Roman" w:hint="default"/>
      </w:rPr>
    </w:lvl>
    <w:lvl w:ilvl="6" w:tplc="F4366F4A" w:tentative="1">
      <w:start w:val="1"/>
      <w:numFmt w:val="bullet"/>
      <w:lvlText w:val="•"/>
      <w:lvlJc w:val="left"/>
      <w:pPr>
        <w:tabs>
          <w:tab w:val="num" w:pos="5040"/>
        </w:tabs>
        <w:ind w:left="5040" w:hanging="360"/>
      </w:pPr>
      <w:rPr>
        <w:rFonts w:ascii="Times New Roman" w:hAnsi="Times New Roman" w:hint="default"/>
      </w:rPr>
    </w:lvl>
    <w:lvl w:ilvl="7" w:tplc="0AE2D5BA" w:tentative="1">
      <w:start w:val="1"/>
      <w:numFmt w:val="bullet"/>
      <w:lvlText w:val="•"/>
      <w:lvlJc w:val="left"/>
      <w:pPr>
        <w:tabs>
          <w:tab w:val="num" w:pos="5760"/>
        </w:tabs>
        <w:ind w:left="5760" w:hanging="360"/>
      </w:pPr>
      <w:rPr>
        <w:rFonts w:ascii="Times New Roman" w:hAnsi="Times New Roman" w:hint="default"/>
      </w:rPr>
    </w:lvl>
    <w:lvl w:ilvl="8" w:tplc="CBCE1B6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1FF7294"/>
    <w:multiLevelType w:val="hybridMultilevel"/>
    <w:tmpl w:val="2E1E9C0A"/>
    <w:lvl w:ilvl="0" w:tplc="6CE401B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05397"/>
    <w:multiLevelType w:val="hybridMultilevel"/>
    <w:tmpl w:val="30660222"/>
    <w:lvl w:ilvl="0" w:tplc="1FFEBA84">
      <w:start w:val="1"/>
      <w:numFmt w:val="decimal"/>
      <w:lvlText w:val="%1."/>
      <w:lvlJc w:val="left"/>
      <w:pPr>
        <w:ind w:left="720" w:hanging="360"/>
      </w:pPr>
    </w:lvl>
    <w:lvl w:ilvl="1" w:tplc="131EE4CA">
      <w:start w:val="1"/>
      <w:numFmt w:val="lowerLetter"/>
      <w:lvlText w:val="%2."/>
      <w:lvlJc w:val="left"/>
      <w:pPr>
        <w:ind w:left="1440" w:hanging="360"/>
      </w:pPr>
    </w:lvl>
    <w:lvl w:ilvl="2" w:tplc="B838D4E6">
      <w:start w:val="1"/>
      <w:numFmt w:val="lowerRoman"/>
      <w:lvlText w:val="%3."/>
      <w:lvlJc w:val="right"/>
      <w:pPr>
        <w:ind w:left="2160" w:hanging="180"/>
      </w:pPr>
    </w:lvl>
    <w:lvl w:ilvl="3" w:tplc="FAECE9E8">
      <w:start w:val="1"/>
      <w:numFmt w:val="decimal"/>
      <w:lvlText w:val="%4."/>
      <w:lvlJc w:val="left"/>
      <w:pPr>
        <w:ind w:left="2880" w:hanging="360"/>
      </w:pPr>
    </w:lvl>
    <w:lvl w:ilvl="4" w:tplc="1CA4101E">
      <w:start w:val="1"/>
      <w:numFmt w:val="lowerLetter"/>
      <w:lvlText w:val="%5."/>
      <w:lvlJc w:val="left"/>
      <w:pPr>
        <w:ind w:left="3600" w:hanging="360"/>
      </w:pPr>
    </w:lvl>
    <w:lvl w:ilvl="5" w:tplc="8F647AA6">
      <w:start w:val="1"/>
      <w:numFmt w:val="lowerRoman"/>
      <w:lvlText w:val="%6."/>
      <w:lvlJc w:val="right"/>
      <w:pPr>
        <w:ind w:left="4320" w:hanging="180"/>
      </w:pPr>
    </w:lvl>
    <w:lvl w:ilvl="6" w:tplc="C810BB20">
      <w:start w:val="1"/>
      <w:numFmt w:val="decimal"/>
      <w:lvlText w:val="%7."/>
      <w:lvlJc w:val="left"/>
      <w:pPr>
        <w:ind w:left="5040" w:hanging="360"/>
      </w:pPr>
    </w:lvl>
    <w:lvl w:ilvl="7" w:tplc="74A2D558">
      <w:start w:val="1"/>
      <w:numFmt w:val="lowerLetter"/>
      <w:lvlText w:val="%8."/>
      <w:lvlJc w:val="left"/>
      <w:pPr>
        <w:ind w:left="5760" w:hanging="360"/>
      </w:pPr>
    </w:lvl>
    <w:lvl w:ilvl="8" w:tplc="2EF83CA0">
      <w:start w:val="1"/>
      <w:numFmt w:val="lowerRoman"/>
      <w:lvlText w:val="%9."/>
      <w:lvlJc w:val="right"/>
      <w:pPr>
        <w:ind w:left="6480" w:hanging="180"/>
      </w:pPr>
    </w:lvl>
  </w:abstractNum>
  <w:abstractNum w:abstractNumId="24" w15:restartNumberingAfterBreak="0">
    <w:nsid w:val="22D27EF5"/>
    <w:multiLevelType w:val="hybridMultilevel"/>
    <w:tmpl w:val="9C2A927C"/>
    <w:lvl w:ilvl="0" w:tplc="02F497AE">
      <w:start w:val="1"/>
      <w:numFmt w:val="bullet"/>
      <w:lvlText w:val="-"/>
      <w:lvlJc w:val="left"/>
      <w:pPr>
        <w:ind w:left="720" w:hanging="360"/>
      </w:pPr>
      <w:rPr>
        <w:rFonts w:ascii="Calibri" w:hAnsi="Calibri" w:hint="default"/>
      </w:rPr>
    </w:lvl>
    <w:lvl w:ilvl="1" w:tplc="813C4A74">
      <w:start w:val="1"/>
      <w:numFmt w:val="bullet"/>
      <w:lvlText w:val="o"/>
      <w:lvlJc w:val="left"/>
      <w:pPr>
        <w:ind w:left="1440" w:hanging="360"/>
      </w:pPr>
      <w:rPr>
        <w:rFonts w:ascii="Courier New" w:hAnsi="Courier New" w:hint="default"/>
      </w:rPr>
    </w:lvl>
    <w:lvl w:ilvl="2" w:tplc="B3BE18D8">
      <w:start w:val="1"/>
      <w:numFmt w:val="bullet"/>
      <w:lvlText w:val=""/>
      <w:lvlJc w:val="left"/>
      <w:pPr>
        <w:ind w:left="2160" w:hanging="360"/>
      </w:pPr>
      <w:rPr>
        <w:rFonts w:ascii="Wingdings" w:hAnsi="Wingdings" w:hint="default"/>
      </w:rPr>
    </w:lvl>
    <w:lvl w:ilvl="3" w:tplc="7808541C">
      <w:start w:val="1"/>
      <w:numFmt w:val="bullet"/>
      <w:lvlText w:val=""/>
      <w:lvlJc w:val="left"/>
      <w:pPr>
        <w:ind w:left="2880" w:hanging="360"/>
      </w:pPr>
      <w:rPr>
        <w:rFonts w:ascii="Symbol" w:hAnsi="Symbol" w:hint="default"/>
      </w:rPr>
    </w:lvl>
    <w:lvl w:ilvl="4" w:tplc="4E94FC28">
      <w:start w:val="1"/>
      <w:numFmt w:val="bullet"/>
      <w:lvlText w:val="o"/>
      <w:lvlJc w:val="left"/>
      <w:pPr>
        <w:ind w:left="3600" w:hanging="360"/>
      </w:pPr>
      <w:rPr>
        <w:rFonts w:ascii="Courier New" w:hAnsi="Courier New" w:hint="default"/>
      </w:rPr>
    </w:lvl>
    <w:lvl w:ilvl="5" w:tplc="541E7A32">
      <w:start w:val="1"/>
      <w:numFmt w:val="bullet"/>
      <w:lvlText w:val=""/>
      <w:lvlJc w:val="left"/>
      <w:pPr>
        <w:ind w:left="4320" w:hanging="360"/>
      </w:pPr>
      <w:rPr>
        <w:rFonts w:ascii="Wingdings" w:hAnsi="Wingdings" w:hint="default"/>
      </w:rPr>
    </w:lvl>
    <w:lvl w:ilvl="6" w:tplc="30FEDA7C">
      <w:start w:val="1"/>
      <w:numFmt w:val="bullet"/>
      <w:lvlText w:val=""/>
      <w:lvlJc w:val="left"/>
      <w:pPr>
        <w:ind w:left="5040" w:hanging="360"/>
      </w:pPr>
      <w:rPr>
        <w:rFonts w:ascii="Symbol" w:hAnsi="Symbol" w:hint="default"/>
      </w:rPr>
    </w:lvl>
    <w:lvl w:ilvl="7" w:tplc="59C09BFA">
      <w:start w:val="1"/>
      <w:numFmt w:val="bullet"/>
      <w:lvlText w:val="o"/>
      <w:lvlJc w:val="left"/>
      <w:pPr>
        <w:ind w:left="5760" w:hanging="360"/>
      </w:pPr>
      <w:rPr>
        <w:rFonts w:ascii="Courier New" w:hAnsi="Courier New" w:hint="default"/>
      </w:rPr>
    </w:lvl>
    <w:lvl w:ilvl="8" w:tplc="61A438D2">
      <w:start w:val="1"/>
      <w:numFmt w:val="bullet"/>
      <w:lvlText w:val=""/>
      <w:lvlJc w:val="left"/>
      <w:pPr>
        <w:ind w:left="6480" w:hanging="360"/>
      </w:pPr>
      <w:rPr>
        <w:rFonts w:ascii="Wingdings" w:hAnsi="Wingdings" w:hint="default"/>
      </w:rPr>
    </w:lvl>
  </w:abstractNum>
  <w:abstractNum w:abstractNumId="25" w15:restartNumberingAfterBreak="0">
    <w:nsid w:val="2640285C"/>
    <w:multiLevelType w:val="hybridMultilevel"/>
    <w:tmpl w:val="16D0871A"/>
    <w:lvl w:ilvl="0" w:tplc="78888186">
      <w:start w:val="1"/>
      <w:numFmt w:val="decimal"/>
      <w:lvlText w:val="%1."/>
      <w:lvlJc w:val="left"/>
      <w:pPr>
        <w:ind w:left="720" w:hanging="360"/>
      </w:pPr>
    </w:lvl>
    <w:lvl w:ilvl="1" w:tplc="94F066EC">
      <w:start w:val="1"/>
      <w:numFmt w:val="lowerLetter"/>
      <w:lvlText w:val="%2."/>
      <w:lvlJc w:val="left"/>
      <w:pPr>
        <w:ind w:left="1440" w:hanging="360"/>
      </w:pPr>
    </w:lvl>
    <w:lvl w:ilvl="2" w:tplc="0A2C9C86">
      <w:start w:val="1"/>
      <w:numFmt w:val="lowerRoman"/>
      <w:lvlText w:val="%3."/>
      <w:lvlJc w:val="right"/>
      <w:pPr>
        <w:ind w:left="2160" w:hanging="180"/>
      </w:pPr>
    </w:lvl>
    <w:lvl w:ilvl="3" w:tplc="2C2849A0">
      <w:start w:val="1"/>
      <w:numFmt w:val="decimal"/>
      <w:lvlText w:val="%4."/>
      <w:lvlJc w:val="left"/>
      <w:pPr>
        <w:ind w:left="2880" w:hanging="360"/>
      </w:pPr>
    </w:lvl>
    <w:lvl w:ilvl="4" w:tplc="DF764DE6">
      <w:start w:val="1"/>
      <w:numFmt w:val="lowerLetter"/>
      <w:lvlText w:val="%5."/>
      <w:lvlJc w:val="left"/>
      <w:pPr>
        <w:ind w:left="3600" w:hanging="360"/>
      </w:pPr>
    </w:lvl>
    <w:lvl w:ilvl="5" w:tplc="E7089F18">
      <w:start w:val="1"/>
      <w:numFmt w:val="lowerRoman"/>
      <w:lvlText w:val="%6."/>
      <w:lvlJc w:val="right"/>
      <w:pPr>
        <w:ind w:left="4320" w:hanging="180"/>
      </w:pPr>
    </w:lvl>
    <w:lvl w:ilvl="6" w:tplc="C93A5B7C">
      <w:start w:val="1"/>
      <w:numFmt w:val="decimal"/>
      <w:lvlText w:val="%7."/>
      <w:lvlJc w:val="left"/>
      <w:pPr>
        <w:ind w:left="5040" w:hanging="360"/>
      </w:pPr>
    </w:lvl>
    <w:lvl w:ilvl="7" w:tplc="1B5CE4BC">
      <w:start w:val="1"/>
      <w:numFmt w:val="lowerLetter"/>
      <w:lvlText w:val="%8."/>
      <w:lvlJc w:val="left"/>
      <w:pPr>
        <w:ind w:left="5760" w:hanging="360"/>
      </w:pPr>
    </w:lvl>
    <w:lvl w:ilvl="8" w:tplc="A7F4B8FA">
      <w:start w:val="1"/>
      <w:numFmt w:val="lowerRoman"/>
      <w:lvlText w:val="%9."/>
      <w:lvlJc w:val="right"/>
      <w:pPr>
        <w:ind w:left="6480" w:hanging="180"/>
      </w:pPr>
    </w:lvl>
  </w:abstractNum>
  <w:abstractNum w:abstractNumId="26" w15:restartNumberingAfterBreak="0">
    <w:nsid w:val="28C01010"/>
    <w:multiLevelType w:val="hybridMultilevel"/>
    <w:tmpl w:val="D9EA9860"/>
    <w:lvl w:ilvl="0" w:tplc="3752AB2A">
      <w:start w:val="1"/>
      <w:numFmt w:val="decimal"/>
      <w:lvlText w:val="%1."/>
      <w:lvlJc w:val="left"/>
      <w:pPr>
        <w:ind w:left="720" w:hanging="360"/>
      </w:pPr>
    </w:lvl>
    <w:lvl w:ilvl="1" w:tplc="12883442">
      <w:start w:val="1"/>
      <w:numFmt w:val="lowerLetter"/>
      <w:lvlText w:val="%2."/>
      <w:lvlJc w:val="left"/>
      <w:pPr>
        <w:ind w:left="1440" w:hanging="360"/>
      </w:pPr>
    </w:lvl>
    <w:lvl w:ilvl="2" w:tplc="3744A024">
      <w:start w:val="1"/>
      <w:numFmt w:val="lowerRoman"/>
      <w:lvlText w:val="%3."/>
      <w:lvlJc w:val="right"/>
      <w:pPr>
        <w:ind w:left="2160" w:hanging="180"/>
      </w:pPr>
    </w:lvl>
    <w:lvl w:ilvl="3" w:tplc="022002B4">
      <w:start w:val="1"/>
      <w:numFmt w:val="decimal"/>
      <w:lvlText w:val="%4."/>
      <w:lvlJc w:val="left"/>
      <w:pPr>
        <w:ind w:left="2880" w:hanging="360"/>
      </w:pPr>
    </w:lvl>
    <w:lvl w:ilvl="4" w:tplc="366AE3DE">
      <w:start w:val="1"/>
      <w:numFmt w:val="lowerLetter"/>
      <w:lvlText w:val="%5."/>
      <w:lvlJc w:val="left"/>
      <w:pPr>
        <w:ind w:left="3600" w:hanging="360"/>
      </w:pPr>
    </w:lvl>
    <w:lvl w:ilvl="5" w:tplc="3DAE9D62">
      <w:start w:val="1"/>
      <w:numFmt w:val="lowerRoman"/>
      <w:lvlText w:val="%6."/>
      <w:lvlJc w:val="right"/>
      <w:pPr>
        <w:ind w:left="4320" w:hanging="180"/>
      </w:pPr>
    </w:lvl>
    <w:lvl w:ilvl="6" w:tplc="58CE4B5E">
      <w:start w:val="1"/>
      <w:numFmt w:val="decimal"/>
      <w:lvlText w:val="%7."/>
      <w:lvlJc w:val="left"/>
      <w:pPr>
        <w:ind w:left="5040" w:hanging="360"/>
      </w:pPr>
    </w:lvl>
    <w:lvl w:ilvl="7" w:tplc="DEF270AE">
      <w:start w:val="1"/>
      <w:numFmt w:val="lowerLetter"/>
      <w:lvlText w:val="%8."/>
      <w:lvlJc w:val="left"/>
      <w:pPr>
        <w:ind w:left="5760" w:hanging="360"/>
      </w:pPr>
    </w:lvl>
    <w:lvl w:ilvl="8" w:tplc="263AC498">
      <w:start w:val="1"/>
      <w:numFmt w:val="lowerRoman"/>
      <w:lvlText w:val="%9."/>
      <w:lvlJc w:val="right"/>
      <w:pPr>
        <w:ind w:left="6480" w:hanging="180"/>
      </w:pPr>
    </w:lvl>
  </w:abstractNum>
  <w:abstractNum w:abstractNumId="27" w15:restartNumberingAfterBreak="0">
    <w:nsid w:val="295133EB"/>
    <w:multiLevelType w:val="hybridMultilevel"/>
    <w:tmpl w:val="F0B86C86"/>
    <w:lvl w:ilvl="0" w:tplc="C0B0D75C">
      <w:start w:val="1"/>
      <w:numFmt w:val="decimal"/>
      <w:lvlText w:val="%1."/>
      <w:lvlJc w:val="left"/>
      <w:pPr>
        <w:ind w:left="720" w:hanging="360"/>
      </w:pPr>
    </w:lvl>
    <w:lvl w:ilvl="1" w:tplc="5DC23DAE">
      <w:start w:val="1"/>
      <w:numFmt w:val="lowerLetter"/>
      <w:lvlText w:val="%2."/>
      <w:lvlJc w:val="left"/>
      <w:pPr>
        <w:ind w:left="1440" w:hanging="360"/>
      </w:pPr>
    </w:lvl>
    <w:lvl w:ilvl="2" w:tplc="A86A9F5A">
      <w:start w:val="1"/>
      <w:numFmt w:val="lowerRoman"/>
      <w:lvlText w:val="%3."/>
      <w:lvlJc w:val="right"/>
      <w:pPr>
        <w:ind w:left="2160" w:hanging="180"/>
      </w:pPr>
    </w:lvl>
    <w:lvl w:ilvl="3" w:tplc="DED2D522">
      <w:start w:val="1"/>
      <w:numFmt w:val="decimal"/>
      <w:lvlText w:val="%4."/>
      <w:lvlJc w:val="left"/>
      <w:pPr>
        <w:ind w:left="2880" w:hanging="360"/>
      </w:pPr>
    </w:lvl>
    <w:lvl w:ilvl="4" w:tplc="FEFA4AF0">
      <w:start w:val="1"/>
      <w:numFmt w:val="lowerLetter"/>
      <w:lvlText w:val="%5."/>
      <w:lvlJc w:val="left"/>
      <w:pPr>
        <w:ind w:left="3600" w:hanging="360"/>
      </w:pPr>
    </w:lvl>
    <w:lvl w:ilvl="5" w:tplc="6D62A98C">
      <w:start w:val="1"/>
      <w:numFmt w:val="lowerRoman"/>
      <w:lvlText w:val="%6."/>
      <w:lvlJc w:val="right"/>
      <w:pPr>
        <w:ind w:left="4320" w:hanging="180"/>
      </w:pPr>
    </w:lvl>
    <w:lvl w:ilvl="6" w:tplc="D05E545A">
      <w:start w:val="1"/>
      <w:numFmt w:val="decimal"/>
      <w:lvlText w:val="%7."/>
      <w:lvlJc w:val="left"/>
      <w:pPr>
        <w:ind w:left="5040" w:hanging="360"/>
      </w:pPr>
    </w:lvl>
    <w:lvl w:ilvl="7" w:tplc="8CB80AE6">
      <w:start w:val="1"/>
      <w:numFmt w:val="lowerLetter"/>
      <w:lvlText w:val="%8."/>
      <w:lvlJc w:val="left"/>
      <w:pPr>
        <w:ind w:left="5760" w:hanging="360"/>
      </w:pPr>
    </w:lvl>
    <w:lvl w:ilvl="8" w:tplc="686C7596">
      <w:start w:val="1"/>
      <w:numFmt w:val="lowerRoman"/>
      <w:lvlText w:val="%9."/>
      <w:lvlJc w:val="right"/>
      <w:pPr>
        <w:ind w:left="6480" w:hanging="180"/>
      </w:pPr>
    </w:lvl>
  </w:abstractNum>
  <w:abstractNum w:abstractNumId="28" w15:restartNumberingAfterBreak="0">
    <w:nsid w:val="2A8904EE"/>
    <w:multiLevelType w:val="hybridMultilevel"/>
    <w:tmpl w:val="86EEE398"/>
    <w:lvl w:ilvl="0" w:tplc="F020A27A">
      <w:start w:val="1"/>
      <w:numFmt w:val="bullet"/>
      <w:lvlText w:val="-"/>
      <w:lvlJc w:val="left"/>
      <w:pPr>
        <w:ind w:left="720" w:hanging="360"/>
      </w:pPr>
      <w:rPr>
        <w:rFonts w:ascii="Calibri" w:hAnsi="Calibri" w:hint="default"/>
      </w:rPr>
    </w:lvl>
    <w:lvl w:ilvl="1" w:tplc="9058F2BA">
      <w:start w:val="1"/>
      <w:numFmt w:val="bullet"/>
      <w:lvlText w:val="o"/>
      <w:lvlJc w:val="left"/>
      <w:pPr>
        <w:ind w:left="1440" w:hanging="360"/>
      </w:pPr>
      <w:rPr>
        <w:rFonts w:ascii="Courier New" w:hAnsi="Courier New" w:hint="default"/>
      </w:rPr>
    </w:lvl>
    <w:lvl w:ilvl="2" w:tplc="520C2CE6">
      <w:start w:val="1"/>
      <w:numFmt w:val="bullet"/>
      <w:lvlText w:val=""/>
      <w:lvlJc w:val="left"/>
      <w:pPr>
        <w:ind w:left="2160" w:hanging="360"/>
      </w:pPr>
      <w:rPr>
        <w:rFonts w:ascii="Wingdings" w:hAnsi="Wingdings" w:hint="default"/>
      </w:rPr>
    </w:lvl>
    <w:lvl w:ilvl="3" w:tplc="E6F4B84A">
      <w:start w:val="1"/>
      <w:numFmt w:val="bullet"/>
      <w:lvlText w:val=""/>
      <w:lvlJc w:val="left"/>
      <w:pPr>
        <w:ind w:left="2880" w:hanging="360"/>
      </w:pPr>
      <w:rPr>
        <w:rFonts w:ascii="Symbol" w:hAnsi="Symbol" w:hint="default"/>
      </w:rPr>
    </w:lvl>
    <w:lvl w:ilvl="4" w:tplc="9EE64C4A">
      <w:start w:val="1"/>
      <w:numFmt w:val="bullet"/>
      <w:lvlText w:val="o"/>
      <w:lvlJc w:val="left"/>
      <w:pPr>
        <w:ind w:left="3600" w:hanging="360"/>
      </w:pPr>
      <w:rPr>
        <w:rFonts w:ascii="Courier New" w:hAnsi="Courier New" w:hint="default"/>
      </w:rPr>
    </w:lvl>
    <w:lvl w:ilvl="5" w:tplc="43A8DD44">
      <w:start w:val="1"/>
      <w:numFmt w:val="bullet"/>
      <w:lvlText w:val=""/>
      <w:lvlJc w:val="left"/>
      <w:pPr>
        <w:ind w:left="4320" w:hanging="360"/>
      </w:pPr>
      <w:rPr>
        <w:rFonts w:ascii="Wingdings" w:hAnsi="Wingdings" w:hint="default"/>
      </w:rPr>
    </w:lvl>
    <w:lvl w:ilvl="6" w:tplc="2FFC23EE">
      <w:start w:val="1"/>
      <w:numFmt w:val="bullet"/>
      <w:lvlText w:val=""/>
      <w:lvlJc w:val="left"/>
      <w:pPr>
        <w:ind w:left="5040" w:hanging="360"/>
      </w:pPr>
      <w:rPr>
        <w:rFonts w:ascii="Symbol" w:hAnsi="Symbol" w:hint="default"/>
      </w:rPr>
    </w:lvl>
    <w:lvl w:ilvl="7" w:tplc="A5B2135A">
      <w:start w:val="1"/>
      <w:numFmt w:val="bullet"/>
      <w:lvlText w:val="o"/>
      <w:lvlJc w:val="left"/>
      <w:pPr>
        <w:ind w:left="5760" w:hanging="360"/>
      </w:pPr>
      <w:rPr>
        <w:rFonts w:ascii="Courier New" w:hAnsi="Courier New" w:hint="default"/>
      </w:rPr>
    </w:lvl>
    <w:lvl w:ilvl="8" w:tplc="BEC2CD92">
      <w:start w:val="1"/>
      <w:numFmt w:val="bullet"/>
      <w:lvlText w:val=""/>
      <w:lvlJc w:val="left"/>
      <w:pPr>
        <w:ind w:left="6480" w:hanging="360"/>
      </w:pPr>
      <w:rPr>
        <w:rFonts w:ascii="Wingdings" w:hAnsi="Wingdings" w:hint="default"/>
      </w:rPr>
    </w:lvl>
  </w:abstractNum>
  <w:abstractNum w:abstractNumId="29" w15:restartNumberingAfterBreak="0">
    <w:nsid w:val="2B8C64D4"/>
    <w:multiLevelType w:val="hybridMultilevel"/>
    <w:tmpl w:val="EF6814A8"/>
    <w:lvl w:ilvl="0" w:tplc="DF1842F6">
      <w:start w:val="1"/>
      <w:numFmt w:val="decimal"/>
      <w:lvlText w:val="%1."/>
      <w:lvlJc w:val="left"/>
      <w:pPr>
        <w:ind w:left="720" w:hanging="360"/>
      </w:pPr>
    </w:lvl>
    <w:lvl w:ilvl="1" w:tplc="480448A8">
      <w:start w:val="1"/>
      <w:numFmt w:val="lowerLetter"/>
      <w:lvlText w:val="%2."/>
      <w:lvlJc w:val="left"/>
      <w:pPr>
        <w:ind w:left="1440" w:hanging="360"/>
      </w:pPr>
    </w:lvl>
    <w:lvl w:ilvl="2" w:tplc="BF42CA64">
      <w:start w:val="1"/>
      <w:numFmt w:val="lowerRoman"/>
      <w:lvlText w:val="%3."/>
      <w:lvlJc w:val="right"/>
      <w:pPr>
        <w:ind w:left="2160" w:hanging="180"/>
      </w:pPr>
    </w:lvl>
    <w:lvl w:ilvl="3" w:tplc="F6D631CE">
      <w:start w:val="1"/>
      <w:numFmt w:val="decimal"/>
      <w:lvlText w:val="%4."/>
      <w:lvlJc w:val="left"/>
      <w:pPr>
        <w:ind w:left="2880" w:hanging="360"/>
      </w:pPr>
    </w:lvl>
    <w:lvl w:ilvl="4" w:tplc="2168F742">
      <w:start w:val="1"/>
      <w:numFmt w:val="lowerLetter"/>
      <w:lvlText w:val="%5."/>
      <w:lvlJc w:val="left"/>
      <w:pPr>
        <w:ind w:left="3600" w:hanging="360"/>
      </w:pPr>
    </w:lvl>
    <w:lvl w:ilvl="5" w:tplc="2836F14A">
      <w:start w:val="1"/>
      <w:numFmt w:val="lowerRoman"/>
      <w:lvlText w:val="%6."/>
      <w:lvlJc w:val="right"/>
      <w:pPr>
        <w:ind w:left="4320" w:hanging="180"/>
      </w:pPr>
    </w:lvl>
    <w:lvl w:ilvl="6" w:tplc="6DCA613A">
      <w:start w:val="1"/>
      <w:numFmt w:val="decimal"/>
      <w:lvlText w:val="%7."/>
      <w:lvlJc w:val="left"/>
      <w:pPr>
        <w:ind w:left="5040" w:hanging="360"/>
      </w:pPr>
    </w:lvl>
    <w:lvl w:ilvl="7" w:tplc="7CDC6D18">
      <w:start w:val="1"/>
      <w:numFmt w:val="lowerLetter"/>
      <w:lvlText w:val="%8."/>
      <w:lvlJc w:val="left"/>
      <w:pPr>
        <w:ind w:left="5760" w:hanging="360"/>
      </w:pPr>
    </w:lvl>
    <w:lvl w:ilvl="8" w:tplc="BB7292C0">
      <w:start w:val="1"/>
      <w:numFmt w:val="lowerRoman"/>
      <w:lvlText w:val="%9."/>
      <w:lvlJc w:val="right"/>
      <w:pPr>
        <w:ind w:left="6480" w:hanging="180"/>
      </w:pPr>
    </w:lvl>
  </w:abstractNum>
  <w:abstractNum w:abstractNumId="30" w15:restartNumberingAfterBreak="0">
    <w:nsid w:val="2BB9222F"/>
    <w:multiLevelType w:val="hybridMultilevel"/>
    <w:tmpl w:val="1C1CAF74"/>
    <w:lvl w:ilvl="0" w:tplc="9C8E6910">
      <w:start w:val="1"/>
      <w:numFmt w:val="decimal"/>
      <w:lvlText w:val="%1."/>
      <w:lvlJc w:val="left"/>
      <w:pPr>
        <w:ind w:left="720" w:hanging="360"/>
      </w:pPr>
    </w:lvl>
    <w:lvl w:ilvl="1" w:tplc="E56E6AA4">
      <w:start w:val="1"/>
      <w:numFmt w:val="lowerLetter"/>
      <w:lvlText w:val="%2."/>
      <w:lvlJc w:val="left"/>
      <w:pPr>
        <w:ind w:left="1440" w:hanging="360"/>
      </w:pPr>
    </w:lvl>
    <w:lvl w:ilvl="2" w:tplc="A2D073B0">
      <w:start w:val="1"/>
      <w:numFmt w:val="lowerRoman"/>
      <w:lvlText w:val="%3."/>
      <w:lvlJc w:val="right"/>
      <w:pPr>
        <w:ind w:left="2160" w:hanging="180"/>
      </w:pPr>
    </w:lvl>
    <w:lvl w:ilvl="3" w:tplc="9C76ECEC">
      <w:start w:val="1"/>
      <w:numFmt w:val="decimal"/>
      <w:lvlText w:val="%4."/>
      <w:lvlJc w:val="left"/>
      <w:pPr>
        <w:ind w:left="2880" w:hanging="360"/>
      </w:pPr>
    </w:lvl>
    <w:lvl w:ilvl="4" w:tplc="A926C108">
      <w:start w:val="1"/>
      <w:numFmt w:val="lowerLetter"/>
      <w:lvlText w:val="%5."/>
      <w:lvlJc w:val="left"/>
      <w:pPr>
        <w:ind w:left="3600" w:hanging="360"/>
      </w:pPr>
    </w:lvl>
    <w:lvl w:ilvl="5" w:tplc="F31E6C4E">
      <w:start w:val="1"/>
      <w:numFmt w:val="lowerRoman"/>
      <w:lvlText w:val="%6."/>
      <w:lvlJc w:val="right"/>
      <w:pPr>
        <w:ind w:left="4320" w:hanging="180"/>
      </w:pPr>
    </w:lvl>
    <w:lvl w:ilvl="6" w:tplc="6C267254">
      <w:start w:val="1"/>
      <w:numFmt w:val="decimal"/>
      <w:lvlText w:val="%7."/>
      <w:lvlJc w:val="left"/>
      <w:pPr>
        <w:ind w:left="5040" w:hanging="360"/>
      </w:pPr>
    </w:lvl>
    <w:lvl w:ilvl="7" w:tplc="7682DCC6">
      <w:start w:val="1"/>
      <w:numFmt w:val="lowerLetter"/>
      <w:lvlText w:val="%8."/>
      <w:lvlJc w:val="left"/>
      <w:pPr>
        <w:ind w:left="5760" w:hanging="360"/>
      </w:pPr>
    </w:lvl>
    <w:lvl w:ilvl="8" w:tplc="28A0FDE6">
      <w:start w:val="1"/>
      <w:numFmt w:val="lowerRoman"/>
      <w:lvlText w:val="%9."/>
      <w:lvlJc w:val="right"/>
      <w:pPr>
        <w:ind w:left="6480" w:hanging="180"/>
      </w:pPr>
    </w:lvl>
  </w:abstractNum>
  <w:abstractNum w:abstractNumId="31" w15:restartNumberingAfterBreak="0">
    <w:nsid w:val="2C6B513D"/>
    <w:multiLevelType w:val="hybridMultilevel"/>
    <w:tmpl w:val="8AAEB19C"/>
    <w:lvl w:ilvl="0" w:tplc="2CEEF65A">
      <w:start w:val="1"/>
      <w:numFmt w:val="bullet"/>
      <w:lvlText w:val="-"/>
      <w:lvlJc w:val="left"/>
      <w:pPr>
        <w:ind w:left="720" w:hanging="360"/>
      </w:pPr>
      <w:rPr>
        <w:rFonts w:ascii="Calibri" w:hAnsi="Calibri" w:hint="default"/>
      </w:rPr>
    </w:lvl>
    <w:lvl w:ilvl="1" w:tplc="9BD6118C">
      <w:start w:val="1"/>
      <w:numFmt w:val="bullet"/>
      <w:lvlText w:val="o"/>
      <w:lvlJc w:val="left"/>
      <w:pPr>
        <w:ind w:left="1440" w:hanging="360"/>
      </w:pPr>
      <w:rPr>
        <w:rFonts w:ascii="Courier New" w:hAnsi="Courier New" w:hint="default"/>
      </w:rPr>
    </w:lvl>
    <w:lvl w:ilvl="2" w:tplc="AF9806C4">
      <w:start w:val="1"/>
      <w:numFmt w:val="bullet"/>
      <w:lvlText w:val=""/>
      <w:lvlJc w:val="left"/>
      <w:pPr>
        <w:ind w:left="2160" w:hanging="360"/>
      </w:pPr>
      <w:rPr>
        <w:rFonts w:ascii="Wingdings" w:hAnsi="Wingdings" w:hint="default"/>
      </w:rPr>
    </w:lvl>
    <w:lvl w:ilvl="3" w:tplc="08389570">
      <w:start w:val="1"/>
      <w:numFmt w:val="bullet"/>
      <w:lvlText w:val=""/>
      <w:lvlJc w:val="left"/>
      <w:pPr>
        <w:ind w:left="2880" w:hanging="360"/>
      </w:pPr>
      <w:rPr>
        <w:rFonts w:ascii="Symbol" w:hAnsi="Symbol" w:hint="default"/>
      </w:rPr>
    </w:lvl>
    <w:lvl w:ilvl="4" w:tplc="5D9CB26E">
      <w:start w:val="1"/>
      <w:numFmt w:val="bullet"/>
      <w:lvlText w:val="o"/>
      <w:lvlJc w:val="left"/>
      <w:pPr>
        <w:ind w:left="3600" w:hanging="360"/>
      </w:pPr>
      <w:rPr>
        <w:rFonts w:ascii="Courier New" w:hAnsi="Courier New" w:hint="default"/>
      </w:rPr>
    </w:lvl>
    <w:lvl w:ilvl="5" w:tplc="C1E60760">
      <w:start w:val="1"/>
      <w:numFmt w:val="bullet"/>
      <w:lvlText w:val=""/>
      <w:lvlJc w:val="left"/>
      <w:pPr>
        <w:ind w:left="4320" w:hanging="360"/>
      </w:pPr>
      <w:rPr>
        <w:rFonts w:ascii="Wingdings" w:hAnsi="Wingdings" w:hint="default"/>
      </w:rPr>
    </w:lvl>
    <w:lvl w:ilvl="6" w:tplc="72743504">
      <w:start w:val="1"/>
      <w:numFmt w:val="bullet"/>
      <w:lvlText w:val=""/>
      <w:lvlJc w:val="left"/>
      <w:pPr>
        <w:ind w:left="5040" w:hanging="360"/>
      </w:pPr>
      <w:rPr>
        <w:rFonts w:ascii="Symbol" w:hAnsi="Symbol" w:hint="default"/>
      </w:rPr>
    </w:lvl>
    <w:lvl w:ilvl="7" w:tplc="47FE6776">
      <w:start w:val="1"/>
      <w:numFmt w:val="bullet"/>
      <w:lvlText w:val="o"/>
      <w:lvlJc w:val="left"/>
      <w:pPr>
        <w:ind w:left="5760" w:hanging="360"/>
      </w:pPr>
      <w:rPr>
        <w:rFonts w:ascii="Courier New" w:hAnsi="Courier New" w:hint="default"/>
      </w:rPr>
    </w:lvl>
    <w:lvl w:ilvl="8" w:tplc="80F46E84">
      <w:start w:val="1"/>
      <w:numFmt w:val="bullet"/>
      <w:lvlText w:val=""/>
      <w:lvlJc w:val="left"/>
      <w:pPr>
        <w:ind w:left="6480" w:hanging="360"/>
      </w:pPr>
      <w:rPr>
        <w:rFonts w:ascii="Wingdings" w:hAnsi="Wingdings" w:hint="default"/>
      </w:rPr>
    </w:lvl>
  </w:abstractNum>
  <w:abstractNum w:abstractNumId="32" w15:restartNumberingAfterBreak="0">
    <w:nsid w:val="2C934D3A"/>
    <w:multiLevelType w:val="hybridMultilevel"/>
    <w:tmpl w:val="C19E3DD0"/>
    <w:lvl w:ilvl="0" w:tplc="B14E9D7A">
      <w:start w:val="1"/>
      <w:numFmt w:val="decimal"/>
      <w:lvlText w:val="%1."/>
      <w:lvlJc w:val="left"/>
      <w:pPr>
        <w:ind w:left="720" w:hanging="360"/>
      </w:pPr>
    </w:lvl>
    <w:lvl w:ilvl="1" w:tplc="ED6A9BC8">
      <w:start w:val="1"/>
      <w:numFmt w:val="lowerLetter"/>
      <w:lvlText w:val="%2."/>
      <w:lvlJc w:val="left"/>
      <w:pPr>
        <w:ind w:left="1440" w:hanging="360"/>
      </w:pPr>
    </w:lvl>
    <w:lvl w:ilvl="2" w:tplc="C8FABFE8">
      <w:start w:val="1"/>
      <w:numFmt w:val="lowerRoman"/>
      <w:lvlText w:val="%3."/>
      <w:lvlJc w:val="right"/>
      <w:pPr>
        <w:ind w:left="2160" w:hanging="180"/>
      </w:pPr>
    </w:lvl>
    <w:lvl w:ilvl="3" w:tplc="D612F2D0">
      <w:start w:val="1"/>
      <w:numFmt w:val="decimal"/>
      <w:lvlText w:val="%4."/>
      <w:lvlJc w:val="left"/>
      <w:pPr>
        <w:ind w:left="2880" w:hanging="360"/>
      </w:pPr>
    </w:lvl>
    <w:lvl w:ilvl="4" w:tplc="CFE2D208">
      <w:start w:val="1"/>
      <w:numFmt w:val="lowerLetter"/>
      <w:lvlText w:val="%5."/>
      <w:lvlJc w:val="left"/>
      <w:pPr>
        <w:ind w:left="3600" w:hanging="360"/>
      </w:pPr>
    </w:lvl>
    <w:lvl w:ilvl="5" w:tplc="128CE360">
      <w:start w:val="1"/>
      <w:numFmt w:val="lowerRoman"/>
      <w:lvlText w:val="%6."/>
      <w:lvlJc w:val="right"/>
      <w:pPr>
        <w:ind w:left="4320" w:hanging="180"/>
      </w:pPr>
    </w:lvl>
    <w:lvl w:ilvl="6" w:tplc="66D0AFC4">
      <w:start w:val="1"/>
      <w:numFmt w:val="decimal"/>
      <w:lvlText w:val="%7."/>
      <w:lvlJc w:val="left"/>
      <w:pPr>
        <w:ind w:left="5040" w:hanging="360"/>
      </w:pPr>
    </w:lvl>
    <w:lvl w:ilvl="7" w:tplc="7D4A221C">
      <w:start w:val="1"/>
      <w:numFmt w:val="lowerLetter"/>
      <w:lvlText w:val="%8."/>
      <w:lvlJc w:val="left"/>
      <w:pPr>
        <w:ind w:left="5760" w:hanging="360"/>
      </w:pPr>
    </w:lvl>
    <w:lvl w:ilvl="8" w:tplc="0980CED4">
      <w:start w:val="1"/>
      <w:numFmt w:val="lowerRoman"/>
      <w:lvlText w:val="%9."/>
      <w:lvlJc w:val="right"/>
      <w:pPr>
        <w:ind w:left="6480" w:hanging="180"/>
      </w:pPr>
    </w:lvl>
  </w:abstractNum>
  <w:abstractNum w:abstractNumId="33" w15:restartNumberingAfterBreak="0">
    <w:nsid w:val="2D6E1173"/>
    <w:multiLevelType w:val="hybridMultilevel"/>
    <w:tmpl w:val="F620E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ED96AA2"/>
    <w:multiLevelType w:val="hybridMultilevel"/>
    <w:tmpl w:val="2800CE58"/>
    <w:lvl w:ilvl="0" w:tplc="84588B60">
      <w:start w:val="1"/>
      <w:numFmt w:val="bullet"/>
      <w:lvlText w:val="·"/>
      <w:lvlJc w:val="left"/>
      <w:pPr>
        <w:ind w:left="720" w:hanging="360"/>
      </w:pPr>
      <w:rPr>
        <w:rFonts w:ascii="Symbol" w:hAnsi="Symbol" w:hint="default"/>
      </w:rPr>
    </w:lvl>
    <w:lvl w:ilvl="1" w:tplc="608C5BAC">
      <w:start w:val="1"/>
      <w:numFmt w:val="bullet"/>
      <w:lvlText w:val="o"/>
      <w:lvlJc w:val="left"/>
      <w:pPr>
        <w:ind w:left="1440" w:hanging="360"/>
      </w:pPr>
      <w:rPr>
        <w:rFonts w:ascii="Courier New" w:hAnsi="Courier New" w:hint="default"/>
      </w:rPr>
    </w:lvl>
    <w:lvl w:ilvl="2" w:tplc="34C2526E">
      <w:start w:val="1"/>
      <w:numFmt w:val="bullet"/>
      <w:lvlText w:val=""/>
      <w:lvlJc w:val="left"/>
      <w:pPr>
        <w:ind w:left="2160" w:hanging="360"/>
      </w:pPr>
      <w:rPr>
        <w:rFonts w:ascii="Wingdings" w:hAnsi="Wingdings" w:hint="default"/>
      </w:rPr>
    </w:lvl>
    <w:lvl w:ilvl="3" w:tplc="C06A1BF6">
      <w:start w:val="1"/>
      <w:numFmt w:val="bullet"/>
      <w:lvlText w:val=""/>
      <w:lvlJc w:val="left"/>
      <w:pPr>
        <w:ind w:left="2880" w:hanging="360"/>
      </w:pPr>
      <w:rPr>
        <w:rFonts w:ascii="Symbol" w:hAnsi="Symbol" w:hint="default"/>
      </w:rPr>
    </w:lvl>
    <w:lvl w:ilvl="4" w:tplc="F4DAF034">
      <w:start w:val="1"/>
      <w:numFmt w:val="bullet"/>
      <w:lvlText w:val="o"/>
      <w:lvlJc w:val="left"/>
      <w:pPr>
        <w:ind w:left="3600" w:hanging="360"/>
      </w:pPr>
      <w:rPr>
        <w:rFonts w:ascii="Courier New" w:hAnsi="Courier New" w:hint="default"/>
      </w:rPr>
    </w:lvl>
    <w:lvl w:ilvl="5" w:tplc="A91E7186">
      <w:start w:val="1"/>
      <w:numFmt w:val="bullet"/>
      <w:lvlText w:val=""/>
      <w:lvlJc w:val="left"/>
      <w:pPr>
        <w:ind w:left="4320" w:hanging="360"/>
      </w:pPr>
      <w:rPr>
        <w:rFonts w:ascii="Wingdings" w:hAnsi="Wingdings" w:hint="default"/>
      </w:rPr>
    </w:lvl>
    <w:lvl w:ilvl="6" w:tplc="A3BE4C0A">
      <w:start w:val="1"/>
      <w:numFmt w:val="bullet"/>
      <w:lvlText w:val=""/>
      <w:lvlJc w:val="left"/>
      <w:pPr>
        <w:ind w:left="5040" w:hanging="360"/>
      </w:pPr>
      <w:rPr>
        <w:rFonts w:ascii="Symbol" w:hAnsi="Symbol" w:hint="default"/>
      </w:rPr>
    </w:lvl>
    <w:lvl w:ilvl="7" w:tplc="9262403A">
      <w:start w:val="1"/>
      <w:numFmt w:val="bullet"/>
      <w:lvlText w:val="o"/>
      <w:lvlJc w:val="left"/>
      <w:pPr>
        <w:ind w:left="5760" w:hanging="360"/>
      </w:pPr>
      <w:rPr>
        <w:rFonts w:ascii="Courier New" w:hAnsi="Courier New" w:hint="default"/>
      </w:rPr>
    </w:lvl>
    <w:lvl w:ilvl="8" w:tplc="3F5ABB02">
      <w:start w:val="1"/>
      <w:numFmt w:val="bullet"/>
      <w:lvlText w:val=""/>
      <w:lvlJc w:val="left"/>
      <w:pPr>
        <w:ind w:left="6480" w:hanging="360"/>
      </w:pPr>
      <w:rPr>
        <w:rFonts w:ascii="Wingdings" w:hAnsi="Wingdings" w:hint="default"/>
      </w:rPr>
    </w:lvl>
  </w:abstractNum>
  <w:abstractNum w:abstractNumId="35" w15:restartNumberingAfterBreak="0">
    <w:nsid w:val="2F57487C"/>
    <w:multiLevelType w:val="hybridMultilevel"/>
    <w:tmpl w:val="10AC0E28"/>
    <w:lvl w:ilvl="0" w:tplc="6CE401B2">
      <w:start w:val="1"/>
      <w:numFmt w:val="bullet"/>
      <w:lvlText w:val="-"/>
      <w:lvlJc w:val="left"/>
      <w:pPr>
        <w:ind w:left="720" w:hanging="360"/>
      </w:pPr>
      <w:rPr>
        <w:rFonts w:ascii="Calibri" w:hAnsi="Calibri" w:hint="default"/>
      </w:rPr>
    </w:lvl>
    <w:lvl w:ilvl="1" w:tplc="518843D8">
      <w:start w:val="1"/>
      <w:numFmt w:val="bullet"/>
      <w:lvlText w:val="o"/>
      <w:lvlJc w:val="left"/>
      <w:pPr>
        <w:ind w:left="1440" w:hanging="360"/>
      </w:pPr>
      <w:rPr>
        <w:rFonts w:ascii="Courier New" w:hAnsi="Courier New" w:hint="default"/>
      </w:rPr>
    </w:lvl>
    <w:lvl w:ilvl="2" w:tplc="0A3C01EE">
      <w:start w:val="1"/>
      <w:numFmt w:val="bullet"/>
      <w:lvlText w:val=""/>
      <w:lvlJc w:val="left"/>
      <w:pPr>
        <w:ind w:left="2160" w:hanging="360"/>
      </w:pPr>
      <w:rPr>
        <w:rFonts w:ascii="Wingdings" w:hAnsi="Wingdings" w:hint="default"/>
      </w:rPr>
    </w:lvl>
    <w:lvl w:ilvl="3" w:tplc="52E8E9A0">
      <w:start w:val="1"/>
      <w:numFmt w:val="bullet"/>
      <w:lvlText w:val=""/>
      <w:lvlJc w:val="left"/>
      <w:pPr>
        <w:ind w:left="2880" w:hanging="360"/>
      </w:pPr>
      <w:rPr>
        <w:rFonts w:ascii="Symbol" w:hAnsi="Symbol" w:hint="default"/>
      </w:rPr>
    </w:lvl>
    <w:lvl w:ilvl="4" w:tplc="5ECC3F36">
      <w:start w:val="1"/>
      <w:numFmt w:val="bullet"/>
      <w:lvlText w:val="o"/>
      <w:lvlJc w:val="left"/>
      <w:pPr>
        <w:ind w:left="3600" w:hanging="360"/>
      </w:pPr>
      <w:rPr>
        <w:rFonts w:ascii="Courier New" w:hAnsi="Courier New" w:hint="default"/>
      </w:rPr>
    </w:lvl>
    <w:lvl w:ilvl="5" w:tplc="6972A78A">
      <w:start w:val="1"/>
      <w:numFmt w:val="bullet"/>
      <w:lvlText w:val=""/>
      <w:lvlJc w:val="left"/>
      <w:pPr>
        <w:ind w:left="4320" w:hanging="360"/>
      </w:pPr>
      <w:rPr>
        <w:rFonts w:ascii="Wingdings" w:hAnsi="Wingdings" w:hint="default"/>
      </w:rPr>
    </w:lvl>
    <w:lvl w:ilvl="6" w:tplc="DFA0C2A2">
      <w:start w:val="1"/>
      <w:numFmt w:val="bullet"/>
      <w:lvlText w:val=""/>
      <w:lvlJc w:val="left"/>
      <w:pPr>
        <w:ind w:left="5040" w:hanging="360"/>
      </w:pPr>
      <w:rPr>
        <w:rFonts w:ascii="Symbol" w:hAnsi="Symbol" w:hint="default"/>
      </w:rPr>
    </w:lvl>
    <w:lvl w:ilvl="7" w:tplc="32068C6A">
      <w:start w:val="1"/>
      <w:numFmt w:val="bullet"/>
      <w:lvlText w:val="o"/>
      <w:lvlJc w:val="left"/>
      <w:pPr>
        <w:ind w:left="5760" w:hanging="360"/>
      </w:pPr>
      <w:rPr>
        <w:rFonts w:ascii="Courier New" w:hAnsi="Courier New" w:hint="default"/>
      </w:rPr>
    </w:lvl>
    <w:lvl w:ilvl="8" w:tplc="5726E3A6">
      <w:start w:val="1"/>
      <w:numFmt w:val="bullet"/>
      <w:lvlText w:val=""/>
      <w:lvlJc w:val="left"/>
      <w:pPr>
        <w:ind w:left="6480" w:hanging="360"/>
      </w:pPr>
      <w:rPr>
        <w:rFonts w:ascii="Wingdings" w:hAnsi="Wingdings" w:hint="default"/>
      </w:rPr>
    </w:lvl>
  </w:abstractNum>
  <w:abstractNum w:abstractNumId="36" w15:restartNumberingAfterBreak="0">
    <w:nsid w:val="2F9640C2"/>
    <w:multiLevelType w:val="hybridMultilevel"/>
    <w:tmpl w:val="1DAE1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FDE2181"/>
    <w:multiLevelType w:val="hybridMultilevel"/>
    <w:tmpl w:val="30FCA534"/>
    <w:lvl w:ilvl="0" w:tplc="27428A4C">
      <w:start w:val="1"/>
      <w:numFmt w:val="bullet"/>
      <w:lvlText w:val="·"/>
      <w:lvlJc w:val="left"/>
      <w:pPr>
        <w:ind w:left="720" w:hanging="360"/>
      </w:pPr>
      <w:rPr>
        <w:rFonts w:ascii="Symbol" w:hAnsi="Symbol" w:hint="default"/>
      </w:rPr>
    </w:lvl>
    <w:lvl w:ilvl="1" w:tplc="E952AC8A">
      <w:start w:val="1"/>
      <w:numFmt w:val="bullet"/>
      <w:lvlText w:val="o"/>
      <w:lvlJc w:val="left"/>
      <w:pPr>
        <w:ind w:left="1440" w:hanging="360"/>
      </w:pPr>
      <w:rPr>
        <w:rFonts w:ascii="Courier New" w:hAnsi="Courier New" w:hint="default"/>
      </w:rPr>
    </w:lvl>
    <w:lvl w:ilvl="2" w:tplc="C5EEC762">
      <w:start w:val="1"/>
      <w:numFmt w:val="bullet"/>
      <w:lvlText w:val=""/>
      <w:lvlJc w:val="left"/>
      <w:pPr>
        <w:ind w:left="2160" w:hanging="360"/>
      </w:pPr>
      <w:rPr>
        <w:rFonts w:ascii="Wingdings" w:hAnsi="Wingdings" w:hint="default"/>
      </w:rPr>
    </w:lvl>
    <w:lvl w:ilvl="3" w:tplc="8904DCDC">
      <w:start w:val="1"/>
      <w:numFmt w:val="bullet"/>
      <w:lvlText w:val=""/>
      <w:lvlJc w:val="left"/>
      <w:pPr>
        <w:ind w:left="2880" w:hanging="360"/>
      </w:pPr>
      <w:rPr>
        <w:rFonts w:ascii="Symbol" w:hAnsi="Symbol" w:hint="default"/>
      </w:rPr>
    </w:lvl>
    <w:lvl w:ilvl="4" w:tplc="A6CED4CC">
      <w:start w:val="1"/>
      <w:numFmt w:val="bullet"/>
      <w:lvlText w:val="o"/>
      <w:lvlJc w:val="left"/>
      <w:pPr>
        <w:ind w:left="3600" w:hanging="360"/>
      </w:pPr>
      <w:rPr>
        <w:rFonts w:ascii="Courier New" w:hAnsi="Courier New" w:hint="default"/>
      </w:rPr>
    </w:lvl>
    <w:lvl w:ilvl="5" w:tplc="0EAAD622">
      <w:start w:val="1"/>
      <w:numFmt w:val="bullet"/>
      <w:lvlText w:val=""/>
      <w:lvlJc w:val="left"/>
      <w:pPr>
        <w:ind w:left="4320" w:hanging="360"/>
      </w:pPr>
      <w:rPr>
        <w:rFonts w:ascii="Wingdings" w:hAnsi="Wingdings" w:hint="default"/>
      </w:rPr>
    </w:lvl>
    <w:lvl w:ilvl="6" w:tplc="709C75AE">
      <w:start w:val="1"/>
      <w:numFmt w:val="bullet"/>
      <w:lvlText w:val=""/>
      <w:lvlJc w:val="left"/>
      <w:pPr>
        <w:ind w:left="5040" w:hanging="360"/>
      </w:pPr>
      <w:rPr>
        <w:rFonts w:ascii="Symbol" w:hAnsi="Symbol" w:hint="default"/>
      </w:rPr>
    </w:lvl>
    <w:lvl w:ilvl="7" w:tplc="37807522">
      <w:start w:val="1"/>
      <w:numFmt w:val="bullet"/>
      <w:lvlText w:val="o"/>
      <w:lvlJc w:val="left"/>
      <w:pPr>
        <w:ind w:left="5760" w:hanging="360"/>
      </w:pPr>
      <w:rPr>
        <w:rFonts w:ascii="Courier New" w:hAnsi="Courier New" w:hint="default"/>
      </w:rPr>
    </w:lvl>
    <w:lvl w:ilvl="8" w:tplc="2ECEE7AE">
      <w:start w:val="1"/>
      <w:numFmt w:val="bullet"/>
      <w:lvlText w:val=""/>
      <w:lvlJc w:val="left"/>
      <w:pPr>
        <w:ind w:left="6480" w:hanging="360"/>
      </w:pPr>
      <w:rPr>
        <w:rFonts w:ascii="Wingdings" w:hAnsi="Wingdings" w:hint="default"/>
      </w:rPr>
    </w:lvl>
  </w:abstractNum>
  <w:abstractNum w:abstractNumId="38" w15:restartNumberingAfterBreak="0">
    <w:nsid w:val="30317D36"/>
    <w:multiLevelType w:val="multilevel"/>
    <w:tmpl w:val="B38C9B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0C24BDF"/>
    <w:multiLevelType w:val="hybridMultilevel"/>
    <w:tmpl w:val="DFA2F18C"/>
    <w:lvl w:ilvl="0" w:tplc="3D984E38">
      <w:start w:val="1"/>
      <w:numFmt w:val="bullet"/>
      <w:lvlText w:val="-"/>
      <w:lvlJc w:val="left"/>
      <w:pPr>
        <w:ind w:left="720" w:hanging="360"/>
      </w:pPr>
      <w:rPr>
        <w:rFonts w:ascii="Calibri" w:hAnsi="Calibri" w:hint="default"/>
      </w:rPr>
    </w:lvl>
    <w:lvl w:ilvl="1" w:tplc="0D9A5382">
      <w:start w:val="1"/>
      <w:numFmt w:val="bullet"/>
      <w:lvlText w:val="o"/>
      <w:lvlJc w:val="left"/>
      <w:pPr>
        <w:ind w:left="1440" w:hanging="360"/>
      </w:pPr>
      <w:rPr>
        <w:rFonts w:ascii="Courier New" w:hAnsi="Courier New" w:hint="default"/>
      </w:rPr>
    </w:lvl>
    <w:lvl w:ilvl="2" w:tplc="12E2D942">
      <w:start w:val="1"/>
      <w:numFmt w:val="bullet"/>
      <w:lvlText w:val=""/>
      <w:lvlJc w:val="left"/>
      <w:pPr>
        <w:ind w:left="2160" w:hanging="360"/>
      </w:pPr>
      <w:rPr>
        <w:rFonts w:ascii="Wingdings" w:hAnsi="Wingdings" w:hint="default"/>
      </w:rPr>
    </w:lvl>
    <w:lvl w:ilvl="3" w:tplc="41805E6E">
      <w:start w:val="1"/>
      <w:numFmt w:val="bullet"/>
      <w:lvlText w:val=""/>
      <w:lvlJc w:val="left"/>
      <w:pPr>
        <w:ind w:left="2880" w:hanging="360"/>
      </w:pPr>
      <w:rPr>
        <w:rFonts w:ascii="Symbol" w:hAnsi="Symbol" w:hint="default"/>
      </w:rPr>
    </w:lvl>
    <w:lvl w:ilvl="4" w:tplc="3036D8D6">
      <w:start w:val="1"/>
      <w:numFmt w:val="bullet"/>
      <w:lvlText w:val="o"/>
      <w:lvlJc w:val="left"/>
      <w:pPr>
        <w:ind w:left="3600" w:hanging="360"/>
      </w:pPr>
      <w:rPr>
        <w:rFonts w:ascii="Courier New" w:hAnsi="Courier New" w:hint="default"/>
      </w:rPr>
    </w:lvl>
    <w:lvl w:ilvl="5" w:tplc="1DA46B76">
      <w:start w:val="1"/>
      <w:numFmt w:val="bullet"/>
      <w:lvlText w:val=""/>
      <w:lvlJc w:val="left"/>
      <w:pPr>
        <w:ind w:left="4320" w:hanging="360"/>
      </w:pPr>
      <w:rPr>
        <w:rFonts w:ascii="Wingdings" w:hAnsi="Wingdings" w:hint="default"/>
      </w:rPr>
    </w:lvl>
    <w:lvl w:ilvl="6" w:tplc="1AB4B8DA">
      <w:start w:val="1"/>
      <w:numFmt w:val="bullet"/>
      <w:lvlText w:val=""/>
      <w:lvlJc w:val="left"/>
      <w:pPr>
        <w:ind w:left="5040" w:hanging="360"/>
      </w:pPr>
      <w:rPr>
        <w:rFonts w:ascii="Symbol" w:hAnsi="Symbol" w:hint="default"/>
      </w:rPr>
    </w:lvl>
    <w:lvl w:ilvl="7" w:tplc="164CE7DA">
      <w:start w:val="1"/>
      <w:numFmt w:val="bullet"/>
      <w:lvlText w:val="o"/>
      <w:lvlJc w:val="left"/>
      <w:pPr>
        <w:ind w:left="5760" w:hanging="360"/>
      </w:pPr>
      <w:rPr>
        <w:rFonts w:ascii="Courier New" w:hAnsi="Courier New" w:hint="default"/>
      </w:rPr>
    </w:lvl>
    <w:lvl w:ilvl="8" w:tplc="3A845310">
      <w:start w:val="1"/>
      <w:numFmt w:val="bullet"/>
      <w:lvlText w:val=""/>
      <w:lvlJc w:val="left"/>
      <w:pPr>
        <w:ind w:left="6480" w:hanging="360"/>
      </w:pPr>
      <w:rPr>
        <w:rFonts w:ascii="Wingdings" w:hAnsi="Wingdings" w:hint="default"/>
      </w:rPr>
    </w:lvl>
  </w:abstractNum>
  <w:abstractNum w:abstractNumId="40" w15:restartNumberingAfterBreak="0">
    <w:nsid w:val="31DF0789"/>
    <w:multiLevelType w:val="hybridMultilevel"/>
    <w:tmpl w:val="810C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E14967"/>
    <w:multiLevelType w:val="hybridMultilevel"/>
    <w:tmpl w:val="6CD6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9510F1"/>
    <w:multiLevelType w:val="hybridMultilevel"/>
    <w:tmpl w:val="31088A9E"/>
    <w:lvl w:ilvl="0" w:tplc="35CC4286">
      <w:start w:val="1"/>
      <w:numFmt w:val="decimal"/>
      <w:lvlText w:val="%1."/>
      <w:lvlJc w:val="left"/>
      <w:pPr>
        <w:ind w:left="720" w:hanging="360"/>
      </w:pPr>
    </w:lvl>
    <w:lvl w:ilvl="1" w:tplc="7276A9C4">
      <w:start w:val="1"/>
      <w:numFmt w:val="lowerLetter"/>
      <w:lvlText w:val="%2."/>
      <w:lvlJc w:val="left"/>
      <w:pPr>
        <w:ind w:left="1440" w:hanging="360"/>
      </w:pPr>
    </w:lvl>
    <w:lvl w:ilvl="2" w:tplc="37BA5A96">
      <w:start w:val="1"/>
      <w:numFmt w:val="lowerRoman"/>
      <w:lvlText w:val="%3."/>
      <w:lvlJc w:val="right"/>
      <w:pPr>
        <w:ind w:left="2160" w:hanging="180"/>
      </w:pPr>
    </w:lvl>
    <w:lvl w:ilvl="3" w:tplc="B322AE64">
      <w:start w:val="1"/>
      <w:numFmt w:val="decimal"/>
      <w:lvlText w:val="%4."/>
      <w:lvlJc w:val="left"/>
      <w:pPr>
        <w:ind w:left="2880" w:hanging="360"/>
      </w:pPr>
    </w:lvl>
    <w:lvl w:ilvl="4" w:tplc="B16AB194">
      <w:start w:val="1"/>
      <w:numFmt w:val="lowerLetter"/>
      <w:lvlText w:val="%5."/>
      <w:lvlJc w:val="left"/>
      <w:pPr>
        <w:ind w:left="3600" w:hanging="360"/>
      </w:pPr>
    </w:lvl>
    <w:lvl w:ilvl="5" w:tplc="FFECBD8A">
      <w:start w:val="1"/>
      <w:numFmt w:val="lowerRoman"/>
      <w:lvlText w:val="%6."/>
      <w:lvlJc w:val="right"/>
      <w:pPr>
        <w:ind w:left="4320" w:hanging="180"/>
      </w:pPr>
    </w:lvl>
    <w:lvl w:ilvl="6" w:tplc="F5A20FF8">
      <w:start w:val="1"/>
      <w:numFmt w:val="decimal"/>
      <w:lvlText w:val="%7."/>
      <w:lvlJc w:val="left"/>
      <w:pPr>
        <w:ind w:left="5040" w:hanging="360"/>
      </w:pPr>
    </w:lvl>
    <w:lvl w:ilvl="7" w:tplc="01706316">
      <w:start w:val="1"/>
      <w:numFmt w:val="lowerLetter"/>
      <w:lvlText w:val="%8."/>
      <w:lvlJc w:val="left"/>
      <w:pPr>
        <w:ind w:left="5760" w:hanging="360"/>
      </w:pPr>
    </w:lvl>
    <w:lvl w:ilvl="8" w:tplc="B51C8DA0">
      <w:start w:val="1"/>
      <w:numFmt w:val="lowerRoman"/>
      <w:lvlText w:val="%9."/>
      <w:lvlJc w:val="right"/>
      <w:pPr>
        <w:ind w:left="6480" w:hanging="180"/>
      </w:pPr>
    </w:lvl>
  </w:abstractNum>
  <w:abstractNum w:abstractNumId="43" w15:restartNumberingAfterBreak="0">
    <w:nsid w:val="34140FE0"/>
    <w:multiLevelType w:val="hybridMultilevel"/>
    <w:tmpl w:val="8EB40FB8"/>
    <w:lvl w:ilvl="0" w:tplc="90800206">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45148A3"/>
    <w:multiLevelType w:val="hybridMultilevel"/>
    <w:tmpl w:val="5CCC7536"/>
    <w:lvl w:ilvl="0" w:tplc="86165A1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8617F0"/>
    <w:multiLevelType w:val="hybridMultilevel"/>
    <w:tmpl w:val="F53C9A3A"/>
    <w:lvl w:ilvl="0" w:tplc="29AE5604">
      <w:start w:val="1"/>
      <w:numFmt w:val="bullet"/>
      <w:lvlText w:val="·"/>
      <w:lvlJc w:val="left"/>
      <w:pPr>
        <w:ind w:left="720" w:hanging="360"/>
      </w:pPr>
      <w:rPr>
        <w:rFonts w:ascii="Symbol" w:hAnsi="Symbol" w:hint="default"/>
      </w:rPr>
    </w:lvl>
    <w:lvl w:ilvl="1" w:tplc="277A0160">
      <w:start w:val="1"/>
      <w:numFmt w:val="bullet"/>
      <w:lvlText w:val="o"/>
      <w:lvlJc w:val="left"/>
      <w:pPr>
        <w:ind w:left="1440" w:hanging="360"/>
      </w:pPr>
      <w:rPr>
        <w:rFonts w:ascii="Courier New" w:hAnsi="Courier New" w:hint="default"/>
      </w:rPr>
    </w:lvl>
    <w:lvl w:ilvl="2" w:tplc="1EC6068A">
      <w:start w:val="1"/>
      <w:numFmt w:val="bullet"/>
      <w:lvlText w:val=""/>
      <w:lvlJc w:val="left"/>
      <w:pPr>
        <w:ind w:left="2160" w:hanging="360"/>
      </w:pPr>
      <w:rPr>
        <w:rFonts w:ascii="Wingdings" w:hAnsi="Wingdings" w:hint="default"/>
      </w:rPr>
    </w:lvl>
    <w:lvl w:ilvl="3" w:tplc="3D20815E">
      <w:start w:val="1"/>
      <w:numFmt w:val="bullet"/>
      <w:lvlText w:val=""/>
      <w:lvlJc w:val="left"/>
      <w:pPr>
        <w:ind w:left="2880" w:hanging="360"/>
      </w:pPr>
      <w:rPr>
        <w:rFonts w:ascii="Symbol" w:hAnsi="Symbol" w:hint="default"/>
      </w:rPr>
    </w:lvl>
    <w:lvl w:ilvl="4" w:tplc="5088CB72">
      <w:start w:val="1"/>
      <w:numFmt w:val="bullet"/>
      <w:lvlText w:val="o"/>
      <w:lvlJc w:val="left"/>
      <w:pPr>
        <w:ind w:left="3600" w:hanging="360"/>
      </w:pPr>
      <w:rPr>
        <w:rFonts w:ascii="Courier New" w:hAnsi="Courier New" w:hint="default"/>
      </w:rPr>
    </w:lvl>
    <w:lvl w:ilvl="5" w:tplc="526A45B8">
      <w:start w:val="1"/>
      <w:numFmt w:val="bullet"/>
      <w:lvlText w:val=""/>
      <w:lvlJc w:val="left"/>
      <w:pPr>
        <w:ind w:left="4320" w:hanging="360"/>
      </w:pPr>
      <w:rPr>
        <w:rFonts w:ascii="Wingdings" w:hAnsi="Wingdings" w:hint="default"/>
      </w:rPr>
    </w:lvl>
    <w:lvl w:ilvl="6" w:tplc="2A60FDA4">
      <w:start w:val="1"/>
      <w:numFmt w:val="bullet"/>
      <w:lvlText w:val=""/>
      <w:lvlJc w:val="left"/>
      <w:pPr>
        <w:ind w:left="5040" w:hanging="360"/>
      </w:pPr>
      <w:rPr>
        <w:rFonts w:ascii="Symbol" w:hAnsi="Symbol" w:hint="default"/>
      </w:rPr>
    </w:lvl>
    <w:lvl w:ilvl="7" w:tplc="22C89A00">
      <w:start w:val="1"/>
      <w:numFmt w:val="bullet"/>
      <w:lvlText w:val="o"/>
      <w:lvlJc w:val="left"/>
      <w:pPr>
        <w:ind w:left="5760" w:hanging="360"/>
      </w:pPr>
      <w:rPr>
        <w:rFonts w:ascii="Courier New" w:hAnsi="Courier New" w:hint="default"/>
      </w:rPr>
    </w:lvl>
    <w:lvl w:ilvl="8" w:tplc="94EA4FA4">
      <w:start w:val="1"/>
      <w:numFmt w:val="bullet"/>
      <w:lvlText w:val=""/>
      <w:lvlJc w:val="left"/>
      <w:pPr>
        <w:ind w:left="6480" w:hanging="360"/>
      </w:pPr>
      <w:rPr>
        <w:rFonts w:ascii="Wingdings" w:hAnsi="Wingdings" w:hint="default"/>
      </w:rPr>
    </w:lvl>
  </w:abstractNum>
  <w:abstractNum w:abstractNumId="46" w15:restartNumberingAfterBreak="0">
    <w:nsid w:val="35CF1242"/>
    <w:multiLevelType w:val="hybridMultilevel"/>
    <w:tmpl w:val="3A4A71D0"/>
    <w:lvl w:ilvl="0" w:tplc="D36A2514">
      <w:start w:val="1"/>
      <w:numFmt w:val="decimal"/>
      <w:lvlText w:val="%1."/>
      <w:lvlJc w:val="left"/>
      <w:pPr>
        <w:ind w:left="720" w:hanging="360"/>
      </w:pPr>
    </w:lvl>
    <w:lvl w:ilvl="1" w:tplc="D7D0FB1C">
      <w:start w:val="1"/>
      <w:numFmt w:val="lowerLetter"/>
      <w:lvlText w:val="%2."/>
      <w:lvlJc w:val="left"/>
      <w:pPr>
        <w:ind w:left="1440" w:hanging="360"/>
      </w:pPr>
    </w:lvl>
    <w:lvl w:ilvl="2" w:tplc="060C7E1E">
      <w:start w:val="1"/>
      <w:numFmt w:val="lowerRoman"/>
      <w:lvlText w:val="%3."/>
      <w:lvlJc w:val="right"/>
      <w:pPr>
        <w:ind w:left="2160" w:hanging="180"/>
      </w:pPr>
    </w:lvl>
    <w:lvl w:ilvl="3" w:tplc="C61225B4">
      <w:start w:val="1"/>
      <w:numFmt w:val="decimal"/>
      <w:lvlText w:val="%4."/>
      <w:lvlJc w:val="left"/>
      <w:pPr>
        <w:ind w:left="2880" w:hanging="360"/>
      </w:pPr>
    </w:lvl>
    <w:lvl w:ilvl="4" w:tplc="EA242414">
      <w:start w:val="1"/>
      <w:numFmt w:val="lowerLetter"/>
      <w:lvlText w:val="%5."/>
      <w:lvlJc w:val="left"/>
      <w:pPr>
        <w:ind w:left="3600" w:hanging="360"/>
      </w:pPr>
    </w:lvl>
    <w:lvl w:ilvl="5" w:tplc="78F4CAA8">
      <w:start w:val="1"/>
      <w:numFmt w:val="lowerRoman"/>
      <w:lvlText w:val="%6."/>
      <w:lvlJc w:val="right"/>
      <w:pPr>
        <w:ind w:left="4320" w:hanging="180"/>
      </w:pPr>
    </w:lvl>
    <w:lvl w:ilvl="6" w:tplc="438A728A">
      <w:start w:val="1"/>
      <w:numFmt w:val="decimal"/>
      <w:lvlText w:val="%7."/>
      <w:lvlJc w:val="left"/>
      <w:pPr>
        <w:ind w:left="5040" w:hanging="360"/>
      </w:pPr>
    </w:lvl>
    <w:lvl w:ilvl="7" w:tplc="9C0E67D8">
      <w:start w:val="1"/>
      <w:numFmt w:val="lowerLetter"/>
      <w:lvlText w:val="%8."/>
      <w:lvlJc w:val="left"/>
      <w:pPr>
        <w:ind w:left="5760" w:hanging="360"/>
      </w:pPr>
    </w:lvl>
    <w:lvl w:ilvl="8" w:tplc="282C6404">
      <w:start w:val="1"/>
      <w:numFmt w:val="lowerRoman"/>
      <w:lvlText w:val="%9."/>
      <w:lvlJc w:val="right"/>
      <w:pPr>
        <w:ind w:left="6480" w:hanging="180"/>
      </w:pPr>
    </w:lvl>
  </w:abstractNum>
  <w:abstractNum w:abstractNumId="47" w15:restartNumberingAfterBreak="0">
    <w:nsid w:val="363D742F"/>
    <w:multiLevelType w:val="hybridMultilevel"/>
    <w:tmpl w:val="11B00CE2"/>
    <w:lvl w:ilvl="0" w:tplc="A96C016A">
      <w:start w:val="1"/>
      <w:numFmt w:val="bullet"/>
      <w:lvlText w:val="·"/>
      <w:lvlJc w:val="left"/>
      <w:pPr>
        <w:ind w:left="720" w:hanging="360"/>
      </w:pPr>
      <w:rPr>
        <w:rFonts w:ascii="Symbol" w:hAnsi="Symbol" w:hint="default"/>
      </w:rPr>
    </w:lvl>
    <w:lvl w:ilvl="1" w:tplc="8D520A66">
      <w:start w:val="1"/>
      <w:numFmt w:val="bullet"/>
      <w:lvlText w:val="o"/>
      <w:lvlJc w:val="left"/>
      <w:pPr>
        <w:ind w:left="1440" w:hanging="360"/>
      </w:pPr>
      <w:rPr>
        <w:rFonts w:ascii="Courier New" w:hAnsi="Courier New" w:hint="default"/>
      </w:rPr>
    </w:lvl>
    <w:lvl w:ilvl="2" w:tplc="34FC22E0">
      <w:start w:val="1"/>
      <w:numFmt w:val="bullet"/>
      <w:lvlText w:val=""/>
      <w:lvlJc w:val="left"/>
      <w:pPr>
        <w:ind w:left="2160" w:hanging="360"/>
      </w:pPr>
      <w:rPr>
        <w:rFonts w:ascii="Wingdings" w:hAnsi="Wingdings" w:hint="default"/>
      </w:rPr>
    </w:lvl>
    <w:lvl w:ilvl="3" w:tplc="6C9C1FBC">
      <w:start w:val="1"/>
      <w:numFmt w:val="bullet"/>
      <w:lvlText w:val=""/>
      <w:lvlJc w:val="left"/>
      <w:pPr>
        <w:ind w:left="2880" w:hanging="360"/>
      </w:pPr>
      <w:rPr>
        <w:rFonts w:ascii="Symbol" w:hAnsi="Symbol" w:hint="default"/>
      </w:rPr>
    </w:lvl>
    <w:lvl w:ilvl="4" w:tplc="B7641168">
      <w:start w:val="1"/>
      <w:numFmt w:val="bullet"/>
      <w:lvlText w:val="o"/>
      <w:lvlJc w:val="left"/>
      <w:pPr>
        <w:ind w:left="3600" w:hanging="360"/>
      </w:pPr>
      <w:rPr>
        <w:rFonts w:ascii="Courier New" w:hAnsi="Courier New" w:hint="default"/>
      </w:rPr>
    </w:lvl>
    <w:lvl w:ilvl="5" w:tplc="174E8D7E">
      <w:start w:val="1"/>
      <w:numFmt w:val="bullet"/>
      <w:lvlText w:val=""/>
      <w:lvlJc w:val="left"/>
      <w:pPr>
        <w:ind w:left="4320" w:hanging="360"/>
      </w:pPr>
      <w:rPr>
        <w:rFonts w:ascii="Wingdings" w:hAnsi="Wingdings" w:hint="default"/>
      </w:rPr>
    </w:lvl>
    <w:lvl w:ilvl="6" w:tplc="80E8E166">
      <w:start w:val="1"/>
      <w:numFmt w:val="bullet"/>
      <w:lvlText w:val=""/>
      <w:lvlJc w:val="left"/>
      <w:pPr>
        <w:ind w:left="5040" w:hanging="360"/>
      </w:pPr>
      <w:rPr>
        <w:rFonts w:ascii="Symbol" w:hAnsi="Symbol" w:hint="default"/>
      </w:rPr>
    </w:lvl>
    <w:lvl w:ilvl="7" w:tplc="A5BA7134">
      <w:start w:val="1"/>
      <w:numFmt w:val="bullet"/>
      <w:lvlText w:val="o"/>
      <w:lvlJc w:val="left"/>
      <w:pPr>
        <w:ind w:left="5760" w:hanging="360"/>
      </w:pPr>
      <w:rPr>
        <w:rFonts w:ascii="Courier New" w:hAnsi="Courier New" w:hint="default"/>
      </w:rPr>
    </w:lvl>
    <w:lvl w:ilvl="8" w:tplc="61C2C36E">
      <w:start w:val="1"/>
      <w:numFmt w:val="bullet"/>
      <w:lvlText w:val=""/>
      <w:lvlJc w:val="left"/>
      <w:pPr>
        <w:ind w:left="6480" w:hanging="360"/>
      </w:pPr>
      <w:rPr>
        <w:rFonts w:ascii="Wingdings" w:hAnsi="Wingdings" w:hint="default"/>
      </w:rPr>
    </w:lvl>
  </w:abstractNum>
  <w:abstractNum w:abstractNumId="48" w15:restartNumberingAfterBreak="0">
    <w:nsid w:val="365935F4"/>
    <w:multiLevelType w:val="hybridMultilevel"/>
    <w:tmpl w:val="20DAD01A"/>
    <w:lvl w:ilvl="0" w:tplc="233655BE">
      <w:start w:val="1"/>
      <w:numFmt w:val="decimal"/>
      <w:lvlText w:val="%1."/>
      <w:lvlJc w:val="left"/>
      <w:pPr>
        <w:ind w:left="720" w:hanging="360"/>
      </w:pPr>
    </w:lvl>
    <w:lvl w:ilvl="1" w:tplc="BDC25474">
      <w:start w:val="1"/>
      <w:numFmt w:val="lowerLetter"/>
      <w:lvlText w:val="%2."/>
      <w:lvlJc w:val="left"/>
      <w:pPr>
        <w:ind w:left="1440" w:hanging="360"/>
      </w:pPr>
    </w:lvl>
    <w:lvl w:ilvl="2" w:tplc="40AEA3E2">
      <w:start w:val="1"/>
      <w:numFmt w:val="lowerRoman"/>
      <w:lvlText w:val="%3."/>
      <w:lvlJc w:val="right"/>
      <w:pPr>
        <w:ind w:left="2160" w:hanging="180"/>
      </w:pPr>
    </w:lvl>
    <w:lvl w:ilvl="3" w:tplc="B29A74AC">
      <w:start w:val="1"/>
      <w:numFmt w:val="decimal"/>
      <w:lvlText w:val="%4."/>
      <w:lvlJc w:val="left"/>
      <w:pPr>
        <w:ind w:left="2880" w:hanging="360"/>
      </w:pPr>
    </w:lvl>
    <w:lvl w:ilvl="4" w:tplc="84089D5C">
      <w:start w:val="1"/>
      <w:numFmt w:val="lowerLetter"/>
      <w:lvlText w:val="%5."/>
      <w:lvlJc w:val="left"/>
      <w:pPr>
        <w:ind w:left="3600" w:hanging="360"/>
      </w:pPr>
    </w:lvl>
    <w:lvl w:ilvl="5" w:tplc="4968A78E">
      <w:start w:val="1"/>
      <w:numFmt w:val="lowerRoman"/>
      <w:lvlText w:val="%6."/>
      <w:lvlJc w:val="right"/>
      <w:pPr>
        <w:ind w:left="4320" w:hanging="180"/>
      </w:pPr>
    </w:lvl>
    <w:lvl w:ilvl="6" w:tplc="6D802D62">
      <w:start w:val="1"/>
      <w:numFmt w:val="decimal"/>
      <w:lvlText w:val="%7."/>
      <w:lvlJc w:val="left"/>
      <w:pPr>
        <w:ind w:left="5040" w:hanging="360"/>
      </w:pPr>
    </w:lvl>
    <w:lvl w:ilvl="7" w:tplc="5942D4F4">
      <w:start w:val="1"/>
      <w:numFmt w:val="lowerLetter"/>
      <w:lvlText w:val="%8."/>
      <w:lvlJc w:val="left"/>
      <w:pPr>
        <w:ind w:left="5760" w:hanging="360"/>
      </w:pPr>
    </w:lvl>
    <w:lvl w:ilvl="8" w:tplc="53E85EA0">
      <w:start w:val="1"/>
      <w:numFmt w:val="lowerRoman"/>
      <w:lvlText w:val="%9."/>
      <w:lvlJc w:val="right"/>
      <w:pPr>
        <w:ind w:left="6480" w:hanging="180"/>
      </w:pPr>
    </w:lvl>
  </w:abstractNum>
  <w:abstractNum w:abstractNumId="49" w15:restartNumberingAfterBreak="0">
    <w:nsid w:val="37021465"/>
    <w:multiLevelType w:val="hybridMultilevel"/>
    <w:tmpl w:val="0BA61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71D0554"/>
    <w:multiLevelType w:val="hybridMultilevel"/>
    <w:tmpl w:val="49966B8A"/>
    <w:lvl w:ilvl="0" w:tplc="FB1ABC56">
      <w:start w:val="1"/>
      <w:numFmt w:val="bullet"/>
      <w:lvlText w:val="·"/>
      <w:lvlJc w:val="left"/>
      <w:pPr>
        <w:ind w:left="720" w:hanging="360"/>
      </w:pPr>
      <w:rPr>
        <w:rFonts w:ascii="Symbol" w:hAnsi="Symbol" w:hint="default"/>
      </w:rPr>
    </w:lvl>
    <w:lvl w:ilvl="1" w:tplc="E8907EE6">
      <w:start w:val="1"/>
      <w:numFmt w:val="bullet"/>
      <w:lvlText w:val="o"/>
      <w:lvlJc w:val="left"/>
      <w:pPr>
        <w:ind w:left="1440" w:hanging="360"/>
      </w:pPr>
      <w:rPr>
        <w:rFonts w:ascii="Courier New" w:hAnsi="Courier New" w:hint="default"/>
      </w:rPr>
    </w:lvl>
    <w:lvl w:ilvl="2" w:tplc="DB9A5DB2">
      <w:start w:val="1"/>
      <w:numFmt w:val="bullet"/>
      <w:lvlText w:val=""/>
      <w:lvlJc w:val="left"/>
      <w:pPr>
        <w:ind w:left="2160" w:hanging="360"/>
      </w:pPr>
      <w:rPr>
        <w:rFonts w:ascii="Wingdings" w:hAnsi="Wingdings" w:hint="default"/>
      </w:rPr>
    </w:lvl>
    <w:lvl w:ilvl="3" w:tplc="E626FC32">
      <w:start w:val="1"/>
      <w:numFmt w:val="bullet"/>
      <w:lvlText w:val=""/>
      <w:lvlJc w:val="left"/>
      <w:pPr>
        <w:ind w:left="2880" w:hanging="360"/>
      </w:pPr>
      <w:rPr>
        <w:rFonts w:ascii="Symbol" w:hAnsi="Symbol" w:hint="default"/>
      </w:rPr>
    </w:lvl>
    <w:lvl w:ilvl="4" w:tplc="9E8A95BC">
      <w:start w:val="1"/>
      <w:numFmt w:val="bullet"/>
      <w:lvlText w:val="o"/>
      <w:lvlJc w:val="left"/>
      <w:pPr>
        <w:ind w:left="3600" w:hanging="360"/>
      </w:pPr>
      <w:rPr>
        <w:rFonts w:ascii="Courier New" w:hAnsi="Courier New" w:hint="default"/>
      </w:rPr>
    </w:lvl>
    <w:lvl w:ilvl="5" w:tplc="C302B30E">
      <w:start w:val="1"/>
      <w:numFmt w:val="bullet"/>
      <w:lvlText w:val=""/>
      <w:lvlJc w:val="left"/>
      <w:pPr>
        <w:ind w:left="4320" w:hanging="360"/>
      </w:pPr>
      <w:rPr>
        <w:rFonts w:ascii="Wingdings" w:hAnsi="Wingdings" w:hint="default"/>
      </w:rPr>
    </w:lvl>
    <w:lvl w:ilvl="6" w:tplc="B0760DB4">
      <w:start w:val="1"/>
      <w:numFmt w:val="bullet"/>
      <w:lvlText w:val=""/>
      <w:lvlJc w:val="left"/>
      <w:pPr>
        <w:ind w:left="5040" w:hanging="360"/>
      </w:pPr>
      <w:rPr>
        <w:rFonts w:ascii="Symbol" w:hAnsi="Symbol" w:hint="default"/>
      </w:rPr>
    </w:lvl>
    <w:lvl w:ilvl="7" w:tplc="289AF7D6">
      <w:start w:val="1"/>
      <w:numFmt w:val="bullet"/>
      <w:lvlText w:val="o"/>
      <w:lvlJc w:val="left"/>
      <w:pPr>
        <w:ind w:left="5760" w:hanging="360"/>
      </w:pPr>
      <w:rPr>
        <w:rFonts w:ascii="Courier New" w:hAnsi="Courier New" w:hint="default"/>
      </w:rPr>
    </w:lvl>
    <w:lvl w:ilvl="8" w:tplc="6BF4E7A2">
      <w:start w:val="1"/>
      <w:numFmt w:val="bullet"/>
      <w:lvlText w:val=""/>
      <w:lvlJc w:val="left"/>
      <w:pPr>
        <w:ind w:left="6480" w:hanging="360"/>
      </w:pPr>
      <w:rPr>
        <w:rFonts w:ascii="Wingdings" w:hAnsi="Wingdings" w:hint="default"/>
      </w:rPr>
    </w:lvl>
  </w:abstractNum>
  <w:abstractNum w:abstractNumId="51" w15:restartNumberingAfterBreak="0">
    <w:nsid w:val="38B95468"/>
    <w:multiLevelType w:val="hybridMultilevel"/>
    <w:tmpl w:val="C94E4FAA"/>
    <w:lvl w:ilvl="0" w:tplc="872E8F70">
      <w:start w:val="1"/>
      <w:numFmt w:val="decimal"/>
      <w:lvlText w:val="%1."/>
      <w:lvlJc w:val="left"/>
      <w:pPr>
        <w:ind w:left="720" w:hanging="360"/>
      </w:pPr>
    </w:lvl>
    <w:lvl w:ilvl="1" w:tplc="1EA277D8">
      <w:start w:val="1"/>
      <w:numFmt w:val="lowerLetter"/>
      <w:lvlText w:val="%2."/>
      <w:lvlJc w:val="left"/>
      <w:pPr>
        <w:ind w:left="1440" w:hanging="360"/>
      </w:pPr>
    </w:lvl>
    <w:lvl w:ilvl="2" w:tplc="2A128222">
      <w:start w:val="1"/>
      <w:numFmt w:val="lowerRoman"/>
      <w:lvlText w:val="%3."/>
      <w:lvlJc w:val="right"/>
      <w:pPr>
        <w:ind w:left="2160" w:hanging="180"/>
      </w:pPr>
    </w:lvl>
    <w:lvl w:ilvl="3" w:tplc="BF4A2966">
      <w:start w:val="1"/>
      <w:numFmt w:val="decimal"/>
      <w:lvlText w:val="%4."/>
      <w:lvlJc w:val="left"/>
      <w:pPr>
        <w:ind w:left="2880" w:hanging="360"/>
      </w:pPr>
    </w:lvl>
    <w:lvl w:ilvl="4" w:tplc="A6EE6B5C">
      <w:start w:val="1"/>
      <w:numFmt w:val="lowerLetter"/>
      <w:lvlText w:val="%5."/>
      <w:lvlJc w:val="left"/>
      <w:pPr>
        <w:ind w:left="3600" w:hanging="360"/>
      </w:pPr>
    </w:lvl>
    <w:lvl w:ilvl="5" w:tplc="1166F106">
      <w:start w:val="1"/>
      <w:numFmt w:val="lowerRoman"/>
      <w:lvlText w:val="%6."/>
      <w:lvlJc w:val="right"/>
      <w:pPr>
        <w:ind w:left="4320" w:hanging="180"/>
      </w:pPr>
    </w:lvl>
    <w:lvl w:ilvl="6" w:tplc="267CE798">
      <w:start w:val="1"/>
      <w:numFmt w:val="decimal"/>
      <w:lvlText w:val="%7."/>
      <w:lvlJc w:val="left"/>
      <w:pPr>
        <w:ind w:left="5040" w:hanging="360"/>
      </w:pPr>
    </w:lvl>
    <w:lvl w:ilvl="7" w:tplc="38AECE46">
      <w:start w:val="1"/>
      <w:numFmt w:val="lowerLetter"/>
      <w:lvlText w:val="%8."/>
      <w:lvlJc w:val="left"/>
      <w:pPr>
        <w:ind w:left="5760" w:hanging="360"/>
      </w:pPr>
    </w:lvl>
    <w:lvl w:ilvl="8" w:tplc="E0EA1D90">
      <w:start w:val="1"/>
      <w:numFmt w:val="lowerRoman"/>
      <w:lvlText w:val="%9."/>
      <w:lvlJc w:val="right"/>
      <w:pPr>
        <w:ind w:left="6480" w:hanging="180"/>
      </w:pPr>
    </w:lvl>
  </w:abstractNum>
  <w:abstractNum w:abstractNumId="52" w15:restartNumberingAfterBreak="0">
    <w:nsid w:val="3A1F6E0B"/>
    <w:multiLevelType w:val="hybridMultilevel"/>
    <w:tmpl w:val="F710E236"/>
    <w:lvl w:ilvl="0" w:tplc="E0E66528">
      <w:start w:val="1"/>
      <w:numFmt w:val="decimal"/>
      <w:lvlText w:val="%1."/>
      <w:lvlJc w:val="left"/>
      <w:pPr>
        <w:ind w:left="720" w:hanging="360"/>
      </w:pPr>
    </w:lvl>
    <w:lvl w:ilvl="1" w:tplc="30EC2BE0">
      <w:start w:val="1"/>
      <w:numFmt w:val="lowerLetter"/>
      <w:lvlText w:val="%2."/>
      <w:lvlJc w:val="left"/>
      <w:pPr>
        <w:ind w:left="1440" w:hanging="360"/>
      </w:pPr>
    </w:lvl>
    <w:lvl w:ilvl="2" w:tplc="904E7568">
      <w:start w:val="1"/>
      <w:numFmt w:val="lowerRoman"/>
      <w:lvlText w:val="%3."/>
      <w:lvlJc w:val="right"/>
      <w:pPr>
        <w:ind w:left="2160" w:hanging="180"/>
      </w:pPr>
    </w:lvl>
    <w:lvl w:ilvl="3" w:tplc="AA44A4B0">
      <w:start w:val="1"/>
      <w:numFmt w:val="decimal"/>
      <w:lvlText w:val="%4."/>
      <w:lvlJc w:val="left"/>
      <w:pPr>
        <w:ind w:left="2880" w:hanging="360"/>
      </w:pPr>
    </w:lvl>
    <w:lvl w:ilvl="4" w:tplc="63E2379C">
      <w:start w:val="1"/>
      <w:numFmt w:val="lowerLetter"/>
      <w:lvlText w:val="%5."/>
      <w:lvlJc w:val="left"/>
      <w:pPr>
        <w:ind w:left="3600" w:hanging="360"/>
      </w:pPr>
    </w:lvl>
    <w:lvl w:ilvl="5" w:tplc="D28E4BE0">
      <w:start w:val="1"/>
      <w:numFmt w:val="lowerRoman"/>
      <w:lvlText w:val="%6."/>
      <w:lvlJc w:val="right"/>
      <w:pPr>
        <w:ind w:left="4320" w:hanging="180"/>
      </w:pPr>
    </w:lvl>
    <w:lvl w:ilvl="6" w:tplc="4E48A568">
      <w:start w:val="1"/>
      <w:numFmt w:val="decimal"/>
      <w:lvlText w:val="%7."/>
      <w:lvlJc w:val="left"/>
      <w:pPr>
        <w:ind w:left="5040" w:hanging="360"/>
      </w:pPr>
    </w:lvl>
    <w:lvl w:ilvl="7" w:tplc="19A8CBEC">
      <w:start w:val="1"/>
      <w:numFmt w:val="lowerLetter"/>
      <w:lvlText w:val="%8."/>
      <w:lvlJc w:val="left"/>
      <w:pPr>
        <w:ind w:left="5760" w:hanging="360"/>
      </w:pPr>
    </w:lvl>
    <w:lvl w:ilvl="8" w:tplc="B54CCBB8">
      <w:start w:val="1"/>
      <w:numFmt w:val="lowerRoman"/>
      <w:lvlText w:val="%9."/>
      <w:lvlJc w:val="right"/>
      <w:pPr>
        <w:ind w:left="6480" w:hanging="180"/>
      </w:pPr>
    </w:lvl>
  </w:abstractNum>
  <w:abstractNum w:abstractNumId="53" w15:restartNumberingAfterBreak="0">
    <w:nsid w:val="3A8243EF"/>
    <w:multiLevelType w:val="hybridMultilevel"/>
    <w:tmpl w:val="C3981B44"/>
    <w:lvl w:ilvl="0" w:tplc="557CDCFC">
      <w:start w:val="1"/>
      <w:numFmt w:val="decimal"/>
      <w:lvlText w:val="%1."/>
      <w:lvlJc w:val="left"/>
      <w:pPr>
        <w:ind w:left="720" w:hanging="360"/>
      </w:pPr>
    </w:lvl>
    <w:lvl w:ilvl="1" w:tplc="6A3A9D9E">
      <w:start w:val="1"/>
      <w:numFmt w:val="lowerLetter"/>
      <w:lvlText w:val="%2."/>
      <w:lvlJc w:val="left"/>
      <w:pPr>
        <w:ind w:left="1440" w:hanging="360"/>
      </w:pPr>
    </w:lvl>
    <w:lvl w:ilvl="2" w:tplc="461055FA">
      <w:start w:val="1"/>
      <w:numFmt w:val="lowerRoman"/>
      <w:lvlText w:val="%3."/>
      <w:lvlJc w:val="right"/>
      <w:pPr>
        <w:ind w:left="2160" w:hanging="180"/>
      </w:pPr>
    </w:lvl>
    <w:lvl w:ilvl="3" w:tplc="C4E28856">
      <w:start w:val="1"/>
      <w:numFmt w:val="decimal"/>
      <w:lvlText w:val="%4."/>
      <w:lvlJc w:val="left"/>
      <w:pPr>
        <w:ind w:left="2880" w:hanging="360"/>
      </w:pPr>
    </w:lvl>
    <w:lvl w:ilvl="4" w:tplc="DAF2178A">
      <w:start w:val="1"/>
      <w:numFmt w:val="lowerLetter"/>
      <w:lvlText w:val="%5."/>
      <w:lvlJc w:val="left"/>
      <w:pPr>
        <w:ind w:left="3600" w:hanging="360"/>
      </w:pPr>
    </w:lvl>
    <w:lvl w:ilvl="5" w:tplc="82A474B2">
      <w:start w:val="1"/>
      <w:numFmt w:val="lowerRoman"/>
      <w:lvlText w:val="%6."/>
      <w:lvlJc w:val="right"/>
      <w:pPr>
        <w:ind w:left="4320" w:hanging="180"/>
      </w:pPr>
    </w:lvl>
    <w:lvl w:ilvl="6" w:tplc="4E547948">
      <w:start w:val="1"/>
      <w:numFmt w:val="decimal"/>
      <w:lvlText w:val="%7."/>
      <w:lvlJc w:val="left"/>
      <w:pPr>
        <w:ind w:left="5040" w:hanging="360"/>
      </w:pPr>
    </w:lvl>
    <w:lvl w:ilvl="7" w:tplc="458432D4">
      <w:start w:val="1"/>
      <w:numFmt w:val="lowerLetter"/>
      <w:lvlText w:val="%8."/>
      <w:lvlJc w:val="left"/>
      <w:pPr>
        <w:ind w:left="5760" w:hanging="360"/>
      </w:pPr>
    </w:lvl>
    <w:lvl w:ilvl="8" w:tplc="6ACA2A98">
      <w:start w:val="1"/>
      <w:numFmt w:val="lowerRoman"/>
      <w:lvlText w:val="%9."/>
      <w:lvlJc w:val="right"/>
      <w:pPr>
        <w:ind w:left="6480" w:hanging="180"/>
      </w:pPr>
    </w:lvl>
  </w:abstractNum>
  <w:abstractNum w:abstractNumId="54" w15:restartNumberingAfterBreak="0">
    <w:nsid w:val="3C234487"/>
    <w:multiLevelType w:val="hybridMultilevel"/>
    <w:tmpl w:val="4CCC8112"/>
    <w:lvl w:ilvl="0" w:tplc="27926EE0">
      <w:start w:val="1"/>
      <w:numFmt w:val="bullet"/>
      <w:lvlText w:val="·"/>
      <w:lvlJc w:val="left"/>
      <w:pPr>
        <w:ind w:left="720" w:hanging="360"/>
      </w:pPr>
      <w:rPr>
        <w:rFonts w:ascii="Symbol" w:hAnsi="Symbol" w:hint="default"/>
      </w:rPr>
    </w:lvl>
    <w:lvl w:ilvl="1" w:tplc="0100D010">
      <w:start w:val="1"/>
      <w:numFmt w:val="bullet"/>
      <w:lvlText w:val="o"/>
      <w:lvlJc w:val="left"/>
      <w:pPr>
        <w:ind w:left="1440" w:hanging="360"/>
      </w:pPr>
      <w:rPr>
        <w:rFonts w:ascii="Courier New" w:hAnsi="Courier New" w:hint="default"/>
      </w:rPr>
    </w:lvl>
    <w:lvl w:ilvl="2" w:tplc="6C46270A">
      <w:start w:val="1"/>
      <w:numFmt w:val="bullet"/>
      <w:lvlText w:val=""/>
      <w:lvlJc w:val="left"/>
      <w:pPr>
        <w:ind w:left="2160" w:hanging="360"/>
      </w:pPr>
      <w:rPr>
        <w:rFonts w:ascii="Wingdings" w:hAnsi="Wingdings" w:hint="default"/>
      </w:rPr>
    </w:lvl>
    <w:lvl w:ilvl="3" w:tplc="1CECCE30">
      <w:start w:val="1"/>
      <w:numFmt w:val="bullet"/>
      <w:lvlText w:val=""/>
      <w:lvlJc w:val="left"/>
      <w:pPr>
        <w:ind w:left="2880" w:hanging="360"/>
      </w:pPr>
      <w:rPr>
        <w:rFonts w:ascii="Symbol" w:hAnsi="Symbol" w:hint="default"/>
      </w:rPr>
    </w:lvl>
    <w:lvl w:ilvl="4" w:tplc="AE767E40">
      <w:start w:val="1"/>
      <w:numFmt w:val="bullet"/>
      <w:lvlText w:val="o"/>
      <w:lvlJc w:val="left"/>
      <w:pPr>
        <w:ind w:left="3600" w:hanging="360"/>
      </w:pPr>
      <w:rPr>
        <w:rFonts w:ascii="Courier New" w:hAnsi="Courier New" w:hint="default"/>
      </w:rPr>
    </w:lvl>
    <w:lvl w:ilvl="5" w:tplc="D408AD02">
      <w:start w:val="1"/>
      <w:numFmt w:val="bullet"/>
      <w:lvlText w:val=""/>
      <w:lvlJc w:val="left"/>
      <w:pPr>
        <w:ind w:left="4320" w:hanging="360"/>
      </w:pPr>
      <w:rPr>
        <w:rFonts w:ascii="Wingdings" w:hAnsi="Wingdings" w:hint="default"/>
      </w:rPr>
    </w:lvl>
    <w:lvl w:ilvl="6" w:tplc="C7D4A288">
      <w:start w:val="1"/>
      <w:numFmt w:val="bullet"/>
      <w:lvlText w:val=""/>
      <w:lvlJc w:val="left"/>
      <w:pPr>
        <w:ind w:left="5040" w:hanging="360"/>
      </w:pPr>
      <w:rPr>
        <w:rFonts w:ascii="Symbol" w:hAnsi="Symbol" w:hint="default"/>
      </w:rPr>
    </w:lvl>
    <w:lvl w:ilvl="7" w:tplc="B49A1BBE">
      <w:start w:val="1"/>
      <w:numFmt w:val="bullet"/>
      <w:lvlText w:val="o"/>
      <w:lvlJc w:val="left"/>
      <w:pPr>
        <w:ind w:left="5760" w:hanging="360"/>
      </w:pPr>
      <w:rPr>
        <w:rFonts w:ascii="Courier New" w:hAnsi="Courier New" w:hint="default"/>
      </w:rPr>
    </w:lvl>
    <w:lvl w:ilvl="8" w:tplc="A81EFDA8">
      <w:start w:val="1"/>
      <w:numFmt w:val="bullet"/>
      <w:lvlText w:val=""/>
      <w:lvlJc w:val="left"/>
      <w:pPr>
        <w:ind w:left="6480" w:hanging="360"/>
      </w:pPr>
      <w:rPr>
        <w:rFonts w:ascii="Wingdings" w:hAnsi="Wingdings" w:hint="default"/>
      </w:rPr>
    </w:lvl>
  </w:abstractNum>
  <w:abstractNum w:abstractNumId="55" w15:restartNumberingAfterBreak="0">
    <w:nsid w:val="3F266576"/>
    <w:multiLevelType w:val="hybridMultilevel"/>
    <w:tmpl w:val="27180D4C"/>
    <w:lvl w:ilvl="0" w:tplc="22A8CA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D32D1E"/>
    <w:multiLevelType w:val="hybridMultilevel"/>
    <w:tmpl w:val="0A3E55E6"/>
    <w:lvl w:ilvl="0" w:tplc="CB8415C8">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FE0FD7"/>
    <w:multiLevelType w:val="hybridMultilevel"/>
    <w:tmpl w:val="D0A8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615EDA"/>
    <w:multiLevelType w:val="hybridMultilevel"/>
    <w:tmpl w:val="55AAE46E"/>
    <w:lvl w:ilvl="0" w:tplc="FFB8CE12">
      <w:start w:val="1"/>
      <w:numFmt w:val="bullet"/>
      <w:lvlText w:val="·"/>
      <w:lvlJc w:val="left"/>
      <w:pPr>
        <w:ind w:left="720" w:hanging="360"/>
      </w:pPr>
      <w:rPr>
        <w:rFonts w:ascii="Symbol" w:hAnsi="Symbol" w:hint="default"/>
      </w:rPr>
    </w:lvl>
    <w:lvl w:ilvl="1" w:tplc="4190C0EC">
      <w:start w:val="1"/>
      <w:numFmt w:val="bullet"/>
      <w:lvlText w:val="o"/>
      <w:lvlJc w:val="left"/>
      <w:pPr>
        <w:ind w:left="1440" w:hanging="360"/>
      </w:pPr>
      <w:rPr>
        <w:rFonts w:ascii="Courier New" w:hAnsi="Courier New" w:hint="default"/>
      </w:rPr>
    </w:lvl>
    <w:lvl w:ilvl="2" w:tplc="968E6F6A">
      <w:start w:val="1"/>
      <w:numFmt w:val="bullet"/>
      <w:lvlText w:val=""/>
      <w:lvlJc w:val="left"/>
      <w:pPr>
        <w:ind w:left="2160" w:hanging="360"/>
      </w:pPr>
      <w:rPr>
        <w:rFonts w:ascii="Wingdings" w:hAnsi="Wingdings" w:hint="default"/>
      </w:rPr>
    </w:lvl>
    <w:lvl w:ilvl="3" w:tplc="CC3A5B10">
      <w:start w:val="1"/>
      <w:numFmt w:val="bullet"/>
      <w:lvlText w:val=""/>
      <w:lvlJc w:val="left"/>
      <w:pPr>
        <w:ind w:left="2880" w:hanging="360"/>
      </w:pPr>
      <w:rPr>
        <w:rFonts w:ascii="Symbol" w:hAnsi="Symbol" w:hint="default"/>
      </w:rPr>
    </w:lvl>
    <w:lvl w:ilvl="4" w:tplc="0AEEB2F0">
      <w:start w:val="1"/>
      <w:numFmt w:val="bullet"/>
      <w:lvlText w:val="o"/>
      <w:lvlJc w:val="left"/>
      <w:pPr>
        <w:ind w:left="3600" w:hanging="360"/>
      </w:pPr>
      <w:rPr>
        <w:rFonts w:ascii="Courier New" w:hAnsi="Courier New" w:hint="default"/>
      </w:rPr>
    </w:lvl>
    <w:lvl w:ilvl="5" w:tplc="1410F3AE">
      <w:start w:val="1"/>
      <w:numFmt w:val="bullet"/>
      <w:lvlText w:val=""/>
      <w:lvlJc w:val="left"/>
      <w:pPr>
        <w:ind w:left="4320" w:hanging="360"/>
      </w:pPr>
      <w:rPr>
        <w:rFonts w:ascii="Wingdings" w:hAnsi="Wingdings" w:hint="default"/>
      </w:rPr>
    </w:lvl>
    <w:lvl w:ilvl="6" w:tplc="E894F75A">
      <w:start w:val="1"/>
      <w:numFmt w:val="bullet"/>
      <w:lvlText w:val=""/>
      <w:lvlJc w:val="left"/>
      <w:pPr>
        <w:ind w:left="5040" w:hanging="360"/>
      </w:pPr>
      <w:rPr>
        <w:rFonts w:ascii="Symbol" w:hAnsi="Symbol" w:hint="default"/>
      </w:rPr>
    </w:lvl>
    <w:lvl w:ilvl="7" w:tplc="FD3EE206">
      <w:start w:val="1"/>
      <w:numFmt w:val="bullet"/>
      <w:lvlText w:val="o"/>
      <w:lvlJc w:val="left"/>
      <w:pPr>
        <w:ind w:left="5760" w:hanging="360"/>
      </w:pPr>
      <w:rPr>
        <w:rFonts w:ascii="Courier New" w:hAnsi="Courier New" w:hint="default"/>
      </w:rPr>
    </w:lvl>
    <w:lvl w:ilvl="8" w:tplc="8EDC1516">
      <w:start w:val="1"/>
      <w:numFmt w:val="bullet"/>
      <w:lvlText w:val=""/>
      <w:lvlJc w:val="left"/>
      <w:pPr>
        <w:ind w:left="6480" w:hanging="360"/>
      </w:pPr>
      <w:rPr>
        <w:rFonts w:ascii="Wingdings" w:hAnsi="Wingdings" w:hint="default"/>
      </w:rPr>
    </w:lvl>
  </w:abstractNum>
  <w:abstractNum w:abstractNumId="59" w15:restartNumberingAfterBreak="0">
    <w:nsid w:val="46020A5A"/>
    <w:multiLevelType w:val="hybridMultilevel"/>
    <w:tmpl w:val="9C4EC434"/>
    <w:lvl w:ilvl="0" w:tplc="8CBC8544">
      <w:start w:val="1"/>
      <w:numFmt w:val="decimal"/>
      <w:lvlText w:val="%1."/>
      <w:lvlJc w:val="left"/>
      <w:pPr>
        <w:ind w:left="720" w:hanging="360"/>
      </w:pPr>
    </w:lvl>
    <w:lvl w:ilvl="1" w:tplc="208AA140">
      <w:start w:val="1"/>
      <w:numFmt w:val="lowerLetter"/>
      <w:lvlText w:val="%2."/>
      <w:lvlJc w:val="left"/>
      <w:pPr>
        <w:ind w:left="1440" w:hanging="360"/>
      </w:pPr>
    </w:lvl>
    <w:lvl w:ilvl="2" w:tplc="985C7B86">
      <w:start w:val="1"/>
      <w:numFmt w:val="lowerRoman"/>
      <w:lvlText w:val="%3."/>
      <w:lvlJc w:val="right"/>
      <w:pPr>
        <w:ind w:left="2160" w:hanging="180"/>
      </w:pPr>
    </w:lvl>
    <w:lvl w:ilvl="3" w:tplc="21AAE87E">
      <w:start w:val="1"/>
      <w:numFmt w:val="decimal"/>
      <w:lvlText w:val="%4."/>
      <w:lvlJc w:val="left"/>
      <w:pPr>
        <w:ind w:left="2880" w:hanging="360"/>
      </w:pPr>
    </w:lvl>
    <w:lvl w:ilvl="4" w:tplc="C4C44B68">
      <w:start w:val="1"/>
      <w:numFmt w:val="lowerLetter"/>
      <w:lvlText w:val="%5."/>
      <w:lvlJc w:val="left"/>
      <w:pPr>
        <w:ind w:left="3600" w:hanging="360"/>
      </w:pPr>
    </w:lvl>
    <w:lvl w:ilvl="5" w:tplc="65A0336E">
      <w:start w:val="1"/>
      <w:numFmt w:val="lowerRoman"/>
      <w:lvlText w:val="%6."/>
      <w:lvlJc w:val="right"/>
      <w:pPr>
        <w:ind w:left="4320" w:hanging="180"/>
      </w:pPr>
    </w:lvl>
    <w:lvl w:ilvl="6" w:tplc="5BD0C986">
      <w:start w:val="1"/>
      <w:numFmt w:val="decimal"/>
      <w:lvlText w:val="%7."/>
      <w:lvlJc w:val="left"/>
      <w:pPr>
        <w:ind w:left="5040" w:hanging="360"/>
      </w:pPr>
    </w:lvl>
    <w:lvl w:ilvl="7" w:tplc="B0925126">
      <w:start w:val="1"/>
      <w:numFmt w:val="lowerLetter"/>
      <w:lvlText w:val="%8."/>
      <w:lvlJc w:val="left"/>
      <w:pPr>
        <w:ind w:left="5760" w:hanging="360"/>
      </w:pPr>
    </w:lvl>
    <w:lvl w:ilvl="8" w:tplc="B244568A">
      <w:start w:val="1"/>
      <w:numFmt w:val="lowerRoman"/>
      <w:lvlText w:val="%9."/>
      <w:lvlJc w:val="right"/>
      <w:pPr>
        <w:ind w:left="6480" w:hanging="180"/>
      </w:pPr>
    </w:lvl>
  </w:abstractNum>
  <w:abstractNum w:abstractNumId="60" w15:restartNumberingAfterBreak="0">
    <w:nsid w:val="48645593"/>
    <w:multiLevelType w:val="hybridMultilevel"/>
    <w:tmpl w:val="5A5CFEA0"/>
    <w:lvl w:ilvl="0" w:tplc="D9AC5064">
      <w:start w:val="1"/>
      <w:numFmt w:val="decimal"/>
      <w:lvlText w:val="%1."/>
      <w:lvlJc w:val="left"/>
      <w:pPr>
        <w:ind w:left="720" w:hanging="360"/>
      </w:pPr>
    </w:lvl>
    <w:lvl w:ilvl="1" w:tplc="810AF85A">
      <w:start w:val="1"/>
      <w:numFmt w:val="lowerLetter"/>
      <w:lvlText w:val="%2."/>
      <w:lvlJc w:val="left"/>
      <w:pPr>
        <w:ind w:left="1440" w:hanging="360"/>
      </w:pPr>
    </w:lvl>
    <w:lvl w:ilvl="2" w:tplc="3A10F7D8">
      <w:start w:val="1"/>
      <w:numFmt w:val="lowerRoman"/>
      <w:lvlText w:val="%3."/>
      <w:lvlJc w:val="right"/>
      <w:pPr>
        <w:ind w:left="2160" w:hanging="180"/>
      </w:pPr>
    </w:lvl>
    <w:lvl w:ilvl="3" w:tplc="B532AD80">
      <w:start w:val="1"/>
      <w:numFmt w:val="decimal"/>
      <w:lvlText w:val="%4."/>
      <w:lvlJc w:val="left"/>
      <w:pPr>
        <w:ind w:left="2880" w:hanging="360"/>
      </w:pPr>
    </w:lvl>
    <w:lvl w:ilvl="4" w:tplc="75523262">
      <w:start w:val="1"/>
      <w:numFmt w:val="lowerLetter"/>
      <w:lvlText w:val="%5."/>
      <w:lvlJc w:val="left"/>
      <w:pPr>
        <w:ind w:left="3600" w:hanging="360"/>
      </w:pPr>
    </w:lvl>
    <w:lvl w:ilvl="5" w:tplc="28B4E70E">
      <w:start w:val="1"/>
      <w:numFmt w:val="lowerRoman"/>
      <w:lvlText w:val="%6."/>
      <w:lvlJc w:val="right"/>
      <w:pPr>
        <w:ind w:left="4320" w:hanging="180"/>
      </w:pPr>
    </w:lvl>
    <w:lvl w:ilvl="6" w:tplc="BF1E78E4">
      <w:start w:val="1"/>
      <w:numFmt w:val="decimal"/>
      <w:lvlText w:val="%7."/>
      <w:lvlJc w:val="left"/>
      <w:pPr>
        <w:ind w:left="5040" w:hanging="360"/>
      </w:pPr>
    </w:lvl>
    <w:lvl w:ilvl="7" w:tplc="325A053E">
      <w:start w:val="1"/>
      <w:numFmt w:val="lowerLetter"/>
      <w:lvlText w:val="%8."/>
      <w:lvlJc w:val="left"/>
      <w:pPr>
        <w:ind w:left="5760" w:hanging="360"/>
      </w:pPr>
    </w:lvl>
    <w:lvl w:ilvl="8" w:tplc="65C21ABC">
      <w:start w:val="1"/>
      <w:numFmt w:val="lowerRoman"/>
      <w:lvlText w:val="%9."/>
      <w:lvlJc w:val="right"/>
      <w:pPr>
        <w:ind w:left="6480" w:hanging="180"/>
      </w:pPr>
    </w:lvl>
  </w:abstractNum>
  <w:abstractNum w:abstractNumId="61" w15:restartNumberingAfterBreak="0">
    <w:nsid w:val="48FF1CEF"/>
    <w:multiLevelType w:val="hybridMultilevel"/>
    <w:tmpl w:val="2F986784"/>
    <w:lvl w:ilvl="0" w:tplc="6D7EEBA8">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9DF4210"/>
    <w:multiLevelType w:val="hybridMultilevel"/>
    <w:tmpl w:val="3A869A3C"/>
    <w:lvl w:ilvl="0" w:tplc="9840476C">
      <w:start w:val="1"/>
      <w:numFmt w:val="decimal"/>
      <w:lvlText w:val="%1."/>
      <w:lvlJc w:val="left"/>
      <w:pPr>
        <w:ind w:left="720" w:hanging="360"/>
      </w:pPr>
    </w:lvl>
    <w:lvl w:ilvl="1" w:tplc="722A1C6E">
      <w:start w:val="1"/>
      <w:numFmt w:val="lowerLetter"/>
      <w:lvlText w:val="%2."/>
      <w:lvlJc w:val="left"/>
      <w:pPr>
        <w:ind w:left="1440" w:hanging="360"/>
      </w:pPr>
    </w:lvl>
    <w:lvl w:ilvl="2" w:tplc="E95E5B42">
      <w:start w:val="1"/>
      <w:numFmt w:val="lowerRoman"/>
      <w:lvlText w:val="%3."/>
      <w:lvlJc w:val="right"/>
      <w:pPr>
        <w:ind w:left="2160" w:hanging="180"/>
      </w:pPr>
    </w:lvl>
    <w:lvl w:ilvl="3" w:tplc="8FB6BDC2">
      <w:start w:val="1"/>
      <w:numFmt w:val="decimal"/>
      <w:lvlText w:val="%4."/>
      <w:lvlJc w:val="left"/>
      <w:pPr>
        <w:ind w:left="2880" w:hanging="360"/>
      </w:pPr>
    </w:lvl>
    <w:lvl w:ilvl="4" w:tplc="73A6342A">
      <w:start w:val="1"/>
      <w:numFmt w:val="lowerLetter"/>
      <w:lvlText w:val="%5."/>
      <w:lvlJc w:val="left"/>
      <w:pPr>
        <w:ind w:left="3600" w:hanging="360"/>
      </w:pPr>
    </w:lvl>
    <w:lvl w:ilvl="5" w:tplc="90B61F6C">
      <w:start w:val="1"/>
      <w:numFmt w:val="lowerRoman"/>
      <w:lvlText w:val="%6."/>
      <w:lvlJc w:val="right"/>
      <w:pPr>
        <w:ind w:left="4320" w:hanging="180"/>
      </w:pPr>
    </w:lvl>
    <w:lvl w:ilvl="6" w:tplc="F0AEED2A">
      <w:start w:val="1"/>
      <w:numFmt w:val="decimal"/>
      <w:lvlText w:val="%7."/>
      <w:lvlJc w:val="left"/>
      <w:pPr>
        <w:ind w:left="5040" w:hanging="360"/>
      </w:pPr>
    </w:lvl>
    <w:lvl w:ilvl="7" w:tplc="23AE42A8">
      <w:start w:val="1"/>
      <w:numFmt w:val="lowerLetter"/>
      <w:lvlText w:val="%8."/>
      <w:lvlJc w:val="left"/>
      <w:pPr>
        <w:ind w:left="5760" w:hanging="360"/>
      </w:pPr>
    </w:lvl>
    <w:lvl w:ilvl="8" w:tplc="74382D02">
      <w:start w:val="1"/>
      <w:numFmt w:val="lowerRoman"/>
      <w:lvlText w:val="%9."/>
      <w:lvlJc w:val="right"/>
      <w:pPr>
        <w:ind w:left="6480" w:hanging="180"/>
      </w:pPr>
    </w:lvl>
  </w:abstractNum>
  <w:abstractNum w:abstractNumId="63" w15:restartNumberingAfterBreak="0">
    <w:nsid w:val="4A3226D5"/>
    <w:multiLevelType w:val="hybridMultilevel"/>
    <w:tmpl w:val="D1924F92"/>
    <w:lvl w:ilvl="0" w:tplc="20C802DA">
      <w:start w:val="1"/>
      <w:numFmt w:val="decimal"/>
      <w:lvlText w:val="%1."/>
      <w:lvlJc w:val="left"/>
      <w:pPr>
        <w:ind w:left="720" w:hanging="360"/>
      </w:pPr>
    </w:lvl>
    <w:lvl w:ilvl="1" w:tplc="B09CF5BE">
      <w:start w:val="1"/>
      <w:numFmt w:val="lowerLetter"/>
      <w:lvlText w:val="%2."/>
      <w:lvlJc w:val="left"/>
      <w:pPr>
        <w:ind w:left="1440" w:hanging="360"/>
      </w:pPr>
    </w:lvl>
    <w:lvl w:ilvl="2" w:tplc="2160E840">
      <w:start w:val="1"/>
      <w:numFmt w:val="lowerRoman"/>
      <w:lvlText w:val="%3."/>
      <w:lvlJc w:val="right"/>
      <w:pPr>
        <w:ind w:left="2160" w:hanging="180"/>
      </w:pPr>
    </w:lvl>
    <w:lvl w:ilvl="3" w:tplc="7408DBBC">
      <w:start w:val="1"/>
      <w:numFmt w:val="decimal"/>
      <w:lvlText w:val="%4."/>
      <w:lvlJc w:val="left"/>
      <w:pPr>
        <w:ind w:left="2880" w:hanging="360"/>
      </w:pPr>
    </w:lvl>
    <w:lvl w:ilvl="4" w:tplc="481A5B24">
      <w:start w:val="1"/>
      <w:numFmt w:val="lowerLetter"/>
      <w:lvlText w:val="%5."/>
      <w:lvlJc w:val="left"/>
      <w:pPr>
        <w:ind w:left="3600" w:hanging="360"/>
      </w:pPr>
    </w:lvl>
    <w:lvl w:ilvl="5" w:tplc="FF74966E">
      <w:start w:val="1"/>
      <w:numFmt w:val="lowerRoman"/>
      <w:lvlText w:val="%6."/>
      <w:lvlJc w:val="right"/>
      <w:pPr>
        <w:ind w:left="4320" w:hanging="180"/>
      </w:pPr>
    </w:lvl>
    <w:lvl w:ilvl="6" w:tplc="78C2266C">
      <w:start w:val="1"/>
      <w:numFmt w:val="decimal"/>
      <w:lvlText w:val="%7."/>
      <w:lvlJc w:val="left"/>
      <w:pPr>
        <w:ind w:left="5040" w:hanging="360"/>
      </w:pPr>
    </w:lvl>
    <w:lvl w:ilvl="7" w:tplc="78C8EF38">
      <w:start w:val="1"/>
      <w:numFmt w:val="lowerLetter"/>
      <w:lvlText w:val="%8."/>
      <w:lvlJc w:val="left"/>
      <w:pPr>
        <w:ind w:left="5760" w:hanging="360"/>
      </w:pPr>
    </w:lvl>
    <w:lvl w:ilvl="8" w:tplc="D37E0C8C">
      <w:start w:val="1"/>
      <w:numFmt w:val="lowerRoman"/>
      <w:lvlText w:val="%9."/>
      <w:lvlJc w:val="right"/>
      <w:pPr>
        <w:ind w:left="6480" w:hanging="180"/>
      </w:pPr>
    </w:lvl>
  </w:abstractNum>
  <w:abstractNum w:abstractNumId="64" w15:restartNumberingAfterBreak="0">
    <w:nsid w:val="4ABB2B28"/>
    <w:multiLevelType w:val="hybridMultilevel"/>
    <w:tmpl w:val="AE58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AF566B6"/>
    <w:multiLevelType w:val="hybridMultilevel"/>
    <w:tmpl w:val="3886EFA0"/>
    <w:lvl w:ilvl="0" w:tplc="62AE05E2">
      <w:start w:val="1"/>
      <w:numFmt w:val="bullet"/>
      <w:lvlText w:val="·"/>
      <w:lvlJc w:val="left"/>
      <w:pPr>
        <w:ind w:left="720" w:hanging="360"/>
      </w:pPr>
      <w:rPr>
        <w:rFonts w:ascii="Symbol" w:hAnsi="Symbol" w:hint="default"/>
      </w:rPr>
    </w:lvl>
    <w:lvl w:ilvl="1" w:tplc="1520C980">
      <w:start w:val="1"/>
      <w:numFmt w:val="bullet"/>
      <w:lvlText w:val="o"/>
      <w:lvlJc w:val="left"/>
      <w:pPr>
        <w:ind w:left="1440" w:hanging="360"/>
      </w:pPr>
      <w:rPr>
        <w:rFonts w:ascii="Courier New" w:hAnsi="Courier New" w:hint="default"/>
      </w:rPr>
    </w:lvl>
    <w:lvl w:ilvl="2" w:tplc="E522D0B0">
      <w:start w:val="1"/>
      <w:numFmt w:val="bullet"/>
      <w:lvlText w:val=""/>
      <w:lvlJc w:val="left"/>
      <w:pPr>
        <w:ind w:left="2160" w:hanging="360"/>
      </w:pPr>
      <w:rPr>
        <w:rFonts w:ascii="Wingdings" w:hAnsi="Wingdings" w:hint="default"/>
      </w:rPr>
    </w:lvl>
    <w:lvl w:ilvl="3" w:tplc="9830DAB4">
      <w:start w:val="1"/>
      <w:numFmt w:val="bullet"/>
      <w:lvlText w:val=""/>
      <w:lvlJc w:val="left"/>
      <w:pPr>
        <w:ind w:left="2880" w:hanging="360"/>
      </w:pPr>
      <w:rPr>
        <w:rFonts w:ascii="Symbol" w:hAnsi="Symbol" w:hint="default"/>
      </w:rPr>
    </w:lvl>
    <w:lvl w:ilvl="4" w:tplc="C27A72AC">
      <w:start w:val="1"/>
      <w:numFmt w:val="bullet"/>
      <w:lvlText w:val="o"/>
      <w:lvlJc w:val="left"/>
      <w:pPr>
        <w:ind w:left="3600" w:hanging="360"/>
      </w:pPr>
      <w:rPr>
        <w:rFonts w:ascii="Courier New" w:hAnsi="Courier New" w:hint="default"/>
      </w:rPr>
    </w:lvl>
    <w:lvl w:ilvl="5" w:tplc="952AEA7E">
      <w:start w:val="1"/>
      <w:numFmt w:val="bullet"/>
      <w:lvlText w:val=""/>
      <w:lvlJc w:val="left"/>
      <w:pPr>
        <w:ind w:left="4320" w:hanging="360"/>
      </w:pPr>
      <w:rPr>
        <w:rFonts w:ascii="Wingdings" w:hAnsi="Wingdings" w:hint="default"/>
      </w:rPr>
    </w:lvl>
    <w:lvl w:ilvl="6" w:tplc="65226392">
      <w:start w:val="1"/>
      <w:numFmt w:val="bullet"/>
      <w:lvlText w:val=""/>
      <w:lvlJc w:val="left"/>
      <w:pPr>
        <w:ind w:left="5040" w:hanging="360"/>
      </w:pPr>
      <w:rPr>
        <w:rFonts w:ascii="Symbol" w:hAnsi="Symbol" w:hint="default"/>
      </w:rPr>
    </w:lvl>
    <w:lvl w:ilvl="7" w:tplc="58CE70EA">
      <w:start w:val="1"/>
      <w:numFmt w:val="bullet"/>
      <w:lvlText w:val="o"/>
      <w:lvlJc w:val="left"/>
      <w:pPr>
        <w:ind w:left="5760" w:hanging="360"/>
      </w:pPr>
      <w:rPr>
        <w:rFonts w:ascii="Courier New" w:hAnsi="Courier New" w:hint="default"/>
      </w:rPr>
    </w:lvl>
    <w:lvl w:ilvl="8" w:tplc="2918E7B2">
      <w:start w:val="1"/>
      <w:numFmt w:val="bullet"/>
      <w:lvlText w:val=""/>
      <w:lvlJc w:val="left"/>
      <w:pPr>
        <w:ind w:left="6480" w:hanging="360"/>
      </w:pPr>
      <w:rPr>
        <w:rFonts w:ascii="Wingdings" w:hAnsi="Wingdings" w:hint="default"/>
      </w:rPr>
    </w:lvl>
  </w:abstractNum>
  <w:abstractNum w:abstractNumId="66" w15:restartNumberingAfterBreak="0">
    <w:nsid w:val="4CEE1762"/>
    <w:multiLevelType w:val="hybridMultilevel"/>
    <w:tmpl w:val="72B85B34"/>
    <w:lvl w:ilvl="0" w:tplc="449A5462">
      <w:start w:val="1"/>
      <w:numFmt w:val="bullet"/>
      <w:lvlText w:val="·"/>
      <w:lvlJc w:val="left"/>
      <w:pPr>
        <w:ind w:left="720" w:hanging="360"/>
      </w:pPr>
      <w:rPr>
        <w:rFonts w:ascii="Symbol" w:hAnsi="Symbol" w:hint="default"/>
      </w:rPr>
    </w:lvl>
    <w:lvl w:ilvl="1" w:tplc="C53C17B8">
      <w:start w:val="1"/>
      <w:numFmt w:val="bullet"/>
      <w:lvlText w:val="o"/>
      <w:lvlJc w:val="left"/>
      <w:pPr>
        <w:ind w:left="1440" w:hanging="360"/>
      </w:pPr>
      <w:rPr>
        <w:rFonts w:ascii="Courier New" w:hAnsi="Courier New" w:hint="default"/>
      </w:rPr>
    </w:lvl>
    <w:lvl w:ilvl="2" w:tplc="2CAAC9CC">
      <w:start w:val="1"/>
      <w:numFmt w:val="bullet"/>
      <w:lvlText w:val=""/>
      <w:lvlJc w:val="left"/>
      <w:pPr>
        <w:ind w:left="2160" w:hanging="360"/>
      </w:pPr>
      <w:rPr>
        <w:rFonts w:ascii="Wingdings" w:hAnsi="Wingdings" w:hint="default"/>
      </w:rPr>
    </w:lvl>
    <w:lvl w:ilvl="3" w:tplc="483A4EF4">
      <w:start w:val="1"/>
      <w:numFmt w:val="bullet"/>
      <w:lvlText w:val=""/>
      <w:lvlJc w:val="left"/>
      <w:pPr>
        <w:ind w:left="2880" w:hanging="360"/>
      </w:pPr>
      <w:rPr>
        <w:rFonts w:ascii="Symbol" w:hAnsi="Symbol" w:hint="default"/>
      </w:rPr>
    </w:lvl>
    <w:lvl w:ilvl="4" w:tplc="7EFE62D2">
      <w:start w:val="1"/>
      <w:numFmt w:val="bullet"/>
      <w:lvlText w:val="o"/>
      <w:lvlJc w:val="left"/>
      <w:pPr>
        <w:ind w:left="3600" w:hanging="360"/>
      </w:pPr>
      <w:rPr>
        <w:rFonts w:ascii="Courier New" w:hAnsi="Courier New" w:hint="default"/>
      </w:rPr>
    </w:lvl>
    <w:lvl w:ilvl="5" w:tplc="8F6E0EAA">
      <w:start w:val="1"/>
      <w:numFmt w:val="bullet"/>
      <w:lvlText w:val=""/>
      <w:lvlJc w:val="left"/>
      <w:pPr>
        <w:ind w:left="4320" w:hanging="360"/>
      </w:pPr>
      <w:rPr>
        <w:rFonts w:ascii="Wingdings" w:hAnsi="Wingdings" w:hint="default"/>
      </w:rPr>
    </w:lvl>
    <w:lvl w:ilvl="6" w:tplc="09E6F6C2">
      <w:start w:val="1"/>
      <w:numFmt w:val="bullet"/>
      <w:lvlText w:val=""/>
      <w:lvlJc w:val="left"/>
      <w:pPr>
        <w:ind w:left="5040" w:hanging="360"/>
      </w:pPr>
      <w:rPr>
        <w:rFonts w:ascii="Symbol" w:hAnsi="Symbol" w:hint="default"/>
      </w:rPr>
    </w:lvl>
    <w:lvl w:ilvl="7" w:tplc="292CDB8C">
      <w:start w:val="1"/>
      <w:numFmt w:val="bullet"/>
      <w:lvlText w:val="o"/>
      <w:lvlJc w:val="left"/>
      <w:pPr>
        <w:ind w:left="5760" w:hanging="360"/>
      </w:pPr>
      <w:rPr>
        <w:rFonts w:ascii="Courier New" w:hAnsi="Courier New" w:hint="default"/>
      </w:rPr>
    </w:lvl>
    <w:lvl w:ilvl="8" w:tplc="39FA838A">
      <w:start w:val="1"/>
      <w:numFmt w:val="bullet"/>
      <w:lvlText w:val=""/>
      <w:lvlJc w:val="left"/>
      <w:pPr>
        <w:ind w:left="6480" w:hanging="360"/>
      </w:pPr>
      <w:rPr>
        <w:rFonts w:ascii="Wingdings" w:hAnsi="Wingdings" w:hint="default"/>
      </w:rPr>
    </w:lvl>
  </w:abstractNum>
  <w:abstractNum w:abstractNumId="67" w15:restartNumberingAfterBreak="0">
    <w:nsid w:val="4F460984"/>
    <w:multiLevelType w:val="hybridMultilevel"/>
    <w:tmpl w:val="9876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F7909AC"/>
    <w:multiLevelType w:val="hybridMultilevel"/>
    <w:tmpl w:val="83EA0B5C"/>
    <w:lvl w:ilvl="0" w:tplc="36BC575A">
      <w:start w:val="1"/>
      <w:numFmt w:val="decimal"/>
      <w:lvlText w:val="%1."/>
      <w:lvlJc w:val="left"/>
      <w:pPr>
        <w:ind w:left="720" w:hanging="360"/>
      </w:pPr>
    </w:lvl>
    <w:lvl w:ilvl="1" w:tplc="73CE2348">
      <w:start w:val="1"/>
      <w:numFmt w:val="lowerLetter"/>
      <w:lvlText w:val="%2."/>
      <w:lvlJc w:val="left"/>
      <w:pPr>
        <w:ind w:left="1440" w:hanging="360"/>
      </w:pPr>
    </w:lvl>
    <w:lvl w:ilvl="2" w:tplc="C3F8739E">
      <w:start w:val="1"/>
      <w:numFmt w:val="lowerRoman"/>
      <w:lvlText w:val="%3."/>
      <w:lvlJc w:val="right"/>
      <w:pPr>
        <w:ind w:left="2160" w:hanging="180"/>
      </w:pPr>
    </w:lvl>
    <w:lvl w:ilvl="3" w:tplc="F22AC3CC">
      <w:start w:val="1"/>
      <w:numFmt w:val="decimal"/>
      <w:lvlText w:val="%4."/>
      <w:lvlJc w:val="left"/>
      <w:pPr>
        <w:ind w:left="2880" w:hanging="360"/>
      </w:pPr>
    </w:lvl>
    <w:lvl w:ilvl="4" w:tplc="211EBF54">
      <w:start w:val="1"/>
      <w:numFmt w:val="lowerLetter"/>
      <w:lvlText w:val="%5."/>
      <w:lvlJc w:val="left"/>
      <w:pPr>
        <w:ind w:left="3600" w:hanging="360"/>
      </w:pPr>
    </w:lvl>
    <w:lvl w:ilvl="5" w:tplc="B304220A">
      <w:start w:val="1"/>
      <w:numFmt w:val="lowerRoman"/>
      <w:lvlText w:val="%6."/>
      <w:lvlJc w:val="right"/>
      <w:pPr>
        <w:ind w:left="4320" w:hanging="180"/>
      </w:pPr>
    </w:lvl>
    <w:lvl w:ilvl="6" w:tplc="2E62E700">
      <w:start w:val="1"/>
      <w:numFmt w:val="decimal"/>
      <w:lvlText w:val="%7."/>
      <w:lvlJc w:val="left"/>
      <w:pPr>
        <w:ind w:left="5040" w:hanging="360"/>
      </w:pPr>
    </w:lvl>
    <w:lvl w:ilvl="7" w:tplc="9B06BFD6">
      <w:start w:val="1"/>
      <w:numFmt w:val="lowerLetter"/>
      <w:lvlText w:val="%8."/>
      <w:lvlJc w:val="left"/>
      <w:pPr>
        <w:ind w:left="5760" w:hanging="360"/>
      </w:pPr>
    </w:lvl>
    <w:lvl w:ilvl="8" w:tplc="10BA28B0">
      <w:start w:val="1"/>
      <w:numFmt w:val="lowerRoman"/>
      <w:lvlText w:val="%9."/>
      <w:lvlJc w:val="right"/>
      <w:pPr>
        <w:ind w:left="6480" w:hanging="180"/>
      </w:pPr>
    </w:lvl>
  </w:abstractNum>
  <w:abstractNum w:abstractNumId="69" w15:restartNumberingAfterBreak="0">
    <w:nsid w:val="4F9A7C36"/>
    <w:multiLevelType w:val="hybridMultilevel"/>
    <w:tmpl w:val="F3B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EA2FAD"/>
    <w:multiLevelType w:val="hybridMultilevel"/>
    <w:tmpl w:val="82B25C36"/>
    <w:lvl w:ilvl="0" w:tplc="F0769742">
      <w:start w:val="1"/>
      <w:numFmt w:val="decimal"/>
      <w:lvlText w:val="%1."/>
      <w:lvlJc w:val="left"/>
      <w:pPr>
        <w:ind w:left="720" w:hanging="360"/>
      </w:pPr>
    </w:lvl>
    <w:lvl w:ilvl="1" w:tplc="38CC49AE">
      <w:start w:val="1"/>
      <w:numFmt w:val="lowerLetter"/>
      <w:lvlText w:val="%2."/>
      <w:lvlJc w:val="left"/>
      <w:pPr>
        <w:ind w:left="1440" w:hanging="360"/>
      </w:pPr>
    </w:lvl>
    <w:lvl w:ilvl="2" w:tplc="080C05C4">
      <w:start w:val="1"/>
      <w:numFmt w:val="lowerRoman"/>
      <w:lvlText w:val="%3."/>
      <w:lvlJc w:val="right"/>
      <w:pPr>
        <w:ind w:left="2160" w:hanging="180"/>
      </w:pPr>
    </w:lvl>
    <w:lvl w:ilvl="3" w:tplc="97A4199E">
      <w:start w:val="1"/>
      <w:numFmt w:val="decimal"/>
      <w:lvlText w:val="%4."/>
      <w:lvlJc w:val="left"/>
      <w:pPr>
        <w:ind w:left="2880" w:hanging="360"/>
      </w:pPr>
    </w:lvl>
    <w:lvl w:ilvl="4" w:tplc="378C628C">
      <w:start w:val="1"/>
      <w:numFmt w:val="lowerLetter"/>
      <w:lvlText w:val="%5."/>
      <w:lvlJc w:val="left"/>
      <w:pPr>
        <w:ind w:left="3600" w:hanging="360"/>
      </w:pPr>
    </w:lvl>
    <w:lvl w:ilvl="5" w:tplc="EF9A7DA6">
      <w:start w:val="1"/>
      <w:numFmt w:val="lowerRoman"/>
      <w:lvlText w:val="%6."/>
      <w:lvlJc w:val="right"/>
      <w:pPr>
        <w:ind w:left="4320" w:hanging="180"/>
      </w:pPr>
    </w:lvl>
    <w:lvl w:ilvl="6" w:tplc="D75ED6A8">
      <w:start w:val="1"/>
      <w:numFmt w:val="decimal"/>
      <w:lvlText w:val="%7."/>
      <w:lvlJc w:val="left"/>
      <w:pPr>
        <w:ind w:left="5040" w:hanging="360"/>
      </w:pPr>
    </w:lvl>
    <w:lvl w:ilvl="7" w:tplc="8AA458B4">
      <w:start w:val="1"/>
      <w:numFmt w:val="lowerLetter"/>
      <w:lvlText w:val="%8."/>
      <w:lvlJc w:val="left"/>
      <w:pPr>
        <w:ind w:left="5760" w:hanging="360"/>
      </w:pPr>
    </w:lvl>
    <w:lvl w:ilvl="8" w:tplc="550C22A0">
      <w:start w:val="1"/>
      <w:numFmt w:val="lowerRoman"/>
      <w:lvlText w:val="%9."/>
      <w:lvlJc w:val="right"/>
      <w:pPr>
        <w:ind w:left="6480" w:hanging="180"/>
      </w:pPr>
    </w:lvl>
  </w:abstractNum>
  <w:abstractNum w:abstractNumId="71" w15:restartNumberingAfterBreak="0">
    <w:nsid w:val="54C54A9C"/>
    <w:multiLevelType w:val="hybridMultilevel"/>
    <w:tmpl w:val="EF0E98D0"/>
    <w:lvl w:ilvl="0" w:tplc="FB06D432">
      <w:start w:val="1"/>
      <w:numFmt w:val="decimal"/>
      <w:lvlText w:val="%1."/>
      <w:lvlJc w:val="left"/>
      <w:pPr>
        <w:ind w:left="720" w:hanging="360"/>
      </w:pPr>
    </w:lvl>
    <w:lvl w:ilvl="1" w:tplc="12BCF6C6">
      <w:start w:val="1"/>
      <w:numFmt w:val="lowerLetter"/>
      <w:lvlText w:val="%2."/>
      <w:lvlJc w:val="left"/>
      <w:pPr>
        <w:ind w:left="1440" w:hanging="360"/>
      </w:pPr>
    </w:lvl>
    <w:lvl w:ilvl="2" w:tplc="CE3A29E6">
      <w:start w:val="1"/>
      <w:numFmt w:val="lowerRoman"/>
      <w:lvlText w:val="%3."/>
      <w:lvlJc w:val="right"/>
      <w:pPr>
        <w:ind w:left="2160" w:hanging="180"/>
      </w:pPr>
    </w:lvl>
    <w:lvl w:ilvl="3" w:tplc="BEE04F38">
      <w:start w:val="1"/>
      <w:numFmt w:val="decimal"/>
      <w:lvlText w:val="%4."/>
      <w:lvlJc w:val="left"/>
      <w:pPr>
        <w:ind w:left="2880" w:hanging="360"/>
      </w:pPr>
    </w:lvl>
    <w:lvl w:ilvl="4" w:tplc="953A4CBE">
      <w:start w:val="1"/>
      <w:numFmt w:val="lowerLetter"/>
      <w:lvlText w:val="%5."/>
      <w:lvlJc w:val="left"/>
      <w:pPr>
        <w:ind w:left="3600" w:hanging="360"/>
      </w:pPr>
    </w:lvl>
    <w:lvl w:ilvl="5" w:tplc="84AEB0EE">
      <w:start w:val="1"/>
      <w:numFmt w:val="lowerRoman"/>
      <w:lvlText w:val="%6."/>
      <w:lvlJc w:val="right"/>
      <w:pPr>
        <w:ind w:left="4320" w:hanging="180"/>
      </w:pPr>
    </w:lvl>
    <w:lvl w:ilvl="6" w:tplc="420E9A20">
      <w:start w:val="1"/>
      <w:numFmt w:val="decimal"/>
      <w:lvlText w:val="%7."/>
      <w:lvlJc w:val="left"/>
      <w:pPr>
        <w:ind w:left="5040" w:hanging="360"/>
      </w:pPr>
    </w:lvl>
    <w:lvl w:ilvl="7" w:tplc="377AA1DE">
      <w:start w:val="1"/>
      <w:numFmt w:val="lowerLetter"/>
      <w:lvlText w:val="%8."/>
      <w:lvlJc w:val="left"/>
      <w:pPr>
        <w:ind w:left="5760" w:hanging="360"/>
      </w:pPr>
    </w:lvl>
    <w:lvl w:ilvl="8" w:tplc="5762A5D0">
      <w:start w:val="1"/>
      <w:numFmt w:val="lowerRoman"/>
      <w:lvlText w:val="%9."/>
      <w:lvlJc w:val="right"/>
      <w:pPr>
        <w:ind w:left="6480" w:hanging="180"/>
      </w:pPr>
    </w:lvl>
  </w:abstractNum>
  <w:abstractNum w:abstractNumId="72" w15:restartNumberingAfterBreak="0">
    <w:nsid w:val="56500E7B"/>
    <w:multiLevelType w:val="hybridMultilevel"/>
    <w:tmpl w:val="828E03BC"/>
    <w:lvl w:ilvl="0" w:tplc="987E8F28">
      <w:start w:val="1"/>
      <w:numFmt w:val="decimal"/>
      <w:lvlText w:val="%1."/>
      <w:lvlJc w:val="left"/>
      <w:pPr>
        <w:ind w:left="720" w:hanging="360"/>
      </w:pPr>
    </w:lvl>
    <w:lvl w:ilvl="1" w:tplc="7C3EC52E">
      <w:start w:val="1"/>
      <w:numFmt w:val="lowerLetter"/>
      <w:lvlText w:val="%2."/>
      <w:lvlJc w:val="left"/>
      <w:pPr>
        <w:ind w:left="1440" w:hanging="360"/>
      </w:pPr>
    </w:lvl>
    <w:lvl w:ilvl="2" w:tplc="2396A5FC">
      <w:start w:val="1"/>
      <w:numFmt w:val="lowerRoman"/>
      <w:lvlText w:val="%3."/>
      <w:lvlJc w:val="right"/>
      <w:pPr>
        <w:ind w:left="2160" w:hanging="180"/>
      </w:pPr>
    </w:lvl>
    <w:lvl w:ilvl="3" w:tplc="5BD08EDA">
      <w:start w:val="1"/>
      <w:numFmt w:val="decimal"/>
      <w:lvlText w:val="%4."/>
      <w:lvlJc w:val="left"/>
      <w:pPr>
        <w:ind w:left="2880" w:hanging="360"/>
      </w:pPr>
    </w:lvl>
    <w:lvl w:ilvl="4" w:tplc="CEDEB254">
      <w:start w:val="1"/>
      <w:numFmt w:val="lowerLetter"/>
      <w:lvlText w:val="%5."/>
      <w:lvlJc w:val="left"/>
      <w:pPr>
        <w:ind w:left="3600" w:hanging="360"/>
      </w:pPr>
    </w:lvl>
    <w:lvl w:ilvl="5" w:tplc="AF18C476">
      <w:start w:val="1"/>
      <w:numFmt w:val="lowerRoman"/>
      <w:lvlText w:val="%6."/>
      <w:lvlJc w:val="right"/>
      <w:pPr>
        <w:ind w:left="4320" w:hanging="180"/>
      </w:pPr>
    </w:lvl>
    <w:lvl w:ilvl="6" w:tplc="5FD4C90E">
      <w:start w:val="1"/>
      <w:numFmt w:val="decimal"/>
      <w:lvlText w:val="%7."/>
      <w:lvlJc w:val="left"/>
      <w:pPr>
        <w:ind w:left="5040" w:hanging="360"/>
      </w:pPr>
    </w:lvl>
    <w:lvl w:ilvl="7" w:tplc="D2BAB772">
      <w:start w:val="1"/>
      <w:numFmt w:val="lowerLetter"/>
      <w:lvlText w:val="%8."/>
      <w:lvlJc w:val="left"/>
      <w:pPr>
        <w:ind w:left="5760" w:hanging="360"/>
      </w:pPr>
    </w:lvl>
    <w:lvl w:ilvl="8" w:tplc="0ECCF590">
      <w:start w:val="1"/>
      <w:numFmt w:val="lowerRoman"/>
      <w:lvlText w:val="%9."/>
      <w:lvlJc w:val="right"/>
      <w:pPr>
        <w:ind w:left="6480" w:hanging="180"/>
      </w:pPr>
    </w:lvl>
  </w:abstractNum>
  <w:abstractNum w:abstractNumId="73" w15:restartNumberingAfterBreak="0">
    <w:nsid w:val="568D2684"/>
    <w:multiLevelType w:val="hybridMultilevel"/>
    <w:tmpl w:val="A3C8A014"/>
    <w:lvl w:ilvl="0" w:tplc="A3B61698">
      <w:start w:val="1"/>
      <w:numFmt w:val="decimal"/>
      <w:lvlText w:val="%1."/>
      <w:lvlJc w:val="left"/>
      <w:pPr>
        <w:ind w:left="720" w:hanging="360"/>
      </w:pPr>
    </w:lvl>
    <w:lvl w:ilvl="1" w:tplc="32A8B03C">
      <w:start w:val="1"/>
      <w:numFmt w:val="lowerLetter"/>
      <w:lvlText w:val="%2."/>
      <w:lvlJc w:val="left"/>
      <w:pPr>
        <w:ind w:left="1440" w:hanging="360"/>
      </w:pPr>
    </w:lvl>
    <w:lvl w:ilvl="2" w:tplc="6E923644">
      <w:start w:val="1"/>
      <w:numFmt w:val="lowerRoman"/>
      <w:lvlText w:val="%3."/>
      <w:lvlJc w:val="right"/>
      <w:pPr>
        <w:ind w:left="2160" w:hanging="180"/>
      </w:pPr>
    </w:lvl>
    <w:lvl w:ilvl="3" w:tplc="3E4C6710">
      <w:start w:val="1"/>
      <w:numFmt w:val="decimal"/>
      <w:lvlText w:val="%4."/>
      <w:lvlJc w:val="left"/>
      <w:pPr>
        <w:ind w:left="2880" w:hanging="360"/>
      </w:pPr>
    </w:lvl>
    <w:lvl w:ilvl="4" w:tplc="695A1B8E">
      <w:start w:val="1"/>
      <w:numFmt w:val="lowerLetter"/>
      <w:lvlText w:val="%5."/>
      <w:lvlJc w:val="left"/>
      <w:pPr>
        <w:ind w:left="3600" w:hanging="360"/>
      </w:pPr>
    </w:lvl>
    <w:lvl w:ilvl="5" w:tplc="59EE5C80">
      <w:start w:val="1"/>
      <w:numFmt w:val="lowerRoman"/>
      <w:lvlText w:val="%6."/>
      <w:lvlJc w:val="right"/>
      <w:pPr>
        <w:ind w:left="4320" w:hanging="180"/>
      </w:pPr>
    </w:lvl>
    <w:lvl w:ilvl="6" w:tplc="FAC63E62">
      <w:start w:val="1"/>
      <w:numFmt w:val="decimal"/>
      <w:lvlText w:val="%7."/>
      <w:lvlJc w:val="left"/>
      <w:pPr>
        <w:ind w:left="5040" w:hanging="360"/>
      </w:pPr>
    </w:lvl>
    <w:lvl w:ilvl="7" w:tplc="A19EAD26">
      <w:start w:val="1"/>
      <w:numFmt w:val="lowerLetter"/>
      <w:lvlText w:val="%8."/>
      <w:lvlJc w:val="left"/>
      <w:pPr>
        <w:ind w:left="5760" w:hanging="360"/>
      </w:pPr>
    </w:lvl>
    <w:lvl w:ilvl="8" w:tplc="376C8CF6">
      <w:start w:val="1"/>
      <w:numFmt w:val="lowerRoman"/>
      <w:lvlText w:val="%9."/>
      <w:lvlJc w:val="right"/>
      <w:pPr>
        <w:ind w:left="6480" w:hanging="180"/>
      </w:pPr>
    </w:lvl>
  </w:abstractNum>
  <w:abstractNum w:abstractNumId="74" w15:restartNumberingAfterBreak="0">
    <w:nsid w:val="5B906A9D"/>
    <w:multiLevelType w:val="hybridMultilevel"/>
    <w:tmpl w:val="6A9C7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BEE15DB"/>
    <w:multiLevelType w:val="multilevel"/>
    <w:tmpl w:val="9CEEEE1C"/>
    <w:lvl w:ilvl="0">
      <w:start w:val="1"/>
      <w:numFmt w:val="decimal"/>
      <w:lvlText w:val="%1."/>
      <w:lvlJc w:val="left"/>
      <w:pPr>
        <w:ind w:left="720" w:hanging="360"/>
      </w:pPr>
      <w:rPr>
        <w:rFonts w:hint="default"/>
        <w:sz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C5F007D"/>
    <w:multiLevelType w:val="hybridMultilevel"/>
    <w:tmpl w:val="3228B544"/>
    <w:lvl w:ilvl="0" w:tplc="6ABC290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FFD2952"/>
    <w:multiLevelType w:val="hybridMultilevel"/>
    <w:tmpl w:val="F29CF21A"/>
    <w:lvl w:ilvl="0" w:tplc="5B6A7F52">
      <w:start w:val="1"/>
      <w:numFmt w:val="bullet"/>
      <w:lvlText w:val="-"/>
      <w:lvlJc w:val="left"/>
      <w:pPr>
        <w:ind w:left="720" w:hanging="360"/>
      </w:pPr>
      <w:rPr>
        <w:rFonts w:ascii="Calibri" w:hAnsi="Calibri" w:hint="default"/>
      </w:rPr>
    </w:lvl>
    <w:lvl w:ilvl="1" w:tplc="1414CB3C">
      <w:start w:val="1"/>
      <w:numFmt w:val="bullet"/>
      <w:lvlText w:val="o"/>
      <w:lvlJc w:val="left"/>
      <w:pPr>
        <w:ind w:left="1440" w:hanging="360"/>
      </w:pPr>
      <w:rPr>
        <w:rFonts w:ascii="Courier New" w:hAnsi="Courier New" w:hint="default"/>
      </w:rPr>
    </w:lvl>
    <w:lvl w:ilvl="2" w:tplc="39F0206A">
      <w:start w:val="1"/>
      <w:numFmt w:val="bullet"/>
      <w:lvlText w:val=""/>
      <w:lvlJc w:val="left"/>
      <w:pPr>
        <w:ind w:left="2160" w:hanging="360"/>
      </w:pPr>
      <w:rPr>
        <w:rFonts w:ascii="Wingdings" w:hAnsi="Wingdings" w:hint="default"/>
      </w:rPr>
    </w:lvl>
    <w:lvl w:ilvl="3" w:tplc="FAF4F910">
      <w:start w:val="1"/>
      <w:numFmt w:val="bullet"/>
      <w:lvlText w:val=""/>
      <w:lvlJc w:val="left"/>
      <w:pPr>
        <w:ind w:left="2880" w:hanging="360"/>
      </w:pPr>
      <w:rPr>
        <w:rFonts w:ascii="Symbol" w:hAnsi="Symbol" w:hint="default"/>
      </w:rPr>
    </w:lvl>
    <w:lvl w:ilvl="4" w:tplc="6A94233A">
      <w:start w:val="1"/>
      <w:numFmt w:val="bullet"/>
      <w:lvlText w:val="o"/>
      <w:lvlJc w:val="left"/>
      <w:pPr>
        <w:ind w:left="3600" w:hanging="360"/>
      </w:pPr>
      <w:rPr>
        <w:rFonts w:ascii="Courier New" w:hAnsi="Courier New" w:hint="default"/>
      </w:rPr>
    </w:lvl>
    <w:lvl w:ilvl="5" w:tplc="C3587B2A">
      <w:start w:val="1"/>
      <w:numFmt w:val="bullet"/>
      <w:lvlText w:val=""/>
      <w:lvlJc w:val="left"/>
      <w:pPr>
        <w:ind w:left="4320" w:hanging="360"/>
      </w:pPr>
      <w:rPr>
        <w:rFonts w:ascii="Wingdings" w:hAnsi="Wingdings" w:hint="default"/>
      </w:rPr>
    </w:lvl>
    <w:lvl w:ilvl="6" w:tplc="5AF4D452">
      <w:start w:val="1"/>
      <w:numFmt w:val="bullet"/>
      <w:lvlText w:val=""/>
      <w:lvlJc w:val="left"/>
      <w:pPr>
        <w:ind w:left="5040" w:hanging="360"/>
      </w:pPr>
      <w:rPr>
        <w:rFonts w:ascii="Symbol" w:hAnsi="Symbol" w:hint="default"/>
      </w:rPr>
    </w:lvl>
    <w:lvl w:ilvl="7" w:tplc="0E1242B6">
      <w:start w:val="1"/>
      <w:numFmt w:val="bullet"/>
      <w:lvlText w:val="o"/>
      <w:lvlJc w:val="left"/>
      <w:pPr>
        <w:ind w:left="5760" w:hanging="360"/>
      </w:pPr>
      <w:rPr>
        <w:rFonts w:ascii="Courier New" w:hAnsi="Courier New" w:hint="default"/>
      </w:rPr>
    </w:lvl>
    <w:lvl w:ilvl="8" w:tplc="9EACCA94">
      <w:start w:val="1"/>
      <w:numFmt w:val="bullet"/>
      <w:lvlText w:val=""/>
      <w:lvlJc w:val="left"/>
      <w:pPr>
        <w:ind w:left="6480" w:hanging="360"/>
      </w:pPr>
      <w:rPr>
        <w:rFonts w:ascii="Wingdings" w:hAnsi="Wingdings" w:hint="default"/>
      </w:rPr>
    </w:lvl>
  </w:abstractNum>
  <w:abstractNum w:abstractNumId="78" w15:restartNumberingAfterBreak="0">
    <w:nsid w:val="63877B31"/>
    <w:multiLevelType w:val="hybridMultilevel"/>
    <w:tmpl w:val="5BAEBB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3D708AA"/>
    <w:multiLevelType w:val="hybridMultilevel"/>
    <w:tmpl w:val="2408AF60"/>
    <w:lvl w:ilvl="0" w:tplc="A2F8B292">
      <w:start w:val="1"/>
      <w:numFmt w:val="decimal"/>
      <w:lvlText w:val="%1."/>
      <w:lvlJc w:val="left"/>
      <w:pPr>
        <w:ind w:left="720" w:hanging="360"/>
      </w:pPr>
    </w:lvl>
    <w:lvl w:ilvl="1" w:tplc="35C40E30">
      <w:start w:val="1"/>
      <w:numFmt w:val="lowerLetter"/>
      <w:lvlText w:val="%2."/>
      <w:lvlJc w:val="left"/>
      <w:pPr>
        <w:ind w:left="1440" w:hanging="360"/>
      </w:pPr>
    </w:lvl>
    <w:lvl w:ilvl="2" w:tplc="B30EA216">
      <w:start w:val="1"/>
      <w:numFmt w:val="lowerRoman"/>
      <w:lvlText w:val="%3."/>
      <w:lvlJc w:val="right"/>
      <w:pPr>
        <w:ind w:left="2160" w:hanging="180"/>
      </w:pPr>
    </w:lvl>
    <w:lvl w:ilvl="3" w:tplc="D5E084D2">
      <w:start w:val="1"/>
      <w:numFmt w:val="decimal"/>
      <w:lvlText w:val="%4."/>
      <w:lvlJc w:val="left"/>
      <w:pPr>
        <w:ind w:left="2880" w:hanging="360"/>
      </w:pPr>
    </w:lvl>
    <w:lvl w:ilvl="4" w:tplc="00063878">
      <w:start w:val="1"/>
      <w:numFmt w:val="lowerLetter"/>
      <w:lvlText w:val="%5."/>
      <w:lvlJc w:val="left"/>
      <w:pPr>
        <w:ind w:left="3600" w:hanging="360"/>
      </w:pPr>
    </w:lvl>
    <w:lvl w:ilvl="5" w:tplc="D0A4B9A0">
      <w:start w:val="1"/>
      <w:numFmt w:val="lowerRoman"/>
      <w:lvlText w:val="%6."/>
      <w:lvlJc w:val="right"/>
      <w:pPr>
        <w:ind w:left="4320" w:hanging="180"/>
      </w:pPr>
    </w:lvl>
    <w:lvl w:ilvl="6" w:tplc="D7EAA6EC">
      <w:start w:val="1"/>
      <w:numFmt w:val="decimal"/>
      <w:lvlText w:val="%7."/>
      <w:lvlJc w:val="left"/>
      <w:pPr>
        <w:ind w:left="5040" w:hanging="360"/>
      </w:pPr>
    </w:lvl>
    <w:lvl w:ilvl="7" w:tplc="34948F98">
      <w:start w:val="1"/>
      <w:numFmt w:val="lowerLetter"/>
      <w:lvlText w:val="%8."/>
      <w:lvlJc w:val="left"/>
      <w:pPr>
        <w:ind w:left="5760" w:hanging="360"/>
      </w:pPr>
    </w:lvl>
    <w:lvl w:ilvl="8" w:tplc="4EE65028">
      <w:start w:val="1"/>
      <w:numFmt w:val="lowerRoman"/>
      <w:lvlText w:val="%9."/>
      <w:lvlJc w:val="right"/>
      <w:pPr>
        <w:ind w:left="6480" w:hanging="180"/>
      </w:pPr>
    </w:lvl>
  </w:abstractNum>
  <w:abstractNum w:abstractNumId="80" w15:restartNumberingAfterBreak="0">
    <w:nsid w:val="64A31F3C"/>
    <w:multiLevelType w:val="hybridMultilevel"/>
    <w:tmpl w:val="0A522E96"/>
    <w:lvl w:ilvl="0" w:tplc="75FE1F86">
      <w:start w:val="1"/>
      <w:numFmt w:val="decimal"/>
      <w:lvlText w:val="%1."/>
      <w:lvlJc w:val="left"/>
      <w:pPr>
        <w:ind w:left="720" w:hanging="360"/>
      </w:pPr>
    </w:lvl>
    <w:lvl w:ilvl="1" w:tplc="AFC6B3C8">
      <w:start w:val="1"/>
      <w:numFmt w:val="lowerLetter"/>
      <w:lvlText w:val="%2."/>
      <w:lvlJc w:val="left"/>
      <w:pPr>
        <w:ind w:left="1440" w:hanging="360"/>
      </w:pPr>
    </w:lvl>
    <w:lvl w:ilvl="2" w:tplc="7A768386">
      <w:start w:val="1"/>
      <w:numFmt w:val="lowerRoman"/>
      <w:lvlText w:val="%3."/>
      <w:lvlJc w:val="right"/>
      <w:pPr>
        <w:ind w:left="2160" w:hanging="180"/>
      </w:pPr>
    </w:lvl>
    <w:lvl w:ilvl="3" w:tplc="1A64B2B8">
      <w:start w:val="1"/>
      <w:numFmt w:val="decimal"/>
      <w:lvlText w:val="%4."/>
      <w:lvlJc w:val="left"/>
      <w:pPr>
        <w:ind w:left="2880" w:hanging="360"/>
      </w:pPr>
    </w:lvl>
    <w:lvl w:ilvl="4" w:tplc="AAE479EA">
      <w:start w:val="1"/>
      <w:numFmt w:val="lowerLetter"/>
      <w:lvlText w:val="%5."/>
      <w:lvlJc w:val="left"/>
      <w:pPr>
        <w:ind w:left="3600" w:hanging="360"/>
      </w:pPr>
    </w:lvl>
    <w:lvl w:ilvl="5" w:tplc="6694AF48">
      <w:start w:val="1"/>
      <w:numFmt w:val="lowerRoman"/>
      <w:lvlText w:val="%6."/>
      <w:lvlJc w:val="right"/>
      <w:pPr>
        <w:ind w:left="4320" w:hanging="180"/>
      </w:pPr>
    </w:lvl>
    <w:lvl w:ilvl="6" w:tplc="F0E65708">
      <w:start w:val="1"/>
      <w:numFmt w:val="decimal"/>
      <w:lvlText w:val="%7."/>
      <w:lvlJc w:val="left"/>
      <w:pPr>
        <w:ind w:left="5040" w:hanging="360"/>
      </w:pPr>
    </w:lvl>
    <w:lvl w:ilvl="7" w:tplc="1F0ED0CA">
      <w:start w:val="1"/>
      <w:numFmt w:val="lowerLetter"/>
      <w:lvlText w:val="%8."/>
      <w:lvlJc w:val="left"/>
      <w:pPr>
        <w:ind w:left="5760" w:hanging="360"/>
      </w:pPr>
    </w:lvl>
    <w:lvl w:ilvl="8" w:tplc="963E358C">
      <w:start w:val="1"/>
      <w:numFmt w:val="lowerRoman"/>
      <w:lvlText w:val="%9."/>
      <w:lvlJc w:val="right"/>
      <w:pPr>
        <w:ind w:left="6480" w:hanging="180"/>
      </w:pPr>
    </w:lvl>
  </w:abstractNum>
  <w:abstractNum w:abstractNumId="81" w15:restartNumberingAfterBreak="0">
    <w:nsid w:val="65FA6EED"/>
    <w:multiLevelType w:val="hybridMultilevel"/>
    <w:tmpl w:val="906C0524"/>
    <w:lvl w:ilvl="0" w:tplc="A45CF7C6">
      <w:start w:val="1"/>
      <w:numFmt w:val="bullet"/>
      <w:lvlText w:val="·"/>
      <w:lvlJc w:val="left"/>
      <w:pPr>
        <w:ind w:left="720" w:hanging="360"/>
      </w:pPr>
      <w:rPr>
        <w:rFonts w:ascii="Symbol" w:hAnsi="Symbol" w:hint="default"/>
      </w:rPr>
    </w:lvl>
    <w:lvl w:ilvl="1" w:tplc="04A0AFC2">
      <w:start w:val="1"/>
      <w:numFmt w:val="bullet"/>
      <w:lvlText w:val="o"/>
      <w:lvlJc w:val="left"/>
      <w:pPr>
        <w:ind w:left="1440" w:hanging="360"/>
      </w:pPr>
      <w:rPr>
        <w:rFonts w:ascii="Courier New" w:hAnsi="Courier New" w:hint="default"/>
      </w:rPr>
    </w:lvl>
    <w:lvl w:ilvl="2" w:tplc="5A9A30B2">
      <w:start w:val="1"/>
      <w:numFmt w:val="bullet"/>
      <w:lvlText w:val=""/>
      <w:lvlJc w:val="left"/>
      <w:pPr>
        <w:ind w:left="2160" w:hanging="360"/>
      </w:pPr>
      <w:rPr>
        <w:rFonts w:ascii="Wingdings" w:hAnsi="Wingdings" w:hint="default"/>
      </w:rPr>
    </w:lvl>
    <w:lvl w:ilvl="3" w:tplc="875AFCE2">
      <w:start w:val="1"/>
      <w:numFmt w:val="bullet"/>
      <w:lvlText w:val=""/>
      <w:lvlJc w:val="left"/>
      <w:pPr>
        <w:ind w:left="2880" w:hanging="360"/>
      </w:pPr>
      <w:rPr>
        <w:rFonts w:ascii="Symbol" w:hAnsi="Symbol" w:hint="default"/>
      </w:rPr>
    </w:lvl>
    <w:lvl w:ilvl="4" w:tplc="14C04F7E">
      <w:start w:val="1"/>
      <w:numFmt w:val="bullet"/>
      <w:lvlText w:val="o"/>
      <w:lvlJc w:val="left"/>
      <w:pPr>
        <w:ind w:left="3600" w:hanging="360"/>
      </w:pPr>
      <w:rPr>
        <w:rFonts w:ascii="Courier New" w:hAnsi="Courier New" w:hint="default"/>
      </w:rPr>
    </w:lvl>
    <w:lvl w:ilvl="5" w:tplc="F9E8D7E0">
      <w:start w:val="1"/>
      <w:numFmt w:val="bullet"/>
      <w:lvlText w:val=""/>
      <w:lvlJc w:val="left"/>
      <w:pPr>
        <w:ind w:left="4320" w:hanging="360"/>
      </w:pPr>
      <w:rPr>
        <w:rFonts w:ascii="Wingdings" w:hAnsi="Wingdings" w:hint="default"/>
      </w:rPr>
    </w:lvl>
    <w:lvl w:ilvl="6" w:tplc="60B43C76">
      <w:start w:val="1"/>
      <w:numFmt w:val="bullet"/>
      <w:lvlText w:val=""/>
      <w:lvlJc w:val="left"/>
      <w:pPr>
        <w:ind w:left="5040" w:hanging="360"/>
      </w:pPr>
      <w:rPr>
        <w:rFonts w:ascii="Symbol" w:hAnsi="Symbol" w:hint="default"/>
      </w:rPr>
    </w:lvl>
    <w:lvl w:ilvl="7" w:tplc="0CA8F674">
      <w:start w:val="1"/>
      <w:numFmt w:val="bullet"/>
      <w:lvlText w:val="o"/>
      <w:lvlJc w:val="left"/>
      <w:pPr>
        <w:ind w:left="5760" w:hanging="360"/>
      </w:pPr>
      <w:rPr>
        <w:rFonts w:ascii="Courier New" w:hAnsi="Courier New" w:hint="default"/>
      </w:rPr>
    </w:lvl>
    <w:lvl w:ilvl="8" w:tplc="799A6FC2">
      <w:start w:val="1"/>
      <w:numFmt w:val="bullet"/>
      <w:lvlText w:val=""/>
      <w:lvlJc w:val="left"/>
      <w:pPr>
        <w:ind w:left="6480" w:hanging="360"/>
      </w:pPr>
      <w:rPr>
        <w:rFonts w:ascii="Wingdings" w:hAnsi="Wingdings" w:hint="default"/>
      </w:rPr>
    </w:lvl>
  </w:abstractNum>
  <w:abstractNum w:abstractNumId="82" w15:restartNumberingAfterBreak="0">
    <w:nsid w:val="66F50640"/>
    <w:multiLevelType w:val="hybridMultilevel"/>
    <w:tmpl w:val="E20462AE"/>
    <w:lvl w:ilvl="0" w:tplc="FFFFFFFF">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77D6C7A"/>
    <w:multiLevelType w:val="hybridMultilevel"/>
    <w:tmpl w:val="EC506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B986F73"/>
    <w:multiLevelType w:val="hybridMultilevel"/>
    <w:tmpl w:val="16F890A4"/>
    <w:lvl w:ilvl="0" w:tplc="6B5AF538">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5" w15:restartNumberingAfterBreak="0">
    <w:nsid w:val="6C275725"/>
    <w:multiLevelType w:val="hybridMultilevel"/>
    <w:tmpl w:val="C84A4DAA"/>
    <w:lvl w:ilvl="0" w:tplc="C0E80146">
      <w:start w:val="1"/>
      <w:numFmt w:val="bullet"/>
      <w:lvlText w:val="·"/>
      <w:lvlJc w:val="left"/>
      <w:pPr>
        <w:ind w:left="720" w:hanging="360"/>
      </w:pPr>
      <w:rPr>
        <w:rFonts w:ascii="Symbol" w:hAnsi="Symbol" w:hint="default"/>
      </w:rPr>
    </w:lvl>
    <w:lvl w:ilvl="1" w:tplc="1C626176">
      <w:start w:val="1"/>
      <w:numFmt w:val="bullet"/>
      <w:lvlText w:val="o"/>
      <w:lvlJc w:val="left"/>
      <w:pPr>
        <w:ind w:left="1440" w:hanging="360"/>
      </w:pPr>
      <w:rPr>
        <w:rFonts w:ascii="Courier New" w:hAnsi="Courier New" w:hint="default"/>
      </w:rPr>
    </w:lvl>
    <w:lvl w:ilvl="2" w:tplc="6D6EB662">
      <w:start w:val="1"/>
      <w:numFmt w:val="bullet"/>
      <w:lvlText w:val=""/>
      <w:lvlJc w:val="left"/>
      <w:pPr>
        <w:ind w:left="2160" w:hanging="360"/>
      </w:pPr>
      <w:rPr>
        <w:rFonts w:ascii="Wingdings" w:hAnsi="Wingdings" w:hint="default"/>
      </w:rPr>
    </w:lvl>
    <w:lvl w:ilvl="3" w:tplc="6CFA43C6">
      <w:start w:val="1"/>
      <w:numFmt w:val="bullet"/>
      <w:lvlText w:val=""/>
      <w:lvlJc w:val="left"/>
      <w:pPr>
        <w:ind w:left="2880" w:hanging="360"/>
      </w:pPr>
      <w:rPr>
        <w:rFonts w:ascii="Symbol" w:hAnsi="Symbol" w:hint="default"/>
      </w:rPr>
    </w:lvl>
    <w:lvl w:ilvl="4" w:tplc="91CCE98A">
      <w:start w:val="1"/>
      <w:numFmt w:val="bullet"/>
      <w:lvlText w:val="o"/>
      <w:lvlJc w:val="left"/>
      <w:pPr>
        <w:ind w:left="3600" w:hanging="360"/>
      </w:pPr>
      <w:rPr>
        <w:rFonts w:ascii="Courier New" w:hAnsi="Courier New" w:hint="default"/>
      </w:rPr>
    </w:lvl>
    <w:lvl w:ilvl="5" w:tplc="F1BA114A">
      <w:start w:val="1"/>
      <w:numFmt w:val="bullet"/>
      <w:lvlText w:val=""/>
      <w:lvlJc w:val="left"/>
      <w:pPr>
        <w:ind w:left="4320" w:hanging="360"/>
      </w:pPr>
      <w:rPr>
        <w:rFonts w:ascii="Wingdings" w:hAnsi="Wingdings" w:hint="default"/>
      </w:rPr>
    </w:lvl>
    <w:lvl w:ilvl="6" w:tplc="B8481902">
      <w:start w:val="1"/>
      <w:numFmt w:val="bullet"/>
      <w:lvlText w:val=""/>
      <w:lvlJc w:val="left"/>
      <w:pPr>
        <w:ind w:left="5040" w:hanging="360"/>
      </w:pPr>
      <w:rPr>
        <w:rFonts w:ascii="Symbol" w:hAnsi="Symbol" w:hint="default"/>
      </w:rPr>
    </w:lvl>
    <w:lvl w:ilvl="7" w:tplc="C38457EA">
      <w:start w:val="1"/>
      <w:numFmt w:val="bullet"/>
      <w:lvlText w:val="o"/>
      <w:lvlJc w:val="left"/>
      <w:pPr>
        <w:ind w:left="5760" w:hanging="360"/>
      </w:pPr>
      <w:rPr>
        <w:rFonts w:ascii="Courier New" w:hAnsi="Courier New" w:hint="default"/>
      </w:rPr>
    </w:lvl>
    <w:lvl w:ilvl="8" w:tplc="3A94C86A">
      <w:start w:val="1"/>
      <w:numFmt w:val="bullet"/>
      <w:lvlText w:val=""/>
      <w:lvlJc w:val="left"/>
      <w:pPr>
        <w:ind w:left="6480" w:hanging="360"/>
      </w:pPr>
      <w:rPr>
        <w:rFonts w:ascii="Wingdings" w:hAnsi="Wingdings" w:hint="default"/>
      </w:rPr>
    </w:lvl>
  </w:abstractNum>
  <w:abstractNum w:abstractNumId="86" w15:restartNumberingAfterBreak="0">
    <w:nsid w:val="6CEF5D8A"/>
    <w:multiLevelType w:val="hybridMultilevel"/>
    <w:tmpl w:val="865848A6"/>
    <w:lvl w:ilvl="0" w:tplc="9C362DD2">
      <w:start w:val="1"/>
      <w:numFmt w:val="decimal"/>
      <w:lvlText w:val="%1."/>
      <w:lvlJc w:val="left"/>
      <w:pPr>
        <w:ind w:left="720" w:hanging="360"/>
      </w:pPr>
    </w:lvl>
    <w:lvl w:ilvl="1" w:tplc="3A6811DA">
      <w:start w:val="1"/>
      <w:numFmt w:val="lowerLetter"/>
      <w:lvlText w:val="%2."/>
      <w:lvlJc w:val="left"/>
      <w:pPr>
        <w:ind w:left="1440" w:hanging="360"/>
      </w:pPr>
    </w:lvl>
    <w:lvl w:ilvl="2" w:tplc="4390588C">
      <w:start w:val="1"/>
      <w:numFmt w:val="lowerRoman"/>
      <w:lvlText w:val="%3."/>
      <w:lvlJc w:val="right"/>
      <w:pPr>
        <w:ind w:left="2160" w:hanging="180"/>
      </w:pPr>
    </w:lvl>
    <w:lvl w:ilvl="3" w:tplc="8BA60240">
      <w:start w:val="1"/>
      <w:numFmt w:val="decimal"/>
      <w:lvlText w:val="%4."/>
      <w:lvlJc w:val="left"/>
      <w:pPr>
        <w:ind w:left="2880" w:hanging="360"/>
      </w:pPr>
    </w:lvl>
    <w:lvl w:ilvl="4" w:tplc="CBBC9EA6">
      <w:start w:val="1"/>
      <w:numFmt w:val="lowerLetter"/>
      <w:lvlText w:val="%5."/>
      <w:lvlJc w:val="left"/>
      <w:pPr>
        <w:ind w:left="3600" w:hanging="360"/>
      </w:pPr>
    </w:lvl>
    <w:lvl w:ilvl="5" w:tplc="E8708F52">
      <w:start w:val="1"/>
      <w:numFmt w:val="lowerRoman"/>
      <w:lvlText w:val="%6."/>
      <w:lvlJc w:val="right"/>
      <w:pPr>
        <w:ind w:left="4320" w:hanging="180"/>
      </w:pPr>
    </w:lvl>
    <w:lvl w:ilvl="6" w:tplc="AFB8B0A6">
      <w:start w:val="1"/>
      <w:numFmt w:val="decimal"/>
      <w:lvlText w:val="%7."/>
      <w:lvlJc w:val="left"/>
      <w:pPr>
        <w:ind w:left="5040" w:hanging="360"/>
      </w:pPr>
    </w:lvl>
    <w:lvl w:ilvl="7" w:tplc="81C0103C">
      <w:start w:val="1"/>
      <w:numFmt w:val="lowerLetter"/>
      <w:lvlText w:val="%8."/>
      <w:lvlJc w:val="left"/>
      <w:pPr>
        <w:ind w:left="5760" w:hanging="360"/>
      </w:pPr>
    </w:lvl>
    <w:lvl w:ilvl="8" w:tplc="32265462">
      <w:start w:val="1"/>
      <w:numFmt w:val="lowerRoman"/>
      <w:lvlText w:val="%9."/>
      <w:lvlJc w:val="right"/>
      <w:pPr>
        <w:ind w:left="6480" w:hanging="180"/>
      </w:pPr>
    </w:lvl>
  </w:abstractNum>
  <w:abstractNum w:abstractNumId="87" w15:restartNumberingAfterBreak="0">
    <w:nsid w:val="6E421636"/>
    <w:multiLevelType w:val="hybridMultilevel"/>
    <w:tmpl w:val="AB848F46"/>
    <w:lvl w:ilvl="0" w:tplc="DD9ADBBA">
      <w:start w:val="1"/>
      <w:numFmt w:val="bullet"/>
      <w:lvlText w:val="·"/>
      <w:lvlJc w:val="left"/>
      <w:pPr>
        <w:ind w:left="720" w:hanging="360"/>
      </w:pPr>
      <w:rPr>
        <w:rFonts w:ascii="Symbol" w:hAnsi="Symbol" w:hint="default"/>
      </w:rPr>
    </w:lvl>
    <w:lvl w:ilvl="1" w:tplc="FFB8B90E">
      <w:start w:val="1"/>
      <w:numFmt w:val="bullet"/>
      <w:lvlText w:val="o"/>
      <w:lvlJc w:val="left"/>
      <w:pPr>
        <w:ind w:left="1440" w:hanging="360"/>
      </w:pPr>
      <w:rPr>
        <w:rFonts w:ascii="Courier New" w:hAnsi="Courier New" w:hint="default"/>
      </w:rPr>
    </w:lvl>
    <w:lvl w:ilvl="2" w:tplc="012AEFD8">
      <w:start w:val="1"/>
      <w:numFmt w:val="bullet"/>
      <w:lvlText w:val=""/>
      <w:lvlJc w:val="left"/>
      <w:pPr>
        <w:ind w:left="2160" w:hanging="360"/>
      </w:pPr>
      <w:rPr>
        <w:rFonts w:ascii="Wingdings" w:hAnsi="Wingdings" w:hint="default"/>
      </w:rPr>
    </w:lvl>
    <w:lvl w:ilvl="3" w:tplc="B22A8DBA">
      <w:start w:val="1"/>
      <w:numFmt w:val="bullet"/>
      <w:lvlText w:val=""/>
      <w:lvlJc w:val="left"/>
      <w:pPr>
        <w:ind w:left="2880" w:hanging="360"/>
      </w:pPr>
      <w:rPr>
        <w:rFonts w:ascii="Symbol" w:hAnsi="Symbol" w:hint="default"/>
      </w:rPr>
    </w:lvl>
    <w:lvl w:ilvl="4" w:tplc="931AFAB6">
      <w:start w:val="1"/>
      <w:numFmt w:val="bullet"/>
      <w:lvlText w:val="o"/>
      <w:lvlJc w:val="left"/>
      <w:pPr>
        <w:ind w:left="3600" w:hanging="360"/>
      </w:pPr>
      <w:rPr>
        <w:rFonts w:ascii="Courier New" w:hAnsi="Courier New" w:hint="default"/>
      </w:rPr>
    </w:lvl>
    <w:lvl w:ilvl="5" w:tplc="9E20DD32">
      <w:start w:val="1"/>
      <w:numFmt w:val="bullet"/>
      <w:lvlText w:val=""/>
      <w:lvlJc w:val="left"/>
      <w:pPr>
        <w:ind w:left="4320" w:hanging="360"/>
      </w:pPr>
      <w:rPr>
        <w:rFonts w:ascii="Wingdings" w:hAnsi="Wingdings" w:hint="default"/>
      </w:rPr>
    </w:lvl>
    <w:lvl w:ilvl="6" w:tplc="65FE52C4">
      <w:start w:val="1"/>
      <w:numFmt w:val="bullet"/>
      <w:lvlText w:val=""/>
      <w:lvlJc w:val="left"/>
      <w:pPr>
        <w:ind w:left="5040" w:hanging="360"/>
      </w:pPr>
      <w:rPr>
        <w:rFonts w:ascii="Symbol" w:hAnsi="Symbol" w:hint="default"/>
      </w:rPr>
    </w:lvl>
    <w:lvl w:ilvl="7" w:tplc="BC8848F4">
      <w:start w:val="1"/>
      <w:numFmt w:val="bullet"/>
      <w:lvlText w:val="o"/>
      <w:lvlJc w:val="left"/>
      <w:pPr>
        <w:ind w:left="5760" w:hanging="360"/>
      </w:pPr>
      <w:rPr>
        <w:rFonts w:ascii="Courier New" w:hAnsi="Courier New" w:hint="default"/>
      </w:rPr>
    </w:lvl>
    <w:lvl w:ilvl="8" w:tplc="473E8ABE">
      <w:start w:val="1"/>
      <w:numFmt w:val="bullet"/>
      <w:lvlText w:val=""/>
      <w:lvlJc w:val="left"/>
      <w:pPr>
        <w:ind w:left="6480" w:hanging="360"/>
      </w:pPr>
      <w:rPr>
        <w:rFonts w:ascii="Wingdings" w:hAnsi="Wingdings" w:hint="default"/>
      </w:rPr>
    </w:lvl>
  </w:abstractNum>
  <w:abstractNum w:abstractNumId="88" w15:restartNumberingAfterBreak="0">
    <w:nsid w:val="703A381D"/>
    <w:multiLevelType w:val="hybridMultilevel"/>
    <w:tmpl w:val="C87E0644"/>
    <w:lvl w:ilvl="0" w:tplc="C09A4640">
      <w:start w:val="1"/>
      <w:numFmt w:val="bullet"/>
      <w:lvlText w:val="·"/>
      <w:lvlJc w:val="left"/>
      <w:pPr>
        <w:ind w:left="720" w:hanging="360"/>
      </w:pPr>
      <w:rPr>
        <w:rFonts w:ascii="Symbol" w:hAnsi="Symbol" w:hint="default"/>
      </w:rPr>
    </w:lvl>
    <w:lvl w:ilvl="1" w:tplc="7AEE75E2">
      <w:start w:val="1"/>
      <w:numFmt w:val="bullet"/>
      <w:lvlText w:val="o"/>
      <w:lvlJc w:val="left"/>
      <w:pPr>
        <w:ind w:left="1440" w:hanging="360"/>
      </w:pPr>
      <w:rPr>
        <w:rFonts w:ascii="Courier New" w:hAnsi="Courier New" w:hint="default"/>
      </w:rPr>
    </w:lvl>
    <w:lvl w:ilvl="2" w:tplc="D460FFF0">
      <w:start w:val="1"/>
      <w:numFmt w:val="bullet"/>
      <w:lvlText w:val=""/>
      <w:lvlJc w:val="left"/>
      <w:pPr>
        <w:ind w:left="2160" w:hanging="360"/>
      </w:pPr>
      <w:rPr>
        <w:rFonts w:ascii="Wingdings" w:hAnsi="Wingdings" w:hint="default"/>
      </w:rPr>
    </w:lvl>
    <w:lvl w:ilvl="3" w:tplc="4C12A2FC">
      <w:start w:val="1"/>
      <w:numFmt w:val="bullet"/>
      <w:lvlText w:val=""/>
      <w:lvlJc w:val="left"/>
      <w:pPr>
        <w:ind w:left="2880" w:hanging="360"/>
      </w:pPr>
      <w:rPr>
        <w:rFonts w:ascii="Symbol" w:hAnsi="Symbol" w:hint="default"/>
      </w:rPr>
    </w:lvl>
    <w:lvl w:ilvl="4" w:tplc="511CFD86">
      <w:start w:val="1"/>
      <w:numFmt w:val="bullet"/>
      <w:lvlText w:val="o"/>
      <w:lvlJc w:val="left"/>
      <w:pPr>
        <w:ind w:left="3600" w:hanging="360"/>
      </w:pPr>
      <w:rPr>
        <w:rFonts w:ascii="Courier New" w:hAnsi="Courier New" w:hint="default"/>
      </w:rPr>
    </w:lvl>
    <w:lvl w:ilvl="5" w:tplc="86247D84">
      <w:start w:val="1"/>
      <w:numFmt w:val="bullet"/>
      <w:lvlText w:val=""/>
      <w:lvlJc w:val="left"/>
      <w:pPr>
        <w:ind w:left="4320" w:hanging="360"/>
      </w:pPr>
      <w:rPr>
        <w:rFonts w:ascii="Wingdings" w:hAnsi="Wingdings" w:hint="default"/>
      </w:rPr>
    </w:lvl>
    <w:lvl w:ilvl="6" w:tplc="A9A2158C">
      <w:start w:val="1"/>
      <w:numFmt w:val="bullet"/>
      <w:lvlText w:val=""/>
      <w:lvlJc w:val="left"/>
      <w:pPr>
        <w:ind w:left="5040" w:hanging="360"/>
      </w:pPr>
      <w:rPr>
        <w:rFonts w:ascii="Symbol" w:hAnsi="Symbol" w:hint="default"/>
      </w:rPr>
    </w:lvl>
    <w:lvl w:ilvl="7" w:tplc="DD1648DE">
      <w:start w:val="1"/>
      <w:numFmt w:val="bullet"/>
      <w:lvlText w:val="o"/>
      <w:lvlJc w:val="left"/>
      <w:pPr>
        <w:ind w:left="5760" w:hanging="360"/>
      </w:pPr>
      <w:rPr>
        <w:rFonts w:ascii="Courier New" w:hAnsi="Courier New" w:hint="default"/>
      </w:rPr>
    </w:lvl>
    <w:lvl w:ilvl="8" w:tplc="BCEA1784">
      <w:start w:val="1"/>
      <w:numFmt w:val="bullet"/>
      <w:lvlText w:val=""/>
      <w:lvlJc w:val="left"/>
      <w:pPr>
        <w:ind w:left="6480" w:hanging="360"/>
      </w:pPr>
      <w:rPr>
        <w:rFonts w:ascii="Wingdings" w:hAnsi="Wingdings" w:hint="default"/>
      </w:rPr>
    </w:lvl>
  </w:abstractNum>
  <w:abstractNum w:abstractNumId="89" w15:restartNumberingAfterBreak="0">
    <w:nsid w:val="706110E1"/>
    <w:multiLevelType w:val="hybridMultilevel"/>
    <w:tmpl w:val="7C065FE6"/>
    <w:lvl w:ilvl="0" w:tplc="628CF1B0">
      <w:start w:val="1"/>
      <w:numFmt w:val="bullet"/>
      <w:lvlText w:val="·"/>
      <w:lvlJc w:val="left"/>
      <w:pPr>
        <w:ind w:left="720" w:hanging="360"/>
      </w:pPr>
      <w:rPr>
        <w:rFonts w:ascii="Symbol" w:hAnsi="Symbol" w:hint="default"/>
      </w:rPr>
    </w:lvl>
    <w:lvl w:ilvl="1" w:tplc="727A43DE">
      <w:start w:val="1"/>
      <w:numFmt w:val="bullet"/>
      <w:lvlText w:val="o"/>
      <w:lvlJc w:val="left"/>
      <w:pPr>
        <w:ind w:left="1440" w:hanging="360"/>
      </w:pPr>
      <w:rPr>
        <w:rFonts w:ascii="Courier New" w:hAnsi="Courier New" w:hint="default"/>
      </w:rPr>
    </w:lvl>
    <w:lvl w:ilvl="2" w:tplc="15B0884E">
      <w:start w:val="1"/>
      <w:numFmt w:val="bullet"/>
      <w:lvlText w:val=""/>
      <w:lvlJc w:val="left"/>
      <w:pPr>
        <w:ind w:left="2160" w:hanging="360"/>
      </w:pPr>
      <w:rPr>
        <w:rFonts w:ascii="Wingdings" w:hAnsi="Wingdings" w:hint="default"/>
      </w:rPr>
    </w:lvl>
    <w:lvl w:ilvl="3" w:tplc="93D24ED4">
      <w:start w:val="1"/>
      <w:numFmt w:val="bullet"/>
      <w:lvlText w:val=""/>
      <w:lvlJc w:val="left"/>
      <w:pPr>
        <w:ind w:left="2880" w:hanging="360"/>
      </w:pPr>
      <w:rPr>
        <w:rFonts w:ascii="Symbol" w:hAnsi="Symbol" w:hint="default"/>
      </w:rPr>
    </w:lvl>
    <w:lvl w:ilvl="4" w:tplc="94BA18EA">
      <w:start w:val="1"/>
      <w:numFmt w:val="bullet"/>
      <w:lvlText w:val="o"/>
      <w:lvlJc w:val="left"/>
      <w:pPr>
        <w:ind w:left="3600" w:hanging="360"/>
      </w:pPr>
      <w:rPr>
        <w:rFonts w:ascii="Courier New" w:hAnsi="Courier New" w:hint="default"/>
      </w:rPr>
    </w:lvl>
    <w:lvl w:ilvl="5" w:tplc="1642245A">
      <w:start w:val="1"/>
      <w:numFmt w:val="bullet"/>
      <w:lvlText w:val=""/>
      <w:lvlJc w:val="left"/>
      <w:pPr>
        <w:ind w:left="4320" w:hanging="360"/>
      </w:pPr>
      <w:rPr>
        <w:rFonts w:ascii="Wingdings" w:hAnsi="Wingdings" w:hint="default"/>
      </w:rPr>
    </w:lvl>
    <w:lvl w:ilvl="6" w:tplc="070EF73C">
      <w:start w:val="1"/>
      <w:numFmt w:val="bullet"/>
      <w:lvlText w:val=""/>
      <w:lvlJc w:val="left"/>
      <w:pPr>
        <w:ind w:left="5040" w:hanging="360"/>
      </w:pPr>
      <w:rPr>
        <w:rFonts w:ascii="Symbol" w:hAnsi="Symbol" w:hint="default"/>
      </w:rPr>
    </w:lvl>
    <w:lvl w:ilvl="7" w:tplc="3D5EC968">
      <w:start w:val="1"/>
      <w:numFmt w:val="bullet"/>
      <w:lvlText w:val="o"/>
      <w:lvlJc w:val="left"/>
      <w:pPr>
        <w:ind w:left="5760" w:hanging="360"/>
      </w:pPr>
      <w:rPr>
        <w:rFonts w:ascii="Courier New" w:hAnsi="Courier New" w:hint="default"/>
      </w:rPr>
    </w:lvl>
    <w:lvl w:ilvl="8" w:tplc="19A2BC82">
      <w:start w:val="1"/>
      <w:numFmt w:val="bullet"/>
      <w:lvlText w:val=""/>
      <w:lvlJc w:val="left"/>
      <w:pPr>
        <w:ind w:left="6480" w:hanging="360"/>
      </w:pPr>
      <w:rPr>
        <w:rFonts w:ascii="Wingdings" w:hAnsi="Wingdings" w:hint="default"/>
      </w:rPr>
    </w:lvl>
  </w:abstractNum>
  <w:abstractNum w:abstractNumId="90" w15:restartNumberingAfterBreak="0">
    <w:nsid w:val="71F22BDF"/>
    <w:multiLevelType w:val="hybridMultilevel"/>
    <w:tmpl w:val="78A86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2D47A6E"/>
    <w:multiLevelType w:val="hybridMultilevel"/>
    <w:tmpl w:val="493629B4"/>
    <w:lvl w:ilvl="0" w:tplc="6A8C0EA6">
      <w:start w:val="1"/>
      <w:numFmt w:val="bullet"/>
      <w:lvlText w:val="·"/>
      <w:lvlJc w:val="left"/>
      <w:pPr>
        <w:ind w:left="720" w:hanging="360"/>
      </w:pPr>
      <w:rPr>
        <w:rFonts w:ascii="Symbol" w:hAnsi="Symbol" w:hint="default"/>
      </w:rPr>
    </w:lvl>
    <w:lvl w:ilvl="1" w:tplc="3312A3F2">
      <w:start w:val="1"/>
      <w:numFmt w:val="bullet"/>
      <w:lvlText w:val="o"/>
      <w:lvlJc w:val="left"/>
      <w:pPr>
        <w:ind w:left="1440" w:hanging="360"/>
      </w:pPr>
      <w:rPr>
        <w:rFonts w:ascii="Courier New" w:hAnsi="Courier New" w:hint="default"/>
      </w:rPr>
    </w:lvl>
    <w:lvl w:ilvl="2" w:tplc="13C48430">
      <w:start w:val="1"/>
      <w:numFmt w:val="bullet"/>
      <w:lvlText w:val=""/>
      <w:lvlJc w:val="left"/>
      <w:pPr>
        <w:ind w:left="2160" w:hanging="360"/>
      </w:pPr>
      <w:rPr>
        <w:rFonts w:ascii="Wingdings" w:hAnsi="Wingdings" w:hint="default"/>
      </w:rPr>
    </w:lvl>
    <w:lvl w:ilvl="3" w:tplc="9384A44A">
      <w:start w:val="1"/>
      <w:numFmt w:val="bullet"/>
      <w:lvlText w:val=""/>
      <w:lvlJc w:val="left"/>
      <w:pPr>
        <w:ind w:left="2880" w:hanging="360"/>
      </w:pPr>
      <w:rPr>
        <w:rFonts w:ascii="Symbol" w:hAnsi="Symbol" w:hint="default"/>
      </w:rPr>
    </w:lvl>
    <w:lvl w:ilvl="4" w:tplc="3238DDB4">
      <w:start w:val="1"/>
      <w:numFmt w:val="bullet"/>
      <w:lvlText w:val="o"/>
      <w:lvlJc w:val="left"/>
      <w:pPr>
        <w:ind w:left="3600" w:hanging="360"/>
      </w:pPr>
      <w:rPr>
        <w:rFonts w:ascii="Courier New" w:hAnsi="Courier New" w:hint="default"/>
      </w:rPr>
    </w:lvl>
    <w:lvl w:ilvl="5" w:tplc="ED1E354A">
      <w:start w:val="1"/>
      <w:numFmt w:val="bullet"/>
      <w:lvlText w:val=""/>
      <w:lvlJc w:val="left"/>
      <w:pPr>
        <w:ind w:left="4320" w:hanging="360"/>
      </w:pPr>
      <w:rPr>
        <w:rFonts w:ascii="Wingdings" w:hAnsi="Wingdings" w:hint="default"/>
      </w:rPr>
    </w:lvl>
    <w:lvl w:ilvl="6" w:tplc="C80AA48C">
      <w:start w:val="1"/>
      <w:numFmt w:val="bullet"/>
      <w:lvlText w:val=""/>
      <w:lvlJc w:val="left"/>
      <w:pPr>
        <w:ind w:left="5040" w:hanging="360"/>
      </w:pPr>
      <w:rPr>
        <w:rFonts w:ascii="Symbol" w:hAnsi="Symbol" w:hint="default"/>
      </w:rPr>
    </w:lvl>
    <w:lvl w:ilvl="7" w:tplc="F6B882C4">
      <w:start w:val="1"/>
      <w:numFmt w:val="bullet"/>
      <w:lvlText w:val="o"/>
      <w:lvlJc w:val="left"/>
      <w:pPr>
        <w:ind w:left="5760" w:hanging="360"/>
      </w:pPr>
      <w:rPr>
        <w:rFonts w:ascii="Courier New" w:hAnsi="Courier New" w:hint="default"/>
      </w:rPr>
    </w:lvl>
    <w:lvl w:ilvl="8" w:tplc="16E47274">
      <w:start w:val="1"/>
      <w:numFmt w:val="bullet"/>
      <w:lvlText w:val=""/>
      <w:lvlJc w:val="left"/>
      <w:pPr>
        <w:ind w:left="6480" w:hanging="360"/>
      </w:pPr>
      <w:rPr>
        <w:rFonts w:ascii="Wingdings" w:hAnsi="Wingdings" w:hint="default"/>
      </w:rPr>
    </w:lvl>
  </w:abstractNum>
  <w:abstractNum w:abstractNumId="92" w15:restartNumberingAfterBreak="0">
    <w:nsid w:val="7467734F"/>
    <w:multiLevelType w:val="hybridMultilevel"/>
    <w:tmpl w:val="CBC869C8"/>
    <w:lvl w:ilvl="0" w:tplc="9E441A5E">
      <w:start w:val="1"/>
      <w:numFmt w:val="decimal"/>
      <w:lvlText w:val="%1."/>
      <w:lvlJc w:val="left"/>
      <w:pPr>
        <w:ind w:left="720" w:hanging="360"/>
      </w:pPr>
    </w:lvl>
    <w:lvl w:ilvl="1" w:tplc="0544516A">
      <w:start w:val="1"/>
      <w:numFmt w:val="lowerLetter"/>
      <w:lvlText w:val="%2."/>
      <w:lvlJc w:val="left"/>
      <w:pPr>
        <w:ind w:left="1440" w:hanging="360"/>
      </w:pPr>
    </w:lvl>
    <w:lvl w:ilvl="2" w:tplc="A18E4162">
      <w:start w:val="1"/>
      <w:numFmt w:val="lowerRoman"/>
      <w:lvlText w:val="%3."/>
      <w:lvlJc w:val="right"/>
      <w:pPr>
        <w:ind w:left="2160" w:hanging="180"/>
      </w:pPr>
    </w:lvl>
    <w:lvl w:ilvl="3" w:tplc="B0E4AA78">
      <w:start w:val="1"/>
      <w:numFmt w:val="decimal"/>
      <w:lvlText w:val="%4."/>
      <w:lvlJc w:val="left"/>
      <w:pPr>
        <w:ind w:left="2880" w:hanging="360"/>
      </w:pPr>
    </w:lvl>
    <w:lvl w:ilvl="4" w:tplc="2E54ABC6">
      <w:start w:val="1"/>
      <w:numFmt w:val="lowerLetter"/>
      <w:lvlText w:val="%5."/>
      <w:lvlJc w:val="left"/>
      <w:pPr>
        <w:ind w:left="3600" w:hanging="360"/>
      </w:pPr>
    </w:lvl>
    <w:lvl w:ilvl="5" w:tplc="54D023CA">
      <w:start w:val="1"/>
      <w:numFmt w:val="lowerRoman"/>
      <w:lvlText w:val="%6."/>
      <w:lvlJc w:val="right"/>
      <w:pPr>
        <w:ind w:left="4320" w:hanging="180"/>
      </w:pPr>
    </w:lvl>
    <w:lvl w:ilvl="6" w:tplc="508469EA">
      <w:start w:val="1"/>
      <w:numFmt w:val="decimal"/>
      <w:lvlText w:val="%7."/>
      <w:lvlJc w:val="left"/>
      <w:pPr>
        <w:ind w:left="5040" w:hanging="360"/>
      </w:pPr>
    </w:lvl>
    <w:lvl w:ilvl="7" w:tplc="D166C8B2">
      <w:start w:val="1"/>
      <w:numFmt w:val="lowerLetter"/>
      <w:lvlText w:val="%8."/>
      <w:lvlJc w:val="left"/>
      <w:pPr>
        <w:ind w:left="5760" w:hanging="360"/>
      </w:pPr>
    </w:lvl>
    <w:lvl w:ilvl="8" w:tplc="EACA1042">
      <w:start w:val="1"/>
      <w:numFmt w:val="lowerRoman"/>
      <w:lvlText w:val="%9."/>
      <w:lvlJc w:val="right"/>
      <w:pPr>
        <w:ind w:left="6480" w:hanging="180"/>
      </w:pPr>
    </w:lvl>
  </w:abstractNum>
  <w:abstractNum w:abstractNumId="93" w15:restartNumberingAfterBreak="0">
    <w:nsid w:val="77012C81"/>
    <w:multiLevelType w:val="hybridMultilevel"/>
    <w:tmpl w:val="FE7695A2"/>
    <w:lvl w:ilvl="0" w:tplc="D1149B22">
      <w:start w:val="1"/>
      <w:numFmt w:val="bullet"/>
      <w:lvlText w:val="·"/>
      <w:lvlJc w:val="left"/>
      <w:pPr>
        <w:ind w:left="720" w:hanging="360"/>
      </w:pPr>
      <w:rPr>
        <w:rFonts w:ascii="Symbol" w:hAnsi="Symbol" w:hint="default"/>
      </w:rPr>
    </w:lvl>
    <w:lvl w:ilvl="1" w:tplc="E8D83170">
      <w:start w:val="1"/>
      <w:numFmt w:val="bullet"/>
      <w:lvlText w:val="o"/>
      <w:lvlJc w:val="left"/>
      <w:pPr>
        <w:ind w:left="1440" w:hanging="360"/>
      </w:pPr>
      <w:rPr>
        <w:rFonts w:ascii="Courier New" w:hAnsi="Courier New" w:hint="default"/>
      </w:rPr>
    </w:lvl>
    <w:lvl w:ilvl="2" w:tplc="F9BAFB3A">
      <w:start w:val="1"/>
      <w:numFmt w:val="bullet"/>
      <w:lvlText w:val=""/>
      <w:lvlJc w:val="left"/>
      <w:pPr>
        <w:ind w:left="2160" w:hanging="360"/>
      </w:pPr>
      <w:rPr>
        <w:rFonts w:ascii="Wingdings" w:hAnsi="Wingdings" w:hint="default"/>
      </w:rPr>
    </w:lvl>
    <w:lvl w:ilvl="3" w:tplc="9AC2A178">
      <w:start w:val="1"/>
      <w:numFmt w:val="bullet"/>
      <w:lvlText w:val=""/>
      <w:lvlJc w:val="left"/>
      <w:pPr>
        <w:ind w:left="2880" w:hanging="360"/>
      </w:pPr>
      <w:rPr>
        <w:rFonts w:ascii="Symbol" w:hAnsi="Symbol" w:hint="default"/>
      </w:rPr>
    </w:lvl>
    <w:lvl w:ilvl="4" w:tplc="1C8EBF68">
      <w:start w:val="1"/>
      <w:numFmt w:val="bullet"/>
      <w:lvlText w:val="o"/>
      <w:lvlJc w:val="left"/>
      <w:pPr>
        <w:ind w:left="3600" w:hanging="360"/>
      </w:pPr>
      <w:rPr>
        <w:rFonts w:ascii="Courier New" w:hAnsi="Courier New" w:hint="default"/>
      </w:rPr>
    </w:lvl>
    <w:lvl w:ilvl="5" w:tplc="92D805EC">
      <w:start w:val="1"/>
      <w:numFmt w:val="bullet"/>
      <w:lvlText w:val=""/>
      <w:lvlJc w:val="left"/>
      <w:pPr>
        <w:ind w:left="4320" w:hanging="360"/>
      </w:pPr>
      <w:rPr>
        <w:rFonts w:ascii="Wingdings" w:hAnsi="Wingdings" w:hint="default"/>
      </w:rPr>
    </w:lvl>
    <w:lvl w:ilvl="6" w:tplc="68E24236">
      <w:start w:val="1"/>
      <w:numFmt w:val="bullet"/>
      <w:lvlText w:val=""/>
      <w:lvlJc w:val="left"/>
      <w:pPr>
        <w:ind w:left="5040" w:hanging="360"/>
      </w:pPr>
      <w:rPr>
        <w:rFonts w:ascii="Symbol" w:hAnsi="Symbol" w:hint="default"/>
      </w:rPr>
    </w:lvl>
    <w:lvl w:ilvl="7" w:tplc="8B0A641A">
      <w:start w:val="1"/>
      <w:numFmt w:val="bullet"/>
      <w:lvlText w:val="o"/>
      <w:lvlJc w:val="left"/>
      <w:pPr>
        <w:ind w:left="5760" w:hanging="360"/>
      </w:pPr>
      <w:rPr>
        <w:rFonts w:ascii="Courier New" w:hAnsi="Courier New" w:hint="default"/>
      </w:rPr>
    </w:lvl>
    <w:lvl w:ilvl="8" w:tplc="A112D220">
      <w:start w:val="1"/>
      <w:numFmt w:val="bullet"/>
      <w:lvlText w:val=""/>
      <w:lvlJc w:val="left"/>
      <w:pPr>
        <w:ind w:left="6480" w:hanging="360"/>
      </w:pPr>
      <w:rPr>
        <w:rFonts w:ascii="Wingdings" w:hAnsi="Wingdings" w:hint="default"/>
      </w:rPr>
    </w:lvl>
  </w:abstractNum>
  <w:abstractNum w:abstractNumId="94" w15:restartNumberingAfterBreak="0">
    <w:nsid w:val="77B36182"/>
    <w:multiLevelType w:val="hybridMultilevel"/>
    <w:tmpl w:val="E2B6DBBC"/>
    <w:lvl w:ilvl="0" w:tplc="5BA89406">
      <w:start w:val="1"/>
      <w:numFmt w:val="decimal"/>
      <w:lvlText w:val="%1."/>
      <w:lvlJc w:val="left"/>
      <w:pPr>
        <w:ind w:left="720" w:hanging="360"/>
      </w:pPr>
    </w:lvl>
    <w:lvl w:ilvl="1" w:tplc="0D6C5650">
      <w:start w:val="1"/>
      <w:numFmt w:val="lowerLetter"/>
      <w:lvlText w:val="%2."/>
      <w:lvlJc w:val="left"/>
      <w:pPr>
        <w:ind w:left="1440" w:hanging="360"/>
      </w:pPr>
    </w:lvl>
    <w:lvl w:ilvl="2" w:tplc="A52620C8">
      <w:start w:val="1"/>
      <w:numFmt w:val="lowerRoman"/>
      <w:lvlText w:val="%3."/>
      <w:lvlJc w:val="right"/>
      <w:pPr>
        <w:ind w:left="2160" w:hanging="180"/>
      </w:pPr>
    </w:lvl>
    <w:lvl w:ilvl="3" w:tplc="23001820">
      <w:start w:val="1"/>
      <w:numFmt w:val="decimal"/>
      <w:lvlText w:val="%4."/>
      <w:lvlJc w:val="left"/>
      <w:pPr>
        <w:ind w:left="2880" w:hanging="360"/>
      </w:pPr>
    </w:lvl>
    <w:lvl w:ilvl="4" w:tplc="FBE2CEB2">
      <w:start w:val="1"/>
      <w:numFmt w:val="lowerLetter"/>
      <w:lvlText w:val="%5."/>
      <w:lvlJc w:val="left"/>
      <w:pPr>
        <w:ind w:left="3600" w:hanging="360"/>
      </w:pPr>
    </w:lvl>
    <w:lvl w:ilvl="5" w:tplc="0ECE53B0">
      <w:start w:val="1"/>
      <w:numFmt w:val="lowerRoman"/>
      <w:lvlText w:val="%6."/>
      <w:lvlJc w:val="right"/>
      <w:pPr>
        <w:ind w:left="4320" w:hanging="180"/>
      </w:pPr>
    </w:lvl>
    <w:lvl w:ilvl="6" w:tplc="21840952">
      <w:start w:val="1"/>
      <w:numFmt w:val="decimal"/>
      <w:lvlText w:val="%7."/>
      <w:lvlJc w:val="left"/>
      <w:pPr>
        <w:ind w:left="5040" w:hanging="360"/>
      </w:pPr>
    </w:lvl>
    <w:lvl w:ilvl="7" w:tplc="12D84A0C">
      <w:start w:val="1"/>
      <w:numFmt w:val="lowerLetter"/>
      <w:lvlText w:val="%8."/>
      <w:lvlJc w:val="left"/>
      <w:pPr>
        <w:ind w:left="5760" w:hanging="360"/>
      </w:pPr>
    </w:lvl>
    <w:lvl w:ilvl="8" w:tplc="3CF4BF7A">
      <w:start w:val="1"/>
      <w:numFmt w:val="lowerRoman"/>
      <w:lvlText w:val="%9."/>
      <w:lvlJc w:val="right"/>
      <w:pPr>
        <w:ind w:left="6480" w:hanging="180"/>
      </w:pPr>
    </w:lvl>
  </w:abstractNum>
  <w:abstractNum w:abstractNumId="95" w15:restartNumberingAfterBreak="0">
    <w:nsid w:val="78CE3FD2"/>
    <w:multiLevelType w:val="multilevel"/>
    <w:tmpl w:val="53B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8F94811"/>
    <w:multiLevelType w:val="hybridMultilevel"/>
    <w:tmpl w:val="E7680F60"/>
    <w:lvl w:ilvl="0" w:tplc="214CB626">
      <w:start w:val="1"/>
      <w:numFmt w:val="decimal"/>
      <w:lvlText w:val="%1."/>
      <w:lvlJc w:val="left"/>
      <w:pPr>
        <w:ind w:left="720" w:hanging="360"/>
      </w:pPr>
    </w:lvl>
    <w:lvl w:ilvl="1" w:tplc="5F3ACFB0">
      <w:start w:val="1"/>
      <w:numFmt w:val="lowerLetter"/>
      <w:lvlText w:val="%2."/>
      <w:lvlJc w:val="left"/>
      <w:pPr>
        <w:ind w:left="1440" w:hanging="360"/>
      </w:pPr>
    </w:lvl>
    <w:lvl w:ilvl="2" w:tplc="2AD47330">
      <w:start w:val="1"/>
      <w:numFmt w:val="lowerRoman"/>
      <w:lvlText w:val="%3."/>
      <w:lvlJc w:val="right"/>
      <w:pPr>
        <w:ind w:left="2160" w:hanging="180"/>
      </w:pPr>
    </w:lvl>
    <w:lvl w:ilvl="3" w:tplc="83EEAD84">
      <w:start w:val="1"/>
      <w:numFmt w:val="decimal"/>
      <w:lvlText w:val="%4."/>
      <w:lvlJc w:val="left"/>
      <w:pPr>
        <w:ind w:left="2880" w:hanging="360"/>
      </w:pPr>
    </w:lvl>
    <w:lvl w:ilvl="4" w:tplc="2554643C">
      <w:start w:val="1"/>
      <w:numFmt w:val="lowerLetter"/>
      <w:lvlText w:val="%5."/>
      <w:lvlJc w:val="left"/>
      <w:pPr>
        <w:ind w:left="3600" w:hanging="360"/>
      </w:pPr>
    </w:lvl>
    <w:lvl w:ilvl="5" w:tplc="AE06B4E2">
      <w:start w:val="1"/>
      <w:numFmt w:val="lowerRoman"/>
      <w:lvlText w:val="%6."/>
      <w:lvlJc w:val="right"/>
      <w:pPr>
        <w:ind w:left="4320" w:hanging="180"/>
      </w:pPr>
    </w:lvl>
    <w:lvl w:ilvl="6" w:tplc="B49EAE70">
      <w:start w:val="1"/>
      <w:numFmt w:val="decimal"/>
      <w:lvlText w:val="%7."/>
      <w:lvlJc w:val="left"/>
      <w:pPr>
        <w:ind w:left="5040" w:hanging="360"/>
      </w:pPr>
    </w:lvl>
    <w:lvl w:ilvl="7" w:tplc="8EF4CF72">
      <w:start w:val="1"/>
      <w:numFmt w:val="lowerLetter"/>
      <w:lvlText w:val="%8."/>
      <w:lvlJc w:val="left"/>
      <w:pPr>
        <w:ind w:left="5760" w:hanging="360"/>
      </w:pPr>
    </w:lvl>
    <w:lvl w:ilvl="8" w:tplc="D0A4AC4E">
      <w:start w:val="1"/>
      <w:numFmt w:val="lowerRoman"/>
      <w:lvlText w:val="%9."/>
      <w:lvlJc w:val="right"/>
      <w:pPr>
        <w:ind w:left="6480" w:hanging="180"/>
      </w:pPr>
    </w:lvl>
  </w:abstractNum>
  <w:abstractNum w:abstractNumId="97" w15:restartNumberingAfterBreak="0">
    <w:nsid w:val="79EF24D6"/>
    <w:multiLevelType w:val="hybridMultilevel"/>
    <w:tmpl w:val="CD62E822"/>
    <w:lvl w:ilvl="0" w:tplc="EFCC0DDA">
      <w:start w:val="1"/>
      <w:numFmt w:val="decimal"/>
      <w:lvlText w:val="%1."/>
      <w:lvlJc w:val="left"/>
      <w:pPr>
        <w:ind w:left="720" w:hanging="360"/>
      </w:pPr>
    </w:lvl>
    <w:lvl w:ilvl="1" w:tplc="C4A0A9B2">
      <w:start w:val="1"/>
      <w:numFmt w:val="lowerLetter"/>
      <w:lvlText w:val="%2."/>
      <w:lvlJc w:val="left"/>
      <w:pPr>
        <w:ind w:left="1440" w:hanging="360"/>
      </w:pPr>
    </w:lvl>
    <w:lvl w:ilvl="2" w:tplc="C3145272">
      <w:start w:val="1"/>
      <w:numFmt w:val="lowerRoman"/>
      <w:lvlText w:val="%3."/>
      <w:lvlJc w:val="right"/>
      <w:pPr>
        <w:ind w:left="2160" w:hanging="180"/>
      </w:pPr>
    </w:lvl>
    <w:lvl w:ilvl="3" w:tplc="49663576">
      <w:start w:val="1"/>
      <w:numFmt w:val="decimal"/>
      <w:lvlText w:val="%4."/>
      <w:lvlJc w:val="left"/>
      <w:pPr>
        <w:ind w:left="2880" w:hanging="360"/>
      </w:pPr>
    </w:lvl>
    <w:lvl w:ilvl="4" w:tplc="594647FE">
      <w:start w:val="1"/>
      <w:numFmt w:val="lowerLetter"/>
      <w:lvlText w:val="%5."/>
      <w:lvlJc w:val="left"/>
      <w:pPr>
        <w:ind w:left="3600" w:hanging="360"/>
      </w:pPr>
    </w:lvl>
    <w:lvl w:ilvl="5" w:tplc="5096FE6A">
      <w:start w:val="1"/>
      <w:numFmt w:val="lowerRoman"/>
      <w:lvlText w:val="%6."/>
      <w:lvlJc w:val="right"/>
      <w:pPr>
        <w:ind w:left="4320" w:hanging="180"/>
      </w:pPr>
    </w:lvl>
    <w:lvl w:ilvl="6" w:tplc="BA34FC94">
      <w:start w:val="1"/>
      <w:numFmt w:val="decimal"/>
      <w:lvlText w:val="%7."/>
      <w:lvlJc w:val="left"/>
      <w:pPr>
        <w:ind w:left="5040" w:hanging="360"/>
      </w:pPr>
    </w:lvl>
    <w:lvl w:ilvl="7" w:tplc="5CB6154C">
      <w:start w:val="1"/>
      <w:numFmt w:val="lowerLetter"/>
      <w:lvlText w:val="%8."/>
      <w:lvlJc w:val="left"/>
      <w:pPr>
        <w:ind w:left="5760" w:hanging="360"/>
      </w:pPr>
    </w:lvl>
    <w:lvl w:ilvl="8" w:tplc="804A1DE4">
      <w:start w:val="1"/>
      <w:numFmt w:val="lowerRoman"/>
      <w:lvlText w:val="%9."/>
      <w:lvlJc w:val="right"/>
      <w:pPr>
        <w:ind w:left="6480" w:hanging="180"/>
      </w:pPr>
    </w:lvl>
  </w:abstractNum>
  <w:abstractNum w:abstractNumId="98" w15:restartNumberingAfterBreak="0">
    <w:nsid w:val="7BBF2676"/>
    <w:multiLevelType w:val="multilevel"/>
    <w:tmpl w:val="473E7B1C"/>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D173DE0"/>
    <w:multiLevelType w:val="hybridMultilevel"/>
    <w:tmpl w:val="EAFEC3E0"/>
    <w:lvl w:ilvl="0" w:tplc="F7B20CC2">
      <w:start w:val="1"/>
      <w:numFmt w:val="bullet"/>
      <w:lvlText w:val="·"/>
      <w:lvlJc w:val="left"/>
      <w:pPr>
        <w:ind w:left="720" w:hanging="360"/>
      </w:pPr>
      <w:rPr>
        <w:rFonts w:ascii="Symbol" w:hAnsi="Symbol" w:hint="default"/>
      </w:rPr>
    </w:lvl>
    <w:lvl w:ilvl="1" w:tplc="DE12ECF6">
      <w:start w:val="1"/>
      <w:numFmt w:val="bullet"/>
      <w:lvlText w:val="o"/>
      <w:lvlJc w:val="left"/>
      <w:pPr>
        <w:ind w:left="1440" w:hanging="360"/>
      </w:pPr>
      <w:rPr>
        <w:rFonts w:ascii="Courier New" w:hAnsi="Courier New" w:hint="default"/>
      </w:rPr>
    </w:lvl>
    <w:lvl w:ilvl="2" w:tplc="60924660">
      <w:start w:val="1"/>
      <w:numFmt w:val="bullet"/>
      <w:lvlText w:val=""/>
      <w:lvlJc w:val="left"/>
      <w:pPr>
        <w:ind w:left="2160" w:hanging="360"/>
      </w:pPr>
      <w:rPr>
        <w:rFonts w:ascii="Wingdings" w:hAnsi="Wingdings" w:hint="default"/>
      </w:rPr>
    </w:lvl>
    <w:lvl w:ilvl="3" w:tplc="272C39D6">
      <w:start w:val="1"/>
      <w:numFmt w:val="bullet"/>
      <w:lvlText w:val=""/>
      <w:lvlJc w:val="left"/>
      <w:pPr>
        <w:ind w:left="2880" w:hanging="360"/>
      </w:pPr>
      <w:rPr>
        <w:rFonts w:ascii="Symbol" w:hAnsi="Symbol" w:hint="default"/>
      </w:rPr>
    </w:lvl>
    <w:lvl w:ilvl="4" w:tplc="461289C2">
      <w:start w:val="1"/>
      <w:numFmt w:val="bullet"/>
      <w:lvlText w:val="o"/>
      <w:lvlJc w:val="left"/>
      <w:pPr>
        <w:ind w:left="3600" w:hanging="360"/>
      </w:pPr>
      <w:rPr>
        <w:rFonts w:ascii="Courier New" w:hAnsi="Courier New" w:hint="default"/>
      </w:rPr>
    </w:lvl>
    <w:lvl w:ilvl="5" w:tplc="60B8F9E2">
      <w:start w:val="1"/>
      <w:numFmt w:val="bullet"/>
      <w:lvlText w:val=""/>
      <w:lvlJc w:val="left"/>
      <w:pPr>
        <w:ind w:left="4320" w:hanging="360"/>
      </w:pPr>
      <w:rPr>
        <w:rFonts w:ascii="Wingdings" w:hAnsi="Wingdings" w:hint="default"/>
      </w:rPr>
    </w:lvl>
    <w:lvl w:ilvl="6" w:tplc="190AE2F2">
      <w:start w:val="1"/>
      <w:numFmt w:val="bullet"/>
      <w:lvlText w:val=""/>
      <w:lvlJc w:val="left"/>
      <w:pPr>
        <w:ind w:left="5040" w:hanging="360"/>
      </w:pPr>
      <w:rPr>
        <w:rFonts w:ascii="Symbol" w:hAnsi="Symbol" w:hint="default"/>
      </w:rPr>
    </w:lvl>
    <w:lvl w:ilvl="7" w:tplc="12165276">
      <w:start w:val="1"/>
      <w:numFmt w:val="bullet"/>
      <w:lvlText w:val="o"/>
      <w:lvlJc w:val="left"/>
      <w:pPr>
        <w:ind w:left="5760" w:hanging="360"/>
      </w:pPr>
      <w:rPr>
        <w:rFonts w:ascii="Courier New" w:hAnsi="Courier New" w:hint="default"/>
      </w:rPr>
    </w:lvl>
    <w:lvl w:ilvl="8" w:tplc="105293A2">
      <w:start w:val="1"/>
      <w:numFmt w:val="bullet"/>
      <w:lvlText w:val=""/>
      <w:lvlJc w:val="left"/>
      <w:pPr>
        <w:ind w:left="6480" w:hanging="360"/>
      </w:pPr>
      <w:rPr>
        <w:rFonts w:ascii="Wingdings" w:hAnsi="Wingdings" w:hint="default"/>
      </w:rPr>
    </w:lvl>
  </w:abstractNum>
  <w:abstractNum w:abstractNumId="100" w15:restartNumberingAfterBreak="0">
    <w:nsid w:val="7E90277C"/>
    <w:multiLevelType w:val="hybridMultilevel"/>
    <w:tmpl w:val="E6CCA8D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B81C60"/>
    <w:multiLevelType w:val="hybridMultilevel"/>
    <w:tmpl w:val="5A9A4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9427B7"/>
    <w:multiLevelType w:val="hybridMultilevel"/>
    <w:tmpl w:val="96E2F83E"/>
    <w:lvl w:ilvl="0" w:tplc="03AAE218">
      <w:start w:val="1"/>
      <w:numFmt w:val="bullet"/>
      <w:lvlText w:val="·"/>
      <w:lvlJc w:val="left"/>
      <w:pPr>
        <w:ind w:left="720" w:hanging="360"/>
      </w:pPr>
      <w:rPr>
        <w:rFonts w:ascii="Symbol" w:hAnsi="Symbol" w:hint="default"/>
      </w:rPr>
    </w:lvl>
    <w:lvl w:ilvl="1" w:tplc="6686A2D6">
      <w:start w:val="1"/>
      <w:numFmt w:val="bullet"/>
      <w:lvlText w:val="o"/>
      <w:lvlJc w:val="left"/>
      <w:pPr>
        <w:ind w:left="1440" w:hanging="360"/>
      </w:pPr>
      <w:rPr>
        <w:rFonts w:ascii="Courier New" w:hAnsi="Courier New" w:hint="default"/>
      </w:rPr>
    </w:lvl>
    <w:lvl w:ilvl="2" w:tplc="8D0C745A">
      <w:start w:val="1"/>
      <w:numFmt w:val="bullet"/>
      <w:lvlText w:val=""/>
      <w:lvlJc w:val="left"/>
      <w:pPr>
        <w:ind w:left="2160" w:hanging="360"/>
      </w:pPr>
      <w:rPr>
        <w:rFonts w:ascii="Wingdings" w:hAnsi="Wingdings" w:hint="default"/>
      </w:rPr>
    </w:lvl>
    <w:lvl w:ilvl="3" w:tplc="2B34EDF0">
      <w:start w:val="1"/>
      <w:numFmt w:val="bullet"/>
      <w:lvlText w:val=""/>
      <w:lvlJc w:val="left"/>
      <w:pPr>
        <w:ind w:left="2880" w:hanging="360"/>
      </w:pPr>
      <w:rPr>
        <w:rFonts w:ascii="Symbol" w:hAnsi="Symbol" w:hint="default"/>
      </w:rPr>
    </w:lvl>
    <w:lvl w:ilvl="4" w:tplc="D2C08E90">
      <w:start w:val="1"/>
      <w:numFmt w:val="bullet"/>
      <w:lvlText w:val="o"/>
      <w:lvlJc w:val="left"/>
      <w:pPr>
        <w:ind w:left="3600" w:hanging="360"/>
      </w:pPr>
      <w:rPr>
        <w:rFonts w:ascii="Courier New" w:hAnsi="Courier New" w:hint="default"/>
      </w:rPr>
    </w:lvl>
    <w:lvl w:ilvl="5" w:tplc="94C260BA">
      <w:start w:val="1"/>
      <w:numFmt w:val="bullet"/>
      <w:lvlText w:val=""/>
      <w:lvlJc w:val="left"/>
      <w:pPr>
        <w:ind w:left="4320" w:hanging="360"/>
      </w:pPr>
      <w:rPr>
        <w:rFonts w:ascii="Wingdings" w:hAnsi="Wingdings" w:hint="default"/>
      </w:rPr>
    </w:lvl>
    <w:lvl w:ilvl="6" w:tplc="298C62B2">
      <w:start w:val="1"/>
      <w:numFmt w:val="bullet"/>
      <w:lvlText w:val=""/>
      <w:lvlJc w:val="left"/>
      <w:pPr>
        <w:ind w:left="5040" w:hanging="360"/>
      </w:pPr>
      <w:rPr>
        <w:rFonts w:ascii="Symbol" w:hAnsi="Symbol" w:hint="default"/>
      </w:rPr>
    </w:lvl>
    <w:lvl w:ilvl="7" w:tplc="D5325A1E">
      <w:start w:val="1"/>
      <w:numFmt w:val="bullet"/>
      <w:lvlText w:val="o"/>
      <w:lvlJc w:val="left"/>
      <w:pPr>
        <w:ind w:left="5760" w:hanging="360"/>
      </w:pPr>
      <w:rPr>
        <w:rFonts w:ascii="Courier New" w:hAnsi="Courier New" w:hint="default"/>
      </w:rPr>
    </w:lvl>
    <w:lvl w:ilvl="8" w:tplc="BF1059D4">
      <w:start w:val="1"/>
      <w:numFmt w:val="bullet"/>
      <w:lvlText w:val=""/>
      <w:lvlJc w:val="left"/>
      <w:pPr>
        <w:ind w:left="6480" w:hanging="360"/>
      </w:pPr>
      <w:rPr>
        <w:rFonts w:ascii="Wingdings" w:hAnsi="Wingdings" w:hint="default"/>
      </w:rPr>
    </w:lvl>
  </w:abstractNum>
  <w:num w:numId="1">
    <w:abstractNumId w:val="73"/>
  </w:num>
  <w:num w:numId="2">
    <w:abstractNumId w:val="17"/>
  </w:num>
  <w:num w:numId="3">
    <w:abstractNumId w:val="65"/>
  </w:num>
  <w:num w:numId="4">
    <w:abstractNumId w:val="37"/>
  </w:num>
  <w:num w:numId="5">
    <w:abstractNumId w:val="72"/>
  </w:num>
  <w:num w:numId="6">
    <w:abstractNumId w:val="16"/>
  </w:num>
  <w:num w:numId="7">
    <w:abstractNumId w:val="23"/>
  </w:num>
  <w:num w:numId="8">
    <w:abstractNumId w:val="26"/>
  </w:num>
  <w:num w:numId="9">
    <w:abstractNumId w:val="70"/>
  </w:num>
  <w:num w:numId="10">
    <w:abstractNumId w:val="86"/>
  </w:num>
  <w:num w:numId="11">
    <w:abstractNumId w:val="79"/>
  </w:num>
  <w:num w:numId="12">
    <w:abstractNumId w:val="60"/>
  </w:num>
  <w:num w:numId="13">
    <w:abstractNumId w:val="94"/>
  </w:num>
  <w:num w:numId="14">
    <w:abstractNumId w:val="28"/>
  </w:num>
  <w:num w:numId="15">
    <w:abstractNumId w:val="102"/>
  </w:num>
  <w:num w:numId="16">
    <w:abstractNumId w:val="54"/>
  </w:num>
  <w:num w:numId="17">
    <w:abstractNumId w:val="88"/>
  </w:num>
  <w:num w:numId="18">
    <w:abstractNumId w:val="50"/>
  </w:num>
  <w:num w:numId="19">
    <w:abstractNumId w:val="85"/>
  </w:num>
  <w:num w:numId="20">
    <w:abstractNumId w:val="19"/>
  </w:num>
  <w:num w:numId="21">
    <w:abstractNumId w:val="66"/>
  </w:num>
  <w:num w:numId="22">
    <w:abstractNumId w:val="91"/>
  </w:num>
  <w:num w:numId="23">
    <w:abstractNumId w:val="24"/>
  </w:num>
  <w:num w:numId="24">
    <w:abstractNumId w:val="35"/>
  </w:num>
  <w:num w:numId="25">
    <w:abstractNumId w:val="9"/>
  </w:num>
  <w:num w:numId="26">
    <w:abstractNumId w:val="29"/>
  </w:num>
  <w:num w:numId="27">
    <w:abstractNumId w:val="53"/>
  </w:num>
  <w:num w:numId="28">
    <w:abstractNumId w:val="25"/>
  </w:num>
  <w:num w:numId="29">
    <w:abstractNumId w:val="1"/>
  </w:num>
  <w:num w:numId="30">
    <w:abstractNumId w:val="47"/>
  </w:num>
  <w:num w:numId="31">
    <w:abstractNumId w:val="99"/>
  </w:num>
  <w:num w:numId="32">
    <w:abstractNumId w:val="10"/>
  </w:num>
  <w:num w:numId="33">
    <w:abstractNumId w:val="4"/>
  </w:num>
  <w:num w:numId="34">
    <w:abstractNumId w:val="93"/>
  </w:num>
  <w:num w:numId="35">
    <w:abstractNumId w:val="59"/>
  </w:num>
  <w:num w:numId="36">
    <w:abstractNumId w:val="34"/>
  </w:num>
  <w:num w:numId="37">
    <w:abstractNumId w:val="97"/>
  </w:num>
  <w:num w:numId="38">
    <w:abstractNumId w:val="14"/>
  </w:num>
  <w:num w:numId="39">
    <w:abstractNumId w:val="39"/>
  </w:num>
  <w:num w:numId="40">
    <w:abstractNumId w:val="89"/>
  </w:num>
  <w:num w:numId="41">
    <w:abstractNumId w:val="20"/>
  </w:num>
  <w:num w:numId="42">
    <w:abstractNumId w:val="2"/>
  </w:num>
  <w:num w:numId="43">
    <w:abstractNumId w:val="58"/>
  </w:num>
  <w:num w:numId="44">
    <w:abstractNumId w:val="32"/>
  </w:num>
  <w:num w:numId="45">
    <w:abstractNumId w:val="30"/>
  </w:num>
  <w:num w:numId="46">
    <w:abstractNumId w:val="11"/>
  </w:num>
  <w:num w:numId="47">
    <w:abstractNumId w:val="42"/>
  </w:num>
  <w:num w:numId="48">
    <w:abstractNumId w:val="62"/>
  </w:num>
  <w:num w:numId="49">
    <w:abstractNumId w:val="15"/>
  </w:num>
  <w:num w:numId="50">
    <w:abstractNumId w:val="27"/>
  </w:num>
  <w:num w:numId="51">
    <w:abstractNumId w:val="51"/>
  </w:num>
  <w:num w:numId="52">
    <w:abstractNumId w:val="46"/>
  </w:num>
  <w:num w:numId="53">
    <w:abstractNumId w:val="52"/>
  </w:num>
  <w:num w:numId="54">
    <w:abstractNumId w:val="80"/>
  </w:num>
  <w:num w:numId="55">
    <w:abstractNumId w:val="71"/>
  </w:num>
  <w:num w:numId="56">
    <w:abstractNumId w:val="68"/>
  </w:num>
  <w:num w:numId="57">
    <w:abstractNumId w:val="48"/>
  </w:num>
  <w:num w:numId="58">
    <w:abstractNumId w:val="63"/>
  </w:num>
  <w:num w:numId="59">
    <w:abstractNumId w:val="77"/>
  </w:num>
  <w:num w:numId="60">
    <w:abstractNumId w:val="7"/>
  </w:num>
  <w:num w:numId="61">
    <w:abstractNumId w:val="45"/>
  </w:num>
  <w:num w:numId="62">
    <w:abstractNumId w:val="81"/>
  </w:num>
  <w:num w:numId="63">
    <w:abstractNumId w:val="92"/>
  </w:num>
  <w:num w:numId="64">
    <w:abstractNumId w:val="96"/>
  </w:num>
  <w:num w:numId="65">
    <w:abstractNumId w:val="87"/>
  </w:num>
  <w:num w:numId="66">
    <w:abstractNumId w:val="12"/>
  </w:num>
  <w:num w:numId="67">
    <w:abstractNumId w:val="31"/>
  </w:num>
  <w:num w:numId="68">
    <w:abstractNumId w:val="64"/>
  </w:num>
  <w:num w:numId="69">
    <w:abstractNumId w:val="67"/>
  </w:num>
  <w:num w:numId="70">
    <w:abstractNumId w:val="21"/>
  </w:num>
  <w:num w:numId="71">
    <w:abstractNumId w:val="100"/>
  </w:num>
  <w:num w:numId="72">
    <w:abstractNumId w:val="3"/>
  </w:num>
  <w:num w:numId="73">
    <w:abstractNumId w:val="38"/>
  </w:num>
  <w:num w:numId="74">
    <w:abstractNumId w:val="44"/>
  </w:num>
  <w:num w:numId="75">
    <w:abstractNumId w:val="75"/>
  </w:num>
  <w:num w:numId="76">
    <w:abstractNumId w:val="98"/>
  </w:num>
  <w:num w:numId="77">
    <w:abstractNumId w:val="18"/>
  </w:num>
  <w:num w:numId="78">
    <w:abstractNumId w:val="78"/>
  </w:num>
  <w:num w:numId="79">
    <w:abstractNumId w:val="61"/>
  </w:num>
  <w:num w:numId="80">
    <w:abstractNumId w:val="36"/>
  </w:num>
  <w:num w:numId="81">
    <w:abstractNumId w:val="55"/>
  </w:num>
  <w:num w:numId="82">
    <w:abstractNumId w:val="13"/>
  </w:num>
  <w:num w:numId="83">
    <w:abstractNumId w:val="82"/>
  </w:num>
  <w:num w:numId="84">
    <w:abstractNumId w:val="43"/>
  </w:num>
  <w:num w:numId="85">
    <w:abstractNumId w:val="6"/>
  </w:num>
  <w:num w:numId="86">
    <w:abstractNumId w:val="76"/>
  </w:num>
  <w:num w:numId="87">
    <w:abstractNumId w:val="33"/>
  </w:num>
  <w:num w:numId="88">
    <w:abstractNumId w:val="8"/>
  </w:num>
  <w:num w:numId="89">
    <w:abstractNumId w:val="56"/>
  </w:num>
  <w:num w:numId="90">
    <w:abstractNumId w:val="74"/>
  </w:num>
  <w:num w:numId="91">
    <w:abstractNumId w:val="49"/>
  </w:num>
  <w:num w:numId="92">
    <w:abstractNumId w:val="0"/>
  </w:num>
  <w:num w:numId="93">
    <w:abstractNumId w:val="90"/>
  </w:num>
  <w:num w:numId="94">
    <w:abstractNumId w:val="95"/>
  </w:num>
  <w:num w:numId="95">
    <w:abstractNumId w:val="41"/>
  </w:num>
  <w:num w:numId="96">
    <w:abstractNumId w:val="57"/>
  </w:num>
  <w:num w:numId="97">
    <w:abstractNumId w:val="69"/>
  </w:num>
  <w:num w:numId="98">
    <w:abstractNumId w:val="40"/>
  </w:num>
  <w:num w:numId="99">
    <w:abstractNumId w:val="101"/>
  </w:num>
  <w:num w:numId="10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num>
  <w:num w:numId="103">
    <w:abstractNumId w:val="2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sv-SE" w:vendorID="64" w:dllVersion="0" w:nlCheck="1" w:checkStyle="0"/>
  <w:activeWritingStyle w:appName="MSWord" w:lang="en-IE"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revisionView w:markup="0"/>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25DC660C-A193-4303-8365-81D93A568454"/>
    <w:docVar w:name="LW_COVERPAGE_TYPE" w:val="1"/>
    <w:docVar w:name="LW_CROSSREFERENCE" w:val="{COM(2022) 707 final} - {SEC(2022) 438 final} - {SWD(2022) 400 final} - {SWD(2022) 402 final}"/>
    <w:docVar w:name="LW_DocType" w:val="NORMAL"/>
    <w:docVar w:name="LW_EMISSION" w:val="8.12.2022"/>
    <w:docVar w:name="LW_EMISSION_ISODATE" w:val="2022-12-08"/>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amending Directive 2011/16/EU on administrative cooperation in the field of taxation"/>
    <w:docVar w:name="LW_PART_NBR" w:val="1"/>
    <w:docVar w:name="LW_PART_NBR_TOTAL" w:val="1"/>
    <w:docVar w:name="LW_REF.INST.NEW" w:val="SWD"/>
    <w:docVar w:name="LW_REF.INST.NEW_ADOPTED" w:val="final"/>
    <w:docVar w:name="LW_REF.INST.NEW_TEXT" w:val="(2022) 4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nitiative to strengthen existing rules and expand the exchange of information framework in the field of taxation so as to include crypto-assets"/>
    <w:docVar w:name="LW_TYPE.DOC.CP" w:val="COMMISSION STAFF WORKING DOCUMENT_x000b__x000b_IMPACT ASSESSMENT REPORT_x000b_"/>
    <w:docVar w:name="LW_TYPEACTEPRINCIPAL.CP" w:val="Proposal for a Council Directive"/>
    <w:docVar w:name="LwApiVersions" w:val="LW4CoDe 1.23.2.0; LW 8.0, Build 20211117"/>
  </w:docVars>
  <w:rsids>
    <w:rsidRoot w:val="001D5CAA"/>
    <w:rsid w:val="000001BC"/>
    <w:rsid w:val="000003ED"/>
    <w:rsid w:val="0000093A"/>
    <w:rsid w:val="00002C75"/>
    <w:rsid w:val="00002D8F"/>
    <w:rsid w:val="00002DAC"/>
    <w:rsid w:val="000046E5"/>
    <w:rsid w:val="00004D6B"/>
    <w:rsid w:val="000054FB"/>
    <w:rsid w:val="00005D62"/>
    <w:rsid w:val="00005F39"/>
    <w:rsid w:val="00006425"/>
    <w:rsid w:val="0000646A"/>
    <w:rsid w:val="000064D2"/>
    <w:rsid w:val="00006740"/>
    <w:rsid w:val="00007CC9"/>
    <w:rsid w:val="000093E1"/>
    <w:rsid w:val="00010450"/>
    <w:rsid w:val="00010A63"/>
    <w:rsid w:val="00011A02"/>
    <w:rsid w:val="00011B51"/>
    <w:rsid w:val="00011DD6"/>
    <w:rsid w:val="00013B88"/>
    <w:rsid w:val="00014A21"/>
    <w:rsid w:val="00014E06"/>
    <w:rsid w:val="0001743D"/>
    <w:rsid w:val="000178C8"/>
    <w:rsid w:val="00020785"/>
    <w:rsid w:val="00020F3F"/>
    <w:rsid w:val="00023EFD"/>
    <w:rsid w:val="00024E19"/>
    <w:rsid w:val="00025851"/>
    <w:rsid w:val="00025A29"/>
    <w:rsid w:val="000263CB"/>
    <w:rsid w:val="0002679F"/>
    <w:rsid w:val="00026A5D"/>
    <w:rsid w:val="00026E32"/>
    <w:rsid w:val="00026E47"/>
    <w:rsid w:val="00026EF5"/>
    <w:rsid w:val="00027039"/>
    <w:rsid w:val="000272D4"/>
    <w:rsid w:val="00027CFE"/>
    <w:rsid w:val="00030271"/>
    <w:rsid w:val="000306F0"/>
    <w:rsid w:val="00030B0B"/>
    <w:rsid w:val="00030D3C"/>
    <w:rsid w:val="00031F7E"/>
    <w:rsid w:val="00032431"/>
    <w:rsid w:val="00032600"/>
    <w:rsid w:val="00032D2F"/>
    <w:rsid w:val="000334B5"/>
    <w:rsid w:val="00035620"/>
    <w:rsid w:val="00035D18"/>
    <w:rsid w:val="00035EAC"/>
    <w:rsid w:val="0003690F"/>
    <w:rsid w:val="00036B2D"/>
    <w:rsid w:val="00037406"/>
    <w:rsid w:val="0003C9C8"/>
    <w:rsid w:val="000405C4"/>
    <w:rsid w:val="00040AD5"/>
    <w:rsid w:val="00042299"/>
    <w:rsid w:val="000438CC"/>
    <w:rsid w:val="00043C6A"/>
    <w:rsid w:val="000440D0"/>
    <w:rsid w:val="000448F6"/>
    <w:rsid w:val="00044C80"/>
    <w:rsid w:val="00045EF4"/>
    <w:rsid w:val="00046C57"/>
    <w:rsid w:val="00046F6F"/>
    <w:rsid w:val="00047081"/>
    <w:rsid w:val="000473D4"/>
    <w:rsid w:val="000474CF"/>
    <w:rsid w:val="0004787A"/>
    <w:rsid w:val="00050083"/>
    <w:rsid w:val="0005013A"/>
    <w:rsid w:val="00050E2E"/>
    <w:rsid w:val="000512BF"/>
    <w:rsid w:val="000514C6"/>
    <w:rsid w:val="000515C9"/>
    <w:rsid w:val="00051DBD"/>
    <w:rsid w:val="00052CE8"/>
    <w:rsid w:val="000531BE"/>
    <w:rsid w:val="000538D4"/>
    <w:rsid w:val="000539E4"/>
    <w:rsid w:val="00053E70"/>
    <w:rsid w:val="000546CE"/>
    <w:rsid w:val="00054837"/>
    <w:rsid w:val="00054DD8"/>
    <w:rsid w:val="0005511F"/>
    <w:rsid w:val="00055193"/>
    <w:rsid w:val="000551B5"/>
    <w:rsid w:val="0005576E"/>
    <w:rsid w:val="000557B3"/>
    <w:rsid w:val="000567D7"/>
    <w:rsid w:val="00056B29"/>
    <w:rsid w:val="00056C61"/>
    <w:rsid w:val="00056D96"/>
    <w:rsid w:val="00057BF3"/>
    <w:rsid w:val="00057D10"/>
    <w:rsid w:val="000591B6"/>
    <w:rsid w:val="0006025D"/>
    <w:rsid w:val="00061A90"/>
    <w:rsid w:val="00061BF9"/>
    <w:rsid w:val="00061C18"/>
    <w:rsid w:val="0006252B"/>
    <w:rsid w:val="00062695"/>
    <w:rsid w:val="0006353A"/>
    <w:rsid w:val="00063781"/>
    <w:rsid w:val="0006389A"/>
    <w:rsid w:val="0006397C"/>
    <w:rsid w:val="00063CD6"/>
    <w:rsid w:val="00063F83"/>
    <w:rsid w:val="00065515"/>
    <w:rsid w:val="000658B3"/>
    <w:rsid w:val="00065A9D"/>
    <w:rsid w:val="00066299"/>
    <w:rsid w:val="00066ED1"/>
    <w:rsid w:val="00066F85"/>
    <w:rsid w:val="00067BDD"/>
    <w:rsid w:val="0006D1F7"/>
    <w:rsid w:val="00070C7F"/>
    <w:rsid w:val="00071BE6"/>
    <w:rsid w:val="00071C3F"/>
    <w:rsid w:val="000725CF"/>
    <w:rsid w:val="00072CDB"/>
    <w:rsid w:val="00075425"/>
    <w:rsid w:val="00075B4D"/>
    <w:rsid w:val="00075B4F"/>
    <w:rsid w:val="00075D61"/>
    <w:rsid w:val="00076354"/>
    <w:rsid w:val="000766EC"/>
    <w:rsid w:val="00076CF1"/>
    <w:rsid w:val="0007769C"/>
    <w:rsid w:val="00077B33"/>
    <w:rsid w:val="0008038A"/>
    <w:rsid w:val="00080972"/>
    <w:rsid w:val="00081DCB"/>
    <w:rsid w:val="00081FB3"/>
    <w:rsid w:val="00083BCF"/>
    <w:rsid w:val="0008439F"/>
    <w:rsid w:val="00084C35"/>
    <w:rsid w:val="00084D3D"/>
    <w:rsid w:val="00084D78"/>
    <w:rsid w:val="00084DFA"/>
    <w:rsid w:val="00084E34"/>
    <w:rsid w:val="00086DBB"/>
    <w:rsid w:val="000875E5"/>
    <w:rsid w:val="00090368"/>
    <w:rsid w:val="000908EA"/>
    <w:rsid w:val="00090980"/>
    <w:rsid w:val="0009131A"/>
    <w:rsid w:val="00091B72"/>
    <w:rsid w:val="0009241A"/>
    <w:rsid w:val="00092D7E"/>
    <w:rsid w:val="00092F7E"/>
    <w:rsid w:val="00094075"/>
    <w:rsid w:val="00094F09"/>
    <w:rsid w:val="00095982"/>
    <w:rsid w:val="000968ED"/>
    <w:rsid w:val="00096B0B"/>
    <w:rsid w:val="00096CD4"/>
    <w:rsid w:val="00096D07"/>
    <w:rsid w:val="00097793"/>
    <w:rsid w:val="00097B9C"/>
    <w:rsid w:val="000A04F2"/>
    <w:rsid w:val="000A06EA"/>
    <w:rsid w:val="000A0732"/>
    <w:rsid w:val="000A07CD"/>
    <w:rsid w:val="000A07D5"/>
    <w:rsid w:val="000A0EBC"/>
    <w:rsid w:val="000A13BC"/>
    <w:rsid w:val="000A1A56"/>
    <w:rsid w:val="000A1DE7"/>
    <w:rsid w:val="000A2241"/>
    <w:rsid w:val="000A2A40"/>
    <w:rsid w:val="000A2F79"/>
    <w:rsid w:val="000A4EDC"/>
    <w:rsid w:val="000A510B"/>
    <w:rsid w:val="000A5BEE"/>
    <w:rsid w:val="000A6A7C"/>
    <w:rsid w:val="000A7C78"/>
    <w:rsid w:val="000B0282"/>
    <w:rsid w:val="000B0C94"/>
    <w:rsid w:val="000B0CD2"/>
    <w:rsid w:val="000B0E83"/>
    <w:rsid w:val="000B108D"/>
    <w:rsid w:val="000B159F"/>
    <w:rsid w:val="000B1C64"/>
    <w:rsid w:val="000B1F22"/>
    <w:rsid w:val="000B283F"/>
    <w:rsid w:val="000B3330"/>
    <w:rsid w:val="000B33C5"/>
    <w:rsid w:val="000B49E0"/>
    <w:rsid w:val="000B4D03"/>
    <w:rsid w:val="000B544B"/>
    <w:rsid w:val="000B5BDF"/>
    <w:rsid w:val="000B637D"/>
    <w:rsid w:val="000B6C14"/>
    <w:rsid w:val="000B6D28"/>
    <w:rsid w:val="000B79FD"/>
    <w:rsid w:val="000B7EF9"/>
    <w:rsid w:val="000B7F98"/>
    <w:rsid w:val="000C0B84"/>
    <w:rsid w:val="000C0D08"/>
    <w:rsid w:val="000C0F5F"/>
    <w:rsid w:val="000C10B2"/>
    <w:rsid w:val="000C144A"/>
    <w:rsid w:val="000C2391"/>
    <w:rsid w:val="000C283A"/>
    <w:rsid w:val="000C366D"/>
    <w:rsid w:val="000C6C66"/>
    <w:rsid w:val="000C772E"/>
    <w:rsid w:val="000C77C4"/>
    <w:rsid w:val="000D0EB9"/>
    <w:rsid w:val="000D2D6D"/>
    <w:rsid w:val="000D2FE2"/>
    <w:rsid w:val="000D351E"/>
    <w:rsid w:val="000D352D"/>
    <w:rsid w:val="000D35EB"/>
    <w:rsid w:val="000D37BB"/>
    <w:rsid w:val="000D484B"/>
    <w:rsid w:val="000D4BC0"/>
    <w:rsid w:val="000D557B"/>
    <w:rsid w:val="000D5853"/>
    <w:rsid w:val="000D5A2B"/>
    <w:rsid w:val="000D5EE6"/>
    <w:rsid w:val="000D6D15"/>
    <w:rsid w:val="000D6D1A"/>
    <w:rsid w:val="000D72E0"/>
    <w:rsid w:val="000D7A80"/>
    <w:rsid w:val="000E01B6"/>
    <w:rsid w:val="000E0480"/>
    <w:rsid w:val="000E07AD"/>
    <w:rsid w:val="000E116F"/>
    <w:rsid w:val="000E157A"/>
    <w:rsid w:val="000E1F23"/>
    <w:rsid w:val="000E20D0"/>
    <w:rsid w:val="000E23A1"/>
    <w:rsid w:val="000E27B7"/>
    <w:rsid w:val="000E2AF6"/>
    <w:rsid w:val="000E318E"/>
    <w:rsid w:val="000E3DD3"/>
    <w:rsid w:val="000E4572"/>
    <w:rsid w:val="000E530C"/>
    <w:rsid w:val="000E74CB"/>
    <w:rsid w:val="000F030C"/>
    <w:rsid w:val="000F0A09"/>
    <w:rsid w:val="000F1243"/>
    <w:rsid w:val="000F1F9B"/>
    <w:rsid w:val="000F20DC"/>
    <w:rsid w:val="000F2AC6"/>
    <w:rsid w:val="000F2F8C"/>
    <w:rsid w:val="000F3A03"/>
    <w:rsid w:val="000F50CB"/>
    <w:rsid w:val="000F530B"/>
    <w:rsid w:val="000F5C66"/>
    <w:rsid w:val="000F5EDD"/>
    <w:rsid w:val="000F6021"/>
    <w:rsid w:val="000F6B2C"/>
    <w:rsid w:val="000F71BC"/>
    <w:rsid w:val="000FFF4C"/>
    <w:rsid w:val="001002D3"/>
    <w:rsid w:val="00100640"/>
    <w:rsid w:val="00100DE8"/>
    <w:rsid w:val="00100FB0"/>
    <w:rsid w:val="00101270"/>
    <w:rsid w:val="00102125"/>
    <w:rsid w:val="00103076"/>
    <w:rsid w:val="001030E9"/>
    <w:rsid w:val="00103253"/>
    <w:rsid w:val="001038BE"/>
    <w:rsid w:val="00103A30"/>
    <w:rsid w:val="00103B52"/>
    <w:rsid w:val="00104695"/>
    <w:rsid w:val="00104A36"/>
    <w:rsid w:val="001052BE"/>
    <w:rsid w:val="0010595C"/>
    <w:rsid w:val="00105DD2"/>
    <w:rsid w:val="0010691F"/>
    <w:rsid w:val="00106C7F"/>
    <w:rsid w:val="0010730F"/>
    <w:rsid w:val="00107660"/>
    <w:rsid w:val="00110065"/>
    <w:rsid w:val="00110132"/>
    <w:rsid w:val="00110AD5"/>
    <w:rsid w:val="0011146E"/>
    <w:rsid w:val="0011155E"/>
    <w:rsid w:val="00111E54"/>
    <w:rsid w:val="0011210B"/>
    <w:rsid w:val="0011214C"/>
    <w:rsid w:val="001124EF"/>
    <w:rsid w:val="001130A4"/>
    <w:rsid w:val="0011364D"/>
    <w:rsid w:val="0011367D"/>
    <w:rsid w:val="00113D58"/>
    <w:rsid w:val="00113E51"/>
    <w:rsid w:val="00113F5F"/>
    <w:rsid w:val="00115C7C"/>
    <w:rsid w:val="00116FC9"/>
    <w:rsid w:val="0011700B"/>
    <w:rsid w:val="00120321"/>
    <w:rsid w:val="0012095E"/>
    <w:rsid w:val="00120A76"/>
    <w:rsid w:val="00120CE9"/>
    <w:rsid w:val="001221C9"/>
    <w:rsid w:val="0012244D"/>
    <w:rsid w:val="0012443A"/>
    <w:rsid w:val="001251DE"/>
    <w:rsid w:val="0012575D"/>
    <w:rsid w:val="00125956"/>
    <w:rsid w:val="0012600E"/>
    <w:rsid w:val="00126464"/>
    <w:rsid w:val="00127CF4"/>
    <w:rsid w:val="001307CB"/>
    <w:rsid w:val="00130A9A"/>
    <w:rsid w:val="0013138E"/>
    <w:rsid w:val="00132365"/>
    <w:rsid w:val="001334A8"/>
    <w:rsid w:val="00134BD9"/>
    <w:rsid w:val="00134EE8"/>
    <w:rsid w:val="001356B9"/>
    <w:rsid w:val="00135D40"/>
    <w:rsid w:val="00136686"/>
    <w:rsid w:val="00136752"/>
    <w:rsid w:val="00137F6B"/>
    <w:rsid w:val="00140789"/>
    <w:rsid w:val="00141658"/>
    <w:rsid w:val="00141F9A"/>
    <w:rsid w:val="001448AE"/>
    <w:rsid w:val="00144DA4"/>
    <w:rsid w:val="00144DB3"/>
    <w:rsid w:val="0014527C"/>
    <w:rsid w:val="001455EA"/>
    <w:rsid w:val="00146057"/>
    <w:rsid w:val="00146B50"/>
    <w:rsid w:val="00146F1C"/>
    <w:rsid w:val="0014712A"/>
    <w:rsid w:val="00147927"/>
    <w:rsid w:val="00150376"/>
    <w:rsid w:val="001505BD"/>
    <w:rsid w:val="00151221"/>
    <w:rsid w:val="00151C27"/>
    <w:rsid w:val="00151E08"/>
    <w:rsid w:val="00151E2C"/>
    <w:rsid w:val="00151FED"/>
    <w:rsid w:val="0015373A"/>
    <w:rsid w:val="00153C51"/>
    <w:rsid w:val="00154CD4"/>
    <w:rsid w:val="00154E04"/>
    <w:rsid w:val="00154F49"/>
    <w:rsid w:val="00154FD2"/>
    <w:rsid w:val="001561BF"/>
    <w:rsid w:val="001563CB"/>
    <w:rsid w:val="001564BA"/>
    <w:rsid w:val="001571F9"/>
    <w:rsid w:val="001607D8"/>
    <w:rsid w:val="0016082B"/>
    <w:rsid w:val="0016165D"/>
    <w:rsid w:val="00162275"/>
    <w:rsid w:val="001634F8"/>
    <w:rsid w:val="001636DD"/>
    <w:rsid w:val="00163819"/>
    <w:rsid w:val="00164FA2"/>
    <w:rsid w:val="001651E3"/>
    <w:rsid w:val="00165EF1"/>
    <w:rsid w:val="00165FE8"/>
    <w:rsid w:val="001664C8"/>
    <w:rsid w:val="00170A96"/>
    <w:rsid w:val="00170B64"/>
    <w:rsid w:val="00171056"/>
    <w:rsid w:val="00171E14"/>
    <w:rsid w:val="00171E61"/>
    <w:rsid w:val="0017259F"/>
    <w:rsid w:val="001728D8"/>
    <w:rsid w:val="001728E0"/>
    <w:rsid w:val="001733CD"/>
    <w:rsid w:val="00174020"/>
    <w:rsid w:val="00174084"/>
    <w:rsid w:val="001742D1"/>
    <w:rsid w:val="00174544"/>
    <w:rsid w:val="001751E0"/>
    <w:rsid w:val="00176191"/>
    <w:rsid w:val="00176350"/>
    <w:rsid w:val="00176941"/>
    <w:rsid w:val="001771DC"/>
    <w:rsid w:val="001774A2"/>
    <w:rsid w:val="00177EE1"/>
    <w:rsid w:val="001803E9"/>
    <w:rsid w:val="001804BE"/>
    <w:rsid w:val="001808ED"/>
    <w:rsid w:val="001811A5"/>
    <w:rsid w:val="00181681"/>
    <w:rsid w:val="00181B5E"/>
    <w:rsid w:val="00181DE2"/>
    <w:rsid w:val="00181EE5"/>
    <w:rsid w:val="001829CC"/>
    <w:rsid w:val="001829DF"/>
    <w:rsid w:val="00182A1C"/>
    <w:rsid w:val="00182AE3"/>
    <w:rsid w:val="00183532"/>
    <w:rsid w:val="00183947"/>
    <w:rsid w:val="00184C11"/>
    <w:rsid w:val="001850E5"/>
    <w:rsid w:val="001851BD"/>
    <w:rsid w:val="00185744"/>
    <w:rsid w:val="001866D6"/>
    <w:rsid w:val="00188948"/>
    <w:rsid w:val="001907F3"/>
    <w:rsid w:val="00190BC1"/>
    <w:rsid w:val="0019127A"/>
    <w:rsid w:val="00191300"/>
    <w:rsid w:val="001923A7"/>
    <w:rsid w:val="0019276D"/>
    <w:rsid w:val="00192AEF"/>
    <w:rsid w:val="00192FDB"/>
    <w:rsid w:val="001935EC"/>
    <w:rsid w:val="001963C5"/>
    <w:rsid w:val="00197BC1"/>
    <w:rsid w:val="0019FB06"/>
    <w:rsid w:val="001A0E69"/>
    <w:rsid w:val="001A16D7"/>
    <w:rsid w:val="001A1751"/>
    <w:rsid w:val="001A176D"/>
    <w:rsid w:val="001A2986"/>
    <w:rsid w:val="001A3BEF"/>
    <w:rsid w:val="001A4C14"/>
    <w:rsid w:val="001A5014"/>
    <w:rsid w:val="001A52ED"/>
    <w:rsid w:val="001A5BCA"/>
    <w:rsid w:val="001A700D"/>
    <w:rsid w:val="001A7430"/>
    <w:rsid w:val="001B085F"/>
    <w:rsid w:val="001B1371"/>
    <w:rsid w:val="001B22CE"/>
    <w:rsid w:val="001B2339"/>
    <w:rsid w:val="001B2399"/>
    <w:rsid w:val="001B304F"/>
    <w:rsid w:val="001B31D7"/>
    <w:rsid w:val="001B3557"/>
    <w:rsid w:val="001B3E7E"/>
    <w:rsid w:val="001B4CD5"/>
    <w:rsid w:val="001B58BF"/>
    <w:rsid w:val="001B5DF6"/>
    <w:rsid w:val="001B6A1C"/>
    <w:rsid w:val="001B6C66"/>
    <w:rsid w:val="001B73E6"/>
    <w:rsid w:val="001B7F4E"/>
    <w:rsid w:val="001C0DD2"/>
    <w:rsid w:val="001C15D0"/>
    <w:rsid w:val="001C1946"/>
    <w:rsid w:val="001C1C57"/>
    <w:rsid w:val="001C233A"/>
    <w:rsid w:val="001C23BB"/>
    <w:rsid w:val="001C3CC2"/>
    <w:rsid w:val="001C44CC"/>
    <w:rsid w:val="001C4985"/>
    <w:rsid w:val="001C4C64"/>
    <w:rsid w:val="001C58E6"/>
    <w:rsid w:val="001C69A0"/>
    <w:rsid w:val="001C6B14"/>
    <w:rsid w:val="001C7206"/>
    <w:rsid w:val="001C737D"/>
    <w:rsid w:val="001C7D33"/>
    <w:rsid w:val="001D06B5"/>
    <w:rsid w:val="001D08D3"/>
    <w:rsid w:val="001D0C54"/>
    <w:rsid w:val="001D0C57"/>
    <w:rsid w:val="001D0CBC"/>
    <w:rsid w:val="001D0D27"/>
    <w:rsid w:val="001D0FF1"/>
    <w:rsid w:val="001D249A"/>
    <w:rsid w:val="001D27AE"/>
    <w:rsid w:val="001D2AD7"/>
    <w:rsid w:val="001D2E91"/>
    <w:rsid w:val="001D2F81"/>
    <w:rsid w:val="001D35B4"/>
    <w:rsid w:val="001D457D"/>
    <w:rsid w:val="001D5550"/>
    <w:rsid w:val="001D5CAA"/>
    <w:rsid w:val="001D5F32"/>
    <w:rsid w:val="001D7247"/>
    <w:rsid w:val="001D7A23"/>
    <w:rsid w:val="001DA817"/>
    <w:rsid w:val="001E0C63"/>
    <w:rsid w:val="001E0D2E"/>
    <w:rsid w:val="001E11D8"/>
    <w:rsid w:val="001E304C"/>
    <w:rsid w:val="001E3D3E"/>
    <w:rsid w:val="001E49C1"/>
    <w:rsid w:val="001E4DF5"/>
    <w:rsid w:val="001E52EA"/>
    <w:rsid w:val="001E5526"/>
    <w:rsid w:val="001E5C0D"/>
    <w:rsid w:val="001E5C5E"/>
    <w:rsid w:val="001E71A2"/>
    <w:rsid w:val="001E7419"/>
    <w:rsid w:val="001E7AE6"/>
    <w:rsid w:val="001E7C3B"/>
    <w:rsid w:val="001F198A"/>
    <w:rsid w:val="001F1AAE"/>
    <w:rsid w:val="001F21B8"/>
    <w:rsid w:val="001F3408"/>
    <w:rsid w:val="001F3892"/>
    <w:rsid w:val="001F479E"/>
    <w:rsid w:val="001F6837"/>
    <w:rsid w:val="001F6ABF"/>
    <w:rsid w:val="001F6BD4"/>
    <w:rsid w:val="001F75EF"/>
    <w:rsid w:val="001F7763"/>
    <w:rsid w:val="001F7991"/>
    <w:rsid w:val="00200CF2"/>
    <w:rsid w:val="00200F64"/>
    <w:rsid w:val="00201411"/>
    <w:rsid w:val="00201764"/>
    <w:rsid w:val="00201E02"/>
    <w:rsid w:val="002021DC"/>
    <w:rsid w:val="00202A13"/>
    <w:rsid w:val="00203227"/>
    <w:rsid w:val="0020349E"/>
    <w:rsid w:val="0020381A"/>
    <w:rsid w:val="00203FF0"/>
    <w:rsid w:val="00204914"/>
    <w:rsid w:val="0020674E"/>
    <w:rsid w:val="00206A18"/>
    <w:rsid w:val="00207814"/>
    <w:rsid w:val="002107FB"/>
    <w:rsid w:val="002109AD"/>
    <w:rsid w:val="00210EA1"/>
    <w:rsid w:val="00211DDB"/>
    <w:rsid w:val="00211FC7"/>
    <w:rsid w:val="00212C4A"/>
    <w:rsid w:val="00213276"/>
    <w:rsid w:val="0021328C"/>
    <w:rsid w:val="00213379"/>
    <w:rsid w:val="00213BC1"/>
    <w:rsid w:val="0021442E"/>
    <w:rsid w:val="00214AE3"/>
    <w:rsid w:val="0021555C"/>
    <w:rsid w:val="002156B3"/>
    <w:rsid w:val="00215724"/>
    <w:rsid w:val="00216B1B"/>
    <w:rsid w:val="002173BD"/>
    <w:rsid w:val="00217FA0"/>
    <w:rsid w:val="00220087"/>
    <w:rsid w:val="0022100C"/>
    <w:rsid w:val="00222D0C"/>
    <w:rsid w:val="00222EC8"/>
    <w:rsid w:val="0022307E"/>
    <w:rsid w:val="002234B5"/>
    <w:rsid w:val="00223FAC"/>
    <w:rsid w:val="0022464F"/>
    <w:rsid w:val="0022571E"/>
    <w:rsid w:val="00225D2A"/>
    <w:rsid w:val="002270CA"/>
    <w:rsid w:val="00227625"/>
    <w:rsid w:val="002279E1"/>
    <w:rsid w:val="00227C57"/>
    <w:rsid w:val="00230352"/>
    <w:rsid w:val="00230600"/>
    <w:rsid w:val="00230DF1"/>
    <w:rsid w:val="0023153D"/>
    <w:rsid w:val="00231B83"/>
    <w:rsid w:val="00232704"/>
    <w:rsid w:val="002330D1"/>
    <w:rsid w:val="0023337C"/>
    <w:rsid w:val="00233F49"/>
    <w:rsid w:val="00235713"/>
    <w:rsid w:val="00235D41"/>
    <w:rsid w:val="00237086"/>
    <w:rsid w:val="00237508"/>
    <w:rsid w:val="00237C79"/>
    <w:rsid w:val="0024087C"/>
    <w:rsid w:val="00240ECA"/>
    <w:rsid w:val="00241150"/>
    <w:rsid w:val="00241BA5"/>
    <w:rsid w:val="00241D06"/>
    <w:rsid w:val="00242460"/>
    <w:rsid w:val="00242632"/>
    <w:rsid w:val="002429C6"/>
    <w:rsid w:val="00242AF7"/>
    <w:rsid w:val="002464B6"/>
    <w:rsid w:val="00246CF9"/>
    <w:rsid w:val="00246D12"/>
    <w:rsid w:val="0024714B"/>
    <w:rsid w:val="0025042F"/>
    <w:rsid w:val="0025071C"/>
    <w:rsid w:val="00250865"/>
    <w:rsid w:val="002518C2"/>
    <w:rsid w:val="00251967"/>
    <w:rsid w:val="00252505"/>
    <w:rsid w:val="0025332C"/>
    <w:rsid w:val="002542F4"/>
    <w:rsid w:val="0025476B"/>
    <w:rsid w:val="0025486F"/>
    <w:rsid w:val="002551B5"/>
    <w:rsid w:val="0025592A"/>
    <w:rsid w:val="00255BEE"/>
    <w:rsid w:val="00257F85"/>
    <w:rsid w:val="00260F48"/>
    <w:rsid w:val="0026142B"/>
    <w:rsid w:val="002622DA"/>
    <w:rsid w:val="00262FB6"/>
    <w:rsid w:val="002630E6"/>
    <w:rsid w:val="0026328E"/>
    <w:rsid w:val="00263B1C"/>
    <w:rsid w:val="00264449"/>
    <w:rsid w:val="00264492"/>
    <w:rsid w:val="002646A0"/>
    <w:rsid w:val="00264954"/>
    <w:rsid w:val="00264ABE"/>
    <w:rsid w:val="00264AD8"/>
    <w:rsid w:val="00266504"/>
    <w:rsid w:val="00266C23"/>
    <w:rsid w:val="00266E3C"/>
    <w:rsid w:val="002671B2"/>
    <w:rsid w:val="0026785B"/>
    <w:rsid w:val="00270258"/>
    <w:rsid w:val="0027067F"/>
    <w:rsid w:val="002713E1"/>
    <w:rsid w:val="00271687"/>
    <w:rsid w:val="002717CB"/>
    <w:rsid w:val="0027258F"/>
    <w:rsid w:val="00272665"/>
    <w:rsid w:val="0027286C"/>
    <w:rsid w:val="00273977"/>
    <w:rsid w:val="00273AA9"/>
    <w:rsid w:val="00273EF4"/>
    <w:rsid w:val="002741D9"/>
    <w:rsid w:val="00274416"/>
    <w:rsid w:val="00274703"/>
    <w:rsid w:val="00275201"/>
    <w:rsid w:val="0027545F"/>
    <w:rsid w:val="002755AB"/>
    <w:rsid w:val="002779D9"/>
    <w:rsid w:val="0028003D"/>
    <w:rsid w:val="00280498"/>
    <w:rsid w:val="0028052C"/>
    <w:rsid w:val="0028121D"/>
    <w:rsid w:val="00281984"/>
    <w:rsid w:val="00282451"/>
    <w:rsid w:val="002827FB"/>
    <w:rsid w:val="00282F2A"/>
    <w:rsid w:val="002842F8"/>
    <w:rsid w:val="00284FBF"/>
    <w:rsid w:val="002856E8"/>
    <w:rsid w:val="00286654"/>
    <w:rsid w:val="00286E4B"/>
    <w:rsid w:val="0028EFFE"/>
    <w:rsid w:val="00290149"/>
    <w:rsid w:val="00290C6D"/>
    <w:rsid w:val="00291003"/>
    <w:rsid w:val="0029197D"/>
    <w:rsid w:val="00292070"/>
    <w:rsid w:val="00292180"/>
    <w:rsid w:val="00292BF9"/>
    <w:rsid w:val="00292CCD"/>
    <w:rsid w:val="00292E8D"/>
    <w:rsid w:val="00292EA7"/>
    <w:rsid w:val="002935A6"/>
    <w:rsid w:val="00293E68"/>
    <w:rsid w:val="00293E86"/>
    <w:rsid w:val="00293EBC"/>
    <w:rsid w:val="00294E2C"/>
    <w:rsid w:val="00295111"/>
    <w:rsid w:val="00296DF5"/>
    <w:rsid w:val="0029726C"/>
    <w:rsid w:val="0029736A"/>
    <w:rsid w:val="00297AA2"/>
    <w:rsid w:val="0029A40D"/>
    <w:rsid w:val="0029C380"/>
    <w:rsid w:val="002A0138"/>
    <w:rsid w:val="002A09FB"/>
    <w:rsid w:val="002A21D6"/>
    <w:rsid w:val="002A29D1"/>
    <w:rsid w:val="002A2FBB"/>
    <w:rsid w:val="002A3769"/>
    <w:rsid w:val="002A514E"/>
    <w:rsid w:val="002A5235"/>
    <w:rsid w:val="002A526A"/>
    <w:rsid w:val="002A561B"/>
    <w:rsid w:val="002A62C6"/>
    <w:rsid w:val="002A6879"/>
    <w:rsid w:val="002A68AB"/>
    <w:rsid w:val="002A6E8E"/>
    <w:rsid w:val="002B0C14"/>
    <w:rsid w:val="002B0CB5"/>
    <w:rsid w:val="002B21F6"/>
    <w:rsid w:val="002B2374"/>
    <w:rsid w:val="002B27C7"/>
    <w:rsid w:val="002B341E"/>
    <w:rsid w:val="002B582D"/>
    <w:rsid w:val="002B5895"/>
    <w:rsid w:val="002B743E"/>
    <w:rsid w:val="002C0919"/>
    <w:rsid w:val="002C0D01"/>
    <w:rsid w:val="002C1A29"/>
    <w:rsid w:val="002C2539"/>
    <w:rsid w:val="002C2C3E"/>
    <w:rsid w:val="002C2EB2"/>
    <w:rsid w:val="002C30AE"/>
    <w:rsid w:val="002C3E7E"/>
    <w:rsid w:val="002C4C34"/>
    <w:rsid w:val="002C6371"/>
    <w:rsid w:val="002C7165"/>
    <w:rsid w:val="002C72B2"/>
    <w:rsid w:val="002C7C94"/>
    <w:rsid w:val="002C7CD0"/>
    <w:rsid w:val="002D043C"/>
    <w:rsid w:val="002D06CC"/>
    <w:rsid w:val="002D11E8"/>
    <w:rsid w:val="002D204C"/>
    <w:rsid w:val="002D2A2C"/>
    <w:rsid w:val="002D2AC2"/>
    <w:rsid w:val="002D3238"/>
    <w:rsid w:val="002D37EB"/>
    <w:rsid w:val="002D3B1F"/>
    <w:rsid w:val="002D3E4E"/>
    <w:rsid w:val="002D552B"/>
    <w:rsid w:val="002D5BA2"/>
    <w:rsid w:val="002D5BB8"/>
    <w:rsid w:val="002D5CCA"/>
    <w:rsid w:val="002D5D09"/>
    <w:rsid w:val="002D62B7"/>
    <w:rsid w:val="002D6AAC"/>
    <w:rsid w:val="002D7473"/>
    <w:rsid w:val="002D7C3C"/>
    <w:rsid w:val="002D7DF1"/>
    <w:rsid w:val="002E04A7"/>
    <w:rsid w:val="002E070C"/>
    <w:rsid w:val="002E09DA"/>
    <w:rsid w:val="002E0A5E"/>
    <w:rsid w:val="002E0BD1"/>
    <w:rsid w:val="002E0FB9"/>
    <w:rsid w:val="002E1848"/>
    <w:rsid w:val="002E19C0"/>
    <w:rsid w:val="002E2488"/>
    <w:rsid w:val="002E3185"/>
    <w:rsid w:val="002E3369"/>
    <w:rsid w:val="002E3F11"/>
    <w:rsid w:val="002E40BE"/>
    <w:rsid w:val="002E4145"/>
    <w:rsid w:val="002E43FB"/>
    <w:rsid w:val="002E4F00"/>
    <w:rsid w:val="002E525F"/>
    <w:rsid w:val="002E5ADC"/>
    <w:rsid w:val="002E5D47"/>
    <w:rsid w:val="002E634F"/>
    <w:rsid w:val="002E655A"/>
    <w:rsid w:val="002E78B1"/>
    <w:rsid w:val="002E792F"/>
    <w:rsid w:val="002E7944"/>
    <w:rsid w:val="002E79D0"/>
    <w:rsid w:val="002E7BC2"/>
    <w:rsid w:val="002F0CEB"/>
    <w:rsid w:val="002F1835"/>
    <w:rsid w:val="002F1C4A"/>
    <w:rsid w:val="002F28C5"/>
    <w:rsid w:val="002F39DF"/>
    <w:rsid w:val="002F3FB4"/>
    <w:rsid w:val="002F4676"/>
    <w:rsid w:val="002F5072"/>
    <w:rsid w:val="002F52DF"/>
    <w:rsid w:val="002F596F"/>
    <w:rsid w:val="002F5AA9"/>
    <w:rsid w:val="002F5DEC"/>
    <w:rsid w:val="002F63C6"/>
    <w:rsid w:val="002F669C"/>
    <w:rsid w:val="002F713B"/>
    <w:rsid w:val="002F7508"/>
    <w:rsid w:val="002F7AD2"/>
    <w:rsid w:val="002F7C84"/>
    <w:rsid w:val="0030003D"/>
    <w:rsid w:val="00300983"/>
    <w:rsid w:val="00300A07"/>
    <w:rsid w:val="00300C4B"/>
    <w:rsid w:val="00300F5E"/>
    <w:rsid w:val="003010AC"/>
    <w:rsid w:val="003016F3"/>
    <w:rsid w:val="0030249D"/>
    <w:rsid w:val="00302F40"/>
    <w:rsid w:val="003030BB"/>
    <w:rsid w:val="003036B3"/>
    <w:rsid w:val="00303EDF"/>
    <w:rsid w:val="00304140"/>
    <w:rsid w:val="0030464D"/>
    <w:rsid w:val="003049BD"/>
    <w:rsid w:val="003052F3"/>
    <w:rsid w:val="00305549"/>
    <w:rsid w:val="003056E4"/>
    <w:rsid w:val="00305C32"/>
    <w:rsid w:val="0030644E"/>
    <w:rsid w:val="00306530"/>
    <w:rsid w:val="003066DA"/>
    <w:rsid w:val="00306982"/>
    <w:rsid w:val="003077D9"/>
    <w:rsid w:val="00307C0E"/>
    <w:rsid w:val="00310AF7"/>
    <w:rsid w:val="0031231C"/>
    <w:rsid w:val="00313B5B"/>
    <w:rsid w:val="00313CB4"/>
    <w:rsid w:val="00314972"/>
    <w:rsid w:val="00314BBD"/>
    <w:rsid w:val="00314E78"/>
    <w:rsid w:val="00314F02"/>
    <w:rsid w:val="003158B1"/>
    <w:rsid w:val="00315EC4"/>
    <w:rsid w:val="00316012"/>
    <w:rsid w:val="0031660A"/>
    <w:rsid w:val="003169E9"/>
    <w:rsid w:val="00316C47"/>
    <w:rsid w:val="00317CFF"/>
    <w:rsid w:val="00317EBE"/>
    <w:rsid w:val="00320201"/>
    <w:rsid w:val="0032099C"/>
    <w:rsid w:val="00320B98"/>
    <w:rsid w:val="00320FB8"/>
    <w:rsid w:val="00321116"/>
    <w:rsid w:val="0032114C"/>
    <w:rsid w:val="00321361"/>
    <w:rsid w:val="00322052"/>
    <w:rsid w:val="003220AE"/>
    <w:rsid w:val="00322DD3"/>
    <w:rsid w:val="00322F43"/>
    <w:rsid w:val="00323867"/>
    <w:rsid w:val="0032388B"/>
    <w:rsid w:val="00324316"/>
    <w:rsid w:val="00324EC7"/>
    <w:rsid w:val="0032538B"/>
    <w:rsid w:val="003256DE"/>
    <w:rsid w:val="003259A6"/>
    <w:rsid w:val="00325CC6"/>
    <w:rsid w:val="00326A81"/>
    <w:rsid w:val="00326D35"/>
    <w:rsid w:val="00326D97"/>
    <w:rsid w:val="0033026F"/>
    <w:rsid w:val="00330917"/>
    <w:rsid w:val="00330E9F"/>
    <w:rsid w:val="003326CF"/>
    <w:rsid w:val="003329D7"/>
    <w:rsid w:val="00332D8D"/>
    <w:rsid w:val="00332ED7"/>
    <w:rsid w:val="003339A8"/>
    <w:rsid w:val="00333AB7"/>
    <w:rsid w:val="00334123"/>
    <w:rsid w:val="003344C5"/>
    <w:rsid w:val="00334878"/>
    <w:rsid w:val="00334961"/>
    <w:rsid w:val="003349F1"/>
    <w:rsid w:val="00335FD0"/>
    <w:rsid w:val="0033602E"/>
    <w:rsid w:val="0033712A"/>
    <w:rsid w:val="003372C1"/>
    <w:rsid w:val="003375A6"/>
    <w:rsid w:val="00340079"/>
    <w:rsid w:val="00340648"/>
    <w:rsid w:val="003408D5"/>
    <w:rsid w:val="003411B8"/>
    <w:rsid w:val="003418DA"/>
    <w:rsid w:val="00341F0C"/>
    <w:rsid w:val="00341F21"/>
    <w:rsid w:val="00342F76"/>
    <w:rsid w:val="003439C6"/>
    <w:rsid w:val="00343A8B"/>
    <w:rsid w:val="00344954"/>
    <w:rsid w:val="003449EB"/>
    <w:rsid w:val="00344B6F"/>
    <w:rsid w:val="00345D8D"/>
    <w:rsid w:val="00345F5E"/>
    <w:rsid w:val="0034686E"/>
    <w:rsid w:val="00347373"/>
    <w:rsid w:val="0034759C"/>
    <w:rsid w:val="0034763C"/>
    <w:rsid w:val="00347DB7"/>
    <w:rsid w:val="0035002E"/>
    <w:rsid w:val="003502BE"/>
    <w:rsid w:val="00350B76"/>
    <w:rsid w:val="00351324"/>
    <w:rsid w:val="00351686"/>
    <w:rsid w:val="00352A54"/>
    <w:rsid w:val="00352CB8"/>
    <w:rsid w:val="00352E01"/>
    <w:rsid w:val="00354598"/>
    <w:rsid w:val="00355934"/>
    <w:rsid w:val="00355A05"/>
    <w:rsid w:val="00355E15"/>
    <w:rsid w:val="00357157"/>
    <w:rsid w:val="003602EB"/>
    <w:rsid w:val="0036070D"/>
    <w:rsid w:val="00360C40"/>
    <w:rsid w:val="00360D5E"/>
    <w:rsid w:val="00361B34"/>
    <w:rsid w:val="00361B96"/>
    <w:rsid w:val="003626CD"/>
    <w:rsid w:val="003629FF"/>
    <w:rsid w:val="00363142"/>
    <w:rsid w:val="00363196"/>
    <w:rsid w:val="003631BF"/>
    <w:rsid w:val="00363455"/>
    <w:rsid w:val="00363830"/>
    <w:rsid w:val="003649AD"/>
    <w:rsid w:val="00364DDE"/>
    <w:rsid w:val="00366305"/>
    <w:rsid w:val="003664A7"/>
    <w:rsid w:val="003665E5"/>
    <w:rsid w:val="003667B3"/>
    <w:rsid w:val="00366DF7"/>
    <w:rsid w:val="00366F7C"/>
    <w:rsid w:val="003671E4"/>
    <w:rsid w:val="0036722B"/>
    <w:rsid w:val="003705FF"/>
    <w:rsid w:val="003716D7"/>
    <w:rsid w:val="00371851"/>
    <w:rsid w:val="00371903"/>
    <w:rsid w:val="00371EBA"/>
    <w:rsid w:val="003724C1"/>
    <w:rsid w:val="00372A97"/>
    <w:rsid w:val="00372D48"/>
    <w:rsid w:val="00372E04"/>
    <w:rsid w:val="00373D60"/>
    <w:rsid w:val="003740FD"/>
    <w:rsid w:val="003742E4"/>
    <w:rsid w:val="00374452"/>
    <w:rsid w:val="00374976"/>
    <w:rsid w:val="0037498D"/>
    <w:rsid w:val="00374C3B"/>
    <w:rsid w:val="00374D58"/>
    <w:rsid w:val="0037541E"/>
    <w:rsid w:val="003754CE"/>
    <w:rsid w:val="003756A0"/>
    <w:rsid w:val="003758C5"/>
    <w:rsid w:val="00375B03"/>
    <w:rsid w:val="0037626F"/>
    <w:rsid w:val="0037643A"/>
    <w:rsid w:val="00376451"/>
    <w:rsid w:val="00376504"/>
    <w:rsid w:val="003768F3"/>
    <w:rsid w:val="003776A9"/>
    <w:rsid w:val="00377855"/>
    <w:rsid w:val="0038012B"/>
    <w:rsid w:val="00380943"/>
    <w:rsid w:val="00380B4E"/>
    <w:rsid w:val="00380BE9"/>
    <w:rsid w:val="00381640"/>
    <w:rsid w:val="0038188B"/>
    <w:rsid w:val="00381DBB"/>
    <w:rsid w:val="003822C9"/>
    <w:rsid w:val="00383541"/>
    <w:rsid w:val="0038391D"/>
    <w:rsid w:val="00383FAB"/>
    <w:rsid w:val="00384933"/>
    <w:rsid w:val="003855F4"/>
    <w:rsid w:val="00385FC9"/>
    <w:rsid w:val="0038665C"/>
    <w:rsid w:val="0038671D"/>
    <w:rsid w:val="00386733"/>
    <w:rsid w:val="00386A4F"/>
    <w:rsid w:val="00386D9B"/>
    <w:rsid w:val="00387C4A"/>
    <w:rsid w:val="0039042F"/>
    <w:rsid w:val="0039079B"/>
    <w:rsid w:val="00391B5F"/>
    <w:rsid w:val="00391C4F"/>
    <w:rsid w:val="00391E65"/>
    <w:rsid w:val="0039295E"/>
    <w:rsid w:val="00393916"/>
    <w:rsid w:val="00394324"/>
    <w:rsid w:val="003945E0"/>
    <w:rsid w:val="00395D60"/>
    <w:rsid w:val="003962D6"/>
    <w:rsid w:val="0039749B"/>
    <w:rsid w:val="003975C1"/>
    <w:rsid w:val="00397810"/>
    <w:rsid w:val="00397B6B"/>
    <w:rsid w:val="00397F6D"/>
    <w:rsid w:val="003A04A1"/>
    <w:rsid w:val="003A0C51"/>
    <w:rsid w:val="003A0F93"/>
    <w:rsid w:val="003A1174"/>
    <w:rsid w:val="003A14B8"/>
    <w:rsid w:val="003A1D59"/>
    <w:rsid w:val="003A1FD5"/>
    <w:rsid w:val="003A2339"/>
    <w:rsid w:val="003A2B5D"/>
    <w:rsid w:val="003A38DD"/>
    <w:rsid w:val="003A4EA3"/>
    <w:rsid w:val="003A749D"/>
    <w:rsid w:val="003A7D23"/>
    <w:rsid w:val="003A7F8F"/>
    <w:rsid w:val="003B04CB"/>
    <w:rsid w:val="003B0707"/>
    <w:rsid w:val="003B23D5"/>
    <w:rsid w:val="003B2434"/>
    <w:rsid w:val="003B4107"/>
    <w:rsid w:val="003B4C94"/>
    <w:rsid w:val="003B6160"/>
    <w:rsid w:val="003B6475"/>
    <w:rsid w:val="003B677B"/>
    <w:rsid w:val="003B6864"/>
    <w:rsid w:val="003B7870"/>
    <w:rsid w:val="003C0127"/>
    <w:rsid w:val="003C047C"/>
    <w:rsid w:val="003C1878"/>
    <w:rsid w:val="003C1950"/>
    <w:rsid w:val="003C4420"/>
    <w:rsid w:val="003C4C03"/>
    <w:rsid w:val="003C50F5"/>
    <w:rsid w:val="003C546F"/>
    <w:rsid w:val="003C5540"/>
    <w:rsid w:val="003C5774"/>
    <w:rsid w:val="003C598D"/>
    <w:rsid w:val="003C60C7"/>
    <w:rsid w:val="003C731D"/>
    <w:rsid w:val="003C7358"/>
    <w:rsid w:val="003C7E0F"/>
    <w:rsid w:val="003C7E51"/>
    <w:rsid w:val="003D0218"/>
    <w:rsid w:val="003D0633"/>
    <w:rsid w:val="003D0721"/>
    <w:rsid w:val="003D2013"/>
    <w:rsid w:val="003D20D6"/>
    <w:rsid w:val="003D2758"/>
    <w:rsid w:val="003D2846"/>
    <w:rsid w:val="003D2FF7"/>
    <w:rsid w:val="003D337F"/>
    <w:rsid w:val="003D38C0"/>
    <w:rsid w:val="003D3B96"/>
    <w:rsid w:val="003D4C07"/>
    <w:rsid w:val="003D5731"/>
    <w:rsid w:val="003D5A9E"/>
    <w:rsid w:val="003D5BA4"/>
    <w:rsid w:val="003D5F4D"/>
    <w:rsid w:val="003D6EB7"/>
    <w:rsid w:val="003D6FD2"/>
    <w:rsid w:val="003D7140"/>
    <w:rsid w:val="003D7342"/>
    <w:rsid w:val="003D781D"/>
    <w:rsid w:val="003D7C64"/>
    <w:rsid w:val="003E0779"/>
    <w:rsid w:val="003E0B53"/>
    <w:rsid w:val="003E0EA6"/>
    <w:rsid w:val="003E152C"/>
    <w:rsid w:val="003E44DE"/>
    <w:rsid w:val="003E4C62"/>
    <w:rsid w:val="003E5258"/>
    <w:rsid w:val="003E57E7"/>
    <w:rsid w:val="003E58C8"/>
    <w:rsid w:val="003E5E2E"/>
    <w:rsid w:val="003E60CC"/>
    <w:rsid w:val="003E6FDA"/>
    <w:rsid w:val="003E73C3"/>
    <w:rsid w:val="003E7777"/>
    <w:rsid w:val="003E8136"/>
    <w:rsid w:val="003F0757"/>
    <w:rsid w:val="003F0935"/>
    <w:rsid w:val="003F0C4B"/>
    <w:rsid w:val="003F1BA1"/>
    <w:rsid w:val="003F20F2"/>
    <w:rsid w:val="003F2242"/>
    <w:rsid w:val="003F2292"/>
    <w:rsid w:val="003F2E52"/>
    <w:rsid w:val="003F367D"/>
    <w:rsid w:val="003F369D"/>
    <w:rsid w:val="003F3734"/>
    <w:rsid w:val="003F3EBF"/>
    <w:rsid w:val="003F3F5D"/>
    <w:rsid w:val="003F41E5"/>
    <w:rsid w:val="003F43D9"/>
    <w:rsid w:val="003F450F"/>
    <w:rsid w:val="003F480B"/>
    <w:rsid w:val="003F54DF"/>
    <w:rsid w:val="003F75DD"/>
    <w:rsid w:val="003F792B"/>
    <w:rsid w:val="003F7E71"/>
    <w:rsid w:val="0040098B"/>
    <w:rsid w:val="004009B2"/>
    <w:rsid w:val="00401408"/>
    <w:rsid w:val="004014AC"/>
    <w:rsid w:val="00402EEA"/>
    <w:rsid w:val="00403593"/>
    <w:rsid w:val="00403708"/>
    <w:rsid w:val="00404154"/>
    <w:rsid w:val="0040482A"/>
    <w:rsid w:val="004050F8"/>
    <w:rsid w:val="0040525D"/>
    <w:rsid w:val="00405653"/>
    <w:rsid w:val="00406B58"/>
    <w:rsid w:val="00407621"/>
    <w:rsid w:val="004101CA"/>
    <w:rsid w:val="004104CC"/>
    <w:rsid w:val="00410975"/>
    <w:rsid w:val="004115D8"/>
    <w:rsid w:val="00411822"/>
    <w:rsid w:val="00411E6E"/>
    <w:rsid w:val="0041354E"/>
    <w:rsid w:val="00413614"/>
    <w:rsid w:val="0041372D"/>
    <w:rsid w:val="004148A0"/>
    <w:rsid w:val="00414F02"/>
    <w:rsid w:val="0041512B"/>
    <w:rsid w:val="00415445"/>
    <w:rsid w:val="0041692C"/>
    <w:rsid w:val="00416FB5"/>
    <w:rsid w:val="00420014"/>
    <w:rsid w:val="00421A03"/>
    <w:rsid w:val="00421A26"/>
    <w:rsid w:val="004239BF"/>
    <w:rsid w:val="004242E8"/>
    <w:rsid w:val="00424636"/>
    <w:rsid w:val="00425F11"/>
    <w:rsid w:val="00426BF0"/>
    <w:rsid w:val="0042700E"/>
    <w:rsid w:val="00427267"/>
    <w:rsid w:val="0042728A"/>
    <w:rsid w:val="004273C3"/>
    <w:rsid w:val="00427639"/>
    <w:rsid w:val="00427B67"/>
    <w:rsid w:val="004308B1"/>
    <w:rsid w:val="00430BC2"/>
    <w:rsid w:val="004310FC"/>
    <w:rsid w:val="00431133"/>
    <w:rsid w:val="004318E7"/>
    <w:rsid w:val="00431DA5"/>
    <w:rsid w:val="00432521"/>
    <w:rsid w:val="0043304A"/>
    <w:rsid w:val="004330D8"/>
    <w:rsid w:val="00434006"/>
    <w:rsid w:val="00434311"/>
    <w:rsid w:val="00434C1D"/>
    <w:rsid w:val="004355B1"/>
    <w:rsid w:val="00436497"/>
    <w:rsid w:val="0043680D"/>
    <w:rsid w:val="00436D6D"/>
    <w:rsid w:val="00437C81"/>
    <w:rsid w:val="0043C78C"/>
    <w:rsid w:val="0044005F"/>
    <w:rsid w:val="00440172"/>
    <w:rsid w:val="0044044D"/>
    <w:rsid w:val="004407C5"/>
    <w:rsid w:val="0044095B"/>
    <w:rsid w:val="00440B39"/>
    <w:rsid w:val="004415A0"/>
    <w:rsid w:val="004418DE"/>
    <w:rsid w:val="0044197C"/>
    <w:rsid w:val="004422A3"/>
    <w:rsid w:val="0044246C"/>
    <w:rsid w:val="00442E10"/>
    <w:rsid w:val="00442EBA"/>
    <w:rsid w:val="0044314F"/>
    <w:rsid w:val="00443D3C"/>
    <w:rsid w:val="004459A8"/>
    <w:rsid w:val="00445CB5"/>
    <w:rsid w:val="0044655B"/>
    <w:rsid w:val="00447B93"/>
    <w:rsid w:val="00447D24"/>
    <w:rsid w:val="00451CD8"/>
    <w:rsid w:val="00451D7A"/>
    <w:rsid w:val="00451E7C"/>
    <w:rsid w:val="0045278A"/>
    <w:rsid w:val="00452804"/>
    <w:rsid w:val="00452BEA"/>
    <w:rsid w:val="004533C5"/>
    <w:rsid w:val="0045489D"/>
    <w:rsid w:val="004548DC"/>
    <w:rsid w:val="0045507E"/>
    <w:rsid w:val="00455B45"/>
    <w:rsid w:val="004568B5"/>
    <w:rsid w:val="00456AD9"/>
    <w:rsid w:val="00456B43"/>
    <w:rsid w:val="00456CE3"/>
    <w:rsid w:val="00456F10"/>
    <w:rsid w:val="00456FAF"/>
    <w:rsid w:val="004578AA"/>
    <w:rsid w:val="00457C41"/>
    <w:rsid w:val="004603F9"/>
    <w:rsid w:val="0046040D"/>
    <w:rsid w:val="0046044B"/>
    <w:rsid w:val="004604B4"/>
    <w:rsid w:val="004605B8"/>
    <w:rsid w:val="00461FBE"/>
    <w:rsid w:val="00462212"/>
    <w:rsid w:val="00463257"/>
    <w:rsid w:val="004632D4"/>
    <w:rsid w:val="004634EE"/>
    <w:rsid w:val="00463998"/>
    <w:rsid w:val="004647D7"/>
    <w:rsid w:val="00464AAA"/>
    <w:rsid w:val="00464B38"/>
    <w:rsid w:val="00464B98"/>
    <w:rsid w:val="0046515F"/>
    <w:rsid w:val="0046644E"/>
    <w:rsid w:val="004667C8"/>
    <w:rsid w:val="00466AEB"/>
    <w:rsid w:val="0046730B"/>
    <w:rsid w:val="00467342"/>
    <w:rsid w:val="0046CA59"/>
    <w:rsid w:val="0047011E"/>
    <w:rsid w:val="004703B6"/>
    <w:rsid w:val="00470A70"/>
    <w:rsid w:val="0047176E"/>
    <w:rsid w:val="0047185A"/>
    <w:rsid w:val="00473048"/>
    <w:rsid w:val="004730D7"/>
    <w:rsid w:val="004734A6"/>
    <w:rsid w:val="00473626"/>
    <w:rsid w:val="00473961"/>
    <w:rsid w:val="00473BBA"/>
    <w:rsid w:val="00474073"/>
    <w:rsid w:val="00474629"/>
    <w:rsid w:val="00475493"/>
    <w:rsid w:val="004757C7"/>
    <w:rsid w:val="0047624F"/>
    <w:rsid w:val="00476293"/>
    <w:rsid w:val="00476715"/>
    <w:rsid w:val="004776BD"/>
    <w:rsid w:val="00477E9F"/>
    <w:rsid w:val="0047EA2B"/>
    <w:rsid w:val="00480C80"/>
    <w:rsid w:val="00481780"/>
    <w:rsid w:val="00481C11"/>
    <w:rsid w:val="00481FC5"/>
    <w:rsid w:val="00482B61"/>
    <w:rsid w:val="00483485"/>
    <w:rsid w:val="00483A43"/>
    <w:rsid w:val="00484B08"/>
    <w:rsid w:val="00485ECB"/>
    <w:rsid w:val="0048649C"/>
    <w:rsid w:val="004865BF"/>
    <w:rsid w:val="004873E1"/>
    <w:rsid w:val="00490BC0"/>
    <w:rsid w:val="00492004"/>
    <w:rsid w:val="004924CE"/>
    <w:rsid w:val="00492D86"/>
    <w:rsid w:val="00493235"/>
    <w:rsid w:val="00493347"/>
    <w:rsid w:val="0049342D"/>
    <w:rsid w:val="004937A0"/>
    <w:rsid w:val="00494243"/>
    <w:rsid w:val="004944AB"/>
    <w:rsid w:val="00494D32"/>
    <w:rsid w:val="00495217"/>
    <w:rsid w:val="004957A3"/>
    <w:rsid w:val="00496661"/>
    <w:rsid w:val="00497217"/>
    <w:rsid w:val="00497750"/>
    <w:rsid w:val="00497DAD"/>
    <w:rsid w:val="004A02F3"/>
    <w:rsid w:val="004A08E9"/>
    <w:rsid w:val="004A0C0E"/>
    <w:rsid w:val="004A11D6"/>
    <w:rsid w:val="004A137F"/>
    <w:rsid w:val="004A13AE"/>
    <w:rsid w:val="004A14A2"/>
    <w:rsid w:val="004A16F0"/>
    <w:rsid w:val="004A45C8"/>
    <w:rsid w:val="004A4B73"/>
    <w:rsid w:val="004A652D"/>
    <w:rsid w:val="004A6AC0"/>
    <w:rsid w:val="004A6C5E"/>
    <w:rsid w:val="004A742C"/>
    <w:rsid w:val="004A749B"/>
    <w:rsid w:val="004A7771"/>
    <w:rsid w:val="004A7BE9"/>
    <w:rsid w:val="004A7FB6"/>
    <w:rsid w:val="004B0461"/>
    <w:rsid w:val="004B05F3"/>
    <w:rsid w:val="004B065E"/>
    <w:rsid w:val="004B0688"/>
    <w:rsid w:val="004B0848"/>
    <w:rsid w:val="004B0FA3"/>
    <w:rsid w:val="004B1EFB"/>
    <w:rsid w:val="004B218F"/>
    <w:rsid w:val="004B2421"/>
    <w:rsid w:val="004B26D5"/>
    <w:rsid w:val="004B2937"/>
    <w:rsid w:val="004B2B61"/>
    <w:rsid w:val="004B2FF1"/>
    <w:rsid w:val="004B436F"/>
    <w:rsid w:val="004B4422"/>
    <w:rsid w:val="004B50B0"/>
    <w:rsid w:val="004B5190"/>
    <w:rsid w:val="004B5C59"/>
    <w:rsid w:val="004B5D01"/>
    <w:rsid w:val="004B6575"/>
    <w:rsid w:val="004B6F79"/>
    <w:rsid w:val="004B7811"/>
    <w:rsid w:val="004B7ABA"/>
    <w:rsid w:val="004B7EFD"/>
    <w:rsid w:val="004C0B20"/>
    <w:rsid w:val="004C0E39"/>
    <w:rsid w:val="004C0F61"/>
    <w:rsid w:val="004C184A"/>
    <w:rsid w:val="004C1850"/>
    <w:rsid w:val="004C1F86"/>
    <w:rsid w:val="004C1FA0"/>
    <w:rsid w:val="004C291F"/>
    <w:rsid w:val="004C3569"/>
    <w:rsid w:val="004C3893"/>
    <w:rsid w:val="004C3974"/>
    <w:rsid w:val="004C3ECA"/>
    <w:rsid w:val="004C4844"/>
    <w:rsid w:val="004C4A0B"/>
    <w:rsid w:val="004C5D43"/>
    <w:rsid w:val="004C6491"/>
    <w:rsid w:val="004C6E32"/>
    <w:rsid w:val="004C7238"/>
    <w:rsid w:val="004C7423"/>
    <w:rsid w:val="004C79F9"/>
    <w:rsid w:val="004C7B4C"/>
    <w:rsid w:val="004D0196"/>
    <w:rsid w:val="004D060E"/>
    <w:rsid w:val="004D0CDB"/>
    <w:rsid w:val="004D0F01"/>
    <w:rsid w:val="004D12B5"/>
    <w:rsid w:val="004D1C92"/>
    <w:rsid w:val="004D1F85"/>
    <w:rsid w:val="004D2012"/>
    <w:rsid w:val="004D2723"/>
    <w:rsid w:val="004D384D"/>
    <w:rsid w:val="004D3DE8"/>
    <w:rsid w:val="004D4738"/>
    <w:rsid w:val="004D492F"/>
    <w:rsid w:val="004D7FA3"/>
    <w:rsid w:val="004E0798"/>
    <w:rsid w:val="004E0937"/>
    <w:rsid w:val="004E0E27"/>
    <w:rsid w:val="004E3401"/>
    <w:rsid w:val="004E3B99"/>
    <w:rsid w:val="004E44AF"/>
    <w:rsid w:val="004E4CF8"/>
    <w:rsid w:val="004E4F78"/>
    <w:rsid w:val="004E5034"/>
    <w:rsid w:val="004E65FF"/>
    <w:rsid w:val="004E67B6"/>
    <w:rsid w:val="004E6F4F"/>
    <w:rsid w:val="004E7382"/>
    <w:rsid w:val="004F03AC"/>
    <w:rsid w:val="004F0409"/>
    <w:rsid w:val="004F08E4"/>
    <w:rsid w:val="004F19FC"/>
    <w:rsid w:val="004F19FF"/>
    <w:rsid w:val="004F1B85"/>
    <w:rsid w:val="004F2029"/>
    <w:rsid w:val="004F22DD"/>
    <w:rsid w:val="004F46B9"/>
    <w:rsid w:val="004F4B4F"/>
    <w:rsid w:val="004F5383"/>
    <w:rsid w:val="004F5411"/>
    <w:rsid w:val="004F6269"/>
    <w:rsid w:val="004F688F"/>
    <w:rsid w:val="004F7885"/>
    <w:rsid w:val="00500993"/>
    <w:rsid w:val="00501840"/>
    <w:rsid w:val="005023A5"/>
    <w:rsid w:val="005025E9"/>
    <w:rsid w:val="00502A05"/>
    <w:rsid w:val="00503F25"/>
    <w:rsid w:val="0050479F"/>
    <w:rsid w:val="00504B4D"/>
    <w:rsid w:val="005062AC"/>
    <w:rsid w:val="005066EE"/>
    <w:rsid w:val="00507449"/>
    <w:rsid w:val="005076DE"/>
    <w:rsid w:val="00507DB5"/>
    <w:rsid w:val="00507FB2"/>
    <w:rsid w:val="005086AE"/>
    <w:rsid w:val="0050BF74"/>
    <w:rsid w:val="00510831"/>
    <w:rsid w:val="00510BE9"/>
    <w:rsid w:val="005111F7"/>
    <w:rsid w:val="005132C2"/>
    <w:rsid w:val="005147A9"/>
    <w:rsid w:val="00514A32"/>
    <w:rsid w:val="005165FE"/>
    <w:rsid w:val="00516AFE"/>
    <w:rsid w:val="00516D2F"/>
    <w:rsid w:val="00516D9C"/>
    <w:rsid w:val="0051730A"/>
    <w:rsid w:val="005175EE"/>
    <w:rsid w:val="0051797F"/>
    <w:rsid w:val="00520646"/>
    <w:rsid w:val="005209F6"/>
    <w:rsid w:val="0052179F"/>
    <w:rsid w:val="00523710"/>
    <w:rsid w:val="00523A65"/>
    <w:rsid w:val="00523B24"/>
    <w:rsid w:val="00525278"/>
    <w:rsid w:val="0052583F"/>
    <w:rsid w:val="00525973"/>
    <w:rsid w:val="00526415"/>
    <w:rsid w:val="005269C0"/>
    <w:rsid w:val="00526BCD"/>
    <w:rsid w:val="00526CD8"/>
    <w:rsid w:val="00526DC6"/>
    <w:rsid w:val="00526FF9"/>
    <w:rsid w:val="0052742B"/>
    <w:rsid w:val="00527811"/>
    <w:rsid w:val="005278BC"/>
    <w:rsid w:val="00527E91"/>
    <w:rsid w:val="0052E4D6"/>
    <w:rsid w:val="00530BB5"/>
    <w:rsid w:val="00530C2F"/>
    <w:rsid w:val="005316F7"/>
    <w:rsid w:val="00532212"/>
    <w:rsid w:val="00532673"/>
    <w:rsid w:val="00532849"/>
    <w:rsid w:val="00532BCB"/>
    <w:rsid w:val="00533F5E"/>
    <w:rsid w:val="0053619C"/>
    <w:rsid w:val="00536726"/>
    <w:rsid w:val="00536CA8"/>
    <w:rsid w:val="00536E3C"/>
    <w:rsid w:val="00536FEE"/>
    <w:rsid w:val="00540538"/>
    <w:rsid w:val="005409CB"/>
    <w:rsid w:val="0054142C"/>
    <w:rsid w:val="00542190"/>
    <w:rsid w:val="005424F3"/>
    <w:rsid w:val="005427E6"/>
    <w:rsid w:val="0054413F"/>
    <w:rsid w:val="00544AB6"/>
    <w:rsid w:val="00544D28"/>
    <w:rsid w:val="0054604E"/>
    <w:rsid w:val="00546484"/>
    <w:rsid w:val="00546764"/>
    <w:rsid w:val="0054772F"/>
    <w:rsid w:val="0054796C"/>
    <w:rsid w:val="00547E38"/>
    <w:rsid w:val="005512CD"/>
    <w:rsid w:val="005516DF"/>
    <w:rsid w:val="00553E8D"/>
    <w:rsid w:val="005542E6"/>
    <w:rsid w:val="00555418"/>
    <w:rsid w:val="00555804"/>
    <w:rsid w:val="0055593E"/>
    <w:rsid w:val="00555A7F"/>
    <w:rsid w:val="00555C25"/>
    <w:rsid w:val="00555F57"/>
    <w:rsid w:val="00556691"/>
    <w:rsid w:val="0055698D"/>
    <w:rsid w:val="00556E10"/>
    <w:rsid w:val="0055755A"/>
    <w:rsid w:val="0055777B"/>
    <w:rsid w:val="0056064C"/>
    <w:rsid w:val="005618E3"/>
    <w:rsid w:val="00561E65"/>
    <w:rsid w:val="00561F69"/>
    <w:rsid w:val="005624E8"/>
    <w:rsid w:val="005635E1"/>
    <w:rsid w:val="00563762"/>
    <w:rsid w:val="0056386B"/>
    <w:rsid w:val="0056464A"/>
    <w:rsid w:val="00565224"/>
    <w:rsid w:val="005661B6"/>
    <w:rsid w:val="00566381"/>
    <w:rsid w:val="005668AA"/>
    <w:rsid w:val="00566D5B"/>
    <w:rsid w:val="005670C2"/>
    <w:rsid w:val="00567259"/>
    <w:rsid w:val="0056789A"/>
    <w:rsid w:val="00567F5C"/>
    <w:rsid w:val="005707DE"/>
    <w:rsid w:val="00572009"/>
    <w:rsid w:val="00572424"/>
    <w:rsid w:val="00572F3C"/>
    <w:rsid w:val="00573093"/>
    <w:rsid w:val="005732F5"/>
    <w:rsid w:val="00573BE9"/>
    <w:rsid w:val="00573D12"/>
    <w:rsid w:val="00574086"/>
    <w:rsid w:val="00575907"/>
    <w:rsid w:val="00575A2F"/>
    <w:rsid w:val="005764D4"/>
    <w:rsid w:val="00576C2C"/>
    <w:rsid w:val="00577C83"/>
    <w:rsid w:val="00577F24"/>
    <w:rsid w:val="0057C7E6"/>
    <w:rsid w:val="0057D6E1"/>
    <w:rsid w:val="005802CB"/>
    <w:rsid w:val="005805EF"/>
    <w:rsid w:val="00580AC2"/>
    <w:rsid w:val="00582040"/>
    <w:rsid w:val="00582453"/>
    <w:rsid w:val="0058260C"/>
    <w:rsid w:val="0058261A"/>
    <w:rsid w:val="00583903"/>
    <w:rsid w:val="0058470F"/>
    <w:rsid w:val="0058490E"/>
    <w:rsid w:val="0058542A"/>
    <w:rsid w:val="005856FF"/>
    <w:rsid w:val="00585BEE"/>
    <w:rsid w:val="00585C93"/>
    <w:rsid w:val="00586343"/>
    <w:rsid w:val="00586B46"/>
    <w:rsid w:val="0058798B"/>
    <w:rsid w:val="00590A0C"/>
    <w:rsid w:val="005915E1"/>
    <w:rsid w:val="00591A71"/>
    <w:rsid w:val="00591F4D"/>
    <w:rsid w:val="005941FF"/>
    <w:rsid w:val="005943A9"/>
    <w:rsid w:val="00594841"/>
    <w:rsid w:val="00594C46"/>
    <w:rsid w:val="0059594C"/>
    <w:rsid w:val="00595BD8"/>
    <w:rsid w:val="00595DB1"/>
    <w:rsid w:val="00596065"/>
    <w:rsid w:val="005963BB"/>
    <w:rsid w:val="00596A2D"/>
    <w:rsid w:val="00597D69"/>
    <w:rsid w:val="00597E65"/>
    <w:rsid w:val="00597F69"/>
    <w:rsid w:val="005A13B6"/>
    <w:rsid w:val="005A1599"/>
    <w:rsid w:val="005A1D3D"/>
    <w:rsid w:val="005A288C"/>
    <w:rsid w:val="005A4128"/>
    <w:rsid w:val="005A41FF"/>
    <w:rsid w:val="005A4540"/>
    <w:rsid w:val="005A49A7"/>
    <w:rsid w:val="005A52EC"/>
    <w:rsid w:val="005A6501"/>
    <w:rsid w:val="005A6517"/>
    <w:rsid w:val="005A727B"/>
    <w:rsid w:val="005A75EE"/>
    <w:rsid w:val="005A7B71"/>
    <w:rsid w:val="005B0C83"/>
    <w:rsid w:val="005B0D0F"/>
    <w:rsid w:val="005B125B"/>
    <w:rsid w:val="005B1BD3"/>
    <w:rsid w:val="005B1FDA"/>
    <w:rsid w:val="005B2878"/>
    <w:rsid w:val="005B2DC8"/>
    <w:rsid w:val="005B30D1"/>
    <w:rsid w:val="005B3BDD"/>
    <w:rsid w:val="005B3E22"/>
    <w:rsid w:val="005B3F31"/>
    <w:rsid w:val="005B4036"/>
    <w:rsid w:val="005B4E0F"/>
    <w:rsid w:val="005B5323"/>
    <w:rsid w:val="005B691C"/>
    <w:rsid w:val="005B7344"/>
    <w:rsid w:val="005C0ADC"/>
    <w:rsid w:val="005C0B7B"/>
    <w:rsid w:val="005C1029"/>
    <w:rsid w:val="005C1104"/>
    <w:rsid w:val="005C1D2D"/>
    <w:rsid w:val="005C25CA"/>
    <w:rsid w:val="005C2954"/>
    <w:rsid w:val="005C3361"/>
    <w:rsid w:val="005C3863"/>
    <w:rsid w:val="005C4213"/>
    <w:rsid w:val="005C50E5"/>
    <w:rsid w:val="005C53A8"/>
    <w:rsid w:val="005C551B"/>
    <w:rsid w:val="005C6636"/>
    <w:rsid w:val="005C79DF"/>
    <w:rsid w:val="005D068E"/>
    <w:rsid w:val="005D080B"/>
    <w:rsid w:val="005D0887"/>
    <w:rsid w:val="005D22FB"/>
    <w:rsid w:val="005D2343"/>
    <w:rsid w:val="005D2911"/>
    <w:rsid w:val="005D35EE"/>
    <w:rsid w:val="005D4339"/>
    <w:rsid w:val="005D47F0"/>
    <w:rsid w:val="005D4AE0"/>
    <w:rsid w:val="005D4E5A"/>
    <w:rsid w:val="005D6348"/>
    <w:rsid w:val="005D67BD"/>
    <w:rsid w:val="005D6E3E"/>
    <w:rsid w:val="005D7A44"/>
    <w:rsid w:val="005DC89F"/>
    <w:rsid w:val="005E02B7"/>
    <w:rsid w:val="005E075B"/>
    <w:rsid w:val="005E0892"/>
    <w:rsid w:val="005E0902"/>
    <w:rsid w:val="005E0ADD"/>
    <w:rsid w:val="005E132A"/>
    <w:rsid w:val="005E1942"/>
    <w:rsid w:val="005E251C"/>
    <w:rsid w:val="005E2B79"/>
    <w:rsid w:val="005E32E3"/>
    <w:rsid w:val="005E338A"/>
    <w:rsid w:val="005E34B4"/>
    <w:rsid w:val="005E3AE4"/>
    <w:rsid w:val="005E425D"/>
    <w:rsid w:val="005E56EC"/>
    <w:rsid w:val="005E5AD8"/>
    <w:rsid w:val="005E6893"/>
    <w:rsid w:val="005E71AC"/>
    <w:rsid w:val="005E73A5"/>
    <w:rsid w:val="005E7585"/>
    <w:rsid w:val="005E7BFB"/>
    <w:rsid w:val="005F090E"/>
    <w:rsid w:val="005F0A85"/>
    <w:rsid w:val="005F1702"/>
    <w:rsid w:val="005F19FE"/>
    <w:rsid w:val="005F1BCA"/>
    <w:rsid w:val="005F224F"/>
    <w:rsid w:val="005F2C7B"/>
    <w:rsid w:val="005F32F4"/>
    <w:rsid w:val="005F35BD"/>
    <w:rsid w:val="005F3CBA"/>
    <w:rsid w:val="005F535D"/>
    <w:rsid w:val="005F54DF"/>
    <w:rsid w:val="005F5542"/>
    <w:rsid w:val="005F5DC6"/>
    <w:rsid w:val="005F638E"/>
    <w:rsid w:val="005F6698"/>
    <w:rsid w:val="005F68E9"/>
    <w:rsid w:val="005F74B5"/>
    <w:rsid w:val="005F7B13"/>
    <w:rsid w:val="005F7CD0"/>
    <w:rsid w:val="00601085"/>
    <w:rsid w:val="00601635"/>
    <w:rsid w:val="00601C59"/>
    <w:rsid w:val="0060203D"/>
    <w:rsid w:val="0060293A"/>
    <w:rsid w:val="006029B3"/>
    <w:rsid w:val="006047BB"/>
    <w:rsid w:val="00604B40"/>
    <w:rsid w:val="00605D6B"/>
    <w:rsid w:val="00605E53"/>
    <w:rsid w:val="00610D6D"/>
    <w:rsid w:val="00611043"/>
    <w:rsid w:val="0061120C"/>
    <w:rsid w:val="006115D0"/>
    <w:rsid w:val="00611869"/>
    <w:rsid w:val="00612486"/>
    <w:rsid w:val="006124CF"/>
    <w:rsid w:val="00612802"/>
    <w:rsid w:val="0061285F"/>
    <w:rsid w:val="006132E7"/>
    <w:rsid w:val="00615C93"/>
    <w:rsid w:val="0061651E"/>
    <w:rsid w:val="00616A9B"/>
    <w:rsid w:val="0061798F"/>
    <w:rsid w:val="00617EEC"/>
    <w:rsid w:val="006201A4"/>
    <w:rsid w:val="006207B9"/>
    <w:rsid w:val="00621A2B"/>
    <w:rsid w:val="00622BEC"/>
    <w:rsid w:val="00622C63"/>
    <w:rsid w:val="0062336D"/>
    <w:rsid w:val="006233B5"/>
    <w:rsid w:val="0062360C"/>
    <w:rsid w:val="006236EF"/>
    <w:rsid w:val="00623D16"/>
    <w:rsid w:val="00623EB6"/>
    <w:rsid w:val="006240E9"/>
    <w:rsid w:val="006243BA"/>
    <w:rsid w:val="006243E4"/>
    <w:rsid w:val="006245D9"/>
    <w:rsid w:val="00624944"/>
    <w:rsid w:val="00624B5C"/>
    <w:rsid w:val="00625838"/>
    <w:rsid w:val="00625B2A"/>
    <w:rsid w:val="00625B55"/>
    <w:rsid w:val="00625BE7"/>
    <w:rsid w:val="00625CC7"/>
    <w:rsid w:val="0062621C"/>
    <w:rsid w:val="006263BA"/>
    <w:rsid w:val="00626C36"/>
    <w:rsid w:val="00627181"/>
    <w:rsid w:val="0062718D"/>
    <w:rsid w:val="0062754C"/>
    <w:rsid w:val="00630A3F"/>
    <w:rsid w:val="00631547"/>
    <w:rsid w:val="00631B88"/>
    <w:rsid w:val="00632155"/>
    <w:rsid w:val="00632270"/>
    <w:rsid w:val="0063237D"/>
    <w:rsid w:val="00632FB4"/>
    <w:rsid w:val="0063387A"/>
    <w:rsid w:val="00633971"/>
    <w:rsid w:val="006339B3"/>
    <w:rsid w:val="00635354"/>
    <w:rsid w:val="00635ED1"/>
    <w:rsid w:val="006369C6"/>
    <w:rsid w:val="00637C98"/>
    <w:rsid w:val="00640A5A"/>
    <w:rsid w:val="00640BB2"/>
    <w:rsid w:val="00640BED"/>
    <w:rsid w:val="00640C11"/>
    <w:rsid w:val="006410B4"/>
    <w:rsid w:val="00641475"/>
    <w:rsid w:val="00641541"/>
    <w:rsid w:val="0064195B"/>
    <w:rsid w:val="00641989"/>
    <w:rsid w:val="00641B88"/>
    <w:rsid w:val="00641CD8"/>
    <w:rsid w:val="00642BA2"/>
    <w:rsid w:val="006431E0"/>
    <w:rsid w:val="00643530"/>
    <w:rsid w:val="0064381C"/>
    <w:rsid w:val="00643D46"/>
    <w:rsid w:val="00643D64"/>
    <w:rsid w:val="00643E42"/>
    <w:rsid w:val="006441AA"/>
    <w:rsid w:val="00646022"/>
    <w:rsid w:val="00646A17"/>
    <w:rsid w:val="00646EEC"/>
    <w:rsid w:val="00647BCF"/>
    <w:rsid w:val="00650E8C"/>
    <w:rsid w:val="00651838"/>
    <w:rsid w:val="00651A34"/>
    <w:rsid w:val="00651BF8"/>
    <w:rsid w:val="00652307"/>
    <w:rsid w:val="00652CEE"/>
    <w:rsid w:val="0065394A"/>
    <w:rsid w:val="00653C70"/>
    <w:rsid w:val="00654594"/>
    <w:rsid w:val="006548D8"/>
    <w:rsid w:val="006549D2"/>
    <w:rsid w:val="00654E6A"/>
    <w:rsid w:val="00654E9D"/>
    <w:rsid w:val="00655804"/>
    <w:rsid w:val="00655FB8"/>
    <w:rsid w:val="006560F3"/>
    <w:rsid w:val="006561F9"/>
    <w:rsid w:val="006603B2"/>
    <w:rsid w:val="00660598"/>
    <w:rsid w:val="006606B4"/>
    <w:rsid w:val="00660968"/>
    <w:rsid w:val="00660BB2"/>
    <w:rsid w:val="00660DFD"/>
    <w:rsid w:val="0066177C"/>
    <w:rsid w:val="00662362"/>
    <w:rsid w:val="00662EA3"/>
    <w:rsid w:val="00663C96"/>
    <w:rsid w:val="00664381"/>
    <w:rsid w:val="006644E6"/>
    <w:rsid w:val="00664577"/>
    <w:rsid w:val="006652BB"/>
    <w:rsid w:val="006655A2"/>
    <w:rsid w:val="00665B45"/>
    <w:rsid w:val="00665FA2"/>
    <w:rsid w:val="006664B9"/>
    <w:rsid w:val="00667944"/>
    <w:rsid w:val="0067046E"/>
    <w:rsid w:val="00670B5F"/>
    <w:rsid w:val="00671793"/>
    <w:rsid w:val="0067192E"/>
    <w:rsid w:val="00672AB8"/>
    <w:rsid w:val="00672BC3"/>
    <w:rsid w:val="00672C39"/>
    <w:rsid w:val="00672E23"/>
    <w:rsid w:val="00672F2F"/>
    <w:rsid w:val="0067346A"/>
    <w:rsid w:val="006735FB"/>
    <w:rsid w:val="00673764"/>
    <w:rsid w:val="00673E1E"/>
    <w:rsid w:val="00674D65"/>
    <w:rsid w:val="00675640"/>
    <w:rsid w:val="00676A0E"/>
    <w:rsid w:val="00676CDF"/>
    <w:rsid w:val="00677040"/>
    <w:rsid w:val="006773F0"/>
    <w:rsid w:val="006801C1"/>
    <w:rsid w:val="00680622"/>
    <w:rsid w:val="00680C65"/>
    <w:rsid w:val="00681305"/>
    <w:rsid w:val="00681547"/>
    <w:rsid w:val="00681970"/>
    <w:rsid w:val="00681AEF"/>
    <w:rsid w:val="00682549"/>
    <w:rsid w:val="00682820"/>
    <w:rsid w:val="00682EDA"/>
    <w:rsid w:val="006831C3"/>
    <w:rsid w:val="00683BE2"/>
    <w:rsid w:val="00683F20"/>
    <w:rsid w:val="006848A9"/>
    <w:rsid w:val="00684AFA"/>
    <w:rsid w:val="00684F6F"/>
    <w:rsid w:val="0068510D"/>
    <w:rsid w:val="00685D67"/>
    <w:rsid w:val="00685FF8"/>
    <w:rsid w:val="00686DD3"/>
    <w:rsid w:val="0068731D"/>
    <w:rsid w:val="00687786"/>
    <w:rsid w:val="00687BE9"/>
    <w:rsid w:val="00691A7E"/>
    <w:rsid w:val="0069240B"/>
    <w:rsid w:val="0069270C"/>
    <w:rsid w:val="00692C54"/>
    <w:rsid w:val="00692FF8"/>
    <w:rsid w:val="0069355A"/>
    <w:rsid w:val="0069469B"/>
    <w:rsid w:val="0069481A"/>
    <w:rsid w:val="0069496F"/>
    <w:rsid w:val="00695091"/>
    <w:rsid w:val="00695811"/>
    <w:rsid w:val="00696432"/>
    <w:rsid w:val="00696792"/>
    <w:rsid w:val="0069696D"/>
    <w:rsid w:val="00696B27"/>
    <w:rsid w:val="00697499"/>
    <w:rsid w:val="0069EA0C"/>
    <w:rsid w:val="006A0F00"/>
    <w:rsid w:val="006A1462"/>
    <w:rsid w:val="006A14EC"/>
    <w:rsid w:val="006A28D1"/>
    <w:rsid w:val="006A305E"/>
    <w:rsid w:val="006A481A"/>
    <w:rsid w:val="006A6090"/>
    <w:rsid w:val="006A710A"/>
    <w:rsid w:val="006A7848"/>
    <w:rsid w:val="006B0100"/>
    <w:rsid w:val="006B043E"/>
    <w:rsid w:val="006B10B6"/>
    <w:rsid w:val="006B115E"/>
    <w:rsid w:val="006B1E27"/>
    <w:rsid w:val="006B29CC"/>
    <w:rsid w:val="006B3769"/>
    <w:rsid w:val="006B3836"/>
    <w:rsid w:val="006B3B8F"/>
    <w:rsid w:val="006B3BEB"/>
    <w:rsid w:val="006B3CA1"/>
    <w:rsid w:val="006B5563"/>
    <w:rsid w:val="006B5640"/>
    <w:rsid w:val="006B5745"/>
    <w:rsid w:val="006B5791"/>
    <w:rsid w:val="006B640A"/>
    <w:rsid w:val="006B6CEB"/>
    <w:rsid w:val="006B731D"/>
    <w:rsid w:val="006B76DE"/>
    <w:rsid w:val="006BAB63"/>
    <w:rsid w:val="006C0739"/>
    <w:rsid w:val="006C0E2C"/>
    <w:rsid w:val="006C1897"/>
    <w:rsid w:val="006C3535"/>
    <w:rsid w:val="006C3722"/>
    <w:rsid w:val="006C4A32"/>
    <w:rsid w:val="006C4B4E"/>
    <w:rsid w:val="006C4E1F"/>
    <w:rsid w:val="006C6803"/>
    <w:rsid w:val="006C6E2D"/>
    <w:rsid w:val="006C73F3"/>
    <w:rsid w:val="006C75A7"/>
    <w:rsid w:val="006C7D41"/>
    <w:rsid w:val="006D05E7"/>
    <w:rsid w:val="006D08A1"/>
    <w:rsid w:val="006D0EE0"/>
    <w:rsid w:val="006D1212"/>
    <w:rsid w:val="006D24A7"/>
    <w:rsid w:val="006D2BB0"/>
    <w:rsid w:val="006D41A6"/>
    <w:rsid w:val="006D525D"/>
    <w:rsid w:val="006D53AF"/>
    <w:rsid w:val="006D5B38"/>
    <w:rsid w:val="006D5C94"/>
    <w:rsid w:val="006D6975"/>
    <w:rsid w:val="006D6B8D"/>
    <w:rsid w:val="006D6C39"/>
    <w:rsid w:val="006D70F1"/>
    <w:rsid w:val="006D7556"/>
    <w:rsid w:val="006E0BE1"/>
    <w:rsid w:val="006E0E09"/>
    <w:rsid w:val="006E104E"/>
    <w:rsid w:val="006E194C"/>
    <w:rsid w:val="006E1AF8"/>
    <w:rsid w:val="006E2581"/>
    <w:rsid w:val="006E2648"/>
    <w:rsid w:val="006E2FDA"/>
    <w:rsid w:val="006E36F9"/>
    <w:rsid w:val="006E4647"/>
    <w:rsid w:val="006E48D8"/>
    <w:rsid w:val="006E4B4D"/>
    <w:rsid w:val="006E5926"/>
    <w:rsid w:val="006E5C13"/>
    <w:rsid w:val="006E5F59"/>
    <w:rsid w:val="006E615D"/>
    <w:rsid w:val="006E6491"/>
    <w:rsid w:val="006E73DC"/>
    <w:rsid w:val="006E7C9B"/>
    <w:rsid w:val="006F094A"/>
    <w:rsid w:val="006F188F"/>
    <w:rsid w:val="006F1952"/>
    <w:rsid w:val="006F2C20"/>
    <w:rsid w:val="006F382A"/>
    <w:rsid w:val="006F3BA4"/>
    <w:rsid w:val="006F3C88"/>
    <w:rsid w:val="006F3E55"/>
    <w:rsid w:val="006F3E89"/>
    <w:rsid w:val="006F446E"/>
    <w:rsid w:val="006F44FF"/>
    <w:rsid w:val="006F4725"/>
    <w:rsid w:val="006F491E"/>
    <w:rsid w:val="006F557F"/>
    <w:rsid w:val="006F6037"/>
    <w:rsid w:val="006F628C"/>
    <w:rsid w:val="006F69AD"/>
    <w:rsid w:val="006F7448"/>
    <w:rsid w:val="006F77CC"/>
    <w:rsid w:val="006F7A50"/>
    <w:rsid w:val="006F7BD4"/>
    <w:rsid w:val="006F7FC1"/>
    <w:rsid w:val="0070034B"/>
    <w:rsid w:val="00701058"/>
    <w:rsid w:val="007015F7"/>
    <w:rsid w:val="0070172A"/>
    <w:rsid w:val="00701FA5"/>
    <w:rsid w:val="0070219D"/>
    <w:rsid w:val="0070239E"/>
    <w:rsid w:val="007028A8"/>
    <w:rsid w:val="0070292E"/>
    <w:rsid w:val="00703BA8"/>
    <w:rsid w:val="00703CE8"/>
    <w:rsid w:val="00704296"/>
    <w:rsid w:val="00705362"/>
    <w:rsid w:val="00705381"/>
    <w:rsid w:val="00705EFE"/>
    <w:rsid w:val="00706C9D"/>
    <w:rsid w:val="007076CD"/>
    <w:rsid w:val="007078BD"/>
    <w:rsid w:val="00707C8C"/>
    <w:rsid w:val="00707E26"/>
    <w:rsid w:val="00710138"/>
    <w:rsid w:val="007101ED"/>
    <w:rsid w:val="007103A2"/>
    <w:rsid w:val="00710792"/>
    <w:rsid w:val="00711466"/>
    <w:rsid w:val="00713194"/>
    <w:rsid w:val="00713CBF"/>
    <w:rsid w:val="00714CFB"/>
    <w:rsid w:val="00715332"/>
    <w:rsid w:val="0071543B"/>
    <w:rsid w:val="007167E9"/>
    <w:rsid w:val="00717751"/>
    <w:rsid w:val="0071796E"/>
    <w:rsid w:val="00717CC7"/>
    <w:rsid w:val="00720623"/>
    <w:rsid w:val="00720D84"/>
    <w:rsid w:val="00720F70"/>
    <w:rsid w:val="0072103B"/>
    <w:rsid w:val="007213A5"/>
    <w:rsid w:val="0072168B"/>
    <w:rsid w:val="0072187F"/>
    <w:rsid w:val="00721C41"/>
    <w:rsid w:val="00722C3C"/>
    <w:rsid w:val="00722CA8"/>
    <w:rsid w:val="0072339B"/>
    <w:rsid w:val="00723430"/>
    <w:rsid w:val="00723CDB"/>
    <w:rsid w:val="007240FE"/>
    <w:rsid w:val="00724568"/>
    <w:rsid w:val="00725153"/>
    <w:rsid w:val="0072664D"/>
    <w:rsid w:val="00726930"/>
    <w:rsid w:val="00727993"/>
    <w:rsid w:val="007301C7"/>
    <w:rsid w:val="00730A4C"/>
    <w:rsid w:val="00731366"/>
    <w:rsid w:val="00731ACA"/>
    <w:rsid w:val="00732511"/>
    <w:rsid w:val="00732E7A"/>
    <w:rsid w:val="0073355C"/>
    <w:rsid w:val="007338F1"/>
    <w:rsid w:val="00733C06"/>
    <w:rsid w:val="00733FEA"/>
    <w:rsid w:val="00734805"/>
    <w:rsid w:val="00734BDA"/>
    <w:rsid w:val="00734DD0"/>
    <w:rsid w:val="00735471"/>
    <w:rsid w:val="00735BAB"/>
    <w:rsid w:val="0073685E"/>
    <w:rsid w:val="00736E67"/>
    <w:rsid w:val="0073EE14"/>
    <w:rsid w:val="007400ED"/>
    <w:rsid w:val="0074050C"/>
    <w:rsid w:val="007406DD"/>
    <w:rsid w:val="0074118A"/>
    <w:rsid w:val="00741950"/>
    <w:rsid w:val="00741ACA"/>
    <w:rsid w:val="00742F58"/>
    <w:rsid w:val="00743844"/>
    <w:rsid w:val="00743E42"/>
    <w:rsid w:val="00744090"/>
    <w:rsid w:val="007441E1"/>
    <w:rsid w:val="00744505"/>
    <w:rsid w:val="00744926"/>
    <w:rsid w:val="00744AAC"/>
    <w:rsid w:val="00744C7F"/>
    <w:rsid w:val="007454DF"/>
    <w:rsid w:val="00745A83"/>
    <w:rsid w:val="00745B4D"/>
    <w:rsid w:val="00746351"/>
    <w:rsid w:val="0074664F"/>
    <w:rsid w:val="00746A0F"/>
    <w:rsid w:val="0074759A"/>
    <w:rsid w:val="007478C9"/>
    <w:rsid w:val="00747DCD"/>
    <w:rsid w:val="007508E2"/>
    <w:rsid w:val="00750FCD"/>
    <w:rsid w:val="00751D52"/>
    <w:rsid w:val="00751E11"/>
    <w:rsid w:val="00751FE9"/>
    <w:rsid w:val="007520A4"/>
    <w:rsid w:val="00753A42"/>
    <w:rsid w:val="00754312"/>
    <w:rsid w:val="0075460C"/>
    <w:rsid w:val="00754D5A"/>
    <w:rsid w:val="007557CD"/>
    <w:rsid w:val="00755F9F"/>
    <w:rsid w:val="00757192"/>
    <w:rsid w:val="007572F4"/>
    <w:rsid w:val="0075789F"/>
    <w:rsid w:val="007579B5"/>
    <w:rsid w:val="007579E5"/>
    <w:rsid w:val="007593F8"/>
    <w:rsid w:val="007609B7"/>
    <w:rsid w:val="00760B09"/>
    <w:rsid w:val="00760EA8"/>
    <w:rsid w:val="0076128B"/>
    <w:rsid w:val="00763165"/>
    <w:rsid w:val="00763264"/>
    <w:rsid w:val="007633A8"/>
    <w:rsid w:val="0076423F"/>
    <w:rsid w:val="00764BF9"/>
    <w:rsid w:val="00765A76"/>
    <w:rsid w:val="00765A89"/>
    <w:rsid w:val="00765CB3"/>
    <w:rsid w:val="007663CC"/>
    <w:rsid w:val="00766F3C"/>
    <w:rsid w:val="007673BA"/>
    <w:rsid w:val="007678DE"/>
    <w:rsid w:val="007707FF"/>
    <w:rsid w:val="007744AE"/>
    <w:rsid w:val="00774D84"/>
    <w:rsid w:val="00774EEF"/>
    <w:rsid w:val="00774FC2"/>
    <w:rsid w:val="00775463"/>
    <w:rsid w:val="00775B5D"/>
    <w:rsid w:val="0077659C"/>
    <w:rsid w:val="00776744"/>
    <w:rsid w:val="007768ED"/>
    <w:rsid w:val="00776A9B"/>
    <w:rsid w:val="007778E0"/>
    <w:rsid w:val="00777AB4"/>
    <w:rsid w:val="00777CEA"/>
    <w:rsid w:val="00781A5A"/>
    <w:rsid w:val="00781B94"/>
    <w:rsid w:val="00782146"/>
    <w:rsid w:val="00782741"/>
    <w:rsid w:val="0078285F"/>
    <w:rsid w:val="00782F88"/>
    <w:rsid w:val="0078415B"/>
    <w:rsid w:val="007842C4"/>
    <w:rsid w:val="00784ADC"/>
    <w:rsid w:val="00784D47"/>
    <w:rsid w:val="00785B25"/>
    <w:rsid w:val="0078626E"/>
    <w:rsid w:val="00786617"/>
    <w:rsid w:val="00786864"/>
    <w:rsid w:val="007876DB"/>
    <w:rsid w:val="0078778B"/>
    <w:rsid w:val="00787D27"/>
    <w:rsid w:val="00787D4B"/>
    <w:rsid w:val="00791079"/>
    <w:rsid w:val="00791141"/>
    <w:rsid w:val="00791658"/>
    <w:rsid w:val="00792D80"/>
    <w:rsid w:val="00792F47"/>
    <w:rsid w:val="00794187"/>
    <w:rsid w:val="007941C3"/>
    <w:rsid w:val="00794507"/>
    <w:rsid w:val="00794FA0"/>
    <w:rsid w:val="007956EF"/>
    <w:rsid w:val="0079627F"/>
    <w:rsid w:val="00796411"/>
    <w:rsid w:val="00796FB2"/>
    <w:rsid w:val="00797360"/>
    <w:rsid w:val="00797C2C"/>
    <w:rsid w:val="00797CE9"/>
    <w:rsid w:val="00797F43"/>
    <w:rsid w:val="007A1056"/>
    <w:rsid w:val="007A1C47"/>
    <w:rsid w:val="007A3195"/>
    <w:rsid w:val="007A3557"/>
    <w:rsid w:val="007A38AD"/>
    <w:rsid w:val="007A398C"/>
    <w:rsid w:val="007A3A9C"/>
    <w:rsid w:val="007A3B01"/>
    <w:rsid w:val="007A3E35"/>
    <w:rsid w:val="007A3FDD"/>
    <w:rsid w:val="007A425E"/>
    <w:rsid w:val="007A43E2"/>
    <w:rsid w:val="007A4B0E"/>
    <w:rsid w:val="007A4E9F"/>
    <w:rsid w:val="007A7BB8"/>
    <w:rsid w:val="007A7D35"/>
    <w:rsid w:val="007A7D78"/>
    <w:rsid w:val="007B096F"/>
    <w:rsid w:val="007B105A"/>
    <w:rsid w:val="007B12B9"/>
    <w:rsid w:val="007B1F15"/>
    <w:rsid w:val="007B37D8"/>
    <w:rsid w:val="007B3ABB"/>
    <w:rsid w:val="007B3EDD"/>
    <w:rsid w:val="007B3F4D"/>
    <w:rsid w:val="007B478F"/>
    <w:rsid w:val="007B4B68"/>
    <w:rsid w:val="007B5133"/>
    <w:rsid w:val="007B574E"/>
    <w:rsid w:val="007B61A3"/>
    <w:rsid w:val="007B621C"/>
    <w:rsid w:val="007B625E"/>
    <w:rsid w:val="007B7E27"/>
    <w:rsid w:val="007C0B29"/>
    <w:rsid w:val="007C0B98"/>
    <w:rsid w:val="007C0DD2"/>
    <w:rsid w:val="007C105D"/>
    <w:rsid w:val="007C1301"/>
    <w:rsid w:val="007C1864"/>
    <w:rsid w:val="007C1C55"/>
    <w:rsid w:val="007C2173"/>
    <w:rsid w:val="007C27DF"/>
    <w:rsid w:val="007C2A78"/>
    <w:rsid w:val="007C2BFA"/>
    <w:rsid w:val="007C2DF4"/>
    <w:rsid w:val="007C3CFF"/>
    <w:rsid w:val="007C465E"/>
    <w:rsid w:val="007C52DF"/>
    <w:rsid w:val="007C56F9"/>
    <w:rsid w:val="007C5E67"/>
    <w:rsid w:val="007C5F3E"/>
    <w:rsid w:val="007C672C"/>
    <w:rsid w:val="007C6872"/>
    <w:rsid w:val="007C7179"/>
    <w:rsid w:val="007C72C2"/>
    <w:rsid w:val="007D08B9"/>
    <w:rsid w:val="007D1189"/>
    <w:rsid w:val="007D2647"/>
    <w:rsid w:val="007D3A70"/>
    <w:rsid w:val="007D3F00"/>
    <w:rsid w:val="007D51B4"/>
    <w:rsid w:val="007D5AE6"/>
    <w:rsid w:val="007D6069"/>
    <w:rsid w:val="007D6BC6"/>
    <w:rsid w:val="007D70E5"/>
    <w:rsid w:val="007E007E"/>
    <w:rsid w:val="007E0690"/>
    <w:rsid w:val="007E1284"/>
    <w:rsid w:val="007E26FB"/>
    <w:rsid w:val="007E3DBA"/>
    <w:rsid w:val="007E4A0B"/>
    <w:rsid w:val="007E4BF6"/>
    <w:rsid w:val="007E4CB3"/>
    <w:rsid w:val="007E4D96"/>
    <w:rsid w:val="007E6DAB"/>
    <w:rsid w:val="007F11EB"/>
    <w:rsid w:val="007F1839"/>
    <w:rsid w:val="007F243F"/>
    <w:rsid w:val="007F28B9"/>
    <w:rsid w:val="007F2D69"/>
    <w:rsid w:val="007F301F"/>
    <w:rsid w:val="007F39F4"/>
    <w:rsid w:val="007F48E0"/>
    <w:rsid w:val="007F568C"/>
    <w:rsid w:val="007F65AA"/>
    <w:rsid w:val="007F6E46"/>
    <w:rsid w:val="00800217"/>
    <w:rsid w:val="00800BAA"/>
    <w:rsid w:val="00801861"/>
    <w:rsid w:val="00801C21"/>
    <w:rsid w:val="00801E59"/>
    <w:rsid w:val="00802934"/>
    <w:rsid w:val="00802DF5"/>
    <w:rsid w:val="00805D20"/>
    <w:rsid w:val="00805DFB"/>
    <w:rsid w:val="00805F07"/>
    <w:rsid w:val="008063D5"/>
    <w:rsid w:val="008068C0"/>
    <w:rsid w:val="00807429"/>
    <w:rsid w:val="00807C13"/>
    <w:rsid w:val="00807CDB"/>
    <w:rsid w:val="0080C045"/>
    <w:rsid w:val="008100F6"/>
    <w:rsid w:val="00810730"/>
    <w:rsid w:val="00810E11"/>
    <w:rsid w:val="00811206"/>
    <w:rsid w:val="00811F09"/>
    <w:rsid w:val="00811F2F"/>
    <w:rsid w:val="0081214C"/>
    <w:rsid w:val="008128EF"/>
    <w:rsid w:val="00812A8E"/>
    <w:rsid w:val="00813945"/>
    <w:rsid w:val="008142FC"/>
    <w:rsid w:val="00814889"/>
    <w:rsid w:val="00814AD9"/>
    <w:rsid w:val="00814B88"/>
    <w:rsid w:val="00814CE6"/>
    <w:rsid w:val="00814F35"/>
    <w:rsid w:val="008150B1"/>
    <w:rsid w:val="008165EE"/>
    <w:rsid w:val="0081718C"/>
    <w:rsid w:val="008174E7"/>
    <w:rsid w:val="008177DF"/>
    <w:rsid w:val="00817923"/>
    <w:rsid w:val="00820E95"/>
    <w:rsid w:val="00821044"/>
    <w:rsid w:val="00821AAA"/>
    <w:rsid w:val="0082384B"/>
    <w:rsid w:val="008246E3"/>
    <w:rsid w:val="0082472D"/>
    <w:rsid w:val="00824D39"/>
    <w:rsid w:val="00825D33"/>
    <w:rsid w:val="00825D72"/>
    <w:rsid w:val="0082644B"/>
    <w:rsid w:val="0082656D"/>
    <w:rsid w:val="008266C9"/>
    <w:rsid w:val="008273B9"/>
    <w:rsid w:val="00827627"/>
    <w:rsid w:val="00827F44"/>
    <w:rsid w:val="00830AE9"/>
    <w:rsid w:val="00830F47"/>
    <w:rsid w:val="00832853"/>
    <w:rsid w:val="00833414"/>
    <w:rsid w:val="00834630"/>
    <w:rsid w:val="00834D44"/>
    <w:rsid w:val="008351AA"/>
    <w:rsid w:val="0083541C"/>
    <w:rsid w:val="008361EC"/>
    <w:rsid w:val="00836FA3"/>
    <w:rsid w:val="008370DF"/>
    <w:rsid w:val="00840193"/>
    <w:rsid w:val="008407A8"/>
    <w:rsid w:val="00840A61"/>
    <w:rsid w:val="00841792"/>
    <w:rsid w:val="00841A78"/>
    <w:rsid w:val="00841D41"/>
    <w:rsid w:val="0084244D"/>
    <w:rsid w:val="008429FB"/>
    <w:rsid w:val="00842DC5"/>
    <w:rsid w:val="00843B6F"/>
    <w:rsid w:val="0084459A"/>
    <w:rsid w:val="008447F4"/>
    <w:rsid w:val="00844C5A"/>
    <w:rsid w:val="00846119"/>
    <w:rsid w:val="0084734C"/>
    <w:rsid w:val="008478CE"/>
    <w:rsid w:val="00850544"/>
    <w:rsid w:val="00851404"/>
    <w:rsid w:val="008519F7"/>
    <w:rsid w:val="00851B75"/>
    <w:rsid w:val="00851C83"/>
    <w:rsid w:val="00852685"/>
    <w:rsid w:val="00852B47"/>
    <w:rsid w:val="008540A2"/>
    <w:rsid w:val="008545BD"/>
    <w:rsid w:val="00855780"/>
    <w:rsid w:val="008563F9"/>
    <w:rsid w:val="00856D57"/>
    <w:rsid w:val="0086013C"/>
    <w:rsid w:val="0086021E"/>
    <w:rsid w:val="00860339"/>
    <w:rsid w:val="00861537"/>
    <w:rsid w:val="00861D1C"/>
    <w:rsid w:val="00861EDE"/>
    <w:rsid w:val="00862087"/>
    <w:rsid w:val="00862146"/>
    <w:rsid w:val="0086217A"/>
    <w:rsid w:val="00862977"/>
    <w:rsid w:val="00862D37"/>
    <w:rsid w:val="00863F28"/>
    <w:rsid w:val="008644A0"/>
    <w:rsid w:val="00864997"/>
    <w:rsid w:val="008649EE"/>
    <w:rsid w:val="00864B63"/>
    <w:rsid w:val="00864C40"/>
    <w:rsid w:val="00864E98"/>
    <w:rsid w:val="008653BB"/>
    <w:rsid w:val="008665E6"/>
    <w:rsid w:val="00866FAA"/>
    <w:rsid w:val="008673B9"/>
    <w:rsid w:val="008674A4"/>
    <w:rsid w:val="0086CB96"/>
    <w:rsid w:val="00870021"/>
    <w:rsid w:val="00870090"/>
    <w:rsid w:val="008702FB"/>
    <w:rsid w:val="008703F7"/>
    <w:rsid w:val="008704BD"/>
    <w:rsid w:val="00870B9B"/>
    <w:rsid w:val="008712D5"/>
    <w:rsid w:val="008715D9"/>
    <w:rsid w:val="008722F9"/>
    <w:rsid w:val="00872588"/>
    <w:rsid w:val="0087280D"/>
    <w:rsid w:val="00872E3E"/>
    <w:rsid w:val="008733B5"/>
    <w:rsid w:val="00873F6F"/>
    <w:rsid w:val="00873FAD"/>
    <w:rsid w:val="008741DE"/>
    <w:rsid w:val="00874314"/>
    <w:rsid w:val="008757C4"/>
    <w:rsid w:val="00875820"/>
    <w:rsid w:val="008759F3"/>
    <w:rsid w:val="008762A7"/>
    <w:rsid w:val="00877304"/>
    <w:rsid w:val="00877C45"/>
    <w:rsid w:val="0088011F"/>
    <w:rsid w:val="008809B7"/>
    <w:rsid w:val="008816F8"/>
    <w:rsid w:val="00882565"/>
    <w:rsid w:val="0088258C"/>
    <w:rsid w:val="008825FE"/>
    <w:rsid w:val="008829B8"/>
    <w:rsid w:val="00882AD6"/>
    <w:rsid w:val="008835E1"/>
    <w:rsid w:val="008847DE"/>
    <w:rsid w:val="00884FF3"/>
    <w:rsid w:val="008857E4"/>
    <w:rsid w:val="00886D1B"/>
    <w:rsid w:val="00887825"/>
    <w:rsid w:val="00890C2D"/>
    <w:rsid w:val="00890DD3"/>
    <w:rsid w:val="00891387"/>
    <w:rsid w:val="008913B4"/>
    <w:rsid w:val="0089152F"/>
    <w:rsid w:val="0089264E"/>
    <w:rsid w:val="008926EB"/>
    <w:rsid w:val="008929D0"/>
    <w:rsid w:val="00892AC5"/>
    <w:rsid w:val="00893402"/>
    <w:rsid w:val="008935BB"/>
    <w:rsid w:val="00893B9F"/>
    <w:rsid w:val="0089450C"/>
    <w:rsid w:val="00894DE6"/>
    <w:rsid w:val="00894E91"/>
    <w:rsid w:val="00895124"/>
    <w:rsid w:val="00895DE1"/>
    <w:rsid w:val="00895F8F"/>
    <w:rsid w:val="008A1365"/>
    <w:rsid w:val="008A1518"/>
    <w:rsid w:val="008A1998"/>
    <w:rsid w:val="008A1A41"/>
    <w:rsid w:val="008A25DD"/>
    <w:rsid w:val="008A2B70"/>
    <w:rsid w:val="008A2F99"/>
    <w:rsid w:val="008A36DC"/>
    <w:rsid w:val="008A3C50"/>
    <w:rsid w:val="008A42F9"/>
    <w:rsid w:val="008A5806"/>
    <w:rsid w:val="008A5EAA"/>
    <w:rsid w:val="008A6207"/>
    <w:rsid w:val="008A6623"/>
    <w:rsid w:val="008AFBBE"/>
    <w:rsid w:val="008B0DF6"/>
    <w:rsid w:val="008B12C2"/>
    <w:rsid w:val="008B1830"/>
    <w:rsid w:val="008B27A9"/>
    <w:rsid w:val="008B285B"/>
    <w:rsid w:val="008B3209"/>
    <w:rsid w:val="008B38F3"/>
    <w:rsid w:val="008B4170"/>
    <w:rsid w:val="008B48BF"/>
    <w:rsid w:val="008B5577"/>
    <w:rsid w:val="008B55DB"/>
    <w:rsid w:val="008B6310"/>
    <w:rsid w:val="008B635C"/>
    <w:rsid w:val="008B69B3"/>
    <w:rsid w:val="008B6C19"/>
    <w:rsid w:val="008C0606"/>
    <w:rsid w:val="008C1279"/>
    <w:rsid w:val="008C15A5"/>
    <w:rsid w:val="008C1DE9"/>
    <w:rsid w:val="008C21DA"/>
    <w:rsid w:val="008C2962"/>
    <w:rsid w:val="008C3036"/>
    <w:rsid w:val="008C317B"/>
    <w:rsid w:val="008C3596"/>
    <w:rsid w:val="008C37FC"/>
    <w:rsid w:val="008C42D7"/>
    <w:rsid w:val="008C441B"/>
    <w:rsid w:val="008C4CED"/>
    <w:rsid w:val="008C53A8"/>
    <w:rsid w:val="008C5482"/>
    <w:rsid w:val="008C59F7"/>
    <w:rsid w:val="008C5A62"/>
    <w:rsid w:val="008C5B54"/>
    <w:rsid w:val="008C6352"/>
    <w:rsid w:val="008C6F26"/>
    <w:rsid w:val="008C7272"/>
    <w:rsid w:val="008C7E36"/>
    <w:rsid w:val="008D073A"/>
    <w:rsid w:val="008D1403"/>
    <w:rsid w:val="008D21A1"/>
    <w:rsid w:val="008D32A3"/>
    <w:rsid w:val="008D39A5"/>
    <w:rsid w:val="008D3B37"/>
    <w:rsid w:val="008D3FA7"/>
    <w:rsid w:val="008D412C"/>
    <w:rsid w:val="008D41F1"/>
    <w:rsid w:val="008D4760"/>
    <w:rsid w:val="008D4C8E"/>
    <w:rsid w:val="008D4CF4"/>
    <w:rsid w:val="008D5148"/>
    <w:rsid w:val="008D5BE1"/>
    <w:rsid w:val="008D6510"/>
    <w:rsid w:val="008D66E8"/>
    <w:rsid w:val="008D6889"/>
    <w:rsid w:val="008D6BA5"/>
    <w:rsid w:val="008D7636"/>
    <w:rsid w:val="008D76DB"/>
    <w:rsid w:val="008D7A5E"/>
    <w:rsid w:val="008E0704"/>
    <w:rsid w:val="008E0897"/>
    <w:rsid w:val="008E08E8"/>
    <w:rsid w:val="008E0F2F"/>
    <w:rsid w:val="008E1342"/>
    <w:rsid w:val="008E2DB3"/>
    <w:rsid w:val="008E2E10"/>
    <w:rsid w:val="008E2E6B"/>
    <w:rsid w:val="008E35DE"/>
    <w:rsid w:val="008E378C"/>
    <w:rsid w:val="008E3E67"/>
    <w:rsid w:val="008E41C5"/>
    <w:rsid w:val="008E41CD"/>
    <w:rsid w:val="008E4857"/>
    <w:rsid w:val="008E4BA6"/>
    <w:rsid w:val="008E58A5"/>
    <w:rsid w:val="008E5B0B"/>
    <w:rsid w:val="008E5D6B"/>
    <w:rsid w:val="008E656A"/>
    <w:rsid w:val="008E656C"/>
    <w:rsid w:val="008E6F85"/>
    <w:rsid w:val="008E71C9"/>
    <w:rsid w:val="008E75E0"/>
    <w:rsid w:val="008EBC55"/>
    <w:rsid w:val="008F05D3"/>
    <w:rsid w:val="008F06C8"/>
    <w:rsid w:val="008F0C0D"/>
    <w:rsid w:val="008F0C5D"/>
    <w:rsid w:val="008F1A21"/>
    <w:rsid w:val="008F25DD"/>
    <w:rsid w:val="008F29F3"/>
    <w:rsid w:val="008F350B"/>
    <w:rsid w:val="008F3911"/>
    <w:rsid w:val="008F5354"/>
    <w:rsid w:val="008F5F83"/>
    <w:rsid w:val="008F6234"/>
    <w:rsid w:val="008F6851"/>
    <w:rsid w:val="008F6A73"/>
    <w:rsid w:val="008F6F4E"/>
    <w:rsid w:val="008F742A"/>
    <w:rsid w:val="008F78C1"/>
    <w:rsid w:val="00901131"/>
    <w:rsid w:val="00901423"/>
    <w:rsid w:val="00901B53"/>
    <w:rsid w:val="00903BA1"/>
    <w:rsid w:val="00903C34"/>
    <w:rsid w:val="00903DD8"/>
    <w:rsid w:val="0090495A"/>
    <w:rsid w:val="00904CBF"/>
    <w:rsid w:val="00905244"/>
    <w:rsid w:val="00905746"/>
    <w:rsid w:val="00905EBA"/>
    <w:rsid w:val="009061D0"/>
    <w:rsid w:val="00906434"/>
    <w:rsid w:val="009064DB"/>
    <w:rsid w:val="00906A44"/>
    <w:rsid w:val="00906DB0"/>
    <w:rsid w:val="00906E6A"/>
    <w:rsid w:val="00907943"/>
    <w:rsid w:val="00907D2D"/>
    <w:rsid w:val="00910F42"/>
    <w:rsid w:val="00911134"/>
    <w:rsid w:val="00911638"/>
    <w:rsid w:val="0091168B"/>
    <w:rsid w:val="00911E9F"/>
    <w:rsid w:val="00912267"/>
    <w:rsid w:val="00912407"/>
    <w:rsid w:val="00912441"/>
    <w:rsid w:val="0091250B"/>
    <w:rsid w:val="009125FC"/>
    <w:rsid w:val="00912A8A"/>
    <w:rsid w:val="00912A93"/>
    <w:rsid w:val="00912B5D"/>
    <w:rsid w:val="00914637"/>
    <w:rsid w:val="00915335"/>
    <w:rsid w:val="00915765"/>
    <w:rsid w:val="00920F7F"/>
    <w:rsid w:val="00921595"/>
    <w:rsid w:val="009215A2"/>
    <w:rsid w:val="009239DF"/>
    <w:rsid w:val="00925621"/>
    <w:rsid w:val="00925F65"/>
    <w:rsid w:val="0092690C"/>
    <w:rsid w:val="00926B1F"/>
    <w:rsid w:val="00927C05"/>
    <w:rsid w:val="00927C48"/>
    <w:rsid w:val="00930BD4"/>
    <w:rsid w:val="00930F57"/>
    <w:rsid w:val="009314DF"/>
    <w:rsid w:val="009317B4"/>
    <w:rsid w:val="00931BFE"/>
    <w:rsid w:val="0093222B"/>
    <w:rsid w:val="00932311"/>
    <w:rsid w:val="00932438"/>
    <w:rsid w:val="009327A4"/>
    <w:rsid w:val="00932814"/>
    <w:rsid w:val="00932F9D"/>
    <w:rsid w:val="0093303A"/>
    <w:rsid w:val="00934AC5"/>
    <w:rsid w:val="009357A9"/>
    <w:rsid w:val="00936CF6"/>
    <w:rsid w:val="009378DC"/>
    <w:rsid w:val="00937A19"/>
    <w:rsid w:val="00937ADB"/>
    <w:rsid w:val="00937D0E"/>
    <w:rsid w:val="0093B671"/>
    <w:rsid w:val="00940548"/>
    <w:rsid w:val="009406B6"/>
    <w:rsid w:val="00940A52"/>
    <w:rsid w:val="00940BD3"/>
    <w:rsid w:val="00942D9E"/>
    <w:rsid w:val="0094419F"/>
    <w:rsid w:val="00944664"/>
    <w:rsid w:val="0094499D"/>
    <w:rsid w:val="00945433"/>
    <w:rsid w:val="009459F5"/>
    <w:rsid w:val="00945BDC"/>
    <w:rsid w:val="009462AE"/>
    <w:rsid w:val="00946464"/>
    <w:rsid w:val="00946495"/>
    <w:rsid w:val="009464C6"/>
    <w:rsid w:val="009464DE"/>
    <w:rsid w:val="00946F74"/>
    <w:rsid w:val="00947774"/>
    <w:rsid w:val="009478D3"/>
    <w:rsid w:val="009500C1"/>
    <w:rsid w:val="009512BB"/>
    <w:rsid w:val="00951547"/>
    <w:rsid w:val="009524BD"/>
    <w:rsid w:val="0095261D"/>
    <w:rsid w:val="0095335C"/>
    <w:rsid w:val="009538C0"/>
    <w:rsid w:val="00953C53"/>
    <w:rsid w:val="00954748"/>
    <w:rsid w:val="00954BC3"/>
    <w:rsid w:val="00954E71"/>
    <w:rsid w:val="00955510"/>
    <w:rsid w:val="0095625F"/>
    <w:rsid w:val="009563CF"/>
    <w:rsid w:val="00957485"/>
    <w:rsid w:val="0095750D"/>
    <w:rsid w:val="00957704"/>
    <w:rsid w:val="00957FBD"/>
    <w:rsid w:val="00960B7E"/>
    <w:rsid w:val="00960E4F"/>
    <w:rsid w:val="009624FE"/>
    <w:rsid w:val="00963111"/>
    <w:rsid w:val="00963DC5"/>
    <w:rsid w:val="00966277"/>
    <w:rsid w:val="00970428"/>
    <w:rsid w:val="009704D1"/>
    <w:rsid w:val="0097052A"/>
    <w:rsid w:val="009705FA"/>
    <w:rsid w:val="009708F5"/>
    <w:rsid w:val="00970F87"/>
    <w:rsid w:val="009711B6"/>
    <w:rsid w:val="00971E19"/>
    <w:rsid w:val="0097262B"/>
    <w:rsid w:val="00973547"/>
    <w:rsid w:val="00973AC1"/>
    <w:rsid w:val="00974A94"/>
    <w:rsid w:val="0097515C"/>
    <w:rsid w:val="009754F2"/>
    <w:rsid w:val="009758A8"/>
    <w:rsid w:val="00975A08"/>
    <w:rsid w:val="00975E73"/>
    <w:rsid w:val="00976D14"/>
    <w:rsid w:val="00976DE4"/>
    <w:rsid w:val="00980090"/>
    <w:rsid w:val="0098060D"/>
    <w:rsid w:val="00980CA2"/>
    <w:rsid w:val="00981A81"/>
    <w:rsid w:val="009824EC"/>
    <w:rsid w:val="00982506"/>
    <w:rsid w:val="00982550"/>
    <w:rsid w:val="00983384"/>
    <w:rsid w:val="00984021"/>
    <w:rsid w:val="009848F1"/>
    <w:rsid w:val="00985210"/>
    <w:rsid w:val="0098616C"/>
    <w:rsid w:val="009864A0"/>
    <w:rsid w:val="00986507"/>
    <w:rsid w:val="009875A0"/>
    <w:rsid w:val="00987A6B"/>
    <w:rsid w:val="00987F26"/>
    <w:rsid w:val="0099000B"/>
    <w:rsid w:val="00990029"/>
    <w:rsid w:val="009909B7"/>
    <w:rsid w:val="00990E56"/>
    <w:rsid w:val="00991227"/>
    <w:rsid w:val="00991FC5"/>
    <w:rsid w:val="00992717"/>
    <w:rsid w:val="00993860"/>
    <w:rsid w:val="009941DD"/>
    <w:rsid w:val="00994526"/>
    <w:rsid w:val="00994A5F"/>
    <w:rsid w:val="00994D57"/>
    <w:rsid w:val="00995C6A"/>
    <w:rsid w:val="00995DE6"/>
    <w:rsid w:val="00996F0C"/>
    <w:rsid w:val="00997A9B"/>
    <w:rsid w:val="00997C53"/>
    <w:rsid w:val="009A2180"/>
    <w:rsid w:val="009A2532"/>
    <w:rsid w:val="009A2A88"/>
    <w:rsid w:val="009A2BD4"/>
    <w:rsid w:val="009A2FA7"/>
    <w:rsid w:val="009A3188"/>
    <w:rsid w:val="009A3309"/>
    <w:rsid w:val="009A3704"/>
    <w:rsid w:val="009A3C17"/>
    <w:rsid w:val="009A4017"/>
    <w:rsid w:val="009A4304"/>
    <w:rsid w:val="009A4348"/>
    <w:rsid w:val="009A464A"/>
    <w:rsid w:val="009A47E2"/>
    <w:rsid w:val="009A5661"/>
    <w:rsid w:val="009A61EF"/>
    <w:rsid w:val="009A658C"/>
    <w:rsid w:val="009A6A8B"/>
    <w:rsid w:val="009A7114"/>
    <w:rsid w:val="009A720F"/>
    <w:rsid w:val="009A7290"/>
    <w:rsid w:val="009A72DA"/>
    <w:rsid w:val="009A767E"/>
    <w:rsid w:val="009A77A0"/>
    <w:rsid w:val="009B0B28"/>
    <w:rsid w:val="009B0D5F"/>
    <w:rsid w:val="009B1137"/>
    <w:rsid w:val="009B189C"/>
    <w:rsid w:val="009B1D5B"/>
    <w:rsid w:val="009B2144"/>
    <w:rsid w:val="009B2371"/>
    <w:rsid w:val="009B2779"/>
    <w:rsid w:val="009B2A12"/>
    <w:rsid w:val="009B5D5F"/>
    <w:rsid w:val="009B6936"/>
    <w:rsid w:val="009B7EE4"/>
    <w:rsid w:val="009C0080"/>
    <w:rsid w:val="009C0CBD"/>
    <w:rsid w:val="009C115C"/>
    <w:rsid w:val="009C133A"/>
    <w:rsid w:val="009C18E0"/>
    <w:rsid w:val="009C2380"/>
    <w:rsid w:val="009C28C8"/>
    <w:rsid w:val="009C312F"/>
    <w:rsid w:val="009C3948"/>
    <w:rsid w:val="009C41B0"/>
    <w:rsid w:val="009C496C"/>
    <w:rsid w:val="009C5B8D"/>
    <w:rsid w:val="009C626B"/>
    <w:rsid w:val="009C6B7E"/>
    <w:rsid w:val="009C6C87"/>
    <w:rsid w:val="009C6EEC"/>
    <w:rsid w:val="009C76A6"/>
    <w:rsid w:val="009C7AEE"/>
    <w:rsid w:val="009D0E26"/>
    <w:rsid w:val="009D128F"/>
    <w:rsid w:val="009D1372"/>
    <w:rsid w:val="009D1479"/>
    <w:rsid w:val="009D1C21"/>
    <w:rsid w:val="009D1D2C"/>
    <w:rsid w:val="009D2C07"/>
    <w:rsid w:val="009D2E8A"/>
    <w:rsid w:val="009D3270"/>
    <w:rsid w:val="009D43AC"/>
    <w:rsid w:val="009D6A57"/>
    <w:rsid w:val="009D7974"/>
    <w:rsid w:val="009D7A9C"/>
    <w:rsid w:val="009D7ABD"/>
    <w:rsid w:val="009E07EE"/>
    <w:rsid w:val="009E1DBD"/>
    <w:rsid w:val="009E2CE3"/>
    <w:rsid w:val="009E3355"/>
    <w:rsid w:val="009E33C4"/>
    <w:rsid w:val="009E3CFD"/>
    <w:rsid w:val="009E3EED"/>
    <w:rsid w:val="009E4AD5"/>
    <w:rsid w:val="009E5109"/>
    <w:rsid w:val="009E6A64"/>
    <w:rsid w:val="009E6BB1"/>
    <w:rsid w:val="009E7E23"/>
    <w:rsid w:val="009E7E6D"/>
    <w:rsid w:val="009F0D23"/>
    <w:rsid w:val="009F1496"/>
    <w:rsid w:val="009F19E3"/>
    <w:rsid w:val="009F258A"/>
    <w:rsid w:val="009F2B26"/>
    <w:rsid w:val="009F307A"/>
    <w:rsid w:val="009F3372"/>
    <w:rsid w:val="009F3C7A"/>
    <w:rsid w:val="009F4089"/>
    <w:rsid w:val="009F4116"/>
    <w:rsid w:val="009F517A"/>
    <w:rsid w:val="009F576F"/>
    <w:rsid w:val="009F5B15"/>
    <w:rsid w:val="009F6284"/>
    <w:rsid w:val="009F6AA6"/>
    <w:rsid w:val="009F76B1"/>
    <w:rsid w:val="009F773C"/>
    <w:rsid w:val="009F78D8"/>
    <w:rsid w:val="00A00CB1"/>
    <w:rsid w:val="00A00F61"/>
    <w:rsid w:val="00A0176E"/>
    <w:rsid w:val="00A01CB2"/>
    <w:rsid w:val="00A04D07"/>
    <w:rsid w:val="00A066DF"/>
    <w:rsid w:val="00A06973"/>
    <w:rsid w:val="00A06FEF"/>
    <w:rsid w:val="00A07C3B"/>
    <w:rsid w:val="00A07D22"/>
    <w:rsid w:val="00A104E4"/>
    <w:rsid w:val="00A10DFB"/>
    <w:rsid w:val="00A10EB5"/>
    <w:rsid w:val="00A11CDB"/>
    <w:rsid w:val="00A12165"/>
    <w:rsid w:val="00A12949"/>
    <w:rsid w:val="00A134CB"/>
    <w:rsid w:val="00A14636"/>
    <w:rsid w:val="00A14EB3"/>
    <w:rsid w:val="00A15694"/>
    <w:rsid w:val="00A15FDB"/>
    <w:rsid w:val="00A1603D"/>
    <w:rsid w:val="00A168D9"/>
    <w:rsid w:val="00A16BA9"/>
    <w:rsid w:val="00A1745E"/>
    <w:rsid w:val="00A17B06"/>
    <w:rsid w:val="00A17EFC"/>
    <w:rsid w:val="00A209C9"/>
    <w:rsid w:val="00A218BC"/>
    <w:rsid w:val="00A2193F"/>
    <w:rsid w:val="00A2251F"/>
    <w:rsid w:val="00A22619"/>
    <w:rsid w:val="00A23399"/>
    <w:rsid w:val="00A2379E"/>
    <w:rsid w:val="00A237A4"/>
    <w:rsid w:val="00A25781"/>
    <w:rsid w:val="00A25883"/>
    <w:rsid w:val="00A25ECA"/>
    <w:rsid w:val="00A268FA"/>
    <w:rsid w:val="00A27085"/>
    <w:rsid w:val="00A27249"/>
    <w:rsid w:val="00A273D9"/>
    <w:rsid w:val="00A28562"/>
    <w:rsid w:val="00A306D4"/>
    <w:rsid w:val="00A30A90"/>
    <w:rsid w:val="00A30F65"/>
    <w:rsid w:val="00A31219"/>
    <w:rsid w:val="00A318BD"/>
    <w:rsid w:val="00A31B54"/>
    <w:rsid w:val="00A31DCD"/>
    <w:rsid w:val="00A32C6B"/>
    <w:rsid w:val="00A32EB4"/>
    <w:rsid w:val="00A33B0F"/>
    <w:rsid w:val="00A33DD4"/>
    <w:rsid w:val="00A33E4A"/>
    <w:rsid w:val="00A33F4F"/>
    <w:rsid w:val="00A3502F"/>
    <w:rsid w:val="00A3628B"/>
    <w:rsid w:val="00A36BC4"/>
    <w:rsid w:val="00A372EA"/>
    <w:rsid w:val="00A37CC7"/>
    <w:rsid w:val="00A40554"/>
    <w:rsid w:val="00A409B3"/>
    <w:rsid w:val="00A40BD0"/>
    <w:rsid w:val="00A40D4F"/>
    <w:rsid w:val="00A40F6D"/>
    <w:rsid w:val="00A41230"/>
    <w:rsid w:val="00A4164F"/>
    <w:rsid w:val="00A418B3"/>
    <w:rsid w:val="00A42C5A"/>
    <w:rsid w:val="00A42D96"/>
    <w:rsid w:val="00A440A3"/>
    <w:rsid w:val="00A441DF"/>
    <w:rsid w:val="00A4474A"/>
    <w:rsid w:val="00A44F34"/>
    <w:rsid w:val="00A4586D"/>
    <w:rsid w:val="00A45ADC"/>
    <w:rsid w:val="00A45E4D"/>
    <w:rsid w:val="00A45EFD"/>
    <w:rsid w:val="00A467AF"/>
    <w:rsid w:val="00A46F77"/>
    <w:rsid w:val="00A479DD"/>
    <w:rsid w:val="00A47B21"/>
    <w:rsid w:val="00A503C7"/>
    <w:rsid w:val="00A50EC3"/>
    <w:rsid w:val="00A511B9"/>
    <w:rsid w:val="00A51375"/>
    <w:rsid w:val="00A519B8"/>
    <w:rsid w:val="00A51FD3"/>
    <w:rsid w:val="00A5283E"/>
    <w:rsid w:val="00A53350"/>
    <w:rsid w:val="00A53AF7"/>
    <w:rsid w:val="00A53CE5"/>
    <w:rsid w:val="00A54321"/>
    <w:rsid w:val="00A545D6"/>
    <w:rsid w:val="00A57348"/>
    <w:rsid w:val="00A57883"/>
    <w:rsid w:val="00A579A7"/>
    <w:rsid w:val="00A6041B"/>
    <w:rsid w:val="00A60462"/>
    <w:rsid w:val="00A60E19"/>
    <w:rsid w:val="00A613D2"/>
    <w:rsid w:val="00A62235"/>
    <w:rsid w:val="00A62408"/>
    <w:rsid w:val="00A62496"/>
    <w:rsid w:val="00A6253B"/>
    <w:rsid w:val="00A62861"/>
    <w:rsid w:val="00A62CD4"/>
    <w:rsid w:val="00A62D42"/>
    <w:rsid w:val="00A62DF6"/>
    <w:rsid w:val="00A63A05"/>
    <w:rsid w:val="00A63E7A"/>
    <w:rsid w:val="00A64253"/>
    <w:rsid w:val="00A644D5"/>
    <w:rsid w:val="00A64AF9"/>
    <w:rsid w:val="00A64C50"/>
    <w:rsid w:val="00A662D4"/>
    <w:rsid w:val="00A6670F"/>
    <w:rsid w:val="00A66982"/>
    <w:rsid w:val="00A66C71"/>
    <w:rsid w:val="00A66E73"/>
    <w:rsid w:val="00A66ECA"/>
    <w:rsid w:val="00A67501"/>
    <w:rsid w:val="00A67E41"/>
    <w:rsid w:val="00A71560"/>
    <w:rsid w:val="00A7160A"/>
    <w:rsid w:val="00A726A1"/>
    <w:rsid w:val="00A72B3D"/>
    <w:rsid w:val="00A72DF1"/>
    <w:rsid w:val="00A73CCF"/>
    <w:rsid w:val="00A73F88"/>
    <w:rsid w:val="00A75119"/>
    <w:rsid w:val="00A75542"/>
    <w:rsid w:val="00A7602C"/>
    <w:rsid w:val="00A771E2"/>
    <w:rsid w:val="00A77CDA"/>
    <w:rsid w:val="00A80336"/>
    <w:rsid w:val="00A810C6"/>
    <w:rsid w:val="00A817B7"/>
    <w:rsid w:val="00A81B04"/>
    <w:rsid w:val="00A82A14"/>
    <w:rsid w:val="00A83258"/>
    <w:rsid w:val="00A83ADF"/>
    <w:rsid w:val="00A841F3"/>
    <w:rsid w:val="00A844CF"/>
    <w:rsid w:val="00A85F1E"/>
    <w:rsid w:val="00A86531"/>
    <w:rsid w:val="00A86CFC"/>
    <w:rsid w:val="00A870CE"/>
    <w:rsid w:val="00A9039B"/>
    <w:rsid w:val="00A907B5"/>
    <w:rsid w:val="00A90CFF"/>
    <w:rsid w:val="00A90E21"/>
    <w:rsid w:val="00A90F94"/>
    <w:rsid w:val="00A9112B"/>
    <w:rsid w:val="00A91C0C"/>
    <w:rsid w:val="00A923CB"/>
    <w:rsid w:val="00A93BC0"/>
    <w:rsid w:val="00A93EAB"/>
    <w:rsid w:val="00A94715"/>
    <w:rsid w:val="00A94C08"/>
    <w:rsid w:val="00A94EF4"/>
    <w:rsid w:val="00A951D2"/>
    <w:rsid w:val="00A958E8"/>
    <w:rsid w:val="00A95928"/>
    <w:rsid w:val="00A959DF"/>
    <w:rsid w:val="00A97F91"/>
    <w:rsid w:val="00AA0422"/>
    <w:rsid w:val="00AA0460"/>
    <w:rsid w:val="00AA05F2"/>
    <w:rsid w:val="00AA0AC0"/>
    <w:rsid w:val="00AA0B0E"/>
    <w:rsid w:val="00AA0C0D"/>
    <w:rsid w:val="00AA120C"/>
    <w:rsid w:val="00AA14B6"/>
    <w:rsid w:val="00AA171A"/>
    <w:rsid w:val="00AA2A1F"/>
    <w:rsid w:val="00AA3504"/>
    <w:rsid w:val="00AA43CE"/>
    <w:rsid w:val="00AA4FDA"/>
    <w:rsid w:val="00AA5C09"/>
    <w:rsid w:val="00AA6017"/>
    <w:rsid w:val="00AA7799"/>
    <w:rsid w:val="00AA7CFF"/>
    <w:rsid w:val="00AAA1DE"/>
    <w:rsid w:val="00AB045D"/>
    <w:rsid w:val="00AB09A8"/>
    <w:rsid w:val="00AB0C7F"/>
    <w:rsid w:val="00AB111B"/>
    <w:rsid w:val="00AB1415"/>
    <w:rsid w:val="00AB2080"/>
    <w:rsid w:val="00AB271C"/>
    <w:rsid w:val="00AB327C"/>
    <w:rsid w:val="00AB3A4A"/>
    <w:rsid w:val="00AB3F01"/>
    <w:rsid w:val="00AB42B3"/>
    <w:rsid w:val="00AB48F8"/>
    <w:rsid w:val="00AB571E"/>
    <w:rsid w:val="00AB7600"/>
    <w:rsid w:val="00AB7B0D"/>
    <w:rsid w:val="00AB8D9A"/>
    <w:rsid w:val="00ABF9E4"/>
    <w:rsid w:val="00AC074D"/>
    <w:rsid w:val="00AC1C3A"/>
    <w:rsid w:val="00AC22D7"/>
    <w:rsid w:val="00AC3383"/>
    <w:rsid w:val="00AC36AF"/>
    <w:rsid w:val="00AC3C8D"/>
    <w:rsid w:val="00AC418E"/>
    <w:rsid w:val="00AC41C3"/>
    <w:rsid w:val="00AC44D0"/>
    <w:rsid w:val="00AC5096"/>
    <w:rsid w:val="00AC646E"/>
    <w:rsid w:val="00AC707A"/>
    <w:rsid w:val="00AC73CE"/>
    <w:rsid w:val="00AC7E77"/>
    <w:rsid w:val="00AD00D7"/>
    <w:rsid w:val="00AD0119"/>
    <w:rsid w:val="00AD1E06"/>
    <w:rsid w:val="00AD2B79"/>
    <w:rsid w:val="00AD4608"/>
    <w:rsid w:val="00AD52D6"/>
    <w:rsid w:val="00AD675A"/>
    <w:rsid w:val="00AD6B78"/>
    <w:rsid w:val="00AD6C91"/>
    <w:rsid w:val="00AD727C"/>
    <w:rsid w:val="00AD75C1"/>
    <w:rsid w:val="00AD76F3"/>
    <w:rsid w:val="00AE08A6"/>
    <w:rsid w:val="00AE105B"/>
    <w:rsid w:val="00AE1183"/>
    <w:rsid w:val="00AE16CD"/>
    <w:rsid w:val="00AE32BA"/>
    <w:rsid w:val="00AE3A79"/>
    <w:rsid w:val="00AE3C25"/>
    <w:rsid w:val="00AE3E7C"/>
    <w:rsid w:val="00AE472B"/>
    <w:rsid w:val="00AE5294"/>
    <w:rsid w:val="00AE537F"/>
    <w:rsid w:val="00AE53EF"/>
    <w:rsid w:val="00AE57B6"/>
    <w:rsid w:val="00AE6CBE"/>
    <w:rsid w:val="00AE7AA3"/>
    <w:rsid w:val="00AE7EC3"/>
    <w:rsid w:val="00AEC25D"/>
    <w:rsid w:val="00AF03DB"/>
    <w:rsid w:val="00AF05D8"/>
    <w:rsid w:val="00AF06CF"/>
    <w:rsid w:val="00AF08D0"/>
    <w:rsid w:val="00AF0B5D"/>
    <w:rsid w:val="00AF0BDC"/>
    <w:rsid w:val="00AF1569"/>
    <w:rsid w:val="00AF2737"/>
    <w:rsid w:val="00AF3A01"/>
    <w:rsid w:val="00AF3D89"/>
    <w:rsid w:val="00AF43B7"/>
    <w:rsid w:val="00AF543D"/>
    <w:rsid w:val="00AF566D"/>
    <w:rsid w:val="00AF5C82"/>
    <w:rsid w:val="00AF7BEC"/>
    <w:rsid w:val="00AF7E80"/>
    <w:rsid w:val="00AF7F86"/>
    <w:rsid w:val="00B01806"/>
    <w:rsid w:val="00B01EE4"/>
    <w:rsid w:val="00B01F04"/>
    <w:rsid w:val="00B023AE"/>
    <w:rsid w:val="00B029BC"/>
    <w:rsid w:val="00B02B1F"/>
    <w:rsid w:val="00B02FD5"/>
    <w:rsid w:val="00B031EF"/>
    <w:rsid w:val="00B03572"/>
    <w:rsid w:val="00B03F9B"/>
    <w:rsid w:val="00B042E1"/>
    <w:rsid w:val="00B043FD"/>
    <w:rsid w:val="00B04D38"/>
    <w:rsid w:val="00B0521D"/>
    <w:rsid w:val="00B052A8"/>
    <w:rsid w:val="00B0544B"/>
    <w:rsid w:val="00B05904"/>
    <w:rsid w:val="00B0641C"/>
    <w:rsid w:val="00B07F8B"/>
    <w:rsid w:val="00B102C5"/>
    <w:rsid w:val="00B116E5"/>
    <w:rsid w:val="00B123FE"/>
    <w:rsid w:val="00B13AF3"/>
    <w:rsid w:val="00B1412B"/>
    <w:rsid w:val="00B146FB"/>
    <w:rsid w:val="00B1477D"/>
    <w:rsid w:val="00B14B4B"/>
    <w:rsid w:val="00B16791"/>
    <w:rsid w:val="00B17431"/>
    <w:rsid w:val="00B177F2"/>
    <w:rsid w:val="00B20664"/>
    <w:rsid w:val="00B206EE"/>
    <w:rsid w:val="00B21829"/>
    <w:rsid w:val="00B219C3"/>
    <w:rsid w:val="00B22592"/>
    <w:rsid w:val="00B2310F"/>
    <w:rsid w:val="00B234CC"/>
    <w:rsid w:val="00B239B6"/>
    <w:rsid w:val="00B23F82"/>
    <w:rsid w:val="00B246E0"/>
    <w:rsid w:val="00B255BB"/>
    <w:rsid w:val="00B25BCF"/>
    <w:rsid w:val="00B26FA3"/>
    <w:rsid w:val="00B277FC"/>
    <w:rsid w:val="00B27D3C"/>
    <w:rsid w:val="00B30A0B"/>
    <w:rsid w:val="00B3112B"/>
    <w:rsid w:val="00B31497"/>
    <w:rsid w:val="00B32132"/>
    <w:rsid w:val="00B32292"/>
    <w:rsid w:val="00B324FB"/>
    <w:rsid w:val="00B3288D"/>
    <w:rsid w:val="00B32B5D"/>
    <w:rsid w:val="00B32D06"/>
    <w:rsid w:val="00B3420F"/>
    <w:rsid w:val="00B34BFD"/>
    <w:rsid w:val="00B353F4"/>
    <w:rsid w:val="00B355AD"/>
    <w:rsid w:val="00B36DAC"/>
    <w:rsid w:val="00B37BA4"/>
    <w:rsid w:val="00B4029F"/>
    <w:rsid w:val="00B407A7"/>
    <w:rsid w:val="00B4117D"/>
    <w:rsid w:val="00B42032"/>
    <w:rsid w:val="00B421C8"/>
    <w:rsid w:val="00B4278A"/>
    <w:rsid w:val="00B428BB"/>
    <w:rsid w:val="00B43B31"/>
    <w:rsid w:val="00B4442B"/>
    <w:rsid w:val="00B46CAF"/>
    <w:rsid w:val="00B46F0B"/>
    <w:rsid w:val="00B46F76"/>
    <w:rsid w:val="00B479AD"/>
    <w:rsid w:val="00B47A7B"/>
    <w:rsid w:val="00B501CD"/>
    <w:rsid w:val="00B5023E"/>
    <w:rsid w:val="00B50F71"/>
    <w:rsid w:val="00B519E1"/>
    <w:rsid w:val="00B524C7"/>
    <w:rsid w:val="00B52ADF"/>
    <w:rsid w:val="00B52AE5"/>
    <w:rsid w:val="00B53181"/>
    <w:rsid w:val="00B531AE"/>
    <w:rsid w:val="00B53284"/>
    <w:rsid w:val="00B53A3C"/>
    <w:rsid w:val="00B5403D"/>
    <w:rsid w:val="00B54486"/>
    <w:rsid w:val="00B5490C"/>
    <w:rsid w:val="00B54AD9"/>
    <w:rsid w:val="00B566DD"/>
    <w:rsid w:val="00B5687B"/>
    <w:rsid w:val="00B56CFB"/>
    <w:rsid w:val="00B56F89"/>
    <w:rsid w:val="00B57656"/>
    <w:rsid w:val="00B577DE"/>
    <w:rsid w:val="00B57B2F"/>
    <w:rsid w:val="00B602B1"/>
    <w:rsid w:val="00B61058"/>
    <w:rsid w:val="00B61B51"/>
    <w:rsid w:val="00B6368E"/>
    <w:rsid w:val="00B64975"/>
    <w:rsid w:val="00B6572B"/>
    <w:rsid w:val="00B679D6"/>
    <w:rsid w:val="00B67AE5"/>
    <w:rsid w:val="00B67BCE"/>
    <w:rsid w:val="00B706B7"/>
    <w:rsid w:val="00B71207"/>
    <w:rsid w:val="00B7195D"/>
    <w:rsid w:val="00B741F6"/>
    <w:rsid w:val="00B74228"/>
    <w:rsid w:val="00B742AB"/>
    <w:rsid w:val="00B7564D"/>
    <w:rsid w:val="00B7651F"/>
    <w:rsid w:val="00B77E5F"/>
    <w:rsid w:val="00B80505"/>
    <w:rsid w:val="00B80A3C"/>
    <w:rsid w:val="00B80AFA"/>
    <w:rsid w:val="00B81269"/>
    <w:rsid w:val="00B82961"/>
    <w:rsid w:val="00B82FDC"/>
    <w:rsid w:val="00B8409E"/>
    <w:rsid w:val="00B840A9"/>
    <w:rsid w:val="00B8445D"/>
    <w:rsid w:val="00B85364"/>
    <w:rsid w:val="00B86BA5"/>
    <w:rsid w:val="00B86F54"/>
    <w:rsid w:val="00B8786F"/>
    <w:rsid w:val="00B9050C"/>
    <w:rsid w:val="00B90867"/>
    <w:rsid w:val="00B914FD"/>
    <w:rsid w:val="00B917FE"/>
    <w:rsid w:val="00B93358"/>
    <w:rsid w:val="00B941B9"/>
    <w:rsid w:val="00B94E54"/>
    <w:rsid w:val="00B95060"/>
    <w:rsid w:val="00B9725B"/>
    <w:rsid w:val="00B9767E"/>
    <w:rsid w:val="00BA0B93"/>
    <w:rsid w:val="00BA0FDE"/>
    <w:rsid w:val="00BA1EF2"/>
    <w:rsid w:val="00BA1FED"/>
    <w:rsid w:val="00BA316A"/>
    <w:rsid w:val="00BA3D7A"/>
    <w:rsid w:val="00BA4118"/>
    <w:rsid w:val="00BA42CA"/>
    <w:rsid w:val="00BA4A77"/>
    <w:rsid w:val="00BA4B17"/>
    <w:rsid w:val="00BA53D5"/>
    <w:rsid w:val="00BA5794"/>
    <w:rsid w:val="00BA5B32"/>
    <w:rsid w:val="00BA5D53"/>
    <w:rsid w:val="00BA6A74"/>
    <w:rsid w:val="00BA6B1C"/>
    <w:rsid w:val="00BA74AC"/>
    <w:rsid w:val="00BA74CC"/>
    <w:rsid w:val="00BA759C"/>
    <w:rsid w:val="00BA7C43"/>
    <w:rsid w:val="00BA7DEF"/>
    <w:rsid w:val="00BAED30"/>
    <w:rsid w:val="00BB0A63"/>
    <w:rsid w:val="00BB217B"/>
    <w:rsid w:val="00BB26A3"/>
    <w:rsid w:val="00BB26EA"/>
    <w:rsid w:val="00BB2CA5"/>
    <w:rsid w:val="00BB3ADA"/>
    <w:rsid w:val="00BB3BA0"/>
    <w:rsid w:val="00BB41B3"/>
    <w:rsid w:val="00BB4376"/>
    <w:rsid w:val="00BB45B2"/>
    <w:rsid w:val="00BB5384"/>
    <w:rsid w:val="00BB5440"/>
    <w:rsid w:val="00BB5CE3"/>
    <w:rsid w:val="00BB6395"/>
    <w:rsid w:val="00BB6AE4"/>
    <w:rsid w:val="00BB6FE8"/>
    <w:rsid w:val="00BB71D1"/>
    <w:rsid w:val="00BB791A"/>
    <w:rsid w:val="00BB795C"/>
    <w:rsid w:val="00BB7C2B"/>
    <w:rsid w:val="00BC037F"/>
    <w:rsid w:val="00BC044C"/>
    <w:rsid w:val="00BC28B8"/>
    <w:rsid w:val="00BC29AB"/>
    <w:rsid w:val="00BC3736"/>
    <w:rsid w:val="00BC3D62"/>
    <w:rsid w:val="00BC487F"/>
    <w:rsid w:val="00BC59C6"/>
    <w:rsid w:val="00BC5C0C"/>
    <w:rsid w:val="00BC6096"/>
    <w:rsid w:val="00BC6BE2"/>
    <w:rsid w:val="00BC724C"/>
    <w:rsid w:val="00BC7503"/>
    <w:rsid w:val="00BD0D6E"/>
    <w:rsid w:val="00BD1486"/>
    <w:rsid w:val="00BD18C9"/>
    <w:rsid w:val="00BD285F"/>
    <w:rsid w:val="00BD37E4"/>
    <w:rsid w:val="00BD3F06"/>
    <w:rsid w:val="00BD44E7"/>
    <w:rsid w:val="00BD51E5"/>
    <w:rsid w:val="00BD58CA"/>
    <w:rsid w:val="00BD59D4"/>
    <w:rsid w:val="00BD606B"/>
    <w:rsid w:val="00BD618F"/>
    <w:rsid w:val="00BD6CB5"/>
    <w:rsid w:val="00BD757F"/>
    <w:rsid w:val="00BD7E39"/>
    <w:rsid w:val="00BE0264"/>
    <w:rsid w:val="00BE0503"/>
    <w:rsid w:val="00BE16C0"/>
    <w:rsid w:val="00BE1DD7"/>
    <w:rsid w:val="00BE1F24"/>
    <w:rsid w:val="00BE4D7F"/>
    <w:rsid w:val="00BE4E34"/>
    <w:rsid w:val="00BE5130"/>
    <w:rsid w:val="00BE5222"/>
    <w:rsid w:val="00BE577F"/>
    <w:rsid w:val="00BE58E8"/>
    <w:rsid w:val="00BE5BBA"/>
    <w:rsid w:val="00BE5FA1"/>
    <w:rsid w:val="00BE6AC5"/>
    <w:rsid w:val="00BE6EFF"/>
    <w:rsid w:val="00BE6F6F"/>
    <w:rsid w:val="00BE7109"/>
    <w:rsid w:val="00BE729B"/>
    <w:rsid w:val="00BE7355"/>
    <w:rsid w:val="00BE7663"/>
    <w:rsid w:val="00BE82FE"/>
    <w:rsid w:val="00BF00DB"/>
    <w:rsid w:val="00BF016C"/>
    <w:rsid w:val="00BF0475"/>
    <w:rsid w:val="00BF0BF0"/>
    <w:rsid w:val="00BF0CF1"/>
    <w:rsid w:val="00BF0D62"/>
    <w:rsid w:val="00BF1428"/>
    <w:rsid w:val="00BF176D"/>
    <w:rsid w:val="00BF1A01"/>
    <w:rsid w:val="00BF25BC"/>
    <w:rsid w:val="00BF2E70"/>
    <w:rsid w:val="00BF3AB5"/>
    <w:rsid w:val="00BF4A62"/>
    <w:rsid w:val="00BF5685"/>
    <w:rsid w:val="00BF6EAF"/>
    <w:rsid w:val="00BF6F87"/>
    <w:rsid w:val="00BF6FDF"/>
    <w:rsid w:val="00BF6FF4"/>
    <w:rsid w:val="00C00592"/>
    <w:rsid w:val="00C006F9"/>
    <w:rsid w:val="00C014A9"/>
    <w:rsid w:val="00C0190A"/>
    <w:rsid w:val="00C01CD4"/>
    <w:rsid w:val="00C02861"/>
    <w:rsid w:val="00C02A25"/>
    <w:rsid w:val="00C02F79"/>
    <w:rsid w:val="00C034DA"/>
    <w:rsid w:val="00C043AD"/>
    <w:rsid w:val="00C04FC2"/>
    <w:rsid w:val="00C0501B"/>
    <w:rsid w:val="00C05480"/>
    <w:rsid w:val="00C06530"/>
    <w:rsid w:val="00C0718D"/>
    <w:rsid w:val="00C07FED"/>
    <w:rsid w:val="00C11C11"/>
    <w:rsid w:val="00C121BF"/>
    <w:rsid w:val="00C123A7"/>
    <w:rsid w:val="00C12A71"/>
    <w:rsid w:val="00C12C03"/>
    <w:rsid w:val="00C1376A"/>
    <w:rsid w:val="00C142A0"/>
    <w:rsid w:val="00C14882"/>
    <w:rsid w:val="00C15094"/>
    <w:rsid w:val="00C151D1"/>
    <w:rsid w:val="00C1596A"/>
    <w:rsid w:val="00C15C9F"/>
    <w:rsid w:val="00C19329"/>
    <w:rsid w:val="00C20579"/>
    <w:rsid w:val="00C20E46"/>
    <w:rsid w:val="00C210F8"/>
    <w:rsid w:val="00C22819"/>
    <w:rsid w:val="00C22A5D"/>
    <w:rsid w:val="00C22BFB"/>
    <w:rsid w:val="00C232FE"/>
    <w:rsid w:val="00C23305"/>
    <w:rsid w:val="00C233B2"/>
    <w:rsid w:val="00C237CD"/>
    <w:rsid w:val="00C23951"/>
    <w:rsid w:val="00C23F5D"/>
    <w:rsid w:val="00C23FD3"/>
    <w:rsid w:val="00C25A50"/>
    <w:rsid w:val="00C25D2A"/>
    <w:rsid w:val="00C26514"/>
    <w:rsid w:val="00C26908"/>
    <w:rsid w:val="00C2694C"/>
    <w:rsid w:val="00C26A8E"/>
    <w:rsid w:val="00C273CC"/>
    <w:rsid w:val="00C27F63"/>
    <w:rsid w:val="00C301FF"/>
    <w:rsid w:val="00C319BC"/>
    <w:rsid w:val="00C32971"/>
    <w:rsid w:val="00C32AD0"/>
    <w:rsid w:val="00C32D74"/>
    <w:rsid w:val="00C336A5"/>
    <w:rsid w:val="00C338C0"/>
    <w:rsid w:val="00C33A69"/>
    <w:rsid w:val="00C34E75"/>
    <w:rsid w:val="00C354D9"/>
    <w:rsid w:val="00C35C75"/>
    <w:rsid w:val="00C369B4"/>
    <w:rsid w:val="00C37177"/>
    <w:rsid w:val="00C37303"/>
    <w:rsid w:val="00C40250"/>
    <w:rsid w:val="00C40DB6"/>
    <w:rsid w:val="00C41E95"/>
    <w:rsid w:val="00C423FC"/>
    <w:rsid w:val="00C424AA"/>
    <w:rsid w:val="00C425AA"/>
    <w:rsid w:val="00C42B58"/>
    <w:rsid w:val="00C42C47"/>
    <w:rsid w:val="00C44039"/>
    <w:rsid w:val="00C443AE"/>
    <w:rsid w:val="00C443C4"/>
    <w:rsid w:val="00C44509"/>
    <w:rsid w:val="00C45FB8"/>
    <w:rsid w:val="00C461EE"/>
    <w:rsid w:val="00C46F56"/>
    <w:rsid w:val="00C47071"/>
    <w:rsid w:val="00C4739D"/>
    <w:rsid w:val="00C4751B"/>
    <w:rsid w:val="00C478DE"/>
    <w:rsid w:val="00C479E9"/>
    <w:rsid w:val="00C50789"/>
    <w:rsid w:val="00C5127B"/>
    <w:rsid w:val="00C51920"/>
    <w:rsid w:val="00C5266D"/>
    <w:rsid w:val="00C537AD"/>
    <w:rsid w:val="00C53E73"/>
    <w:rsid w:val="00C54136"/>
    <w:rsid w:val="00C54AE9"/>
    <w:rsid w:val="00C550A3"/>
    <w:rsid w:val="00C55D4A"/>
    <w:rsid w:val="00C55DAE"/>
    <w:rsid w:val="00C56B7D"/>
    <w:rsid w:val="00C56D7A"/>
    <w:rsid w:val="00C57B44"/>
    <w:rsid w:val="00C60FCA"/>
    <w:rsid w:val="00C614A3"/>
    <w:rsid w:val="00C62F29"/>
    <w:rsid w:val="00C64628"/>
    <w:rsid w:val="00C648CF"/>
    <w:rsid w:val="00C64E7D"/>
    <w:rsid w:val="00C66300"/>
    <w:rsid w:val="00C673A4"/>
    <w:rsid w:val="00C70DA3"/>
    <w:rsid w:val="00C7129E"/>
    <w:rsid w:val="00C7134C"/>
    <w:rsid w:val="00C714AB"/>
    <w:rsid w:val="00C721F6"/>
    <w:rsid w:val="00C7342E"/>
    <w:rsid w:val="00C73A01"/>
    <w:rsid w:val="00C74830"/>
    <w:rsid w:val="00C75129"/>
    <w:rsid w:val="00C7540B"/>
    <w:rsid w:val="00C756AE"/>
    <w:rsid w:val="00C7597A"/>
    <w:rsid w:val="00C7599C"/>
    <w:rsid w:val="00C76136"/>
    <w:rsid w:val="00C7627A"/>
    <w:rsid w:val="00C76643"/>
    <w:rsid w:val="00C768B5"/>
    <w:rsid w:val="00C773F2"/>
    <w:rsid w:val="00C77499"/>
    <w:rsid w:val="00C779B8"/>
    <w:rsid w:val="00C79737"/>
    <w:rsid w:val="00C8018A"/>
    <w:rsid w:val="00C807FF"/>
    <w:rsid w:val="00C80D78"/>
    <w:rsid w:val="00C80ECC"/>
    <w:rsid w:val="00C8156D"/>
    <w:rsid w:val="00C83C2A"/>
    <w:rsid w:val="00C85139"/>
    <w:rsid w:val="00C85250"/>
    <w:rsid w:val="00C85FE1"/>
    <w:rsid w:val="00C86025"/>
    <w:rsid w:val="00C867B4"/>
    <w:rsid w:val="00C8703C"/>
    <w:rsid w:val="00C87051"/>
    <w:rsid w:val="00C8781C"/>
    <w:rsid w:val="00C90CD7"/>
    <w:rsid w:val="00C911F0"/>
    <w:rsid w:val="00C91551"/>
    <w:rsid w:val="00C91F4A"/>
    <w:rsid w:val="00C92287"/>
    <w:rsid w:val="00C92307"/>
    <w:rsid w:val="00C925A0"/>
    <w:rsid w:val="00C92C64"/>
    <w:rsid w:val="00C932C3"/>
    <w:rsid w:val="00C933D4"/>
    <w:rsid w:val="00C94A1B"/>
    <w:rsid w:val="00C9524B"/>
    <w:rsid w:val="00C95336"/>
    <w:rsid w:val="00C956FE"/>
    <w:rsid w:val="00C95724"/>
    <w:rsid w:val="00C95891"/>
    <w:rsid w:val="00C95ECC"/>
    <w:rsid w:val="00C96112"/>
    <w:rsid w:val="00C96173"/>
    <w:rsid w:val="00C972ED"/>
    <w:rsid w:val="00C979DC"/>
    <w:rsid w:val="00C97B6C"/>
    <w:rsid w:val="00C9C9C2"/>
    <w:rsid w:val="00CA03BD"/>
    <w:rsid w:val="00CA06FA"/>
    <w:rsid w:val="00CA0A1E"/>
    <w:rsid w:val="00CA0E05"/>
    <w:rsid w:val="00CA1B07"/>
    <w:rsid w:val="00CA1DAF"/>
    <w:rsid w:val="00CA3451"/>
    <w:rsid w:val="00CA3A68"/>
    <w:rsid w:val="00CA3DA3"/>
    <w:rsid w:val="00CA4E5B"/>
    <w:rsid w:val="00CA54BF"/>
    <w:rsid w:val="00CA5C0F"/>
    <w:rsid w:val="00CA67D5"/>
    <w:rsid w:val="00CA6B3D"/>
    <w:rsid w:val="00CA6E70"/>
    <w:rsid w:val="00CB16E0"/>
    <w:rsid w:val="00CB21A5"/>
    <w:rsid w:val="00CB2A81"/>
    <w:rsid w:val="00CB2C24"/>
    <w:rsid w:val="00CB4C05"/>
    <w:rsid w:val="00CB51B4"/>
    <w:rsid w:val="00CB5A1C"/>
    <w:rsid w:val="00CB614A"/>
    <w:rsid w:val="00CB634B"/>
    <w:rsid w:val="00CB68B8"/>
    <w:rsid w:val="00CB7313"/>
    <w:rsid w:val="00CB7631"/>
    <w:rsid w:val="00CB76E1"/>
    <w:rsid w:val="00CC0DA2"/>
    <w:rsid w:val="00CC1154"/>
    <w:rsid w:val="00CC13EB"/>
    <w:rsid w:val="00CC1406"/>
    <w:rsid w:val="00CC2125"/>
    <w:rsid w:val="00CC21B1"/>
    <w:rsid w:val="00CC2D82"/>
    <w:rsid w:val="00CC33A5"/>
    <w:rsid w:val="00CC39E0"/>
    <w:rsid w:val="00CC48E1"/>
    <w:rsid w:val="00CC4ABD"/>
    <w:rsid w:val="00CC4DE4"/>
    <w:rsid w:val="00CC5798"/>
    <w:rsid w:val="00CC5D7D"/>
    <w:rsid w:val="00CC70AE"/>
    <w:rsid w:val="00CC7339"/>
    <w:rsid w:val="00CC763E"/>
    <w:rsid w:val="00CD0192"/>
    <w:rsid w:val="00CD022D"/>
    <w:rsid w:val="00CD0869"/>
    <w:rsid w:val="00CD102E"/>
    <w:rsid w:val="00CD2116"/>
    <w:rsid w:val="00CD2939"/>
    <w:rsid w:val="00CD38AD"/>
    <w:rsid w:val="00CD3D20"/>
    <w:rsid w:val="00CD4597"/>
    <w:rsid w:val="00CD488D"/>
    <w:rsid w:val="00CD5119"/>
    <w:rsid w:val="00CD536E"/>
    <w:rsid w:val="00CD54C9"/>
    <w:rsid w:val="00CD57F4"/>
    <w:rsid w:val="00CD6FAE"/>
    <w:rsid w:val="00CD7772"/>
    <w:rsid w:val="00CD7866"/>
    <w:rsid w:val="00CD791C"/>
    <w:rsid w:val="00CD7D7A"/>
    <w:rsid w:val="00CE0BC0"/>
    <w:rsid w:val="00CE0FA9"/>
    <w:rsid w:val="00CE12D8"/>
    <w:rsid w:val="00CE1B85"/>
    <w:rsid w:val="00CE1C77"/>
    <w:rsid w:val="00CE2922"/>
    <w:rsid w:val="00CE29C0"/>
    <w:rsid w:val="00CE2B33"/>
    <w:rsid w:val="00CE3A20"/>
    <w:rsid w:val="00CE426D"/>
    <w:rsid w:val="00CE4555"/>
    <w:rsid w:val="00CE4C91"/>
    <w:rsid w:val="00CE5103"/>
    <w:rsid w:val="00CE5298"/>
    <w:rsid w:val="00CE6080"/>
    <w:rsid w:val="00CE6118"/>
    <w:rsid w:val="00CE7127"/>
    <w:rsid w:val="00CE77BE"/>
    <w:rsid w:val="00CE7BFB"/>
    <w:rsid w:val="00CE7E6F"/>
    <w:rsid w:val="00CF096D"/>
    <w:rsid w:val="00CF0E79"/>
    <w:rsid w:val="00CF0F2E"/>
    <w:rsid w:val="00CF1A86"/>
    <w:rsid w:val="00CF1BD2"/>
    <w:rsid w:val="00CF1C18"/>
    <w:rsid w:val="00CF2E4C"/>
    <w:rsid w:val="00CF3790"/>
    <w:rsid w:val="00CF3CBB"/>
    <w:rsid w:val="00CF59F9"/>
    <w:rsid w:val="00CF62E1"/>
    <w:rsid w:val="00CF640F"/>
    <w:rsid w:val="00CF71C4"/>
    <w:rsid w:val="00CF7242"/>
    <w:rsid w:val="00CF7A6E"/>
    <w:rsid w:val="00CF7A93"/>
    <w:rsid w:val="00CF7AC5"/>
    <w:rsid w:val="00D00704"/>
    <w:rsid w:val="00D00E3D"/>
    <w:rsid w:val="00D013E6"/>
    <w:rsid w:val="00D01592"/>
    <w:rsid w:val="00D01829"/>
    <w:rsid w:val="00D01AD6"/>
    <w:rsid w:val="00D0214A"/>
    <w:rsid w:val="00D0340B"/>
    <w:rsid w:val="00D03CA1"/>
    <w:rsid w:val="00D04033"/>
    <w:rsid w:val="00D04E22"/>
    <w:rsid w:val="00D057FA"/>
    <w:rsid w:val="00D07402"/>
    <w:rsid w:val="00D07725"/>
    <w:rsid w:val="00D07B6C"/>
    <w:rsid w:val="00D10917"/>
    <w:rsid w:val="00D10D28"/>
    <w:rsid w:val="00D127D3"/>
    <w:rsid w:val="00D128A8"/>
    <w:rsid w:val="00D13712"/>
    <w:rsid w:val="00D13DB0"/>
    <w:rsid w:val="00D13FC7"/>
    <w:rsid w:val="00D14AE7"/>
    <w:rsid w:val="00D158A1"/>
    <w:rsid w:val="00D159E9"/>
    <w:rsid w:val="00D15A68"/>
    <w:rsid w:val="00D15E4F"/>
    <w:rsid w:val="00D16A94"/>
    <w:rsid w:val="00D17518"/>
    <w:rsid w:val="00D17AE8"/>
    <w:rsid w:val="00D2076C"/>
    <w:rsid w:val="00D20E05"/>
    <w:rsid w:val="00D21D8F"/>
    <w:rsid w:val="00D223CF"/>
    <w:rsid w:val="00D23130"/>
    <w:rsid w:val="00D23BE8"/>
    <w:rsid w:val="00D23CB9"/>
    <w:rsid w:val="00D24258"/>
    <w:rsid w:val="00D2452B"/>
    <w:rsid w:val="00D24722"/>
    <w:rsid w:val="00D247C1"/>
    <w:rsid w:val="00D24E6D"/>
    <w:rsid w:val="00D25ED4"/>
    <w:rsid w:val="00D27778"/>
    <w:rsid w:val="00D30775"/>
    <w:rsid w:val="00D3096A"/>
    <w:rsid w:val="00D31078"/>
    <w:rsid w:val="00D310EE"/>
    <w:rsid w:val="00D3115C"/>
    <w:rsid w:val="00D312CE"/>
    <w:rsid w:val="00D33142"/>
    <w:rsid w:val="00D357AF"/>
    <w:rsid w:val="00D368B4"/>
    <w:rsid w:val="00D3BF41"/>
    <w:rsid w:val="00D409CA"/>
    <w:rsid w:val="00D40E52"/>
    <w:rsid w:val="00D41C6F"/>
    <w:rsid w:val="00D4248E"/>
    <w:rsid w:val="00D433BC"/>
    <w:rsid w:val="00D433C7"/>
    <w:rsid w:val="00D44EE2"/>
    <w:rsid w:val="00D453AC"/>
    <w:rsid w:val="00D45F8A"/>
    <w:rsid w:val="00D46179"/>
    <w:rsid w:val="00D4731F"/>
    <w:rsid w:val="00D476C8"/>
    <w:rsid w:val="00D50273"/>
    <w:rsid w:val="00D504D0"/>
    <w:rsid w:val="00D505FB"/>
    <w:rsid w:val="00D505FE"/>
    <w:rsid w:val="00D5139F"/>
    <w:rsid w:val="00D5189E"/>
    <w:rsid w:val="00D51918"/>
    <w:rsid w:val="00D51992"/>
    <w:rsid w:val="00D519CA"/>
    <w:rsid w:val="00D51EAD"/>
    <w:rsid w:val="00D52F8E"/>
    <w:rsid w:val="00D54087"/>
    <w:rsid w:val="00D543D6"/>
    <w:rsid w:val="00D553E1"/>
    <w:rsid w:val="00D55964"/>
    <w:rsid w:val="00D55A52"/>
    <w:rsid w:val="00D57209"/>
    <w:rsid w:val="00D6029B"/>
    <w:rsid w:val="00D603CB"/>
    <w:rsid w:val="00D603ED"/>
    <w:rsid w:val="00D60920"/>
    <w:rsid w:val="00D60BB4"/>
    <w:rsid w:val="00D60C04"/>
    <w:rsid w:val="00D61368"/>
    <w:rsid w:val="00D613AD"/>
    <w:rsid w:val="00D61534"/>
    <w:rsid w:val="00D61A2F"/>
    <w:rsid w:val="00D629CC"/>
    <w:rsid w:val="00D62EEF"/>
    <w:rsid w:val="00D6384C"/>
    <w:rsid w:val="00D64C49"/>
    <w:rsid w:val="00D653BB"/>
    <w:rsid w:val="00D6564E"/>
    <w:rsid w:val="00D6646F"/>
    <w:rsid w:val="00D66B06"/>
    <w:rsid w:val="00D67425"/>
    <w:rsid w:val="00D67DD0"/>
    <w:rsid w:val="00D700C4"/>
    <w:rsid w:val="00D71744"/>
    <w:rsid w:val="00D71B7A"/>
    <w:rsid w:val="00D725BB"/>
    <w:rsid w:val="00D737B1"/>
    <w:rsid w:val="00D738E7"/>
    <w:rsid w:val="00D73ABA"/>
    <w:rsid w:val="00D7414A"/>
    <w:rsid w:val="00D74722"/>
    <w:rsid w:val="00D74C4F"/>
    <w:rsid w:val="00D753D1"/>
    <w:rsid w:val="00D75EAC"/>
    <w:rsid w:val="00D7754E"/>
    <w:rsid w:val="00D779FA"/>
    <w:rsid w:val="00D80FED"/>
    <w:rsid w:val="00D81060"/>
    <w:rsid w:val="00D81132"/>
    <w:rsid w:val="00D81852"/>
    <w:rsid w:val="00D81F9F"/>
    <w:rsid w:val="00D8201C"/>
    <w:rsid w:val="00D8294E"/>
    <w:rsid w:val="00D8312C"/>
    <w:rsid w:val="00D843CF"/>
    <w:rsid w:val="00D844E1"/>
    <w:rsid w:val="00D84B5C"/>
    <w:rsid w:val="00D84D11"/>
    <w:rsid w:val="00D84E66"/>
    <w:rsid w:val="00D84F86"/>
    <w:rsid w:val="00D850F0"/>
    <w:rsid w:val="00D85251"/>
    <w:rsid w:val="00D8553F"/>
    <w:rsid w:val="00D85B82"/>
    <w:rsid w:val="00D86A3F"/>
    <w:rsid w:val="00D875AA"/>
    <w:rsid w:val="00D876EC"/>
    <w:rsid w:val="00D879E8"/>
    <w:rsid w:val="00D902CF"/>
    <w:rsid w:val="00D9033D"/>
    <w:rsid w:val="00D90D38"/>
    <w:rsid w:val="00D917CC"/>
    <w:rsid w:val="00D92895"/>
    <w:rsid w:val="00D929F3"/>
    <w:rsid w:val="00D930C7"/>
    <w:rsid w:val="00D9329A"/>
    <w:rsid w:val="00D932D8"/>
    <w:rsid w:val="00D93461"/>
    <w:rsid w:val="00D93E9A"/>
    <w:rsid w:val="00D94430"/>
    <w:rsid w:val="00D94EAA"/>
    <w:rsid w:val="00D9547D"/>
    <w:rsid w:val="00D954D7"/>
    <w:rsid w:val="00D9580D"/>
    <w:rsid w:val="00D97C0B"/>
    <w:rsid w:val="00DA0896"/>
    <w:rsid w:val="00DA09CF"/>
    <w:rsid w:val="00DA1067"/>
    <w:rsid w:val="00DA186F"/>
    <w:rsid w:val="00DA2060"/>
    <w:rsid w:val="00DA23BD"/>
    <w:rsid w:val="00DA2EEB"/>
    <w:rsid w:val="00DA3518"/>
    <w:rsid w:val="00DA3A60"/>
    <w:rsid w:val="00DA448B"/>
    <w:rsid w:val="00DA53CE"/>
    <w:rsid w:val="00DA5790"/>
    <w:rsid w:val="00DA5BA6"/>
    <w:rsid w:val="00DA5CE5"/>
    <w:rsid w:val="00DA6255"/>
    <w:rsid w:val="00DA743B"/>
    <w:rsid w:val="00DA7753"/>
    <w:rsid w:val="00DA7B39"/>
    <w:rsid w:val="00DB18F3"/>
    <w:rsid w:val="00DB1BC5"/>
    <w:rsid w:val="00DB1D76"/>
    <w:rsid w:val="00DB3E74"/>
    <w:rsid w:val="00DB4514"/>
    <w:rsid w:val="00DB469D"/>
    <w:rsid w:val="00DB54A6"/>
    <w:rsid w:val="00DB681E"/>
    <w:rsid w:val="00DB6DDD"/>
    <w:rsid w:val="00DB6F0B"/>
    <w:rsid w:val="00DB7D28"/>
    <w:rsid w:val="00DC0224"/>
    <w:rsid w:val="00DC1474"/>
    <w:rsid w:val="00DC2671"/>
    <w:rsid w:val="00DC26E8"/>
    <w:rsid w:val="00DC2854"/>
    <w:rsid w:val="00DC2ED4"/>
    <w:rsid w:val="00DC3B15"/>
    <w:rsid w:val="00DC3B56"/>
    <w:rsid w:val="00DC431C"/>
    <w:rsid w:val="00DC6174"/>
    <w:rsid w:val="00DC61D7"/>
    <w:rsid w:val="00DC63AE"/>
    <w:rsid w:val="00DC6512"/>
    <w:rsid w:val="00DC6DB9"/>
    <w:rsid w:val="00DD0F98"/>
    <w:rsid w:val="00DD1A36"/>
    <w:rsid w:val="00DD30E1"/>
    <w:rsid w:val="00DD34D7"/>
    <w:rsid w:val="00DD3B1D"/>
    <w:rsid w:val="00DD3B5B"/>
    <w:rsid w:val="00DD3BB4"/>
    <w:rsid w:val="00DD46F9"/>
    <w:rsid w:val="00DD483C"/>
    <w:rsid w:val="00DD4E3C"/>
    <w:rsid w:val="00DD5B27"/>
    <w:rsid w:val="00DD6365"/>
    <w:rsid w:val="00DD6E9D"/>
    <w:rsid w:val="00DD72A3"/>
    <w:rsid w:val="00DD72A7"/>
    <w:rsid w:val="00DD760D"/>
    <w:rsid w:val="00DD7720"/>
    <w:rsid w:val="00DD7FB0"/>
    <w:rsid w:val="00DDCFC1"/>
    <w:rsid w:val="00DE0885"/>
    <w:rsid w:val="00DE0A7C"/>
    <w:rsid w:val="00DE0DA0"/>
    <w:rsid w:val="00DE331E"/>
    <w:rsid w:val="00DE39E8"/>
    <w:rsid w:val="00DE5133"/>
    <w:rsid w:val="00DE6E29"/>
    <w:rsid w:val="00DE7115"/>
    <w:rsid w:val="00DE7BF1"/>
    <w:rsid w:val="00DE822F"/>
    <w:rsid w:val="00DF05B5"/>
    <w:rsid w:val="00DF065D"/>
    <w:rsid w:val="00DF1425"/>
    <w:rsid w:val="00DF20D6"/>
    <w:rsid w:val="00DF419A"/>
    <w:rsid w:val="00DF593B"/>
    <w:rsid w:val="00DF59B2"/>
    <w:rsid w:val="00DF5E11"/>
    <w:rsid w:val="00DF5F99"/>
    <w:rsid w:val="00DF61A9"/>
    <w:rsid w:val="00DF6665"/>
    <w:rsid w:val="00E007B3"/>
    <w:rsid w:val="00E00A93"/>
    <w:rsid w:val="00E0123D"/>
    <w:rsid w:val="00E020E9"/>
    <w:rsid w:val="00E0240F"/>
    <w:rsid w:val="00E02577"/>
    <w:rsid w:val="00E026D6"/>
    <w:rsid w:val="00E029CC"/>
    <w:rsid w:val="00E03762"/>
    <w:rsid w:val="00E037B1"/>
    <w:rsid w:val="00E03A14"/>
    <w:rsid w:val="00E03A3F"/>
    <w:rsid w:val="00E03BA8"/>
    <w:rsid w:val="00E04024"/>
    <w:rsid w:val="00E04C71"/>
    <w:rsid w:val="00E04D3B"/>
    <w:rsid w:val="00E055E3"/>
    <w:rsid w:val="00E06032"/>
    <w:rsid w:val="00E066B9"/>
    <w:rsid w:val="00E06B2B"/>
    <w:rsid w:val="00E07281"/>
    <w:rsid w:val="00E1051A"/>
    <w:rsid w:val="00E10872"/>
    <w:rsid w:val="00E11370"/>
    <w:rsid w:val="00E11EC3"/>
    <w:rsid w:val="00E1219C"/>
    <w:rsid w:val="00E127F6"/>
    <w:rsid w:val="00E12B90"/>
    <w:rsid w:val="00E12C3E"/>
    <w:rsid w:val="00E1328A"/>
    <w:rsid w:val="00E13574"/>
    <w:rsid w:val="00E135E0"/>
    <w:rsid w:val="00E13B65"/>
    <w:rsid w:val="00E144D8"/>
    <w:rsid w:val="00E14964"/>
    <w:rsid w:val="00E152FB"/>
    <w:rsid w:val="00E1562A"/>
    <w:rsid w:val="00E15F4A"/>
    <w:rsid w:val="00E178A9"/>
    <w:rsid w:val="00E178D1"/>
    <w:rsid w:val="00E17D61"/>
    <w:rsid w:val="00E1F3AD"/>
    <w:rsid w:val="00E20101"/>
    <w:rsid w:val="00E2096B"/>
    <w:rsid w:val="00E20DEE"/>
    <w:rsid w:val="00E20EB6"/>
    <w:rsid w:val="00E220EC"/>
    <w:rsid w:val="00E23AB1"/>
    <w:rsid w:val="00E243D8"/>
    <w:rsid w:val="00E24AED"/>
    <w:rsid w:val="00E25EAF"/>
    <w:rsid w:val="00E26260"/>
    <w:rsid w:val="00E264F0"/>
    <w:rsid w:val="00E26666"/>
    <w:rsid w:val="00E26F6F"/>
    <w:rsid w:val="00E27580"/>
    <w:rsid w:val="00E306CB"/>
    <w:rsid w:val="00E31278"/>
    <w:rsid w:val="00E333C0"/>
    <w:rsid w:val="00E33486"/>
    <w:rsid w:val="00E33AD8"/>
    <w:rsid w:val="00E33C3A"/>
    <w:rsid w:val="00E34EBA"/>
    <w:rsid w:val="00E35240"/>
    <w:rsid w:val="00E3597D"/>
    <w:rsid w:val="00E3604B"/>
    <w:rsid w:val="00E3B1A1"/>
    <w:rsid w:val="00E40456"/>
    <w:rsid w:val="00E41E49"/>
    <w:rsid w:val="00E423BF"/>
    <w:rsid w:val="00E42CE1"/>
    <w:rsid w:val="00E430A7"/>
    <w:rsid w:val="00E43791"/>
    <w:rsid w:val="00E440D2"/>
    <w:rsid w:val="00E44743"/>
    <w:rsid w:val="00E44769"/>
    <w:rsid w:val="00E45549"/>
    <w:rsid w:val="00E45943"/>
    <w:rsid w:val="00E45951"/>
    <w:rsid w:val="00E46D08"/>
    <w:rsid w:val="00E47158"/>
    <w:rsid w:val="00E47188"/>
    <w:rsid w:val="00E47619"/>
    <w:rsid w:val="00E47F22"/>
    <w:rsid w:val="00E50337"/>
    <w:rsid w:val="00E50D8A"/>
    <w:rsid w:val="00E51091"/>
    <w:rsid w:val="00E51FE2"/>
    <w:rsid w:val="00E52DFC"/>
    <w:rsid w:val="00E530CE"/>
    <w:rsid w:val="00E53516"/>
    <w:rsid w:val="00E53E87"/>
    <w:rsid w:val="00E53ECD"/>
    <w:rsid w:val="00E54986"/>
    <w:rsid w:val="00E54A0E"/>
    <w:rsid w:val="00E5525E"/>
    <w:rsid w:val="00E553AE"/>
    <w:rsid w:val="00E55D83"/>
    <w:rsid w:val="00E56386"/>
    <w:rsid w:val="00E56F26"/>
    <w:rsid w:val="00E5714F"/>
    <w:rsid w:val="00E57453"/>
    <w:rsid w:val="00E57B3E"/>
    <w:rsid w:val="00E57E0A"/>
    <w:rsid w:val="00E57F8A"/>
    <w:rsid w:val="00E60B3F"/>
    <w:rsid w:val="00E615B6"/>
    <w:rsid w:val="00E61766"/>
    <w:rsid w:val="00E628A9"/>
    <w:rsid w:val="00E62BF1"/>
    <w:rsid w:val="00E6305A"/>
    <w:rsid w:val="00E63693"/>
    <w:rsid w:val="00E63FC9"/>
    <w:rsid w:val="00E64F19"/>
    <w:rsid w:val="00E653D4"/>
    <w:rsid w:val="00E658CA"/>
    <w:rsid w:val="00E659F5"/>
    <w:rsid w:val="00E66A75"/>
    <w:rsid w:val="00E672FA"/>
    <w:rsid w:val="00E67855"/>
    <w:rsid w:val="00E678C1"/>
    <w:rsid w:val="00E7048D"/>
    <w:rsid w:val="00E70617"/>
    <w:rsid w:val="00E71FD6"/>
    <w:rsid w:val="00E72398"/>
    <w:rsid w:val="00E72598"/>
    <w:rsid w:val="00E734A8"/>
    <w:rsid w:val="00E735ED"/>
    <w:rsid w:val="00E73E42"/>
    <w:rsid w:val="00E74314"/>
    <w:rsid w:val="00E744CA"/>
    <w:rsid w:val="00E7471A"/>
    <w:rsid w:val="00E74727"/>
    <w:rsid w:val="00E74C45"/>
    <w:rsid w:val="00E74D36"/>
    <w:rsid w:val="00E752CA"/>
    <w:rsid w:val="00E753A9"/>
    <w:rsid w:val="00E755CA"/>
    <w:rsid w:val="00E771FA"/>
    <w:rsid w:val="00E774C9"/>
    <w:rsid w:val="00E77798"/>
    <w:rsid w:val="00E7788C"/>
    <w:rsid w:val="00E7D45D"/>
    <w:rsid w:val="00E8010E"/>
    <w:rsid w:val="00E80F6E"/>
    <w:rsid w:val="00E812C6"/>
    <w:rsid w:val="00E8139F"/>
    <w:rsid w:val="00E81E95"/>
    <w:rsid w:val="00E82005"/>
    <w:rsid w:val="00E82310"/>
    <w:rsid w:val="00E826CF"/>
    <w:rsid w:val="00E82BD3"/>
    <w:rsid w:val="00E82C00"/>
    <w:rsid w:val="00E83210"/>
    <w:rsid w:val="00E83D91"/>
    <w:rsid w:val="00E83DFB"/>
    <w:rsid w:val="00E83FB8"/>
    <w:rsid w:val="00E8459C"/>
    <w:rsid w:val="00E84C34"/>
    <w:rsid w:val="00E86298"/>
    <w:rsid w:val="00E864DA"/>
    <w:rsid w:val="00E86EEF"/>
    <w:rsid w:val="00E86F15"/>
    <w:rsid w:val="00E871B1"/>
    <w:rsid w:val="00E8744A"/>
    <w:rsid w:val="00E90092"/>
    <w:rsid w:val="00E907E8"/>
    <w:rsid w:val="00E90861"/>
    <w:rsid w:val="00E90A46"/>
    <w:rsid w:val="00E91101"/>
    <w:rsid w:val="00E9151D"/>
    <w:rsid w:val="00E9180D"/>
    <w:rsid w:val="00E92595"/>
    <w:rsid w:val="00E92CF9"/>
    <w:rsid w:val="00E9421C"/>
    <w:rsid w:val="00E9434B"/>
    <w:rsid w:val="00E94633"/>
    <w:rsid w:val="00E948D9"/>
    <w:rsid w:val="00E9500D"/>
    <w:rsid w:val="00E95230"/>
    <w:rsid w:val="00E95FC7"/>
    <w:rsid w:val="00E963A9"/>
    <w:rsid w:val="00E96CFC"/>
    <w:rsid w:val="00E97117"/>
    <w:rsid w:val="00E97633"/>
    <w:rsid w:val="00E97786"/>
    <w:rsid w:val="00E97CFF"/>
    <w:rsid w:val="00E97E0F"/>
    <w:rsid w:val="00EA1619"/>
    <w:rsid w:val="00EA1928"/>
    <w:rsid w:val="00EA24BA"/>
    <w:rsid w:val="00EA2786"/>
    <w:rsid w:val="00EA3AB5"/>
    <w:rsid w:val="00EA3C2B"/>
    <w:rsid w:val="00EA3C3F"/>
    <w:rsid w:val="00EA472A"/>
    <w:rsid w:val="00EA4A75"/>
    <w:rsid w:val="00EA5662"/>
    <w:rsid w:val="00EA5732"/>
    <w:rsid w:val="00EA6AB4"/>
    <w:rsid w:val="00EA6CB4"/>
    <w:rsid w:val="00EA7252"/>
    <w:rsid w:val="00EB0490"/>
    <w:rsid w:val="00EB0836"/>
    <w:rsid w:val="00EB134A"/>
    <w:rsid w:val="00EB1B68"/>
    <w:rsid w:val="00EB1C3E"/>
    <w:rsid w:val="00EB1EEF"/>
    <w:rsid w:val="00EB1F70"/>
    <w:rsid w:val="00EB27CA"/>
    <w:rsid w:val="00EB2B2F"/>
    <w:rsid w:val="00EB39BB"/>
    <w:rsid w:val="00EB418F"/>
    <w:rsid w:val="00EB41B6"/>
    <w:rsid w:val="00EB43C7"/>
    <w:rsid w:val="00EB4E1B"/>
    <w:rsid w:val="00EB5499"/>
    <w:rsid w:val="00EB5C62"/>
    <w:rsid w:val="00EB5D29"/>
    <w:rsid w:val="00EB62DE"/>
    <w:rsid w:val="00EB68ED"/>
    <w:rsid w:val="00EB6DBF"/>
    <w:rsid w:val="00EB7F1E"/>
    <w:rsid w:val="00EBCACA"/>
    <w:rsid w:val="00EC00E1"/>
    <w:rsid w:val="00EC06E9"/>
    <w:rsid w:val="00EC0D55"/>
    <w:rsid w:val="00EC0E1D"/>
    <w:rsid w:val="00EC1238"/>
    <w:rsid w:val="00EC1CDA"/>
    <w:rsid w:val="00EC2453"/>
    <w:rsid w:val="00EC2EFD"/>
    <w:rsid w:val="00EC3164"/>
    <w:rsid w:val="00EC33E3"/>
    <w:rsid w:val="00EC3792"/>
    <w:rsid w:val="00EC4233"/>
    <w:rsid w:val="00EC4602"/>
    <w:rsid w:val="00EC5894"/>
    <w:rsid w:val="00EC6230"/>
    <w:rsid w:val="00EC64CF"/>
    <w:rsid w:val="00EC6A4E"/>
    <w:rsid w:val="00EC6F2D"/>
    <w:rsid w:val="00EC7CCF"/>
    <w:rsid w:val="00EC7D58"/>
    <w:rsid w:val="00EC7DA6"/>
    <w:rsid w:val="00EC7EB5"/>
    <w:rsid w:val="00ED071D"/>
    <w:rsid w:val="00ED0A5F"/>
    <w:rsid w:val="00ED0D07"/>
    <w:rsid w:val="00ED2231"/>
    <w:rsid w:val="00ED27D4"/>
    <w:rsid w:val="00ED344F"/>
    <w:rsid w:val="00ED3570"/>
    <w:rsid w:val="00ED4338"/>
    <w:rsid w:val="00ED4609"/>
    <w:rsid w:val="00ED4ECD"/>
    <w:rsid w:val="00ED6A40"/>
    <w:rsid w:val="00ED6E53"/>
    <w:rsid w:val="00ED7EE7"/>
    <w:rsid w:val="00EE2327"/>
    <w:rsid w:val="00EE5415"/>
    <w:rsid w:val="00EE673F"/>
    <w:rsid w:val="00EE6DAE"/>
    <w:rsid w:val="00EE711D"/>
    <w:rsid w:val="00EF08C6"/>
    <w:rsid w:val="00EF1432"/>
    <w:rsid w:val="00EF1B3F"/>
    <w:rsid w:val="00EF1B9C"/>
    <w:rsid w:val="00EF20D8"/>
    <w:rsid w:val="00EF2133"/>
    <w:rsid w:val="00EF3A34"/>
    <w:rsid w:val="00EF3DAB"/>
    <w:rsid w:val="00EF4343"/>
    <w:rsid w:val="00EF4AB8"/>
    <w:rsid w:val="00EF4D62"/>
    <w:rsid w:val="00EF4E38"/>
    <w:rsid w:val="00EF52FE"/>
    <w:rsid w:val="00EF5A75"/>
    <w:rsid w:val="00EF5B5E"/>
    <w:rsid w:val="00EF5D49"/>
    <w:rsid w:val="00EF5F03"/>
    <w:rsid w:val="00EF6091"/>
    <w:rsid w:val="00EF640C"/>
    <w:rsid w:val="00EF64FC"/>
    <w:rsid w:val="00EF7E77"/>
    <w:rsid w:val="00F005E0"/>
    <w:rsid w:val="00F0097E"/>
    <w:rsid w:val="00F00E2D"/>
    <w:rsid w:val="00F020C1"/>
    <w:rsid w:val="00F02C8F"/>
    <w:rsid w:val="00F03306"/>
    <w:rsid w:val="00F0341C"/>
    <w:rsid w:val="00F0383D"/>
    <w:rsid w:val="00F03C78"/>
    <w:rsid w:val="00F04A29"/>
    <w:rsid w:val="00F04AA6"/>
    <w:rsid w:val="00F05B87"/>
    <w:rsid w:val="00F0675A"/>
    <w:rsid w:val="00F06D0B"/>
    <w:rsid w:val="00F06DD1"/>
    <w:rsid w:val="00F072B6"/>
    <w:rsid w:val="00F072DB"/>
    <w:rsid w:val="00F076D8"/>
    <w:rsid w:val="00F07E04"/>
    <w:rsid w:val="00F10433"/>
    <w:rsid w:val="00F10AE8"/>
    <w:rsid w:val="00F10CF6"/>
    <w:rsid w:val="00F1145E"/>
    <w:rsid w:val="00F11628"/>
    <w:rsid w:val="00F117B5"/>
    <w:rsid w:val="00F123EA"/>
    <w:rsid w:val="00F1330D"/>
    <w:rsid w:val="00F13A0C"/>
    <w:rsid w:val="00F13C0F"/>
    <w:rsid w:val="00F142AB"/>
    <w:rsid w:val="00F14669"/>
    <w:rsid w:val="00F14978"/>
    <w:rsid w:val="00F14BA3"/>
    <w:rsid w:val="00F15578"/>
    <w:rsid w:val="00F15902"/>
    <w:rsid w:val="00F160B5"/>
    <w:rsid w:val="00F169C2"/>
    <w:rsid w:val="00F169E3"/>
    <w:rsid w:val="00F16B98"/>
    <w:rsid w:val="00F17340"/>
    <w:rsid w:val="00F17592"/>
    <w:rsid w:val="00F179AD"/>
    <w:rsid w:val="00F17EA7"/>
    <w:rsid w:val="00F202A0"/>
    <w:rsid w:val="00F21159"/>
    <w:rsid w:val="00F2173D"/>
    <w:rsid w:val="00F21CD3"/>
    <w:rsid w:val="00F22250"/>
    <w:rsid w:val="00F231CB"/>
    <w:rsid w:val="00F23362"/>
    <w:rsid w:val="00F233D3"/>
    <w:rsid w:val="00F25630"/>
    <w:rsid w:val="00F256C9"/>
    <w:rsid w:val="00F26145"/>
    <w:rsid w:val="00F2626C"/>
    <w:rsid w:val="00F26875"/>
    <w:rsid w:val="00F26A35"/>
    <w:rsid w:val="00F27369"/>
    <w:rsid w:val="00F2FF16"/>
    <w:rsid w:val="00F3010A"/>
    <w:rsid w:val="00F30AC1"/>
    <w:rsid w:val="00F30ED1"/>
    <w:rsid w:val="00F3104C"/>
    <w:rsid w:val="00F313A8"/>
    <w:rsid w:val="00F319D1"/>
    <w:rsid w:val="00F31DFA"/>
    <w:rsid w:val="00F32061"/>
    <w:rsid w:val="00F3291D"/>
    <w:rsid w:val="00F32D1F"/>
    <w:rsid w:val="00F32D8B"/>
    <w:rsid w:val="00F32FA5"/>
    <w:rsid w:val="00F3317A"/>
    <w:rsid w:val="00F3372E"/>
    <w:rsid w:val="00F341B5"/>
    <w:rsid w:val="00F34A25"/>
    <w:rsid w:val="00F34DD1"/>
    <w:rsid w:val="00F353D8"/>
    <w:rsid w:val="00F35565"/>
    <w:rsid w:val="00F3563C"/>
    <w:rsid w:val="00F35A0A"/>
    <w:rsid w:val="00F361CD"/>
    <w:rsid w:val="00F363A2"/>
    <w:rsid w:val="00F36869"/>
    <w:rsid w:val="00F372E6"/>
    <w:rsid w:val="00F38729"/>
    <w:rsid w:val="00F40801"/>
    <w:rsid w:val="00F41160"/>
    <w:rsid w:val="00F414E0"/>
    <w:rsid w:val="00F4199C"/>
    <w:rsid w:val="00F42C0E"/>
    <w:rsid w:val="00F43773"/>
    <w:rsid w:val="00F44327"/>
    <w:rsid w:val="00F4484B"/>
    <w:rsid w:val="00F451FB"/>
    <w:rsid w:val="00F47C61"/>
    <w:rsid w:val="00F47D7C"/>
    <w:rsid w:val="00F4D32E"/>
    <w:rsid w:val="00F506BC"/>
    <w:rsid w:val="00F53214"/>
    <w:rsid w:val="00F53A39"/>
    <w:rsid w:val="00F53E53"/>
    <w:rsid w:val="00F544C6"/>
    <w:rsid w:val="00F54518"/>
    <w:rsid w:val="00F54FE1"/>
    <w:rsid w:val="00F55345"/>
    <w:rsid w:val="00F554D2"/>
    <w:rsid w:val="00F56CD3"/>
    <w:rsid w:val="00F56F7B"/>
    <w:rsid w:val="00F57982"/>
    <w:rsid w:val="00F5A80F"/>
    <w:rsid w:val="00F60FB7"/>
    <w:rsid w:val="00F611AC"/>
    <w:rsid w:val="00F613B1"/>
    <w:rsid w:val="00F6210F"/>
    <w:rsid w:val="00F62E3B"/>
    <w:rsid w:val="00F63005"/>
    <w:rsid w:val="00F630B1"/>
    <w:rsid w:val="00F6350D"/>
    <w:rsid w:val="00F64D18"/>
    <w:rsid w:val="00F6579A"/>
    <w:rsid w:val="00F67734"/>
    <w:rsid w:val="00F67AF1"/>
    <w:rsid w:val="00F71C1B"/>
    <w:rsid w:val="00F720FB"/>
    <w:rsid w:val="00F742CB"/>
    <w:rsid w:val="00F74C56"/>
    <w:rsid w:val="00F75164"/>
    <w:rsid w:val="00F75356"/>
    <w:rsid w:val="00F753F0"/>
    <w:rsid w:val="00F753F5"/>
    <w:rsid w:val="00F75AB8"/>
    <w:rsid w:val="00F75C6E"/>
    <w:rsid w:val="00F775B5"/>
    <w:rsid w:val="00F7DA34"/>
    <w:rsid w:val="00F807EF"/>
    <w:rsid w:val="00F80C50"/>
    <w:rsid w:val="00F81294"/>
    <w:rsid w:val="00F81566"/>
    <w:rsid w:val="00F820AC"/>
    <w:rsid w:val="00F820B6"/>
    <w:rsid w:val="00F822BD"/>
    <w:rsid w:val="00F82615"/>
    <w:rsid w:val="00F829B5"/>
    <w:rsid w:val="00F82BE2"/>
    <w:rsid w:val="00F82E28"/>
    <w:rsid w:val="00F84470"/>
    <w:rsid w:val="00F85047"/>
    <w:rsid w:val="00F86AB1"/>
    <w:rsid w:val="00F87735"/>
    <w:rsid w:val="00F87D73"/>
    <w:rsid w:val="00F8B6DD"/>
    <w:rsid w:val="00F90B5A"/>
    <w:rsid w:val="00F92171"/>
    <w:rsid w:val="00F921B9"/>
    <w:rsid w:val="00F93089"/>
    <w:rsid w:val="00F95286"/>
    <w:rsid w:val="00F95964"/>
    <w:rsid w:val="00F95AAB"/>
    <w:rsid w:val="00F9668C"/>
    <w:rsid w:val="00F96BA1"/>
    <w:rsid w:val="00F96E69"/>
    <w:rsid w:val="00FA0533"/>
    <w:rsid w:val="00FA0581"/>
    <w:rsid w:val="00FA0693"/>
    <w:rsid w:val="00FA06EA"/>
    <w:rsid w:val="00FA094E"/>
    <w:rsid w:val="00FA1173"/>
    <w:rsid w:val="00FA147B"/>
    <w:rsid w:val="00FA1C19"/>
    <w:rsid w:val="00FA1CAD"/>
    <w:rsid w:val="00FA257B"/>
    <w:rsid w:val="00FA26E4"/>
    <w:rsid w:val="00FA2A4E"/>
    <w:rsid w:val="00FA2CC2"/>
    <w:rsid w:val="00FA2CE7"/>
    <w:rsid w:val="00FA2ECF"/>
    <w:rsid w:val="00FA30B1"/>
    <w:rsid w:val="00FA30EB"/>
    <w:rsid w:val="00FA3160"/>
    <w:rsid w:val="00FA31C8"/>
    <w:rsid w:val="00FA3246"/>
    <w:rsid w:val="00FA346C"/>
    <w:rsid w:val="00FA42D5"/>
    <w:rsid w:val="00FA4962"/>
    <w:rsid w:val="00FA4A23"/>
    <w:rsid w:val="00FA6824"/>
    <w:rsid w:val="00FA6F37"/>
    <w:rsid w:val="00FA764C"/>
    <w:rsid w:val="00FA777A"/>
    <w:rsid w:val="00FB0E15"/>
    <w:rsid w:val="00FB1AD0"/>
    <w:rsid w:val="00FB1B04"/>
    <w:rsid w:val="00FB2155"/>
    <w:rsid w:val="00FB2893"/>
    <w:rsid w:val="00FB2F7F"/>
    <w:rsid w:val="00FB3693"/>
    <w:rsid w:val="00FB3BEA"/>
    <w:rsid w:val="00FB4075"/>
    <w:rsid w:val="00FB46B3"/>
    <w:rsid w:val="00FB49CF"/>
    <w:rsid w:val="00FB4D32"/>
    <w:rsid w:val="00FB4E3E"/>
    <w:rsid w:val="00FB580A"/>
    <w:rsid w:val="00FB68BC"/>
    <w:rsid w:val="00FC0F67"/>
    <w:rsid w:val="00FC1654"/>
    <w:rsid w:val="00FC179D"/>
    <w:rsid w:val="00FC3148"/>
    <w:rsid w:val="00FC3A70"/>
    <w:rsid w:val="00FC434F"/>
    <w:rsid w:val="00FC5A00"/>
    <w:rsid w:val="00FC5C51"/>
    <w:rsid w:val="00FC65DA"/>
    <w:rsid w:val="00FC6DF4"/>
    <w:rsid w:val="00FC6F93"/>
    <w:rsid w:val="00FC78F9"/>
    <w:rsid w:val="00FD2185"/>
    <w:rsid w:val="00FD34E9"/>
    <w:rsid w:val="00FD3B6D"/>
    <w:rsid w:val="00FE0403"/>
    <w:rsid w:val="00FE04F6"/>
    <w:rsid w:val="00FE070C"/>
    <w:rsid w:val="00FE1827"/>
    <w:rsid w:val="00FE296C"/>
    <w:rsid w:val="00FE2A9E"/>
    <w:rsid w:val="00FE42FC"/>
    <w:rsid w:val="00FE49C0"/>
    <w:rsid w:val="00FE5CDB"/>
    <w:rsid w:val="00FE5F86"/>
    <w:rsid w:val="00FE610C"/>
    <w:rsid w:val="00FE6813"/>
    <w:rsid w:val="00FE70AE"/>
    <w:rsid w:val="00FE7613"/>
    <w:rsid w:val="00FE794D"/>
    <w:rsid w:val="00FF0731"/>
    <w:rsid w:val="00FF124D"/>
    <w:rsid w:val="00FF1CEE"/>
    <w:rsid w:val="00FF24FF"/>
    <w:rsid w:val="00FF275A"/>
    <w:rsid w:val="00FF29C1"/>
    <w:rsid w:val="00FF3111"/>
    <w:rsid w:val="00FF3C1C"/>
    <w:rsid w:val="00FF3F18"/>
    <w:rsid w:val="00FF4210"/>
    <w:rsid w:val="00FF48F0"/>
    <w:rsid w:val="00FF4CCF"/>
    <w:rsid w:val="00FF50FD"/>
    <w:rsid w:val="00FF57C1"/>
    <w:rsid w:val="00FF6092"/>
    <w:rsid w:val="00FF6394"/>
    <w:rsid w:val="00FF6992"/>
    <w:rsid w:val="00FF69C7"/>
    <w:rsid w:val="00FF69F9"/>
    <w:rsid w:val="00FF6B82"/>
    <w:rsid w:val="00FF717F"/>
    <w:rsid w:val="00FF760D"/>
    <w:rsid w:val="0104504A"/>
    <w:rsid w:val="010D0B2F"/>
    <w:rsid w:val="01129A8C"/>
    <w:rsid w:val="01149B8D"/>
    <w:rsid w:val="0115F594"/>
    <w:rsid w:val="011B3F38"/>
    <w:rsid w:val="011E2960"/>
    <w:rsid w:val="01212B30"/>
    <w:rsid w:val="0126DCD3"/>
    <w:rsid w:val="01288A86"/>
    <w:rsid w:val="012AE665"/>
    <w:rsid w:val="012CC814"/>
    <w:rsid w:val="01326F2E"/>
    <w:rsid w:val="0132A5D1"/>
    <w:rsid w:val="01391DCB"/>
    <w:rsid w:val="01462AE9"/>
    <w:rsid w:val="014BD35D"/>
    <w:rsid w:val="014D1E71"/>
    <w:rsid w:val="0152C919"/>
    <w:rsid w:val="015861E3"/>
    <w:rsid w:val="0160BFCE"/>
    <w:rsid w:val="016127DC"/>
    <w:rsid w:val="016131C5"/>
    <w:rsid w:val="0166ADBF"/>
    <w:rsid w:val="016C2BF3"/>
    <w:rsid w:val="016CE7A6"/>
    <w:rsid w:val="016D9499"/>
    <w:rsid w:val="0170934A"/>
    <w:rsid w:val="0171F1E7"/>
    <w:rsid w:val="01732010"/>
    <w:rsid w:val="01747700"/>
    <w:rsid w:val="0177E929"/>
    <w:rsid w:val="01788A3C"/>
    <w:rsid w:val="017DE087"/>
    <w:rsid w:val="017F61E5"/>
    <w:rsid w:val="01801A21"/>
    <w:rsid w:val="018770C9"/>
    <w:rsid w:val="0189DE69"/>
    <w:rsid w:val="018BFB07"/>
    <w:rsid w:val="018C99FB"/>
    <w:rsid w:val="0191EFC1"/>
    <w:rsid w:val="01926FC2"/>
    <w:rsid w:val="01929F0C"/>
    <w:rsid w:val="0192D421"/>
    <w:rsid w:val="01947BB6"/>
    <w:rsid w:val="0197C5AC"/>
    <w:rsid w:val="0197DE0B"/>
    <w:rsid w:val="0198FEBF"/>
    <w:rsid w:val="01994017"/>
    <w:rsid w:val="019C0652"/>
    <w:rsid w:val="019D33EB"/>
    <w:rsid w:val="01A006FC"/>
    <w:rsid w:val="01A0EE42"/>
    <w:rsid w:val="01A0F30B"/>
    <w:rsid w:val="01A378AA"/>
    <w:rsid w:val="01A4423D"/>
    <w:rsid w:val="01AB7042"/>
    <w:rsid w:val="01ABA2DB"/>
    <w:rsid w:val="01ADFFCC"/>
    <w:rsid w:val="01B20FE8"/>
    <w:rsid w:val="01B35D8C"/>
    <w:rsid w:val="01B8C750"/>
    <w:rsid w:val="01BDB1A0"/>
    <w:rsid w:val="01C22884"/>
    <w:rsid w:val="01C31779"/>
    <w:rsid w:val="01C34C3D"/>
    <w:rsid w:val="01C4362D"/>
    <w:rsid w:val="01C468F1"/>
    <w:rsid w:val="01C4CA0E"/>
    <w:rsid w:val="01C5F19C"/>
    <w:rsid w:val="01C715BA"/>
    <w:rsid w:val="01C7B158"/>
    <w:rsid w:val="01CA88F9"/>
    <w:rsid w:val="01CAFF97"/>
    <w:rsid w:val="01CE80EC"/>
    <w:rsid w:val="01D53A0D"/>
    <w:rsid w:val="01D60781"/>
    <w:rsid w:val="01D91357"/>
    <w:rsid w:val="01DB764A"/>
    <w:rsid w:val="01DFD066"/>
    <w:rsid w:val="01DFFF61"/>
    <w:rsid w:val="01E4811C"/>
    <w:rsid w:val="01E493D6"/>
    <w:rsid w:val="01EF66B4"/>
    <w:rsid w:val="01F5BBA6"/>
    <w:rsid w:val="01FA6617"/>
    <w:rsid w:val="01FB4135"/>
    <w:rsid w:val="01FFBCBD"/>
    <w:rsid w:val="02046CC6"/>
    <w:rsid w:val="02062704"/>
    <w:rsid w:val="020772CB"/>
    <w:rsid w:val="02078DB4"/>
    <w:rsid w:val="020A4C16"/>
    <w:rsid w:val="020AD44C"/>
    <w:rsid w:val="020AF6A5"/>
    <w:rsid w:val="020BC301"/>
    <w:rsid w:val="020CC1BF"/>
    <w:rsid w:val="020F0D38"/>
    <w:rsid w:val="02101035"/>
    <w:rsid w:val="021378D0"/>
    <w:rsid w:val="0213DCEB"/>
    <w:rsid w:val="0216D005"/>
    <w:rsid w:val="021787E1"/>
    <w:rsid w:val="0219F3EC"/>
    <w:rsid w:val="021E613E"/>
    <w:rsid w:val="0220EF92"/>
    <w:rsid w:val="0227D7A3"/>
    <w:rsid w:val="022AA34B"/>
    <w:rsid w:val="022D1F99"/>
    <w:rsid w:val="022E5E17"/>
    <w:rsid w:val="022F832B"/>
    <w:rsid w:val="02325FAC"/>
    <w:rsid w:val="023517D8"/>
    <w:rsid w:val="02355236"/>
    <w:rsid w:val="02369707"/>
    <w:rsid w:val="02389BF1"/>
    <w:rsid w:val="02391C9F"/>
    <w:rsid w:val="02395B62"/>
    <w:rsid w:val="02396BC8"/>
    <w:rsid w:val="023C2555"/>
    <w:rsid w:val="023F3985"/>
    <w:rsid w:val="023FDFC8"/>
    <w:rsid w:val="02410BB0"/>
    <w:rsid w:val="0242F097"/>
    <w:rsid w:val="024493CC"/>
    <w:rsid w:val="024C1ECD"/>
    <w:rsid w:val="0253C0F7"/>
    <w:rsid w:val="02565300"/>
    <w:rsid w:val="025764A0"/>
    <w:rsid w:val="02593464"/>
    <w:rsid w:val="025D0E8B"/>
    <w:rsid w:val="025EFC5A"/>
    <w:rsid w:val="0266446F"/>
    <w:rsid w:val="0266C4E5"/>
    <w:rsid w:val="0266F40C"/>
    <w:rsid w:val="02684B76"/>
    <w:rsid w:val="026A364E"/>
    <w:rsid w:val="026E0787"/>
    <w:rsid w:val="0276E8BF"/>
    <w:rsid w:val="0277D40E"/>
    <w:rsid w:val="027D00D7"/>
    <w:rsid w:val="027F3304"/>
    <w:rsid w:val="0282ADE1"/>
    <w:rsid w:val="02837332"/>
    <w:rsid w:val="028D57D3"/>
    <w:rsid w:val="028DED3E"/>
    <w:rsid w:val="028F56BD"/>
    <w:rsid w:val="02905738"/>
    <w:rsid w:val="02934B5D"/>
    <w:rsid w:val="029D7A2D"/>
    <w:rsid w:val="029F53CB"/>
    <w:rsid w:val="02A4FF78"/>
    <w:rsid w:val="02A65D57"/>
    <w:rsid w:val="02A7AFBA"/>
    <w:rsid w:val="02A926A9"/>
    <w:rsid w:val="02AAF541"/>
    <w:rsid w:val="02AD7E95"/>
    <w:rsid w:val="02B1A9F2"/>
    <w:rsid w:val="02B699A7"/>
    <w:rsid w:val="02BDB28A"/>
    <w:rsid w:val="02C0D30C"/>
    <w:rsid w:val="02C3EFE5"/>
    <w:rsid w:val="02D09D5B"/>
    <w:rsid w:val="02D3F0ED"/>
    <w:rsid w:val="02DD9380"/>
    <w:rsid w:val="02E0C19A"/>
    <w:rsid w:val="02E2F823"/>
    <w:rsid w:val="02E31674"/>
    <w:rsid w:val="02E51F08"/>
    <w:rsid w:val="02E7E4C2"/>
    <w:rsid w:val="02EB5FDD"/>
    <w:rsid w:val="02EF8590"/>
    <w:rsid w:val="02F03E53"/>
    <w:rsid w:val="02F4036E"/>
    <w:rsid w:val="02F6B3C2"/>
    <w:rsid w:val="02F74B94"/>
    <w:rsid w:val="02FA648B"/>
    <w:rsid w:val="030AC86A"/>
    <w:rsid w:val="030E9CD6"/>
    <w:rsid w:val="030ED477"/>
    <w:rsid w:val="0310FF9D"/>
    <w:rsid w:val="0314FF4A"/>
    <w:rsid w:val="0315854B"/>
    <w:rsid w:val="03168151"/>
    <w:rsid w:val="031F5533"/>
    <w:rsid w:val="0320B2BE"/>
    <w:rsid w:val="0326EDA4"/>
    <w:rsid w:val="032C4C6D"/>
    <w:rsid w:val="0331DD97"/>
    <w:rsid w:val="03348377"/>
    <w:rsid w:val="03358392"/>
    <w:rsid w:val="033AC5AE"/>
    <w:rsid w:val="033F7A7E"/>
    <w:rsid w:val="0340076A"/>
    <w:rsid w:val="0343E3AC"/>
    <w:rsid w:val="03447A7B"/>
    <w:rsid w:val="0345962A"/>
    <w:rsid w:val="034729C5"/>
    <w:rsid w:val="034AA771"/>
    <w:rsid w:val="034CDED8"/>
    <w:rsid w:val="034DA748"/>
    <w:rsid w:val="034F411F"/>
    <w:rsid w:val="034FBB5A"/>
    <w:rsid w:val="0350821D"/>
    <w:rsid w:val="035497B1"/>
    <w:rsid w:val="03560BBB"/>
    <w:rsid w:val="03568940"/>
    <w:rsid w:val="035BEFE8"/>
    <w:rsid w:val="035D2707"/>
    <w:rsid w:val="035D4877"/>
    <w:rsid w:val="035D8AB2"/>
    <w:rsid w:val="035DAC3C"/>
    <w:rsid w:val="0361A6B7"/>
    <w:rsid w:val="03658EDC"/>
    <w:rsid w:val="036856FC"/>
    <w:rsid w:val="03709E6E"/>
    <w:rsid w:val="03710A6E"/>
    <w:rsid w:val="0374974B"/>
    <w:rsid w:val="03756A80"/>
    <w:rsid w:val="0378EF8D"/>
    <w:rsid w:val="037AD452"/>
    <w:rsid w:val="037E1F31"/>
    <w:rsid w:val="038178B5"/>
    <w:rsid w:val="038208D7"/>
    <w:rsid w:val="03845DB9"/>
    <w:rsid w:val="0384761F"/>
    <w:rsid w:val="03858A39"/>
    <w:rsid w:val="0388205B"/>
    <w:rsid w:val="03893155"/>
    <w:rsid w:val="038C0F29"/>
    <w:rsid w:val="0390D3CD"/>
    <w:rsid w:val="0391690B"/>
    <w:rsid w:val="0391D2D3"/>
    <w:rsid w:val="03953FCD"/>
    <w:rsid w:val="0397396C"/>
    <w:rsid w:val="039E9A60"/>
    <w:rsid w:val="039EC2F0"/>
    <w:rsid w:val="03A29E9B"/>
    <w:rsid w:val="03A29EDB"/>
    <w:rsid w:val="03A3BCDF"/>
    <w:rsid w:val="03A4644F"/>
    <w:rsid w:val="03A578D0"/>
    <w:rsid w:val="03AAE547"/>
    <w:rsid w:val="03AF6D02"/>
    <w:rsid w:val="03B128D2"/>
    <w:rsid w:val="03B23E02"/>
    <w:rsid w:val="03B38B4B"/>
    <w:rsid w:val="03BB3FB6"/>
    <w:rsid w:val="03BCBFF3"/>
    <w:rsid w:val="03C25A8F"/>
    <w:rsid w:val="03C34727"/>
    <w:rsid w:val="03C39CEA"/>
    <w:rsid w:val="03C48381"/>
    <w:rsid w:val="03C52791"/>
    <w:rsid w:val="03C5474B"/>
    <w:rsid w:val="03C5896F"/>
    <w:rsid w:val="03C7E05A"/>
    <w:rsid w:val="03C9ABDC"/>
    <w:rsid w:val="03CB8368"/>
    <w:rsid w:val="03CBBA6F"/>
    <w:rsid w:val="03D297EC"/>
    <w:rsid w:val="03D486A7"/>
    <w:rsid w:val="03D52BC3"/>
    <w:rsid w:val="03DA2B5F"/>
    <w:rsid w:val="03DBE849"/>
    <w:rsid w:val="03DC942B"/>
    <w:rsid w:val="03EDEBE5"/>
    <w:rsid w:val="03EF3FC9"/>
    <w:rsid w:val="03F62B39"/>
    <w:rsid w:val="03FB7AA6"/>
    <w:rsid w:val="03FD0454"/>
    <w:rsid w:val="04005957"/>
    <w:rsid w:val="04050131"/>
    <w:rsid w:val="04066ACC"/>
    <w:rsid w:val="040818C8"/>
    <w:rsid w:val="04085F90"/>
    <w:rsid w:val="0410AFF8"/>
    <w:rsid w:val="0410D28F"/>
    <w:rsid w:val="0414D68F"/>
    <w:rsid w:val="0415297A"/>
    <w:rsid w:val="04162CB1"/>
    <w:rsid w:val="0418AD70"/>
    <w:rsid w:val="041D9EED"/>
    <w:rsid w:val="041DC423"/>
    <w:rsid w:val="0421C9CF"/>
    <w:rsid w:val="04251339"/>
    <w:rsid w:val="04272098"/>
    <w:rsid w:val="04294663"/>
    <w:rsid w:val="042AD969"/>
    <w:rsid w:val="042AE20A"/>
    <w:rsid w:val="042C08C1"/>
    <w:rsid w:val="042D5EF3"/>
    <w:rsid w:val="042EB177"/>
    <w:rsid w:val="042F2C7E"/>
    <w:rsid w:val="0434DDEC"/>
    <w:rsid w:val="0438AF19"/>
    <w:rsid w:val="043BD007"/>
    <w:rsid w:val="0440A214"/>
    <w:rsid w:val="044446D5"/>
    <w:rsid w:val="044722AC"/>
    <w:rsid w:val="045096F4"/>
    <w:rsid w:val="0451C229"/>
    <w:rsid w:val="0454A610"/>
    <w:rsid w:val="04577EAF"/>
    <w:rsid w:val="0457ED1E"/>
    <w:rsid w:val="045D5C6E"/>
    <w:rsid w:val="045D8E76"/>
    <w:rsid w:val="0460B4D9"/>
    <w:rsid w:val="0460F52D"/>
    <w:rsid w:val="0461E8F9"/>
    <w:rsid w:val="046D305B"/>
    <w:rsid w:val="0472463C"/>
    <w:rsid w:val="0473858A"/>
    <w:rsid w:val="04739E01"/>
    <w:rsid w:val="047453FC"/>
    <w:rsid w:val="0476660C"/>
    <w:rsid w:val="04772D50"/>
    <w:rsid w:val="0479DD9A"/>
    <w:rsid w:val="047FA527"/>
    <w:rsid w:val="0480C0AC"/>
    <w:rsid w:val="048368CD"/>
    <w:rsid w:val="04861154"/>
    <w:rsid w:val="0486296C"/>
    <w:rsid w:val="0487C548"/>
    <w:rsid w:val="048971FF"/>
    <w:rsid w:val="048CE80F"/>
    <w:rsid w:val="049116CC"/>
    <w:rsid w:val="0491EE7E"/>
    <w:rsid w:val="0492DDFF"/>
    <w:rsid w:val="0493D208"/>
    <w:rsid w:val="0497BEF1"/>
    <w:rsid w:val="049B9796"/>
    <w:rsid w:val="049F0396"/>
    <w:rsid w:val="04A13731"/>
    <w:rsid w:val="04A48868"/>
    <w:rsid w:val="04A4F25D"/>
    <w:rsid w:val="04A5355B"/>
    <w:rsid w:val="04A747C8"/>
    <w:rsid w:val="04A78BE1"/>
    <w:rsid w:val="04A914DD"/>
    <w:rsid w:val="04AEC716"/>
    <w:rsid w:val="04AED325"/>
    <w:rsid w:val="04AF8A27"/>
    <w:rsid w:val="04AFDA1F"/>
    <w:rsid w:val="04B057D1"/>
    <w:rsid w:val="04B7235C"/>
    <w:rsid w:val="04B9859C"/>
    <w:rsid w:val="04BBE77B"/>
    <w:rsid w:val="04BD3D6C"/>
    <w:rsid w:val="04C209B0"/>
    <w:rsid w:val="04C326A2"/>
    <w:rsid w:val="04C3DFD5"/>
    <w:rsid w:val="04C4D436"/>
    <w:rsid w:val="04C92640"/>
    <w:rsid w:val="04CD5FF5"/>
    <w:rsid w:val="04D1167E"/>
    <w:rsid w:val="04D59758"/>
    <w:rsid w:val="04D62C6B"/>
    <w:rsid w:val="04D79170"/>
    <w:rsid w:val="04D887F1"/>
    <w:rsid w:val="04D893D6"/>
    <w:rsid w:val="04DE8E4F"/>
    <w:rsid w:val="04E01331"/>
    <w:rsid w:val="04E97E92"/>
    <w:rsid w:val="04F0874E"/>
    <w:rsid w:val="04F21241"/>
    <w:rsid w:val="04F51454"/>
    <w:rsid w:val="04FAACAC"/>
    <w:rsid w:val="04FEF6E3"/>
    <w:rsid w:val="0504F7C8"/>
    <w:rsid w:val="05078B9A"/>
    <w:rsid w:val="05090065"/>
    <w:rsid w:val="050B9AF0"/>
    <w:rsid w:val="050E4DB8"/>
    <w:rsid w:val="05155EA3"/>
    <w:rsid w:val="051584B6"/>
    <w:rsid w:val="05173736"/>
    <w:rsid w:val="05174F69"/>
    <w:rsid w:val="051B28AF"/>
    <w:rsid w:val="051CAFB9"/>
    <w:rsid w:val="051CC458"/>
    <w:rsid w:val="051DD938"/>
    <w:rsid w:val="0521EEF0"/>
    <w:rsid w:val="0523E5AC"/>
    <w:rsid w:val="0524938E"/>
    <w:rsid w:val="0527075B"/>
    <w:rsid w:val="052C6065"/>
    <w:rsid w:val="052EB1B9"/>
    <w:rsid w:val="052ED0B2"/>
    <w:rsid w:val="05321372"/>
    <w:rsid w:val="05329225"/>
    <w:rsid w:val="053336BD"/>
    <w:rsid w:val="0533BC59"/>
    <w:rsid w:val="0533EBC4"/>
    <w:rsid w:val="0538533C"/>
    <w:rsid w:val="0538C4A8"/>
    <w:rsid w:val="053C5C1D"/>
    <w:rsid w:val="053D78CC"/>
    <w:rsid w:val="053ED756"/>
    <w:rsid w:val="053F1F61"/>
    <w:rsid w:val="05474FCB"/>
    <w:rsid w:val="054782FB"/>
    <w:rsid w:val="054A2ED5"/>
    <w:rsid w:val="054F55C5"/>
    <w:rsid w:val="05527407"/>
    <w:rsid w:val="0553696E"/>
    <w:rsid w:val="05553336"/>
    <w:rsid w:val="0557CFC3"/>
    <w:rsid w:val="0559631A"/>
    <w:rsid w:val="055A6A10"/>
    <w:rsid w:val="055E2192"/>
    <w:rsid w:val="055FEAC9"/>
    <w:rsid w:val="0566E919"/>
    <w:rsid w:val="056963FA"/>
    <w:rsid w:val="05699E26"/>
    <w:rsid w:val="056ACDE5"/>
    <w:rsid w:val="056CC496"/>
    <w:rsid w:val="056F50E0"/>
    <w:rsid w:val="057132A5"/>
    <w:rsid w:val="0572E6E4"/>
    <w:rsid w:val="05768EFE"/>
    <w:rsid w:val="05826873"/>
    <w:rsid w:val="05847BEF"/>
    <w:rsid w:val="058AC0CC"/>
    <w:rsid w:val="058BC31B"/>
    <w:rsid w:val="058C6F4A"/>
    <w:rsid w:val="05914F32"/>
    <w:rsid w:val="0593DAEE"/>
    <w:rsid w:val="0594FA49"/>
    <w:rsid w:val="0599C634"/>
    <w:rsid w:val="059D4EEC"/>
    <w:rsid w:val="059F6189"/>
    <w:rsid w:val="05A03E13"/>
    <w:rsid w:val="05A399B2"/>
    <w:rsid w:val="05A3D452"/>
    <w:rsid w:val="05A5021E"/>
    <w:rsid w:val="05A53046"/>
    <w:rsid w:val="05ADA44E"/>
    <w:rsid w:val="05B032C6"/>
    <w:rsid w:val="05B564D0"/>
    <w:rsid w:val="05B59F12"/>
    <w:rsid w:val="05B7B9E0"/>
    <w:rsid w:val="05BA1F85"/>
    <w:rsid w:val="05C0E39A"/>
    <w:rsid w:val="05C61575"/>
    <w:rsid w:val="05C6E676"/>
    <w:rsid w:val="05C7AC8D"/>
    <w:rsid w:val="05CC912D"/>
    <w:rsid w:val="05CE4C92"/>
    <w:rsid w:val="05CE8842"/>
    <w:rsid w:val="05D7FC04"/>
    <w:rsid w:val="05DBA09F"/>
    <w:rsid w:val="05DC28C2"/>
    <w:rsid w:val="05DC917A"/>
    <w:rsid w:val="05DDE0AD"/>
    <w:rsid w:val="05E7E930"/>
    <w:rsid w:val="05EB833C"/>
    <w:rsid w:val="05EB9A73"/>
    <w:rsid w:val="05EBF87D"/>
    <w:rsid w:val="05EE10F4"/>
    <w:rsid w:val="05EE38DF"/>
    <w:rsid w:val="05F0DF05"/>
    <w:rsid w:val="05F25189"/>
    <w:rsid w:val="05F31D69"/>
    <w:rsid w:val="05F5B01B"/>
    <w:rsid w:val="05F7036A"/>
    <w:rsid w:val="05F753D8"/>
    <w:rsid w:val="05FCCC00"/>
    <w:rsid w:val="0600AA6A"/>
    <w:rsid w:val="0601F25B"/>
    <w:rsid w:val="0601FCB1"/>
    <w:rsid w:val="060576BC"/>
    <w:rsid w:val="060A3D6E"/>
    <w:rsid w:val="060BE9BB"/>
    <w:rsid w:val="060D0AE6"/>
    <w:rsid w:val="060DFEAF"/>
    <w:rsid w:val="060E09A9"/>
    <w:rsid w:val="0614C8AB"/>
    <w:rsid w:val="061978EC"/>
    <w:rsid w:val="061DA7C0"/>
    <w:rsid w:val="0624F2BB"/>
    <w:rsid w:val="06299ECF"/>
    <w:rsid w:val="062DA454"/>
    <w:rsid w:val="0636AFBE"/>
    <w:rsid w:val="063AD741"/>
    <w:rsid w:val="0643F1AD"/>
    <w:rsid w:val="0648F602"/>
    <w:rsid w:val="0649A25A"/>
    <w:rsid w:val="0649EA48"/>
    <w:rsid w:val="064A9069"/>
    <w:rsid w:val="064A9777"/>
    <w:rsid w:val="064BB4B5"/>
    <w:rsid w:val="064E2DD0"/>
    <w:rsid w:val="064F719C"/>
    <w:rsid w:val="06534B80"/>
    <w:rsid w:val="06536149"/>
    <w:rsid w:val="0653640C"/>
    <w:rsid w:val="065464D9"/>
    <w:rsid w:val="0654C3E9"/>
    <w:rsid w:val="065812C8"/>
    <w:rsid w:val="065AF9B5"/>
    <w:rsid w:val="065EB398"/>
    <w:rsid w:val="065F2F8D"/>
    <w:rsid w:val="06661743"/>
    <w:rsid w:val="066B35E9"/>
    <w:rsid w:val="0675F9EE"/>
    <w:rsid w:val="06777350"/>
    <w:rsid w:val="0679553F"/>
    <w:rsid w:val="0679895E"/>
    <w:rsid w:val="067B1D65"/>
    <w:rsid w:val="067B778F"/>
    <w:rsid w:val="06829025"/>
    <w:rsid w:val="06897DF6"/>
    <w:rsid w:val="0689C1F6"/>
    <w:rsid w:val="068C44B6"/>
    <w:rsid w:val="068F62C5"/>
    <w:rsid w:val="069290F7"/>
    <w:rsid w:val="069390AA"/>
    <w:rsid w:val="06972625"/>
    <w:rsid w:val="06976A06"/>
    <w:rsid w:val="069B49A3"/>
    <w:rsid w:val="069F1D79"/>
    <w:rsid w:val="06A113E2"/>
    <w:rsid w:val="06A28693"/>
    <w:rsid w:val="06A787D3"/>
    <w:rsid w:val="06AB0EDB"/>
    <w:rsid w:val="06ADFB9D"/>
    <w:rsid w:val="06AE8907"/>
    <w:rsid w:val="06AF4BD1"/>
    <w:rsid w:val="06B1BD39"/>
    <w:rsid w:val="06B61717"/>
    <w:rsid w:val="06BBE553"/>
    <w:rsid w:val="06C2DA66"/>
    <w:rsid w:val="06CB4178"/>
    <w:rsid w:val="06D5E43F"/>
    <w:rsid w:val="06D69C00"/>
    <w:rsid w:val="06D7064C"/>
    <w:rsid w:val="06D8BCC0"/>
    <w:rsid w:val="06E6C307"/>
    <w:rsid w:val="06E73026"/>
    <w:rsid w:val="06E8611E"/>
    <w:rsid w:val="06E8A510"/>
    <w:rsid w:val="06E8AE40"/>
    <w:rsid w:val="06E9471A"/>
    <w:rsid w:val="06E9BADF"/>
    <w:rsid w:val="06EB870E"/>
    <w:rsid w:val="06EB8BE9"/>
    <w:rsid w:val="06EC5334"/>
    <w:rsid w:val="06ECADD6"/>
    <w:rsid w:val="06EFCA3B"/>
    <w:rsid w:val="06F31E54"/>
    <w:rsid w:val="06F32ED5"/>
    <w:rsid w:val="06F60599"/>
    <w:rsid w:val="06FA550A"/>
    <w:rsid w:val="06FB17BB"/>
    <w:rsid w:val="06FBE0EB"/>
    <w:rsid w:val="06FE146E"/>
    <w:rsid w:val="07001776"/>
    <w:rsid w:val="0700349B"/>
    <w:rsid w:val="07003621"/>
    <w:rsid w:val="0705B14C"/>
    <w:rsid w:val="0706CDE9"/>
    <w:rsid w:val="0708AF54"/>
    <w:rsid w:val="0708B96C"/>
    <w:rsid w:val="070D99B3"/>
    <w:rsid w:val="070E1AE0"/>
    <w:rsid w:val="070E8E6B"/>
    <w:rsid w:val="0710A68A"/>
    <w:rsid w:val="0717839A"/>
    <w:rsid w:val="0718218F"/>
    <w:rsid w:val="0719194C"/>
    <w:rsid w:val="07191E97"/>
    <w:rsid w:val="071A9925"/>
    <w:rsid w:val="071DCC9A"/>
    <w:rsid w:val="07227DC7"/>
    <w:rsid w:val="0725763B"/>
    <w:rsid w:val="072B23AA"/>
    <w:rsid w:val="072CD5A9"/>
    <w:rsid w:val="07341A83"/>
    <w:rsid w:val="074246F8"/>
    <w:rsid w:val="074647F0"/>
    <w:rsid w:val="074959E9"/>
    <w:rsid w:val="074BD2DD"/>
    <w:rsid w:val="074E5C31"/>
    <w:rsid w:val="07550572"/>
    <w:rsid w:val="0756E43D"/>
    <w:rsid w:val="075750FC"/>
    <w:rsid w:val="075B9EEA"/>
    <w:rsid w:val="07631E20"/>
    <w:rsid w:val="0763D9AF"/>
    <w:rsid w:val="0768F729"/>
    <w:rsid w:val="07698BAC"/>
    <w:rsid w:val="076AAFBA"/>
    <w:rsid w:val="076B50EB"/>
    <w:rsid w:val="076E185B"/>
    <w:rsid w:val="0771023C"/>
    <w:rsid w:val="0772AAB1"/>
    <w:rsid w:val="0772D0DB"/>
    <w:rsid w:val="07746FB6"/>
    <w:rsid w:val="07749C6B"/>
    <w:rsid w:val="078453CF"/>
    <w:rsid w:val="0784E5B6"/>
    <w:rsid w:val="07884C93"/>
    <w:rsid w:val="078BFB1E"/>
    <w:rsid w:val="078C5A0B"/>
    <w:rsid w:val="078CF671"/>
    <w:rsid w:val="078ED090"/>
    <w:rsid w:val="07912A79"/>
    <w:rsid w:val="0793CE9C"/>
    <w:rsid w:val="07944862"/>
    <w:rsid w:val="0799B357"/>
    <w:rsid w:val="079DB22F"/>
    <w:rsid w:val="07A2E5FC"/>
    <w:rsid w:val="07A5D71E"/>
    <w:rsid w:val="07A984C5"/>
    <w:rsid w:val="07AC5F41"/>
    <w:rsid w:val="07B427E5"/>
    <w:rsid w:val="07B733DC"/>
    <w:rsid w:val="07BA97AE"/>
    <w:rsid w:val="07BDD765"/>
    <w:rsid w:val="07CBC718"/>
    <w:rsid w:val="07CC25D7"/>
    <w:rsid w:val="07D45318"/>
    <w:rsid w:val="07D62E38"/>
    <w:rsid w:val="07D8D026"/>
    <w:rsid w:val="07E27540"/>
    <w:rsid w:val="07E2BEF2"/>
    <w:rsid w:val="07E7867E"/>
    <w:rsid w:val="07EFBC4A"/>
    <w:rsid w:val="07F3EA2B"/>
    <w:rsid w:val="07F51E7D"/>
    <w:rsid w:val="07F628E0"/>
    <w:rsid w:val="07FA27EE"/>
    <w:rsid w:val="07FADACA"/>
    <w:rsid w:val="07FD2837"/>
    <w:rsid w:val="0804A054"/>
    <w:rsid w:val="0805651B"/>
    <w:rsid w:val="0805F5B0"/>
    <w:rsid w:val="08065CA4"/>
    <w:rsid w:val="0807BA29"/>
    <w:rsid w:val="0808FA65"/>
    <w:rsid w:val="080DA8D9"/>
    <w:rsid w:val="080E1D18"/>
    <w:rsid w:val="08134B82"/>
    <w:rsid w:val="081BFA19"/>
    <w:rsid w:val="0823DB5A"/>
    <w:rsid w:val="08264BA1"/>
    <w:rsid w:val="08297D4B"/>
    <w:rsid w:val="082DFA5D"/>
    <w:rsid w:val="083137B9"/>
    <w:rsid w:val="0832E985"/>
    <w:rsid w:val="08334F32"/>
    <w:rsid w:val="08351609"/>
    <w:rsid w:val="08374E91"/>
    <w:rsid w:val="0838643B"/>
    <w:rsid w:val="0838ADA2"/>
    <w:rsid w:val="0840A127"/>
    <w:rsid w:val="0840BA63"/>
    <w:rsid w:val="0842DB60"/>
    <w:rsid w:val="0843E026"/>
    <w:rsid w:val="0846E017"/>
    <w:rsid w:val="08484AAD"/>
    <w:rsid w:val="0855D2B7"/>
    <w:rsid w:val="085913D4"/>
    <w:rsid w:val="085A876E"/>
    <w:rsid w:val="085B1CCE"/>
    <w:rsid w:val="085B7574"/>
    <w:rsid w:val="085EFD9B"/>
    <w:rsid w:val="08615C00"/>
    <w:rsid w:val="0863007A"/>
    <w:rsid w:val="0866C1E5"/>
    <w:rsid w:val="086707C6"/>
    <w:rsid w:val="0868EFE7"/>
    <w:rsid w:val="086DEC94"/>
    <w:rsid w:val="086F4A54"/>
    <w:rsid w:val="086FEFBD"/>
    <w:rsid w:val="087708B9"/>
    <w:rsid w:val="08784C1B"/>
    <w:rsid w:val="087D4913"/>
    <w:rsid w:val="087E36D7"/>
    <w:rsid w:val="088076E7"/>
    <w:rsid w:val="088132FB"/>
    <w:rsid w:val="0884822F"/>
    <w:rsid w:val="088D6243"/>
    <w:rsid w:val="088E5B52"/>
    <w:rsid w:val="08903116"/>
    <w:rsid w:val="0890C591"/>
    <w:rsid w:val="0892BB49"/>
    <w:rsid w:val="0898028D"/>
    <w:rsid w:val="089F6DE0"/>
    <w:rsid w:val="08A05DFA"/>
    <w:rsid w:val="08A4541B"/>
    <w:rsid w:val="08A71DFC"/>
    <w:rsid w:val="08ACDE47"/>
    <w:rsid w:val="08AF663D"/>
    <w:rsid w:val="08B03624"/>
    <w:rsid w:val="08B669A6"/>
    <w:rsid w:val="08B7885D"/>
    <w:rsid w:val="08B803E3"/>
    <w:rsid w:val="08B98474"/>
    <w:rsid w:val="08BA1479"/>
    <w:rsid w:val="08BCF378"/>
    <w:rsid w:val="08BDADBD"/>
    <w:rsid w:val="08C47CD3"/>
    <w:rsid w:val="08C4D2CC"/>
    <w:rsid w:val="08C5E734"/>
    <w:rsid w:val="08C6E648"/>
    <w:rsid w:val="08C942A6"/>
    <w:rsid w:val="08CA825E"/>
    <w:rsid w:val="08CB10DF"/>
    <w:rsid w:val="08CBB494"/>
    <w:rsid w:val="08CD0D8F"/>
    <w:rsid w:val="08CE86D6"/>
    <w:rsid w:val="08CEE361"/>
    <w:rsid w:val="08D684A3"/>
    <w:rsid w:val="08D72DE9"/>
    <w:rsid w:val="08D78CFA"/>
    <w:rsid w:val="08D891D8"/>
    <w:rsid w:val="08D8B72E"/>
    <w:rsid w:val="08D95BD3"/>
    <w:rsid w:val="08DAEA45"/>
    <w:rsid w:val="08E43A78"/>
    <w:rsid w:val="08E58C86"/>
    <w:rsid w:val="08E6E51F"/>
    <w:rsid w:val="08E835F5"/>
    <w:rsid w:val="08E96928"/>
    <w:rsid w:val="08EAB5BA"/>
    <w:rsid w:val="08F1C2E5"/>
    <w:rsid w:val="08F1F9CE"/>
    <w:rsid w:val="08F35D48"/>
    <w:rsid w:val="08F4B4AB"/>
    <w:rsid w:val="08F4D3E8"/>
    <w:rsid w:val="08F633AB"/>
    <w:rsid w:val="08F658C5"/>
    <w:rsid w:val="08F6E10E"/>
    <w:rsid w:val="08F88D03"/>
    <w:rsid w:val="08F95171"/>
    <w:rsid w:val="09010949"/>
    <w:rsid w:val="09061D50"/>
    <w:rsid w:val="0906298D"/>
    <w:rsid w:val="0907214C"/>
    <w:rsid w:val="09084613"/>
    <w:rsid w:val="090C3B1F"/>
    <w:rsid w:val="091142EF"/>
    <w:rsid w:val="091156F4"/>
    <w:rsid w:val="09200C11"/>
    <w:rsid w:val="09208C4B"/>
    <w:rsid w:val="09238612"/>
    <w:rsid w:val="09244040"/>
    <w:rsid w:val="0928A39D"/>
    <w:rsid w:val="0928E569"/>
    <w:rsid w:val="09295C99"/>
    <w:rsid w:val="092BEBA5"/>
    <w:rsid w:val="092C7CC6"/>
    <w:rsid w:val="092CCC72"/>
    <w:rsid w:val="092E07F2"/>
    <w:rsid w:val="092E63C2"/>
    <w:rsid w:val="092EB0CD"/>
    <w:rsid w:val="092F7D7C"/>
    <w:rsid w:val="092FC03B"/>
    <w:rsid w:val="09336ED2"/>
    <w:rsid w:val="0938F8D8"/>
    <w:rsid w:val="093EEEB5"/>
    <w:rsid w:val="093F63DD"/>
    <w:rsid w:val="09403624"/>
    <w:rsid w:val="0941EE91"/>
    <w:rsid w:val="09433B20"/>
    <w:rsid w:val="0943C94E"/>
    <w:rsid w:val="0944F009"/>
    <w:rsid w:val="09458DD5"/>
    <w:rsid w:val="0946D74F"/>
    <w:rsid w:val="0949842A"/>
    <w:rsid w:val="094DD097"/>
    <w:rsid w:val="094F523D"/>
    <w:rsid w:val="09525FE5"/>
    <w:rsid w:val="09537FAB"/>
    <w:rsid w:val="09554BF1"/>
    <w:rsid w:val="0955A40E"/>
    <w:rsid w:val="09571A67"/>
    <w:rsid w:val="095815B3"/>
    <w:rsid w:val="095E8128"/>
    <w:rsid w:val="096309B3"/>
    <w:rsid w:val="0967515C"/>
    <w:rsid w:val="096DBDAB"/>
    <w:rsid w:val="096E2FF3"/>
    <w:rsid w:val="096FFA7E"/>
    <w:rsid w:val="0972D58F"/>
    <w:rsid w:val="098245B0"/>
    <w:rsid w:val="0985CE92"/>
    <w:rsid w:val="0986A5A4"/>
    <w:rsid w:val="0988B140"/>
    <w:rsid w:val="098ADD31"/>
    <w:rsid w:val="098B5F44"/>
    <w:rsid w:val="098D62B5"/>
    <w:rsid w:val="098E47FC"/>
    <w:rsid w:val="0990C213"/>
    <w:rsid w:val="09932DA2"/>
    <w:rsid w:val="0993A0FB"/>
    <w:rsid w:val="0999EAF0"/>
    <w:rsid w:val="099B2F9D"/>
    <w:rsid w:val="099B6096"/>
    <w:rsid w:val="099B9CAD"/>
    <w:rsid w:val="099EF542"/>
    <w:rsid w:val="09A3C289"/>
    <w:rsid w:val="09AB7837"/>
    <w:rsid w:val="09AE5C20"/>
    <w:rsid w:val="09B0DCA8"/>
    <w:rsid w:val="09B37F28"/>
    <w:rsid w:val="09B5D783"/>
    <w:rsid w:val="09B658C0"/>
    <w:rsid w:val="09B80DEE"/>
    <w:rsid w:val="09B952AA"/>
    <w:rsid w:val="09BBA21A"/>
    <w:rsid w:val="09BC8BBD"/>
    <w:rsid w:val="09BF0319"/>
    <w:rsid w:val="09BF5BDC"/>
    <w:rsid w:val="09C18CE6"/>
    <w:rsid w:val="09C1D073"/>
    <w:rsid w:val="09C1F828"/>
    <w:rsid w:val="09C286C2"/>
    <w:rsid w:val="09C7A620"/>
    <w:rsid w:val="09C7C7BF"/>
    <w:rsid w:val="09C97D2E"/>
    <w:rsid w:val="09CD3A69"/>
    <w:rsid w:val="09CF36FD"/>
    <w:rsid w:val="09D18C32"/>
    <w:rsid w:val="09D4ADE6"/>
    <w:rsid w:val="09DC8CAA"/>
    <w:rsid w:val="09DD2A55"/>
    <w:rsid w:val="09DEABC1"/>
    <w:rsid w:val="09E295E2"/>
    <w:rsid w:val="09E52681"/>
    <w:rsid w:val="09E62E1D"/>
    <w:rsid w:val="09E7D774"/>
    <w:rsid w:val="09E8F871"/>
    <w:rsid w:val="09E9E5E1"/>
    <w:rsid w:val="09ECEF80"/>
    <w:rsid w:val="09ED5EBE"/>
    <w:rsid w:val="09EDB7D9"/>
    <w:rsid w:val="09EFD407"/>
    <w:rsid w:val="09F444F0"/>
    <w:rsid w:val="09F75E4E"/>
    <w:rsid w:val="09F9E6C7"/>
    <w:rsid w:val="09FAFC27"/>
    <w:rsid w:val="09FF64B2"/>
    <w:rsid w:val="0A056258"/>
    <w:rsid w:val="0A077997"/>
    <w:rsid w:val="0A0B81EC"/>
    <w:rsid w:val="0A0C9B1F"/>
    <w:rsid w:val="0A0E035D"/>
    <w:rsid w:val="0A10D51C"/>
    <w:rsid w:val="0A167340"/>
    <w:rsid w:val="0A17422E"/>
    <w:rsid w:val="0A1962DD"/>
    <w:rsid w:val="0A1B8965"/>
    <w:rsid w:val="0A1E8AB5"/>
    <w:rsid w:val="0A21A1EF"/>
    <w:rsid w:val="0A2A3866"/>
    <w:rsid w:val="0A2CF3F4"/>
    <w:rsid w:val="0A2D2363"/>
    <w:rsid w:val="0A2D32D9"/>
    <w:rsid w:val="0A2D6C7E"/>
    <w:rsid w:val="0A2D7999"/>
    <w:rsid w:val="0A2F7B9F"/>
    <w:rsid w:val="0A33D356"/>
    <w:rsid w:val="0A363F33"/>
    <w:rsid w:val="0A3649EA"/>
    <w:rsid w:val="0A3AD2AA"/>
    <w:rsid w:val="0A421432"/>
    <w:rsid w:val="0A432845"/>
    <w:rsid w:val="0A458253"/>
    <w:rsid w:val="0A4B2A91"/>
    <w:rsid w:val="0A4D00EE"/>
    <w:rsid w:val="0A4DD488"/>
    <w:rsid w:val="0A4EC1DA"/>
    <w:rsid w:val="0A54D23B"/>
    <w:rsid w:val="0A575916"/>
    <w:rsid w:val="0A5B5CDF"/>
    <w:rsid w:val="0A5E6A93"/>
    <w:rsid w:val="0A61956E"/>
    <w:rsid w:val="0A621996"/>
    <w:rsid w:val="0A687248"/>
    <w:rsid w:val="0A69F158"/>
    <w:rsid w:val="0A6B807D"/>
    <w:rsid w:val="0A6DAD1E"/>
    <w:rsid w:val="0A72A4E7"/>
    <w:rsid w:val="0A7815AA"/>
    <w:rsid w:val="0A787E42"/>
    <w:rsid w:val="0A7B88F7"/>
    <w:rsid w:val="0A7FF91C"/>
    <w:rsid w:val="0A813417"/>
    <w:rsid w:val="0A848B3C"/>
    <w:rsid w:val="0A859045"/>
    <w:rsid w:val="0A895C2C"/>
    <w:rsid w:val="0A8F6D31"/>
    <w:rsid w:val="0A8FAC43"/>
    <w:rsid w:val="0A9023C2"/>
    <w:rsid w:val="0A9105DF"/>
    <w:rsid w:val="0A940AE4"/>
    <w:rsid w:val="0A9443F2"/>
    <w:rsid w:val="0A991ED7"/>
    <w:rsid w:val="0A994F23"/>
    <w:rsid w:val="0A9B250B"/>
    <w:rsid w:val="0A9C8A55"/>
    <w:rsid w:val="0A9CBF22"/>
    <w:rsid w:val="0AA2F1AD"/>
    <w:rsid w:val="0AA80E48"/>
    <w:rsid w:val="0AA9D6C4"/>
    <w:rsid w:val="0AAADF33"/>
    <w:rsid w:val="0AAAED4F"/>
    <w:rsid w:val="0AAC7D63"/>
    <w:rsid w:val="0AADC8E9"/>
    <w:rsid w:val="0AAF4203"/>
    <w:rsid w:val="0AAF50A9"/>
    <w:rsid w:val="0AB0185F"/>
    <w:rsid w:val="0AB321B1"/>
    <w:rsid w:val="0AB3D2D9"/>
    <w:rsid w:val="0AC24F2D"/>
    <w:rsid w:val="0AC5E0D2"/>
    <w:rsid w:val="0AC7F6C3"/>
    <w:rsid w:val="0AC977AE"/>
    <w:rsid w:val="0AC97A13"/>
    <w:rsid w:val="0ACA9339"/>
    <w:rsid w:val="0ACAB41D"/>
    <w:rsid w:val="0AD79056"/>
    <w:rsid w:val="0AD81708"/>
    <w:rsid w:val="0AD86979"/>
    <w:rsid w:val="0ADDF1CB"/>
    <w:rsid w:val="0ADF950C"/>
    <w:rsid w:val="0ADFE37A"/>
    <w:rsid w:val="0AE08A32"/>
    <w:rsid w:val="0AE1C13B"/>
    <w:rsid w:val="0AE74BFF"/>
    <w:rsid w:val="0AEA1201"/>
    <w:rsid w:val="0AEF42FD"/>
    <w:rsid w:val="0AF008DA"/>
    <w:rsid w:val="0AF1E5C7"/>
    <w:rsid w:val="0AF3A50F"/>
    <w:rsid w:val="0AF5B1A3"/>
    <w:rsid w:val="0AF5FE54"/>
    <w:rsid w:val="0AF654E4"/>
    <w:rsid w:val="0AF77F9E"/>
    <w:rsid w:val="0AFEDA14"/>
    <w:rsid w:val="0AFF8AA7"/>
    <w:rsid w:val="0B058EA8"/>
    <w:rsid w:val="0B06C27B"/>
    <w:rsid w:val="0B06E9F7"/>
    <w:rsid w:val="0B1127E7"/>
    <w:rsid w:val="0B13A37C"/>
    <w:rsid w:val="0B17431C"/>
    <w:rsid w:val="0B266CFF"/>
    <w:rsid w:val="0B2787DF"/>
    <w:rsid w:val="0B29536C"/>
    <w:rsid w:val="0B2C3896"/>
    <w:rsid w:val="0B2DF389"/>
    <w:rsid w:val="0B3219D4"/>
    <w:rsid w:val="0B351C96"/>
    <w:rsid w:val="0B355C72"/>
    <w:rsid w:val="0B3B2D3F"/>
    <w:rsid w:val="0B401F55"/>
    <w:rsid w:val="0B4100D3"/>
    <w:rsid w:val="0B4409F2"/>
    <w:rsid w:val="0B487E7E"/>
    <w:rsid w:val="0B4A5AF0"/>
    <w:rsid w:val="0B4DCADF"/>
    <w:rsid w:val="0B4E22B7"/>
    <w:rsid w:val="0B4F11F2"/>
    <w:rsid w:val="0B505158"/>
    <w:rsid w:val="0B5706AC"/>
    <w:rsid w:val="0B590187"/>
    <w:rsid w:val="0B59E269"/>
    <w:rsid w:val="0B5A11C2"/>
    <w:rsid w:val="0B5AD0C4"/>
    <w:rsid w:val="0B5BB7AA"/>
    <w:rsid w:val="0B5D09EA"/>
    <w:rsid w:val="0B5FAFE7"/>
    <w:rsid w:val="0B621B55"/>
    <w:rsid w:val="0B6493E6"/>
    <w:rsid w:val="0B66021A"/>
    <w:rsid w:val="0B695B90"/>
    <w:rsid w:val="0B6A8698"/>
    <w:rsid w:val="0B6BFC1F"/>
    <w:rsid w:val="0B6CC2C8"/>
    <w:rsid w:val="0B705AB2"/>
    <w:rsid w:val="0B7135CA"/>
    <w:rsid w:val="0B737EF8"/>
    <w:rsid w:val="0B7F5592"/>
    <w:rsid w:val="0B869072"/>
    <w:rsid w:val="0B993F6D"/>
    <w:rsid w:val="0B9A55E4"/>
    <w:rsid w:val="0B9CF0E4"/>
    <w:rsid w:val="0B9F9131"/>
    <w:rsid w:val="0BA14FA9"/>
    <w:rsid w:val="0BA178A0"/>
    <w:rsid w:val="0BA24B75"/>
    <w:rsid w:val="0BA2BA44"/>
    <w:rsid w:val="0BA3A003"/>
    <w:rsid w:val="0BA3A07D"/>
    <w:rsid w:val="0BA58430"/>
    <w:rsid w:val="0BAC92AB"/>
    <w:rsid w:val="0BAF46FF"/>
    <w:rsid w:val="0BB10DE1"/>
    <w:rsid w:val="0BB60507"/>
    <w:rsid w:val="0BB8B324"/>
    <w:rsid w:val="0BBC34F7"/>
    <w:rsid w:val="0BBEFA4B"/>
    <w:rsid w:val="0BC116AF"/>
    <w:rsid w:val="0BC14A66"/>
    <w:rsid w:val="0BC56153"/>
    <w:rsid w:val="0BC75B7D"/>
    <w:rsid w:val="0BCB6F1C"/>
    <w:rsid w:val="0BCC734B"/>
    <w:rsid w:val="0BD4691C"/>
    <w:rsid w:val="0BE21D92"/>
    <w:rsid w:val="0BE5447A"/>
    <w:rsid w:val="0BE9F65D"/>
    <w:rsid w:val="0BEA8131"/>
    <w:rsid w:val="0BEB6DED"/>
    <w:rsid w:val="0BEBF1AA"/>
    <w:rsid w:val="0BEC7B27"/>
    <w:rsid w:val="0BEDC76B"/>
    <w:rsid w:val="0BF14486"/>
    <w:rsid w:val="0BF3072F"/>
    <w:rsid w:val="0BF371A7"/>
    <w:rsid w:val="0BF7F37C"/>
    <w:rsid w:val="0BF866C2"/>
    <w:rsid w:val="0BFF5D63"/>
    <w:rsid w:val="0C042BB5"/>
    <w:rsid w:val="0C19249D"/>
    <w:rsid w:val="0C1B2FEB"/>
    <w:rsid w:val="0C1B9B69"/>
    <w:rsid w:val="0C246590"/>
    <w:rsid w:val="0C28DA2B"/>
    <w:rsid w:val="0C2CCAAF"/>
    <w:rsid w:val="0C2D14FB"/>
    <w:rsid w:val="0C30DED6"/>
    <w:rsid w:val="0C3125C7"/>
    <w:rsid w:val="0C31433C"/>
    <w:rsid w:val="0C31DA4B"/>
    <w:rsid w:val="0C326DE7"/>
    <w:rsid w:val="0C345C4C"/>
    <w:rsid w:val="0C35E12B"/>
    <w:rsid w:val="0C385ED7"/>
    <w:rsid w:val="0C3FF24A"/>
    <w:rsid w:val="0C41900F"/>
    <w:rsid w:val="0C43BD8F"/>
    <w:rsid w:val="0C4413B8"/>
    <w:rsid w:val="0C456091"/>
    <w:rsid w:val="0C476AC7"/>
    <w:rsid w:val="0C4F7D69"/>
    <w:rsid w:val="0C54F18F"/>
    <w:rsid w:val="0C564B4D"/>
    <w:rsid w:val="0C580489"/>
    <w:rsid w:val="0C5E8016"/>
    <w:rsid w:val="0C5EA46F"/>
    <w:rsid w:val="0C5EECDB"/>
    <w:rsid w:val="0C5FC1B1"/>
    <w:rsid w:val="0C60145F"/>
    <w:rsid w:val="0C63B867"/>
    <w:rsid w:val="0C663D20"/>
    <w:rsid w:val="0C66CA6D"/>
    <w:rsid w:val="0C68EBDD"/>
    <w:rsid w:val="0C6A231C"/>
    <w:rsid w:val="0C6C2B1B"/>
    <w:rsid w:val="0C6E9C94"/>
    <w:rsid w:val="0C73D6DD"/>
    <w:rsid w:val="0C74C0A8"/>
    <w:rsid w:val="0C79EB94"/>
    <w:rsid w:val="0C7B6A10"/>
    <w:rsid w:val="0C8089FB"/>
    <w:rsid w:val="0C81ECE3"/>
    <w:rsid w:val="0C8500E5"/>
    <w:rsid w:val="0C85903A"/>
    <w:rsid w:val="0C885B38"/>
    <w:rsid w:val="0C89164D"/>
    <w:rsid w:val="0C896540"/>
    <w:rsid w:val="0C89C59E"/>
    <w:rsid w:val="0C8D18BF"/>
    <w:rsid w:val="0C9135F0"/>
    <w:rsid w:val="0C91FA37"/>
    <w:rsid w:val="0C96083A"/>
    <w:rsid w:val="0C99AD44"/>
    <w:rsid w:val="0C9A43C1"/>
    <w:rsid w:val="0CA33F34"/>
    <w:rsid w:val="0CA72A87"/>
    <w:rsid w:val="0CAAD1E8"/>
    <w:rsid w:val="0CAD3A02"/>
    <w:rsid w:val="0CB16BF0"/>
    <w:rsid w:val="0CB35452"/>
    <w:rsid w:val="0CB4CEFE"/>
    <w:rsid w:val="0CB5F540"/>
    <w:rsid w:val="0CB8D3BB"/>
    <w:rsid w:val="0CBA289F"/>
    <w:rsid w:val="0CBDCB1E"/>
    <w:rsid w:val="0CC052E4"/>
    <w:rsid w:val="0CC2B937"/>
    <w:rsid w:val="0CC6951F"/>
    <w:rsid w:val="0CCAECEC"/>
    <w:rsid w:val="0CCB36CB"/>
    <w:rsid w:val="0CD138AB"/>
    <w:rsid w:val="0CD32C22"/>
    <w:rsid w:val="0CD4B65E"/>
    <w:rsid w:val="0CD5BAF8"/>
    <w:rsid w:val="0CD92606"/>
    <w:rsid w:val="0CDB9A92"/>
    <w:rsid w:val="0CDE9888"/>
    <w:rsid w:val="0CE40158"/>
    <w:rsid w:val="0CE75386"/>
    <w:rsid w:val="0CEC62C7"/>
    <w:rsid w:val="0CF5EBD6"/>
    <w:rsid w:val="0CFCEECE"/>
    <w:rsid w:val="0D008549"/>
    <w:rsid w:val="0D01533A"/>
    <w:rsid w:val="0D01ECE4"/>
    <w:rsid w:val="0D02B86F"/>
    <w:rsid w:val="0D02F0AF"/>
    <w:rsid w:val="0D03C6B2"/>
    <w:rsid w:val="0D042ABD"/>
    <w:rsid w:val="0D07530C"/>
    <w:rsid w:val="0D092F71"/>
    <w:rsid w:val="0D0D3BA0"/>
    <w:rsid w:val="0D0EB58B"/>
    <w:rsid w:val="0D0FFA77"/>
    <w:rsid w:val="0D11E6F5"/>
    <w:rsid w:val="0D1287A9"/>
    <w:rsid w:val="0D1427FD"/>
    <w:rsid w:val="0D15430D"/>
    <w:rsid w:val="0D183947"/>
    <w:rsid w:val="0D18486E"/>
    <w:rsid w:val="0D1DCEDF"/>
    <w:rsid w:val="0D204918"/>
    <w:rsid w:val="0D20AD64"/>
    <w:rsid w:val="0D289B63"/>
    <w:rsid w:val="0D37E5DE"/>
    <w:rsid w:val="0D382628"/>
    <w:rsid w:val="0D3A11CB"/>
    <w:rsid w:val="0D3FF0F1"/>
    <w:rsid w:val="0D418ACC"/>
    <w:rsid w:val="0D41FF51"/>
    <w:rsid w:val="0D4259CD"/>
    <w:rsid w:val="0D45BF65"/>
    <w:rsid w:val="0D4BAB1A"/>
    <w:rsid w:val="0D50D77E"/>
    <w:rsid w:val="0D526B73"/>
    <w:rsid w:val="0D5CF8DC"/>
    <w:rsid w:val="0D5F6938"/>
    <w:rsid w:val="0D6003E3"/>
    <w:rsid w:val="0D619930"/>
    <w:rsid w:val="0D650697"/>
    <w:rsid w:val="0D6869EC"/>
    <w:rsid w:val="0D6E75EF"/>
    <w:rsid w:val="0D6E9F2C"/>
    <w:rsid w:val="0D7208E6"/>
    <w:rsid w:val="0D72BE9D"/>
    <w:rsid w:val="0D73AC61"/>
    <w:rsid w:val="0D7AB277"/>
    <w:rsid w:val="0D7FEA12"/>
    <w:rsid w:val="0D84ED82"/>
    <w:rsid w:val="0D88AF7A"/>
    <w:rsid w:val="0D8CBEC4"/>
    <w:rsid w:val="0D909AD5"/>
    <w:rsid w:val="0D90B428"/>
    <w:rsid w:val="0D931965"/>
    <w:rsid w:val="0D9935EE"/>
    <w:rsid w:val="0D9C2609"/>
    <w:rsid w:val="0D9D6C87"/>
    <w:rsid w:val="0D9EDD60"/>
    <w:rsid w:val="0DA5EF6D"/>
    <w:rsid w:val="0DA8951B"/>
    <w:rsid w:val="0DAC4AD5"/>
    <w:rsid w:val="0DAC5AE4"/>
    <w:rsid w:val="0DAEAB97"/>
    <w:rsid w:val="0DAF9397"/>
    <w:rsid w:val="0DBB8C09"/>
    <w:rsid w:val="0DBC2381"/>
    <w:rsid w:val="0DBD2D6D"/>
    <w:rsid w:val="0DBFCA95"/>
    <w:rsid w:val="0DC0C12B"/>
    <w:rsid w:val="0DC2717C"/>
    <w:rsid w:val="0DC56088"/>
    <w:rsid w:val="0DCAE3AC"/>
    <w:rsid w:val="0DD0A6A9"/>
    <w:rsid w:val="0DD0C579"/>
    <w:rsid w:val="0DD1B18C"/>
    <w:rsid w:val="0DDFAF0A"/>
    <w:rsid w:val="0DE03C9F"/>
    <w:rsid w:val="0DE1CCA9"/>
    <w:rsid w:val="0DE525BD"/>
    <w:rsid w:val="0DE6EBFD"/>
    <w:rsid w:val="0DE7C803"/>
    <w:rsid w:val="0DE7D636"/>
    <w:rsid w:val="0DE8F292"/>
    <w:rsid w:val="0DF0ED69"/>
    <w:rsid w:val="0DF379E2"/>
    <w:rsid w:val="0DF3A35E"/>
    <w:rsid w:val="0DF49856"/>
    <w:rsid w:val="0DF4D391"/>
    <w:rsid w:val="0DF5748F"/>
    <w:rsid w:val="0DFC0281"/>
    <w:rsid w:val="0DFC1BBB"/>
    <w:rsid w:val="0DFCE905"/>
    <w:rsid w:val="0DFEABC3"/>
    <w:rsid w:val="0E00CB0E"/>
    <w:rsid w:val="0E020D4F"/>
    <w:rsid w:val="0E0385B3"/>
    <w:rsid w:val="0E07CFF8"/>
    <w:rsid w:val="0E136051"/>
    <w:rsid w:val="0E13C464"/>
    <w:rsid w:val="0E1432F1"/>
    <w:rsid w:val="0E146FF3"/>
    <w:rsid w:val="0E14FEB9"/>
    <w:rsid w:val="0E15FDFA"/>
    <w:rsid w:val="0E1850F2"/>
    <w:rsid w:val="0E1D4884"/>
    <w:rsid w:val="0E1F740E"/>
    <w:rsid w:val="0E214F83"/>
    <w:rsid w:val="0E21A163"/>
    <w:rsid w:val="0E23FA07"/>
    <w:rsid w:val="0E24579B"/>
    <w:rsid w:val="0E24A1D1"/>
    <w:rsid w:val="0E270EE1"/>
    <w:rsid w:val="0E296675"/>
    <w:rsid w:val="0E2B0863"/>
    <w:rsid w:val="0E2C5FD5"/>
    <w:rsid w:val="0E2CDAC7"/>
    <w:rsid w:val="0E2FDC7F"/>
    <w:rsid w:val="0E317040"/>
    <w:rsid w:val="0E31A3E9"/>
    <w:rsid w:val="0E31DF79"/>
    <w:rsid w:val="0E3432F1"/>
    <w:rsid w:val="0E37FA16"/>
    <w:rsid w:val="0E3C4E0B"/>
    <w:rsid w:val="0E3C90CD"/>
    <w:rsid w:val="0E3D9BFD"/>
    <w:rsid w:val="0E43AED4"/>
    <w:rsid w:val="0E449A11"/>
    <w:rsid w:val="0E46AB00"/>
    <w:rsid w:val="0E47E113"/>
    <w:rsid w:val="0E488D05"/>
    <w:rsid w:val="0E49F068"/>
    <w:rsid w:val="0E4F5ECC"/>
    <w:rsid w:val="0E55272F"/>
    <w:rsid w:val="0E564B50"/>
    <w:rsid w:val="0E568965"/>
    <w:rsid w:val="0E64143C"/>
    <w:rsid w:val="0E667A62"/>
    <w:rsid w:val="0E69EF34"/>
    <w:rsid w:val="0E6C7272"/>
    <w:rsid w:val="0E6CB479"/>
    <w:rsid w:val="0E6DD390"/>
    <w:rsid w:val="0E728975"/>
    <w:rsid w:val="0E72E6CF"/>
    <w:rsid w:val="0E773F8C"/>
    <w:rsid w:val="0E791A24"/>
    <w:rsid w:val="0E80C26D"/>
    <w:rsid w:val="0E851E4E"/>
    <w:rsid w:val="0E862D38"/>
    <w:rsid w:val="0E8FA9FE"/>
    <w:rsid w:val="0E92A27B"/>
    <w:rsid w:val="0E935C4B"/>
    <w:rsid w:val="0E97AA69"/>
    <w:rsid w:val="0E9CDBC5"/>
    <w:rsid w:val="0E9D6EE4"/>
    <w:rsid w:val="0E9EC110"/>
    <w:rsid w:val="0EA3F22E"/>
    <w:rsid w:val="0EA70702"/>
    <w:rsid w:val="0EA7F8EE"/>
    <w:rsid w:val="0EABEBDE"/>
    <w:rsid w:val="0EAC58B0"/>
    <w:rsid w:val="0EB15405"/>
    <w:rsid w:val="0EB23941"/>
    <w:rsid w:val="0EB809ED"/>
    <w:rsid w:val="0EB9992E"/>
    <w:rsid w:val="0EBBB6C7"/>
    <w:rsid w:val="0EBD1A8B"/>
    <w:rsid w:val="0EBD36FB"/>
    <w:rsid w:val="0EBD7831"/>
    <w:rsid w:val="0EBE4AF7"/>
    <w:rsid w:val="0EC23DBD"/>
    <w:rsid w:val="0EC38515"/>
    <w:rsid w:val="0ECE77D8"/>
    <w:rsid w:val="0ECEA0F5"/>
    <w:rsid w:val="0ED2F973"/>
    <w:rsid w:val="0ED6494A"/>
    <w:rsid w:val="0EDCC436"/>
    <w:rsid w:val="0EDDF70C"/>
    <w:rsid w:val="0EDEBDF4"/>
    <w:rsid w:val="0EE19AC8"/>
    <w:rsid w:val="0EEB2461"/>
    <w:rsid w:val="0EF01293"/>
    <w:rsid w:val="0EF38EE2"/>
    <w:rsid w:val="0EF92CC2"/>
    <w:rsid w:val="0EFA53C1"/>
    <w:rsid w:val="0EFB8C83"/>
    <w:rsid w:val="0EFCDBB6"/>
    <w:rsid w:val="0F0AE31C"/>
    <w:rsid w:val="0F0BDFBE"/>
    <w:rsid w:val="0F0E27AA"/>
    <w:rsid w:val="0F13A1DF"/>
    <w:rsid w:val="0F181CEE"/>
    <w:rsid w:val="0F1E5FC7"/>
    <w:rsid w:val="0F2CC3D7"/>
    <w:rsid w:val="0F2CF866"/>
    <w:rsid w:val="0F2D26CD"/>
    <w:rsid w:val="0F2F1A7D"/>
    <w:rsid w:val="0F3106C7"/>
    <w:rsid w:val="0F37A378"/>
    <w:rsid w:val="0F3A0F9B"/>
    <w:rsid w:val="0F422B44"/>
    <w:rsid w:val="0F431EB9"/>
    <w:rsid w:val="0F44D4EE"/>
    <w:rsid w:val="0F4611B0"/>
    <w:rsid w:val="0F466DF5"/>
    <w:rsid w:val="0F46E38D"/>
    <w:rsid w:val="0F4FE4C8"/>
    <w:rsid w:val="0F52C42A"/>
    <w:rsid w:val="0F52EB94"/>
    <w:rsid w:val="0F55C166"/>
    <w:rsid w:val="0F575C6A"/>
    <w:rsid w:val="0F5C4716"/>
    <w:rsid w:val="0F62BA74"/>
    <w:rsid w:val="0F641444"/>
    <w:rsid w:val="0F6794B6"/>
    <w:rsid w:val="0F67C0E8"/>
    <w:rsid w:val="0F68129D"/>
    <w:rsid w:val="0F690FAD"/>
    <w:rsid w:val="0F6FFB78"/>
    <w:rsid w:val="0F7322FC"/>
    <w:rsid w:val="0F761881"/>
    <w:rsid w:val="0F78123A"/>
    <w:rsid w:val="0F7BDA3C"/>
    <w:rsid w:val="0F7D6255"/>
    <w:rsid w:val="0F7D923C"/>
    <w:rsid w:val="0F7E3F3E"/>
    <w:rsid w:val="0F83B7E9"/>
    <w:rsid w:val="0F8A1A1F"/>
    <w:rsid w:val="0F8C4558"/>
    <w:rsid w:val="0F8EE41F"/>
    <w:rsid w:val="0F90A3F2"/>
    <w:rsid w:val="0F93E00D"/>
    <w:rsid w:val="0F97688E"/>
    <w:rsid w:val="0F9CF652"/>
    <w:rsid w:val="0F9D0ABD"/>
    <w:rsid w:val="0F9F62FB"/>
    <w:rsid w:val="0FA3E0A3"/>
    <w:rsid w:val="0FA6CCD8"/>
    <w:rsid w:val="0FA88444"/>
    <w:rsid w:val="0FA9B1AC"/>
    <w:rsid w:val="0FAD07B6"/>
    <w:rsid w:val="0FADC02F"/>
    <w:rsid w:val="0FB1AA0B"/>
    <w:rsid w:val="0FB3B7C2"/>
    <w:rsid w:val="0FB71AAE"/>
    <w:rsid w:val="0FBA1C60"/>
    <w:rsid w:val="0FBA369E"/>
    <w:rsid w:val="0FBDE463"/>
    <w:rsid w:val="0FBED5D0"/>
    <w:rsid w:val="0FBEE626"/>
    <w:rsid w:val="0FBF568C"/>
    <w:rsid w:val="0FC21522"/>
    <w:rsid w:val="0FC77017"/>
    <w:rsid w:val="0FC7929C"/>
    <w:rsid w:val="0FCBBA6E"/>
    <w:rsid w:val="0FCC2FDA"/>
    <w:rsid w:val="0FCC9721"/>
    <w:rsid w:val="0FCED19A"/>
    <w:rsid w:val="0FD3B572"/>
    <w:rsid w:val="0FD51457"/>
    <w:rsid w:val="0FD9239B"/>
    <w:rsid w:val="0FDADFF6"/>
    <w:rsid w:val="0FDD7D7E"/>
    <w:rsid w:val="0FE2ADFC"/>
    <w:rsid w:val="0FE3C5CB"/>
    <w:rsid w:val="0FE9175F"/>
    <w:rsid w:val="0FEB185D"/>
    <w:rsid w:val="0FED0025"/>
    <w:rsid w:val="0FEE999A"/>
    <w:rsid w:val="0FF150F6"/>
    <w:rsid w:val="0FFCFF8C"/>
    <w:rsid w:val="1000AF2C"/>
    <w:rsid w:val="100741FC"/>
    <w:rsid w:val="101102DA"/>
    <w:rsid w:val="102828DB"/>
    <w:rsid w:val="1033836A"/>
    <w:rsid w:val="10348315"/>
    <w:rsid w:val="1034AA2D"/>
    <w:rsid w:val="1034D9F1"/>
    <w:rsid w:val="10373655"/>
    <w:rsid w:val="1037989B"/>
    <w:rsid w:val="10399C50"/>
    <w:rsid w:val="103A72F0"/>
    <w:rsid w:val="103BCD61"/>
    <w:rsid w:val="103CE179"/>
    <w:rsid w:val="104367AE"/>
    <w:rsid w:val="10438E9F"/>
    <w:rsid w:val="1043C94F"/>
    <w:rsid w:val="1045A727"/>
    <w:rsid w:val="1046A281"/>
    <w:rsid w:val="10479B39"/>
    <w:rsid w:val="10481C83"/>
    <w:rsid w:val="10481E9E"/>
    <w:rsid w:val="104CB8B2"/>
    <w:rsid w:val="10500A09"/>
    <w:rsid w:val="10536E5D"/>
    <w:rsid w:val="1057BB02"/>
    <w:rsid w:val="105DFBBE"/>
    <w:rsid w:val="10617D7A"/>
    <w:rsid w:val="10698899"/>
    <w:rsid w:val="106B0F3A"/>
    <w:rsid w:val="106DF611"/>
    <w:rsid w:val="106E0FFB"/>
    <w:rsid w:val="10743F5B"/>
    <w:rsid w:val="10745E5B"/>
    <w:rsid w:val="10756C84"/>
    <w:rsid w:val="107B63A0"/>
    <w:rsid w:val="107D0B21"/>
    <w:rsid w:val="107FF62F"/>
    <w:rsid w:val="10842548"/>
    <w:rsid w:val="10868D42"/>
    <w:rsid w:val="1088EB76"/>
    <w:rsid w:val="10893D28"/>
    <w:rsid w:val="108B2976"/>
    <w:rsid w:val="108B2B81"/>
    <w:rsid w:val="108B725E"/>
    <w:rsid w:val="108D6895"/>
    <w:rsid w:val="109073E6"/>
    <w:rsid w:val="109722EA"/>
    <w:rsid w:val="1098691D"/>
    <w:rsid w:val="109A5CEF"/>
    <w:rsid w:val="109D1D84"/>
    <w:rsid w:val="109D7230"/>
    <w:rsid w:val="109E4251"/>
    <w:rsid w:val="109EC7CF"/>
    <w:rsid w:val="109F3B8C"/>
    <w:rsid w:val="109F3B97"/>
    <w:rsid w:val="109F5EB0"/>
    <w:rsid w:val="10A5BDAF"/>
    <w:rsid w:val="10A8D131"/>
    <w:rsid w:val="10ABEF61"/>
    <w:rsid w:val="10AD1623"/>
    <w:rsid w:val="10B08C5A"/>
    <w:rsid w:val="10B2CEE7"/>
    <w:rsid w:val="10C08A72"/>
    <w:rsid w:val="10C1D46C"/>
    <w:rsid w:val="10C28298"/>
    <w:rsid w:val="10C50D33"/>
    <w:rsid w:val="10C510F9"/>
    <w:rsid w:val="10CA4E98"/>
    <w:rsid w:val="10CAD99E"/>
    <w:rsid w:val="10CE436B"/>
    <w:rsid w:val="10CEF871"/>
    <w:rsid w:val="10CF4906"/>
    <w:rsid w:val="10D02D8E"/>
    <w:rsid w:val="10D0EB24"/>
    <w:rsid w:val="10D714CD"/>
    <w:rsid w:val="10DAB312"/>
    <w:rsid w:val="10DC22F5"/>
    <w:rsid w:val="10DCFDF8"/>
    <w:rsid w:val="10DD0B84"/>
    <w:rsid w:val="10DDFD72"/>
    <w:rsid w:val="10DE490B"/>
    <w:rsid w:val="10E629B6"/>
    <w:rsid w:val="10E69BD0"/>
    <w:rsid w:val="10E81257"/>
    <w:rsid w:val="10EB781E"/>
    <w:rsid w:val="10ECC8DE"/>
    <w:rsid w:val="10EE63BB"/>
    <w:rsid w:val="10F2A827"/>
    <w:rsid w:val="10F3D19A"/>
    <w:rsid w:val="10F5502A"/>
    <w:rsid w:val="10FBE111"/>
    <w:rsid w:val="11000E61"/>
    <w:rsid w:val="1101778C"/>
    <w:rsid w:val="110311CC"/>
    <w:rsid w:val="110401F9"/>
    <w:rsid w:val="11041E7F"/>
    <w:rsid w:val="1107F3A0"/>
    <w:rsid w:val="11088DD7"/>
    <w:rsid w:val="110B0E68"/>
    <w:rsid w:val="110CDD11"/>
    <w:rsid w:val="110DCDEC"/>
    <w:rsid w:val="110F29D5"/>
    <w:rsid w:val="110FC008"/>
    <w:rsid w:val="1111B854"/>
    <w:rsid w:val="1115600E"/>
    <w:rsid w:val="111719F0"/>
    <w:rsid w:val="11179A8F"/>
    <w:rsid w:val="1117AF6D"/>
    <w:rsid w:val="111B3206"/>
    <w:rsid w:val="111B3616"/>
    <w:rsid w:val="111BD148"/>
    <w:rsid w:val="111C68D9"/>
    <w:rsid w:val="11281E1C"/>
    <w:rsid w:val="11282513"/>
    <w:rsid w:val="1128B6E6"/>
    <w:rsid w:val="11291FED"/>
    <w:rsid w:val="112A31D4"/>
    <w:rsid w:val="113404B4"/>
    <w:rsid w:val="113D2DC1"/>
    <w:rsid w:val="113E367E"/>
    <w:rsid w:val="1144232F"/>
    <w:rsid w:val="11495D9A"/>
    <w:rsid w:val="114B8477"/>
    <w:rsid w:val="11511B36"/>
    <w:rsid w:val="1154EE93"/>
    <w:rsid w:val="115691EC"/>
    <w:rsid w:val="115A7068"/>
    <w:rsid w:val="115B0360"/>
    <w:rsid w:val="115B8309"/>
    <w:rsid w:val="116789A2"/>
    <w:rsid w:val="11691102"/>
    <w:rsid w:val="1169A535"/>
    <w:rsid w:val="116DA6AB"/>
    <w:rsid w:val="1170EED2"/>
    <w:rsid w:val="1171D0A5"/>
    <w:rsid w:val="117261D1"/>
    <w:rsid w:val="117EC075"/>
    <w:rsid w:val="117F105C"/>
    <w:rsid w:val="118544EE"/>
    <w:rsid w:val="11858FD7"/>
    <w:rsid w:val="118A7EA4"/>
    <w:rsid w:val="118E455D"/>
    <w:rsid w:val="118F98AA"/>
    <w:rsid w:val="11942B0F"/>
    <w:rsid w:val="1195181C"/>
    <w:rsid w:val="11961DF8"/>
    <w:rsid w:val="1196C8CB"/>
    <w:rsid w:val="1196EA73"/>
    <w:rsid w:val="1197D065"/>
    <w:rsid w:val="1198B9A7"/>
    <w:rsid w:val="119A288E"/>
    <w:rsid w:val="119F611D"/>
    <w:rsid w:val="11A24CA2"/>
    <w:rsid w:val="11A521B4"/>
    <w:rsid w:val="11A5E6F6"/>
    <w:rsid w:val="11ACEC2B"/>
    <w:rsid w:val="11ADE085"/>
    <w:rsid w:val="11AF644E"/>
    <w:rsid w:val="11B871D3"/>
    <w:rsid w:val="11B99C74"/>
    <w:rsid w:val="11BB385A"/>
    <w:rsid w:val="11C13666"/>
    <w:rsid w:val="11C2709C"/>
    <w:rsid w:val="11C50F18"/>
    <w:rsid w:val="11CAFD0D"/>
    <w:rsid w:val="11CCC173"/>
    <w:rsid w:val="11D1BC2D"/>
    <w:rsid w:val="11D1FDB7"/>
    <w:rsid w:val="11D44552"/>
    <w:rsid w:val="11D4FEA8"/>
    <w:rsid w:val="11D74FC2"/>
    <w:rsid w:val="11D9664A"/>
    <w:rsid w:val="11DB6E9F"/>
    <w:rsid w:val="11DBC2F0"/>
    <w:rsid w:val="11DDF08D"/>
    <w:rsid w:val="11DF7CF1"/>
    <w:rsid w:val="11E65BEA"/>
    <w:rsid w:val="11E6CC5A"/>
    <w:rsid w:val="11E8AD18"/>
    <w:rsid w:val="11EC2514"/>
    <w:rsid w:val="11ED4095"/>
    <w:rsid w:val="11F139B8"/>
    <w:rsid w:val="11F21FA7"/>
    <w:rsid w:val="11F5AE0D"/>
    <w:rsid w:val="11F5ECA9"/>
    <w:rsid w:val="11F67076"/>
    <w:rsid w:val="11F6C14E"/>
    <w:rsid w:val="11FE66A5"/>
    <w:rsid w:val="1202C449"/>
    <w:rsid w:val="1208DFD0"/>
    <w:rsid w:val="12098571"/>
    <w:rsid w:val="120DBC8A"/>
    <w:rsid w:val="120DC96D"/>
    <w:rsid w:val="12101BEF"/>
    <w:rsid w:val="1210AEF2"/>
    <w:rsid w:val="1211E1F0"/>
    <w:rsid w:val="121244AA"/>
    <w:rsid w:val="12145647"/>
    <w:rsid w:val="1217B5FA"/>
    <w:rsid w:val="1217FFE6"/>
    <w:rsid w:val="12188E41"/>
    <w:rsid w:val="121E704E"/>
    <w:rsid w:val="1220CCAC"/>
    <w:rsid w:val="12225EE6"/>
    <w:rsid w:val="12239A88"/>
    <w:rsid w:val="1225D885"/>
    <w:rsid w:val="1229AA30"/>
    <w:rsid w:val="122B7C3B"/>
    <w:rsid w:val="122D227F"/>
    <w:rsid w:val="122E2C82"/>
    <w:rsid w:val="123582AC"/>
    <w:rsid w:val="1236EACC"/>
    <w:rsid w:val="123BB4CF"/>
    <w:rsid w:val="123BDF52"/>
    <w:rsid w:val="123D8129"/>
    <w:rsid w:val="124115DA"/>
    <w:rsid w:val="124313B5"/>
    <w:rsid w:val="1243DFD2"/>
    <w:rsid w:val="124E96DA"/>
    <w:rsid w:val="1260F6BF"/>
    <w:rsid w:val="1263F5CC"/>
    <w:rsid w:val="1268232A"/>
    <w:rsid w:val="126DF228"/>
    <w:rsid w:val="127CF492"/>
    <w:rsid w:val="127E053F"/>
    <w:rsid w:val="127E5604"/>
    <w:rsid w:val="128DBAF9"/>
    <w:rsid w:val="1295EA16"/>
    <w:rsid w:val="1297CBA5"/>
    <w:rsid w:val="12984A47"/>
    <w:rsid w:val="129A356E"/>
    <w:rsid w:val="129A450D"/>
    <w:rsid w:val="129B414A"/>
    <w:rsid w:val="129D6205"/>
    <w:rsid w:val="12A35EA5"/>
    <w:rsid w:val="12AB499B"/>
    <w:rsid w:val="12AD5F67"/>
    <w:rsid w:val="12AFDC0D"/>
    <w:rsid w:val="12B09E78"/>
    <w:rsid w:val="12B284ED"/>
    <w:rsid w:val="12B63150"/>
    <w:rsid w:val="12B87C87"/>
    <w:rsid w:val="12B8F3F9"/>
    <w:rsid w:val="12B986EA"/>
    <w:rsid w:val="12B9EBEC"/>
    <w:rsid w:val="12BFE1CC"/>
    <w:rsid w:val="12C1CF8B"/>
    <w:rsid w:val="12C68FA7"/>
    <w:rsid w:val="12C8DAB9"/>
    <w:rsid w:val="12C991DA"/>
    <w:rsid w:val="12CF0950"/>
    <w:rsid w:val="12CFA917"/>
    <w:rsid w:val="12D36EC9"/>
    <w:rsid w:val="12D8D889"/>
    <w:rsid w:val="12D9B7FC"/>
    <w:rsid w:val="12DB4E02"/>
    <w:rsid w:val="12DE1C32"/>
    <w:rsid w:val="12DF6DAA"/>
    <w:rsid w:val="12E0CC52"/>
    <w:rsid w:val="12EA2BF9"/>
    <w:rsid w:val="12FCBCC5"/>
    <w:rsid w:val="1301ACE5"/>
    <w:rsid w:val="13065BDB"/>
    <w:rsid w:val="1307F497"/>
    <w:rsid w:val="1307F537"/>
    <w:rsid w:val="13094313"/>
    <w:rsid w:val="130D413E"/>
    <w:rsid w:val="130DA011"/>
    <w:rsid w:val="1310B4F7"/>
    <w:rsid w:val="1311443B"/>
    <w:rsid w:val="1312C9A5"/>
    <w:rsid w:val="13143BE9"/>
    <w:rsid w:val="1314CC47"/>
    <w:rsid w:val="13197F99"/>
    <w:rsid w:val="131A6DEA"/>
    <w:rsid w:val="131A776E"/>
    <w:rsid w:val="13215AE4"/>
    <w:rsid w:val="13252092"/>
    <w:rsid w:val="13258F96"/>
    <w:rsid w:val="13271E56"/>
    <w:rsid w:val="133051AA"/>
    <w:rsid w:val="1330C87B"/>
    <w:rsid w:val="1330DBF8"/>
    <w:rsid w:val="1333E8A3"/>
    <w:rsid w:val="13374D4E"/>
    <w:rsid w:val="133B0545"/>
    <w:rsid w:val="1341B4A4"/>
    <w:rsid w:val="134642A7"/>
    <w:rsid w:val="1346915A"/>
    <w:rsid w:val="13484528"/>
    <w:rsid w:val="134D00AE"/>
    <w:rsid w:val="13502AC9"/>
    <w:rsid w:val="13525A7D"/>
    <w:rsid w:val="13529B3E"/>
    <w:rsid w:val="13544234"/>
    <w:rsid w:val="13548905"/>
    <w:rsid w:val="13566FEA"/>
    <w:rsid w:val="1357B26C"/>
    <w:rsid w:val="13587A5A"/>
    <w:rsid w:val="135A5264"/>
    <w:rsid w:val="135C6F6E"/>
    <w:rsid w:val="136A0432"/>
    <w:rsid w:val="136C4E3C"/>
    <w:rsid w:val="136F3785"/>
    <w:rsid w:val="136F8DEE"/>
    <w:rsid w:val="136FB8D8"/>
    <w:rsid w:val="13705103"/>
    <w:rsid w:val="1372A550"/>
    <w:rsid w:val="1372FA5A"/>
    <w:rsid w:val="1372FFFE"/>
    <w:rsid w:val="1373F50D"/>
    <w:rsid w:val="1376BD41"/>
    <w:rsid w:val="137946B5"/>
    <w:rsid w:val="1379EEDA"/>
    <w:rsid w:val="137BC82F"/>
    <w:rsid w:val="137D97BE"/>
    <w:rsid w:val="13810FE6"/>
    <w:rsid w:val="13812FBC"/>
    <w:rsid w:val="1382AC7D"/>
    <w:rsid w:val="1387D499"/>
    <w:rsid w:val="138B3C0F"/>
    <w:rsid w:val="138D84BF"/>
    <w:rsid w:val="1391F47C"/>
    <w:rsid w:val="13953263"/>
    <w:rsid w:val="13975C3D"/>
    <w:rsid w:val="139F1781"/>
    <w:rsid w:val="13A1D03C"/>
    <w:rsid w:val="13A53AFF"/>
    <w:rsid w:val="13AAC104"/>
    <w:rsid w:val="13AF27A4"/>
    <w:rsid w:val="13B5372F"/>
    <w:rsid w:val="13BBC0AD"/>
    <w:rsid w:val="13BCA003"/>
    <w:rsid w:val="13BCFBBD"/>
    <w:rsid w:val="13BD29F6"/>
    <w:rsid w:val="13BD3D8F"/>
    <w:rsid w:val="13C31B77"/>
    <w:rsid w:val="13C39522"/>
    <w:rsid w:val="13C58B56"/>
    <w:rsid w:val="13C84B00"/>
    <w:rsid w:val="13CAC93C"/>
    <w:rsid w:val="13CB4889"/>
    <w:rsid w:val="13CBD7C4"/>
    <w:rsid w:val="13D9518A"/>
    <w:rsid w:val="13D95F04"/>
    <w:rsid w:val="13DA35CA"/>
    <w:rsid w:val="13DA75BB"/>
    <w:rsid w:val="13E14988"/>
    <w:rsid w:val="13E54F0F"/>
    <w:rsid w:val="13E607BE"/>
    <w:rsid w:val="13E80CCB"/>
    <w:rsid w:val="13EAF4BE"/>
    <w:rsid w:val="13ECA095"/>
    <w:rsid w:val="13F3855C"/>
    <w:rsid w:val="13F4C927"/>
    <w:rsid w:val="13F9752E"/>
    <w:rsid w:val="13FA0AB9"/>
    <w:rsid w:val="13FA235A"/>
    <w:rsid w:val="13FB0541"/>
    <w:rsid w:val="14021FC1"/>
    <w:rsid w:val="14023510"/>
    <w:rsid w:val="14038822"/>
    <w:rsid w:val="140442AD"/>
    <w:rsid w:val="1404971E"/>
    <w:rsid w:val="140B5E31"/>
    <w:rsid w:val="140C0EF0"/>
    <w:rsid w:val="140F2C41"/>
    <w:rsid w:val="140FFA73"/>
    <w:rsid w:val="14111170"/>
    <w:rsid w:val="1416E88A"/>
    <w:rsid w:val="141B9298"/>
    <w:rsid w:val="1420ACF5"/>
    <w:rsid w:val="142186A2"/>
    <w:rsid w:val="142385D8"/>
    <w:rsid w:val="142641D0"/>
    <w:rsid w:val="1433C5DA"/>
    <w:rsid w:val="143FCA33"/>
    <w:rsid w:val="144032B0"/>
    <w:rsid w:val="144036BB"/>
    <w:rsid w:val="1440C94A"/>
    <w:rsid w:val="144FD637"/>
    <w:rsid w:val="14519CB4"/>
    <w:rsid w:val="145843D4"/>
    <w:rsid w:val="145A1046"/>
    <w:rsid w:val="145B0ECA"/>
    <w:rsid w:val="145BB967"/>
    <w:rsid w:val="145C219E"/>
    <w:rsid w:val="1460289D"/>
    <w:rsid w:val="146174B2"/>
    <w:rsid w:val="1461BC9E"/>
    <w:rsid w:val="14624B59"/>
    <w:rsid w:val="1463F1F3"/>
    <w:rsid w:val="1465E5FC"/>
    <w:rsid w:val="146745B8"/>
    <w:rsid w:val="146F34B5"/>
    <w:rsid w:val="14715A00"/>
    <w:rsid w:val="1472C737"/>
    <w:rsid w:val="14741CA1"/>
    <w:rsid w:val="14789A22"/>
    <w:rsid w:val="147F521A"/>
    <w:rsid w:val="148A0E8E"/>
    <w:rsid w:val="148A8BD1"/>
    <w:rsid w:val="148CEC79"/>
    <w:rsid w:val="148FCF1A"/>
    <w:rsid w:val="149403F1"/>
    <w:rsid w:val="149CECA4"/>
    <w:rsid w:val="14A53648"/>
    <w:rsid w:val="14A73955"/>
    <w:rsid w:val="14A7EE88"/>
    <w:rsid w:val="14AA550A"/>
    <w:rsid w:val="14ACC29F"/>
    <w:rsid w:val="14B57B98"/>
    <w:rsid w:val="14B5C754"/>
    <w:rsid w:val="14B6D9EE"/>
    <w:rsid w:val="14B84403"/>
    <w:rsid w:val="14B8F0AD"/>
    <w:rsid w:val="14C2E0ED"/>
    <w:rsid w:val="14C47608"/>
    <w:rsid w:val="14C72FB1"/>
    <w:rsid w:val="14CD48E5"/>
    <w:rsid w:val="14D27286"/>
    <w:rsid w:val="14D6E9DE"/>
    <w:rsid w:val="14DB0059"/>
    <w:rsid w:val="14DDD700"/>
    <w:rsid w:val="14DE7C7C"/>
    <w:rsid w:val="14DEBE0E"/>
    <w:rsid w:val="14E092CC"/>
    <w:rsid w:val="14E9D455"/>
    <w:rsid w:val="14F2FBBB"/>
    <w:rsid w:val="14F57C91"/>
    <w:rsid w:val="14F826AB"/>
    <w:rsid w:val="14F86A21"/>
    <w:rsid w:val="14F92ABC"/>
    <w:rsid w:val="14FA9F60"/>
    <w:rsid w:val="14FC2F1D"/>
    <w:rsid w:val="150C70E1"/>
    <w:rsid w:val="150F0726"/>
    <w:rsid w:val="151112BC"/>
    <w:rsid w:val="1513C887"/>
    <w:rsid w:val="15144E4C"/>
    <w:rsid w:val="15145CD9"/>
    <w:rsid w:val="1517A5ED"/>
    <w:rsid w:val="151E484A"/>
    <w:rsid w:val="151EF7B0"/>
    <w:rsid w:val="151FF656"/>
    <w:rsid w:val="1522B3B0"/>
    <w:rsid w:val="1523A99D"/>
    <w:rsid w:val="15256183"/>
    <w:rsid w:val="15257657"/>
    <w:rsid w:val="1525D8BD"/>
    <w:rsid w:val="1526F6B5"/>
    <w:rsid w:val="15274ADE"/>
    <w:rsid w:val="152AE739"/>
    <w:rsid w:val="152C3698"/>
    <w:rsid w:val="152C5C0F"/>
    <w:rsid w:val="152F6E4B"/>
    <w:rsid w:val="15306A80"/>
    <w:rsid w:val="153340DE"/>
    <w:rsid w:val="15344E49"/>
    <w:rsid w:val="15381A20"/>
    <w:rsid w:val="153895D1"/>
    <w:rsid w:val="1539BBCC"/>
    <w:rsid w:val="1539CBEB"/>
    <w:rsid w:val="153D4014"/>
    <w:rsid w:val="153E2214"/>
    <w:rsid w:val="1541738B"/>
    <w:rsid w:val="1542159B"/>
    <w:rsid w:val="15448AB1"/>
    <w:rsid w:val="154997AC"/>
    <w:rsid w:val="154C76A1"/>
    <w:rsid w:val="1551415E"/>
    <w:rsid w:val="1552115C"/>
    <w:rsid w:val="15567DCB"/>
    <w:rsid w:val="15599998"/>
    <w:rsid w:val="1559DD1C"/>
    <w:rsid w:val="155BE572"/>
    <w:rsid w:val="155C36E6"/>
    <w:rsid w:val="155FB829"/>
    <w:rsid w:val="15631CFD"/>
    <w:rsid w:val="15646CDD"/>
    <w:rsid w:val="15686A6A"/>
    <w:rsid w:val="1568AF96"/>
    <w:rsid w:val="156CA6A6"/>
    <w:rsid w:val="156DB994"/>
    <w:rsid w:val="1577B0D8"/>
    <w:rsid w:val="15808468"/>
    <w:rsid w:val="15831D3A"/>
    <w:rsid w:val="15865F7B"/>
    <w:rsid w:val="1586E787"/>
    <w:rsid w:val="1588172A"/>
    <w:rsid w:val="158D67C7"/>
    <w:rsid w:val="158DE371"/>
    <w:rsid w:val="1595D01A"/>
    <w:rsid w:val="1595EF5E"/>
    <w:rsid w:val="159C12D8"/>
    <w:rsid w:val="159D10A7"/>
    <w:rsid w:val="15A02752"/>
    <w:rsid w:val="15A5152B"/>
    <w:rsid w:val="15A9C5D1"/>
    <w:rsid w:val="15A9E4C0"/>
    <w:rsid w:val="15AC0A6B"/>
    <w:rsid w:val="15ADA421"/>
    <w:rsid w:val="15AEFF60"/>
    <w:rsid w:val="15B220D7"/>
    <w:rsid w:val="15B783D3"/>
    <w:rsid w:val="15C3B793"/>
    <w:rsid w:val="15C41D5C"/>
    <w:rsid w:val="15C71946"/>
    <w:rsid w:val="15CC100C"/>
    <w:rsid w:val="15CD4450"/>
    <w:rsid w:val="15CE1AFA"/>
    <w:rsid w:val="15CECC0F"/>
    <w:rsid w:val="15CF54DF"/>
    <w:rsid w:val="15CFA85E"/>
    <w:rsid w:val="15D6783F"/>
    <w:rsid w:val="15D6DDBB"/>
    <w:rsid w:val="15D98150"/>
    <w:rsid w:val="15DF676D"/>
    <w:rsid w:val="15E0E22E"/>
    <w:rsid w:val="15E30E7E"/>
    <w:rsid w:val="15E5AE02"/>
    <w:rsid w:val="15E9325D"/>
    <w:rsid w:val="15EAC8AB"/>
    <w:rsid w:val="15ED8DC7"/>
    <w:rsid w:val="15F968E3"/>
    <w:rsid w:val="15FBD963"/>
    <w:rsid w:val="15FE917C"/>
    <w:rsid w:val="160ABDE2"/>
    <w:rsid w:val="160AF6D1"/>
    <w:rsid w:val="161613E6"/>
    <w:rsid w:val="1616A866"/>
    <w:rsid w:val="161717A6"/>
    <w:rsid w:val="161F81D8"/>
    <w:rsid w:val="1623D24B"/>
    <w:rsid w:val="16287A23"/>
    <w:rsid w:val="162903A3"/>
    <w:rsid w:val="16306AD3"/>
    <w:rsid w:val="16312BAA"/>
    <w:rsid w:val="16392A73"/>
    <w:rsid w:val="163965AB"/>
    <w:rsid w:val="163A5515"/>
    <w:rsid w:val="163CCB45"/>
    <w:rsid w:val="16402967"/>
    <w:rsid w:val="1642BFE8"/>
    <w:rsid w:val="1644B09A"/>
    <w:rsid w:val="1647325C"/>
    <w:rsid w:val="1649B54C"/>
    <w:rsid w:val="164B4F5D"/>
    <w:rsid w:val="164D669D"/>
    <w:rsid w:val="165134FD"/>
    <w:rsid w:val="1655004F"/>
    <w:rsid w:val="16563909"/>
    <w:rsid w:val="16596A98"/>
    <w:rsid w:val="165F54C4"/>
    <w:rsid w:val="16622C8D"/>
    <w:rsid w:val="1664C7FA"/>
    <w:rsid w:val="1665D5D6"/>
    <w:rsid w:val="167070E6"/>
    <w:rsid w:val="1679E39E"/>
    <w:rsid w:val="167AC9B1"/>
    <w:rsid w:val="167D79F7"/>
    <w:rsid w:val="167F36B5"/>
    <w:rsid w:val="167F9FF1"/>
    <w:rsid w:val="16816DB5"/>
    <w:rsid w:val="168459F0"/>
    <w:rsid w:val="1693FD3C"/>
    <w:rsid w:val="16950311"/>
    <w:rsid w:val="1695150A"/>
    <w:rsid w:val="1695AD57"/>
    <w:rsid w:val="1696D72D"/>
    <w:rsid w:val="169965EA"/>
    <w:rsid w:val="169C3532"/>
    <w:rsid w:val="169CDB43"/>
    <w:rsid w:val="16A50577"/>
    <w:rsid w:val="16A5755A"/>
    <w:rsid w:val="16A9B474"/>
    <w:rsid w:val="16B2C680"/>
    <w:rsid w:val="16B3625C"/>
    <w:rsid w:val="16B3764E"/>
    <w:rsid w:val="16BFFF33"/>
    <w:rsid w:val="16C25228"/>
    <w:rsid w:val="16C26F83"/>
    <w:rsid w:val="16C70096"/>
    <w:rsid w:val="16CC3AE1"/>
    <w:rsid w:val="16CC4722"/>
    <w:rsid w:val="16CC748C"/>
    <w:rsid w:val="16CC8A4C"/>
    <w:rsid w:val="16D420E2"/>
    <w:rsid w:val="16D4D312"/>
    <w:rsid w:val="16D4E7EA"/>
    <w:rsid w:val="16D6CB64"/>
    <w:rsid w:val="16D78D55"/>
    <w:rsid w:val="16DCF2AB"/>
    <w:rsid w:val="16E844C0"/>
    <w:rsid w:val="16E8C5CD"/>
    <w:rsid w:val="16E93D65"/>
    <w:rsid w:val="16EB4191"/>
    <w:rsid w:val="16EC0527"/>
    <w:rsid w:val="16ED6A6C"/>
    <w:rsid w:val="16EFDB2F"/>
    <w:rsid w:val="16F2125B"/>
    <w:rsid w:val="16F22EE8"/>
    <w:rsid w:val="16F3332C"/>
    <w:rsid w:val="16F518F0"/>
    <w:rsid w:val="16F66500"/>
    <w:rsid w:val="16F7B94F"/>
    <w:rsid w:val="16F88135"/>
    <w:rsid w:val="16FA5F00"/>
    <w:rsid w:val="16FD20D8"/>
    <w:rsid w:val="1701936D"/>
    <w:rsid w:val="170512EF"/>
    <w:rsid w:val="1708F69A"/>
    <w:rsid w:val="170DB96A"/>
    <w:rsid w:val="17145D09"/>
    <w:rsid w:val="171B323D"/>
    <w:rsid w:val="171F898C"/>
    <w:rsid w:val="1720AA7D"/>
    <w:rsid w:val="17227118"/>
    <w:rsid w:val="17244E18"/>
    <w:rsid w:val="1729D696"/>
    <w:rsid w:val="172C2100"/>
    <w:rsid w:val="172EAD3E"/>
    <w:rsid w:val="17341D01"/>
    <w:rsid w:val="173784F1"/>
    <w:rsid w:val="173AC318"/>
    <w:rsid w:val="173D578A"/>
    <w:rsid w:val="174631C1"/>
    <w:rsid w:val="1746E881"/>
    <w:rsid w:val="1747CE4B"/>
    <w:rsid w:val="1748AE7A"/>
    <w:rsid w:val="17497018"/>
    <w:rsid w:val="174A1296"/>
    <w:rsid w:val="174CEA43"/>
    <w:rsid w:val="174E4362"/>
    <w:rsid w:val="17502455"/>
    <w:rsid w:val="1750EB42"/>
    <w:rsid w:val="17541CBB"/>
    <w:rsid w:val="175705CA"/>
    <w:rsid w:val="175B47E0"/>
    <w:rsid w:val="175F0380"/>
    <w:rsid w:val="175F5423"/>
    <w:rsid w:val="176B7BF4"/>
    <w:rsid w:val="176CBBB4"/>
    <w:rsid w:val="17777155"/>
    <w:rsid w:val="17782D54"/>
    <w:rsid w:val="177A1D71"/>
    <w:rsid w:val="177FA687"/>
    <w:rsid w:val="1780C3A1"/>
    <w:rsid w:val="1780C3BE"/>
    <w:rsid w:val="17828D7A"/>
    <w:rsid w:val="17829E62"/>
    <w:rsid w:val="17829EE2"/>
    <w:rsid w:val="17886DC1"/>
    <w:rsid w:val="1789689D"/>
    <w:rsid w:val="1789F96F"/>
    <w:rsid w:val="178AEE9E"/>
    <w:rsid w:val="178F7B96"/>
    <w:rsid w:val="178FCB4D"/>
    <w:rsid w:val="17964E43"/>
    <w:rsid w:val="1797DFB4"/>
    <w:rsid w:val="179DF25C"/>
    <w:rsid w:val="17A29AEA"/>
    <w:rsid w:val="17A59C48"/>
    <w:rsid w:val="17A77D4D"/>
    <w:rsid w:val="17AACD4F"/>
    <w:rsid w:val="17AB6820"/>
    <w:rsid w:val="17B19F30"/>
    <w:rsid w:val="17BA7F73"/>
    <w:rsid w:val="17BD512B"/>
    <w:rsid w:val="17BEDBBD"/>
    <w:rsid w:val="17BFB3D9"/>
    <w:rsid w:val="17C2B260"/>
    <w:rsid w:val="17C3C4CA"/>
    <w:rsid w:val="17C49F8A"/>
    <w:rsid w:val="17C52839"/>
    <w:rsid w:val="17C9584A"/>
    <w:rsid w:val="17CC2CB8"/>
    <w:rsid w:val="17CF8F03"/>
    <w:rsid w:val="17D06106"/>
    <w:rsid w:val="17D1FA7A"/>
    <w:rsid w:val="17D26135"/>
    <w:rsid w:val="17D2F893"/>
    <w:rsid w:val="17D76912"/>
    <w:rsid w:val="17DA07C6"/>
    <w:rsid w:val="17DB3B42"/>
    <w:rsid w:val="17DF000F"/>
    <w:rsid w:val="17E7945D"/>
    <w:rsid w:val="17E8A3E9"/>
    <w:rsid w:val="17F0916F"/>
    <w:rsid w:val="17F0D731"/>
    <w:rsid w:val="17F317EA"/>
    <w:rsid w:val="17F33743"/>
    <w:rsid w:val="17FC0D41"/>
    <w:rsid w:val="17FEBF38"/>
    <w:rsid w:val="17FF6ACF"/>
    <w:rsid w:val="1807E494"/>
    <w:rsid w:val="18086F1E"/>
    <w:rsid w:val="180D1966"/>
    <w:rsid w:val="180EC5E8"/>
    <w:rsid w:val="1810AC19"/>
    <w:rsid w:val="181224AF"/>
    <w:rsid w:val="181292FD"/>
    <w:rsid w:val="18171383"/>
    <w:rsid w:val="181D61E1"/>
    <w:rsid w:val="181E43BC"/>
    <w:rsid w:val="18253648"/>
    <w:rsid w:val="18274333"/>
    <w:rsid w:val="182B81ED"/>
    <w:rsid w:val="1830D372"/>
    <w:rsid w:val="1832749A"/>
    <w:rsid w:val="1834288A"/>
    <w:rsid w:val="18368C44"/>
    <w:rsid w:val="183C46DB"/>
    <w:rsid w:val="18455048"/>
    <w:rsid w:val="18470836"/>
    <w:rsid w:val="18479086"/>
    <w:rsid w:val="184D30AA"/>
    <w:rsid w:val="184EAB81"/>
    <w:rsid w:val="1855760C"/>
    <w:rsid w:val="185A5E15"/>
    <w:rsid w:val="185C297F"/>
    <w:rsid w:val="185E86A4"/>
    <w:rsid w:val="18608186"/>
    <w:rsid w:val="1866E7C1"/>
    <w:rsid w:val="186BF0B9"/>
    <w:rsid w:val="186D5715"/>
    <w:rsid w:val="1871AE18"/>
    <w:rsid w:val="1874E5D9"/>
    <w:rsid w:val="18763474"/>
    <w:rsid w:val="1876867C"/>
    <w:rsid w:val="1878D638"/>
    <w:rsid w:val="1879F8F3"/>
    <w:rsid w:val="187C91C5"/>
    <w:rsid w:val="18805B94"/>
    <w:rsid w:val="18832171"/>
    <w:rsid w:val="1883C032"/>
    <w:rsid w:val="1884B1F8"/>
    <w:rsid w:val="188685DE"/>
    <w:rsid w:val="18880C61"/>
    <w:rsid w:val="1889F090"/>
    <w:rsid w:val="188B8551"/>
    <w:rsid w:val="1895DE6F"/>
    <w:rsid w:val="1898B74D"/>
    <w:rsid w:val="18992B07"/>
    <w:rsid w:val="1899D822"/>
    <w:rsid w:val="189DC83A"/>
    <w:rsid w:val="18A10823"/>
    <w:rsid w:val="18A16AF8"/>
    <w:rsid w:val="18A178DF"/>
    <w:rsid w:val="18A1E946"/>
    <w:rsid w:val="18A1F170"/>
    <w:rsid w:val="18A2CC5F"/>
    <w:rsid w:val="18A454CB"/>
    <w:rsid w:val="18AD85D9"/>
    <w:rsid w:val="18ADEF0D"/>
    <w:rsid w:val="18AE0A5B"/>
    <w:rsid w:val="18B3007F"/>
    <w:rsid w:val="18B61050"/>
    <w:rsid w:val="18B978F5"/>
    <w:rsid w:val="18BA2E7B"/>
    <w:rsid w:val="18C7FB1D"/>
    <w:rsid w:val="18C85F1C"/>
    <w:rsid w:val="18CCAB89"/>
    <w:rsid w:val="18CE7F2C"/>
    <w:rsid w:val="18D0E7ED"/>
    <w:rsid w:val="18D173DA"/>
    <w:rsid w:val="18D20757"/>
    <w:rsid w:val="18D2E31F"/>
    <w:rsid w:val="18D3A61D"/>
    <w:rsid w:val="18D3D41E"/>
    <w:rsid w:val="18D5A877"/>
    <w:rsid w:val="18D6CE25"/>
    <w:rsid w:val="18DB80CC"/>
    <w:rsid w:val="18DD8F60"/>
    <w:rsid w:val="18DDDFD7"/>
    <w:rsid w:val="18E4F0B4"/>
    <w:rsid w:val="18EF86CB"/>
    <w:rsid w:val="18F04E90"/>
    <w:rsid w:val="18F1D3EF"/>
    <w:rsid w:val="18F37F5A"/>
    <w:rsid w:val="18F5139B"/>
    <w:rsid w:val="18F5D8A5"/>
    <w:rsid w:val="18F6919C"/>
    <w:rsid w:val="18FBA9AE"/>
    <w:rsid w:val="18FDC9E6"/>
    <w:rsid w:val="18FED628"/>
    <w:rsid w:val="1902C7B2"/>
    <w:rsid w:val="19081EFF"/>
    <w:rsid w:val="190AD743"/>
    <w:rsid w:val="190AE1BA"/>
    <w:rsid w:val="190B9CE5"/>
    <w:rsid w:val="190D5E52"/>
    <w:rsid w:val="190DD774"/>
    <w:rsid w:val="1917681C"/>
    <w:rsid w:val="19193E56"/>
    <w:rsid w:val="191A2B1E"/>
    <w:rsid w:val="191C941F"/>
    <w:rsid w:val="191CBBB3"/>
    <w:rsid w:val="191EB55F"/>
    <w:rsid w:val="191F3B6B"/>
    <w:rsid w:val="19280CF1"/>
    <w:rsid w:val="19290B6F"/>
    <w:rsid w:val="19298179"/>
    <w:rsid w:val="192A88DD"/>
    <w:rsid w:val="192BB02D"/>
    <w:rsid w:val="192FFED3"/>
    <w:rsid w:val="19342838"/>
    <w:rsid w:val="193FA1AD"/>
    <w:rsid w:val="1942E4AC"/>
    <w:rsid w:val="1943A9C7"/>
    <w:rsid w:val="194A6517"/>
    <w:rsid w:val="194BBD92"/>
    <w:rsid w:val="194D0CCA"/>
    <w:rsid w:val="194E9D0C"/>
    <w:rsid w:val="195194F3"/>
    <w:rsid w:val="19521B95"/>
    <w:rsid w:val="1952611D"/>
    <w:rsid w:val="1956DB07"/>
    <w:rsid w:val="1957A46D"/>
    <w:rsid w:val="1958DF69"/>
    <w:rsid w:val="195F3846"/>
    <w:rsid w:val="19606FEB"/>
    <w:rsid w:val="196675A0"/>
    <w:rsid w:val="19671420"/>
    <w:rsid w:val="19680AB1"/>
    <w:rsid w:val="1968D705"/>
    <w:rsid w:val="196C3173"/>
    <w:rsid w:val="196ED049"/>
    <w:rsid w:val="1970C857"/>
    <w:rsid w:val="1974D84A"/>
    <w:rsid w:val="197620D3"/>
    <w:rsid w:val="197DB013"/>
    <w:rsid w:val="197DDFC6"/>
    <w:rsid w:val="198C61D0"/>
    <w:rsid w:val="198CBDA0"/>
    <w:rsid w:val="198F6527"/>
    <w:rsid w:val="19989E8C"/>
    <w:rsid w:val="19999A43"/>
    <w:rsid w:val="199DD7B2"/>
    <w:rsid w:val="199E2FC3"/>
    <w:rsid w:val="199EFB6A"/>
    <w:rsid w:val="19A017C9"/>
    <w:rsid w:val="19A3CB8B"/>
    <w:rsid w:val="19A684F7"/>
    <w:rsid w:val="19A72B0F"/>
    <w:rsid w:val="19AC6F5A"/>
    <w:rsid w:val="19B15E9F"/>
    <w:rsid w:val="19B76FF2"/>
    <w:rsid w:val="19BE136F"/>
    <w:rsid w:val="19C302D5"/>
    <w:rsid w:val="19C31394"/>
    <w:rsid w:val="19C68FFF"/>
    <w:rsid w:val="19C6E953"/>
    <w:rsid w:val="19CAE92B"/>
    <w:rsid w:val="19CD25A6"/>
    <w:rsid w:val="19D0671C"/>
    <w:rsid w:val="19D08635"/>
    <w:rsid w:val="19D60EF2"/>
    <w:rsid w:val="19DA99EC"/>
    <w:rsid w:val="19DAD426"/>
    <w:rsid w:val="19DC1906"/>
    <w:rsid w:val="19DE5D17"/>
    <w:rsid w:val="19E5F3DE"/>
    <w:rsid w:val="19E812FF"/>
    <w:rsid w:val="19EA2E5F"/>
    <w:rsid w:val="19EC2249"/>
    <w:rsid w:val="19EC5944"/>
    <w:rsid w:val="19EE4322"/>
    <w:rsid w:val="19EF374F"/>
    <w:rsid w:val="19F12700"/>
    <w:rsid w:val="19F16916"/>
    <w:rsid w:val="19F26604"/>
    <w:rsid w:val="19F2D2BB"/>
    <w:rsid w:val="19FAAE0C"/>
    <w:rsid w:val="19FB6C71"/>
    <w:rsid w:val="19FC51E7"/>
    <w:rsid w:val="19FEEE3B"/>
    <w:rsid w:val="1A01D1A2"/>
    <w:rsid w:val="1A087658"/>
    <w:rsid w:val="1A1117E0"/>
    <w:rsid w:val="1A129055"/>
    <w:rsid w:val="1A142CA3"/>
    <w:rsid w:val="1A188CDF"/>
    <w:rsid w:val="1A18EC68"/>
    <w:rsid w:val="1A2E286B"/>
    <w:rsid w:val="1A30A4A6"/>
    <w:rsid w:val="1A31CC51"/>
    <w:rsid w:val="1A35FCB7"/>
    <w:rsid w:val="1A38ADDF"/>
    <w:rsid w:val="1A426368"/>
    <w:rsid w:val="1A4B7453"/>
    <w:rsid w:val="1A533F99"/>
    <w:rsid w:val="1A5B19B2"/>
    <w:rsid w:val="1A5D092E"/>
    <w:rsid w:val="1A5F44B1"/>
    <w:rsid w:val="1A605CDB"/>
    <w:rsid w:val="1A64A2FF"/>
    <w:rsid w:val="1A69B42A"/>
    <w:rsid w:val="1A6AA88B"/>
    <w:rsid w:val="1A6DFE68"/>
    <w:rsid w:val="1A7074AB"/>
    <w:rsid w:val="1A710136"/>
    <w:rsid w:val="1A726223"/>
    <w:rsid w:val="1A74CE70"/>
    <w:rsid w:val="1A7CC5DB"/>
    <w:rsid w:val="1A7D209A"/>
    <w:rsid w:val="1A7D637A"/>
    <w:rsid w:val="1A82D1B9"/>
    <w:rsid w:val="1A837430"/>
    <w:rsid w:val="1A855079"/>
    <w:rsid w:val="1A85EED1"/>
    <w:rsid w:val="1A8888C9"/>
    <w:rsid w:val="1A896184"/>
    <w:rsid w:val="1A8EBB89"/>
    <w:rsid w:val="1A8FB9BB"/>
    <w:rsid w:val="1A90A922"/>
    <w:rsid w:val="1A916EAB"/>
    <w:rsid w:val="1A927529"/>
    <w:rsid w:val="1A93E8BC"/>
    <w:rsid w:val="1A954951"/>
    <w:rsid w:val="1A97301B"/>
    <w:rsid w:val="1A983124"/>
    <w:rsid w:val="1A9AA689"/>
    <w:rsid w:val="1A9D96E8"/>
    <w:rsid w:val="1A9E9998"/>
    <w:rsid w:val="1AA0B6B5"/>
    <w:rsid w:val="1AA423AD"/>
    <w:rsid w:val="1AA4EAAE"/>
    <w:rsid w:val="1AA9F06D"/>
    <w:rsid w:val="1AAA9934"/>
    <w:rsid w:val="1AAFAFCA"/>
    <w:rsid w:val="1AB266BD"/>
    <w:rsid w:val="1AB2DA62"/>
    <w:rsid w:val="1AB620FB"/>
    <w:rsid w:val="1ABD4175"/>
    <w:rsid w:val="1ABF740E"/>
    <w:rsid w:val="1AC3FF9E"/>
    <w:rsid w:val="1ACB32C8"/>
    <w:rsid w:val="1ACC1F08"/>
    <w:rsid w:val="1ACE6A6B"/>
    <w:rsid w:val="1AD26DE5"/>
    <w:rsid w:val="1AD2AA42"/>
    <w:rsid w:val="1AD41876"/>
    <w:rsid w:val="1AD48395"/>
    <w:rsid w:val="1AD4AEDF"/>
    <w:rsid w:val="1AD62FC1"/>
    <w:rsid w:val="1AD79415"/>
    <w:rsid w:val="1AD926DC"/>
    <w:rsid w:val="1AD985A0"/>
    <w:rsid w:val="1ADC5D65"/>
    <w:rsid w:val="1AE0F5FF"/>
    <w:rsid w:val="1AE128E6"/>
    <w:rsid w:val="1AE5A295"/>
    <w:rsid w:val="1AE6A5B8"/>
    <w:rsid w:val="1AE6A6A6"/>
    <w:rsid w:val="1AE9D573"/>
    <w:rsid w:val="1AEA1263"/>
    <w:rsid w:val="1AEDE528"/>
    <w:rsid w:val="1AF09078"/>
    <w:rsid w:val="1AF11A42"/>
    <w:rsid w:val="1AF3BA80"/>
    <w:rsid w:val="1AF3DB3A"/>
    <w:rsid w:val="1AF6E42B"/>
    <w:rsid w:val="1AF979BE"/>
    <w:rsid w:val="1AFF1796"/>
    <w:rsid w:val="1B00CF2A"/>
    <w:rsid w:val="1B01B018"/>
    <w:rsid w:val="1B02CF2B"/>
    <w:rsid w:val="1B0AC442"/>
    <w:rsid w:val="1B0BAAEC"/>
    <w:rsid w:val="1B0E1AFA"/>
    <w:rsid w:val="1B0EC7C9"/>
    <w:rsid w:val="1B132B1F"/>
    <w:rsid w:val="1B151534"/>
    <w:rsid w:val="1B17D3D7"/>
    <w:rsid w:val="1B1D4500"/>
    <w:rsid w:val="1B1EBD92"/>
    <w:rsid w:val="1B1FD040"/>
    <w:rsid w:val="1B22D0F0"/>
    <w:rsid w:val="1B230285"/>
    <w:rsid w:val="1B2311C7"/>
    <w:rsid w:val="1B235B64"/>
    <w:rsid w:val="1B258953"/>
    <w:rsid w:val="1B2C1898"/>
    <w:rsid w:val="1B2C5FB6"/>
    <w:rsid w:val="1B2CBC19"/>
    <w:rsid w:val="1B2F1297"/>
    <w:rsid w:val="1B2F2D0B"/>
    <w:rsid w:val="1B320B1A"/>
    <w:rsid w:val="1B321874"/>
    <w:rsid w:val="1B33F08D"/>
    <w:rsid w:val="1B3D019B"/>
    <w:rsid w:val="1B3D8967"/>
    <w:rsid w:val="1B3EF39F"/>
    <w:rsid w:val="1B425CB0"/>
    <w:rsid w:val="1B42E09D"/>
    <w:rsid w:val="1B441DFF"/>
    <w:rsid w:val="1B44E7F5"/>
    <w:rsid w:val="1B49C1CF"/>
    <w:rsid w:val="1B49C54F"/>
    <w:rsid w:val="1B4AA7E7"/>
    <w:rsid w:val="1B4AC821"/>
    <w:rsid w:val="1B54BED6"/>
    <w:rsid w:val="1B557EB5"/>
    <w:rsid w:val="1B580326"/>
    <w:rsid w:val="1B5BC40F"/>
    <w:rsid w:val="1B5F6AAD"/>
    <w:rsid w:val="1B60CC13"/>
    <w:rsid w:val="1B683099"/>
    <w:rsid w:val="1B696F24"/>
    <w:rsid w:val="1B6A7E56"/>
    <w:rsid w:val="1B6DBA2F"/>
    <w:rsid w:val="1B76570F"/>
    <w:rsid w:val="1B79B911"/>
    <w:rsid w:val="1B7B96D8"/>
    <w:rsid w:val="1B7DA6EB"/>
    <w:rsid w:val="1B816EF1"/>
    <w:rsid w:val="1B82C9CB"/>
    <w:rsid w:val="1B843128"/>
    <w:rsid w:val="1B847462"/>
    <w:rsid w:val="1B8681CD"/>
    <w:rsid w:val="1B8872C1"/>
    <w:rsid w:val="1B8B1BEA"/>
    <w:rsid w:val="1B8BF275"/>
    <w:rsid w:val="1B8D32E6"/>
    <w:rsid w:val="1B8E814B"/>
    <w:rsid w:val="1B8FFDEC"/>
    <w:rsid w:val="1B903909"/>
    <w:rsid w:val="1B923B37"/>
    <w:rsid w:val="1B93593B"/>
    <w:rsid w:val="1B966B20"/>
    <w:rsid w:val="1B968E28"/>
    <w:rsid w:val="1B982379"/>
    <w:rsid w:val="1B9B9D93"/>
    <w:rsid w:val="1B9BE78C"/>
    <w:rsid w:val="1B9C8D9E"/>
    <w:rsid w:val="1BA3C716"/>
    <w:rsid w:val="1BA9F631"/>
    <w:rsid w:val="1BAA0A26"/>
    <w:rsid w:val="1BAF5F9B"/>
    <w:rsid w:val="1BB22AA7"/>
    <w:rsid w:val="1BB46534"/>
    <w:rsid w:val="1BB64E23"/>
    <w:rsid w:val="1BB7F1E0"/>
    <w:rsid w:val="1BC09D5E"/>
    <w:rsid w:val="1BC2C355"/>
    <w:rsid w:val="1BC32613"/>
    <w:rsid w:val="1BC35C1F"/>
    <w:rsid w:val="1BC3E516"/>
    <w:rsid w:val="1BCCCA91"/>
    <w:rsid w:val="1BCE8006"/>
    <w:rsid w:val="1BD0580F"/>
    <w:rsid w:val="1BD12655"/>
    <w:rsid w:val="1BD3DFFD"/>
    <w:rsid w:val="1BD4764F"/>
    <w:rsid w:val="1BD47CB1"/>
    <w:rsid w:val="1BDA6D21"/>
    <w:rsid w:val="1BDF0E86"/>
    <w:rsid w:val="1BDF9AD8"/>
    <w:rsid w:val="1BE5FCD1"/>
    <w:rsid w:val="1BE63687"/>
    <w:rsid w:val="1BE88E46"/>
    <w:rsid w:val="1BEB7DE8"/>
    <w:rsid w:val="1BF7F588"/>
    <w:rsid w:val="1BFAE833"/>
    <w:rsid w:val="1C043255"/>
    <w:rsid w:val="1C062453"/>
    <w:rsid w:val="1C104484"/>
    <w:rsid w:val="1C142A33"/>
    <w:rsid w:val="1C154BE0"/>
    <w:rsid w:val="1C1757E2"/>
    <w:rsid w:val="1C1C2B6E"/>
    <w:rsid w:val="1C226FBE"/>
    <w:rsid w:val="1C22D16F"/>
    <w:rsid w:val="1C23328A"/>
    <w:rsid w:val="1C241225"/>
    <w:rsid w:val="1C2CBE74"/>
    <w:rsid w:val="1C3A08DD"/>
    <w:rsid w:val="1C3C4965"/>
    <w:rsid w:val="1C3E1F7E"/>
    <w:rsid w:val="1C400D57"/>
    <w:rsid w:val="1C41A9DB"/>
    <w:rsid w:val="1C461B6E"/>
    <w:rsid w:val="1C46B253"/>
    <w:rsid w:val="1C5184A0"/>
    <w:rsid w:val="1C526ABB"/>
    <w:rsid w:val="1C52CFE9"/>
    <w:rsid w:val="1C52DDAB"/>
    <w:rsid w:val="1C549A16"/>
    <w:rsid w:val="1C563A45"/>
    <w:rsid w:val="1C565744"/>
    <w:rsid w:val="1C57162B"/>
    <w:rsid w:val="1C572F73"/>
    <w:rsid w:val="1C5F816B"/>
    <w:rsid w:val="1C60C360"/>
    <w:rsid w:val="1C628B7C"/>
    <w:rsid w:val="1C62F657"/>
    <w:rsid w:val="1C6569C0"/>
    <w:rsid w:val="1C664499"/>
    <w:rsid w:val="1C689FD5"/>
    <w:rsid w:val="1C6A3ACC"/>
    <w:rsid w:val="1C6A5F27"/>
    <w:rsid w:val="1C6CAB83"/>
    <w:rsid w:val="1C6D2746"/>
    <w:rsid w:val="1C71F823"/>
    <w:rsid w:val="1C72BE49"/>
    <w:rsid w:val="1C775252"/>
    <w:rsid w:val="1C775EE8"/>
    <w:rsid w:val="1C7A469A"/>
    <w:rsid w:val="1C7BB18B"/>
    <w:rsid w:val="1C7C6758"/>
    <w:rsid w:val="1C835D6C"/>
    <w:rsid w:val="1C849F4D"/>
    <w:rsid w:val="1C8780F5"/>
    <w:rsid w:val="1C8BA5D6"/>
    <w:rsid w:val="1C8C5FC1"/>
    <w:rsid w:val="1C8DF096"/>
    <w:rsid w:val="1C8EAFB0"/>
    <w:rsid w:val="1C921A11"/>
    <w:rsid w:val="1C95495A"/>
    <w:rsid w:val="1C96428E"/>
    <w:rsid w:val="1C9D4B83"/>
    <w:rsid w:val="1C9D677E"/>
    <w:rsid w:val="1C9DA707"/>
    <w:rsid w:val="1C9DED10"/>
    <w:rsid w:val="1CA41E8E"/>
    <w:rsid w:val="1CA5AA70"/>
    <w:rsid w:val="1CA8628E"/>
    <w:rsid w:val="1CAB1976"/>
    <w:rsid w:val="1CADCF08"/>
    <w:rsid w:val="1CAEBB9F"/>
    <w:rsid w:val="1CAEE820"/>
    <w:rsid w:val="1CB02F65"/>
    <w:rsid w:val="1CB0CE20"/>
    <w:rsid w:val="1CB2341D"/>
    <w:rsid w:val="1CBB641D"/>
    <w:rsid w:val="1CBC2D7C"/>
    <w:rsid w:val="1CC0FE69"/>
    <w:rsid w:val="1CC83D2A"/>
    <w:rsid w:val="1CD0952E"/>
    <w:rsid w:val="1CD4B579"/>
    <w:rsid w:val="1CD7074A"/>
    <w:rsid w:val="1CDCEB63"/>
    <w:rsid w:val="1CDCF4FE"/>
    <w:rsid w:val="1CE22EB5"/>
    <w:rsid w:val="1CE4451E"/>
    <w:rsid w:val="1CE7614E"/>
    <w:rsid w:val="1CE85087"/>
    <w:rsid w:val="1CEBA1EA"/>
    <w:rsid w:val="1CED7FB6"/>
    <w:rsid w:val="1CF209F6"/>
    <w:rsid w:val="1CF95B29"/>
    <w:rsid w:val="1D02AD78"/>
    <w:rsid w:val="1D0DAFB4"/>
    <w:rsid w:val="1D144048"/>
    <w:rsid w:val="1D15EAED"/>
    <w:rsid w:val="1D17D10A"/>
    <w:rsid w:val="1D1BA128"/>
    <w:rsid w:val="1D1E08E9"/>
    <w:rsid w:val="1D1E4597"/>
    <w:rsid w:val="1D2237A0"/>
    <w:rsid w:val="1D25A64C"/>
    <w:rsid w:val="1D25E780"/>
    <w:rsid w:val="1D299B10"/>
    <w:rsid w:val="1D2A418E"/>
    <w:rsid w:val="1D2F2A57"/>
    <w:rsid w:val="1D32B10A"/>
    <w:rsid w:val="1D376DF4"/>
    <w:rsid w:val="1D3B2649"/>
    <w:rsid w:val="1D3F148A"/>
    <w:rsid w:val="1D3FD856"/>
    <w:rsid w:val="1D41EC0D"/>
    <w:rsid w:val="1D4213F7"/>
    <w:rsid w:val="1D43CE7B"/>
    <w:rsid w:val="1D442AE9"/>
    <w:rsid w:val="1D44B1BB"/>
    <w:rsid w:val="1D46C34B"/>
    <w:rsid w:val="1D480594"/>
    <w:rsid w:val="1D4973D6"/>
    <w:rsid w:val="1D4AC799"/>
    <w:rsid w:val="1D4B71D8"/>
    <w:rsid w:val="1D4E206E"/>
    <w:rsid w:val="1D4EAFD6"/>
    <w:rsid w:val="1D5017CE"/>
    <w:rsid w:val="1D511CE8"/>
    <w:rsid w:val="1D516683"/>
    <w:rsid w:val="1D54CD41"/>
    <w:rsid w:val="1D5CC8DD"/>
    <w:rsid w:val="1D6403A9"/>
    <w:rsid w:val="1D656F9C"/>
    <w:rsid w:val="1D6AAB6E"/>
    <w:rsid w:val="1D75F9B1"/>
    <w:rsid w:val="1D7D7D8F"/>
    <w:rsid w:val="1D7E982B"/>
    <w:rsid w:val="1D822888"/>
    <w:rsid w:val="1D831515"/>
    <w:rsid w:val="1D86E612"/>
    <w:rsid w:val="1D8BB9A4"/>
    <w:rsid w:val="1D8CE8D4"/>
    <w:rsid w:val="1D8D6429"/>
    <w:rsid w:val="1D911765"/>
    <w:rsid w:val="1D916FE3"/>
    <w:rsid w:val="1D92F31B"/>
    <w:rsid w:val="1D934265"/>
    <w:rsid w:val="1D96258C"/>
    <w:rsid w:val="1D983F6D"/>
    <w:rsid w:val="1D9A1F59"/>
    <w:rsid w:val="1D9F64BC"/>
    <w:rsid w:val="1D9FFD57"/>
    <w:rsid w:val="1DA1FE99"/>
    <w:rsid w:val="1DA34C6F"/>
    <w:rsid w:val="1DA9B90A"/>
    <w:rsid w:val="1DA9E683"/>
    <w:rsid w:val="1DAC3AA0"/>
    <w:rsid w:val="1DB16F7D"/>
    <w:rsid w:val="1DB4A5F2"/>
    <w:rsid w:val="1DB4C15C"/>
    <w:rsid w:val="1DB75383"/>
    <w:rsid w:val="1DBA422B"/>
    <w:rsid w:val="1DC20D33"/>
    <w:rsid w:val="1DC2F11C"/>
    <w:rsid w:val="1DC345CE"/>
    <w:rsid w:val="1DC89E5E"/>
    <w:rsid w:val="1DC8F631"/>
    <w:rsid w:val="1DCA0216"/>
    <w:rsid w:val="1DCCA94E"/>
    <w:rsid w:val="1DCCE164"/>
    <w:rsid w:val="1DCD25C4"/>
    <w:rsid w:val="1DD1AC13"/>
    <w:rsid w:val="1DD37A9D"/>
    <w:rsid w:val="1DD8600E"/>
    <w:rsid w:val="1DD8FFA0"/>
    <w:rsid w:val="1DD9F736"/>
    <w:rsid w:val="1DDAAF23"/>
    <w:rsid w:val="1DDED8F8"/>
    <w:rsid w:val="1DE722D9"/>
    <w:rsid w:val="1DE79998"/>
    <w:rsid w:val="1DE830B3"/>
    <w:rsid w:val="1DEA3931"/>
    <w:rsid w:val="1DEF8718"/>
    <w:rsid w:val="1DEF92DC"/>
    <w:rsid w:val="1DF0B639"/>
    <w:rsid w:val="1DF161EF"/>
    <w:rsid w:val="1DF16E2C"/>
    <w:rsid w:val="1DF290DB"/>
    <w:rsid w:val="1DF363AB"/>
    <w:rsid w:val="1DF3BD78"/>
    <w:rsid w:val="1DF8136F"/>
    <w:rsid w:val="1DF86538"/>
    <w:rsid w:val="1DF88ECB"/>
    <w:rsid w:val="1DFA98F9"/>
    <w:rsid w:val="1DFAA525"/>
    <w:rsid w:val="1E0097A7"/>
    <w:rsid w:val="1E014518"/>
    <w:rsid w:val="1E05B095"/>
    <w:rsid w:val="1E05E786"/>
    <w:rsid w:val="1E08A65D"/>
    <w:rsid w:val="1E0C846A"/>
    <w:rsid w:val="1E1090E3"/>
    <w:rsid w:val="1E10989A"/>
    <w:rsid w:val="1E12544C"/>
    <w:rsid w:val="1E181A51"/>
    <w:rsid w:val="1E19D7F1"/>
    <w:rsid w:val="1E1E1558"/>
    <w:rsid w:val="1E1F22B2"/>
    <w:rsid w:val="1E21CCBF"/>
    <w:rsid w:val="1E222E5C"/>
    <w:rsid w:val="1E22A637"/>
    <w:rsid w:val="1E252BE6"/>
    <w:rsid w:val="1E28C84E"/>
    <w:rsid w:val="1E2D1F6A"/>
    <w:rsid w:val="1E33C84C"/>
    <w:rsid w:val="1E33CEBF"/>
    <w:rsid w:val="1E3521DA"/>
    <w:rsid w:val="1E35F672"/>
    <w:rsid w:val="1E36CFEB"/>
    <w:rsid w:val="1E3761F9"/>
    <w:rsid w:val="1E386CBB"/>
    <w:rsid w:val="1E39BA42"/>
    <w:rsid w:val="1E3BEF95"/>
    <w:rsid w:val="1E3D20FC"/>
    <w:rsid w:val="1E3EA2BF"/>
    <w:rsid w:val="1E422CC7"/>
    <w:rsid w:val="1E44D20E"/>
    <w:rsid w:val="1E46D13A"/>
    <w:rsid w:val="1E474657"/>
    <w:rsid w:val="1E478AAA"/>
    <w:rsid w:val="1E4B146D"/>
    <w:rsid w:val="1E53BA29"/>
    <w:rsid w:val="1E55CBA0"/>
    <w:rsid w:val="1E571234"/>
    <w:rsid w:val="1E5785B3"/>
    <w:rsid w:val="1E5B26F5"/>
    <w:rsid w:val="1E5C2D62"/>
    <w:rsid w:val="1E5E745F"/>
    <w:rsid w:val="1E5EB4BB"/>
    <w:rsid w:val="1E681F4A"/>
    <w:rsid w:val="1E6D3CBE"/>
    <w:rsid w:val="1E6FA62E"/>
    <w:rsid w:val="1E710916"/>
    <w:rsid w:val="1E738380"/>
    <w:rsid w:val="1E78E47A"/>
    <w:rsid w:val="1E83B1BE"/>
    <w:rsid w:val="1E83D6C7"/>
    <w:rsid w:val="1E84A64E"/>
    <w:rsid w:val="1E87B890"/>
    <w:rsid w:val="1E8C1E25"/>
    <w:rsid w:val="1E9294EE"/>
    <w:rsid w:val="1E99F971"/>
    <w:rsid w:val="1E9B8B6E"/>
    <w:rsid w:val="1E9DDAC5"/>
    <w:rsid w:val="1E9F0E51"/>
    <w:rsid w:val="1EA01139"/>
    <w:rsid w:val="1EA01DEB"/>
    <w:rsid w:val="1EA0936C"/>
    <w:rsid w:val="1EA594DB"/>
    <w:rsid w:val="1EA64830"/>
    <w:rsid w:val="1EA6537E"/>
    <w:rsid w:val="1EA886F3"/>
    <w:rsid w:val="1EA96E55"/>
    <w:rsid w:val="1EADD8EC"/>
    <w:rsid w:val="1EB37B19"/>
    <w:rsid w:val="1EBE8833"/>
    <w:rsid w:val="1EC53469"/>
    <w:rsid w:val="1EC59C3D"/>
    <w:rsid w:val="1EC71F46"/>
    <w:rsid w:val="1EC80354"/>
    <w:rsid w:val="1EC8B084"/>
    <w:rsid w:val="1EC9493D"/>
    <w:rsid w:val="1ECB50CF"/>
    <w:rsid w:val="1ECC230E"/>
    <w:rsid w:val="1ECCD480"/>
    <w:rsid w:val="1ECF55CD"/>
    <w:rsid w:val="1ED0FB89"/>
    <w:rsid w:val="1ED104CF"/>
    <w:rsid w:val="1ED1902E"/>
    <w:rsid w:val="1ED344B7"/>
    <w:rsid w:val="1ED49D25"/>
    <w:rsid w:val="1ED64827"/>
    <w:rsid w:val="1ED6F6AA"/>
    <w:rsid w:val="1ED992CC"/>
    <w:rsid w:val="1EE10E33"/>
    <w:rsid w:val="1EE17746"/>
    <w:rsid w:val="1EE98B0D"/>
    <w:rsid w:val="1EEA6AD1"/>
    <w:rsid w:val="1EEB7FC3"/>
    <w:rsid w:val="1EEBBF28"/>
    <w:rsid w:val="1EEDF403"/>
    <w:rsid w:val="1EEEBA54"/>
    <w:rsid w:val="1EF68A94"/>
    <w:rsid w:val="1EFC94F0"/>
    <w:rsid w:val="1EFFB737"/>
    <w:rsid w:val="1EFFD9D2"/>
    <w:rsid w:val="1F021D90"/>
    <w:rsid w:val="1F039241"/>
    <w:rsid w:val="1F067167"/>
    <w:rsid w:val="1F0703EA"/>
    <w:rsid w:val="1F099D3A"/>
    <w:rsid w:val="1F0A488C"/>
    <w:rsid w:val="1F0AF4A2"/>
    <w:rsid w:val="1F0DC524"/>
    <w:rsid w:val="1F110652"/>
    <w:rsid w:val="1F110E4A"/>
    <w:rsid w:val="1F1432A1"/>
    <w:rsid w:val="1F144E2D"/>
    <w:rsid w:val="1F1BAFB1"/>
    <w:rsid w:val="1F25EB0C"/>
    <w:rsid w:val="1F299398"/>
    <w:rsid w:val="1F2CBBBB"/>
    <w:rsid w:val="1F305A41"/>
    <w:rsid w:val="1F3349BD"/>
    <w:rsid w:val="1F33E1E5"/>
    <w:rsid w:val="1F36AA6A"/>
    <w:rsid w:val="1F418533"/>
    <w:rsid w:val="1F434483"/>
    <w:rsid w:val="1F47762C"/>
    <w:rsid w:val="1F4AF0A9"/>
    <w:rsid w:val="1F4D2543"/>
    <w:rsid w:val="1F4FA2DC"/>
    <w:rsid w:val="1F5002C4"/>
    <w:rsid w:val="1F52C72E"/>
    <w:rsid w:val="1F59FECA"/>
    <w:rsid w:val="1F5F5F20"/>
    <w:rsid w:val="1F60FCFA"/>
    <w:rsid w:val="1F695FF5"/>
    <w:rsid w:val="1F766171"/>
    <w:rsid w:val="1F78B93F"/>
    <w:rsid w:val="1F79BDD8"/>
    <w:rsid w:val="1F7D6FC7"/>
    <w:rsid w:val="1F7E598B"/>
    <w:rsid w:val="1F7EA796"/>
    <w:rsid w:val="1F81E1AD"/>
    <w:rsid w:val="1F834E1B"/>
    <w:rsid w:val="1F86605B"/>
    <w:rsid w:val="1F8890B3"/>
    <w:rsid w:val="1F918F9C"/>
    <w:rsid w:val="1F95A406"/>
    <w:rsid w:val="1F99EB24"/>
    <w:rsid w:val="1F9A3A6B"/>
    <w:rsid w:val="1F9B553A"/>
    <w:rsid w:val="1F9D0FE0"/>
    <w:rsid w:val="1F9E2EAF"/>
    <w:rsid w:val="1FA0A10B"/>
    <w:rsid w:val="1FA50ACC"/>
    <w:rsid w:val="1FA52C8C"/>
    <w:rsid w:val="1FA68F30"/>
    <w:rsid w:val="1FAC9A72"/>
    <w:rsid w:val="1FB565B5"/>
    <w:rsid w:val="1FB575C9"/>
    <w:rsid w:val="1FB6361A"/>
    <w:rsid w:val="1FB82067"/>
    <w:rsid w:val="1FBA9F5E"/>
    <w:rsid w:val="1FBC945E"/>
    <w:rsid w:val="1FBD8601"/>
    <w:rsid w:val="1FBE9147"/>
    <w:rsid w:val="1FBF4B79"/>
    <w:rsid w:val="1FC0C12E"/>
    <w:rsid w:val="1FC4C82B"/>
    <w:rsid w:val="1FC6AE16"/>
    <w:rsid w:val="1FC6DF3F"/>
    <w:rsid w:val="1FC8BB75"/>
    <w:rsid w:val="1FCAC59D"/>
    <w:rsid w:val="1FCDBA10"/>
    <w:rsid w:val="1FCEA3D8"/>
    <w:rsid w:val="1FCFB16F"/>
    <w:rsid w:val="1FD0FFE6"/>
    <w:rsid w:val="1FD5F0FA"/>
    <w:rsid w:val="1FD8D6F4"/>
    <w:rsid w:val="1FDA3631"/>
    <w:rsid w:val="1FDCD9CB"/>
    <w:rsid w:val="1FDDF1F6"/>
    <w:rsid w:val="1FDEC7C8"/>
    <w:rsid w:val="1FE6D550"/>
    <w:rsid w:val="1FE793F1"/>
    <w:rsid w:val="1FEC67A0"/>
    <w:rsid w:val="1FEEDE7F"/>
    <w:rsid w:val="1FF157BD"/>
    <w:rsid w:val="1FF2A622"/>
    <w:rsid w:val="1FF3B5CE"/>
    <w:rsid w:val="1FFC8B4A"/>
    <w:rsid w:val="1FFFC934"/>
    <w:rsid w:val="2002B3AF"/>
    <w:rsid w:val="20056185"/>
    <w:rsid w:val="2006192B"/>
    <w:rsid w:val="200935C7"/>
    <w:rsid w:val="20098555"/>
    <w:rsid w:val="200BF81B"/>
    <w:rsid w:val="2011AC1E"/>
    <w:rsid w:val="2016DC80"/>
    <w:rsid w:val="2019B690"/>
    <w:rsid w:val="201B42AE"/>
    <w:rsid w:val="201D3F61"/>
    <w:rsid w:val="201DF802"/>
    <w:rsid w:val="201E50F4"/>
    <w:rsid w:val="20204D08"/>
    <w:rsid w:val="20222B8B"/>
    <w:rsid w:val="20228425"/>
    <w:rsid w:val="202D7091"/>
    <w:rsid w:val="202EF9B6"/>
    <w:rsid w:val="20301031"/>
    <w:rsid w:val="20314DC2"/>
    <w:rsid w:val="20321EF8"/>
    <w:rsid w:val="20340864"/>
    <w:rsid w:val="203862E1"/>
    <w:rsid w:val="203CBA31"/>
    <w:rsid w:val="203CEC58"/>
    <w:rsid w:val="203EE81E"/>
    <w:rsid w:val="2042E324"/>
    <w:rsid w:val="204597EC"/>
    <w:rsid w:val="2046B2A1"/>
    <w:rsid w:val="20472BA5"/>
    <w:rsid w:val="204AE8B2"/>
    <w:rsid w:val="204B34A8"/>
    <w:rsid w:val="204E9660"/>
    <w:rsid w:val="205047FA"/>
    <w:rsid w:val="20547817"/>
    <w:rsid w:val="205617A9"/>
    <w:rsid w:val="20561CAE"/>
    <w:rsid w:val="2058F263"/>
    <w:rsid w:val="2059DCCF"/>
    <w:rsid w:val="205B514D"/>
    <w:rsid w:val="205D64DE"/>
    <w:rsid w:val="205F293C"/>
    <w:rsid w:val="205F6CA8"/>
    <w:rsid w:val="206092B6"/>
    <w:rsid w:val="2061F229"/>
    <w:rsid w:val="2062F1D2"/>
    <w:rsid w:val="20630BA2"/>
    <w:rsid w:val="206521B2"/>
    <w:rsid w:val="20665EC8"/>
    <w:rsid w:val="20689219"/>
    <w:rsid w:val="20784F62"/>
    <w:rsid w:val="207A0F4E"/>
    <w:rsid w:val="207B3C11"/>
    <w:rsid w:val="207BC34D"/>
    <w:rsid w:val="207CC298"/>
    <w:rsid w:val="20813658"/>
    <w:rsid w:val="208A148C"/>
    <w:rsid w:val="208D17EA"/>
    <w:rsid w:val="2094B5E7"/>
    <w:rsid w:val="2097298E"/>
    <w:rsid w:val="2097B447"/>
    <w:rsid w:val="20981EF7"/>
    <w:rsid w:val="2098D36B"/>
    <w:rsid w:val="209C3AA4"/>
    <w:rsid w:val="209F07D1"/>
    <w:rsid w:val="20A331CC"/>
    <w:rsid w:val="20A8F917"/>
    <w:rsid w:val="20A9DFA7"/>
    <w:rsid w:val="20AD06E8"/>
    <w:rsid w:val="20B20989"/>
    <w:rsid w:val="20B2B17F"/>
    <w:rsid w:val="20B33C59"/>
    <w:rsid w:val="20B71321"/>
    <w:rsid w:val="20B79C95"/>
    <w:rsid w:val="20B9952C"/>
    <w:rsid w:val="20BA76B9"/>
    <w:rsid w:val="20BADDCB"/>
    <w:rsid w:val="20BF191B"/>
    <w:rsid w:val="20BF6FEA"/>
    <w:rsid w:val="20C45B44"/>
    <w:rsid w:val="20C606AD"/>
    <w:rsid w:val="20CA4A42"/>
    <w:rsid w:val="20D2DDC0"/>
    <w:rsid w:val="20D61F52"/>
    <w:rsid w:val="20D67D2B"/>
    <w:rsid w:val="20D9CC7B"/>
    <w:rsid w:val="20DA3D06"/>
    <w:rsid w:val="20DB7C4D"/>
    <w:rsid w:val="20DE91FD"/>
    <w:rsid w:val="20E09A96"/>
    <w:rsid w:val="20E6FD23"/>
    <w:rsid w:val="20ED7E37"/>
    <w:rsid w:val="20F266BE"/>
    <w:rsid w:val="20F4CA67"/>
    <w:rsid w:val="20F7E0FD"/>
    <w:rsid w:val="20FA75A7"/>
    <w:rsid w:val="20FBB80A"/>
    <w:rsid w:val="20FC33ED"/>
    <w:rsid w:val="20FC5FBD"/>
    <w:rsid w:val="20FC7EAB"/>
    <w:rsid w:val="20FDEE71"/>
    <w:rsid w:val="2104DE80"/>
    <w:rsid w:val="210B471C"/>
    <w:rsid w:val="210BCA8C"/>
    <w:rsid w:val="210DAC1F"/>
    <w:rsid w:val="210F6EBF"/>
    <w:rsid w:val="211197F8"/>
    <w:rsid w:val="2112D58C"/>
    <w:rsid w:val="2114E340"/>
    <w:rsid w:val="211729A9"/>
    <w:rsid w:val="211985F8"/>
    <w:rsid w:val="211C2E57"/>
    <w:rsid w:val="211E5CF2"/>
    <w:rsid w:val="21222978"/>
    <w:rsid w:val="2126036D"/>
    <w:rsid w:val="212DD1BB"/>
    <w:rsid w:val="21310E99"/>
    <w:rsid w:val="213487AF"/>
    <w:rsid w:val="2135AC31"/>
    <w:rsid w:val="2139F477"/>
    <w:rsid w:val="213D3B35"/>
    <w:rsid w:val="213D60AB"/>
    <w:rsid w:val="213DA71A"/>
    <w:rsid w:val="213DEE2D"/>
    <w:rsid w:val="213E3C83"/>
    <w:rsid w:val="213FFE2F"/>
    <w:rsid w:val="21409869"/>
    <w:rsid w:val="2145A7C2"/>
    <w:rsid w:val="2145CF84"/>
    <w:rsid w:val="21462E01"/>
    <w:rsid w:val="21476EC7"/>
    <w:rsid w:val="21479D5E"/>
    <w:rsid w:val="214BA339"/>
    <w:rsid w:val="21517D51"/>
    <w:rsid w:val="215B09B1"/>
    <w:rsid w:val="215BF40F"/>
    <w:rsid w:val="215DE7D7"/>
    <w:rsid w:val="21635EDA"/>
    <w:rsid w:val="2165D8DD"/>
    <w:rsid w:val="216C838C"/>
    <w:rsid w:val="216CD56A"/>
    <w:rsid w:val="217384D7"/>
    <w:rsid w:val="217A9829"/>
    <w:rsid w:val="217AC0D2"/>
    <w:rsid w:val="217D242B"/>
    <w:rsid w:val="21804EE6"/>
    <w:rsid w:val="21837D98"/>
    <w:rsid w:val="21862536"/>
    <w:rsid w:val="2186E97C"/>
    <w:rsid w:val="2188BCFF"/>
    <w:rsid w:val="2189C3DC"/>
    <w:rsid w:val="218F9540"/>
    <w:rsid w:val="21926C94"/>
    <w:rsid w:val="2193527D"/>
    <w:rsid w:val="21942416"/>
    <w:rsid w:val="219773B5"/>
    <w:rsid w:val="219F9E55"/>
    <w:rsid w:val="21A37122"/>
    <w:rsid w:val="21A83B64"/>
    <w:rsid w:val="21AB5B6E"/>
    <w:rsid w:val="21B8D73A"/>
    <w:rsid w:val="21BAF0B4"/>
    <w:rsid w:val="21BC88F3"/>
    <w:rsid w:val="21BC9645"/>
    <w:rsid w:val="21BFA5C3"/>
    <w:rsid w:val="21C181A5"/>
    <w:rsid w:val="21C1AEB0"/>
    <w:rsid w:val="21CF5D70"/>
    <w:rsid w:val="21D3F0E2"/>
    <w:rsid w:val="21D583CE"/>
    <w:rsid w:val="21D7ADC4"/>
    <w:rsid w:val="21D876A5"/>
    <w:rsid w:val="21D8A2CD"/>
    <w:rsid w:val="21E19FA5"/>
    <w:rsid w:val="21E36687"/>
    <w:rsid w:val="21E8D5D7"/>
    <w:rsid w:val="21ECD707"/>
    <w:rsid w:val="21F2D317"/>
    <w:rsid w:val="21F42AEF"/>
    <w:rsid w:val="21F454A1"/>
    <w:rsid w:val="21F56B6A"/>
    <w:rsid w:val="21F5CD81"/>
    <w:rsid w:val="21F62370"/>
    <w:rsid w:val="21F9BF08"/>
    <w:rsid w:val="21F9DA7C"/>
    <w:rsid w:val="21F9F94D"/>
    <w:rsid w:val="21FA90A3"/>
    <w:rsid w:val="21FB4464"/>
    <w:rsid w:val="21FBCFC5"/>
    <w:rsid w:val="21FEFA7F"/>
    <w:rsid w:val="2201FE34"/>
    <w:rsid w:val="22024218"/>
    <w:rsid w:val="22064DF7"/>
    <w:rsid w:val="22076A28"/>
    <w:rsid w:val="2207D8C0"/>
    <w:rsid w:val="2209CF25"/>
    <w:rsid w:val="220A7356"/>
    <w:rsid w:val="220C83D6"/>
    <w:rsid w:val="220DA185"/>
    <w:rsid w:val="2213B7A3"/>
    <w:rsid w:val="221CE487"/>
    <w:rsid w:val="221DE27E"/>
    <w:rsid w:val="222006F5"/>
    <w:rsid w:val="22219373"/>
    <w:rsid w:val="2223B6B8"/>
    <w:rsid w:val="22241AD4"/>
    <w:rsid w:val="222A0CAA"/>
    <w:rsid w:val="222A4032"/>
    <w:rsid w:val="222B958E"/>
    <w:rsid w:val="222BBB70"/>
    <w:rsid w:val="222CD65C"/>
    <w:rsid w:val="222F2D1F"/>
    <w:rsid w:val="22339BBC"/>
    <w:rsid w:val="2233DD3E"/>
    <w:rsid w:val="2237E1EB"/>
    <w:rsid w:val="2238687D"/>
    <w:rsid w:val="223A9C8D"/>
    <w:rsid w:val="223B9C8A"/>
    <w:rsid w:val="224210EA"/>
    <w:rsid w:val="22421F8E"/>
    <w:rsid w:val="2243F389"/>
    <w:rsid w:val="22465113"/>
    <w:rsid w:val="224756C6"/>
    <w:rsid w:val="224AB4DE"/>
    <w:rsid w:val="224B1324"/>
    <w:rsid w:val="224C3F7D"/>
    <w:rsid w:val="224E7128"/>
    <w:rsid w:val="2251224C"/>
    <w:rsid w:val="22520FDB"/>
    <w:rsid w:val="2253CE76"/>
    <w:rsid w:val="2255ED0B"/>
    <w:rsid w:val="225AAFDB"/>
    <w:rsid w:val="22615DF4"/>
    <w:rsid w:val="22630528"/>
    <w:rsid w:val="22664048"/>
    <w:rsid w:val="2267A3CD"/>
    <w:rsid w:val="22681A8F"/>
    <w:rsid w:val="22697DF9"/>
    <w:rsid w:val="226C0531"/>
    <w:rsid w:val="226F0C83"/>
    <w:rsid w:val="22793519"/>
    <w:rsid w:val="2281EF64"/>
    <w:rsid w:val="2287A737"/>
    <w:rsid w:val="228A1CDB"/>
    <w:rsid w:val="228D5C71"/>
    <w:rsid w:val="228D5DCD"/>
    <w:rsid w:val="228DD346"/>
    <w:rsid w:val="2291E10E"/>
    <w:rsid w:val="22922850"/>
    <w:rsid w:val="22970EEC"/>
    <w:rsid w:val="229B42A0"/>
    <w:rsid w:val="229CF53D"/>
    <w:rsid w:val="229D2693"/>
    <w:rsid w:val="229E7FF8"/>
    <w:rsid w:val="22A121F4"/>
    <w:rsid w:val="22A2437C"/>
    <w:rsid w:val="22A2ABA2"/>
    <w:rsid w:val="22A3CE31"/>
    <w:rsid w:val="22A73835"/>
    <w:rsid w:val="22A882BF"/>
    <w:rsid w:val="22AD6859"/>
    <w:rsid w:val="22AF9DD4"/>
    <w:rsid w:val="22B224CA"/>
    <w:rsid w:val="22B38D14"/>
    <w:rsid w:val="22B43332"/>
    <w:rsid w:val="22B4919F"/>
    <w:rsid w:val="22B5BF36"/>
    <w:rsid w:val="22B93D28"/>
    <w:rsid w:val="22BA2914"/>
    <w:rsid w:val="22BAA21B"/>
    <w:rsid w:val="22BE547E"/>
    <w:rsid w:val="22C03020"/>
    <w:rsid w:val="22D2A1B3"/>
    <w:rsid w:val="22D6B99C"/>
    <w:rsid w:val="22D7E761"/>
    <w:rsid w:val="22D98CA0"/>
    <w:rsid w:val="22DB6A36"/>
    <w:rsid w:val="22DD546C"/>
    <w:rsid w:val="22DEA9C0"/>
    <w:rsid w:val="22E142A4"/>
    <w:rsid w:val="22E47CA8"/>
    <w:rsid w:val="22E8043C"/>
    <w:rsid w:val="22E94410"/>
    <w:rsid w:val="22EA9291"/>
    <w:rsid w:val="22EB312D"/>
    <w:rsid w:val="22EC5002"/>
    <w:rsid w:val="22EC8D29"/>
    <w:rsid w:val="22ECE81A"/>
    <w:rsid w:val="22ED7C8D"/>
    <w:rsid w:val="22EE0C27"/>
    <w:rsid w:val="22F1A2AB"/>
    <w:rsid w:val="22F2E569"/>
    <w:rsid w:val="22F51DBB"/>
    <w:rsid w:val="22F58DB7"/>
    <w:rsid w:val="22F7015A"/>
    <w:rsid w:val="22F85262"/>
    <w:rsid w:val="22FEE364"/>
    <w:rsid w:val="23010BBB"/>
    <w:rsid w:val="23028674"/>
    <w:rsid w:val="23033692"/>
    <w:rsid w:val="230773E2"/>
    <w:rsid w:val="23081E1E"/>
    <w:rsid w:val="230D3085"/>
    <w:rsid w:val="230FE832"/>
    <w:rsid w:val="2310608C"/>
    <w:rsid w:val="231A20A8"/>
    <w:rsid w:val="231B28B9"/>
    <w:rsid w:val="231E27BB"/>
    <w:rsid w:val="2325D00E"/>
    <w:rsid w:val="2328A482"/>
    <w:rsid w:val="232A8E3E"/>
    <w:rsid w:val="232B5690"/>
    <w:rsid w:val="232DB49D"/>
    <w:rsid w:val="232F6494"/>
    <w:rsid w:val="232FE52E"/>
    <w:rsid w:val="2330E365"/>
    <w:rsid w:val="2331F8EA"/>
    <w:rsid w:val="23342C0C"/>
    <w:rsid w:val="2336D296"/>
    <w:rsid w:val="233CF08E"/>
    <w:rsid w:val="2340CEC8"/>
    <w:rsid w:val="23463104"/>
    <w:rsid w:val="23472BCF"/>
    <w:rsid w:val="2348C36D"/>
    <w:rsid w:val="2349FC72"/>
    <w:rsid w:val="234B6EC5"/>
    <w:rsid w:val="23530975"/>
    <w:rsid w:val="235866A6"/>
    <w:rsid w:val="2359C174"/>
    <w:rsid w:val="235B4951"/>
    <w:rsid w:val="235EE8B4"/>
    <w:rsid w:val="236082B1"/>
    <w:rsid w:val="23660E8B"/>
    <w:rsid w:val="23666CFD"/>
    <w:rsid w:val="2374F556"/>
    <w:rsid w:val="237AB93F"/>
    <w:rsid w:val="237CE9A8"/>
    <w:rsid w:val="237CF138"/>
    <w:rsid w:val="2383AA0A"/>
    <w:rsid w:val="23854BA3"/>
    <w:rsid w:val="23883CC1"/>
    <w:rsid w:val="238A5894"/>
    <w:rsid w:val="238DDA15"/>
    <w:rsid w:val="23928025"/>
    <w:rsid w:val="2393B1AB"/>
    <w:rsid w:val="239433E4"/>
    <w:rsid w:val="23945B2F"/>
    <w:rsid w:val="239AD4B1"/>
    <w:rsid w:val="239D3790"/>
    <w:rsid w:val="239D9E95"/>
    <w:rsid w:val="239E1279"/>
    <w:rsid w:val="239FB8BB"/>
    <w:rsid w:val="23A227CE"/>
    <w:rsid w:val="23A2B868"/>
    <w:rsid w:val="23A82A2E"/>
    <w:rsid w:val="23AA23BA"/>
    <w:rsid w:val="23ACACCA"/>
    <w:rsid w:val="23B36C6D"/>
    <w:rsid w:val="23B76BE6"/>
    <w:rsid w:val="23C725E4"/>
    <w:rsid w:val="23C73FA3"/>
    <w:rsid w:val="23C7649F"/>
    <w:rsid w:val="23C7B536"/>
    <w:rsid w:val="23CC3E7C"/>
    <w:rsid w:val="23CCBDCC"/>
    <w:rsid w:val="23CE37F8"/>
    <w:rsid w:val="23D00D09"/>
    <w:rsid w:val="23D21361"/>
    <w:rsid w:val="23D62ADE"/>
    <w:rsid w:val="23D8DF24"/>
    <w:rsid w:val="23D9027A"/>
    <w:rsid w:val="23DA3D78"/>
    <w:rsid w:val="23DE000F"/>
    <w:rsid w:val="23E15EAC"/>
    <w:rsid w:val="23E3A21C"/>
    <w:rsid w:val="23ED07E5"/>
    <w:rsid w:val="23F0150B"/>
    <w:rsid w:val="23F28AAA"/>
    <w:rsid w:val="23F2EA4A"/>
    <w:rsid w:val="23FAD974"/>
    <w:rsid w:val="23FB964D"/>
    <w:rsid w:val="23FDB0FA"/>
    <w:rsid w:val="2401CAC2"/>
    <w:rsid w:val="240482FB"/>
    <w:rsid w:val="2408D5FA"/>
    <w:rsid w:val="240B5165"/>
    <w:rsid w:val="240DDEAC"/>
    <w:rsid w:val="24116B44"/>
    <w:rsid w:val="241263A2"/>
    <w:rsid w:val="2412740B"/>
    <w:rsid w:val="2416D039"/>
    <w:rsid w:val="24199C71"/>
    <w:rsid w:val="241B3737"/>
    <w:rsid w:val="241BE651"/>
    <w:rsid w:val="241E017A"/>
    <w:rsid w:val="241FB0E1"/>
    <w:rsid w:val="24227EC4"/>
    <w:rsid w:val="2423CE79"/>
    <w:rsid w:val="2423DBE6"/>
    <w:rsid w:val="24256098"/>
    <w:rsid w:val="2425D0CE"/>
    <w:rsid w:val="242CA0E2"/>
    <w:rsid w:val="242D912C"/>
    <w:rsid w:val="242F34C2"/>
    <w:rsid w:val="2433A9AE"/>
    <w:rsid w:val="243483DA"/>
    <w:rsid w:val="243520E1"/>
    <w:rsid w:val="243581DA"/>
    <w:rsid w:val="243837B5"/>
    <w:rsid w:val="243D8E66"/>
    <w:rsid w:val="2441D8F5"/>
    <w:rsid w:val="24451CAE"/>
    <w:rsid w:val="244622B0"/>
    <w:rsid w:val="24464160"/>
    <w:rsid w:val="244659D5"/>
    <w:rsid w:val="244995B9"/>
    <w:rsid w:val="2449D67E"/>
    <w:rsid w:val="244A46DB"/>
    <w:rsid w:val="244A67CE"/>
    <w:rsid w:val="244F0476"/>
    <w:rsid w:val="24520A70"/>
    <w:rsid w:val="2454C3F1"/>
    <w:rsid w:val="245537C2"/>
    <w:rsid w:val="2456B98F"/>
    <w:rsid w:val="245A7558"/>
    <w:rsid w:val="245EFB9C"/>
    <w:rsid w:val="2465D297"/>
    <w:rsid w:val="24668525"/>
    <w:rsid w:val="2466CFF6"/>
    <w:rsid w:val="246ABF98"/>
    <w:rsid w:val="24701B59"/>
    <w:rsid w:val="24752E3A"/>
    <w:rsid w:val="24847207"/>
    <w:rsid w:val="2484C670"/>
    <w:rsid w:val="24860AF8"/>
    <w:rsid w:val="24899B66"/>
    <w:rsid w:val="248CBDE2"/>
    <w:rsid w:val="248F2976"/>
    <w:rsid w:val="248FB132"/>
    <w:rsid w:val="24979EB8"/>
    <w:rsid w:val="2498CABD"/>
    <w:rsid w:val="24990FA5"/>
    <w:rsid w:val="249BE08D"/>
    <w:rsid w:val="24A09D8D"/>
    <w:rsid w:val="24A85D68"/>
    <w:rsid w:val="24AA7C88"/>
    <w:rsid w:val="24ABE1D9"/>
    <w:rsid w:val="24AD391D"/>
    <w:rsid w:val="24AE1717"/>
    <w:rsid w:val="24AEECBB"/>
    <w:rsid w:val="24AFD9FD"/>
    <w:rsid w:val="24B4EF7A"/>
    <w:rsid w:val="24BB9381"/>
    <w:rsid w:val="24C0E5BF"/>
    <w:rsid w:val="24C19C0D"/>
    <w:rsid w:val="24C4C6B1"/>
    <w:rsid w:val="24C57BB9"/>
    <w:rsid w:val="24C7A50E"/>
    <w:rsid w:val="24C9827A"/>
    <w:rsid w:val="24CAA49A"/>
    <w:rsid w:val="24CFC797"/>
    <w:rsid w:val="24D296A4"/>
    <w:rsid w:val="24D759D3"/>
    <w:rsid w:val="24D7ECAA"/>
    <w:rsid w:val="24DB73A2"/>
    <w:rsid w:val="24DC6319"/>
    <w:rsid w:val="24DC8266"/>
    <w:rsid w:val="24DD4C8F"/>
    <w:rsid w:val="24E1EA65"/>
    <w:rsid w:val="24E21B94"/>
    <w:rsid w:val="24E5D1A4"/>
    <w:rsid w:val="24ED2A1C"/>
    <w:rsid w:val="24F26A14"/>
    <w:rsid w:val="24F7EA37"/>
    <w:rsid w:val="24FD29EF"/>
    <w:rsid w:val="25022636"/>
    <w:rsid w:val="250571DE"/>
    <w:rsid w:val="2506B0C3"/>
    <w:rsid w:val="250B9F41"/>
    <w:rsid w:val="2511D160"/>
    <w:rsid w:val="251319C3"/>
    <w:rsid w:val="2519C30B"/>
    <w:rsid w:val="2519D216"/>
    <w:rsid w:val="251AF85D"/>
    <w:rsid w:val="251D3EAB"/>
    <w:rsid w:val="251F01A4"/>
    <w:rsid w:val="251FA1B8"/>
    <w:rsid w:val="252DC9B7"/>
    <w:rsid w:val="2530288D"/>
    <w:rsid w:val="2534B44A"/>
    <w:rsid w:val="25368AD6"/>
    <w:rsid w:val="2536F275"/>
    <w:rsid w:val="253BCFCE"/>
    <w:rsid w:val="253D2B76"/>
    <w:rsid w:val="253EF848"/>
    <w:rsid w:val="25417B00"/>
    <w:rsid w:val="2542CD5B"/>
    <w:rsid w:val="25491A5D"/>
    <w:rsid w:val="254A0CA3"/>
    <w:rsid w:val="254A94F1"/>
    <w:rsid w:val="254B076E"/>
    <w:rsid w:val="25593B2D"/>
    <w:rsid w:val="255A0916"/>
    <w:rsid w:val="255B7F1C"/>
    <w:rsid w:val="255BA4E8"/>
    <w:rsid w:val="255E46C7"/>
    <w:rsid w:val="25618D61"/>
    <w:rsid w:val="2564D0DC"/>
    <w:rsid w:val="256529DF"/>
    <w:rsid w:val="256E74CD"/>
    <w:rsid w:val="256EFA1D"/>
    <w:rsid w:val="256FB8A9"/>
    <w:rsid w:val="25746702"/>
    <w:rsid w:val="257CE038"/>
    <w:rsid w:val="257FE9B7"/>
    <w:rsid w:val="2585FA58"/>
    <w:rsid w:val="258B7FE7"/>
    <w:rsid w:val="258F6447"/>
    <w:rsid w:val="259023E1"/>
    <w:rsid w:val="25904B08"/>
    <w:rsid w:val="2592C5B4"/>
    <w:rsid w:val="2595CA78"/>
    <w:rsid w:val="25972AE8"/>
    <w:rsid w:val="259ACA62"/>
    <w:rsid w:val="259AF1FF"/>
    <w:rsid w:val="259C6635"/>
    <w:rsid w:val="259D8108"/>
    <w:rsid w:val="259ED77A"/>
    <w:rsid w:val="259F1B8F"/>
    <w:rsid w:val="25A0EE4E"/>
    <w:rsid w:val="25A398A8"/>
    <w:rsid w:val="25A429FF"/>
    <w:rsid w:val="25A714A6"/>
    <w:rsid w:val="25A82FD0"/>
    <w:rsid w:val="25AD8553"/>
    <w:rsid w:val="25B39DB4"/>
    <w:rsid w:val="25B6B8B2"/>
    <w:rsid w:val="25B718BD"/>
    <w:rsid w:val="25BBC2C3"/>
    <w:rsid w:val="25C456A3"/>
    <w:rsid w:val="25C75BB7"/>
    <w:rsid w:val="25C86AA9"/>
    <w:rsid w:val="25CED19D"/>
    <w:rsid w:val="25D1C450"/>
    <w:rsid w:val="25D2DE25"/>
    <w:rsid w:val="25D42D46"/>
    <w:rsid w:val="25D43A0F"/>
    <w:rsid w:val="25E421D0"/>
    <w:rsid w:val="25E4C62E"/>
    <w:rsid w:val="25E5D3C3"/>
    <w:rsid w:val="25E7836F"/>
    <w:rsid w:val="25E87A1E"/>
    <w:rsid w:val="25EBE227"/>
    <w:rsid w:val="25EF3C3A"/>
    <w:rsid w:val="25F0D805"/>
    <w:rsid w:val="25F14A6D"/>
    <w:rsid w:val="25F5F95C"/>
    <w:rsid w:val="25F7BC3C"/>
    <w:rsid w:val="25FD0599"/>
    <w:rsid w:val="25FD2430"/>
    <w:rsid w:val="26018A04"/>
    <w:rsid w:val="2603B5A4"/>
    <w:rsid w:val="2605ECBF"/>
    <w:rsid w:val="26066DA8"/>
    <w:rsid w:val="260D815A"/>
    <w:rsid w:val="260D974F"/>
    <w:rsid w:val="260FD39E"/>
    <w:rsid w:val="2619235F"/>
    <w:rsid w:val="261E4C6D"/>
    <w:rsid w:val="261F509A"/>
    <w:rsid w:val="261FDA18"/>
    <w:rsid w:val="262132E1"/>
    <w:rsid w:val="26228EAE"/>
    <w:rsid w:val="26237E5B"/>
    <w:rsid w:val="2625141F"/>
    <w:rsid w:val="2628A804"/>
    <w:rsid w:val="262B5156"/>
    <w:rsid w:val="2637BB25"/>
    <w:rsid w:val="2639DD32"/>
    <w:rsid w:val="263CEE78"/>
    <w:rsid w:val="263EE0A4"/>
    <w:rsid w:val="2642467A"/>
    <w:rsid w:val="26428532"/>
    <w:rsid w:val="26438693"/>
    <w:rsid w:val="26442DC9"/>
    <w:rsid w:val="26456942"/>
    <w:rsid w:val="2645787D"/>
    <w:rsid w:val="264653D4"/>
    <w:rsid w:val="2648783E"/>
    <w:rsid w:val="264905DE"/>
    <w:rsid w:val="264CB710"/>
    <w:rsid w:val="264DEDC1"/>
    <w:rsid w:val="264F8C8A"/>
    <w:rsid w:val="2650A9EE"/>
    <w:rsid w:val="2652923B"/>
    <w:rsid w:val="2653DB5D"/>
    <w:rsid w:val="26554253"/>
    <w:rsid w:val="26594A40"/>
    <w:rsid w:val="265ED554"/>
    <w:rsid w:val="26604544"/>
    <w:rsid w:val="26626B2A"/>
    <w:rsid w:val="266433E0"/>
    <w:rsid w:val="266FC476"/>
    <w:rsid w:val="2671F311"/>
    <w:rsid w:val="267285A9"/>
    <w:rsid w:val="26770B62"/>
    <w:rsid w:val="26781F3D"/>
    <w:rsid w:val="267B1A53"/>
    <w:rsid w:val="267ED5D8"/>
    <w:rsid w:val="267FB1BC"/>
    <w:rsid w:val="268961F2"/>
    <w:rsid w:val="268C0B16"/>
    <w:rsid w:val="268C831D"/>
    <w:rsid w:val="268E3812"/>
    <w:rsid w:val="2690C268"/>
    <w:rsid w:val="2690E803"/>
    <w:rsid w:val="2693B5D8"/>
    <w:rsid w:val="26956BAE"/>
    <w:rsid w:val="2696C772"/>
    <w:rsid w:val="2697C3F5"/>
    <w:rsid w:val="26995FB5"/>
    <w:rsid w:val="269B7AEE"/>
    <w:rsid w:val="26A1D7E6"/>
    <w:rsid w:val="26A2D8ED"/>
    <w:rsid w:val="26A33D82"/>
    <w:rsid w:val="26A3E2F7"/>
    <w:rsid w:val="26A5F83A"/>
    <w:rsid w:val="26A80C8F"/>
    <w:rsid w:val="26AF1E98"/>
    <w:rsid w:val="26B20E28"/>
    <w:rsid w:val="26B492D3"/>
    <w:rsid w:val="26B77F66"/>
    <w:rsid w:val="26B836AA"/>
    <w:rsid w:val="26B9E96F"/>
    <w:rsid w:val="26BE04BA"/>
    <w:rsid w:val="26BEAB13"/>
    <w:rsid w:val="26C10C3F"/>
    <w:rsid w:val="26C2F520"/>
    <w:rsid w:val="26C5E3C1"/>
    <w:rsid w:val="26C67C81"/>
    <w:rsid w:val="26C9905D"/>
    <w:rsid w:val="26D6446C"/>
    <w:rsid w:val="26D6DE09"/>
    <w:rsid w:val="26D76ECB"/>
    <w:rsid w:val="26D8CC0E"/>
    <w:rsid w:val="26DADB3E"/>
    <w:rsid w:val="26DB4C57"/>
    <w:rsid w:val="26DC2042"/>
    <w:rsid w:val="26DDD955"/>
    <w:rsid w:val="26E03957"/>
    <w:rsid w:val="26E0985C"/>
    <w:rsid w:val="26E0A1B0"/>
    <w:rsid w:val="26E4B7AC"/>
    <w:rsid w:val="26E59675"/>
    <w:rsid w:val="26E682CC"/>
    <w:rsid w:val="26EB4601"/>
    <w:rsid w:val="26ECA5A9"/>
    <w:rsid w:val="26ED2ED1"/>
    <w:rsid w:val="26F3371D"/>
    <w:rsid w:val="26F71E3E"/>
    <w:rsid w:val="26F9C110"/>
    <w:rsid w:val="2700E205"/>
    <w:rsid w:val="2702EFD2"/>
    <w:rsid w:val="27047E85"/>
    <w:rsid w:val="2705DFBB"/>
    <w:rsid w:val="270AA172"/>
    <w:rsid w:val="270B4AF8"/>
    <w:rsid w:val="270E1217"/>
    <w:rsid w:val="270EBDE3"/>
    <w:rsid w:val="270FB279"/>
    <w:rsid w:val="2717C428"/>
    <w:rsid w:val="27186A2C"/>
    <w:rsid w:val="271A4AB7"/>
    <w:rsid w:val="271B7315"/>
    <w:rsid w:val="271B778A"/>
    <w:rsid w:val="271BF24D"/>
    <w:rsid w:val="271D0A05"/>
    <w:rsid w:val="271D6103"/>
    <w:rsid w:val="2723C835"/>
    <w:rsid w:val="2728AC99"/>
    <w:rsid w:val="2729C547"/>
    <w:rsid w:val="272DDE02"/>
    <w:rsid w:val="2733203C"/>
    <w:rsid w:val="273396E0"/>
    <w:rsid w:val="27371261"/>
    <w:rsid w:val="273A2713"/>
    <w:rsid w:val="273A50EC"/>
    <w:rsid w:val="273C521F"/>
    <w:rsid w:val="273F01D6"/>
    <w:rsid w:val="273F0E1A"/>
    <w:rsid w:val="274608EC"/>
    <w:rsid w:val="27497DAE"/>
    <w:rsid w:val="275092C6"/>
    <w:rsid w:val="27563EA7"/>
    <w:rsid w:val="275A5B48"/>
    <w:rsid w:val="275A61F4"/>
    <w:rsid w:val="275C1CE3"/>
    <w:rsid w:val="275C6583"/>
    <w:rsid w:val="275EF4F2"/>
    <w:rsid w:val="2760959E"/>
    <w:rsid w:val="2760F4A9"/>
    <w:rsid w:val="27613F09"/>
    <w:rsid w:val="276212A8"/>
    <w:rsid w:val="27621AAE"/>
    <w:rsid w:val="276EF69B"/>
    <w:rsid w:val="27780D75"/>
    <w:rsid w:val="27791CEB"/>
    <w:rsid w:val="27795F07"/>
    <w:rsid w:val="277BCE7D"/>
    <w:rsid w:val="277CCE59"/>
    <w:rsid w:val="277F1489"/>
    <w:rsid w:val="2780792D"/>
    <w:rsid w:val="2781FC9B"/>
    <w:rsid w:val="27821941"/>
    <w:rsid w:val="27851567"/>
    <w:rsid w:val="2786F868"/>
    <w:rsid w:val="278A7860"/>
    <w:rsid w:val="278F8B18"/>
    <w:rsid w:val="2796F454"/>
    <w:rsid w:val="279B068E"/>
    <w:rsid w:val="279BF38B"/>
    <w:rsid w:val="279EE39D"/>
    <w:rsid w:val="27A1F21B"/>
    <w:rsid w:val="27A35A2E"/>
    <w:rsid w:val="27A46D8D"/>
    <w:rsid w:val="27A48491"/>
    <w:rsid w:val="27A9CE0F"/>
    <w:rsid w:val="27ABCE83"/>
    <w:rsid w:val="27AFD9ED"/>
    <w:rsid w:val="27B2E821"/>
    <w:rsid w:val="27B379C1"/>
    <w:rsid w:val="27B44C76"/>
    <w:rsid w:val="27C0E480"/>
    <w:rsid w:val="27C65800"/>
    <w:rsid w:val="27C662E2"/>
    <w:rsid w:val="27C73DF1"/>
    <w:rsid w:val="27C79A6A"/>
    <w:rsid w:val="27C9B9E6"/>
    <w:rsid w:val="27CE3D26"/>
    <w:rsid w:val="27CF6F3A"/>
    <w:rsid w:val="27D0D9F9"/>
    <w:rsid w:val="27D2F213"/>
    <w:rsid w:val="27D4877B"/>
    <w:rsid w:val="27D944EA"/>
    <w:rsid w:val="27DA1563"/>
    <w:rsid w:val="27DC54FD"/>
    <w:rsid w:val="27DCDD3A"/>
    <w:rsid w:val="27DD3B20"/>
    <w:rsid w:val="27DDD976"/>
    <w:rsid w:val="27E8C8B8"/>
    <w:rsid w:val="27F42326"/>
    <w:rsid w:val="27F4796A"/>
    <w:rsid w:val="27F744A9"/>
    <w:rsid w:val="27F8001A"/>
    <w:rsid w:val="27FAB6AB"/>
    <w:rsid w:val="27FE3CD7"/>
    <w:rsid w:val="280174C5"/>
    <w:rsid w:val="280292D9"/>
    <w:rsid w:val="28065BB7"/>
    <w:rsid w:val="2806657F"/>
    <w:rsid w:val="2808D977"/>
    <w:rsid w:val="280AE18A"/>
    <w:rsid w:val="280DFBA4"/>
    <w:rsid w:val="280E62C4"/>
    <w:rsid w:val="280E99F8"/>
    <w:rsid w:val="280EF886"/>
    <w:rsid w:val="2810610E"/>
    <w:rsid w:val="28127812"/>
    <w:rsid w:val="2817752E"/>
    <w:rsid w:val="2817AECC"/>
    <w:rsid w:val="281826B9"/>
    <w:rsid w:val="2822827C"/>
    <w:rsid w:val="28228961"/>
    <w:rsid w:val="2824F8DD"/>
    <w:rsid w:val="28270CC7"/>
    <w:rsid w:val="28281E2D"/>
    <w:rsid w:val="282844D7"/>
    <w:rsid w:val="2834F040"/>
    <w:rsid w:val="28350100"/>
    <w:rsid w:val="2837E851"/>
    <w:rsid w:val="283CF04C"/>
    <w:rsid w:val="284C7721"/>
    <w:rsid w:val="284D8134"/>
    <w:rsid w:val="2852A80B"/>
    <w:rsid w:val="285BBDEB"/>
    <w:rsid w:val="2860550D"/>
    <w:rsid w:val="28636198"/>
    <w:rsid w:val="28670AD4"/>
    <w:rsid w:val="2867C94F"/>
    <w:rsid w:val="2868AC90"/>
    <w:rsid w:val="286B4E9E"/>
    <w:rsid w:val="286DDE18"/>
    <w:rsid w:val="286ECF5D"/>
    <w:rsid w:val="287047C6"/>
    <w:rsid w:val="28704BA1"/>
    <w:rsid w:val="2870D9B0"/>
    <w:rsid w:val="28715CA0"/>
    <w:rsid w:val="28723315"/>
    <w:rsid w:val="287939AC"/>
    <w:rsid w:val="287EBF2B"/>
    <w:rsid w:val="2882C1F4"/>
    <w:rsid w:val="28850929"/>
    <w:rsid w:val="2889442B"/>
    <w:rsid w:val="288964B2"/>
    <w:rsid w:val="28907545"/>
    <w:rsid w:val="28921EDC"/>
    <w:rsid w:val="289397B4"/>
    <w:rsid w:val="28A3F858"/>
    <w:rsid w:val="28A406C5"/>
    <w:rsid w:val="28A41F1A"/>
    <w:rsid w:val="28A64578"/>
    <w:rsid w:val="28B35145"/>
    <w:rsid w:val="28B4B47E"/>
    <w:rsid w:val="28BA59DF"/>
    <w:rsid w:val="28BB07CC"/>
    <w:rsid w:val="28C2310C"/>
    <w:rsid w:val="28C32FA7"/>
    <w:rsid w:val="28C65644"/>
    <w:rsid w:val="28CE68AE"/>
    <w:rsid w:val="28D060EC"/>
    <w:rsid w:val="28D1AE2E"/>
    <w:rsid w:val="28DA3809"/>
    <w:rsid w:val="28E5CED5"/>
    <w:rsid w:val="28E731A2"/>
    <w:rsid w:val="28E9FE2A"/>
    <w:rsid w:val="28F0BE9D"/>
    <w:rsid w:val="28F89F71"/>
    <w:rsid w:val="28FA2F6A"/>
    <w:rsid w:val="29054F29"/>
    <w:rsid w:val="29063ABE"/>
    <w:rsid w:val="29072AFA"/>
    <w:rsid w:val="290857CE"/>
    <w:rsid w:val="290B427F"/>
    <w:rsid w:val="290B97FE"/>
    <w:rsid w:val="290D0420"/>
    <w:rsid w:val="29118CAC"/>
    <w:rsid w:val="2913430B"/>
    <w:rsid w:val="2913DDD6"/>
    <w:rsid w:val="2914D674"/>
    <w:rsid w:val="2915650E"/>
    <w:rsid w:val="29173866"/>
    <w:rsid w:val="2919ED97"/>
    <w:rsid w:val="291B28DA"/>
    <w:rsid w:val="291C9228"/>
    <w:rsid w:val="291D4C81"/>
    <w:rsid w:val="2920A42E"/>
    <w:rsid w:val="29225E09"/>
    <w:rsid w:val="29269752"/>
    <w:rsid w:val="292CF5E4"/>
    <w:rsid w:val="292F6058"/>
    <w:rsid w:val="29308333"/>
    <w:rsid w:val="29367867"/>
    <w:rsid w:val="29394BC2"/>
    <w:rsid w:val="293D5F04"/>
    <w:rsid w:val="2947C0BA"/>
    <w:rsid w:val="294AC05F"/>
    <w:rsid w:val="294B431F"/>
    <w:rsid w:val="294DEB2E"/>
    <w:rsid w:val="294E7B17"/>
    <w:rsid w:val="294E8BAE"/>
    <w:rsid w:val="294F45EB"/>
    <w:rsid w:val="2950925E"/>
    <w:rsid w:val="29529780"/>
    <w:rsid w:val="29571E9E"/>
    <w:rsid w:val="295BC4DE"/>
    <w:rsid w:val="2961FF3B"/>
    <w:rsid w:val="29639570"/>
    <w:rsid w:val="296FB4AC"/>
    <w:rsid w:val="29716A45"/>
    <w:rsid w:val="2972B70B"/>
    <w:rsid w:val="2974F19A"/>
    <w:rsid w:val="2975DD48"/>
    <w:rsid w:val="29763FE2"/>
    <w:rsid w:val="2978BF05"/>
    <w:rsid w:val="297DEC87"/>
    <w:rsid w:val="29851792"/>
    <w:rsid w:val="2985FE55"/>
    <w:rsid w:val="298BD5D3"/>
    <w:rsid w:val="298E6916"/>
    <w:rsid w:val="299128FC"/>
    <w:rsid w:val="2993D2FB"/>
    <w:rsid w:val="29965FA5"/>
    <w:rsid w:val="2997E606"/>
    <w:rsid w:val="2999EF86"/>
    <w:rsid w:val="299D7912"/>
    <w:rsid w:val="299DAB30"/>
    <w:rsid w:val="299E4F8E"/>
    <w:rsid w:val="299F00C6"/>
    <w:rsid w:val="29A0B114"/>
    <w:rsid w:val="29A209FC"/>
    <w:rsid w:val="29A36E74"/>
    <w:rsid w:val="29AC79D4"/>
    <w:rsid w:val="29ACEF0A"/>
    <w:rsid w:val="29AD431E"/>
    <w:rsid w:val="29AECBA3"/>
    <w:rsid w:val="29B071E9"/>
    <w:rsid w:val="29B17321"/>
    <w:rsid w:val="29B1B463"/>
    <w:rsid w:val="29B2144B"/>
    <w:rsid w:val="29B78713"/>
    <w:rsid w:val="29BC2CCA"/>
    <w:rsid w:val="29C642B9"/>
    <w:rsid w:val="29C708DD"/>
    <w:rsid w:val="29C78410"/>
    <w:rsid w:val="29C9E4A5"/>
    <w:rsid w:val="29C9F0A5"/>
    <w:rsid w:val="29CC2386"/>
    <w:rsid w:val="29D3EA43"/>
    <w:rsid w:val="29D54BBB"/>
    <w:rsid w:val="29D6294B"/>
    <w:rsid w:val="29D7C993"/>
    <w:rsid w:val="29D8DB7E"/>
    <w:rsid w:val="29DC50B1"/>
    <w:rsid w:val="29E16677"/>
    <w:rsid w:val="29E2D092"/>
    <w:rsid w:val="29E8292F"/>
    <w:rsid w:val="29E95D1E"/>
    <w:rsid w:val="29ECB243"/>
    <w:rsid w:val="29EE261E"/>
    <w:rsid w:val="29EF3D49"/>
    <w:rsid w:val="29EF45BB"/>
    <w:rsid w:val="29EF9D05"/>
    <w:rsid w:val="29F0F30F"/>
    <w:rsid w:val="29F7D2F4"/>
    <w:rsid w:val="29FCA5EF"/>
    <w:rsid w:val="2A02A807"/>
    <w:rsid w:val="2A035C5D"/>
    <w:rsid w:val="2A0458EB"/>
    <w:rsid w:val="2A086F38"/>
    <w:rsid w:val="2A0CE019"/>
    <w:rsid w:val="2A0D53FD"/>
    <w:rsid w:val="2A0F89A4"/>
    <w:rsid w:val="2A1075E9"/>
    <w:rsid w:val="2A1148C5"/>
    <w:rsid w:val="2A169110"/>
    <w:rsid w:val="2A182540"/>
    <w:rsid w:val="2A1BD757"/>
    <w:rsid w:val="2A1FA439"/>
    <w:rsid w:val="2A24511F"/>
    <w:rsid w:val="2A29F512"/>
    <w:rsid w:val="2A33437C"/>
    <w:rsid w:val="2A38A9F0"/>
    <w:rsid w:val="2A3A9094"/>
    <w:rsid w:val="2A3AEF9D"/>
    <w:rsid w:val="2A3D9870"/>
    <w:rsid w:val="2A3F2BEC"/>
    <w:rsid w:val="2A40909E"/>
    <w:rsid w:val="2A451FE9"/>
    <w:rsid w:val="2A463F51"/>
    <w:rsid w:val="2A55E277"/>
    <w:rsid w:val="2A57A139"/>
    <w:rsid w:val="2A58E66C"/>
    <w:rsid w:val="2A5DB87E"/>
    <w:rsid w:val="2A66173B"/>
    <w:rsid w:val="2A662E65"/>
    <w:rsid w:val="2A692A91"/>
    <w:rsid w:val="2A6A59CF"/>
    <w:rsid w:val="2A708F35"/>
    <w:rsid w:val="2A72E9B0"/>
    <w:rsid w:val="2A756AC9"/>
    <w:rsid w:val="2A7E4EEB"/>
    <w:rsid w:val="2A7E69B2"/>
    <w:rsid w:val="2A80B337"/>
    <w:rsid w:val="2A83EAAD"/>
    <w:rsid w:val="2A8419FC"/>
    <w:rsid w:val="2A88676A"/>
    <w:rsid w:val="2A8AD84E"/>
    <w:rsid w:val="2A8AEFDD"/>
    <w:rsid w:val="2A8C8A7F"/>
    <w:rsid w:val="2A8D985E"/>
    <w:rsid w:val="2A9107E9"/>
    <w:rsid w:val="2A97A13E"/>
    <w:rsid w:val="2A9A952C"/>
    <w:rsid w:val="2A9E49A2"/>
    <w:rsid w:val="2A9FA576"/>
    <w:rsid w:val="2AA140FD"/>
    <w:rsid w:val="2AA504BA"/>
    <w:rsid w:val="2AAE5728"/>
    <w:rsid w:val="2AAEF0F3"/>
    <w:rsid w:val="2AB94403"/>
    <w:rsid w:val="2ABAB87B"/>
    <w:rsid w:val="2AC381A3"/>
    <w:rsid w:val="2AC49660"/>
    <w:rsid w:val="2AC752D1"/>
    <w:rsid w:val="2AC7D173"/>
    <w:rsid w:val="2AC8DD7B"/>
    <w:rsid w:val="2AD222A4"/>
    <w:rsid w:val="2AD45314"/>
    <w:rsid w:val="2ADA011C"/>
    <w:rsid w:val="2ADC4362"/>
    <w:rsid w:val="2ADC6A13"/>
    <w:rsid w:val="2ADD41F0"/>
    <w:rsid w:val="2AE35F2C"/>
    <w:rsid w:val="2AE77EDD"/>
    <w:rsid w:val="2AEAC9DD"/>
    <w:rsid w:val="2AF2D3B4"/>
    <w:rsid w:val="2AF30FBA"/>
    <w:rsid w:val="2AF7E881"/>
    <w:rsid w:val="2AF87F7A"/>
    <w:rsid w:val="2AF97B80"/>
    <w:rsid w:val="2AFC5323"/>
    <w:rsid w:val="2AFC722C"/>
    <w:rsid w:val="2AFCC836"/>
    <w:rsid w:val="2AFDBD0E"/>
    <w:rsid w:val="2AFE262C"/>
    <w:rsid w:val="2AFE5FFF"/>
    <w:rsid w:val="2B024838"/>
    <w:rsid w:val="2B02AEF9"/>
    <w:rsid w:val="2B0508C1"/>
    <w:rsid w:val="2B0CE572"/>
    <w:rsid w:val="2B0E2423"/>
    <w:rsid w:val="2B11C274"/>
    <w:rsid w:val="2B154CDA"/>
    <w:rsid w:val="2B160E8F"/>
    <w:rsid w:val="2B1914D4"/>
    <w:rsid w:val="2B1A519C"/>
    <w:rsid w:val="2B1EB77A"/>
    <w:rsid w:val="2B1ED718"/>
    <w:rsid w:val="2B20B0E5"/>
    <w:rsid w:val="2B21CEB6"/>
    <w:rsid w:val="2B248CDD"/>
    <w:rsid w:val="2B25FEA0"/>
    <w:rsid w:val="2B27EA66"/>
    <w:rsid w:val="2B2B0F3E"/>
    <w:rsid w:val="2B2E3942"/>
    <w:rsid w:val="2B31422D"/>
    <w:rsid w:val="2B322871"/>
    <w:rsid w:val="2B34AF61"/>
    <w:rsid w:val="2B35A396"/>
    <w:rsid w:val="2B39365C"/>
    <w:rsid w:val="2B3D24E6"/>
    <w:rsid w:val="2B3FDEC8"/>
    <w:rsid w:val="2B4A502E"/>
    <w:rsid w:val="2B4B8720"/>
    <w:rsid w:val="2B4BDC6B"/>
    <w:rsid w:val="2B523DB4"/>
    <w:rsid w:val="2B548E7D"/>
    <w:rsid w:val="2B572CD4"/>
    <w:rsid w:val="2B58050E"/>
    <w:rsid w:val="2B5C8A3A"/>
    <w:rsid w:val="2B5E91D3"/>
    <w:rsid w:val="2B63A9CB"/>
    <w:rsid w:val="2B6477CE"/>
    <w:rsid w:val="2B64ACDA"/>
    <w:rsid w:val="2B65351F"/>
    <w:rsid w:val="2B657896"/>
    <w:rsid w:val="2B65B506"/>
    <w:rsid w:val="2B72E979"/>
    <w:rsid w:val="2B73583D"/>
    <w:rsid w:val="2B739005"/>
    <w:rsid w:val="2B73AE0B"/>
    <w:rsid w:val="2B740FE8"/>
    <w:rsid w:val="2B748F2F"/>
    <w:rsid w:val="2B7828D0"/>
    <w:rsid w:val="2B793DA2"/>
    <w:rsid w:val="2B7B9F8E"/>
    <w:rsid w:val="2B7F54F7"/>
    <w:rsid w:val="2B80ACAF"/>
    <w:rsid w:val="2B8417E3"/>
    <w:rsid w:val="2B848672"/>
    <w:rsid w:val="2B84B83A"/>
    <w:rsid w:val="2B8C72FD"/>
    <w:rsid w:val="2B8D83FA"/>
    <w:rsid w:val="2B8DA6D9"/>
    <w:rsid w:val="2B95CBA9"/>
    <w:rsid w:val="2B9977C7"/>
    <w:rsid w:val="2B9E70CD"/>
    <w:rsid w:val="2BA6C5E9"/>
    <w:rsid w:val="2BA6EFFA"/>
    <w:rsid w:val="2BA7EC7A"/>
    <w:rsid w:val="2BA8B07A"/>
    <w:rsid w:val="2BA8E07A"/>
    <w:rsid w:val="2BA9D3E1"/>
    <w:rsid w:val="2BAA71ED"/>
    <w:rsid w:val="2BAB5A05"/>
    <w:rsid w:val="2BB21019"/>
    <w:rsid w:val="2BB2CACF"/>
    <w:rsid w:val="2BB62594"/>
    <w:rsid w:val="2BB9EB51"/>
    <w:rsid w:val="2BBBBA14"/>
    <w:rsid w:val="2BBF1856"/>
    <w:rsid w:val="2BBFF53E"/>
    <w:rsid w:val="2BC0BF34"/>
    <w:rsid w:val="2BC18064"/>
    <w:rsid w:val="2BC24540"/>
    <w:rsid w:val="2BC25F0A"/>
    <w:rsid w:val="2BC3281D"/>
    <w:rsid w:val="2BC88435"/>
    <w:rsid w:val="2BC9B638"/>
    <w:rsid w:val="2BCA249A"/>
    <w:rsid w:val="2BCF1126"/>
    <w:rsid w:val="2BD00381"/>
    <w:rsid w:val="2BD367C9"/>
    <w:rsid w:val="2BD84C53"/>
    <w:rsid w:val="2BD9E404"/>
    <w:rsid w:val="2BDAECD2"/>
    <w:rsid w:val="2BDC0F1F"/>
    <w:rsid w:val="2BDE3284"/>
    <w:rsid w:val="2BE17AD2"/>
    <w:rsid w:val="2BE2149C"/>
    <w:rsid w:val="2BE5180C"/>
    <w:rsid w:val="2BE79A14"/>
    <w:rsid w:val="2BEA5F35"/>
    <w:rsid w:val="2BEB1BF8"/>
    <w:rsid w:val="2BEB9514"/>
    <w:rsid w:val="2BEDBE9E"/>
    <w:rsid w:val="2BF527F0"/>
    <w:rsid w:val="2BF5D7F2"/>
    <w:rsid w:val="2BF632D6"/>
    <w:rsid w:val="2BF67160"/>
    <w:rsid w:val="2C0005DC"/>
    <w:rsid w:val="2C016FA2"/>
    <w:rsid w:val="2C0777EE"/>
    <w:rsid w:val="2C0C1670"/>
    <w:rsid w:val="2C12308C"/>
    <w:rsid w:val="2C129648"/>
    <w:rsid w:val="2C158BFA"/>
    <w:rsid w:val="2C1668C9"/>
    <w:rsid w:val="2C18F859"/>
    <w:rsid w:val="2C1C638F"/>
    <w:rsid w:val="2C1D1DB1"/>
    <w:rsid w:val="2C1EEB75"/>
    <w:rsid w:val="2C21B239"/>
    <w:rsid w:val="2C229863"/>
    <w:rsid w:val="2C24F597"/>
    <w:rsid w:val="2C2C1435"/>
    <w:rsid w:val="2C2DD317"/>
    <w:rsid w:val="2C2E6A22"/>
    <w:rsid w:val="2C2FB962"/>
    <w:rsid w:val="2C31690C"/>
    <w:rsid w:val="2C34F3C7"/>
    <w:rsid w:val="2C36965B"/>
    <w:rsid w:val="2C38DF1F"/>
    <w:rsid w:val="2C3B17B0"/>
    <w:rsid w:val="2C3BF91E"/>
    <w:rsid w:val="2C403E36"/>
    <w:rsid w:val="2C415C00"/>
    <w:rsid w:val="2C43DCE5"/>
    <w:rsid w:val="2C44C61C"/>
    <w:rsid w:val="2C44E3EE"/>
    <w:rsid w:val="2C459B1F"/>
    <w:rsid w:val="2C469990"/>
    <w:rsid w:val="2C4B6958"/>
    <w:rsid w:val="2C4BC9EE"/>
    <w:rsid w:val="2C4D9226"/>
    <w:rsid w:val="2C4DF28D"/>
    <w:rsid w:val="2C4DF406"/>
    <w:rsid w:val="2C543F18"/>
    <w:rsid w:val="2C57823C"/>
    <w:rsid w:val="2C5C8AEE"/>
    <w:rsid w:val="2C5CD095"/>
    <w:rsid w:val="2C6052C0"/>
    <w:rsid w:val="2C6981B3"/>
    <w:rsid w:val="2C6B55C3"/>
    <w:rsid w:val="2C6D27CD"/>
    <w:rsid w:val="2C7063EB"/>
    <w:rsid w:val="2C71800F"/>
    <w:rsid w:val="2C71FF1A"/>
    <w:rsid w:val="2C72BFCA"/>
    <w:rsid w:val="2C77A5D1"/>
    <w:rsid w:val="2C7DA5BB"/>
    <w:rsid w:val="2C7F8A68"/>
    <w:rsid w:val="2C8709A1"/>
    <w:rsid w:val="2C8904E5"/>
    <w:rsid w:val="2C8ADEB9"/>
    <w:rsid w:val="2C8B2310"/>
    <w:rsid w:val="2C8CA79E"/>
    <w:rsid w:val="2C902048"/>
    <w:rsid w:val="2C986E75"/>
    <w:rsid w:val="2C9C29D7"/>
    <w:rsid w:val="2CA99B37"/>
    <w:rsid w:val="2CACCF87"/>
    <w:rsid w:val="2CAD8383"/>
    <w:rsid w:val="2CB0C032"/>
    <w:rsid w:val="2CB3C96A"/>
    <w:rsid w:val="2CB3E845"/>
    <w:rsid w:val="2CBA2595"/>
    <w:rsid w:val="2CBB3B2E"/>
    <w:rsid w:val="2CBFA3B7"/>
    <w:rsid w:val="2CC3B934"/>
    <w:rsid w:val="2CC578E6"/>
    <w:rsid w:val="2CC7F8D9"/>
    <w:rsid w:val="2CCE6A6C"/>
    <w:rsid w:val="2CCEBD8E"/>
    <w:rsid w:val="2CCFD4DB"/>
    <w:rsid w:val="2CD56D3F"/>
    <w:rsid w:val="2CD88F32"/>
    <w:rsid w:val="2CDF7A00"/>
    <w:rsid w:val="2CE0555C"/>
    <w:rsid w:val="2CE0FCF0"/>
    <w:rsid w:val="2CE66F33"/>
    <w:rsid w:val="2CEEABD1"/>
    <w:rsid w:val="2CF09232"/>
    <w:rsid w:val="2CF19A7F"/>
    <w:rsid w:val="2CF85598"/>
    <w:rsid w:val="2CF97681"/>
    <w:rsid w:val="2D002987"/>
    <w:rsid w:val="2D028757"/>
    <w:rsid w:val="2D07FB49"/>
    <w:rsid w:val="2D0918C8"/>
    <w:rsid w:val="2D0B907B"/>
    <w:rsid w:val="2D152D9C"/>
    <w:rsid w:val="2D2193EA"/>
    <w:rsid w:val="2D2306B7"/>
    <w:rsid w:val="2D264969"/>
    <w:rsid w:val="2D307251"/>
    <w:rsid w:val="2D308377"/>
    <w:rsid w:val="2D30F293"/>
    <w:rsid w:val="2D32493C"/>
    <w:rsid w:val="2D3A24F9"/>
    <w:rsid w:val="2D3C4D88"/>
    <w:rsid w:val="2D3E9F09"/>
    <w:rsid w:val="2D41456E"/>
    <w:rsid w:val="2D41AEE2"/>
    <w:rsid w:val="2D43B3C8"/>
    <w:rsid w:val="2D45CF66"/>
    <w:rsid w:val="2D460A71"/>
    <w:rsid w:val="2D481203"/>
    <w:rsid w:val="2D4900E1"/>
    <w:rsid w:val="2D4A44B0"/>
    <w:rsid w:val="2D511489"/>
    <w:rsid w:val="2D5128F6"/>
    <w:rsid w:val="2D537C8B"/>
    <w:rsid w:val="2D54A2FB"/>
    <w:rsid w:val="2D559080"/>
    <w:rsid w:val="2D55A6D6"/>
    <w:rsid w:val="2D56FA39"/>
    <w:rsid w:val="2D589180"/>
    <w:rsid w:val="2D58BB34"/>
    <w:rsid w:val="2D5E7E90"/>
    <w:rsid w:val="2D636E76"/>
    <w:rsid w:val="2D64AB47"/>
    <w:rsid w:val="2D6D45C4"/>
    <w:rsid w:val="2D6DB5BA"/>
    <w:rsid w:val="2D6E552A"/>
    <w:rsid w:val="2D6E913A"/>
    <w:rsid w:val="2D736198"/>
    <w:rsid w:val="2D75BC15"/>
    <w:rsid w:val="2D798965"/>
    <w:rsid w:val="2D7C12E5"/>
    <w:rsid w:val="2D83300F"/>
    <w:rsid w:val="2D83FD04"/>
    <w:rsid w:val="2D880A0C"/>
    <w:rsid w:val="2D8CDEFF"/>
    <w:rsid w:val="2D8D6709"/>
    <w:rsid w:val="2D8F3051"/>
    <w:rsid w:val="2D8FAB34"/>
    <w:rsid w:val="2D903660"/>
    <w:rsid w:val="2D914034"/>
    <w:rsid w:val="2D9834DF"/>
    <w:rsid w:val="2D989548"/>
    <w:rsid w:val="2D9B667D"/>
    <w:rsid w:val="2DA12E89"/>
    <w:rsid w:val="2DA2DECF"/>
    <w:rsid w:val="2DA490F7"/>
    <w:rsid w:val="2DA75231"/>
    <w:rsid w:val="2DAA01DB"/>
    <w:rsid w:val="2DAB9CC8"/>
    <w:rsid w:val="2DAC5F01"/>
    <w:rsid w:val="2DAD6D2E"/>
    <w:rsid w:val="2DADB39D"/>
    <w:rsid w:val="2DAEFE21"/>
    <w:rsid w:val="2DAFF9BD"/>
    <w:rsid w:val="2DB15C5B"/>
    <w:rsid w:val="2DB1620A"/>
    <w:rsid w:val="2DB2814D"/>
    <w:rsid w:val="2DB5E1D7"/>
    <w:rsid w:val="2DB66CAC"/>
    <w:rsid w:val="2DBF745C"/>
    <w:rsid w:val="2DC4223A"/>
    <w:rsid w:val="2DCA047A"/>
    <w:rsid w:val="2DCA0FF3"/>
    <w:rsid w:val="2DCE7125"/>
    <w:rsid w:val="2DD055A5"/>
    <w:rsid w:val="2DD227F0"/>
    <w:rsid w:val="2DD2A987"/>
    <w:rsid w:val="2DD51F1B"/>
    <w:rsid w:val="2DD766A0"/>
    <w:rsid w:val="2DE1BB33"/>
    <w:rsid w:val="2DE29B0D"/>
    <w:rsid w:val="2DE347E0"/>
    <w:rsid w:val="2DE42028"/>
    <w:rsid w:val="2DE950C6"/>
    <w:rsid w:val="2DEA4FD5"/>
    <w:rsid w:val="2DEC5E0E"/>
    <w:rsid w:val="2DF231D1"/>
    <w:rsid w:val="2DF3DA3C"/>
    <w:rsid w:val="2DF41C0D"/>
    <w:rsid w:val="2E022FE1"/>
    <w:rsid w:val="2E0374CF"/>
    <w:rsid w:val="2E080126"/>
    <w:rsid w:val="2E0A467B"/>
    <w:rsid w:val="2E0BF3D6"/>
    <w:rsid w:val="2E0BF5DE"/>
    <w:rsid w:val="2E0C466B"/>
    <w:rsid w:val="2E0E82FE"/>
    <w:rsid w:val="2E0EC789"/>
    <w:rsid w:val="2E154589"/>
    <w:rsid w:val="2E167365"/>
    <w:rsid w:val="2E16FDA7"/>
    <w:rsid w:val="2E1B9AE5"/>
    <w:rsid w:val="2E1F5668"/>
    <w:rsid w:val="2E259E9B"/>
    <w:rsid w:val="2E2708F7"/>
    <w:rsid w:val="2E272694"/>
    <w:rsid w:val="2E2877FF"/>
    <w:rsid w:val="2E2E5637"/>
    <w:rsid w:val="2E33CC22"/>
    <w:rsid w:val="2E3490E7"/>
    <w:rsid w:val="2E355984"/>
    <w:rsid w:val="2E369378"/>
    <w:rsid w:val="2E38CA01"/>
    <w:rsid w:val="2E3A3568"/>
    <w:rsid w:val="2E3BA8FB"/>
    <w:rsid w:val="2E3BFE52"/>
    <w:rsid w:val="2E3F3304"/>
    <w:rsid w:val="2E3FBB06"/>
    <w:rsid w:val="2E46BD3C"/>
    <w:rsid w:val="2E46C2FE"/>
    <w:rsid w:val="2E4E30FC"/>
    <w:rsid w:val="2E4E67F1"/>
    <w:rsid w:val="2E51D9A0"/>
    <w:rsid w:val="2E51F607"/>
    <w:rsid w:val="2E5D4558"/>
    <w:rsid w:val="2E613BF7"/>
    <w:rsid w:val="2E64CFE3"/>
    <w:rsid w:val="2E651EF8"/>
    <w:rsid w:val="2E6BE34B"/>
    <w:rsid w:val="2E6F23AB"/>
    <w:rsid w:val="2E79A2E2"/>
    <w:rsid w:val="2E7D279B"/>
    <w:rsid w:val="2E82515B"/>
    <w:rsid w:val="2E874FA7"/>
    <w:rsid w:val="2E8796D4"/>
    <w:rsid w:val="2E88EBE6"/>
    <w:rsid w:val="2E898315"/>
    <w:rsid w:val="2E8AB34F"/>
    <w:rsid w:val="2E8ABA37"/>
    <w:rsid w:val="2E8C6D2A"/>
    <w:rsid w:val="2E8DF75A"/>
    <w:rsid w:val="2E8E517A"/>
    <w:rsid w:val="2E8ECB80"/>
    <w:rsid w:val="2E90392B"/>
    <w:rsid w:val="2E9697BC"/>
    <w:rsid w:val="2E96CFC8"/>
    <w:rsid w:val="2E99F131"/>
    <w:rsid w:val="2E9DAA0F"/>
    <w:rsid w:val="2E9DD82D"/>
    <w:rsid w:val="2E9DF164"/>
    <w:rsid w:val="2EA2B550"/>
    <w:rsid w:val="2EA2FED7"/>
    <w:rsid w:val="2EA5C6C3"/>
    <w:rsid w:val="2EAF4833"/>
    <w:rsid w:val="2EB5DD38"/>
    <w:rsid w:val="2EB6ED33"/>
    <w:rsid w:val="2EB75A3D"/>
    <w:rsid w:val="2EB8D79C"/>
    <w:rsid w:val="2EB97ABF"/>
    <w:rsid w:val="2EBE1AD3"/>
    <w:rsid w:val="2EBE7FAD"/>
    <w:rsid w:val="2EBED59D"/>
    <w:rsid w:val="2EC1702D"/>
    <w:rsid w:val="2EC67A8C"/>
    <w:rsid w:val="2ECAE482"/>
    <w:rsid w:val="2ECC2843"/>
    <w:rsid w:val="2ECC53F4"/>
    <w:rsid w:val="2ECFCC9E"/>
    <w:rsid w:val="2ED04736"/>
    <w:rsid w:val="2ED3AA2A"/>
    <w:rsid w:val="2EDE5997"/>
    <w:rsid w:val="2EE58785"/>
    <w:rsid w:val="2EE96881"/>
    <w:rsid w:val="2EE98497"/>
    <w:rsid w:val="2EEFE2BC"/>
    <w:rsid w:val="2EF5DCFA"/>
    <w:rsid w:val="2EF6A5E6"/>
    <w:rsid w:val="2EF73B66"/>
    <w:rsid w:val="2EF9456F"/>
    <w:rsid w:val="2EFD4E7C"/>
    <w:rsid w:val="2EFD86A2"/>
    <w:rsid w:val="2EFF589D"/>
    <w:rsid w:val="2F006E14"/>
    <w:rsid w:val="2F081258"/>
    <w:rsid w:val="2F0C7B2D"/>
    <w:rsid w:val="2F0C8002"/>
    <w:rsid w:val="2F0D93AF"/>
    <w:rsid w:val="2F0FDE31"/>
    <w:rsid w:val="2F135FC8"/>
    <w:rsid w:val="2F13C42E"/>
    <w:rsid w:val="2F16178D"/>
    <w:rsid w:val="2F16A758"/>
    <w:rsid w:val="2F19CB91"/>
    <w:rsid w:val="2F1A56C7"/>
    <w:rsid w:val="2F1C2802"/>
    <w:rsid w:val="2F1C5E2C"/>
    <w:rsid w:val="2F1F1659"/>
    <w:rsid w:val="2F2296B2"/>
    <w:rsid w:val="2F247D10"/>
    <w:rsid w:val="2F248D1F"/>
    <w:rsid w:val="2F26AEF5"/>
    <w:rsid w:val="2F281A45"/>
    <w:rsid w:val="2F2870D8"/>
    <w:rsid w:val="2F2C4B1A"/>
    <w:rsid w:val="2F3DE653"/>
    <w:rsid w:val="2F3FB65C"/>
    <w:rsid w:val="2F40497D"/>
    <w:rsid w:val="2F40A8B9"/>
    <w:rsid w:val="2F40E866"/>
    <w:rsid w:val="2F4392C3"/>
    <w:rsid w:val="2F4425FE"/>
    <w:rsid w:val="2F482F62"/>
    <w:rsid w:val="2F4E968C"/>
    <w:rsid w:val="2F519E63"/>
    <w:rsid w:val="2F549469"/>
    <w:rsid w:val="2F554CF1"/>
    <w:rsid w:val="2F5824B1"/>
    <w:rsid w:val="2F58DD96"/>
    <w:rsid w:val="2F5D4436"/>
    <w:rsid w:val="2F5EE16C"/>
    <w:rsid w:val="2F60BC7E"/>
    <w:rsid w:val="2F644813"/>
    <w:rsid w:val="2F68880E"/>
    <w:rsid w:val="2F6969F6"/>
    <w:rsid w:val="2F6A8A39"/>
    <w:rsid w:val="2F6CBA76"/>
    <w:rsid w:val="2F73D941"/>
    <w:rsid w:val="2F740AAE"/>
    <w:rsid w:val="2F76D25A"/>
    <w:rsid w:val="2F779873"/>
    <w:rsid w:val="2F7A573E"/>
    <w:rsid w:val="2F7C3DA6"/>
    <w:rsid w:val="2F7D11E5"/>
    <w:rsid w:val="2F7E04BE"/>
    <w:rsid w:val="2F7EA0AC"/>
    <w:rsid w:val="2F806E56"/>
    <w:rsid w:val="2F81EB77"/>
    <w:rsid w:val="2F8489D8"/>
    <w:rsid w:val="2F8859C1"/>
    <w:rsid w:val="2F89AE5C"/>
    <w:rsid w:val="2F8F04A9"/>
    <w:rsid w:val="2F9139C1"/>
    <w:rsid w:val="2F9504CA"/>
    <w:rsid w:val="2F95824D"/>
    <w:rsid w:val="2F95B1CF"/>
    <w:rsid w:val="2F9630EB"/>
    <w:rsid w:val="2F9C82A3"/>
    <w:rsid w:val="2F9D18F5"/>
    <w:rsid w:val="2F9DEAC3"/>
    <w:rsid w:val="2FA2C389"/>
    <w:rsid w:val="2FA3FEB4"/>
    <w:rsid w:val="2FA7C437"/>
    <w:rsid w:val="2FAD723F"/>
    <w:rsid w:val="2FADC573"/>
    <w:rsid w:val="2FAFB485"/>
    <w:rsid w:val="2FB1FC6B"/>
    <w:rsid w:val="2FB42458"/>
    <w:rsid w:val="2FB4C5A4"/>
    <w:rsid w:val="2FB5B105"/>
    <w:rsid w:val="2FB7188C"/>
    <w:rsid w:val="2FB97891"/>
    <w:rsid w:val="2FC0C93E"/>
    <w:rsid w:val="2FC0FFAF"/>
    <w:rsid w:val="2FC1725E"/>
    <w:rsid w:val="2FC2D958"/>
    <w:rsid w:val="2FC5DB81"/>
    <w:rsid w:val="2FC92D10"/>
    <w:rsid w:val="2FC9F9F2"/>
    <w:rsid w:val="2FCDDEF3"/>
    <w:rsid w:val="2FCEB702"/>
    <w:rsid w:val="2FCEEC34"/>
    <w:rsid w:val="2FD2BDBB"/>
    <w:rsid w:val="2FD2BF08"/>
    <w:rsid w:val="2FD462B9"/>
    <w:rsid w:val="2FDEB836"/>
    <w:rsid w:val="2FE179F2"/>
    <w:rsid w:val="2FE2D836"/>
    <w:rsid w:val="2FE3765A"/>
    <w:rsid w:val="2FE711AA"/>
    <w:rsid w:val="2FEBDBA9"/>
    <w:rsid w:val="2FF2A21B"/>
    <w:rsid w:val="2FF2DBF0"/>
    <w:rsid w:val="2FF3D78C"/>
    <w:rsid w:val="2FF6A31B"/>
    <w:rsid w:val="2FF78E22"/>
    <w:rsid w:val="2FF81CDA"/>
    <w:rsid w:val="2FF8D7AB"/>
    <w:rsid w:val="30008C47"/>
    <w:rsid w:val="3002BF1D"/>
    <w:rsid w:val="3006FDC3"/>
    <w:rsid w:val="3007EA8C"/>
    <w:rsid w:val="30086838"/>
    <w:rsid w:val="30094348"/>
    <w:rsid w:val="3015FB53"/>
    <w:rsid w:val="301F260C"/>
    <w:rsid w:val="3023349D"/>
    <w:rsid w:val="302D2BE9"/>
    <w:rsid w:val="302D2D4B"/>
    <w:rsid w:val="302DD8CB"/>
    <w:rsid w:val="30316647"/>
    <w:rsid w:val="30325005"/>
    <w:rsid w:val="30327170"/>
    <w:rsid w:val="30341505"/>
    <w:rsid w:val="3036A3EF"/>
    <w:rsid w:val="30370CE5"/>
    <w:rsid w:val="3038E9B9"/>
    <w:rsid w:val="30402AA2"/>
    <w:rsid w:val="304166A3"/>
    <w:rsid w:val="30459A39"/>
    <w:rsid w:val="304AD37C"/>
    <w:rsid w:val="304C12FE"/>
    <w:rsid w:val="304E15CE"/>
    <w:rsid w:val="30531EB4"/>
    <w:rsid w:val="30538B4B"/>
    <w:rsid w:val="3055311A"/>
    <w:rsid w:val="305ECDFD"/>
    <w:rsid w:val="305F3E01"/>
    <w:rsid w:val="306A9EA9"/>
    <w:rsid w:val="306B5748"/>
    <w:rsid w:val="307346B2"/>
    <w:rsid w:val="307CDA57"/>
    <w:rsid w:val="307ECB28"/>
    <w:rsid w:val="307F2BDA"/>
    <w:rsid w:val="30847E5F"/>
    <w:rsid w:val="30853280"/>
    <w:rsid w:val="30865319"/>
    <w:rsid w:val="3086FE0C"/>
    <w:rsid w:val="308A84BD"/>
    <w:rsid w:val="308A88C1"/>
    <w:rsid w:val="308E4AFE"/>
    <w:rsid w:val="308E7696"/>
    <w:rsid w:val="30927647"/>
    <w:rsid w:val="309399A4"/>
    <w:rsid w:val="3096C675"/>
    <w:rsid w:val="30972626"/>
    <w:rsid w:val="30976D3F"/>
    <w:rsid w:val="3097A06B"/>
    <w:rsid w:val="3098B404"/>
    <w:rsid w:val="30999E38"/>
    <w:rsid w:val="30AB34A6"/>
    <w:rsid w:val="30AC97C6"/>
    <w:rsid w:val="30AD27BD"/>
    <w:rsid w:val="30AF5EB4"/>
    <w:rsid w:val="30B2203D"/>
    <w:rsid w:val="30B60622"/>
    <w:rsid w:val="30B7A451"/>
    <w:rsid w:val="30B9770B"/>
    <w:rsid w:val="30BF84D7"/>
    <w:rsid w:val="30C3DE60"/>
    <w:rsid w:val="30C52E0C"/>
    <w:rsid w:val="30C846C1"/>
    <w:rsid w:val="30CF0996"/>
    <w:rsid w:val="30D10E93"/>
    <w:rsid w:val="30D41CBD"/>
    <w:rsid w:val="30D86261"/>
    <w:rsid w:val="30E3FFC3"/>
    <w:rsid w:val="30E9E5B7"/>
    <w:rsid w:val="30EA8C7E"/>
    <w:rsid w:val="30EABE3C"/>
    <w:rsid w:val="30F60986"/>
    <w:rsid w:val="30FBC70E"/>
    <w:rsid w:val="3100F4CC"/>
    <w:rsid w:val="3101C076"/>
    <w:rsid w:val="31061AEE"/>
    <w:rsid w:val="3108483F"/>
    <w:rsid w:val="310936B9"/>
    <w:rsid w:val="31203FE4"/>
    <w:rsid w:val="3120EEBA"/>
    <w:rsid w:val="3122024E"/>
    <w:rsid w:val="3122AFED"/>
    <w:rsid w:val="31257E10"/>
    <w:rsid w:val="31277802"/>
    <w:rsid w:val="3128B4C0"/>
    <w:rsid w:val="31291162"/>
    <w:rsid w:val="31315A2D"/>
    <w:rsid w:val="313524F8"/>
    <w:rsid w:val="313B347F"/>
    <w:rsid w:val="313FC65B"/>
    <w:rsid w:val="31419F22"/>
    <w:rsid w:val="3146D4B9"/>
    <w:rsid w:val="3147B0D9"/>
    <w:rsid w:val="314C240B"/>
    <w:rsid w:val="3155BD9F"/>
    <w:rsid w:val="3158D64B"/>
    <w:rsid w:val="31597DC4"/>
    <w:rsid w:val="3159ABAE"/>
    <w:rsid w:val="3159C9B5"/>
    <w:rsid w:val="315B859F"/>
    <w:rsid w:val="315D0910"/>
    <w:rsid w:val="31618650"/>
    <w:rsid w:val="3163916B"/>
    <w:rsid w:val="316576C6"/>
    <w:rsid w:val="3169A91F"/>
    <w:rsid w:val="316B4917"/>
    <w:rsid w:val="316BE231"/>
    <w:rsid w:val="316D40B3"/>
    <w:rsid w:val="316D9F0C"/>
    <w:rsid w:val="316E6C0A"/>
    <w:rsid w:val="317583F4"/>
    <w:rsid w:val="317712EC"/>
    <w:rsid w:val="3177B258"/>
    <w:rsid w:val="317839F1"/>
    <w:rsid w:val="317919A6"/>
    <w:rsid w:val="317A3CBA"/>
    <w:rsid w:val="317A849D"/>
    <w:rsid w:val="317EB188"/>
    <w:rsid w:val="3185D63D"/>
    <w:rsid w:val="318C969C"/>
    <w:rsid w:val="318FBBF2"/>
    <w:rsid w:val="31905A4A"/>
    <w:rsid w:val="31911C5F"/>
    <w:rsid w:val="3195E013"/>
    <w:rsid w:val="3197868D"/>
    <w:rsid w:val="31998813"/>
    <w:rsid w:val="319A22C8"/>
    <w:rsid w:val="319ACE35"/>
    <w:rsid w:val="31A7502D"/>
    <w:rsid w:val="31AB1C1B"/>
    <w:rsid w:val="31AB35FE"/>
    <w:rsid w:val="31ABE1DD"/>
    <w:rsid w:val="31B143A4"/>
    <w:rsid w:val="31B9B11B"/>
    <w:rsid w:val="31BDFDC4"/>
    <w:rsid w:val="31C1FBBC"/>
    <w:rsid w:val="31C9A92C"/>
    <w:rsid w:val="31D0EC7C"/>
    <w:rsid w:val="31D20B8B"/>
    <w:rsid w:val="31D3A5E4"/>
    <w:rsid w:val="31D48DA1"/>
    <w:rsid w:val="31D7B6B6"/>
    <w:rsid w:val="31D8F2EC"/>
    <w:rsid w:val="31D9EFB5"/>
    <w:rsid w:val="31DB6F08"/>
    <w:rsid w:val="31DE785D"/>
    <w:rsid w:val="31E0CFF5"/>
    <w:rsid w:val="31E471D0"/>
    <w:rsid w:val="31E8590B"/>
    <w:rsid w:val="31EC3A66"/>
    <w:rsid w:val="31F2257E"/>
    <w:rsid w:val="31F5B0C7"/>
    <w:rsid w:val="31FC694A"/>
    <w:rsid w:val="32000CBA"/>
    <w:rsid w:val="3206A7FE"/>
    <w:rsid w:val="320ECE7F"/>
    <w:rsid w:val="32129430"/>
    <w:rsid w:val="32129DA4"/>
    <w:rsid w:val="32157DC9"/>
    <w:rsid w:val="32165DF4"/>
    <w:rsid w:val="32191AC1"/>
    <w:rsid w:val="321B0B4E"/>
    <w:rsid w:val="322CCB07"/>
    <w:rsid w:val="323056CF"/>
    <w:rsid w:val="3239444F"/>
    <w:rsid w:val="323E2D6E"/>
    <w:rsid w:val="3242089F"/>
    <w:rsid w:val="3242A583"/>
    <w:rsid w:val="32457686"/>
    <w:rsid w:val="32459BC3"/>
    <w:rsid w:val="32495CAC"/>
    <w:rsid w:val="324AA6AC"/>
    <w:rsid w:val="324C2144"/>
    <w:rsid w:val="32530219"/>
    <w:rsid w:val="3253177A"/>
    <w:rsid w:val="32534376"/>
    <w:rsid w:val="3255E70B"/>
    <w:rsid w:val="3259CD39"/>
    <w:rsid w:val="325CF830"/>
    <w:rsid w:val="325EBE62"/>
    <w:rsid w:val="325ECAD6"/>
    <w:rsid w:val="3265CC84"/>
    <w:rsid w:val="32663C5F"/>
    <w:rsid w:val="326B9BD5"/>
    <w:rsid w:val="32765249"/>
    <w:rsid w:val="3277970A"/>
    <w:rsid w:val="327ABD62"/>
    <w:rsid w:val="327BD74C"/>
    <w:rsid w:val="327C2F1A"/>
    <w:rsid w:val="327D5279"/>
    <w:rsid w:val="327FB9F9"/>
    <w:rsid w:val="3283DE08"/>
    <w:rsid w:val="328877D9"/>
    <w:rsid w:val="328E3A46"/>
    <w:rsid w:val="329394DB"/>
    <w:rsid w:val="32956868"/>
    <w:rsid w:val="329C8A49"/>
    <w:rsid w:val="329EF9C1"/>
    <w:rsid w:val="32A2B150"/>
    <w:rsid w:val="32A52AB1"/>
    <w:rsid w:val="32A636C2"/>
    <w:rsid w:val="32AAE4A5"/>
    <w:rsid w:val="32B85F42"/>
    <w:rsid w:val="32BA208F"/>
    <w:rsid w:val="32BB9136"/>
    <w:rsid w:val="32C61E5D"/>
    <w:rsid w:val="32C786EC"/>
    <w:rsid w:val="32CD0C7F"/>
    <w:rsid w:val="32CEF12B"/>
    <w:rsid w:val="32CF7747"/>
    <w:rsid w:val="32D15BBC"/>
    <w:rsid w:val="32D4393D"/>
    <w:rsid w:val="32DA4B26"/>
    <w:rsid w:val="32DEC196"/>
    <w:rsid w:val="32E10D6C"/>
    <w:rsid w:val="32E53F94"/>
    <w:rsid w:val="32EAAB87"/>
    <w:rsid w:val="32EACF0E"/>
    <w:rsid w:val="32EBEC06"/>
    <w:rsid w:val="32EF7C73"/>
    <w:rsid w:val="32F28C94"/>
    <w:rsid w:val="32F3528C"/>
    <w:rsid w:val="32F4F60D"/>
    <w:rsid w:val="32F731E2"/>
    <w:rsid w:val="32FA9B71"/>
    <w:rsid w:val="32FB94AD"/>
    <w:rsid w:val="32FB9D77"/>
    <w:rsid w:val="32FFED1B"/>
    <w:rsid w:val="33031288"/>
    <w:rsid w:val="3309E37F"/>
    <w:rsid w:val="330B17C7"/>
    <w:rsid w:val="330B703F"/>
    <w:rsid w:val="330BB4F1"/>
    <w:rsid w:val="330CDA9E"/>
    <w:rsid w:val="3310597A"/>
    <w:rsid w:val="33118333"/>
    <w:rsid w:val="33144EEF"/>
    <w:rsid w:val="33195F77"/>
    <w:rsid w:val="331FF669"/>
    <w:rsid w:val="33218FA3"/>
    <w:rsid w:val="33248393"/>
    <w:rsid w:val="332E7AE5"/>
    <w:rsid w:val="332EB370"/>
    <w:rsid w:val="33303F83"/>
    <w:rsid w:val="33355874"/>
    <w:rsid w:val="33359790"/>
    <w:rsid w:val="3337A417"/>
    <w:rsid w:val="33381E69"/>
    <w:rsid w:val="3338901B"/>
    <w:rsid w:val="333D866D"/>
    <w:rsid w:val="333EC84C"/>
    <w:rsid w:val="333F2A55"/>
    <w:rsid w:val="3348C24D"/>
    <w:rsid w:val="334C6FC7"/>
    <w:rsid w:val="334EAC88"/>
    <w:rsid w:val="334F1FC4"/>
    <w:rsid w:val="3355E941"/>
    <w:rsid w:val="335927B1"/>
    <w:rsid w:val="335A0380"/>
    <w:rsid w:val="335D7594"/>
    <w:rsid w:val="335F9B52"/>
    <w:rsid w:val="33605D63"/>
    <w:rsid w:val="33618C07"/>
    <w:rsid w:val="3366D804"/>
    <w:rsid w:val="3369F9A7"/>
    <w:rsid w:val="336B11BC"/>
    <w:rsid w:val="336CB51E"/>
    <w:rsid w:val="336CBCDD"/>
    <w:rsid w:val="336FB497"/>
    <w:rsid w:val="33737B26"/>
    <w:rsid w:val="3377A3EF"/>
    <w:rsid w:val="3377FCF7"/>
    <w:rsid w:val="337E327F"/>
    <w:rsid w:val="33868A51"/>
    <w:rsid w:val="33869776"/>
    <w:rsid w:val="338B6F37"/>
    <w:rsid w:val="338D5AB4"/>
    <w:rsid w:val="33907538"/>
    <w:rsid w:val="33923854"/>
    <w:rsid w:val="33948E86"/>
    <w:rsid w:val="33955AB2"/>
    <w:rsid w:val="33973AC3"/>
    <w:rsid w:val="339D1080"/>
    <w:rsid w:val="339D438D"/>
    <w:rsid w:val="33A01B54"/>
    <w:rsid w:val="33A7A15B"/>
    <w:rsid w:val="33A9BC8C"/>
    <w:rsid w:val="33AB986B"/>
    <w:rsid w:val="33AC1FBA"/>
    <w:rsid w:val="33B20E75"/>
    <w:rsid w:val="33B324B3"/>
    <w:rsid w:val="33B505B8"/>
    <w:rsid w:val="33B64F87"/>
    <w:rsid w:val="33B8B9EE"/>
    <w:rsid w:val="33BAA2D0"/>
    <w:rsid w:val="33C442E7"/>
    <w:rsid w:val="33C8F370"/>
    <w:rsid w:val="33C96D29"/>
    <w:rsid w:val="33CA5E2A"/>
    <w:rsid w:val="33CB8A47"/>
    <w:rsid w:val="33CDA4F9"/>
    <w:rsid w:val="33CDB4A6"/>
    <w:rsid w:val="33D20FE3"/>
    <w:rsid w:val="33D327EC"/>
    <w:rsid w:val="33D4E504"/>
    <w:rsid w:val="33D7C0C9"/>
    <w:rsid w:val="33D8E54B"/>
    <w:rsid w:val="33DAE9D3"/>
    <w:rsid w:val="33DC44CB"/>
    <w:rsid w:val="33DDD900"/>
    <w:rsid w:val="33DEDDCE"/>
    <w:rsid w:val="33E586CA"/>
    <w:rsid w:val="33E62AE4"/>
    <w:rsid w:val="33EA10CB"/>
    <w:rsid w:val="33EA4FCC"/>
    <w:rsid w:val="33ECEA55"/>
    <w:rsid w:val="33F060E9"/>
    <w:rsid w:val="33F4020E"/>
    <w:rsid w:val="33F42B87"/>
    <w:rsid w:val="33F5C6B5"/>
    <w:rsid w:val="33F70CB4"/>
    <w:rsid w:val="33F928C0"/>
    <w:rsid w:val="33F971E7"/>
    <w:rsid w:val="3400E17D"/>
    <w:rsid w:val="34057D6E"/>
    <w:rsid w:val="340755F5"/>
    <w:rsid w:val="340917FD"/>
    <w:rsid w:val="3409590D"/>
    <w:rsid w:val="340C4E1E"/>
    <w:rsid w:val="3410C7D6"/>
    <w:rsid w:val="3413F443"/>
    <w:rsid w:val="34191F24"/>
    <w:rsid w:val="341F3B41"/>
    <w:rsid w:val="341F84A7"/>
    <w:rsid w:val="3426523E"/>
    <w:rsid w:val="3427607B"/>
    <w:rsid w:val="34291D00"/>
    <w:rsid w:val="342BB568"/>
    <w:rsid w:val="342C193E"/>
    <w:rsid w:val="34302677"/>
    <w:rsid w:val="3433C484"/>
    <w:rsid w:val="3434771E"/>
    <w:rsid w:val="34353D4D"/>
    <w:rsid w:val="3439D68D"/>
    <w:rsid w:val="343A0B40"/>
    <w:rsid w:val="343AD86A"/>
    <w:rsid w:val="343BF830"/>
    <w:rsid w:val="343D256A"/>
    <w:rsid w:val="344208D5"/>
    <w:rsid w:val="34476894"/>
    <w:rsid w:val="34492506"/>
    <w:rsid w:val="344BC578"/>
    <w:rsid w:val="345115E7"/>
    <w:rsid w:val="3456FD1F"/>
    <w:rsid w:val="3458F816"/>
    <w:rsid w:val="345C23EC"/>
    <w:rsid w:val="34612790"/>
    <w:rsid w:val="3461BA72"/>
    <w:rsid w:val="3462E1D2"/>
    <w:rsid w:val="346510B0"/>
    <w:rsid w:val="34653003"/>
    <w:rsid w:val="3467C8B0"/>
    <w:rsid w:val="3468379A"/>
    <w:rsid w:val="346961C0"/>
    <w:rsid w:val="346BA979"/>
    <w:rsid w:val="3472CB23"/>
    <w:rsid w:val="347469B5"/>
    <w:rsid w:val="347934DD"/>
    <w:rsid w:val="34799EFF"/>
    <w:rsid w:val="347A796C"/>
    <w:rsid w:val="34820ACC"/>
    <w:rsid w:val="3482FF4E"/>
    <w:rsid w:val="348516C0"/>
    <w:rsid w:val="3486B233"/>
    <w:rsid w:val="348CE46F"/>
    <w:rsid w:val="348E13D2"/>
    <w:rsid w:val="348E5CF5"/>
    <w:rsid w:val="3490835E"/>
    <w:rsid w:val="3493F28D"/>
    <w:rsid w:val="34970764"/>
    <w:rsid w:val="349868D0"/>
    <w:rsid w:val="349F06F7"/>
    <w:rsid w:val="34A72A18"/>
    <w:rsid w:val="34A91CBB"/>
    <w:rsid w:val="34AA026D"/>
    <w:rsid w:val="34AAADDF"/>
    <w:rsid w:val="34B09635"/>
    <w:rsid w:val="34B5123C"/>
    <w:rsid w:val="34B57437"/>
    <w:rsid w:val="34BF2569"/>
    <w:rsid w:val="34BFA9F7"/>
    <w:rsid w:val="34C1F8C8"/>
    <w:rsid w:val="34C70D40"/>
    <w:rsid w:val="34CC2134"/>
    <w:rsid w:val="34D2835A"/>
    <w:rsid w:val="34D3661C"/>
    <w:rsid w:val="34D45AA5"/>
    <w:rsid w:val="34D89ABD"/>
    <w:rsid w:val="34DA6EED"/>
    <w:rsid w:val="34DE697D"/>
    <w:rsid w:val="34E0560E"/>
    <w:rsid w:val="34E1CBC1"/>
    <w:rsid w:val="34E2B595"/>
    <w:rsid w:val="34E56CFB"/>
    <w:rsid w:val="34EEDC74"/>
    <w:rsid w:val="34EFF1DF"/>
    <w:rsid w:val="34F24ED9"/>
    <w:rsid w:val="34F50F7B"/>
    <w:rsid w:val="34FA8307"/>
    <w:rsid w:val="34FADD61"/>
    <w:rsid w:val="35001C90"/>
    <w:rsid w:val="3500F741"/>
    <w:rsid w:val="35043527"/>
    <w:rsid w:val="3507C692"/>
    <w:rsid w:val="3508B17F"/>
    <w:rsid w:val="350D3621"/>
    <w:rsid w:val="3510B1B9"/>
    <w:rsid w:val="35112521"/>
    <w:rsid w:val="35140BD9"/>
    <w:rsid w:val="3517D88C"/>
    <w:rsid w:val="351924A3"/>
    <w:rsid w:val="35192D2E"/>
    <w:rsid w:val="351C6EC4"/>
    <w:rsid w:val="351EBC71"/>
    <w:rsid w:val="3521F7CE"/>
    <w:rsid w:val="35255F8C"/>
    <w:rsid w:val="35292B15"/>
    <w:rsid w:val="35293D8D"/>
    <w:rsid w:val="352AFCA0"/>
    <w:rsid w:val="353213A8"/>
    <w:rsid w:val="353331E1"/>
    <w:rsid w:val="35336F05"/>
    <w:rsid w:val="3534D659"/>
    <w:rsid w:val="353CE7F9"/>
    <w:rsid w:val="353F7B46"/>
    <w:rsid w:val="35402DEC"/>
    <w:rsid w:val="35485AB6"/>
    <w:rsid w:val="354989DA"/>
    <w:rsid w:val="354D631E"/>
    <w:rsid w:val="354E9776"/>
    <w:rsid w:val="355599CB"/>
    <w:rsid w:val="3558C078"/>
    <w:rsid w:val="355E6F57"/>
    <w:rsid w:val="35646EDD"/>
    <w:rsid w:val="3568DD3C"/>
    <w:rsid w:val="35695993"/>
    <w:rsid w:val="3570987E"/>
    <w:rsid w:val="3572F95A"/>
    <w:rsid w:val="3573E004"/>
    <w:rsid w:val="3577A8CD"/>
    <w:rsid w:val="3578EBB5"/>
    <w:rsid w:val="3579391F"/>
    <w:rsid w:val="3579F62C"/>
    <w:rsid w:val="357A50BF"/>
    <w:rsid w:val="357E2562"/>
    <w:rsid w:val="3580327B"/>
    <w:rsid w:val="35821607"/>
    <w:rsid w:val="3587AA15"/>
    <w:rsid w:val="35890CF5"/>
    <w:rsid w:val="358953B3"/>
    <w:rsid w:val="35901057"/>
    <w:rsid w:val="35911720"/>
    <w:rsid w:val="3594D0DE"/>
    <w:rsid w:val="35959647"/>
    <w:rsid w:val="35A3421B"/>
    <w:rsid w:val="35A6BA12"/>
    <w:rsid w:val="35ADB997"/>
    <w:rsid w:val="35C0BBF2"/>
    <w:rsid w:val="35C415D0"/>
    <w:rsid w:val="35CA87F4"/>
    <w:rsid w:val="35CFA800"/>
    <w:rsid w:val="35D44E16"/>
    <w:rsid w:val="35D4B9D3"/>
    <w:rsid w:val="35D5705E"/>
    <w:rsid w:val="35D91F73"/>
    <w:rsid w:val="35E349A0"/>
    <w:rsid w:val="35E395B6"/>
    <w:rsid w:val="35E5B30F"/>
    <w:rsid w:val="35E75596"/>
    <w:rsid w:val="35E82767"/>
    <w:rsid w:val="35E84A54"/>
    <w:rsid w:val="35E9FDF8"/>
    <w:rsid w:val="35EA69B6"/>
    <w:rsid w:val="35EE3FAC"/>
    <w:rsid w:val="35EF0629"/>
    <w:rsid w:val="35F5075C"/>
    <w:rsid w:val="35F5A3F9"/>
    <w:rsid w:val="35F7C564"/>
    <w:rsid w:val="35FB8EB3"/>
    <w:rsid w:val="35FD408D"/>
    <w:rsid w:val="3600E750"/>
    <w:rsid w:val="360AC91B"/>
    <w:rsid w:val="360D9A16"/>
    <w:rsid w:val="361106A2"/>
    <w:rsid w:val="36125600"/>
    <w:rsid w:val="3616A634"/>
    <w:rsid w:val="36185317"/>
    <w:rsid w:val="3620671F"/>
    <w:rsid w:val="3623A343"/>
    <w:rsid w:val="36300AA0"/>
    <w:rsid w:val="36318206"/>
    <w:rsid w:val="36385A65"/>
    <w:rsid w:val="363A6ABC"/>
    <w:rsid w:val="363B982D"/>
    <w:rsid w:val="363CBE43"/>
    <w:rsid w:val="3640EF80"/>
    <w:rsid w:val="3641E510"/>
    <w:rsid w:val="364579FD"/>
    <w:rsid w:val="36466247"/>
    <w:rsid w:val="3646D6E9"/>
    <w:rsid w:val="3646FF7A"/>
    <w:rsid w:val="364BA6D7"/>
    <w:rsid w:val="364C621E"/>
    <w:rsid w:val="3651BCBC"/>
    <w:rsid w:val="3651DE39"/>
    <w:rsid w:val="3654482A"/>
    <w:rsid w:val="3655A49D"/>
    <w:rsid w:val="3655A63F"/>
    <w:rsid w:val="365C302E"/>
    <w:rsid w:val="365C8411"/>
    <w:rsid w:val="365E03B3"/>
    <w:rsid w:val="36615E63"/>
    <w:rsid w:val="3676690E"/>
    <w:rsid w:val="367B9BF0"/>
    <w:rsid w:val="367CC4DB"/>
    <w:rsid w:val="368302FB"/>
    <w:rsid w:val="36831DFE"/>
    <w:rsid w:val="368358A2"/>
    <w:rsid w:val="36854A75"/>
    <w:rsid w:val="3685A2C7"/>
    <w:rsid w:val="368652EF"/>
    <w:rsid w:val="36875719"/>
    <w:rsid w:val="36875A24"/>
    <w:rsid w:val="3688C9D4"/>
    <w:rsid w:val="36A0CFF4"/>
    <w:rsid w:val="36A349F0"/>
    <w:rsid w:val="36A7AC2B"/>
    <w:rsid w:val="36A7C6C0"/>
    <w:rsid w:val="36A9F05E"/>
    <w:rsid w:val="36AA328B"/>
    <w:rsid w:val="36AA6124"/>
    <w:rsid w:val="36B06949"/>
    <w:rsid w:val="36B27EBF"/>
    <w:rsid w:val="36B50F59"/>
    <w:rsid w:val="36B64073"/>
    <w:rsid w:val="36BB442B"/>
    <w:rsid w:val="36BD445E"/>
    <w:rsid w:val="36BE0E3A"/>
    <w:rsid w:val="36C0910C"/>
    <w:rsid w:val="36C5285C"/>
    <w:rsid w:val="36C682B5"/>
    <w:rsid w:val="36C6CA8A"/>
    <w:rsid w:val="36C762D0"/>
    <w:rsid w:val="36C7776A"/>
    <w:rsid w:val="36CA0771"/>
    <w:rsid w:val="36CBAC43"/>
    <w:rsid w:val="36CC49F9"/>
    <w:rsid w:val="36CD0B4E"/>
    <w:rsid w:val="36CDE8AC"/>
    <w:rsid w:val="36CFCE5E"/>
    <w:rsid w:val="36D08EDF"/>
    <w:rsid w:val="36D4EA58"/>
    <w:rsid w:val="36D5EC4D"/>
    <w:rsid w:val="36D60D93"/>
    <w:rsid w:val="36D8B85A"/>
    <w:rsid w:val="36DF571B"/>
    <w:rsid w:val="36E24F7C"/>
    <w:rsid w:val="36E54840"/>
    <w:rsid w:val="36E64B69"/>
    <w:rsid w:val="36E74ABF"/>
    <w:rsid w:val="36EDFCE1"/>
    <w:rsid w:val="36EFDC58"/>
    <w:rsid w:val="36F07594"/>
    <w:rsid w:val="36F23226"/>
    <w:rsid w:val="36F9A333"/>
    <w:rsid w:val="3701C31C"/>
    <w:rsid w:val="37061B49"/>
    <w:rsid w:val="3707897D"/>
    <w:rsid w:val="3707F184"/>
    <w:rsid w:val="370AC8AE"/>
    <w:rsid w:val="370BEBC5"/>
    <w:rsid w:val="370EB612"/>
    <w:rsid w:val="3710D41C"/>
    <w:rsid w:val="37181774"/>
    <w:rsid w:val="3719F39D"/>
    <w:rsid w:val="371B1C96"/>
    <w:rsid w:val="371CC4B3"/>
    <w:rsid w:val="371FF6ED"/>
    <w:rsid w:val="3722618C"/>
    <w:rsid w:val="37242D36"/>
    <w:rsid w:val="372903C4"/>
    <w:rsid w:val="372B0115"/>
    <w:rsid w:val="37312CE7"/>
    <w:rsid w:val="37325631"/>
    <w:rsid w:val="37355DFB"/>
    <w:rsid w:val="37387762"/>
    <w:rsid w:val="37394DE3"/>
    <w:rsid w:val="373AEDE5"/>
    <w:rsid w:val="373D719E"/>
    <w:rsid w:val="374062D8"/>
    <w:rsid w:val="3741FCEA"/>
    <w:rsid w:val="3743CB43"/>
    <w:rsid w:val="374907C9"/>
    <w:rsid w:val="374A2B46"/>
    <w:rsid w:val="374A5930"/>
    <w:rsid w:val="374A7608"/>
    <w:rsid w:val="374C71D9"/>
    <w:rsid w:val="374F3EAE"/>
    <w:rsid w:val="37539740"/>
    <w:rsid w:val="37553F31"/>
    <w:rsid w:val="37576F7C"/>
    <w:rsid w:val="37583555"/>
    <w:rsid w:val="3759A46C"/>
    <w:rsid w:val="375BA338"/>
    <w:rsid w:val="375C0EEB"/>
    <w:rsid w:val="375D1CC7"/>
    <w:rsid w:val="375E3B47"/>
    <w:rsid w:val="37672387"/>
    <w:rsid w:val="376760FD"/>
    <w:rsid w:val="3767C5EF"/>
    <w:rsid w:val="37699F92"/>
    <w:rsid w:val="376F59F8"/>
    <w:rsid w:val="376FCE2D"/>
    <w:rsid w:val="3770F6C3"/>
    <w:rsid w:val="3771B59E"/>
    <w:rsid w:val="37720B1E"/>
    <w:rsid w:val="37739CC1"/>
    <w:rsid w:val="3774F66A"/>
    <w:rsid w:val="377C220D"/>
    <w:rsid w:val="377FDE80"/>
    <w:rsid w:val="3780A24C"/>
    <w:rsid w:val="3780A5F9"/>
    <w:rsid w:val="37830243"/>
    <w:rsid w:val="37869F81"/>
    <w:rsid w:val="37873DB1"/>
    <w:rsid w:val="3788E0A0"/>
    <w:rsid w:val="378A6430"/>
    <w:rsid w:val="378B5F71"/>
    <w:rsid w:val="378EA040"/>
    <w:rsid w:val="379347CD"/>
    <w:rsid w:val="3799E673"/>
    <w:rsid w:val="379BDD47"/>
    <w:rsid w:val="379BEB3C"/>
    <w:rsid w:val="37A42D6C"/>
    <w:rsid w:val="37AC930D"/>
    <w:rsid w:val="37B951FF"/>
    <w:rsid w:val="37C2ED96"/>
    <w:rsid w:val="37C48531"/>
    <w:rsid w:val="37C5FDB7"/>
    <w:rsid w:val="37C6E1D5"/>
    <w:rsid w:val="37C9CEB3"/>
    <w:rsid w:val="37CA01A9"/>
    <w:rsid w:val="37CDEB3D"/>
    <w:rsid w:val="37D10057"/>
    <w:rsid w:val="37D146DF"/>
    <w:rsid w:val="37D1728B"/>
    <w:rsid w:val="37D31328"/>
    <w:rsid w:val="37D80AC8"/>
    <w:rsid w:val="37D91BDC"/>
    <w:rsid w:val="37DC0055"/>
    <w:rsid w:val="37DD2476"/>
    <w:rsid w:val="37DE1898"/>
    <w:rsid w:val="37E52D1F"/>
    <w:rsid w:val="37F21300"/>
    <w:rsid w:val="37F2DBE4"/>
    <w:rsid w:val="37F7A790"/>
    <w:rsid w:val="3802AEAC"/>
    <w:rsid w:val="3807EAFD"/>
    <w:rsid w:val="380AD207"/>
    <w:rsid w:val="381252BE"/>
    <w:rsid w:val="3813AF54"/>
    <w:rsid w:val="3816E922"/>
    <w:rsid w:val="3819A78E"/>
    <w:rsid w:val="381DE355"/>
    <w:rsid w:val="3820E2CD"/>
    <w:rsid w:val="38222001"/>
    <w:rsid w:val="3824851F"/>
    <w:rsid w:val="38254BB2"/>
    <w:rsid w:val="38276564"/>
    <w:rsid w:val="3833D0A2"/>
    <w:rsid w:val="38369951"/>
    <w:rsid w:val="383A2EF9"/>
    <w:rsid w:val="383B2F47"/>
    <w:rsid w:val="383E68A1"/>
    <w:rsid w:val="383F55C5"/>
    <w:rsid w:val="3841B5D4"/>
    <w:rsid w:val="38441781"/>
    <w:rsid w:val="384998AD"/>
    <w:rsid w:val="384C6202"/>
    <w:rsid w:val="384CAB48"/>
    <w:rsid w:val="384E651E"/>
    <w:rsid w:val="384EDC9F"/>
    <w:rsid w:val="38502671"/>
    <w:rsid w:val="3850DFBA"/>
    <w:rsid w:val="3854C850"/>
    <w:rsid w:val="385647E3"/>
    <w:rsid w:val="3856F223"/>
    <w:rsid w:val="38589B2E"/>
    <w:rsid w:val="3858FC13"/>
    <w:rsid w:val="385CC2E4"/>
    <w:rsid w:val="38653747"/>
    <w:rsid w:val="386702A5"/>
    <w:rsid w:val="3870B4B0"/>
    <w:rsid w:val="3870CDBB"/>
    <w:rsid w:val="387185BA"/>
    <w:rsid w:val="3871B215"/>
    <w:rsid w:val="3878D421"/>
    <w:rsid w:val="3878EA07"/>
    <w:rsid w:val="387AC11F"/>
    <w:rsid w:val="387B99B7"/>
    <w:rsid w:val="387FB6A8"/>
    <w:rsid w:val="388282C2"/>
    <w:rsid w:val="3882CFB3"/>
    <w:rsid w:val="38845FCF"/>
    <w:rsid w:val="3884EC03"/>
    <w:rsid w:val="38861FD3"/>
    <w:rsid w:val="388B6D9F"/>
    <w:rsid w:val="388BC54A"/>
    <w:rsid w:val="388CB392"/>
    <w:rsid w:val="388D7621"/>
    <w:rsid w:val="3893427F"/>
    <w:rsid w:val="3898384D"/>
    <w:rsid w:val="38986E59"/>
    <w:rsid w:val="389EAB89"/>
    <w:rsid w:val="389FF36C"/>
    <w:rsid w:val="38A0B93E"/>
    <w:rsid w:val="38A6C81A"/>
    <w:rsid w:val="38A83940"/>
    <w:rsid w:val="38ACE6D7"/>
    <w:rsid w:val="38AEDAA5"/>
    <w:rsid w:val="38AFAB95"/>
    <w:rsid w:val="38B2DC3A"/>
    <w:rsid w:val="38B57DC9"/>
    <w:rsid w:val="38BC7630"/>
    <w:rsid w:val="38C2A508"/>
    <w:rsid w:val="38CDCEC1"/>
    <w:rsid w:val="38D35B6D"/>
    <w:rsid w:val="38D5A91B"/>
    <w:rsid w:val="38D7ED75"/>
    <w:rsid w:val="38DC1257"/>
    <w:rsid w:val="38DD3EB0"/>
    <w:rsid w:val="38DD73CA"/>
    <w:rsid w:val="38DF7733"/>
    <w:rsid w:val="38E2B7F2"/>
    <w:rsid w:val="38E848F2"/>
    <w:rsid w:val="38E96C7A"/>
    <w:rsid w:val="38EB587F"/>
    <w:rsid w:val="38EEBA24"/>
    <w:rsid w:val="38F02CD8"/>
    <w:rsid w:val="38F08916"/>
    <w:rsid w:val="38F189A1"/>
    <w:rsid w:val="38F1C1D1"/>
    <w:rsid w:val="38F2F5CA"/>
    <w:rsid w:val="38FA8917"/>
    <w:rsid w:val="38FCD9D6"/>
    <w:rsid w:val="38FCDC14"/>
    <w:rsid w:val="38FD2594"/>
    <w:rsid w:val="3902CDB3"/>
    <w:rsid w:val="39031FAC"/>
    <w:rsid w:val="3905249F"/>
    <w:rsid w:val="3906AE49"/>
    <w:rsid w:val="3908399E"/>
    <w:rsid w:val="3908AE70"/>
    <w:rsid w:val="390D58D0"/>
    <w:rsid w:val="3914B080"/>
    <w:rsid w:val="3914C666"/>
    <w:rsid w:val="39157436"/>
    <w:rsid w:val="392399CB"/>
    <w:rsid w:val="39240D24"/>
    <w:rsid w:val="392456D1"/>
    <w:rsid w:val="3924E0EE"/>
    <w:rsid w:val="392ACFB6"/>
    <w:rsid w:val="392C1ADD"/>
    <w:rsid w:val="392DB1F2"/>
    <w:rsid w:val="392DE80D"/>
    <w:rsid w:val="3935CDC9"/>
    <w:rsid w:val="39371C00"/>
    <w:rsid w:val="393ED7A7"/>
    <w:rsid w:val="393EF634"/>
    <w:rsid w:val="394CDBC0"/>
    <w:rsid w:val="394DBAF8"/>
    <w:rsid w:val="394F80D8"/>
    <w:rsid w:val="3950C862"/>
    <w:rsid w:val="39517A30"/>
    <w:rsid w:val="395404BC"/>
    <w:rsid w:val="395463DC"/>
    <w:rsid w:val="395628D9"/>
    <w:rsid w:val="395631AD"/>
    <w:rsid w:val="395A9781"/>
    <w:rsid w:val="395B2933"/>
    <w:rsid w:val="395B3E79"/>
    <w:rsid w:val="395FA906"/>
    <w:rsid w:val="396096C1"/>
    <w:rsid w:val="3961CE18"/>
    <w:rsid w:val="39655ACF"/>
    <w:rsid w:val="3969624D"/>
    <w:rsid w:val="396D13DB"/>
    <w:rsid w:val="396E2087"/>
    <w:rsid w:val="396EFDB2"/>
    <w:rsid w:val="396F5B02"/>
    <w:rsid w:val="39749EAC"/>
    <w:rsid w:val="3974FB72"/>
    <w:rsid w:val="397A9EF8"/>
    <w:rsid w:val="397BD898"/>
    <w:rsid w:val="397D06CF"/>
    <w:rsid w:val="397FB0FF"/>
    <w:rsid w:val="39809375"/>
    <w:rsid w:val="39846848"/>
    <w:rsid w:val="39849203"/>
    <w:rsid w:val="3988F266"/>
    <w:rsid w:val="39898584"/>
    <w:rsid w:val="398AB47A"/>
    <w:rsid w:val="398AD282"/>
    <w:rsid w:val="398B1D6A"/>
    <w:rsid w:val="3995AA08"/>
    <w:rsid w:val="399C27C0"/>
    <w:rsid w:val="399CFCC8"/>
    <w:rsid w:val="399ECDC8"/>
    <w:rsid w:val="39A28639"/>
    <w:rsid w:val="39A33A64"/>
    <w:rsid w:val="39A544CD"/>
    <w:rsid w:val="39AD0025"/>
    <w:rsid w:val="39B26B4F"/>
    <w:rsid w:val="39B2ADFA"/>
    <w:rsid w:val="39B4B450"/>
    <w:rsid w:val="39B647ED"/>
    <w:rsid w:val="39B93226"/>
    <w:rsid w:val="39BB9F8A"/>
    <w:rsid w:val="39BC124D"/>
    <w:rsid w:val="39BFEDDE"/>
    <w:rsid w:val="39C4A144"/>
    <w:rsid w:val="39C7AF0D"/>
    <w:rsid w:val="39CA7A19"/>
    <w:rsid w:val="39CA9C7A"/>
    <w:rsid w:val="39CB01BC"/>
    <w:rsid w:val="39CC42C6"/>
    <w:rsid w:val="39CCFB4E"/>
    <w:rsid w:val="39D53DF3"/>
    <w:rsid w:val="39D919D8"/>
    <w:rsid w:val="39D9AE83"/>
    <w:rsid w:val="39DC4111"/>
    <w:rsid w:val="39DCD1B9"/>
    <w:rsid w:val="39DF0C8F"/>
    <w:rsid w:val="39E305AD"/>
    <w:rsid w:val="39E5003E"/>
    <w:rsid w:val="39EC0A17"/>
    <w:rsid w:val="39EE2290"/>
    <w:rsid w:val="39F33070"/>
    <w:rsid w:val="39F45056"/>
    <w:rsid w:val="39F696A8"/>
    <w:rsid w:val="39F9705B"/>
    <w:rsid w:val="39FC0E9C"/>
    <w:rsid w:val="3A001B9A"/>
    <w:rsid w:val="3A041470"/>
    <w:rsid w:val="3A047711"/>
    <w:rsid w:val="3A06B930"/>
    <w:rsid w:val="3A099FB5"/>
    <w:rsid w:val="3A0DA519"/>
    <w:rsid w:val="3A10217C"/>
    <w:rsid w:val="3A16F07D"/>
    <w:rsid w:val="3A170B83"/>
    <w:rsid w:val="3A17F11A"/>
    <w:rsid w:val="3A183347"/>
    <w:rsid w:val="3A19BDBD"/>
    <w:rsid w:val="3A1D152A"/>
    <w:rsid w:val="3A1D4F79"/>
    <w:rsid w:val="3A1E8125"/>
    <w:rsid w:val="3A1F706C"/>
    <w:rsid w:val="3A1FE0C5"/>
    <w:rsid w:val="3A2303E3"/>
    <w:rsid w:val="3A26A720"/>
    <w:rsid w:val="3A2CD79C"/>
    <w:rsid w:val="3A301698"/>
    <w:rsid w:val="3A30E033"/>
    <w:rsid w:val="3A3429DE"/>
    <w:rsid w:val="3A397C34"/>
    <w:rsid w:val="3A3A46E0"/>
    <w:rsid w:val="3A3AE77A"/>
    <w:rsid w:val="3A42987B"/>
    <w:rsid w:val="3A473199"/>
    <w:rsid w:val="3A481778"/>
    <w:rsid w:val="3A4B8A74"/>
    <w:rsid w:val="3A53078C"/>
    <w:rsid w:val="3A53A447"/>
    <w:rsid w:val="3A564429"/>
    <w:rsid w:val="3A5861D4"/>
    <w:rsid w:val="3A58AD5D"/>
    <w:rsid w:val="3A5ED9FC"/>
    <w:rsid w:val="3A5F0434"/>
    <w:rsid w:val="3A6642E1"/>
    <w:rsid w:val="3A673FC6"/>
    <w:rsid w:val="3A69291E"/>
    <w:rsid w:val="3A6AFFD0"/>
    <w:rsid w:val="3A6B43E8"/>
    <w:rsid w:val="3A6BA4F8"/>
    <w:rsid w:val="3A6CF13C"/>
    <w:rsid w:val="3A6D333A"/>
    <w:rsid w:val="3A704648"/>
    <w:rsid w:val="3A73B8A2"/>
    <w:rsid w:val="3A78B1DA"/>
    <w:rsid w:val="3A79BE59"/>
    <w:rsid w:val="3A7A1B9D"/>
    <w:rsid w:val="3A7A9410"/>
    <w:rsid w:val="3A7C09E8"/>
    <w:rsid w:val="3A807462"/>
    <w:rsid w:val="3A864F29"/>
    <w:rsid w:val="3A89D96D"/>
    <w:rsid w:val="3A8E7CC5"/>
    <w:rsid w:val="3A935C6A"/>
    <w:rsid w:val="3A93643C"/>
    <w:rsid w:val="3A93DAAB"/>
    <w:rsid w:val="3A954B49"/>
    <w:rsid w:val="3A9906C5"/>
    <w:rsid w:val="3A991B56"/>
    <w:rsid w:val="3AA31204"/>
    <w:rsid w:val="3AA7621B"/>
    <w:rsid w:val="3AA79076"/>
    <w:rsid w:val="3AAB7401"/>
    <w:rsid w:val="3AADA25C"/>
    <w:rsid w:val="3AAEFA16"/>
    <w:rsid w:val="3AB5A038"/>
    <w:rsid w:val="3AB6BFBF"/>
    <w:rsid w:val="3ABF289C"/>
    <w:rsid w:val="3AC15353"/>
    <w:rsid w:val="3AC5762C"/>
    <w:rsid w:val="3AC5DB52"/>
    <w:rsid w:val="3AC9B86E"/>
    <w:rsid w:val="3ACBC851"/>
    <w:rsid w:val="3ACF4398"/>
    <w:rsid w:val="3AD0BAF3"/>
    <w:rsid w:val="3AD0FBCC"/>
    <w:rsid w:val="3AD10005"/>
    <w:rsid w:val="3AD302C7"/>
    <w:rsid w:val="3AD38FE8"/>
    <w:rsid w:val="3AD4320E"/>
    <w:rsid w:val="3AD8E9C7"/>
    <w:rsid w:val="3ADCE749"/>
    <w:rsid w:val="3ADFE406"/>
    <w:rsid w:val="3AE07494"/>
    <w:rsid w:val="3AE25177"/>
    <w:rsid w:val="3AE33D06"/>
    <w:rsid w:val="3AE48C3D"/>
    <w:rsid w:val="3AE508B2"/>
    <w:rsid w:val="3AE5E87F"/>
    <w:rsid w:val="3AE92BE4"/>
    <w:rsid w:val="3AED504D"/>
    <w:rsid w:val="3AF2557D"/>
    <w:rsid w:val="3AF431BF"/>
    <w:rsid w:val="3AF45A9B"/>
    <w:rsid w:val="3AF53EEE"/>
    <w:rsid w:val="3AF54051"/>
    <w:rsid w:val="3AF87E75"/>
    <w:rsid w:val="3AFD9E79"/>
    <w:rsid w:val="3AFEE096"/>
    <w:rsid w:val="3B00393C"/>
    <w:rsid w:val="3B019813"/>
    <w:rsid w:val="3B0313D4"/>
    <w:rsid w:val="3B0488AA"/>
    <w:rsid w:val="3B06CFD3"/>
    <w:rsid w:val="3B0EF1FB"/>
    <w:rsid w:val="3B106935"/>
    <w:rsid w:val="3B18D7A6"/>
    <w:rsid w:val="3B1A1B18"/>
    <w:rsid w:val="3B1EE742"/>
    <w:rsid w:val="3B1FD7B9"/>
    <w:rsid w:val="3B221170"/>
    <w:rsid w:val="3B26EA4D"/>
    <w:rsid w:val="3B27B94D"/>
    <w:rsid w:val="3B2A0A46"/>
    <w:rsid w:val="3B2B01F0"/>
    <w:rsid w:val="3B2F5C30"/>
    <w:rsid w:val="3B2FA2A0"/>
    <w:rsid w:val="3B34BA9D"/>
    <w:rsid w:val="3B375EB8"/>
    <w:rsid w:val="3B39DDF7"/>
    <w:rsid w:val="3B3CACCA"/>
    <w:rsid w:val="3B3DFBC5"/>
    <w:rsid w:val="3B3E0736"/>
    <w:rsid w:val="3B45126E"/>
    <w:rsid w:val="3B4735A3"/>
    <w:rsid w:val="3B478E0C"/>
    <w:rsid w:val="3B4B158D"/>
    <w:rsid w:val="3B4FE638"/>
    <w:rsid w:val="3B511EFE"/>
    <w:rsid w:val="3B534AC0"/>
    <w:rsid w:val="3B542176"/>
    <w:rsid w:val="3B57AD30"/>
    <w:rsid w:val="3B5ABF40"/>
    <w:rsid w:val="3B5B3C53"/>
    <w:rsid w:val="3B60C8DF"/>
    <w:rsid w:val="3B6342ED"/>
    <w:rsid w:val="3B64AAAA"/>
    <w:rsid w:val="3B654AAF"/>
    <w:rsid w:val="3B66A502"/>
    <w:rsid w:val="3B706633"/>
    <w:rsid w:val="3B70CA8E"/>
    <w:rsid w:val="3B71BB01"/>
    <w:rsid w:val="3B72517E"/>
    <w:rsid w:val="3B753AE4"/>
    <w:rsid w:val="3B7AE19A"/>
    <w:rsid w:val="3B7B2A75"/>
    <w:rsid w:val="3B7B5D08"/>
    <w:rsid w:val="3B7B6003"/>
    <w:rsid w:val="3B7C8054"/>
    <w:rsid w:val="3B7FFE7B"/>
    <w:rsid w:val="3B874EF7"/>
    <w:rsid w:val="3B8F7F08"/>
    <w:rsid w:val="3B95028A"/>
    <w:rsid w:val="3B9BF41D"/>
    <w:rsid w:val="3B9F420A"/>
    <w:rsid w:val="3BA045D1"/>
    <w:rsid w:val="3BAA1D12"/>
    <w:rsid w:val="3BAD8461"/>
    <w:rsid w:val="3BAD9A8D"/>
    <w:rsid w:val="3BAEECCA"/>
    <w:rsid w:val="3BAF87DB"/>
    <w:rsid w:val="3BB2D3CE"/>
    <w:rsid w:val="3BB3CD03"/>
    <w:rsid w:val="3BB3E60A"/>
    <w:rsid w:val="3BBA48E6"/>
    <w:rsid w:val="3BBC7E18"/>
    <w:rsid w:val="3BC0AA8B"/>
    <w:rsid w:val="3BC1D591"/>
    <w:rsid w:val="3BC39CEE"/>
    <w:rsid w:val="3BC69C41"/>
    <w:rsid w:val="3BCFB7D8"/>
    <w:rsid w:val="3BD72BB5"/>
    <w:rsid w:val="3BD7FCA1"/>
    <w:rsid w:val="3BDA29A6"/>
    <w:rsid w:val="3BDA83B2"/>
    <w:rsid w:val="3BDD52E2"/>
    <w:rsid w:val="3BDF2709"/>
    <w:rsid w:val="3BE14F11"/>
    <w:rsid w:val="3BE56264"/>
    <w:rsid w:val="3BECC87E"/>
    <w:rsid w:val="3BEF8407"/>
    <w:rsid w:val="3BEFF529"/>
    <w:rsid w:val="3BF04CAC"/>
    <w:rsid w:val="3BF533F4"/>
    <w:rsid w:val="3BFB95E3"/>
    <w:rsid w:val="3BFDA3D2"/>
    <w:rsid w:val="3C0AB567"/>
    <w:rsid w:val="3C0C744C"/>
    <w:rsid w:val="3C0EFF0F"/>
    <w:rsid w:val="3C100073"/>
    <w:rsid w:val="3C1124C9"/>
    <w:rsid w:val="3C128E6D"/>
    <w:rsid w:val="3C13EF71"/>
    <w:rsid w:val="3C177F3B"/>
    <w:rsid w:val="3C1A0FAD"/>
    <w:rsid w:val="3C24E407"/>
    <w:rsid w:val="3C2537C9"/>
    <w:rsid w:val="3C260457"/>
    <w:rsid w:val="3C262EF6"/>
    <w:rsid w:val="3C27975A"/>
    <w:rsid w:val="3C27AA4F"/>
    <w:rsid w:val="3C29087B"/>
    <w:rsid w:val="3C2DEA24"/>
    <w:rsid w:val="3C3C4CB6"/>
    <w:rsid w:val="3C3D6211"/>
    <w:rsid w:val="3C3DEDBB"/>
    <w:rsid w:val="3C3F2191"/>
    <w:rsid w:val="3C43AC2A"/>
    <w:rsid w:val="3C450B43"/>
    <w:rsid w:val="3C481E3A"/>
    <w:rsid w:val="3C48328D"/>
    <w:rsid w:val="3C4AF16C"/>
    <w:rsid w:val="3C4E91A8"/>
    <w:rsid w:val="3C50B480"/>
    <w:rsid w:val="3C5313B5"/>
    <w:rsid w:val="3C54CA36"/>
    <w:rsid w:val="3C5799A8"/>
    <w:rsid w:val="3C593392"/>
    <w:rsid w:val="3C5AA312"/>
    <w:rsid w:val="3C5D2322"/>
    <w:rsid w:val="3C61AC90"/>
    <w:rsid w:val="3C644E65"/>
    <w:rsid w:val="3C67AC98"/>
    <w:rsid w:val="3C69CC56"/>
    <w:rsid w:val="3C6D96A8"/>
    <w:rsid w:val="3C6E3FE3"/>
    <w:rsid w:val="3C6EFAD6"/>
    <w:rsid w:val="3C703839"/>
    <w:rsid w:val="3C73CEEC"/>
    <w:rsid w:val="3C746B7D"/>
    <w:rsid w:val="3C771AFB"/>
    <w:rsid w:val="3C774F05"/>
    <w:rsid w:val="3C7D3C98"/>
    <w:rsid w:val="3C7F8816"/>
    <w:rsid w:val="3C82B367"/>
    <w:rsid w:val="3C83010C"/>
    <w:rsid w:val="3C859331"/>
    <w:rsid w:val="3C868708"/>
    <w:rsid w:val="3C869720"/>
    <w:rsid w:val="3C8E8836"/>
    <w:rsid w:val="3C8ECF95"/>
    <w:rsid w:val="3C8F7057"/>
    <w:rsid w:val="3C94964F"/>
    <w:rsid w:val="3C9B1901"/>
    <w:rsid w:val="3C9E95F4"/>
    <w:rsid w:val="3CA01D87"/>
    <w:rsid w:val="3CA208D8"/>
    <w:rsid w:val="3CA50C21"/>
    <w:rsid w:val="3CA611BF"/>
    <w:rsid w:val="3CA63E28"/>
    <w:rsid w:val="3CA94D10"/>
    <w:rsid w:val="3CAB438E"/>
    <w:rsid w:val="3CADA810"/>
    <w:rsid w:val="3CAEC9AD"/>
    <w:rsid w:val="3CAFC384"/>
    <w:rsid w:val="3CB6A281"/>
    <w:rsid w:val="3CB93237"/>
    <w:rsid w:val="3CBCA899"/>
    <w:rsid w:val="3CC281D0"/>
    <w:rsid w:val="3CC39A02"/>
    <w:rsid w:val="3CC46914"/>
    <w:rsid w:val="3CC65FEB"/>
    <w:rsid w:val="3CC8DC31"/>
    <w:rsid w:val="3CCBE43D"/>
    <w:rsid w:val="3CCDF93C"/>
    <w:rsid w:val="3CD054A7"/>
    <w:rsid w:val="3CD2F0E3"/>
    <w:rsid w:val="3CD46FBB"/>
    <w:rsid w:val="3CD56760"/>
    <w:rsid w:val="3CD7183B"/>
    <w:rsid w:val="3CDA4A92"/>
    <w:rsid w:val="3CDA612A"/>
    <w:rsid w:val="3CDB5C20"/>
    <w:rsid w:val="3CDB7FDE"/>
    <w:rsid w:val="3CDEF270"/>
    <w:rsid w:val="3CE2031C"/>
    <w:rsid w:val="3CE2E81B"/>
    <w:rsid w:val="3CE5ECA8"/>
    <w:rsid w:val="3CEA9A3C"/>
    <w:rsid w:val="3CEAEBB7"/>
    <w:rsid w:val="3CEEE08B"/>
    <w:rsid w:val="3CF04A26"/>
    <w:rsid w:val="3CF69D61"/>
    <w:rsid w:val="3CF863DB"/>
    <w:rsid w:val="3CF967AF"/>
    <w:rsid w:val="3CFA233E"/>
    <w:rsid w:val="3D004289"/>
    <w:rsid w:val="3D0631BF"/>
    <w:rsid w:val="3D066418"/>
    <w:rsid w:val="3D06917C"/>
    <w:rsid w:val="3D0B8C29"/>
    <w:rsid w:val="3D0F9443"/>
    <w:rsid w:val="3D141061"/>
    <w:rsid w:val="3D1C3706"/>
    <w:rsid w:val="3D1D96AA"/>
    <w:rsid w:val="3D1EE985"/>
    <w:rsid w:val="3D258430"/>
    <w:rsid w:val="3D28242D"/>
    <w:rsid w:val="3D2BF3C4"/>
    <w:rsid w:val="3D3E836A"/>
    <w:rsid w:val="3D420932"/>
    <w:rsid w:val="3D4308C1"/>
    <w:rsid w:val="3D433991"/>
    <w:rsid w:val="3D4425D3"/>
    <w:rsid w:val="3D480CD8"/>
    <w:rsid w:val="3D4C3812"/>
    <w:rsid w:val="3D512AA7"/>
    <w:rsid w:val="3D52F9E3"/>
    <w:rsid w:val="3D585A8F"/>
    <w:rsid w:val="3D59F936"/>
    <w:rsid w:val="3D5BA53E"/>
    <w:rsid w:val="3D61F81F"/>
    <w:rsid w:val="3D64CE4D"/>
    <w:rsid w:val="3D68F972"/>
    <w:rsid w:val="3D6A07E5"/>
    <w:rsid w:val="3D6BA970"/>
    <w:rsid w:val="3D6BDF7C"/>
    <w:rsid w:val="3D6C0F7C"/>
    <w:rsid w:val="3D72736A"/>
    <w:rsid w:val="3D72E5FC"/>
    <w:rsid w:val="3D7B6B7B"/>
    <w:rsid w:val="3D7D0C57"/>
    <w:rsid w:val="3D7D7F38"/>
    <w:rsid w:val="3D8110C9"/>
    <w:rsid w:val="3D83555D"/>
    <w:rsid w:val="3D85ACCD"/>
    <w:rsid w:val="3D87FD57"/>
    <w:rsid w:val="3D89D607"/>
    <w:rsid w:val="3D8FBC1C"/>
    <w:rsid w:val="3D91D47D"/>
    <w:rsid w:val="3D93A5FA"/>
    <w:rsid w:val="3D9467AA"/>
    <w:rsid w:val="3D992CAD"/>
    <w:rsid w:val="3D9953C5"/>
    <w:rsid w:val="3D99BD7D"/>
    <w:rsid w:val="3D9D3ECD"/>
    <w:rsid w:val="3DA2A282"/>
    <w:rsid w:val="3DA62FD6"/>
    <w:rsid w:val="3DA6B456"/>
    <w:rsid w:val="3DA6B480"/>
    <w:rsid w:val="3DA82B1A"/>
    <w:rsid w:val="3DA8D632"/>
    <w:rsid w:val="3DA9257C"/>
    <w:rsid w:val="3DADAD70"/>
    <w:rsid w:val="3DADB32D"/>
    <w:rsid w:val="3DB3DB41"/>
    <w:rsid w:val="3DB4DDCB"/>
    <w:rsid w:val="3DB8E395"/>
    <w:rsid w:val="3DBA142C"/>
    <w:rsid w:val="3DBA5E01"/>
    <w:rsid w:val="3DBFF574"/>
    <w:rsid w:val="3DC16F7E"/>
    <w:rsid w:val="3DC5CAE3"/>
    <w:rsid w:val="3DC97C0F"/>
    <w:rsid w:val="3DCAA048"/>
    <w:rsid w:val="3DCAE4BC"/>
    <w:rsid w:val="3DCAFD2C"/>
    <w:rsid w:val="3DD000E7"/>
    <w:rsid w:val="3DD26485"/>
    <w:rsid w:val="3DD7D4EF"/>
    <w:rsid w:val="3DD8A204"/>
    <w:rsid w:val="3DD97A89"/>
    <w:rsid w:val="3DDB0694"/>
    <w:rsid w:val="3DDFE7DA"/>
    <w:rsid w:val="3DE30A32"/>
    <w:rsid w:val="3DE3E011"/>
    <w:rsid w:val="3DE512EE"/>
    <w:rsid w:val="3DE669AA"/>
    <w:rsid w:val="3DE7B93E"/>
    <w:rsid w:val="3DEA4057"/>
    <w:rsid w:val="3DEAD842"/>
    <w:rsid w:val="3DEBC4D5"/>
    <w:rsid w:val="3DEEB662"/>
    <w:rsid w:val="3DF182B1"/>
    <w:rsid w:val="3E03BB14"/>
    <w:rsid w:val="3E075DB5"/>
    <w:rsid w:val="3E08E622"/>
    <w:rsid w:val="3E0F91CF"/>
    <w:rsid w:val="3E101680"/>
    <w:rsid w:val="3E10E107"/>
    <w:rsid w:val="3E129322"/>
    <w:rsid w:val="3E17DBC9"/>
    <w:rsid w:val="3E20A07E"/>
    <w:rsid w:val="3E215BB2"/>
    <w:rsid w:val="3E2960E4"/>
    <w:rsid w:val="3E2A56DA"/>
    <w:rsid w:val="3E2BD28A"/>
    <w:rsid w:val="3E2C6450"/>
    <w:rsid w:val="3E2D8688"/>
    <w:rsid w:val="3E2DF4A7"/>
    <w:rsid w:val="3E32F096"/>
    <w:rsid w:val="3E358C61"/>
    <w:rsid w:val="3E39CBAB"/>
    <w:rsid w:val="3E3A5CA1"/>
    <w:rsid w:val="3E3CC4F3"/>
    <w:rsid w:val="3E3D2CC1"/>
    <w:rsid w:val="3E4092A7"/>
    <w:rsid w:val="3E4292CE"/>
    <w:rsid w:val="3E43C589"/>
    <w:rsid w:val="3E4A01F9"/>
    <w:rsid w:val="3E4B8435"/>
    <w:rsid w:val="3E4C335E"/>
    <w:rsid w:val="3E4CB041"/>
    <w:rsid w:val="3E4DBA7D"/>
    <w:rsid w:val="3E4F04A4"/>
    <w:rsid w:val="3E533E8C"/>
    <w:rsid w:val="3E54A4C8"/>
    <w:rsid w:val="3E55D608"/>
    <w:rsid w:val="3E56088B"/>
    <w:rsid w:val="3E57C737"/>
    <w:rsid w:val="3E5BC174"/>
    <w:rsid w:val="3E5C1807"/>
    <w:rsid w:val="3E60652E"/>
    <w:rsid w:val="3E64DFE9"/>
    <w:rsid w:val="3E68BF85"/>
    <w:rsid w:val="3E69472F"/>
    <w:rsid w:val="3E6B7742"/>
    <w:rsid w:val="3E6BE8A5"/>
    <w:rsid w:val="3E6C1A0E"/>
    <w:rsid w:val="3E6DA821"/>
    <w:rsid w:val="3E7490CA"/>
    <w:rsid w:val="3E74B8F1"/>
    <w:rsid w:val="3E7E210D"/>
    <w:rsid w:val="3E7EE3AA"/>
    <w:rsid w:val="3E81DA8A"/>
    <w:rsid w:val="3E825D20"/>
    <w:rsid w:val="3E843AAB"/>
    <w:rsid w:val="3E8585E7"/>
    <w:rsid w:val="3E8BE0FE"/>
    <w:rsid w:val="3E8C6988"/>
    <w:rsid w:val="3E93E1AC"/>
    <w:rsid w:val="3E964809"/>
    <w:rsid w:val="3E97FDC3"/>
    <w:rsid w:val="3E9A624A"/>
    <w:rsid w:val="3EA031D1"/>
    <w:rsid w:val="3EA0B81D"/>
    <w:rsid w:val="3EA2BE71"/>
    <w:rsid w:val="3EA4A7E1"/>
    <w:rsid w:val="3EA5A5F6"/>
    <w:rsid w:val="3EA7E7CA"/>
    <w:rsid w:val="3EADBD6C"/>
    <w:rsid w:val="3EB15057"/>
    <w:rsid w:val="3EB2C9AD"/>
    <w:rsid w:val="3EB483CA"/>
    <w:rsid w:val="3EB5033C"/>
    <w:rsid w:val="3EB9EB9F"/>
    <w:rsid w:val="3EBA5483"/>
    <w:rsid w:val="3EBA664E"/>
    <w:rsid w:val="3EBD4A2C"/>
    <w:rsid w:val="3EBFA2F2"/>
    <w:rsid w:val="3EC7F71B"/>
    <w:rsid w:val="3EC7F7AB"/>
    <w:rsid w:val="3EC89499"/>
    <w:rsid w:val="3EC9F3E7"/>
    <w:rsid w:val="3ECA8E7B"/>
    <w:rsid w:val="3ED4B079"/>
    <w:rsid w:val="3ED80D59"/>
    <w:rsid w:val="3EDA0E98"/>
    <w:rsid w:val="3EDA7915"/>
    <w:rsid w:val="3EEC1B1A"/>
    <w:rsid w:val="3EEC1FBE"/>
    <w:rsid w:val="3EED803C"/>
    <w:rsid w:val="3EEE4B12"/>
    <w:rsid w:val="3EF3E1B9"/>
    <w:rsid w:val="3EF78DE2"/>
    <w:rsid w:val="3EF7FDC2"/>
    <w:rsid w:val="3EF91E91"/>
    <w:rsid w:val="3EFE191E"/>
    <w:rsid w:val="3F0704A0"/>
    <w:rsid w:val="3F076F20"/>
    <w:rsid w:val="3F078203"/>
    <w:rsid w:val="3F07AFDD"/>
    <w:rsid w:val="3F07DFDD"/>
    <w:rsid w:val="3F093B5C"/>
    <w:rsid w:val="3F09C4E7"/>
    <w:rsid w:val="3F0A3018"/>
    <w:rsid w:val="3F0A3732"/>
    <w:rsid w:val="3F0BEA1E"/>
    <w:rsid w:val="3F0C54BE"/>
    <w:rsid w:val="3F0EB6B4"/>
    <w:rsid w:val="3F13C890"/>
    <w:rsid w:val="3F14A786"/>
    <w:rsid w:val="3F172276"/>
    <w:rsid w:val="3F1ADC4E"/>
    <w:rsid w:val="3F20D83A"/>
    <w:rsid w:val="3F20DE9C"/>
    <w:rsid w:val="3F23058E"/>
    <w:rsid w:val="3F242581"/>
    <w:rsid w:val="3F250E42"/>
    <w:rsid w:val="3F25BFA7"/>
    <w:rsid w:val="3F28B59B"/>
    <w:rsid w:val="3F291546"/>
    <w:rsid w:val="3F2A40FC"/>
    <w:rsid w:val="3F390CCD"/>
    <w:rsid w:val="3F392322"/>
    <w:rsid w:val="3F3B73FC"/>
    <w:rsid w:val="3F4346B1"/>
    <w:rsid w:val="3F443501"/>
    <w:rsid w:val="3F4F1779"/>
    <w:rsid w:val="3F4F904E"/>
    <w:rsid w:val="3F50FC77"/>
    <w:rsid w:val="3F559F01"/>
    <w:rsid w:val="3F5BAAB8"/>
    <w:rsid w:val="3F602AA7"/>
    <w:rsid w:val="3F61002B"/>
    <w:rsid w:val="3F61A81B"/>
    <w:rsid w:val="3F66397F"/>
    <w:rsid w:val="3F66B51D"/>
    <w:rsid w:val="3F686F69"/>
    <w:rsid w:val="3F695E06"/>
    <w:rsid w:val="3F6A6142"/>
    <w:rsid w:val="3F704A34"/>
    <w:rsid w:val="3F705F3D"/>
    <w:rsid w:val="3F7A26B5"/>
    <w:rsid w:val="3F85A10A"/>
    <w:rsid w:val="3F87B56E"/>
    <w:rsid w:val="3F88839C"/>
    <w:rsid w:val="3F8ED0BD"/>
    <w:rsid w:val="3F93BD37"/>
    <w:rsid w:val="3F965453"/>
    <w:rsid w:val="3F9CE61B"/>
    <w:rsid w:val="3F9D4CE2"/>
    <w:rsid w:val="3F9E4349"/>
    <w:rsid w:val="3FA0C015"/>
    <w:rsid w:val="3FA47BCB"/>
    <w:rsid w:val="3FA758E2"/>
    <w:rsid w:val="3FAAF951"/>
    <w:rsid w:val="3FAB5274"/>
    <w:rsid w:val="3FABAEE2"/>
    <w:rsid w:val="3FAE2708"/>
    <w:rsid w:val="3FB1C809"/>
    <w:rsid w:val="3FB1D3B4"/>
    <w:rsid w:val="3FB4E202"/>
    <w:rsid w:val="3FB5BE55"/>
    <w:rsid w:val="3FB60BAA"/>
    <w:rsid w:val="3FB795F5"/>
    <w:rsid w:val="3FB8A913"/>
    <w:rsid w:val="3FBC80C0"/>
    <w:rsid w:val="3FBFD4C5"/>
    <w:rsid w:val="3FBFFCC7"/>
    <w:rsid w:val="3FC04E8B"/>
    <w:rsid w:val="3FC56A5D"/>
    <w:rsid w:val="3FC7519E"/>
    <w:rsid w:val="3FCBDBDE"/>
    <w:rsid w:val="3FCC8709"/>
    <w:rsid w:val="3FCEA861"/>
    <w:rsid w:val="3FD2B119"/>
    <w:rsid w:val="3FD38A49"/>
    <w:rsid w:val="3FD4653A"/>
    <w:rsid w:val="3FD9D9A8"/>
    <w:rsid w:val="3FDC3563"/>
    <w:rsid w:val="3FDDF961"/>
    <w:rsid w:val="3FDE11D5"/>
    <w:rsid w:val="3FE16A3F"/>
    <w:rsid w:val="3FE1C751"/>
    <w:rsid w:val="3FE3262B"/>
    <w:rsid w:val="3FF4115B"/>
    <w:rsid w:val="3FFCDDC0"/>
    <w:rsid w:val="4000B903"/>
    <w:rsid w:val="4001F733"/>
    <w:rsid w:val="40026C17"/>
    <w:rsid w:val="400587AC"/>
    <w:rsid w:val="4007B5A8"/>
    <w:rsid w:val="400ABFFF"/>
    <w:rsid w:val="40131366"/>
    <w:rsid w:val="40171444"/>
    <w:rsid w:val="401A0967"/>
    <w:rsid w:val="401C0DDD"/>
    <w:rsid w:val="40205453"/>
    <w:rsid w:val="4022D221"/>
    <w:rsid w:val="40234D3A"/>
    <w:rsid w:val="40236021"/>
    <w:rsid w:val="4026DAEC"/>
    <w:rsid w:val="40319D40"/>
    <w:rsid w:val="403DEB1C"/>
    <w:rsid w:val="4040A1E0"/>
    <w:rsid w:val="4040BE95"/>
    <w:rsid w:val="404764C3"/>
    <w:rsid w:val="40548473"/>
    <w:rsid w:val="4055E72A"/>
    <w:rsid w:val="405BF19F"/>
    <w:rsid w:val="405CAAE6"/>
    <w:rsid w:val="40673524"/>
    <w:rsid w:val="406850F1"/>
    <w:rsid w:val="406DA752"/>
    <w:rsid w:val="406E89F8"/>
    <w:rsid w:val="406F5CC4"/>
    <w:rsid w:val="4071F622"/>
    <w:rsid w:val="40721C24"/>
    <w:rsid w:val="407A485F"/>
    <w:rsid w:val="4087936B"/>
    <w:rsid w:val="408A2814"/>
    <w:rsid w:val="408B06B5"/>
    <w:rsid w:val="408DCE8F"/>
    <w:rsid w:val="408F2EBC"/>
    <w:rsid w:val="408FDC7C"/>
    <w:rsid w:val="4091CA5F"/>
    <w:rsid w:val="4094B4A5"/>
    <w:rsid w:val="40988411"/>
    <w:rsid w:val="409A6923"/>
    <w:rsid w:val="40A25CE1"/>
    <w:rsid w:val="40A36B62"/>
    <w:rsid w:val="40A4114E"/>
    <w:rsid w:val="40A787A2"/>
    <w:rsid w:val="40AC12B8"/>
    <w:rsid w:val="40AED5AE"/>
    <w:rsid w:val="40B17868"/>
    <w:rsid w:val="40B46443"/>
    <w:rsid w:val="40B4BBBB"/>
    <w:rsid w:val="40BB8DB4"/>
    <w:rsid w:val="40BD27CD"/>
    <w:rsid w:val="40BEAC9B"/>
    <w:rsid w:val="40BED5EF"/>
    <w:rsid w:val="40C2E177"/>
    <w:rsid w:val="40C43565"/>
    <w:rsid w:val="40CB1F6C"/>
    <w:rsid w:val="40CD4648"/>
    <w:rsid w:val="40D09CC4"/>
    <w:rsid w:val="40D6BF1E"/>
    <w:rsid w:val="40DC71ED"/>
    <w:rsid w:val="40DDA4B7"/>
    <w:rsid w:val="40DE8636"/>
    <w:rsid w:val="40E4BDFD"/>
    <w:rsid w:val="40E5CDE7"/>
    <w:rsid w:val="40E60645"/>
    <w:rsid w:val="40E6FD9B"/>
    <w:rsid w:val="40E7AE23"/>
    <w:rsid w:val="40E88F5C"/>
    <w:rsid w:val="40E9A138"/>
    <w:rsid w:val="40EAD5FE"/>
    <w:rsid w:val="40EB60AF"/>
    <w:rsid w:val="40EB87D6"/>
    <w:rsid w:val="40FF6DBF"/>
    <w:rsid w:val="410075F7"/>
    <w:rsid w:val="41029DEE"/>
    <w:rsid w:val="41069EE3"/>
    <w:rsid w:val="4107141C"/>
    <w:rsid w:val="41083779"/>
    <w:rsid w:val="4109B3C8"/>
    <w:rsid w:val="410E2D18"/>
    <w:rsid w:val="41128973"/>
    <w:rsid w:val="4114B2D0"/>
    <w:rsid w:val="41163352"/>
    <w:rsid w:val="41163C3E"/>
    <w:rsid w:val="411A4228"/>
    <w:rsid w:val="4120F687"/>
    <w:rsid w:val="412888A9"/>
    <w:rsid w:val="4129B73D"/>
    <w:rsid w:val="41310053"/>
    <w:rsid w:val="41311648"/>
    <w:rsid w:val="41375A6C"/>
    <w:rsid w:val="413A661F"/>
    <w:rsid w:val="413C95C0"/>
    <w:rsid w:val="4141387C"/>
    <w:rsid w:val="414267E3"/>
    <w:rsid w:val="41442B57"/>
    <w:rsid w:val="4145A1B1"/>
    <w:rsid w:val="41476B1E"/>
    <w:rsid w:val="414F2CD2"/>
    <w:rsid w:val="414FFE15"/>
    <w:rsid w:val="41524EE0"/>
    <w:rsid w:val="4156070E"/>
    <w:rsid w:val="415701E2"/>
    <w:rsid w:val="415920DE"/>
    <w:rsid w:val="415CFB69"/>
    <w:rsid w:val="415DBC3E"/>
    <w:rsid w:val="415EB533"/>
    <w:rsid w:val="416015CF"/>
    <w:rsid w:val="41614ADD"/>
    <w:rsid w:val="41614C70"/>
    <w:rsid w:val="4161BC4B"/>
    <w:rsid w:val="41648F7E"/>
    <w:rsid w:val="4165BF5E"/>
    <w:rsid w:val="4166489A"/>
    <w:rsid w:val="41682BDC"/>
    <w:rsid w:val="416A3CE7"/>
    <w:rsid w:val="416D0FFD"/>
    <w:rsid w:val="416D6C35"/>
    <w:rsid w:val="416DE25F"/>
    <w:rsid w:val="4170B200"/>
    <w:rsid w:val="4172AAA9"/>
    <w:rsid w:val="4175F0E0"/>
    <w:rsid w:val="41783369"/>
    <w:rsid w:val="4178EA95"/>
    <w:rsid w:val="417CA36D"/>
    <w:rsid w:val="417CA4C2"/>
    <w:rsid w:val="417CF0BC"/>
    <w:rsid w:val="4184BDC4"/>
    <w:rsid w:val="4184C28D"/>
    <w:rsid w:val="418586A8"/>
    <w:rsid w:val="41867C13"/>
    <w:rsid w:val="4189C542"/>
    <w:rsid w:val="418F2405"/>
    <w:rsid w:val="41965708"/>
    <w:rsid w:val="419908E0"/>
    <w:rsid w:val="419A0869"/>
    <w:rsid w:val="419D6A08"/>
    <w:rsid w:val="41A65C5D"/>
    <w:rsid w:val="41A779E2"/>
    <w:rsid w:val="41A7A2CD"/>
    <w:rsid w:val="41A88F90"/>
    <w:rsid w:val="41B0AFEC"/>
    <w:rsid w:val="41B11613"/>
    <w:rsid w:val="41B11919"/>
    <w:rsid w:val="41B1DF1A"/>
    <w:rsid w:val="41B2CE65"/>
    <w:rsid w:val="41B88EDC"/>
    <w:rsid w:val="41B91BB5"/>
    <w:rsid w:val="41BAA3BB"/>
    <w:rsid w:val="41C77E73"/>
    <w:rsid w:val="41C887A4"/>
    <w:rsid w:val="41CA7AF6"/>
    <w:rsid w:val="41CB28F2"/>
    <w:rsid w:val="41D1FE61"/>
    <w:rsid w:val="41D6C2C8"/>
    <w:rsid w:val="41D6F1CA"/>
    <w:rsid w:val="41D77EE8"/>
    <w:rsid w:val="41D9958E"/>
    <w:rsid w:val="41D9BB7D"/>
    <w:rsid w:val="41DAE3F9"/>
    <w:rsid w:val="41DC5F5D"/>
    <w:rsid w:val="41DCA127"/>
    <w:rsid w:val="41DD56F3"/>
    <w:rsid w:val="41E05A5E"/>
    <w:rsid w:val="41E238CB"/>
    <w:rsid w:val="41E44BF9"/>
    <w:rsid w:val="41E4FBE2"/>
    <w:rsid w:val="41E6F61B"/>
    <w:rsid w:val="41EA4576"/>
    <w:rsid w:val="41ED1292"/>
    <w:rsid w:val="41F107CD"/>
    <w:rsid w:val="41F42650"/>
    <w:rsid w:val="41F55FD1"/>
    <w:rsid w:val="41F70486"/>
    <w:rsid w:val="41F8E5C1"/>
    <w:rsid w:val="41FFC5C2"/>
    <w:rsid w:val="4203DD5B"/>
    <w:rsid w:val="4206739C"/>
    <w:rsid w:val="4207E3B9"/>
    <w:rsid w:val="4209AABA"/>
    <w:rsid w:val="420BA319"/>
    <w:rsid w:val="42131550"/>
    <w:rsid w:val="4215FEAA"/>
    <w:rsid w:val="4218998E"/>
    <w:rsid w:val="421B1359"/>
    <w:rsid w:val="421F0C48"/>
    <w:rsid w:val="4224FD18"/>
    <w:rsid w:val="4226A6B4"/>
    <w:rsid w:val="4226E0E4"/>
    <w:rsid w:val="422AEC7E"/>
    <w:rsid w:val="42383F70"/>
    <w:rsid w:val="4238EA8A"/>
    <w:rsid w:val="4239EAEC"/>
    <w:rsid w:val="423B092A"/>
    <w:rsid w:val="423C4346"/>
    <w:rsid w:val="423D2DB6"/>
    <w:rsid w:val="423E2D42"/>
    <w:rsid w:val="42446A72"/>
    <w:rsid w:val="4244B23A"/>
    <w:rsid w:val="424830CC"/>
    <w:rsid w:val="424C0730"/>
    <w:rsid w:val="4250DAFC"/>
    <w:rsid w:val="42544795"/>
    <w:rsid w:val="4258ED81"/>
    <w:rsid w:val="425CB305"/>
    <w:rsid w:val="4263CD19"/>
    <w:rsid w:val="4264C494"/>
    <w:rsid w:val="42687E1B"/>
    <w:rsid w:val="42689B33"/>
    <w:rsid w:val="4268A744"/>
    <w:rsid w:val="426994EB"/>
    <w:rsid w:val="426B2F27"/>
    <w:rsid w:val="426BF8C8"/>
    <w:rsid w:val="426D39DC"/>
    <w:rsid w:val="426E44A0"/>
    <w:rsid w:val="426E5E01"/>
    <w:rsid w:val="4272335C"/>
    <w:rsid w:val="42779ED0"/>
    <w:rsid w:val="42782CAB"/>
    <w:rsid w:val="42786115"/>
    <w:rsid w:val="427ED4F0"/>
    <w:rsid w:val="42859F32"/>
    <w:rsid w:val="42863DA4"/>
    <w:rsid w:val="428845F2"/>
    <w:rsid w:val="42911850"/>
    <w:rsid w:val="42957F25"/>
    <w:rsid w:val="4295CF40"/>
    <w:rsid w:val="429A6C74"/>
    <w:rsid w:val="429AA652"/>
    <w:rsid w:val="429E55DF"/>
    <w:rsid w:val="429E869F"/>
    <w:rsid w:val="429F4DB4"/>
    <w:rsid w:val="42A92EC5"/>
    <w:rsid w:val="42AA29CC"/>
    <w:rsid w:val="42AC69D9"/>
    <w:rsid w:val="42AD16AE"/>
    <w:rsid w:val="42B17A92"/>
    <w:rsid w:val="42B9EDB5"/>
    <w:rsid w:val="42BA678C"/>
    <w:rsid w:val="42BA8140"/>
    <w:rsid w:val="42BAEE28"/>
    <w:rsid w:val="42BB64A3"/>
    <w:rsid w:val="42BC8D9F"/>
    <w:rsid w:val="42BD3709"/>
    <w:rsid w:val="42C51206"/>
    <w:rsid w:val="42C580A4"/>
    <w:rsid w:val="42C5879E"/>
    <w:rsid w:val="42C78C24"/>
    <w:rsid w:val="42CC4A3C"/>
    <w:rsid w:val="42D23E00"/>
    <w:rsid w:val="42D69ED2"/>
    <w:rsid w:val="42D8435B"/>
    <w:rsid w:val="42DC5B0D"/>
    <w:rsid w:val="42E0BA47"/>
    <w:rsid w:val="42E3DAB2"/>
    <w:rsid w:val="42E9C767"/>
    <w:rsid w:val="42EA9C88"/>
    <w:rsid w:val="42EB0B59"/>
    <w:rsid w:val="42EF02D9"/>
    <w:rsid w:val="42EFF087"/>
    <w:rsid w:val="42F82E52"/>
    <w:rsid w:val="42F85C76"/>
    <w:rsid w:val="4300866A"/>
    <w:rsid w:val="430449E4"/>
    <w:rsid w:val="4307BC7A"/>
    <w:rsid w:val="4308E05E"/>
    <w:rsid w:val="430B61D2"/>
    <w:rsid w:val="430BBC0B"/>
    <w:rsid w:val="430BDB25"/>
    <w:rsid w:val="43157C29"/>
    <w:rsid w:val="43194E0B"/>
    <w:rsid w:val="431F01A8"/>
    <w:rsid w:val="43232C18"/>
    <w:rsid w:val="432340BC"/>
    <w:rsid w:val="43287D82"/>
    <w:rsid w:val="432D3131"/>
    <w:rsid w:val="432E10B0"/>
    <w:rsid w:val="432E6999"/>
    <w:rsid w:val="4332F25C"/>
    <w:rsid w:val="433A00FF"/>
    <w:rsid w:val="433AB8B8"/>
    <w:rsid w:val="433CDDEE"/>
    <w:rsid w:val="433D7187"/>
    <w:rsid w:val="4341FA2C"/>
    <w:rsid w:val="43431B16"/>
    <w:rsid w:val="43441605"/>
    <w:rsid w:val="43477FEC"/>
    <w:rsid w:val="4348644D"/>
    <w:rsid w:val="434AF219"/>
    <w:rsid w:val="434D7B25"/>
    <w:rsid w:val="434DCF41"/>
    <w:rsid w:val="43513B8E"/>
    <w:rsid w:val="4352E72A"/>
    <w:rsid w:val="43595C0A"/>
    <w:rsid w:val="435EB15D"/>
    <w:rsid w:val="435F9926"/>
    <w:rsid w:val="436262E9"/>
    <w:rsid w:val="4362B0AB"/>
    <w:rsid w:val="4363D0F2"/>
    <w:rsid w:val="4365A4AA"/>
    <w:rsid w:val="4366DE01"/>
    <w:rsid w:val="436EE151"/>
    <w:rsid w:val="436FC0C4"/>
    <w:rsid w:val="4377D239"/>
    <w:rsid w:val="43815D68"/>
    <w:rsid w:val="438EF9BE"/>
    <w:rsid w:val="439300C8"/>
    <w:rsid w:val="4397CACD"/>
    <w:rsid w:val="4398E3AA"/>
    <w:rsid w:val="439B2209"/>
    <w:rsid w:val="43A2FD73"/>
    <w:rsid w:val="43A362BA"/>
    <w:rsid w:val="43A38ED3"/>
    <w:rsid w:val="43A47F2C"/>
    <w:rsid w:val="43A4EFDD"/>
    <w:rsid w:val="43B2B135"/>
    <w:rsid w:val="43B3FE78"/>
    <w:rsid w:val="43B4799E"/>
    <w:rsid w:val="43B5EF1E"/>
    <w:rsid w:val="43BC3809"/>
    <w:rsid w:val="43BDE592"/>
    <w:rsid w:val="43C00165"/>
    <w:rsid w:val="43C3E8BE"/>
    <w:rsid w:val="43C6B832"/>
    <w:rsid w:val="43C804B4"/>
    <w:rsid w:val="43CA4191"/>
    <w:rsid w:val="43CCD7B2"/>
    <w:rsid w:val="43D0A997"/>
    <w:rsid w:val="43D31BA9"/>
    <w:rsid w:val="43D3A4D6"/>
    <w:rsid w:val="43D40FD1"/>
    <w:rsid w:val="43D48473"/>
    <w:rsid w:val="43D55E73"/>
    <w:rsid w:val="43E23856"/>
    <w:rsid w:val="43E776F2"/>
    <w:rsid w:val="43E9B6E9"/>
    <w:rsid w:val="43E9E1F2"/>
    <w:rsid w:val="43F145AE"/>
    <w:rsid w:val="43F18EF9"/>
    <w:rsid w:val="43F1B10F"/>
    <w:rsid w:val="43F6142B"/>
    <w:rsid w:val="43F7CC1A"/>
    <w:rsid w:val="43F8867F"/>
    <w:rsid w:val="43FA87B8"/>
    <w:rsid w:val="43FA8A9E"/>
    <w:rsid w:val="43FAD8C4"/>
    <w:rsid w:val="43FCEC81"/>
    <w:rsid w:val="4401B7CA"/>
    <w:rsid w:val="44044177"/>
    <w:rsid w:val="4404E70A"/>
    <w:rsid w:val="440501EA"/>
    <w:rsid w:val="4405F6D6"/>
    <w:rsid w:val="44077BC3"/>
    <w:rsid w:val="4408D085"/>
    <w:rsid w:val="440C57D0"/>
    <w:rsid w:val="440E2189"/>
    <w:rsid w:val="440E8227"/>
    <w:rsid w:val="440F2484"/>
    <w:rsid w:val="440FB173"/>
    <w:rsid w:val="4410AC80"/>
    <w:rsid w:val="4412B061"/>
    <w:rsid w:val="44148C07"/>
    <w:rsid w:val="44162996"/>
    <w:rsid w:val="4418F0E3"/>
    <w:rsid w:val="441AD625"/>
    <w:rsid w:val="441ED618"/>
    <w:rsid w:val="441F75E0"/>
    <w:rsid w:val="441FB7EA"/>
    <w:rsid w:val="442071BB"/>
    <w:rsid w:val="44210C04"/>
    <w:rsid w:val="44235FB8"/>
    <w:rsid w:val="44267D8D"/>
    <w:rsid w:val="442AA2F5"/>
    <w:rsid w:val="442BB829"/>
    <w:rsid w:val="442C7840"/>
    <w:rsid w:val="442EA9EC"/>
    <w:rsid w:val="44323648"/>
    <w:rsid w:val="4432F175"/>
    <w:rsid w:val="4434504F"/>
    <w:rsid w:val="4434636F"/>
    <w:rsid w:val="44386861"/>
    <w:rsid w:val="443B8996"/>
    <w:rsid w:val="443C899D"/>
    <w:rsid w:val="443E4E8C"/>
    <w:rsid w:val="44407145"/>
    <w:rsid w:val="44423E7E"/>
    <w:rsid w:val="444E6933"/>
    <w:rsid w:val="444EF695"/>
    <w:rsid w:val="444F0D3C"/>
    <w:rsid w:val="44524F8D"/>
    <w:rsid w:val="44533659"/>
    <w:rsid w:val="445637ED"/>
    <w:rsid w:val="4456D5D5"/>
    <w:rsid w:val="445719F6"/>
    <w:rsid w:val="44592846"/>
    <w:rsid w:val="445E5037"/>
    <w:rsid w:val="445EDF9E"/>
    <w:rsid w:val="4461241D"/>
    <w:rsid w:val="44616EA5"/>
    <w:rsid w:val="44636C46"/>
    <w:rsid w:val="44654BC1"/>
    <w:rsid w:val="446851B7"/>
    <w:rsid w:val="446A0327"/>
    <w:rsid w:val="446B38B7"/>
    <w:rsid w:val="446E8A1D"/>
    <w:rsid w:val="446EE63E"/>
    <w:rsid w:val="447176B3"/>
    <w:rsid w:val="4474ACFC"/>
    <w:rsid w:val="447504DA"/>
    <w:rsid w:val="44750E00"/>
    <w:rsid w:val="447E2D5B"/>
    <w:rsid w:val="447E88E1"/>
    <w:rsid w:val="447F47E4"/>
    <w:rsid w:val="447FBEFB"/>
    <w:rsid w:val="4483B9F2"/>
    <w:rsid w:val="44843C12"/>
    <w:rsid w:val="4484A9AF"/>
    <w:rsid w:val="448603A3"/>
    <w:rsid w:val="4489EE5E"/>
    <w:rsid w:val="448A3262"/>
    <w:rsid w:val="448C7002"/>
    <w:rsid w:val="448FAE76"/>
    <w:rsid w:val="4490994A"/>
    <w:rsid w:val="44915DEB"/>
    <w:rsid w:val="4492F12C"/>
    <w:rsid w:val="44934924"/>
    <w:rsid w:val="44942CD7"/>
    <w:rsid w:val="4495272F"/>
    <w:rsid w:val="44958C56"/>
    <w:rsid w:val="44981166"/>
    <w:rsid w:val="44985FBB"/>
    <w:rsid w:val="4498A8BB"/>
    <w:rsid w:val="449A954C"/>
    <w:rsid w:val="44A22603"/>
    <w:rsid w:val="44A24064"/>
    <w:rsid w:val="44A409DF"/>
    <w:rsid w:val="44AC1CCC"/>
    <w:rsid w:val="44AC6E45"/>
    <w:rsid w:val="44B11331"/>
    <w:rsid w:val="44B1B962"/>
    <w:rsid w:val="44B3AF78"/>
    <w:rsid w:val="44B51E6C"/>
    <w:rsid w:val="44B8E3FD"/>
    <w:rsid w:val="44BBF1C5"/>
    <w:rsid w:val="44BE4E10"/>
    <w:rsid w:val="44BE6FD2"/>
    <w:rsid w:val="44BEFCBF"/>
    <w:rsid w:val="44C848DE"/>
    <w:rsid w:val="44CA66B9"/>
    <w:rsid w:val="44CAF6AC"/>
    <w:rsid w:val="44CBA281"/>
    <w:rsid w:val="44CBBE95"/>
    <w:rsid w:val="44CCF98B"/>
    <w:rsid w:val="44D17378"/>
    <w:rsid w:val="44D68919"/>
    <w:rsid w:val="44DC6F43"/>
    <w:rsid w:val="44E0003E"/>
    <w:rsid w:val="44E06E0A"/>
    <w:rsid w:val="44E3F4B4"/>
    <w:rsid w:val="44EA8446"/>
    <w:rsid w:val="44EE6F7B"/>
    <w:rsid w:val="44F2A8BC"/>
    <w:rsid w:val="44F71AAA"/>
    <w:rsid w:val="44F9274A"/>
    <w:rsid w:val="44F9B1E9"/>
    <w:rsid w:val="44FA43A3"/>
    <w:rsid w:val="450029FE"/>
    <w:rsid w:val="45050AB3"/>
    <w:rsid w:val="450AD577"/>
    <w:rsid w:val="450BB32E"/>
    <w:rsid w:val="450DB864"/>
    <w:rsid w:val="450F43D3"/>
    <w:rsid w:val="451036E5"/>
    <w:rsid w:val="4512EBA0"/>
    <w:rsid w:val="4516DBB7"/>
    <w:rsid w:val="451774D3"/>
    <w:rsid w:val="4518F9A9"/>
    <w:rsid w:val="451DBB8C"/>
    <w:rsid w:val="45204643"/>
    <w:rsid w:val="45225768"/>
    <w:rsid w:val="4522A752"/>
    <w:rsid w:val="45238B58"/>
    <w:rsid w:val="4528C0A7"/>
    <w:rsid w:val="452BDEFC"/>
    <w:rsid w:val="452DA3BB"/>
    <w:rsid w:val="452F6128"/>
    <w:rsid w:val="45376684"/>
    <w:rsid w:val="45398AC0"/>
    <w:rsid w:val="4539CE56"/>
    <w:rsid w:val="4539D026"/>
    <w:rsid w:val="4539DAB4"/>
    <w:rsid w:val="453BCE3A"/>
    <w:rsid w:val="453DEE42"/>
    <w:rsid w:val="45473AD5"/>
    <w:rsid w:val="4549174D"/>
    <w:rsid w:val="4549DBDF"/>
    <w:rsid w:val="454F37B8"/>
    <w:rsid w:val="45519B0E"/>
    <w:rsid w:val="45559F10"/>
    <w:rsid w:val="4557874B"/>
    <w:rsid w:val="45581CB6"/>
    <w:rsid w:val="455A88B3"/>
    <w:rsid w:val="455CE88A"/>
    <w:rsid w:val="455FF8A3"/>
    <w:rsid w:val="4560C0E3"/>
    <w:rsid w:val="4562A0A0"/>
    <w:rsid w:val="4563B780"/>
    <w:rsid w:val="4563DF22"/>
    <w:rsid w:val="45643CA8"/>
    <w:rsid w:val="45666C78"/>
    <w:rsid w:val="456B7A1A"/>
    <w:rsid w:val="45716D35"/>
    <w:rsid w:val="4572FA51"/>
    <w:rsid w:val="457382EC"/>
    <w:rsid w:val="4576D9B4"/>
    <w:rsid w:val="45772161"/>
    <w:rsid w:val="45790918"/>
    <w:rsid w:val="457B4DCA"/>
    <w:rsid w:val="457B57BA"/>
    <w:rsid w:val="457CE1AE"/>
    <w:rsid w:val="457E4967"/>
    <w:rsid w:val="457F7EA0"/>
    <w:rsid w:val="4582CE6D"/>
    <w:rsid w:val="45845D8C"/>
    <w:rsid w:val="4586BC48"/>
    <w:rsid w:val="4588E142"/>
    <w:rsid w:val="458A3D02"/>
    <w:rsid w:val="458C87A7"/>
    <w:rsid w:val="4594C653"/>
    <w:rsid w:val="4595E957"/>
    <w:rsid w:val="4598F430"/>
    <w:rsid w:val="4599023A"/>
    <w:rsid w:val="459C0A3B"/>
    <w:rsid w:val="459C5C24"/>
    <w:rsid w:val="45A0B76B"/>
    <w:rsid w:val="45A16959"/>
    <w:rsid w:val="45A7A7A6"/>
    <w:rsid w:val="45A8C780"/>
    <w:rsid w:val="45AC422F"/>
    <w:rsid w:val="45B87D19"/>
    <w:rsid w:val="45B8C884"/>
    <w:rsid w:val="45C050CA"/>
    <w:rsid w:val="45C2803F"/>
    <w:rsid w:val="45C4E694"/>
    <w:rsid w:val="45C50C52"/>
    <w:rsid w:val="45C70A86"/>
    <w:rsid w:val="45CA6E51"/>
    <w:rsid w:val="45CB6058"/>
    <w:rsid w:val="45CC9B72"/>
    <w:rsid w:val="45CD4C81"/>
    <w:rsid w:val="45CD57E2"/>
    <w:rsid w:val="45CED650"/>
    <w:rsid w:val="45D178D2"/>
    <w:rsid w:val="45D2568F"/>
    <w:rsid w:val="45D6EEB7"/>
    <w:rsid w:val="45E38CC3"/>
    <w:rsid w:val="45E7E93D"/>
    <w:rsid w:val="45E9C6B5"/>
    <w:rsid w:val="45F1CD5C"/>
    <w:rsid w:val="45F83D52"/>
    <w:rsid w:val="45F8BBDF"/>
    <w:rsid w:val="45FA4B71"/>
    <w:rsid w:val="45FBD084"/>
    <w:rsid w:val="46018C68"/>
    <w:rsid w:val="4602178C"/>
    <w:rsid w:val="4602CCD9"/>
    <w:rsid w:val="4604351B"/>
    <w:rsid w:val="4604A245"/>
    <w:rsid w:val="46057C68"/>
    <w:rsid w:val="460FF1A5"/>
    <w:rsid w:val="46164199"/>
    <w:rsid w:val="461DF9FB"/>
    <w:rsid w:val="461E3F68"/>
    <w:rsid w:val="4620FEC6"/>
    <w:rsid w:val="46216829"/>
    <w:rsid w:val="46275B0B"/>
    <w:rsid w:val="462933BD"/>
    <w:rsid w:val="4629B8A6"/>
    <w:rsid w:val="462F4A53"/>
    <w:rsid w:val="46313F3C"/>
    <w:rsid w:val="46351D54"/>
    <w:rsid w:val="4635D915"/>
    <w:rsid w:val="46382FA9"/>
    <w:rsid w:val="463A5BF2"/>
    <w:rsid w:val="463A7CA0"/>
    <w:rsid w:val="463AC08D"/>
    <w:rsid w:val="463AE4DA"/>
    <w:rsid w:val="46405E35"/>
    <w:rsid w:val="464222A2"/>
    <w:rsid w:val="46443364"/>
    <w:rsid w:val="4645278D"/>
    <w:rsid w:val="46466479"/>
    <w:rsid w:val="4648A87F"/>
    <w:rsid w:val="464B84E4"/>
    <w:rsid w:val="464E0BA6"/>
    <w:rsid w:val="46561EF8"/>
    <w:rsid w:val="4658BD18"/>
    <w:rsid w:val="4658E94A"/>
    <w:rsid w:val="4659FFB0"/>
    <w:rsid w:val="465CAC07"/>
    <w:rsid w:val="4661ED36"/>
    <w:rsid w:val="4662A668"/>
    <w:rsid w:val="466A1C73"/>
    <w:rsid w:val="466C5D80"/>
    <w:rsid w:val="466CC8F2"/>
    <w:rsid w:val="466E2368"/>
    <w:rsid w:val="466E50AE"/>
    <w:rsid w:val="4677E257"/>
    <w:rsid w:val="4678754B"/>
    <w:rsid w:val="467B2D0B"/>
    <w:rsid w:val="467BA298"/>
    <w:rsid w:val="467BEF2B"/>
    <w:rsid w:val="467D3305"/>
    <w:rsid w:val="467D6D52"/>
    <w:rsid w:val="4680FC18"/>
    <w:rsid w:val="4685230D"/>
    <w:rsid w:val="468609CB"/>
    <w:rsid w:val="46882F90"/>
    <w:rsid w:val="468B897A"/>
    <w:rsid w:val="468DDE67"/>
    <w:rsid w:val="469092EC"/>
    <w:rsid w:val="4691E384"/>
    <w:rsid w:val="46920716"/>
    <w:rsid w:val="4692A1A5"/>
    <w:rsid w:val="46951DEA"/>
    <w:rsid w:val="469B1EF5"/>
    <w:rsid w:val="469BE87D"/>
    <w:rsid w:val="469EF6AE"/>
    <w:rsid w:val="469F88AD"/>
    <w:rsid w:val="46A1D785"/>
    <w:rsid w:val="46A66138"/>
    <w:rsid w:val="46A6E55C"/>
    <w:rsid w:val="46B279A5"/>
    <w:rsid w:val="46B3FAC1"/>
    <w:rsid w:val="46B43B5F"/>
    <w:rsid w:val="46B81C1E"/>
    <w:rsid w:val="46BA3909"/>
    <w:rsid w:val="46C4096B"/>
    <w:rsid w:val="46C78A52"/>
    <w:rsid w:val="46C7D2CF"/>
    <w:rsid w:val="46C9A8C3"/>
    <w:rsid w:val="46CB3323"/>
    <w:rsid w:val="46CDBE11"/>
    <w:rsid w:val="46CF83D7"/>
    <w:rsid w:val="46D0F2C4"/>
    <w:rsid w:val="46D19730"/>
    <w:rsid w:val="46D45C9E"/>
    <w:rsid w:val="46E02C09"/>
    <w:rsid w:val="46EABE9B"/>
    <w:rsid w:val="46EC315D"/>
    <w:rsid w:val="46EDDCE5"/>
    <w:rsid w:val="46F565E7"/>
    <w:rsid w:val="46FC8409"/>
    <w:rsid w:val="470384DA"/>
    <w:rsid w:val="47049027"/>
    <w:rsid w:val="4706A0BE"/>
    <w:rsid w:val="4706C6CA"/>
    <w:rsid w:val="4709B0DF"/>
    <w:rsid w:val="470CA818"/>
    <w:rsid w:val="470E0523"/>
    <w:rsid w:val="471EA967"/>
    <w:rsid w:val="471EC36E"/>
    <w:rsid w:val="471FBEC2"/>
    <w:rsid w:val="47203E97"/>
    <w:rsid w:val="472102CD"/>
    <w:rsid w:val="4722FAA3"/>
    <w:rsid w:val="47237A02"/>
    <w:rsid w:val="472B9D8C"/>
    <w:rsid w:val="472C18CE"/>
    <w:rsid w:val="472E1773"/>
    <w:rsid w:val="472FBEDD"/>
    <w:rsid w:val="4732FF3F"/>
    <w:rsid w:val="473319CF"/>
    <w:rsid w:val="4735632B"/>
    <w:rsid w:val="4736AD8F"/>
    <w:rsid w:val="47370F46"/>
    <w:rsid w:val="473724EC"/>
    <w:rsid w:val="473B8A8F"/>
    <w:rsid w:val="473D1750"/>
    <w:rsid w:val="473FFC0E"/>
    <w:rsid w:val="474FAC16"/>
    <w:rsid w:val="4751116B"/>
    <w:rsid w:val="4751239A"/>
    <w:rsid w:val="4758F1EF"/>
    <w:rsid w:val="475A3D80"/>
    <w:rsid w:val="475B4ED7"/>
    <w:rsid w:val="475DD277"/>
    <w:rsid w:val="4765B7F8"/>
    <w:rsid w:val="4771C702"/>
    <w:rsid w:val="477FB248"/>
    <w:rsid w:val="477FE2FF"/>
    <w:rsid w:val="478641C8"/>
    <w:rsid w:val="4787BCD5"/>
    <w:rsid w:val="478F14BA"/>
    <w:rsid w:val="4798B37E"/>
    <w:rsid w:val="4799260D"/>
    <w:rsid w:val="479943AC"/>
    <w:rsid w:val="479A0486"/>
    <w:rsid w:val="479A939A"/>
    <w:rsid w:val="479E2D36"/>
    <w:rsid w:val="47A12425"/>
    <w:rsid w:val="47AB069D"/>
    <w:rsid w:val="47AB0C32"/>
    <w:rsid w:val="47AFBF56"/>
    <w:rsid w:val="47B2619B"/>
    <w:rsid w:val="47B9E0D1"/>
    <w:rsid w:val="47C59015"/>
    <w:rsid w:val="47CC44FE"/>
    <w:rsid w:val="47CD92C3"/>
    <w:rsid w:val="47CE1DBC"/>
    <w:rsid w:val="47D1D4E2"/>
    <w:rsid w:val="47D768E5"/>
    <w:rsid w:val="47D86C01"/>
    <w:rsid w:val="47DB7D7C"/>
    <w:rsid w:val="47DF80F9"/>
    <w:rsid w:val="47E0E72A"/>
    <w:rsid w:val="47E2288C"/>
    <w:rsid w:val="47E2BEBE"/>
    <w:rsid w:val="47E3C32B"/>
    <w:rsid w:val="47E6AEB6"/>
    <w:rsid w:val="47E9D5B1"/>
    <w:rsid w:val="47F48E0D"/>
    <w:rsid w:val="47F4ACB4"/>
    <w:rsid w:val="47F4FD4B"/>
    <w:rsid w:val="47F601CE"/>
    <w:rsid w:val="47F84A5A"/>
    <w:rsid w:val="47F8E88C"/>
    <w:rsid w:val="47FDBF12"/>
    <w:rsid w:val="47FE0C81"/>
    <w:rsid w:val="48010089"/>
    <w:rsid w:val="48039060"/>
    <w:rsid w:val="48064EA9"/>
    <w:rsid w:val="480703E7"/>
    <w:rsid w:val="480DA1E3"/>
    <w:rsid w:val="480E57C6"/>
    <w:rsid w:val="4811A4C7"/>
    <w:rsid w:val="4813CD0D"/>
    <w:rsid w:val="481B4B5E"/>
    <w:rsid w:val="481D80CF"/>
    <w:rsid w:val="48205206"/>
    <w:rsid w:val="48285D39"/>
    <w:rsid w:val="48297F8B"/>
    <w:rsid w:val="482CFAB9"/>
    <w:rsid w:val="4830C9AB"/>
    <w:rsid w:val="48357472"/>
    <w:rsid w:val="484166A7"/>
    <w:rsid w:val="4848C863"/>
    <w:rsid w:val="484BB33A"/>
    <w:rsid w:val="484D358C"/>
    <w:rsid w:val="48532C15"/>
    <w:rsid w:val="4855E2B5"/>
    <w:rsid w:val="48581F5D"/>
    <w:rsid w:val="4858C7B5"/>
    <w:rsid w:val="4861A871"/>
    <w:rsid w:val="4862458D"/>
    <w:rsid w:val="4864363C"/>
    <w:rsid w:val="4866CC1B"/>
    <w:rsid w:val="48696701"/>
    <w:rsid w:val="486CA1E4"/>
    <w:rsid w:val="486E52D8"/>
    <w:rsid w:val="486EFE21"/>
    <w:rsid w:val="486FB777"/>
    <w:rsid w:val="4870E81A"/>
    <w:rsid w:val="4871B50F"/>
    <w:rsid w:val="4874341A"/>
    <w:rsid w:val="48765C0C"/>
    <w:rsid w:val="4876A96C"/>
    <w:rsid w:val="4878AD81"/>
    <w:rsid w:val="487A3721"/>
    <w:rsid w:val="487A78A4"/>
    <w:rsid w:val="487AE886"/>
    <w:rsid w:val="487B41EF"/>
    <w:rsid w:val="487B703F"/>
    <w:rsid w:val="487DDF9D"/>
    <w:rsid w:val="487F024C"/>
    <w:rsid w:val="487FE0F3"/>
    <w:rsid w:val="4887A693"/>
    <w:rsid w:val="488B66DD"/>
    <w:rsid w:val="488CE900"/>
    <w:rsid w:val="488DB43F"/>
    <w:rsid w:val="488ECF56"/>
    <w:rsid w:val="488FABF6"/>
    <w:rsid w:val="489645B9"/>
    <w:rsid w:val="48966AD3"/>
    <w:rsid w:val="489AC062"/>
    <w:rsid w:val="489C73D7"/>
    <w:rsid w:val="489C9526"/>
    <w:rsid w:val="48A58140"/>
    <w:rsid w:val="48AB8553"/>
    <w:rsid w:val="48AD9AB3"/>
    <w:rsid w:val="48B67FA9"/>
    <w:rsid w:val="48B6C50D"/>
    <w:rsid w:val="48B7C22D"/>
    <w:rsid w:val="48B8F204"/>
    <w:rsid w:val="48C03259"/>
    <w:rsid w:val="48C0BC6D"/>
    <w:rsid w:val="48C7F41F"/>
    <w:rsid w:val="48C86AD2"/>
    <w:rsid w:val="48CC0F60"/>
    <w:rsid w:val="48D7F17D"/>
    <w:rsid w:val="48D8698E"/>
    <w:rsid w:val="48D87E72"/>
    <w:rsid w:val="48DB5023"/>
    <w:rsid w:val="48DC11AB"/>
    <w:rsid w:val="48DDEC0F"/>
    <w:rsid w:val="48E03636"/>
    <w:rsid w:val="48E0964A"/>
    <w:rsid w:val="48E41DA3"/>
    <w:rsid w:val="48E774D9"/>
    <w:rsid w:val="48F02215"/>
    <w:rsid w:val="48F13AF7"/>
    <w:rsid w:val="48F46BC1"/>
    <w:rsid w:val="48F88E8D"/>
    <w:rsid w:val="48FA8756"/>
    <w:rsid w:val="48FC9F8F"/>
    <w:rsid w:val="48FCBF9E"/>
    <w:rsid w:val="48FEDE63"/>
    <w:rsid w:val="49017210"/>
    <w:rsid w:val="490331D1"/>
    <w:rsid w:val="49038A8F"/>
    <w:rsid w:val="4907C66B"/>
    <w:rsid w:val="490F7B6E"/>
    <w:rsid w:val="4911301B"/>
    <w:rsid w:val="49118A80"/>
    <w:rsid w:val="491280C0"/>
    <w:rsid w:val="4925D4F5"/>
    <w:rsid w:val="4932E2E1"/>
    <w:rsid w:val="4935E3F9"/>
    <w:rsid w:val="4936DD2A"/>
    <w:rsid w:val="49373C3C"/>
    <w:rsid w:val="493740D4"/>
    <w:rsid w:val="4937B69A"/>
    <w:rsid w:val="49392923"/>
    <w:rsid w:val="493F2E1E"/>
    <w:rsid w:val="493FE08E"/>
    <w:rsid w:val="49407221"/>
    <w:rsid w:val="4940AEE3"/>
    <w:rsid w:val="4941CBEC"/>
    <w:rsid w:val="49429575"/>
    <w:rsid w:val="494303B3"/>
    <w:rsid w:val="494360A4"/>
    <w:rsid w:val="49446E7E"/>
    <w:rsid w:val="494609AE"/>
    <w:rsid w:val="4947E0D8"/>
    <w:rsid w:val="4949CF60"/>
    <w:rsid w:val="494B30F3"/>
    <w:rsid w:val="494C6637"/>
    <w:rsid w:val="4956BCC3"/>
    <w:rsid w:val="495E9941"/>
    <w:rsid w:val="495E99C7"/>
    <w:rsid w:val="495F320B"/>
    <w:rsid w:val="495FD95D"/>
    <w:rsid w:val="4960124A"/>
    <w:rsid w:val="49609F22"/>
    <w:rsid w:val="4965F1C5"/>
    <w:rsid w:val="49672EE6"/>
    <w:rsid w:val="496C298D"/>
    <w:rsid w:val="496FC7EE"/>
    <w:rsid w:val="496FD06B"/>
    <w:rsid w:val="49747348"/>
    <w:rsid w:val="49755E95"/>
    <w:rsid w:val="497821E2"/>
    <w:rsid w:val="4978BAD4"/>
    <w:rsid w:val="4978E0A3"/>
    <w:rsid w:val="497F7AF8"/>
    <w:rsid w:val="49864933"/>
    <w:rsid w:val="498D2373"/>
    <w:rsid w:val="4990140F"/>
    <w:rsid w:val="49911A3F"/>
    <w:rsid w:val="4991896C"/>
    <w:rsid w:val="4991A072"/>
    <w:rsid w:val="4994EEBC"/>
    <w:rsid w:val="4995BB3E"/>
    <w:rsid w:val="4997506E"/>
    <w:rsid w:val="499BE786"/>
    <w:rsid w:val="499D0E27"/>
    <w:rsid w:val="499EABC6"/>
    <w:rsid w:val="49A128C4"/>
    <w:rsid w:val="49A5D86F"/>
    <w:rsid w:val="49A8FE1C"/>
    <w:rsid w:val="49ACA7A0"/>
    <w:rsid w:val="49B01DED"/>
    <w:rsid w:val="49B0336B"/>
    <w:rsid w:val="49B1E923"/>
    <w:rsid w:val="49B4BAFD"/>
    <w:rsid w:val="49B9AC55"/>
    <w:rsid w:val="49BA161B"/>
    <w:rsid w:val="49BE8D21"/>
    <w:rsid w:val="49C08502"/>
    <w:rsid w:val="49C707BC"/>
    <w:rsid w:val="49C920FF"/>
    <w:rsid w:val="49D3402E"/>
    <w:rsid w:val="49D7F1F5"/>
    <w:rsid w:val="49D89148"/>
    <w:rsid w:val="49D987DA"/>
    <w:rsid w:val="49DE07B0"/>
    <w:rsid w:val="49E09459"/>
    <w:rsid w:val="49E342A6"/>
    <w:rsid w:val="49E3B42A"/>
    <w:rsid w:val="49E4CD62"/>
    <w:rsid w:val="49E4E5F6"/>
    <w:rsid w:val="49E84F68"/>
    <w:rsid w:val="49EA2E24"/>
    <w:rsid w:val="49EBA164"/>
    <w:rsid w:val="49EBCDF8"/>
    <w:rsid w:val="49EDA2EB"/>
    <w:rsid w:val="49F1AF58"/>
    <w:rsid w:val="49F2F815"/>
    <w:rsid w:val="49F411A6"/>
    <w:rsid w:val="49F85D24"/>
    <w:rsid w:val="49F90469"/>
    <w:rsid w:val="49FC19B2"/>
    <w:rsid w:val="49FE32E5"/>
    <w:rsid w:val="49FFB4A5"/>
    <w:rsid w:val="4A007E1C"/>
    <w:rsid w:val="4A03F417"/>
    <w:rsid w:val="4A03F933"/>
    <w:rsid w:val="4A0ADF02"/>
    <w:rsid w:val="4A10EAE2"/>
    <w:rsid w:val="4A18F8E9"/>
    <w:rsid w:val="4A1DCBBE"/>
    <w:rsid w:val="4A1EA66D"/>
    <w:rsid w:val="4A1EEDDF"/>
    <w:rsid w:val="4A2268B2"/>
    <w:rsid w:val="4A241534"/>
    <w:rsid w:val="4A2542D5"/>
    <w:rsid w:val="4A27EF8E"/>
    <w:rsid w:val="4A2B25C8"/>
    <w:rsid w:val="4A2C34B0"/>
    <w:rsid w:val="4A2D4B15"/>
    <w:rsid w:val="4A2DBB54"/>
    <w:rsid w:val="4A2E36FB"/>
    <w:rsid w:val="4A30CC64"/>
    <w:rsid w:val="4A33D80E"/>
    <w:rsid w:val="4A354707"/>
    <w:rsid w:val="4A3653FA"/>
    <w:rsid w:val="4A379845"/>
    <w:rsid w:val="4A380FB9"/>
    <w:rsid w:val="4A3A4B0A"/>
    <w:rsid w:val="4A423890"/>
    <w:rsid w:val="4A4AB72A"/>
    <w:rsid w:val="4A4D006B"/>
    <w:rsid w:val="4A52A963"/>
    <w:rsid w:val="4A52D9D4"/>
    <w:rsid w:val="4A54435F"/>
    <w:rsid w:val="4A55B8B0"/>
    <w:rsid w:val="4A5A5154"/>
    <w:rsid w:val="4A5C2417"/>
    <w:rsid w:val="4A5D4261"/>
    <w:rsid w:val="4A600F96"/>
    <w:rsid w:val="4A6051E3"/>
    <w:rsid w:val="4A631F2E"/>
    <w:rsid w:val="4A64B3C8"/>
    <w:rsid w:val="4A679A1E"/>
    <w:rsid w:val="4A67B325"/>
    <w:rsid w:val="4A68E9C3"/>
    <w:rsid w:val="4A6B6842"/>
    <w:rsid w:val="4A6D36A9"/>
    <w:rsid w:val="4A6D6A37"/>
    <w:rsid w:val="4A6FCD47"/>
    <w:rsid w:val="4A735A3E"/>
    <w:rsid w:val="4A78F6D7"/>
    <w:rsid w:val="4A7D4C12"/>
    <w:rsid w:val="4A853C1A"/>
    <w:rsid w:val="4A85FA3E"/>
    <w:rsid w:val="4A8ACD1C"/>
    <w:rsid w:val="4A8B7084"/>
    <w:rsid w:val="4A8E3CD1"/>
    <w:rsid w:val="4A8E6188"/>
    <w:rsid w:val="4A9040A7"/>
    <w:rsid w:val="4A93D5FA"/>
    <w:rsid w:val="4A982CED"/>
    <w:rsid w:val="4A98E83E"/>
    <w:rsid w:val="4A9BD912"/>
    <w:rsid w:val="4AA32001"/>
    <w:rsid w:val="4AA8948B"/>
    <w:rsid w:val="4AA8EC26"/>
    <w:rsid w:val="4AAA76D8"/>
    <w:rsid w:val="4AAF4DEF"/>
    <w:rsid w:val="4AAFD705"/>
    <w:rsid w:val="4AB200F7"/>
    <w:rsid w:val="4AB2D12B"/>
    <w:rsid w:val="4AB44E4B"/>
    <w:rsid w:val="4AB9345A"/>
    <w:rsid w:val="4ABD4F7D"/>
    <w:rsid w:val="4ABEACCC"/>
    <w:rsid w:val="4AC0A987"/>
    <w:rsid w:val="4AC18075"/>
    <w:rsid w:val="4ACB935F"/>
    <w:rsid w:val="4ACBA372"/>
    <w:rsid w:val="4AD13050"/>
    <w:rsid w:val="4AD34478"/>
    <w:rsid w:val="4AD4E6EE"/>
    <w:rsid w:val="4AD5A7EB"/>
    <w:rsid w:val="4AD674F1"/>
    <w:rsid w:val="4AD677DA"/>
    <w:rsid w:val="4AD6A4CE"/>
    <w:rsid w:val="4AECEBC6"/>
    <w:rsid w:val="4AF2259A"/>
    <w:rsid w:val="4AF3BD87"/>
    <w:rsid w:val="4AFA489C"/>
    <w:rsid w:val="4AFA9785"/>
    <w:rsid w:val="4B006025"/>
    <w:rsid w:val="4B025DA7"/>
    <w:rsid w:val="4B066971"/>
    <w:rsid w:val="4B072B0B"/>
    <w:rsid w:val="4B07CC40"/>
    <w:rsid w:val="4B08E44B"/>
    <w:rsid w:val="4B0B2613"/>
    <w:rsid w:val="4B0D0659"/>
    <w:rsid w:val="4B12B79D"/>
    <w:rsid w:val="4B142ADD"/>
    <w:rsid w:val="4B1AC15B"/>
    <w:rsid w:val="4B1F4F95"/>
    <w:rsid w:val="4B214561"/>
    <w:rsid w:val="4B23559F"/>
    <w:rsid w:val="4B2AA73F"/>
    <w:rsid w:val="4B2E4135"/>
    <w:rsid w:val="4B2F5399"/>
    <w:rsid w:val="4B30B834"/>
    <w:rsid w:val="4B36BD96"/>
    <w:rsid w:val="4B3A4207"/>
    <w:rsid w:val="4B3D7533"/>
    <w:rsid w:val="4B3DF110"/>
    <w:rsid w:val="4B412DA1"/>
    <w:rsid w:val="4B469BD7"/>
    <w:rsid w:val="4B47BB14"/>
    <w:rsid w:val="4B4E274E"/>
    <w:rsid w:val="4B507F36"/>
    <w:rsid w:val="4B55FC06"/>
    <w:rsid w:val="4B5856CD"/>
    <w:rsid w:val="4B591E80"/>
    <w:rsid w:val="4B59B336"/>
    <w:rsid w:val="4B5C7A3C"/>
    <w:rsid w:val="4B5DD71F"/>
    <w:rsid w:val="4B5EB60D"/>
    <w:rsid w:val="4B5F8174"/>
    <w:rsid w:val="4B68CFB5"/>
    <w:rsid w:val="4B6B7F27"/>
    <w:rsid w:val="4B6D6A95"/>
    <w:rsid w:val="4B6EE5BC"/>
    <w:rsid w:val="4B720B18"/>
    <w:rsid w:val="4B7B8644"/>
    <w:rsid w:val="4B7D6212"/>
    <w:rsid w:val="4B829870"/>
    <w:rsid w:val="4B85B2D8"/>
    <w:rsid w:val="4B8A176A"/>
    <w:rsid w:val="4B8A1B0E"/>
    <w:rsid w:val="4B8C01C3"/>
    <w:rsid w:val="4B941AB3"/>
    <w:rsid w:val="4B942D85"/>
    <w:rsid w:val="4B94D994"/>
    <w:rsid w:val="4B95D2E4"/>
    <w:rsid w:val="4B99EB15"/>
    <w:rsid w:val="4B9BDC91"/>
    <w:rsid w:val="4B9FD9D3"/>
    <w:rsid w:val="4BA4D00B"/>
    <w:rsid w:val="4BA6E7DA"/>
    <w:rsid w:val="4BA8AC63"/>
    <w:rsid w:val="4BA8D251"/>
    <w:rsid w:val="4BAB9FDB"/>
    <w:rsid w:val="4BAC8061"/>
    <w:rsid w:val="4BB42CC6"/>
    <w:rsid w:val="4BB723E8"/>
    <w:rsid w:val="4BB76FDE"/>
    <w:rsid w:val="4BB88F21"/>
    <w:rsid w:val="4BBA70C2"/>
    <w:rsid w:val="4BBB8705"/>
    <w:rsid w:val="4BBF83F2"/>
    <w:rsid w:val="4BCB1E27"/>
    <w:rsid w:val="4BCD4D4C"/>
    <w:rsid w:val="4BCE80E2"/>
    <w:rsid w:val="4BCF5939"/>
    <w:rsid w:val="4BCF73E2"/>
    <w:rsid w:val="4BCF9531"/>
    <w:rsid w:val="4BCFA86F"/>
    <w:rsid w:val="4BD48066"/>
    <w:rsid w:val="4BD540D6"/>
    <w:rsid w:val="4BD682AA"/>
    <w:rsid w:val="4BE06A05"/>
    <w:rsid w:val="4BE7CFC6"/>
    <w:rsid w:val="4BE9DB06"/>
    <w:rsid w:val="4BEC2A79"/>
    <w:rsid w:val="4BEE553F"/>
    <w:rsid w:val="4BF04F0B"/>
    <w:rsid w:val="4BF11E6A"/>
    <w:rsid w:val="4BF4DA6F"/>
    <w:rsid w:val="4BF59311"/>
    <w:rsid w:val="4BF881D8"/>
    <w:rsid w:val="4BFABC7C"/>
    <w:rsid w:val="4C000B94"/>
    <w:rsid w:val="4C005E0F"/>
    <w:rsid w:val="4C0272BF"/>
    <w:rsid w:val="4C04B183"/>
    <w:rsid w:val="4C07E5DA"/>
    <w:rsid w:val="4C0A83BF"/>
    <w:rsid w:val="4C0A960F"/>
    <w:rsid w:val="4C0ABA3D"/>
    <w:rsid w:val="4C0B3EDF"/>
    <w:rsid w:val="4C0F2629"/>
    <w:rsid w:val="4C116460"/>
    <w:rsid w:val="4C128BB6"/>
    <w:rsid w:val="4C12C286"/>
    <w:rsid w:val="4C15923F"/>
    <w:rsid w:val="4C18499C"/>
    <w:rsid w:val="4C1B5767"/>
    <w:rsid w:val="4C1D577C"/>
    <w:rsid w:val="4C206100"/>
    <w:rsid w:val="4C255AAC"/>
    <w:rsid w:val="4C263385"/>
    <w:rsid w:val="4C280696"/>
    <w:rsid w:val="4C288AC7"/>
    <w:rsid w:val="4C299141"/>
    <w:rsid w:val="4C2EAEFE"/>
    <w:rsid w:val="4C2F3619"/>
    <w:rsid w:val="4C2FF0AB"/>
    <w:rsid w:val="4C36A48F"/>
    <w:rsid w:val="4C36AA27"/>
    <w:rsid w:val="4C3B9208"/>
    <w:rsid w:val="4C459B37"/>
    <w:rsid w:val="4C475E10"/>
    <w:rsid w:val="4C4B670A"/>
    <w:rsid w:val="4C4E64C9"/>
    <w:rsid w:val="4C4EC816"/>
    <w:rsid w:val="4C5BEAE2"/>
    <w:rsid w:val="4C5D2B57"/>
    <w:rsid w:val="4C5DAB08"/>
    <w:rsid w:val="4C629073"/>
    <w:rsid w:val="4C631C93"/>
    <w:rsid w:val="4C663DA9"/>
    <w:rsid w:val="4C6B3B50"/>
    <w:rsid w:val="4C6C8826"/>
    <w:rsid w:val="4C6C883B"/>
    <w:rsid w:val="4C6DDCE8"/>
    <w:rsid w:val="4C6EB207"/>
    <w:rsid w:val="4C6EC6E2"/>
    <w:rsid w:val="4C71F79B"/>
    <w:rsid w:val="4C73E7C4"/>
    <w:rsid w:val="4C74A1C8"/>
    <w:rsid w:val="4C752BA3"/>
    <w:rsid w:val="4C76C269"/>
    <w:rsid w:val="4C7868A9"/>
    <w:rsid w:val="4C78EBD5"/>
    <w:rsid w:val="4C7A5A66"/>
    <w:rsid w:val="4C7C779D"/>
    <w:rsid w:val="4C8924C9"/>
    <w:rsid w:val="4C8A4943"/>
    <w:rsid w:val="4C921C90"/>
    <w:rsid w:val="4C98F494"/>
    <w:rsid w:val="4C9AC84B"/>
    <w:rsid w:val="4C9D0EC6"/>
    <w:rsid w:val="4C9E5535"/>
    <w:rsid w:val="4CA25501"/>
    <w:rsid w:val="4CA494FD"/>
    <w:rsid w:val="4CA79411"/>
    <w:rsid w:val="4CA79E98"/>
    <w:rsid w:val="4CADA8A4"/>
    <w:rsid w:val="4CAF6A19"/>
    <w:rsid w:val="4CB0F750"/>
    <w:rsid w:val="4CB86C52"/>
    <w:rsid w:val="4CB9B313"/>
    <w:rsid w:val="4CBD6F0A"/>
    <w:rsid w:val="4CC01748"/>
    <w:rsid w:val="4CC6CD61"/>
    <w:rsid w:val="4CC7EB71"/>
    <w:rsid w:val="4CCF646B"/>
    <w:rsid w:val="4CD006DC"/>
    <w:rsid w:val="4CD06CFC"/>
    <w:rsid w:val="4CD17DF9"/>
    <w:rsid w:val="4CD661D0"/>
    <w:rsid w:val="4CD843ED"/>
    <w:rsid w:val="4CD885E8"/>
    <w:rsid w:val="4CD8ACD6"/>
    <w:rsid w:val="4CD9AC03"/>
    <w:rsid w:val="4CDBDA7F"/>
    <w:rsid w:val="4CDEBCBC"/>
    <w:rsid w:val="4CE74870"/>
    <w:rsid w:val="4CEAA2C8"/>
    <w:rsid w:val="4CF16DDF"/>
    <w:rsid w:val="4CF2AD02"/>
    <w:rsid w:val="4CF399CB"/>
    <w:rsid w:val="4CF44E0F"/>
    <w:rsid w:val="4CF45989"/>
    <w:rsid w:val="4CF575B4"/>
    <w:rsid w:val="4CFE808E"/>
    <w:rsid w:val="4D0492EE"/>
    <w:rsid w:val="4D05A1BF"/>
    <w:rsid w:val="4D06D102"/>
    <w:rsid w:val="4D083E07"/>
    <w:rsid w:val="4D0BA612"/>
    <w:rsid w:val="4D0CBF3A"/>
    <w:rsid w:val="4D0F0C93"/>
    <w:rsid w:val="4D104592"/>
    <w:rsid w:val="4D123C85"/>
    <w:rsid w:val="4D13702F"/>
    <w:rsid w:val="4D15CC2E"/>
    <w:rsid w:val="4D15E29F"/>
    <w:rsid w:val="4D18AF64"/>
    <w:rsid w:val="4D19ED77"/>
    <w:rsid w:val="4D1AB8FE"/>
    <w:rsid w:val="4D1CD438"/>
    <w:rsid w:val="4D1D930A"/>
    <w:rsid w:val="4D226F58"/>
    <w:rsid w:val="4D22AC0E"/>
    <w:rsid w:val="4D22D977"/>
    <w:rsid w:val="4D23F5A1"/>
    <w:rsid w:val="4D28EAAE"/>
    <w:rsid w:val="4D2ACD9B"/>
    <w:rsid w:val="4D2C266F"/>
    <w:rsid w:val="4D2F6095"/>
    <w:rsid w:val="4D34264B"/>
    <w:rsid w:val="4D34B9B7"/>
    <w:rsid w:val="4D38C1CF"/>
    <w:rsid w:val="4D3BBF79"/>
    <w:rsid w:val="4D3EAE21"/>
    <w:rsid w:val="4D459BFF"/>
    <w:rsid w:val="4D49FA63"/>
    <w:rsid w:val="4D4BEC33"/>
    <w:rsid w:val="4D4FDE5A"/>
    <w:rsid w:val="4D51B7CA"/>
    <w:rsid w:val="4D552D36"/>
    <w:rsid w:val="4D56472F"/>
    <w:rsid w:val="4D58B9AB"/>
    <w:rsid w:val="4D59BBF3"/>
    <w:rsid w:val="4D5EE583"/>
    <w:rsid w:val="4D6410FC"/>
    <w:rsid w:val="4D648470"/>
    <w:rsid w:val="4D67A969"/>
    <w:rsid w:val="4D6EBEEC"/>
    <w:rsid w:val="4D71E3F8"/>
    <w:rsid w:val="4D790E79"/>
    <w:rsid w:val="4D7AB227"/>
    <w:rsid w:val="4D7AF217"/>
    <w:rsid w:val="4D7C457D"/>
    <w:rsid w:val="4D7FE863"/>
    <w:rsid w:val="4D80C09F"/>
    <w:rsid w:val="4D820346"/>
    <w:rsid w:val="4D82DD74"/>
    <w:rsid w:val="4D84A12D"/>
    <w:rsid w:val="4D8659F3"/>
    <w:rsid w:val="4D86A29C"/>
    <w:rsid w:val="4D893E08"/>
    <w:rsid w:val="4D900992"/>
    <w:rsid w:val="4D910DDC"/>
    <w:rsid w:val="4D941177"/>
    <w:rsid w:val="4D97E5EA"/>
    <w:rsid w:val="4D991399"/>
    <w:rsid w:val="4D9A11B9"/>
    <w:rsid w:val="4D9F8083"/>
    <w:rsid w:val="4DA0F1D6"/>
    <w:rsid w:val="4DA1266B"/>
    <w:rsid w:val="4DA9819B"/>
    <w:rsid w:val="4DAD70B1"/>
    <w:rsid w:val="4DAEBCA1"/>
    <w:rsid w:val="4DB64283"/>
    <w:rsid w:val="4DB6FB8C"/>
    <w:rsid w:val="4DB8A8E0"/>
    <w:rsid w:val="4DBE7967"/>
    <w:rsid w:val="4DC07595"/>
    <w:rsid w:val="4DC389B1"/>
    <w:rsid w:val="4DC7D111"/>
    <w:rsid w:val="4DCD1BA1"/>
    <w:rsid w:val="4DCD4B82"/>
    <w:rsid w:val="4DCE2C85"/>
    <w:rsid w:val="4DD1473E"/>
    <w:rsid w:val="4DE15225"/>
    <w:rsid w:val="4DE18093"/>
    <w:rsid w:val="4DE2AA03"/>
    <w:rsid w:val="4DE8E5FC"/>
    <w:rsid w:val="4DEA3873"/>
    <w:rsid w:val="4DEDAADB"/>
    <w:rsid w:val="4DF6AB28"/>
    <w:rsid w:val="4DF9BFD0"/>
    <w:rsid w:val="4DFA2F0B"/>
    <w:rsid w:val="4DFD1A33"/>
    <w:rsid w:val="4DFE5830"/>
    <w:rsid w:val="4E00FC91"/>
    <w:rsid w:val="4E016A58"/>
    <w:rsid w:val="4E0454C0"/>
    <w:rsid w:val="4E086791"/>
    <w:rsid w:val="4E0A8DA4"/>
    <w:rsid w:val="4E0D1ADC"/>
    <w:rsid w:val="4E0DA389"/>
    <w:rsid w:val="4E0F3713"/>
    <w:rsid w:val="4E174B42"/>
    <w:rsid w:val="4E1D7C03"/>
    <w:rsid w:val="4E1E0E92"/>
    <w:rsid w:val="4E23361C"/>
    <w:rsid w:val="4E24353E"/>
    <w:rsid w:val="4E250549"/>
    <w:rsid w:val="4E28D33B"/>
    <w:rsid w:val="4E2E072A"/>
    <w:rsid w:val="4E315730"/>
    <w:rsid w:val="4E321F7E"/>
    <w:rsid w:val="4E3239EF"/>
    <w:rsid w:val="4E3309DE"/>
    <w:rsid w:val="4E35C232"/>
    <w:rsid w:val="4E3604FA"/>
    <w:rsid w:val="4E36AA9F"/>
    <w:rsid w:val="4E38B319"/>
    <w:rsid w:val="4E3A582E"/>
    <w:rsid w:val="4E3AF911"/>
    <w:rsid w:val="4E470FC8"/>
    <w:rsid w:val="4E4E4010"/>
    <w:rsid w:val="4E4E7CB7"/>
    <w:rsid w:val="4E507CD8"/>
    <w:rsid w:val="4E51D805"/>
    <w:rsid w:val="4E539E65"/>
    <w:rsid w:val="4E5B0943"/>
    <w:rsid w:val="4E5C67D0"/>
    <w:rsid w:val="4E5CCDDC"/>
    <w:rsid w:val="4E5DC8BA"/>
    <w:rsid w:val="4E609563"/>
    <w:rsid w:val="4E658DEF"/>
    <w:rsid w:val="4E69C718"/>
    <w:rsid w:val="4E6AB9AB"/>
    <w:rsid w:val="4E6AD478"/>
    <w:rsid w:val="4E703404"/>
    <w:rsid w:val="4E731D3B"/>
    <w:rsid w:val="4E73E6EF"/>
    <w:rsid w:val="4E748C55"/>
    <w:rsid w:val="4E7BD127"/>
    <w:rsid w:val="4E7E40BD"/>
    <w:rsid w:val="4E815613"/>
    <w:rsid w:val="4E821F88"/>
    <w:rsid w:val="4E838730"/>
    <w:rsid w:val="4E869A6C"/>
    <w:rsid w:val="4E886FC9"/>
    <w:rsid w:val="4E8B9463"/>
    <w:rsid w:val="4E9587CB"/>
    <w:rsid w:val="4E961866"/>
    <w:rsid w:val="4E9A2963"/>
    <w:rsid w:val="4E9D3DAF"/>
    <w:rsid w:val="4E9DB38A"/>
    <w:rsid w:val="4EA06FE6"/>
    <w:rsid w:val="4EA2D1BC"/>
    <w:rsid w:val="4EA35AF0"/>
    <w:rsid w:val="4EA5945D"/>
    <w:rsid w:val="4EA61E3D"/>
    <w:rsid w:val="4EAEC996"/>
    <w:rsid w:val="4EB2483D"/>
    <w:rsid w:val="4EB84434"/>
    <w:rsid w:val="4EBA0865"/>
    <w:rsid w:val="4EBBA31C"/>
    <w:rsid w:val="4EBE610D"/>
    <w:rsid w:val="4EC5AEC0"/>
    <w:rsid w:val="4EC683C8"/>
    <w:rsid w:val="4EC6F9D0"/>
    <w:rsid w:val="4ECA0DC1"/>
    <w:rsid w:val="4ECAEEE7"/>
    <w:rsid w:val="4ED0FA52"/>
    <w:rsid w:val="4ED3212E"/>
    <w:rsid w:val="4ED4F64E"/>
    <w:rsid w:val="4ED59485"/>
    <w:rsid w:val="4ED60F2F"/>
    <w:rsid w:val="4ED89233"/>
    <w:rsid w:val="4EDC1022"/>
    <w:rsid w:val="4EDE48DE"/>
    <w:rsid w:val="4EE1AB70"/>
    <w:rsid w:val="4EE3732D"/>
    <w:rsid w:val="4EE87B76"/>
    <w:rsid w:val="4EEBDF3D"/>
    <w:rsid w:val="4EEDFCFD"/>
    <w:rsid w:val="4EF21F3A"/>
    <w:rsid w:val="4EF43FE2"/>
    <w:rsid w:val="4EF75409"/>
    <w:rsid w:val="4EFA1166"/>
    <w:rsid w:val="4EFCB156"/>
    <w:rsid w:val="4EFF4CE9"/>
    <w:rsid w:val="4EFF502E"/>
    <w:rsid w:val="4F04BC11"/>
    <w:rsid w:val="4F074931"/>
    <w:rsid w:val="4F0795EE"/>
    <w:rsid w:val="4F0B3EE4"/>
    <w:rsid w:val="4F0C6E0F"/>
    <w:rsid w:val="4F0F8646"/>
    <w:rsid w:val="4F1065C0"/>
    <w:rsid w:val="4F1B3328"/>
    <w:rsid w:val="4F210342"/>
    <w:rsid w:val="4F210C7B"/>
    <w:rsid w:val="4F225F8F"/>
    <w:rsid w:val="4F22ED7A"/>
    <w:rsid w:val="4F23E4FD"/>
    <w:rsid w:val="4F2A0C70"/>
    <w:rsid w:val="4F2A451A"/>
    <w:rsid w:val="4F2D0FA6"/>
    <w:rsid w:val="4F2EF08A"/>
    <w:rsid w:val="4F2FD554"/>
    <w:rsid w:val="4F342851"/>
    <w:rsid w:val="4F358C14"/>
    <w:rsid w:val="4F36794D"/>
    <w:rsid w:val="4F36FC04"/>
    <w:rsid w:val="4F378AD6"/>
    <w:rsid w:val="4F3E3910"/>
    <w:rsid w:val="4F3E88CE"/>
    <w:rsid w:val="4F417766"/>
    <w:rsid w:val="4F42DA98"/>
    <w:rsid w:val="4F47A557"/>
    <w:rsid w:val="4F497386"/>
    <w:rsid w:val="4F4B3776"/>
    <w:rsid w:val="4F4B713D"/>
    <w:rsid w:val="4F4C3577"/>
    <w:rsid w:val="4F54A208"/>
    <w:rsid w:val="4F5647ED"/>
    <w:rsid w:val="4F576401"/>
    <w:rsid w:val="4F57C1FF"/>
    <w:rsid w:val="4F58B6EF"/>
    <w:rsid w:val="4F5B408C"/>
    <w:rsid w:val="4F5ED2A5"/>
    <w:rsid w:val="4F628745"/>
    <w:rsid w:val="4F654C10"/>
    <w:rsid w:val="4F66192C"/>
    <w:rsid w:val="4F683F28"/>
    <w:rsid w:val="4F688565"/>
    <w:rsid w:val="4F68D559"/>
    <w:rsid w:val="4F69C8DA"/>
    <w:rsid w:val="4F6ED73F"/>
    <w:rsid w:val="4F789382"/>
    <w:rsid w:val="4F796005"/>
    <w:rsid w:val="4F7BAA32"/>
    <w:rsid w:val="4F8117A1"/>
    <w:rsid w:val="4F8265BC"/>
    <w:rsid w:val="4F838CDC"/>
    <w:rsid w:val="4F8471AB"/>
    <w:rsid w:val="4F85897F"/>
    <w:rsid w:val="4F8864A1"/>
    <w:rsid w:val="4F8B1CF1"/>
    <w:rsid w:val="4F8FE735"/>
    <w:rsid w:val="4F91A349"/>
    <w:rsid w:val="4F92FD1B"/>
    <w:rsid w:val="4F970626"/>
    <w:rsid w:val="4F970DDE"/>
    <w:rsid w:val="4F986BA4"/>
    <w:rsid w:val="4F98B6CB"/>
    <w:rsid w:val="4F98CCF6"/>
    <w:rsid w:val="4F9B792A"/>
    <w:rsid w:val="4FA02DE4"/>
    <w:rsid w:val="4FA23512"/>
    <w:rsid w:val="4FA437F2"/>
    <w:rsid w:val="4FA8A4B3"/>
    <w:rsid w:val="4FAE15D2"/>
    <w:rsid w:val="4FAFB6D1"/>
    <w:rsid w:val="4FB322AC"/>
    <w:rsid w:val="4FB3309C"/>
    <w:rsid w:val="4FB70F98"/>
    <w:rsid w:val="4FB8B73B"/>
    <w:rsid w:val="4FBC1FA7"/>
    <w:rsid w:val="4FBDCE25"/>
    <w:rsid w:val="4FBEC93D"/>
    <w:rsid w:val="4FC63128"/>
    <w:rsid w:val="4FC931CE"/>
    <w:rsid w:val="4FCBDE67"/>
    <w:rsid w:val="4FCCAB92"/>
    <w:rsid w:val="4FCE529A"/>
    <w:rsid w:val="4FCF489A"/>
    <w:rsid w:val="4FD3B5AA"/>
    <w:rsid w:val="4FD843AD"/>
    <w:rsid w:val="4FD94472"/>
    <w:rsid w:val="4FDB1262"/>
    <w:rsid w:val="4FDDECFD"/>
    <w:rsid w:val="4FE209DA"/>
    <w:rsid w:val="4FE64CA8"/>
    <w:rsid w:val="4FE8A533"/>
    <w:rsid w:val="4FED7096"/>
    <w:rsid w:val="4FEDC1C9"/>
    <w:rsid w:val="4FEDC2E3"/>
    <w:rsid w:val="4FF062AE"/>
    <w:rsid w:val="4FFAD797"/>
    <w:rsid w:val="4FFCADD6"/>
    <w:rsid w:val="4FFEAB6D"/>
    <w:rsid w:val="500112CD"/>
    <w:rsid w:val="5001F941"/>
    <w:rsid w:val="5002EFFC"/>
    <w:rsid w:val="5003D7CE"/>
    <w:rsid w:val="500AB943"/>
    <w:rsid w:val="500DE8F6"/>
    <w:rsid w:val="500ED252"/>
    <w:rsid w:val="50120B68"/>
    <w:rsid w:val="501270CF"/>
    <w:rsid w:val="501469F2"/>
    <w:rsid w:val="5014E4C3"/>
    <w:rsid w:val="5015A0D0"/>
    <w:rsid w:val="5015B88F"/>
    <w:rsid w:val="5015DFAA"/>
    <w:rsid w:val="5017E00E"/>
    <w:rsid w:val="50186435"/>
    <w:rsid w:val="50191BAD"/>
    <w:rsid w:val="501A0352"/>
    <w:rsid w:val="501FADA9"/>
    <w:rsid w:val="502488E9"/>
    <w:rsid w:val="50285F37"/>
    <w:rsid w:val="502BFA25"/>
    <w:rsid w:val="502C8921"/>
    <w:rsid w:val="502CAA12"/>
    <w:rsid w:val="502CFA56"/>
    <w:rsid w:val="502D310A"/>
    <w:rsid w:val="502F78DE"/>
    <w:rsid w:val="502FB0F2"/>
    <w:rsid w:val="50322787"/>
    <w:rsid w:val="50344784"/>
    <w:rsid w:val="5036881E"/>
    <w:rsid w:val="5036F291"/>
    <w:rsid w:val="503DD909"/>
    <w:rsid w:val="5043FEAE"/>
    <w:rsid w:val="50440D75"/>
    <w:rsid w:val="5045C616"/>
    <w:rsid w:val="5047ED79"/>
    <w:rsid w:val="5047F0B9"/>
    <w:rsid w:val="504ACC27"/>
    <w:rsid w:val="504C07D0"/>
    <w:rsid w:val="504EE234"/>
    <w:rsid w:val="50518C0E"/>
    <w:rsid w:val="505B6441"/>
    <w:rsid w:val="505C20DC"/>
    <w:rsid w:val="505F116B"/>
    <w:rsid w:val="506BD1F6"/>
    <w:rsid w:val="506EE23E"/>
    <w:rsid w:val="506FCE3D"/>
    <w:rsid w:val="507348BC"/>
    <w:rsid w:val="5073ED12"/>
    <w:rsid w:val="5074DA7B"/>
    <w:rsid w:val="507508D2"/>
    <w:rsid w:val="507691D5"/>
    <w:rsid w:val="507F8FD8"/>
    <w:rsid w:val="50836011"/>
    <w:rsid w:val="50858820"/>
    <w:rsid w:val="50882438"/>
    <w:rsid w:val="508B7133"/>
    <w:rsid w:val="508DAA37"/>
    <w:rsid w:val="50931B4E"/>
    <w:rsid w:val="509594C3"/>
    <w:rsid w:val="5095BBAA"/>
    <w:rsid w:val="509640AD"/>
    <w:rsid w:val="50967895"/>
    <w:rsid w:val="50970F53"/>
    <w:rsid w:val="50976F77"/>
    <w:rsid w:val="50991B29"/>
    <w:rsid w:val="509E692A"/>
    <w:rsid w:val="509F3EC7"/>
    <w:rsid w:val="50A205F9"/>
    <w:rsid w:val="50A776B4"/>
    <w:rsid w:val="50A86931"/>
    <w:rsid w:val="50A902B0"/>
    <w:rsid w:val="50ACCB3E"/>
    <w:rsid w:val="50AD6C84"/>
    <w:rsid w:val="50AE14CD"/>
    <w:rsid w:val="50AFF469"/>
    <w:rsid w:val="50B2438B"/>
    <w:rsid w:val="50B375EA"/>
    <w:rsid w:val="50B381E2"/>
    <w:rsid w:val="50B5F59F"/>
    <w:rsid w:val="50BB004A"/>
    <w:rsid w:val="50BEB8DC"/>
    <w:rsid w:val="50BFDB11"/>
    <w:rsid w:val="50C25493"/>
    <w:rsid w:val="50C29B00"/>
    <w:rsid w:val="50C4DE1B"/>
    <w:rsid w:val="50C8167C"/>
    <w:rsid w:val="50CA3D29"/>
    <w:rsid w:val="50D4B4AC"/>
    <w:rsid w:val="50D59246"/>
    <w:rsid w:val="50D8B5FE"/>
    <w:rsid w:val="50DA35C4"/>
    <w:rsid w:val="50DA592F"/>
    <w:rsid w:val="50DCBA25"/>
    <w:rsid w:val="50DD868F"/>
    <w:rsid w:val="50DE9A89"/>
    <w:rsid w:val="50E14A6E"/>
    <w:rsid w:val="50E71407"/>
    <w:rsid w:val="50E86EB5"/>
    <w:rsid w:val="50EB413B"/>
    <w:rsid w:val="50EBE8D0"/>
    <w:rsid w:val="50F049A2"/>
    <w:rsid w:val="50F1FBB5"/>
    <w:rsid w:val="50F2DF3E"/>
    <w:rsid w:val="50F35693"/>
    <w:rsid w:val="50F701A7"/>
    <w:rsid w:val="50FEADB2"/>
    <w:rsid w:val="50FEBEF6"/>
    <w:rsid w:val="5100F7FF"/>
    <w:rsid w:val="51038AA0"/>
    <w:rsid w:val="5108D4E6"/>
    <w:rsid w:val="5109C5B5"/>
    <w:rsid w:val="510B1C5E"/>
    <w:rsid w:val="510C3F45"/>
    <w:rsid w:val="510F27A7"/>
    <w:rsid w:val="5113336A"/>
    <w:rsid w:val="51144D97"/>
    <w:rsid w:val="5114F845"/>
    <w:rsid w:val="5115120C"/>
    <w:rsid w:val="51158ECD"/>
    <w:rsid w:val="51174207"/>
    <w:rsid w:val="511852F7"/>
    <w:rsid w:val="511906D1"/>
    <w:rsid w:val="51191028"/>
    <w:rsid w:val="511A5AE2"/>
    <w:rsid w:val="511F00A9"/>
    <w:rsid w:val="5120D43C"/>
    <w:rsid w:val="5122D0BC"/>
    <w:rsid w:val="51245F13"/>
    <w:rsid w:val="5125CE5F"/>
    <w:rsid w:val="51264D7E"/>
    <w:rsid w:val="5127CC9A"/>
    <w:rsid w:val="5127F0A7"/>
    <w:rsid w:val="51285F52"/>
    <w:rsid w:val="5129A022"/>
    <w:rsid w:val="512A5313"/>
    <w:rsid w:val="512F0A77"/>
    <w:rsid w:val="5131D6F3"/>
    <w:rsid w:val="513DB816"/>
    <w:rsid w:val="51408745"/>
    <w:rsid w:val="5141FDC5"/>
    <w:rsid w:val="5142C87F"/>
    <w:rsid w:val="5146416B"/>
    <w:rsid w:val="514ACE83"/>
    <w:rsid w:val="514AFA14"/>
    <w:rsid w:val="514DFC04"/>
    <w:rsid w:val="51509EBC"/>
    <w:rsid w:val="5152DFF9"/>
    <w:rsid w:val="5154C13E"/>
    <w:rsid w:val="515BC9FA"/>
    <w:rsid w:val="515C2B05"/>
    <w:rsid w:val="515E51F9"/>
    <w:rsid w:val="515EBB0C"/>
    <w:rsid w:val="51634273"/>
    <w:rsid w:val="51645E39"/>
    <w:rsid w:val="5171BE58"/>
    <w:rsid w:val="51795BDC"/>
    <w:rsid w:val="517DB428"/>
    <w:rsid w:val="517E5877"/>
    <w:rsid w:val="51806D79"/>
    <w:rsid w:val="5184609F"/>
    <w:rsid w:val="51865E6F"/>
    <w:rsid w:val="518857B5"/>
    <w:rsid w:val="51907C7A"/>
    <w:rsid w:val="5191001B"/>
    <w:rsid w:val="519355C6"/>
    <w:rsid w:val="519B1940"/>
    <w:rsid w:val="519B94FF"/>
    <w:rsid w:val="519C093D"/>
    <w:rsid w:val="519CE0F6"/>
    <w:rsid w:val="51A0583B"/>
    <w:rsid w:val="51A24C77"/>
    <w:rsid w:val="51A4A838"/>
    <w:rsid w:val="51A5DED4"/>
    <w:rsid w:val="51AB666A"/>
    <w:rsid w:val="51AD53AD"/>
    <w:rsid w:val="51AE8502"/>
    <w:rsid w:val="51AF388B"/>
    <w:rsid w:val="51BE850E"/>
    <w:rsid w:val="51C0CE15"/>
    <w:rsid w:val="51C120F5"/>
    <w:rsid w:val="51C91579"/>
    <w:rsid w:val="51CA73DF"/>
    <w:rsid w:val="51CBB9A3"/>
    <w:rsid w:val="51CD8262"/>
    <w:rsid w:val="51CF27AE"/>
    <w:rsid w:val="51D079E1"/>
    <w:rsid w:val="51D58D0B"/>
    <w:rsid w:val="51D5D774"/>
    <w:rsid w:val="51D6124F"/>
    <w:rsid w:val="51D6A9B1"/>
    <w:rsid w:val="51D8F360"/>
    <w:rsid w:val="51DB81BD"/>
    <w:rsid w:val="51DC93CE"/>
    <w:rsid w:val="51E179FD"/>
    <w:rsid w:val="51E4FB42"/>
    <w:rsid w:val="51EAE94D"/>
    <w:rsid w:val="51F07CA8"/>
    <w:rsid w:val="51F0F9E8"/>
    <w:rsid w:val="51F343DE"/>
    <w:rsid w:val="51F4B726"/>
    <w:rsid w:val="51F4C5BC"/>
    <w:rsid w:val="51F51EAE"/>
    <w:rsid w:val="51F7CCCD"/>
    <w:rsid w:val="51F82D3B"/>
    <w:rsid w:val="51F93BDF"/>
    <w:rsid w:val="51FCB0E8"/>
    <w:rsid w:val="51FDE20B"/>
    <w:rsid w:val="52010F35"/>
    <w:rsid w:val="5204FD58"/>
    <w:rsid w:val="520B388E"/>
    <w:rsid w:val="520BF2D0"/>
    <w:rsid w:val="5211CD39"/>
    <w:rsid w:val="52129B20"/>
    <w:rsid w:val="5219398F"/>
    <w:rsid w:val="521CC102"/>
    <w:rsid w:val="522BC7F2"/>
    <w:rsid w:val="522E6033"/>
    <w:rsid w:val="522EA0A6"/>
    <w:rsid w:val="522FFA56"/>
    <w:rsid w:val="5230F1E8"/>
    <w:rsid w:val="5230FFE9"/>
    <w:rsid w:val="5231E412"/>
    <w:rsid w:val="52339D31"/>
    <w:rsid w:val="5233CD66"/>
    <w:rsid w:val="52363071"/>
    <w:rsid w:val="5236C58D"/>
    <w:rsid w:val="5239BFC9"/>
    <w:rsid w:val="523A744A"/>
    <w:rsid w:val="523E60B8"/>
    <w:rsid w:val="523F655C"/>
    <w:rsid w:val="52436B2D"/>
    <w:rsid w:val="52454848"/>
    <w:rsid w:val="524CAB68"/>
    <w:rsid w:val="524F28C5"/>
    <w:rsid w:val="5251B6D7"/>
    <w:rsid w:val="5253A05D"/>
    <w:rsid w:val="525A4A24"/>
    <w:rsid w:val="525AD009"/>
    <w:rsid w:val="525BDD16"/>
    <w:rsid w:val="525D6C9C"/>
    <w:rsid w:val="526B57EA"/>
    <w:rsid w:val="526D333B"/>
    <w:rsid w:val="526DA8AF"/>
    <w:rsid w:val="52708D59"/>
    <w:rsid w:val="527A5C8A"/>
    <w:rsid w:val="527B6262"/>
    <w:rsid w:val="527E3EF8"/>
    <w:rsid w:val="527E7E05"/>
    <w:rsid w:val="527F3A73"/>
    <w:rsid w:val="5281A15F"/>
    <w:rsid w:val="52830C29"/>
    <w:rsid w:val="528449D8"/>
    <w:rsid w:val="52854F40"/>
    <w:rsid w:val="528B9004"/>
    <w:rsid w:val="528EFB72"/>
    <w:rsid w:val="5292CD91"/>
    <w:rsid w:val="5296C8B8"/>
    <w:rsid w:val="529957FE"/>
    <w:rsid w:val="52996C68"/>
    <w:rsid w:val="529AEE52"/>
    <w:rsid w:val="529C1DCC"/>
    <w:rsid w:val="529E6AB1"/>
    <w:rsid w:val="529E779D"/>
    <w:rsid w:val="529F86AF"/>
    <w:rsid w:val="52AB197C"/>
    <w:rsid w:val="52ACD38D"/>
    <w:rsid w:val="52B3310C"/>
    <w:rsid w:val="52B479A9"/>
    <w:rsid w:val="52B70D72"/>
    <w:rsid w:val="52B787BE"/>
    <w:rsid w:val="52B80088"/>
    <w:rsid w:val="52BF4504"/>
    <w:rsid w:val="52C04F41"/>
    <w:rsid w:val="52C08F96"/>
    <w:rsid w:val="52C31901"/>
    <w:rsid w:val="52C3F25C"/>
    <w:rsid w:val="52C83DCE"/>
    <w:rsid w:val="52CA5579"/>
    <w:rsid w:val="52CEB984"/>
    <w:rsid w:val="52D15857"/>
    <w:rsid w:val="52D3266B"/>
    <w:rsid w:val="52DA23AA"/>
    <w:rsid w:val="52E5AE7B"/>
    <w:rsid w:val="52E900BA"/>
    <w:rsid w:val="52EAA249"/>
    <w:rsid w:val="52ECA381"/>
    <w:rsid w:val="52EE4449"/>
    <w:rsid w:val="52EFF3A1"/>
    <w:rsid w:val="52F091AB"/>
    <w:rsid w:val="52F19101"/>
    <w:rsid w:val="52F2C8AA"/>
    <w:rsid w:val="52F72151"/>
    <w:rsid w:val="52F73225"/>
    <w:rsid w:val="52FC4DAA"/>
    <w:rsid w:val="52FD81DF"/>
    <w:rsid w:val="53029C6E"/>
    <w:rsid w:val="5304A8BD"/>
    <w:rsid w:val="5309FAC8"/>
    <w:rsid w:val="530D3437"/>
    <w:rsid w:val="530E3342"/>
    <w:rsid w:val="53178DB4"/>
    <w:rsid w:val="531BC16E"/>
    <w:rsid w:val="5320DFDC"/>
    <w:rsid w:val="53214C3B"/>
    <w:rsid w:val="5321CF8F"/>
    <w:rsid w:val="5322F553"/>
    <w:rsid w:val="5324DACF"/>
    <w:rsid w:val="532545D9"/>
    <w:rsid w:val="53267035"/>
    <w:rsid w:val="532C5A0B"/>
    <w:rsid w:val="532C5E73"/>
    <w:rsid w:val="532E681B"/>
    <w:rsid w:val="5337C6F3"/>
    <w:rsid w:val="533F6676"/>
    <w:rsid w:val="5343F714"/>
    <w:rsid w:val="534521D3"/>
    <w:rsid w:val="5349D2BC"/>
    <w:rsid w:val="534BAF1F"/>
    <w:rsid w:val="534EBE66"/>
    <w:rsid w:val="53515EE4"/>
    <w:rsid w:val="535A01D2"/>
    <w:rsid w:val="535AE9EA"/>
    <w:rsid w:val="535BCC54"/>
    <w:rsid w:val="535D3495"/>
    <w:rsid w:val="535E213F"/>
    <w:rsid w:val="535FB16C"/>
    <w:rsid w:val="5360793E"/>
    <w:rsid w:val="5360B658"/>
    <w:rsid w:val="5363F0F9"/>
    <w:rsid w:val="53656B1B"/>
    <w:rsid w:val="536711D1"/>
    <w:rsid w:val="53675EC9"/>
    <w:rsid w:val="5367B58B"/>
    <w:rsid w:val="53773C4F"/>
    <w:rsid w:val="537B419D"/>
    <w:rsid w:val="537DEA6C"/>
    <w:rsid w:val="537EBD42"/>
    <w:rsid w:val="538197F5"/>
    <w:rsid w:val="5382FF65"/>
    <w:rsid w:val="5386043B"/>
    <w:rsid w:val="53860C61"/>
    <w:rsid w:val="5388D1A5"/>
    <w:rsid w:val="538B3242"/>
    <w:rsid w:val="538BFEA4"/>
    <w:rsid w:val="538D4D9A"/>
    <w:rsid w:val="538F72D9"/>
    <w:rsid w:val="53921AD7"/>
    <w:rsid w:val="5392BCD3"/>
    <w:rsid w:val="539764D7"/>
    <w:rsid w:val="53980CCE"/>
    <w:rsid w:val="539C6A11"/>
    <w:rsid w:val="539CC33E"/>
    <w:rsid w:val="539DB0B9"/>
    <w:rsid w:val="539E3C19"/>
    <w:rsid w:val="53A0BA98"/>
    <w:rsid w:val="53A4DB1C"/>
    <w:rsid w:val="53AA3489"/>
    <w:rsid w:val="53AB6896"/>
    <w:rsid w:val="53B07749"/>
    <w:rsid w:val="53B2B8CA"/>
    <w:rsid w:val="53B432FD"/>
    <w:rsid w:val="53BD6CD2"/>
    <w:rsid w:val="53BFB27C"/>
    <w:rsid w:val="53C0A588"/>
    <w:rsid w:val="53C369DB"/>
    <w:rsid w:val="53C4FBC7"/>
    <w:rsid w:val="53C5401C"/>
    <w:rsid w:val="53C718BF"/>
    <w:rsid w:val="53C9E24F"/>
    <w:rsid w:val="53D04AA5"/>
    <w:rsid w:val="53D08766"/>
    <w:rsid w:val="53D08B19"/>
    <w:rsid w:val="53D178A7"/>
    <w:rsid w:val="53D394F4"/>
    <w:rsid w:val="53D540F4"/>
    <w:rsid w:val="53D691E1"/>
    <w:rsid w:val="53D7EDD0"/>
    <w:rsid w:val="53DB88F2"/>
    <w:rsid w:val="53E10632"/>
    <w:rsid w:val="53E1BA51"/>
    <w:rsid w:val="53E20869"/>
    <w:rsid w:val="53E24F4B"/>
    <w:rsid w:val="53E4CD73"/>
    <w:rsid w:val="53E604BB"/>
    <w:rsid w:val="53E6CEAB"/>
    <w:rsid w:val="53E876AB"/>
    <w:rsid w:val="53EAB912"/>
    <w:rsid w:val="53ED2AE3"/>
    <w:rsid w:val="53EFEBC3"/>
    <w:rsid w:val="53F06E24"/>
    <w:rsid w:val="53F24CB0"/>
    <w:rsid w:val="53F2A1CB"/>
    <w:rsid w:val="53F2F274"/>
    <w:rsid w:val="53F3FE67"/>
    <w:rsid w:val="53F55FDB"/>
    <w:rsid w:val="53F88B16"/>
    <w:rsid w:val="53FF6F80"/>
    <w:rsid w:val="53FFE679"/>
    <w:rsid w:val="54013552"/>
    <w:rsid w:val="54015891"/>
    <w:rsid w:val="54060D44"/>
    <w:rsid w:val="540A19F2"/>
    <w:rsid w:val="540A2C06"/>
    <w:rsid w:val="540DABBD"/>
    <w:rsid w:val="540FAAE1"/>
    <w:rsid w:val="540FAD70"/>
    <w:rsid w:val="54112EBE"/>
    <w:rsid w:val="541203F1"/>
    <w:rsid w:val="54124A88"/>
    <w:rsid w:val="5412971B"/>
    <w:rsid w:val="54130AFF"/>
    <w:rsid w:val="54161A54"/>
    <w:rsid w:val="5417E1AA"/>
    <w:rsid w:val="5417E6A7"/>
    <w:rsid w:val="541D365D"/>
    <w:rsid w:val="542278F3"/>
    <w:rsid w:val="54239BE6"/>
    <w:rsid w:val="54240738"/>
    <w:rsid w:val="5426BAB4"/>
    <w:rsid w:val="5426C707"/>
    <w:rsid w:val="542A9087"/>
    <w:rsid w:val="542B884E"/>
    <w:rsid w:val="542E578C"/>
    <w:rsid w:val="54366E6E"/>
    <w:rsid w:val="54393700"/>
    <w:rsid w:val="543A5475"/>
    <w:rsid w:val="543A5C03"/>
    <w:rsid w:val="543ADC68"/>
    <w:rsid w:val="543D8E46"/>
    <w:rsid w:val="543EEF0D"/>
    <w:rsid w:val="543F4E74"/>
    <w:rsid w:val="543F7245"/>
    <w:rsid w:val="5442E4F3"/>
    <w:rsid w:val="5446894A"/>
    <w:rsid w:val="54469749"/>
    <w:rsid w:val="544E8F19"/>
    <w:rsid w:val="54550CC6"/>
    <w:rsid w:val="54569663"/>
    <w:rsid w:val="54575180"/>
    <w:rsid w:val="5459AD21"/>
    <w:rsid w:val="545AA468"/>
    <w:rsid w:val="545B1399"/>
    <w:rsid w:val="545BFE02"/>
    <w:rsid w:val="545C2745"/>
    <w:rsid w:val="545E5CB3"/>
    <w:rsid w:val="546017D3"/>
    <w:rsid w:val="5460B5DD"/>
    <w:rsid w:val="5465B0C7"/>
    <w:rsid w:val="54696A87"/>
    <w:rsid w:val="5469AED5"/>
    <w:rsid w:val="546F5CCC"/>
    <w:rsid w:val="54727010"/>
    <w:rsid w:val="547356A7"/>
    <w:rsid w:val="5474493D"/>
    <w:rsid w:val="54756C9A"/>
    <w:rsid w:val="54788A71"/>
    <w:rsid w:val="547D5A20"/>
    <w:rsid w:val="547EF5AE"/>
    <w:rsid w:val="548059DB"/>
    <w:rsid w:val="5480CBE3"/>
    <w:rsid w:val="5483B088"/>
    <w:rsid w:val="54885A25"/>
    <w:rsid w:val="548D0997"/>
    <w:rsid w:val="549C3CDC"/>
    <w:rsid w:val="549FCEFA"/>
    <w:rsid w:val="54A1C25A"/>
    <w:rsid w:val="54A554C2"/>
    <w:rsid w:val="54ACB54D"/>
    <w:rsid w:val="54ACED98"/>
    <w:rsid w:val="54AD4977"/>
    <w:rsid w:val="54AFA6E2"/>
    <w:rsid w:val="54B0B964"/>
    <w:rsid w:val="54BA0A9F"/>
    <w:rsid w:val="54BCE66C"/>
    <w:rsid w:val="54BFBE5C"/>
    <w:rsid w:val="54C0C678"/>
    <w:rsid w:val="54C2920F"/>
    <w:rsid w:val="54C5F7C5"/>
    <w:rsid w:val="54C7884C"/>
    <w:rsid w:val="54CEA4B5"/>
    <w:rsid w:val="54D2B816"/>
    <w:rsid w:val="54D4761C"/>
    <w:rsid w:val="54D61463"/>
    <w:rsid w:val="54DC9DBF"/>
    <w:rsid w:val="54E05C2E"/>
    <w:rsid w:val="54E069BB"/>
    <w:rsid w:val="54E17BD5"/>
    <w:rsid w:val="54E32230"/>
    <w:rsid w:val="54E94090"/>
    <w:rsid w:val="54EC331D"/>
    <w:rsid w:val="54FFA39C"/>
    <w:rsid w:val="5507F022"/>
    <w:rsid w:val="550B41E1"/>
    <w:rsid w:val="5513DB25"/>
    <w:rsid w:val="551568D1"/>
    <w:rsid w:val="5519FA3C"/>
    <w:rsid w:val="551C5ED3"/>
    <w:rsid w:val="551FEF4C"/>
    <w:rsid w:val="552118D8"/>
    <w:rsid w:val="5521B5B4"/>
    <w:rsid w:val="55275E19"/>
    <w:rsid w:val="552D47E1"/>
    <w:rsid w:val="552D4C15"/>
    <w:rsid w:val="552D4D18"/>
    <w:rsid w:val="552F1EF7"/>
    <w:rsid w:val="5530969B"/>
    <w:rsid w:val="5535A8A5"/>
    <w:rsid w:val="5538C37D"/>
    <w:rsid w:val="5543C900"/>
    <w:rsid w:val="554A3630"/>
    <w:rsid w:val="5550E7CB"/>
    <w:rsid w:val="5557EC62"/>
    <w:rsid w:val="5559D5B3"/>
    <w:rsid w:val="555A01A1"/>
    <w:rsid w:val="556419BB"/>
    <w:rsid w:val="5567CBCA"/>
    <w:rsid w:val="5567ECF7"/>
    <w:rsid w:val="55680C30"/>
    <w:rsid w:val="5570588D"/>
    <w:rsid w:val="5573E590"/>
    <w:rsid w:val="55780C2D"/>
    <w:rsid w:val="55785E07"/>
    <w:rsid w:val="5579CD1B"/>
    <w:rsid w:val="557D1595"/>
    <w:rsid w:val="55828D99"/>
    <w:rsid w:val="558474CF"/>
    <w:rsid w:val="55854F60"/>
    <w:rsid w:val="5589BACF"/>
    <w:rsid w:val="558D0B12"/>
    <w:rsid w:val="55906006"/>
    <w:rsid w:val="559162C0"/>
    <w:rsid w:val="559237D7"/>
    <w:rsid w:val="55978078"/>
    <w:rsid w:val="5598841E"/>
    <w:rsid w:val="559BD672"/>
    <w:rsid w:val="559CB59E"/>
    <w:rsid w:val="55A0D4D7"/>
    <w:rsid w:val="55A52113"/>
    <w:rsid w:val="55A5878F"/>
    <w:rsid w:val="55A6991F"/>
    <w:rsid w:val="55ABEA9D"/>
    <w:rsid w:val="55AD5CE8"/>
    <w:rsid w:val="55AEE8DE"/>
    <w:rsid w:val="55B0C6A8"/>
    <w:rsid w:val="55B17855"/>
    <w:rsid w:val="55B31439"/>
    <w:rsid w:val="55B3EA73"/>
    <w:rsid w:val="55B68007"/>
    <w:rsid w:val="55B6DB35"/>
    <w:rsid w:val="55B81E69"/>
    <w:rsid w:val="55BC549F"/>
    <w:rsid w:val="55C07DD5"/>
    <w:rsid w:val="55C447D1"/>
    <w:rsid w:val="55C6BA95"/>
    <w:rsid w:val="55CC13F3"/>
    <w:rsid w:val="55CE8F3D"/>
    <w:rsid w:val="55CF98C7"/>
    <w:rsid w:val="55D2F20E"/>
    <w:rsid w:val="55D60FD0"/>
    <w:rsid w:val="55D63BCB"/>
    <w:rsid w:val="55D75AC0"/>
    <w:rsid w:val="55D810A7"/>
    <w:rsid w:val="55E079A2"/>
    <w:rsid w:val="55E3302C"/>
    <w:rsid w:val="55E3A76C"/>
    <w:rsid w:val="55E68469"/>
    <w:rsid w:val="55EB02DD"/>
    <w:rsid w:val="55EB2EE3"/>
    <w:rsid w:val="55EB7368"/>
    <w:rsid w:val="55ED86C4"/>
    <w:rsid w:val="55F0CD5C"/>
    <w:rsid w:val="55F2A5B3"/>
    <w:rsid w:val="55F2DB72"/>
    <w:rsid w:val="55F3C5B0"/>
    <w:rsid w:val="55FB3170"/>
    <w:rsid w:val="560067D4"/>
    <w:rsid w:val="5603836C"/>
    <w:rsid w:val="560B89A9"/>
    <w:rsid w:val="560BC597"/>
    <w:rsid w:val="560BE7F3"/>
    <w:rsid w:val="560CA036"/>
    <w:rsid w:val="561446A1"/>
    <w:rsid w:val="5619890A"/>
    <w:rsid w:val="561ACE71"/>
    <w:rsid w:val="561C0D2C"/>
    <w:rsid w:val="561C618F"/>
    <w:rsid w:val="561F2681"/>
    <w:rsid w:val="5620BD50"/>
    <w:rsid w:val="56268498"/>
    <w:rsid w:val="56290D16"/>
    <w:rsid w:val="5634334E"/>
    <w:rsid w:val="563C5F28"/>
    <w:rsid w:val="563D9DBE"/>
    <w:rsid w:val="56424AB5"/>
    <w:rsid w:val="56427241"/>
    <w:rsid w:val="5643E3EC"/>
    <w:rsid w:val="5648F270"/>
    <w:rsid w:val="564A8A9D"/>
    <w:rsid w:val="564B7743"/>
    <w:rsid w:val="5650638F"/>
    <w:rsid w:val="56510630"/>
    <w:rsid w:val="5654712F"/>
    <w:rsid w:val="5654FD7C"/>
    <w:rsid w:val="5657DFAB"/>
    <w:rsid w:val="56590228"/>
    <w:rsid w:val="565A46ED"/>
    <w:rsid w:val="565AEBAC"/>
    <w:rsid w:val="565B37A2"/>
    <w:rsid w:val="565B79C5"/>
    <w:rsid w:val="565E6270"/>
    <w:rsid w:val="565ED7AA"/>
    <w:rsid w:val="5660BCBF"/>
    <w:rsid w:val="5662079B"/>
    <w:rsid w:val="56649FA0"/>
    <w:rsid w:val="56659C66"/>
    <w:rsid w:val="566F782E"/>
    <w:rsid w:val="56711AE9"/>
    <w:rsid w:val="5671BEC2"/>
    <w:rsid w:val="5672EA8E"/>
    <w:rsid w:val="5673CE9D"/>
    <w:rsid w:val="5673E208"/>
    <w:rsid w:val="5674EF3C"/>
    <w:rsid w:val="5675D376"/>
    <w:rsid w:val="56781100"/>
    <w:rsid w:val="56790D9B"/>
    <w:rsid w:val="567A6AEE"/>
    <w:rsid w:val="5681E653"/>
    <w:rsid w:val="56830572"/>
    <w:rsid w:val="5688CF76"/>
    <w:rsid w:val="56906BF6"/>
    <w:rsid w:val="569094C7"/>
    <w:rsid w:val="56911BA7"/>
    <w:rsid w:val="5691AE7C"/>
    <w:rsid w:val="5693F267"/>
    <w:rsid w:val="569543A3"/>
    <w:rsid w:val="5696D2F8"/>
    <w:rsid w:val="569A1335"/>
    <w:rsid w:val="569FC6A7"/>
    <w:rsid w:val="56A05468"/>
    <w:rsid w:val="56A2B0A2"/>
    <w:rsid w:val="56A555F9"/>
    <w:rsid w:val="56A567A6"/>
    <w:rsid w:val="56A642E1"/>
    <w:rsid w:val="56A75E19"/>
    <w:rsid w:val="56AA54E7"/>
    <w:rsid w:val="56AC3561"/>
    <w:rsid w:val="56ACC523"/>
    <w:rsid w:val="56ACCB02"/>
    <w:rsid w:val="56B3B0C3"/>
    <w:rsid w:val="56B610D1"/>
    <w:rsid w:val="56B6633D"/>
    <w:rsid w:val="56B96688"/>
    <w:rsid w:val="56BF87AB"/>
    <w:rsid w:val="56C333B0"/>
    <w:rsid w:val="56C5A3FA"/>
    <w:rsid w:val="56CCE3E6"/>
    <w:rsid w:val="56D12300"/>
    <w:rsid w:val="56D79D8B"/>
    <w:rsid w:val="56D7AC1C"/>
    <w:rsid w:val="56D90368"/>
    <w:rsid w:val="56DB2D9A"/>
    <w:rsid w:val="56DB4933"/>
    <w:rsid w:val="56E3A778"/>
    <w:rsid w:val="56E74793"/>
    <w:rsid w:val="56EACCF5"/>
    <w:rsid w:val="56F02E04"/>
    <w:rsid w:val="56F2C696"/>
    <w:rsid w:val="56F64845"/>
    <w:rsid w:val="56FD6B55"/>
    <w:rsid w:val="5701DC19"/>
    <w:rsid w:val="57026E07"/>
    <w:rsid w:val="5710FC18"/>
    <w:rsid w:val="57125B16"/>
    <w:rsid w:val="5716259F"/>
    <w:rsid w:val="571A5E22"/>
    <w:rsid w:val="571B051A"/>
    <w:rsid w:val="571B4BD3"/>
    <w:rsid w:val="571C9CEB"/>
    <w:rsid w:val="57245EC6"/>
    <w:rsid w:val="57279AE8"/>
    <w:rsid w:val="5728E58C"/>
    <w:rsid w:val="57291C2A"/>
    <w:rsid w:val="572CDA24"/>
    <w:rsid w:val="572F04AF"/>
    <w:rsid w:val="57315902"/>
    <w:rsid w:val="5734CF89"/>
    <w:rsid w:val="57384096"/>
    <w:rsid w:val="573889A4"/>
    <w:rsid w:val="5738D159"/>
    <w:rsid w:val="573AF5AD"/>
    <w:rsid w:val="573D8378"/>
    <w:rsid w:val="573F3A36"/>
    <w:rsid w:val="57462F15"/>
    <w:rsid w:val="5746DE25"/>
    <w:rsid w:val="5748EFF1"/>
    <w:rsid w:val="574A3774"/>
    <w:rsid w:val="574C0C87"/>
    <w:rsid w:val="574DD931"/>
    <w:rsid w:val="5755B6C3"/>
    <w:rsid w:val="57585320"/>
    <w:rsid w:val="5758631C"/>
    <w:rsid w:val="575C7E3B"/>
    <w:rsid w:val="575DA061"/>
    <w:rsid w:val="575DF520"/>
    <w:rsid w:val="57671C2E"/>
    <w:rsid w:val="576D7CB3"/>
    <w:rsid w:val="576EB1F3"/>
    <w:rsid w:val="576F9585"/>
    <w:rsid w:val="576FD1C7"/>
    <w:rsid w:val="57710D84"/>
    <w:rsid w:val="57760B93"/>
    <w:rsid w:val="577B689F"/>
    <w:rsid w:val="577FA7BF"/>
    <w:rsid w:val="57802D27"/>
    <w:rsid w:val="5780C179"/>
    <w:rsid w:val="5783EF72"/>
    <w:rsid w:val="57900599"/>
    <w:rsid w:val="57908BA0"/>
    <w:rsid w:val="579242FF"/>
    <w:rsid w:val="5792A5ED"/>
    <w:rsid w:val="57930BDB"/>
    <w:rsid w:val="57993CAE"/>
    <w:rsid w:val="579B27F7"/>
    <w:rsid w:val="579BD285"/>
    <w:rsid w:val="57A317BE"/>
    <w:rsid w:val="57A34980"/>
    <w:rsid w:val="57A5AD7C"/>
    <w:rsid w:val="57A68B0F"/>
    <w:rsid w:val="57A97F70"/>
    <w:rsid w:val="57ACB44E"/>
    <w:rsid w:val="57AF0790"/>
    <w:rsid w:val="57B48457"/>
    <w:rsid w:val="57BDE29B"/>
    <w:rsid w:val="57BF162A"/>
    <w:rsid w:val="57C01790"/>
    <w:rsid w:val="57C38406"/>
    <w:rsid w:val="57C4FE67"/>
    <w:rsid w:val="57C61330"/>
    <w:rsid w:val="57C8C1E7"/>
    <w:rsid w:val="57CDBCE0"/>
    <w:rsid w:val="57CF0B50"/>
    <w:rsid w:val="57CFE880"/>
    <w:rsid w:val="57D31451"/>
    <w:rsid w:val="57D531C0"/>
    <w:rsid w:val="57D8467D"/>
    <w:rsid w:val="57DA731F"/>
    <w:rsid w:val="57DBDAFE"/>
    <w:rsid w:val="57DF0CB2"/>
    <w:rsid w:val="57DF9A84"/>
    <w:rsid w:val="57E89E31"/>
    <w:rsid w:val="57EBFE0C"/>
    <w:rsid w:val="57EC3776"/>
    <w:rsid w:val="57EE38E8"/>
    <w:rsid w:val="57F26EC9"/>
    <w:rsid w:val="57F364E4"/>
    <w:rsid w:val="57F68E93"/>
    <w:rsid w:val="57FD601F"/>
    <w:rsid w:val="57FD64AE"/>
    <w:rsid w:val="57FED9FC"/>
    <w:rsid w:val="580393EF"/>
    <w:rsid w:val="58044825"/>
    <w:rsid w:val="5806780F"/>
    <w:rsid w:val="580B924F"/>
    <w:rsid w:val="580C6B11"/>
    <w:rsid w:val="580F70D7"/>
    <w:rsid w:val="5813979C"/>
    <w:rsid w:val="581BEE7A"/>
    <w:rsid w:val="581E5F35"/>
    <w:rsid w:val="5824942A"/>
    <w:rsid w:val="5829D993"/>
    <w:rsid w:val="582D9EA2"/>
    <w:rsid w:val="582EA3E4"/>
    <w:rsid w:val="582FC3BE"/>
    <w:rsid w:val="582FE62B"/>
    <w:rsid w:val="5830CDFA"/>
    <w:rsid w:val="5834F97E"/>
    <w:rsid w:val="58370EA9"/>
    <w:rsid w:val="583F55E4"/>
    <w:rsid w:val="5840490E"/>
    <w:rsid w:val="5842CF85"/>
    <w:rsid w:val="5845093D"/>
    <w:rsid w:val="5848FA36"/>
    <w:rsid w:val="584D3FB2"/>
    <w:rsid w:val="584D449E"/>
    <w:rsid w:val="584F7694"/>
    <w:rsid w:val="585219B5"/>
    <w:rsid w:val="5852DE39"/>
    <w:rsid w:val="58611006"/>
    <w:rsid w:val="5861FD8C"/>
    <w:rsid w:val="5862A965"/>
    <w:rsid w:val="58634DA7"/>
    <w:rsid w:val="586430FB"/>
    <w:rsid w:val="586A3D46"/>
    <w:rsid w:val="586F0220"/>
    <w:rsid w:val="586FDCF4"/>
    <w:rsid w:val="5870A5ED"/>
    <w:rsid w:val="5872E8A7"/>
    <w:rsid w:val="587311FA"/>
    <w:rsid w:val="587941F2"/>
    <w:rsid w:val="587D2BDC"/>
    <w:rsid w:val="587E5E37"/>
    <w:rsid w:val="587F556E"/>
    <w:rsid w:val="5880D3AC"/>
    <w:rsid w:val="58817239"/>
    <w:rsid w:val="58842725"/>
    <w:rsid w:val="588558A8"/>
    <w:rsid w:val="588A943F"/>
    <w:rsid w:val="588FE26E"/>
    <w:rsid w:val="589A5BFE"/>
    <w:rsid w:val="589D25A6"/>
    <w:rsid w:val="589FB17B"/>
    <w:rsid w:val="58A66CD8"/>
    <w:rsid w:val="58A8DFB8"/>
    <w:rsid w:val="58ACADA1"/>
    <w:rsid w:val="58B2E638"/>
    <w:rsid w:val="58B780A9"/>
    <w:rsid w:val="58B8FC58"/>
    <w:rsid w:val="58BD3043"/>
    <w:rsid w:val="58BD3D0C"/>
    <w:rsid w:val="58C10A01"/>
    <w:rsid w:val="58C1C011"/>
    <w:rsid w:val="58C2B1E3"/>
    <w:rsid w:val="58C2F48E"/>
    <w:rsid w:val="58C404F6"/>
    <w:rsid w:val="58C7632B"/>
    <w:rsid w:val="58CF896C"/>
    <w:rsid w:val="58DC07FE"/>
    <w:rsid w:val="58E06A45"/>
    <w:rsid w:val="58E2DC27"/>
    <w:rsid w:val="58E8AD52"/>
    <w:rsid w:val="58ED5B0E"/>
    <w:rsid w:val="58EF3CBB"/>
    <w:rsid w:val="58F2FDB0"/>
    <w:rsid w:val="58F5CD73"/>
    <w:rsid w:val="58F8FBC3"/>
    <w:rsid w:val="58FBC1F2"/>
    <w:rsid w:val="58FC2EDA"/>
    <w:rsid w:val="58FC79FB"/>
    <w:rsid w:val="58FC9B9F"/>
    <w:rsid w:val="58FCBAC4"/>
    <w:rsid w:val="58FD0169"/>
    <w:rsid w:val="58FE2313"/>
    <w:rsid w:val="59005E90"/>
    <w:rsid w:val="59035123"/>
    <w:rsid w:val="590505FD"/>
    <w:rsid w:val="590A68E2"/>
    <w:rsid w:val="590B2777"/>
    <w:rsid w:val="590E9D0D"/>
    <w:rsid w:val="590EA2B1"/>
    <w:rsid w:val="590ED18A"/>
    <w:rsid w:val="590FCE48"/>
    <w:rsid w:val="5910C7BD"/>
    <w:rsid w:val="591238D9"/>
    <w:rsid w:val="5915ADF6"/>
    <w:rsid w:val="5917D951"/>
    <w:rsid w:val="591B6637"/>
    <w:rsid w:val="591CAD04"/>
    <w:rsid w:val="59247318"/>
    <w:rsid w:val="59250029"/>
    <w:rsid w:val="59252786"/>
    <w:rsid w:val="59276752"/>
    <w:rsid w:val="5929DCD0"/>
    <w:rsid w:val="592CA37D"/>
    <w:rsid w:val="592F3F66"/>
    <w:rsid w:val="592F6ED0"/>
    <w:rsid w:val="59334E32"/>
    <w:rsid w:val="593468D8"/>
    <w:rsid w:val="59346E35"/>
    <w:rsid w:val="5934774A"/>
    <w:rsid w:val="59358A17"/>
    <w:rsid w:val="59372378"/>
    <w:rsid w:val="593CBB51"/>
    <w:rsid w:val="593D1FF8"/>
    <w:rsid w:val="593FE35E"/>
    <w:rsid w:val="594F972A"/>
    <w:rsid w:val="5950CEE8"/>
    <w:rsid w:val="595AE091"/>
    <w:rsid w:val="595E1DB5"/>
    <w:rsid w:val="595E7FBF"/>
    <w:rsid w:val="59678F89"/>
    <w:rsid w:val="5968CC4B"/>
    <w:rsid w:val="5968DB05"/>
    <w:rsid w:val="5968F74C"/>
    <w:rsid w:val="596B9F8B"/>
    <w:rsid w:val="596BAB8E"/>
    <w:rsid w:val="596F2CB5"/>
    <w:rsid w:val="59731CDB"/>
    <w:rsid w:val="5975C82B"/>
    <w:rsid w:val="5975E154"/>
    <w:rsid w:val="5978B7A1"/>
    <w:rsid w:val="5978DE65"/>
    <w:rsid w:val="59793463"/>
    <w:rsid w:val="597D0AD5"/>
    <w:rsid w:val="5981A46E"/>
    <w:rsid w:val="59902160"/>
    <w:rsid w:val="59917ED0"/>
    <w:rsid w:val="599452DC"/>
    <w:rsid w:val="599573D9"/>
    <w:rsid w:val="599B37DF"/>
    <w:rsid w:val="599C2914"/>
    <w:rsid w:val="599D44CC"/>
    <w:rsid w:val="599F5083"/>
    <w:rsid w:val="59A22939"/>
    <w:rsid w:val="59A35E81"/>
    <w:rsid w:val="59A505F5"/>
    <w:rsid w:val="59AA4905"/>
    <w:rsid w:val="59AC0F20"/>
    <w:rsid w:val="59AF0E43"/>
    <w:rsid w:val="59B88B2E"/>
    <w:rsid w:val="59B91835"/>
    <w:rsid w:val="59B97E99"/>
    <w:rsid w:val="59B9DD81"/>
    <w:rsid w:val="59BD3A11"/>
    <w:rsid w:val="59BDE30C"/>
    <w:rsid w:val="59BEA9D0"/>
    <w:rsid w:val="59BF8A3A"/>
    <w:rsid w:val="59C57A51"/>
    <w:rsid w:val="59C67A47"/>
    <w:rsid w:val="59C82AA1"/>
    <w:rsid w:val="59D38FC0"/>
    <w:rsid w:val="59D39FDD"/>
    <w:rsid w:val="59E0AF97"/>
    <w:rsid w:val="59E369FA"/>
    <w:rsid w:val="59E4C75B"/>
    <w:rsid w:val="59EBE382"/>
    <w:rsid w:val="59EC8D17"/>
    <w:rsid w:val="59ED1AEC"/>
    <w:rsid w:val="59F463D9"/>
    <w:rsid w:val="59FB0515"/>
    <w:rsid w:val="59FCA6C7"/>
    <w:rsid w:val="59FCBE5F"/>
    <w:rsid w:val="5A0311D4"/>
    <w:rsid w:val="5A059D01"/>
    <w:rsid w:val="5A05C336"/>
    <w:rsid w:val="5A069070"/>
    <w:rsid w:val="5A077BAC"/>
    <w:rsid w:val="5A0F1327"/>
    <w:rsid w:val="5A0FA87D"/>
    <w:rsid w:val="5A122A3E"/>
    <w:rsid w:val="5A146076"/>
    <w:rsid w:val="5A15B793"/>
    <w:rsid w:val="5A17CD1F"/>
    <w:rsid w:val="5A18B765"/>
    <w:rsid w:val="5A1B6487"/>
    <w:rsid w:val="5A216F04"/>
    <w:rsid w:val="5A222BB1"/>
    <w:rsid w:val="5A264BB8"/>
    <w:rsid w:val="5A278B25"/>
    <w:rsid w:val="5A2DA0B1"/>
    <w:rsid w:val="5A2F8BA4"/>
    <w:rsid w:val="5A34138B"/>
    <w:rsid w:val="5A3ADD35"/>
    <w:rsid w:val="5A3AE598"/>
    <w:rsid w:val="5A3B6094"/>
    <w:rsid w:val="5A3DB44F"/>
    <w:rsid w:val="5A3F33FD"/>
    <w:rsid w:val="5A411254"/>
    <w:rsid w:val="5A41D058"/>
    <w:rsid w:val="5A44974A"/>
    <w:rsid w:val="5A4EF172"/>
    <w:rsid w:val="5A55E621"/>
    <w:rsid w:val="5A5B4DBC"/>
    <w:rsid w:val="5A5B6483"/>
    <w:rsid w:val="5A5C04B0"/>
    <w:rsid w:val="5A5C94AB"/>
    <w:rsid w:val="5A5E7D64"/>
    <w:rsid w:val="5A5F97A2"/>
    <w:rsid w:val="5A6036ED"/>
    <w:rsid w:val="5A6BA0E5"/>
    <w:rsid w:val="5A6FB49C"/>
    <w:rsid w:val="5A6FE872"/>
    <w:rsid w:val="5A716265"/>
    <w:rsid w:val="5A7A80BA"/>
    <w:rsid w:val="5A7C26A1"/>
    <w:rsid w:val="5A7D7909"/>
    <w:rsid w:val="5A8077EA"/>
    <w:rsid w:val="5A861EAE"/>
    <w:rsid w:val="5A87BA97"/>
    <w:rsid w:val="5A8CA64D"/>
    <w:rsid w:val="5A96C5BB"/>
    <w:rsid w:val="5A982D49"/>
    <w:rsid w:val="5A9A9834"/>
    <w:rsid w:val="5A9D5521"/>
    <w:rsid w:val="5AA1D0E2"/>
    <w:rsid w:val="5AA2EF36"/>
    <w:rsid w:val="5AA4609B"/>
    <w:rsid w:val="5AB0641A"/>
    <w:rsid w:val="5AB1FCDC"/>
    <w:rsid w:val="5AB8D9F3"/>
    <w:rsid w:val="5AB94B4C"/>
    <w:rsid w:val="5ABC8112"/>
    <w:rsid w:val="5ABE7082"/>
    <w:rsid w:val="5ABF40B6"/>
    <w:rsid w:val="5AC1F8FB"/>
    <w:rsid w:val="5AC7C940"/>
    <w:rsid w:val="5AC9A5C9"/>
    <w:rsid w:val="5ADAD1E0"/>
    <w:rsid w:val="5ADB58D1"/>
    <w:rsid w:val="5AE25D63"/>
    <w:rsid w:val="5AE32CE1"/>
    <w:rsid w:val="5AE369F2"/>
    <w:rsid w:val="5AE38AC1"/>
    <w:rsid w:val="5AE4057A"/>
    <w:rsid w:val="5AE908B2"/>
    <w:rsid w:val="5AEB1044"/>
    <w:rsid w:val="5AEC3A4D"/>
    <w:rsid w:val="5AEE0751"/>
    <w:rsid w:val="5AEE3732"/>
    <w:rsid w:val="5AEED81F"/>
    <w:rsid w:val="5AF02877"/>
    <w:rsid w:val="5AF68F58"/>
    <w:rsid w:val="5AF96006"/>
    <w:rsid w:val="5B011D1D"/>
    <w:rsid w:val="5B04FBA3"/>
    <w:rsid w:val="5B0C59D0"/>
    <w:rsid w:val="5B0EAE18"/>
    <w:rsid w:val="5B101493"/>
    <w:rsid w:val="5B10339D"/>
    <w:rsid w:val="5B105611"/>
    <w:rsid w:val="5B109F88"/>
    <w:rsid w:val="5B164DDA"/>
    <w:rsid w:val="5B16969C"/>
    <w:rsid w:val="5B16A736"/>
    <w:rsid w:val="5B1E40CE"/>
    <w:rsid w:val="5B1F14A8"/>
    <w:rsid w:val="5B225103"/>
    <w:rsid w:val="5B2561FD"/>
    <w:rsid w:val="5B27AC81"/>
    <w:rsid w:val="5B2CFA86"/>
    <w:rsid w:val="5B33B653"/>
    <w:rsid w:val="5B34BD51"/>
    <w:rsid w:val="5B359548"/>
    <w:rsid w:val="5B390627"/>
    <w:rsid w:val="5B392053"/>
    <w:rsid w:val="5B3FC61C"/>
    <w:rsid w:val="5B4181FB"/>
    <w:rsid w:val="5B459A58"/>
    <w:rsid w:val="5B48B752"/>
    <w:rsid w:val="5B4C2761"/>
    <w:rsid w:val="5B4C7D36"/>
    <w:rsid w:val="5B5A89E4"/>
    <w:rsid w:val="5B5BF942"/>
    <w:rsid w:val="5B64AFAD"/>
    <w:rsid w:val="5B678ED0"/>
    <w:rsid w:val="5B6CA18F"/>
    <w:rsid w:val="5B6CB2E8"/>
    <w:rsid w:val="5B6D10E2"/>
    <w:rsid w:val="5B720987"/>
    <w:rsid w:val="5B7369BC"/>
    <w:rsid w:val="5B73AE4F"/>
    <w:rsid w:val="5B74CB2A"/>
    <w:rsid w:val="5B77BB5B"/>
    <w:rsid w:val="5B781573"/>
    <w:rsid w:val="5B786B37"/>
    <w:rsid w:val="5B79B404"/>
    <w:rsid w:val="5B7B0D39"/>
    <w:rsid w:val="5B7B5C9B"/>
    <w:rsid w:val="5B7CC53D"/>
    <w:rsid w:val="5B7D9C5F"/>
    <w:rsid w:val="5B7F1B8E"/>
    <w:rsid w:val="5B830DCB"/>
    <w:rsid w:val="5B83BD71"/>
    <w:rsid w:val="5B864F19"/>
    <w:rsid w:val="5B866E76"/>
    <w:rsid w:val="5B898D91"/>
    <w:rsid w:val="5B8BC373"/>
    <w:rsid w:val="5B8EF015"/>
    <w:rsid w:val="5B904992"/>
    <w:rsid w:val="5B917542"/>
    <w:rsid w:val="5B94F68F"/>
    <w:rsid w:val="5B96D03A"/>
    <w:rsid w:val="5BA2761E"/>
    <w:rsid w:val="5BA339EB"/>
    <w:rsid w:val="5BAB6FE9"/>
    <w:rsid w:val="5BB3BFF4"/>
    <w:rsid w:val="5BB5FB63"/>
    <w:rsid w:val="5BB6F630"/>
    <w:rsid w:val="5BB7723B"/>
    <w:rsid w:val="5BB94D8D"/>
    <w:rsid w:val="5BB96CD7"/>
    <w:rsid w:val="5BBB5B2D"/>
    <w:rsid w:val="5BC0294F"/>
    <w:rsid w:val="5BC0E1E9"/>
    <w:rsid w:val="5BCC32E1"/>
    <w:rsid w:val="5BCDD854"/>
    <w:rsid w:val="5BDBC35C"/>
    <w:rsid w:val="5BDBFB99"/>
    <w:rsid w:val="5BDD9969"/>
    <w:rsid w:val="5BDF5CBB"/>
    <w:rsid w:val="5BE1E04A"/>
    <w:rsid w:val="5BE38DC5"/>
    <w:rsid w:val="5BE567A0"/>
    <w:rsid w:val="5BE5CC39"/>
    <w:rsid w:val="5BE66CDD"/>
    <w:rsid w:val="5BE849DF"/>
    <w:rsid w:val="5BE868E8"/>
    <w:rsid w:val="5BEB06FC"/>
    <w:rsid w:val="5BEBFC6A"/>
    <w:rsid w:val="5BEC43D0"/>
    <w:rsid w:val="5BED32E8"/>
    <w:rsid w:val="5BF05952"/>
    <w:rsid w:val="5BF13BBD"/>
    <w:rsid w:val="5BF156F8"/>
    <w:rsid w:val="5BF982FC"/>
    <w:rsid w:val="5BF9F799"/>
    <w:rsid w:val="5C04E61C"/>
    <w:rsid w:val="5C0852A6"/>
    <w:rsid w:val="5C085372"/>
    <w:rsid w:val="5C08ECD6"/>
    <w:rsid w:val="5C11FC15"/>
    <w:rsid w:val="5C140F1C"/>
    <w:rsid w:val="5C174E67"/>
    <w:rsid w:val="5C17D75F"/>
    <w:rsid w:val="5C1E1CE4"/>
    <w:rsid w:val="5C206EB5"/>
    <w:rsid w:val="5C24C287"/>
    <w:rsid w:val="5C259CAB"/>
    <w:rsid w:val="5C31C045"/>
    <w:rsid w:val="5C32D59D"/>
    <w:rsid w:val="5C34C1F4"/>
    <w:rsid w:val="5C352107"/>
    <w:rsid w:val="5C397F64"/>
    <w:rsid w:val="5C39CF5C"/>
    <w:rsid w:val="5C3B0ABD"/>
    <w:rsid w:val="5C3E084E"/>
    <w:rsid w:val="5C3EDA4B"/>
    <w:rsid w:val="5C3EFB51"/>
    <w:rsid w:val="5C469C8B"/>
    <w:rsid w:val="5C4AE77F"/>
    <w:rsid w:val="5C4B81A9"/>
    <w:rsid w:val="5C4EB57C"/>
    <w:rsid w:val="5C50BC5B"/>
    <w:rsid w:val="5C50DE79"/>
    <w:rsid w:val="5C54BB94"/>
    <w:rsid w:val="5C59C484"/>
    <w:rsid w:val="5C5A0833"/>
    <w:rsid w:val="5C5C788E"/>
    <w:rsid w:val="5C5D55DA"/>
    <w:rsid w:val="5C63DFAB"/>
    <w:rsid w:val="5C6411CA"/>
    <w:rsid w:val="5C713BB1"/>
    <w:rsid w:val="5C79AAD5"/>
    <w:rsid w:val="5C7C6105"/>
    <w:rsid w:val="5C7EFDEF"/>
    <w:rsid w:val="5C819202"/>
    <w:rsid w:val="5C86E0A5"/>
    <w:rsid w:val="5C87EE4F"/>
    <w:rsid w:val="5C8FAA5C"/>
    <w:rsid w:val="5C92CB53"/>
    <w:rsid w:val="5C95CC08"/>
    <w:rsid w:val="5C976668"/>
    <w:rsid w:val="5C97F58C"/>
    <w:rsid w:val="5C9958F4"/>
    <w:rsid w:val="5C9B0874"/>
    <w:rsid w:val="5C9B5DD5"/>
    <w:rsid w:val="5CA023DE"/>
    <w:rsid w:val="5CA0B727"/>
    <w:rsid w:val="5CA9BBE8"/>
    <w:rsid w:val="5CAD6859"/>
    <w:rsid w:val="5CAE20E9"/>
    <w:rsid w:val="5CB1AFEE"/>
    <w:rsid w:val="5CB808C6"/>
    <w:rsid w:val="5CBF4F1F"/>
    <w:rsid w:val="5CBFD49C"/>
    <w:rsid w:val="5CC1E240"/>
    <w:rsid w:val="5CC371FA"/>
    <w:rsid w:val="5CC48AD4"/>
    <w:rsid w:val="5CC7F5AB"/>
    <w:rsid w:val="5CC8E47A"/>
    <w:rsid w:val="5CCADCD0"/>
    <w:rsid w:val="5CCE162B"/>
    <w:rsid w:val="5CCF24FA"/>
    <w:rsid w:val="5CD36E6E"/>
    <w:rsid w:val="5CD378D1"/>
    <w:rsid w:val="5CD48D87"/>
    <w:rsid w:val="5CD67462"/>
    <w:rsid w:val="5CD9013D"/>
    <w:rsid w:val="5CDA745B"/>
    <w:rsid w:val="5CDA9966"/>
    <w:rsid w:val="5CDCBBE2"/>
    <w:rsid w:val="5CE0C18C"/>
    <w:rsid w:val="5CE11545"/>
    <w:rsid w:val="5CE28B3B"/>
    <w:rsid w:val="5CE51845"/>
    <w:rsid w:val="5CEBABC8"/>
    <w:rsid w:val="5CEBBD33"/>
    <w:rsid w:val="5CF0187D"/>
    <w:rsid w:val="5CF464C2"/>
    <w:rsid w:val="5CF7BA95"/>
    <w:rsid w:val="5CF9D379"/>
    <w:rsid w:val="5CFA58FB"/>
    <w:rsid w:val="5CFD192D"/>
    <w:rsid w:val="5CFF8E06"/>
    <w:rsid w:val="5D01AF67"/>
    <w:rsid w:val="5D06CA2F"/>
    <w:rsid w:val="5D07501E"/>
    <w:rsid w:val="5D09CB3B"/>
    <w:rsid w:val="5D0A6E41"/>
    <w:rsid w:val="5D0B2320"/>
    <w:rsid w:val="5D0B3082"/>
    <w:rsid w:val="5D0B4BF9"/>
    <w:rsid w:val="5D0DAC3B"/>
    <w:rsid w:val="5D0E3FDC"/>
    <w:rsid w:val="5D0ED685"/>
    <w:rsid w:val="5D13972D"/>
    <w:rsid w:val="5D1BBBBD"/>
    <w:rsid w:val="5D1D3C34"/>
    <w:rsid w:val="5D200270"/>
    <w:rsid w:val="5D203DDF"/>
    <w:rsid w:val="5D22E678"/>
    <w:rsid w:val="5D261E0F"/>
    <w:rsid w:val="5D27374E"/>
    <w:rsid w:val="5D28EDBC"/>
    <w:rsid w:val="5D2E8A13"/>
    <w:rsid w:val="5D3175E5"/>
    <w:rsid w:val="5D32FF0F"/>
    <w:rsid w:val="5D36BE02"/>
    <w:rsid w:val="5D370E86"/>
    <w:rsid w:val="5D37A928"/>
    <w:rsid w:val="5D38A1E3"/>
    <w:rsid w:val="5D3ADCDC"/>
    <w:rsid w:val="5D3C7504"/>
    <w:rsid w:val="5D415B89"/>
    <w:rsid w:val="5D429CB5"/>
    <w:rsid w:val="5D42E82C"/>
    <w:rsid w:val="5D47DFDE"/>
    <w:rsid w:val="5D4DCD38"/>
    <w:rsid w:val="5D4DEAC6"/>
    <w:rsid w:val="5D57F45E"/>
    <w:rsid w:val="5D5D81ED"/>
    <w:rsid w:val="5D61E365"/>
    <w:rsid w:val="5D65D933"/>
    <w:rsid w:val="5D6606BD"/>
    <w:rsid w:val="5D6697E6"/>
    <w:rsid w:val="5D673703"/>
    <w:rsid w:val="5D67FF9C"/>
    <w:rsid w:val="5D6B95F2"/>
    <w:rsid w:val="5D6DCFD9"/>
    <w:rsid w:val="5D71681D"/>
    <w:rsid w:val="5D72513F"/>
    <w:rsid w:val="5D72DDAF"/>
    <w:rsid w:val="5D75220D"/>
    <w:rsid w:val="5D78D2AA"/>
    <w:rsid w:val="5D7DFADB"/>
    <w:rsid w:val="5D82274C"/>
    <w:rsid w:val="5D854C8F"/>
    <w:rsid w:val="5D8CC495"/>
    <w:rsid w:val="5D8F162D"/>
    <w:rsid w:val="5D9004A4"/>
    <w:rsid w:val="5D926848"/>
    <w:rsid w:val="5D928354"/>
    <w:rsid w:val="5D92A09F"/>
    <w:rsid w:val="5D93A5F7"/>
    <w:rsid w:val="5D9568C8"/>
    <w:rsid w:val="5D960427"/>
    <w:rsid w:val="5D973CC8"/>
    <w:rsid w:val="5D9B29BF"/>
    <w:rsid w:val="5D9CAA50"/>
    <w:rsid w:val="5D9CFA15"/>
    <w:rsid w:val="5D9D452F"/>
    <w:rsid w:val="5D9E84F2"/>
    <w:rsid w:val="5DA31784"/>
    <w:rsid w:val="5DA42307"/>
    <w:rsid w:val="5DA4D42C"/>
    <w:rsid w:val="5DA87772"/>
    <w:rsid w:val="5DAD1953"/>
    <w:rsid w:val="5DAF7EBD"/>
    <w:rsid w:val="5DB14549"/>
    <w:rsid w:val="5DBD9B25"/>
    <w:rsid w:val="5DBE7139"/>
    <w:rsid w:val="5DBF00B4"/>
    <w:rsid w:val="5DC77BCB"/>
    <w:rsid w:val="5DCA7444"/>
    <w:rsid w:val="5DCB6BF5"/>
    <w:rsid w:val="5DCD4105"/>
    <w:rsid w:val="5DCFF1B2"/>
    <w:rsid w:val="5DD2285A"/>
    <w:rsid w:val="5DD31F55"/>
    <w:rsid w:val="5DDC8A41"/>
    <w:rsid w:val="5DE189AB"/>
    <w:rsid w:val="5DE18EFA"/>
    <w:rsid w:val="5DE23D81"/>
    <w:rsid w:val="5DE30139"/>
    <w:rsid w:val="5DE66337"/>
    <w:rsid w:val="5DF08D69"/>
    <w:rsid w:val="5DF2543C"/>
    <w:rsid w:val="5DF2FA23"/>
    <w:rsid w:val="5DF3B4F7"/>
    <w:rsid w:val="5DF50375"/>
    <w:rsid w:val="5DF70AD7"/>
    <w:rsid w:val="5DF9A839"/>
    <w:rsid w:val="5E007DD5"/>
    <w:rsid w:val="5E00D6B5"/>
    <w:rsid w:val="5E046282"/>
    <w:rsid w:val="5E048587"/>
    <w:rsid w:val="5E04A14F"/>
    <w:rsid w:val="5E04CD89"/>
    <w:rsid w:val="5E05AEE0"/>
    <w:rsid w:val="5E09052D"/>
    <w:rsid w:val="5E0DAB8D"/>
    <w:rsid w:val="5E130AC2"/>
    <w:rsid w:val="5E13ED6D"/>
    <w:rsid w:val="5E1CCC53"/>
    <w:rsid w:val="5E1CEE0E"/>
    <w:rsid w:val="5E20A974"/>
    <w:rsid w:val="5E22B106"/>
    <w:rsid w:val="5E24AE99"/>
    <w:rsid w:val="5E24C69C"/>
    <w:rsid w:val="5E26C8EB"/>
    <w:rsid w:val="5E2AE03F"/>
    <w:rsid w:val="5E2AE0B0"/>
    <w:rsid w:val="5E2C21F0"/>
    <w:rsid w:val="5E2CBDAF"/>
    <w:rsid w:val="5E2D710C"/>
    <w:rsid w:val="5E2FD101"/>
    <w:rsid w:val="5E30C83D"/>
    <w:rsid w:val="5E38BA8C"/>
    <w:rsid w:val="5E39BAA6"/>
    <w:rsid w:val="5E3DF8F4"/>
    <w:rsid w:val="5E3ED818"/>
    <w:rsid w:val="5E41D5EA"/>
    <w:rsid w:val="5E423805"/>
    <w:rsid w:val="5E429F94"/>
    <w:rsid w:val="5E456E96"/>
    <w:rsid w:val="5E474AE4"/>
    <w:rsid w:val="5E4AB4C0"/>
    <w:rsid w:val="5E506E50"/>
    <w:rsid w:val="5E5BA4FD"/>
    <w:rsid w:val="5E5C02A3"/>
    <w:rsid w:val="5E5DCF16"/>
    <w:rsid w:val="5E612BF9"/>
    <w:rsid w:val="5E61CD28"/>
    <w:rsid w:val="5E63E1AD"/>
    <w:rsid w:val="5E6BEB22"/>
    <w:rsid w:val="5E6C975B"/>
    <w:rsid w:val="5E6D5860"/>
    <w:rsid w:val="5E6EFDE6"/>
    <w:rsid w:val="5E70B3BD"/>
    <w:rsid w:val="5E71572E"/>
    <w:rsid w:val="5E75C57E"/>
    <w:rsid w:val="5E7910A0"/>
    <w:rsid w:val="5E79ED06"/>
    <w:rsid w:val="5E881E77"/>
    <w:rsid w:val="5E8D5D3B"/>
    <w:rsid w:val="5E8F652C"/>
    <w:rsid w:val="5E90DB05"/>
    <w:rsid w:val="5E9836DE"/>
    <w:rsid w:val="5E9D4FD1"/>
    <w:rsid w:val="5E9D952E"/>
    <w:rsid w:val="5E9E8682"/>
    <w:rsid w:val="5E9F81FB"/>
    <w:rsid w:val="5EA103CF"/>
    <w:rsid w:val="5EA26BAD"/>
    <w:rsid w:val="5EA84D26"/>
    <w:rsid w:val="5EA8B13F"/>
    <w:rsid w:val="5EACF0CD"/>
    <w:rsid w:val="5EAD3E3B"/>
    <w:rsid w:val="5EADAF21"/>
    <w:rsid w:val="5EAE4215"/>
    <w:rsid w:val="5EAEF159"/>
    <w:rsid w:val="5EB45AC2"/>
    <w:rsid w:val="5EBA7817"/>
    <w:rsid w:val="5EBC30F7"/>
    <w:rsid w:val="5EBD2778"/>
    <w:rsid w:val="5EBD6662"/>
    <w:rsid w:val="5EBDEE58"/>
    <w:rsid w:val="5EBE0FEF"/>
    <w:rsid w:val="5EBEC04C"/>
    <w:rsid w:val="5EC1A6F5"/>
    <w:rsid w:val="5EC4125B"/>
    <w:rsid w:val="5EC55F21"/>
    <w:rsid w:val="5EC7F3A2"/>
    <w:rsid w:val="5EC80404"/>
    <w:rsid w:val="5ECAB991"/>
    <w:rsid w:val="5ED1B748"/>
    <w:rsid w:val="5ED3568C"/>
    <w:rsid w:val="5ED6001A"/>
    <w:rsid w:val="5ED69C09"/>
    <w:rsid w:val="5ED7F5CB"/>
    <w:rsid w:val="5EDB2DFB"/>
    <w:rsid w:val="5EE0AF46"/>
    <w:rsid w:val="5EE147CA"/>
    <w:rsid w:val="5EE3A1A0"/>
    <w:rsid w:val="5EE9C4AF"/>
    <w:rsid w:val="5EEE15F7"/>
    <w:rsid w:val="5EEFB3A3"/>
    <w:rsid w:val="5EF06729"/>
    <w:rsid w:val="5EF39079"/>
    <w:rsid w:val="5EF433A7"/>
    <w:rsid w:val="5EF7EA5F"/>
    <w:rsid w:val="5EF8430C"/>
    <w:rsid w:val="5F00A659"/>
    <w:rsid w:val="5F038755"/>
    <w:rsid w:val="5F04FEBB"/>
    <w:rsid w:val="5F060915"/>
    <w:rsid w:val="5F069BF5"/>
    <w:rsid w:val="5F077154"/>
    <w:rsid w:val="5F0D60F5"/>
    <w:rsid w:val="5F0D915F"/>
    <w:rsid w:val="5F0E232B"/>
    <w:rsid w:val="5F10F26E"/>
    <w:rsid w:val="5F134530"/>
    <w:rsid w:val="5F1788CE"/>
    <w:rsid w:val="5F21AEC1"/>
    <w:rsid w:val="5F247C4F"/>
    <w:rsid w:val="5F2DF312"/>
    <w:rsid w:val="5F3405E6"/>
    <w:rsid w:val="5F3B6238"/>
    <w:rsid w:val="5F3C5165"/>
    <w:rsid w:val="5F4583FE"/>
    <w:rsid w:val="5F4928BE"/>
    <w:rsid w:val="5F4965A7"/>
    <w:rsid w:val="5F4B31AC"/>
    <w:rsid w:val="5F5067A4"/>
    <w:rsid w:val="5F510CF7"/>
    <w:rsid w:val="5F523EF6"/>
    <w:rsid w:val="5F5565FE"/>
    <w:rsid w:val="5F59F331"/>
    <w:rsid w:val="5F5AB15B"/>
    <w:rsid w:val="5F5D95D6"/>
    <w:rsid w:val="5F632E6B"/>
    <w:rsid w:val="5F649B7E"/>
    <w:rsid w:val="5F6514A9"/>
    <w:rsid w:val="5F695559"/>
    <w:rsid w:val="5F6B9E6C"/>
    <w:rsid w:val="5F7070BF"/>
    <w:rsid w:val="5F709BF6"/>
    <w:rsid w:val="5F70C644"/>
    <w:rsid w:val="5F748C56"/>
    <w:rsid w:val="5F77BA87"/>
    <w:rsid w:val="5F7A92B6"/>
    <w:rsid w:val="5F7DEC6B"/>
    <w:rsid w:val="5F7F0FCC"/>
    <w:rsid w:val="5F82BCA4"/>
    <w:rsid w:val="5F82FA3D"/>
    <w:rsid w:val="5F830C20"/>
    <w:rsid w:val="5F841D2A"/>
    <w:rsid w:val="5F87EE7D"/>
    <w:rsid w:val="5F89BFE7"/>
    <w:rsid w:val="5F89D868"/>
    <w:rsid w:val="5F95B6DF"/>
    <w:rsid w:val="5F9F9685"/>
    <w:rsid w:val="5FA02A66"/>
    <w:rsid w:val="5FA45404"/>
    <w:rsid w:val="5FA4D309"/>
    <w:rsid w:val="5FA91228"/>
    <w:rsid w:val="5FAE6E8E"/>
    <w:rsid w:val="5FB525E2"/>
    <w:rsid w:val="5FB6B77A"/>
    <w:rsid w:val="5FBA30BE"/>
    <w:rsid w:val="5FBA9832"/>
    <w:rsid w:val="5FBC7FD0"/>
    <w:rsid w:val="5FC24942"/>
    <w:rsid w:val="5FCB5F06"/>
    <w:rsid w:val="5FCB92E2"/>
    <w:rsid w:val="5FCDB4AC"/>
    <w:rsid w:val="5FDA24A7"/>
    <w:rsid w:val="5FE03649"/>
    <w:rsid w:val="5FE1C96E"/>
    <w:rsid w:val="5FEB79F5"/>
    <w:rsid w:val="5FED59EA"/>
    <w:rsid w:val="5FED651E"/>
    <w:rsid w:val="5FEDAFBC"/>
    <w:rsid w:val="5FEE97D0"/>
    <w:rsid w:val="5FF05EF1"/>
    <w:rsid w:val="5FF0C17A"/>
    <w:rsid w:val="5FF64C5D"/>
    <w:rsid w:val="5FF66AB7"/>
    <w:rsid w:val="5FF75542"/>
    <w:rsid w:val="5FF7C235"/>
    <w:rsid w:val="5FFB045B"/>
    <w:rsid w:val="5FFB0B0D"/>
    <w:rsid w:val="5FFD4181"/>
    <w:rsid w:val="5FFEC184"/>
    <w:rsid w:val="60006F52"/>
    <w:rsid w:val="6001EA31"/>
    <w:rsid w:val="6003045B"/>
    <w:rsid w:val="6003A59F"/>
    <w:rsid w:val="6009A015"/>
    <w:rsid w:val="600E9207"/>
    <w:rsid w:val="601EC33E"/>
    <w:rsid w:val="601F26D6"/>
    <w:rsid w:val="60205D60"/>
    <w:rsid w:val="6021CB8F"/>
    <w:rsid w:val="602267A3"/>
    <w:rsid w:val="6023D075"/>
    <w:rsid w:val="60245935"/>
    <w:rsid w:val="6024FD08"/>
    <w:rsid w:val="602AA508"/>
    <w:rsid w:val="6031A4F7"/>
    <w:rsid w:val="6031D53E"/>
    <w:rsid w:val="6033DB3A"/>
    <w:rsid w:val="6035661B"/>
    <w:rsid w:val="603A3E30"/>
    <w:rsid w:val="603A56E3"/>
    <w:rsid w:val="603C4166"/>
    <w:rsid w:val="603F6C6F"/>
    <w:rsid w:val="603FFFAC"/>
    <w:rsid w:val="6040E35E"/>
    <w:rsid w:val="60426CAC"/>
    <w:rsid w:val="60437354"/>
    <w:rsid w:val="6043EA39"/>
    <w:rsid w:val="60476E6A"/>
    <w:rsid w:val="604B9AD3"/>
    <w:rsid w:val="604C97FC"/>
    <w:rsid w:val="604E3160"/>
    <w:rsid w:val="6056AC5F"/>
    <w:rsid w:val="605809DB"/>
    <w:rsid w:val="60595AA5"/>
    <w:rsid w:val="6066BA75"/>
    <w:rsid w:val="6069D69C"/>
    <w:rsid w:val="606A3E69"/>
    <w:rsid w:val="606C6F51"/>
    <w:rsid w:val="606D82E5"/>
    <w:rsid w:val="606E6D07"/>
    <w:rsid w:val="60704429"/>
    <w:rsid w:val="60723A2A"/>
    <w:rsid w:val="60770EEE"/>
    <w:rsid w:val="608204DF"/>
    <w:rsid w:val="6088F71F"/>
    <w:rsid w:val="608982CB"/>
    <w:rsid w:val="6089E92F"/>
    <w:rsid w:val="608A5606"/>
    <w:rsid w:val="60905A90"/>
    <w:rsid w:val="60909F10"/>
    <w:rsid w:val="6097B67E"/>
    <w:rsid w:val="609A02AE"/>
    <w:rsid w:val="609A112D"/>
    <w:rsid w:val="609B0F5F"/>
    <w:rsid w:val="609B73A6"/>
    <w:rsid w:val="609E4319"/>
    <w:rsid w:val="609F7016"/>
    <w:rsid w:val="60A10C59"/>
    <w:rsid w:val="60A1A3F3"/>
    <w:rsid w:val="60A47A8C"/>
    <w:rsid w:val="60A54416"/>
    <w:rsid w:val="60A6108C"/>
    <w:rsid w:val="60AE01F7"/>
    <w:rsid w:val="60AE7581"/>
    <w:rsid w:val="60B52964"/>
    <w:rsid w:val="60B6B265"/>
    <w:rsid w:val="60B6BA23"/>
    <w:rsid w:val="60C26386"/>
    <w:rsid w:val="60C29269"/>
    <w:rsid w:val="60C4C03F"/>
    <w:rsid w:val="60C546FF"/>
    <w:rsid w:val="60C665A5"/>
    <w:rsid w:val="60CC7549"/>
    <w:rsid w:val="60CD03D8"/>
    <w:rsid w:val="60CDE4D0"/>
    <w:rsid w:val="60CE8563"/>
    <w:rsid w:val="60D55E79"/>
    <w:rsid w:val="60D7134A"/>
    <w:rsid w:val="60E05353"/>
    <w:rsid w:val="60E1029C"/>
    <w:rsid w:val="60E2F72D"/>
    <w:rsid w:val="60E4F3BB"/>
    <w:rsid w:val="60E7AF4C"/>
    <w:rsid w:val="60EAB394"/>
    <w:rsid w:val="60EE6563"/>
    <w:rsid w:val="60F88CC5"/>
    <w:rsid w:val="60F97C26"/>
    <w:rsid w:val="60FD14B2"/>
    <w:rsid w:val="61027F8D"/>
    <w:rsid w:val="6104E391"/>
    <w:rsid w:val="610549AE"/>
    <w:rsid w:val="61071F66"/>
    <w:rsid w:val="61094D4C"/>
    <w:rsid w:val="610AC282"/>
    <w:rsid w:val="610C5364"/>
    <w:rsid w:val="610CA698"/>
    <w:rsid w:val="610DEBD6"/>
    <w:rsid w:val="61120FFD"/>
    <w:rsid w:val="6113A934"/>
    <w:rsid w:val="6118B978"/>
    <w:rsid w:val="6118BE4E"/>
    <w:rsid w:val="611D690C"/>
    <w:rsid w:val="61207468"/>
    <w:rsid w:val="612AABF4"/>
    <w:rsid w:val="612E05AD"/>
    <w:rsid w:val="613195D4"/>
    <w:rsid w:val="613711A9"/>
    <w:rsid w:val="6137B562"/>
    <w:rsid w:val="613DEF38"/>
    <w:rsid w:val="613E0D90"/>
    <w:rsid w:val="613F58F6"/>
    <w:rsid w:val="61406042"/>
    <w:rsid w:val="61406F74"/>
    <w:rsid w:val="614713EF"/>
    <w:rsid w:val="614885C1"/>
    <w:rsid w:val="614F6A85"/>
    <w:rsid w:val="61513A54"/>
    <w:rsid w:val="61519EE7"/>
    <w:rsid w:val="615248B7"/>
    <w:rsid w:val="6153D89A"/>
    <w:rsid w:val="6158034E"/>
    <w:rsid w:val="615A51C8"/>
    <w:rsid w:val="615A73D5"/>
    <w:rsid w:val="615AEAC4"/>
    <w:rsid w:val="615F295F"/>
    <w:rsid w:val="61611131"/>
    <w:rsid w:val="6161997B"/>
    <w:rsid w:val="6161E111"/>
    <w:rsid w:val="616DC7CD"/>
    <w:rsid w:val="6175E7AB"/>
    <w:rsid w:val="61783870"/>
    <w:rsid w:val="617A786C"/>
    <w:rsid w:val="617C5D71"/>
    <w:rsid w:val="6182AB95"/>
    <w:rsid w:val="61844BBB"/>
    <w:rsid w:val="61877F67"/>
    <w:rsid w:val="6189198F"/>
    <w:rsid w:val="618A19AB"/>
    <w:rsid w:val="618FDAD2"/>
    <w:rsid w:val="61918A57"/>
    <w:rsid w:val="61933F1E"/>
    <w:rsid w:val="6196653A"/>
    <w:rsid w:val="619743F6"/>
    <w:rsid w:val="61995C3A"/>
    <w:rsid w:val="6199CC85"/>
    <w:rsid w:val="619B503A"/>
    <w:rsid w:val="619B8F73"/>
    <w:rsid w:val="619BC578"/>
    <w:rsid w:val="619CED08"/>
    <w:rsid w:val="619FDBE7"/>
    <w:rsid w:val="61A23874"/>
    <w:rsid w:val="61A92255"/>
    <w:rsid w:val="61AA6268"/>
    <w:rsid w:val="61ACD59A"/>
    <w:rsid w:val="61AD2382"/>
    <w:rsid w:val="61AEBE3B"/>
    <w:rsid w:val="61B05176"/>
    <w:rsid w:val="61B59C93"/>
    <w:rsid w:val="61B631FE"/>
    <w:rsid w:val="61B88D1E"/>
    <w:rsid w:val="61C270E6"/>
    <w:rsid w:val="61C38AC5"/>
    <w:rsid w:val="61C415B3"/>
    <w:rsid w:val="61C59DD1"/>
    <w:rsid w:val="61C5AF27"/>
    <w:rsid w:val="61C6CAD3"/>
    <w:rsid w:val="61CA9810"/>
    <w:rsid w:val="61CAB02E"/>
    <w:rsid w:val="61CBE1A6"/>
    <w:rsid w:val="61CDF8DF"/>
    <w:rsid w:val="61CE0E4C"/>
    <w:rsid w:val="61DC69B6"/>
    <w:rsid w:val="61DE169E"/>
    <w:rsid w:val="61E0EACA"/>
    <w:rsid w:val="61E1E119"/>
    <w:rsid w:val="61E38417"/>
    <w:rsid w:val="61E3952A"/>
    <w:rsid w:val="61E66BD0"/>
    <w:rsid w:val="61E6F5E5"/>
    <w:rsid w:val="61E81B28"/>
    <w:rsid w:val="61EB12BA"/>
    <w:rsid w:val="61EB3FAC"/>
    <w:rsid w:val="61EBC17C"/>
    <w:rsid w:val="61ECF3F1"/>
    <w:rsid w:val="61EDAA1B"/>
    <w:rsid w:val="61F0A837"/>
    <w:rsid w:val="61F31789"/>
    <w:rsid w:val="61F32E2F"/>
    <w:rsid w:val="61F4F74C"/>
    <w:rsid w:val="61F6450F"/>
    <w:rsid w:val="61F8FE52"/>
    <w:rsid w:val="61FA4BB3"/>
    <w:rsid w:val="61FBD4DD"/>
    <w:rsid w:val="61FC8428"/>
    <w:rsid w:val="61FC9A86"/>
    <w:rsid w:val="61FD580C"/>
    <w:rsid w:val="61FF395A"/>
    <w:rsid w:val="61FF5192"/>
    <w:rsid w:val="62005134"/>
    <w:rsid w:val="6201BDF0"/>
    <w:rsid w:val="6206B59A"/>
    <w:rsid w:val="620DF097"/>
    <w:rsid w:val="62110975"/>
    <w:rsid w:val="6217770D"/>
    <w:rsid w:val="621DD540"/>
    <w:rsid w:val="621E9B81"/>
    <w:rsid w:val="621E9D9A"/>
    <w:rsid w:val="6222AE4A"/>
    <w:rsid w:val="6222C229"/>
    <w:rsid w:val="62235F7C"/>
    <w:rsid w:val="622578FE"/>
    <w:rsid w:val="622BFDBB"/>
    <w:rsid w:val="622DD010"/>
    <w:rsid w:val="6232A3B3"/>
    <w:rsid w:val="62334872"/>
    <w:rsid w:val="6238ACBB"/>
    <w:rsid w:val="623E0F92"/>
    <w:rsid w:val="62410BE0"/>
    <w:rsid w:val="624256CC"/>
    <w:rsid w:val="624544D5"/>
    <w:rsid w:val="62486872"/>
    <w:rsid w:val="6249AC35"/>
    <w:rsid w:val="6249FC7C"/>
    <w:rsid w:val="624B9393"/>
    <w:rsid w:val="624BEE47"/>
    <w:rsid w:val="624E8D1B"/>
    <w:rsid w:val="625062AD"/>
    <w:rsid w:val="62520631"/>
    <w:rsid w:val="62540192"/>
    <w:rsid w:val="625AD7E3"/>
    <w:rsid w:val="625CFB43"/>
    <w:rsid w:val="625FA27B"/>
    <w:rsid w:val="6260B3F9"/>
    <w:rsid w:val="6261D461"/>
    <w:rsid w:val="6265634A"/>
    <w:rsid w:val="62682C73"/>
    <w:rsid w:val="62684EE0"/>
    <w:rsid w:val="626AF8D1"/>
    <w:rsid w:val="626C5EDC"/>
    <w:rsid w:val="6272835E"/>
    <w:rsid w:val="62733926"/>
    <w:rsid w:val="6275E7D1"/>
    <w:rsid w:val="627A8A0F"/>
    <w:rsid w:val="6285BBC9"/>
    <w:rsid w:val="6292D855"/>
    <w:rsid w:val="6292E54C"/>
    <w:rsid w:val="6293B702"/>
    <w:rsid w:val="62942E16"/>
    <w:rsid w:val="629CB56B"/>
    <w:rsid w:val="62A17384"/>
    <w:rsid w:val="62A1A5E5"/>
    <w:rsid w:val="62AE390D"/>
    <w:rsid w:val="62B14E01"/>
    <w:rsid w:val="62B9FDED"/>
    <w:rsid w:val="62BD0EC1"/>
    <w:rsid w:val="62C1B334"/>
    <w:rsid w:val="62C238ED"/>
    <w:rsid w:val="62C39E95"/>
    <w:rsid w:val="62CE4998"/>
    <w:rsid w:val="62D48486"/>
    <w:rsid w:val="62D78A8E"/>
    <w:rsid w:val="62DA512C"/>
    <w:rsid w:val="62DE3F6D"/>
    <w:rsid w:val="62E4CF37"/>
    <w:rsid w:val="62E5F780"/>
    <w:rsid w:val="62EA051E"/>
    <w:rsid w:val="62EA1F3B"/>
    <w:rsid w:val="62EDBA7F"/>
    <w:rsid w:val="62F469DC"/>
    <w:rsid w:val="62F54BA1"/>
    <w:rsid w:val="62F5DFBF"/>
    <w:rsid w:val="62F71743"/>
    <w:rsid w:val="62F8E7D7"/>
    <w:rsid w:val="62FB8050"/>
    <w:rsid w:val="62FCE69E"/>
    <w:rsid w:val="62FD8EA7"/>
    <w:rsid w:val="6300C86B"/>
    <w:rsid w:val="6301D070"/>
    <w:rsid w:val="63082858"/>
    <w:rsid w:val="630B493F"/>
    <w:rsid w:val="630BD24F"/>
    <w:rsid w:val="630E5CB4"/>
    <w:rsid w:val="630EF6A7"/>
    <w:rsid w:val="63189A8D"/>
    <w:rsid w:val="631BFF95"/>
    <w:rsid w:val="631C951A"/>
    <w:rsid w:val="631D5D65"/>
    <w:rsid w:val="632089BB"/>
    <w:rsid w:val="63221ED0"/>
    <w:rsid w:val="6323BDF4"/>
    <w:rsid w:val="6324C3CE"/>
    <w:rsid w:val="63271B34"/>
    <w:rsid w:val="6334F7F2"/>
    <w:rsid w:val="63362D9B"/>
    <w:rsid w:val="6339FF8D"/>
    <w:rsid w:val="633B0C49"/>
    <w:rsid w:val="633C7B49"/>
    <w:rsid w:val="633CA0A7"/>
    <w:rsid w:val="63416B8E"/>
    <w:rsid w:val="6342182C"/>
    <w:rsid w:val="634BAF6E"/>
    <w:rsid w:val="635078CE"/>
    <w:rsid w:val="63519872"/>
    <w:rsid w:val="635260AF"/>
    <w:rsid w:val="6353A287"/>
    <w:rsid w:val="635473D4"/>
    <w:rsid w:val="635EE882"/>
    <w:rsid w:val="6361A348"/>
    <w:rsid w:val="63659856"/>
    <w:rsid w:val="636A95F3"/>
    <w:rsid w:val="636D5378"/>
    <w:rsid w:val="636E2F48"/>
    <w:rsid w:val="63719A51"/>
    <w:rsid w:val="63760DA0"/>
    <w:rsid w:val="63786E4C"/>
    <w:rsid w:val="637A7250"/>
    <w:rsid w:val="637D6A1D"/>
    <w:rsid w:val="637F8B15"/>
    <w:rsid w:val="6383AB56"/>
    <w:rsid w:val="63876730"/>
    <w:rsid w:val="638E311C"/>
    <w:rsid w:val="63919B57"/>
    <w:rsid w:val="6396DFBD"/>
    <w:rsid w:val="63976687"/>
    <w:rsid w:val="639AFB25"/>
    <w:rsid w:val="63A4B4FA"/>
    <w:rsid w:val="63A68E13"/>
    <w:rsid w:val="63A91E70"/>
    <w:rsid w:val="63A9C0F8"/>
    <w:rsid w:val="63ACE192"/>
    <w:rsid w:val="63ACF3CA"/>
    <w:rsid w:val="63AE5483"/>
    <w:rsid w:val="63AFB1C3"/>
    <w:rsid w:val="63BC676F"/>
    <w:rsid w:val="63BFC158"/>
    <w:rsid w:val="63C10D48"/>
    <w:rsid w:val="63CA71A6"/>
    <w:rsid w:val="63CADD24"/>
    <w:rsid w:val="63CB3B34"/>
    <w:rsid w:val="63CB755E"/>
    <w:rsid w:val="63CB7AE8"/>
    <w:rsid w:val="63CBB330"/>
    <w:rsid w:val="63D0BCBF"/>
    <w:rsid w:val="63D9D567"/>
    <w:rsid w:val="63DA7213"/>
    <w:rsid w:val="63DFEE9A"/>
    <w:rsid w:val="63E16D03"/>
    <w:rsid w:val="63E1F971"/>
    <w:rsid w:val="63E703DF"/>
    <w:rsid w:val="63E7B28C"/>
    <w:rsid w:val="63EA6B55"/>
    <w:rsid w:val="63EAD501"/>
    <w:rsid w:val="63EB3805"/>
    <w:rsid w:val="63EB8CED"/>
    <w:rsid w:val="63ED7087"/>
    <w:rsid w:val="63F04D5B"/>
    <w:rsid w:val="63F10AEE"/>
    <w:rsid w:val="63F1A4EF"/>
    <w:rsid w:val="63F44E7B"/>
    <w:rsid w:val="63FAA72B"/>
    <w:rsid w:val="63FCD527"/>
    <w:rsid w:val="63FF01F1"/>
    <w:rsid w:val="64006D07"/>
    <w:rsid w:val="6401BD97"/>
    <w:rsid w:val="6404F779"/>
    <w:rsid w:val="64086D5B"/>
    <w:rsid w:val="640CF478"/>
    <w:rsid w:val="640E7AF0"/>
    <w:rsid w:val="640F561A"/>
    <w:rsid w:val="6413319F"/>
    <w:rsid w:val="642085B0"/>
    <w:rsid w:val="64228E27"/>
    <w:rsid w:val="64281DBB"/>
    <w:rsid w:val="642B67F1"/>
    <w:rsid w:val="64301391"/>
    <w:rsid w:val="6432012C"/>
    <w:rsid w:val="6441181C"/>
    <w:rsid w:val="64432188"/>
    <w:rsid w:val="6444CF74"/>
    <w:rsid w:val="6446E294"/>
    <w:rsid w:val="644968F2"/>
    <w:rsid w:val="64497510"/>
    <w:rsid w:val="6449770D"/>
    <w:rsid w:val="644B9A00"/>
    <w:rsid w:val="64511C3A"/>
    <w:rsid w:val="645D8395"/>
    <w:rsid w:val="64614788"/>
    <w:rsid w:val="6461CDE8"/>
    <w:rsid w:val="6462B3E7"/>
    <w:rsid w:val="646696BA"/>
    <w:rsid w:val="64681D45"/>
    <w:rsid w:val="646A6D69"/>
    <w:rsid w:val="646EBE6C"/>
    <w:rsid w:val="646F1CDD"/>
    <w:rsid w:val="6471B32B"/>
    <w:rsid w:val="64722F37"/>
    <w:rsid w:val="6472F16F"/>
    <w:rsid w:val="64769DE6"/>
    <w:rsid w:val="647A4B50"/>
    <w:rsid w:val="64829A07"/>
    <w:rsid w:val="6485541E"/>
    <w:rsid w:val="64892AA7"/>
    <w:rsid w:val="64893FA9"/>
    <w:rsid w:val="648E4C17"/>
    <w:rsid w:val="6491654D"/>
    <w:rsid w:val="6491E662"/>
    <w:rsid w:val="6491F28A"/>
    <w:rsid w:val="64942610"/>
    <w:rsid w:val="6495B64C"/>
    <w:rsid w:val="6499E010"/>
    <w:rsid w:val="649E50C5"/>
    <w:rsid w:val="649FBEE3"/>
    <w:rsid w:val="64A1962F"/>
    <w:rsid w:val="64A43943"/>
    <w:rsid w:val="64A5088F"/>
    <w:rsid w:val="64A52D47"/>
    <w:rsid w:val="64A5F78B"/>
    <w:rsid w:val="64AA44E4"/>
    <w:rsid w:val="64AB1AE7"/>
    <w:rsid w:val="64B189B7"/>
    <w:rsid w:val="64B2B02A"/>
    <w:rsid w:val="64B46355"/>
    <w:rsid w:val="64B6FF29"/>
    <w:rsid w:val="64BA8978"/>
    <w:rsid w:val="64BF59D6"/>
    <w:rsid w:val="64C376A4"/>
    <w:rsid w:val="64C4A74F"/>
    <w:rsid w:val="64C5B791"/>
    <w:rsid w:val="64C78A81"/>
    <w:rsid w:val="64C8329E"/>
    <w:rsid w:val="64D2E30C"/>
    <w:rsid w:val="64D49E0E"/>
    <w:rsid w:val="64DDAEA4"/>
    <w:rsid w:val="64E0FA1A"/>
    <w:rsid w:val="64E2032A"/>
    <w:rsid w:val="64E238F3"/>
    <w:rsid w:val="64E8EEAE"/>
    <w:rsid w:val="64E9BD71"/>
    <w:rsid w:val="64F04435"/>
    <w:rsid w:val="64F2674A"/>
    <w:rsid w:val="64F403E4"/>
    <w:rsid w:val="64F6368D"/>
    <w:rsid w:val="64F6751A"/>
    <w:rsid w:val="64F81717"/>
    <w:rsid w:val="64FB42EE"/>
    <w:rsid w:val="64FF5602"/>
    <w:rsid w:val="65005AE8"/>
    <w:rsid w:val="6504EA0F"/>
    <w:rsid w:val="6506DBCE"/>
    <w:rsid w:val="650B2965"/>
    <w:rsid w:val="650BB3D1"/>
    <w:rsid w:val="650C2FFB"/>
    <w:rsid w:val="65129520"/>
    <w:rsid w:val="6512B4DD"/>
    <w:rsid w:val="65153B27"/>
    <w:rsid w:val="65174E39"/>
    <w:rsid w:val="651A8C82"/>
    <w:rsid w:val="651C360E"/>
    <w:rsid w:val="65200FF8"/>
    <w:rsid w:val="65202530"/>
    <w:rsid w:val="6521655F"/>
    <w:rsid w:val="65222220"/>
    <w:rsid w:val="6522990B"/>
    <w:rsid w:val="6522EC05"/>
    <w:rsid w:val="6524A7CC"/>
    <w:rsid w:val="652A4A25"/>
    <w:rsid w:val="652B95C6"/>
    <w:rsid w:val="652C1A64"/>
    <w:rsid w:val="652DB4CF"/>
    <w:rsid w:val="653148A1"/>
    <w:rsid w:val="653C1282"/>
    <w:rsid w:val="653CF2F5"/>
    <w:rsid w:val="653CF8DB"/>
    <w:rsid w:val="6541F912"/>
    <w:rsid w:val="65435AF7"/>
    <w:rsid w:val="65448826"/>
    <w:rsid w:val="65483B23"/>
    <w:rsid w:val="654EA7EB"/>
    <w:rsid w:val="655ED69A"/>
    <w:rsid w:val="6561107B"/>
    <w:rsid w:val="6563E8AA"/>
    <w:rsid w:val="65645511"/>
    <w:rsid w:val="6565C7F1"/>
    <w:rsid w:val="656B6DB9"/>
    <w:rsid w:val="656CF54A"/>
    <w:rsid w:val="656ED68E"/>
    <w:rsid w:val="65751516"/>
    <w:rsid w:val="657BF9C0"/>
    <w:rsid w:val="657DEF94"/>
    <w:rsid w:val="657F3100"/>
    <w:rsid w:val="6581EF25"/>
    <w:rsid w:val="65838C12"/>
    <w:rsid w:val="65839915"/>
    <w:rsid w:val="65839DD7"/>
    <w:rsid w:val="65851390"/>
    <w:rsid w:val="65870C3A"/>
    <w:rsid w:val="658895B6"/>
    <w:rsid w:val="658CD5F6"/>
    <w:rsid w:val="6590E681"/>
    <w:rsid w:val="65938894"/>
    <w:rsid w:val="65954CA2"/>
    <w:rsid w:val="65963426"/>
    <w:rsid w:val="659995EC"/>
    <w:rsid w:val="659B410A"/>
    <w:rsid w:val="659C7ED4"/>
    <w:rsid w:val="659EDC63"/>
    <w:rsid w:val="65A06455"/>
    <w:rsid w:val="65A14A7F"/>
    <w:rsid w:val="65A163A6"/>
    <w:rsid w:val="65A21598"/>
    <w:rsid w:val="65A25FE8"/>
    <w:rsid w:val="65A5925A"/>
    <w:rsid w:val="65AB5902"/>
    <w:rsid w:val="65B02ED2"/>
    <w:rsid w:val="65B07CBC"/>
    <w:rsid w:val="65B0EA3C"/>
    <w:rsid w:val="65B7B624"/>
    <w:rsid w:val="65B926C4"/>
    <w:rsid w:val="65B97419"/>
    <w:rsid w:val="65BDA6FE"/>
    <w:rsid w:val="65C363DE"/>
    <w:rsid w:val="65C5B182"/>
    <w:rsid w:val="65C99C8E"/>
    <w:rsid w:val="65CA771C"/>
    <w:rsid w:val="65CAC175"/>
    <w:rsid w:val="65CBC237"/>
    <w:rsid w:val="65CC411F"/>
    <w:rsid w:val="65CD26EF"/>
    <w:rsid w:val="65CE7DB2"/>
    <w:rsid w:val="65D27848"/>
    <w:rsid w:val="65D7DA55"/>
    <w:rsid w:val="65DA1D0A"/>
    <w:rsid w:val="65DA9E61"/>
    <w:rsid w:val="65DD58DE"/>
    <w:rsid w:val="65DD9EC7"/>
    <w:rsid w:val="65DEB1F4"/>
    <w:rsid w:val="65DFC68A"/>
    <w:rsid w:val="65E03E49"/>
    <w:rsid w:val="65E33ADB"/>
    <w:rsid w:val="65E4B726"/>
    <w:rsid w:val="65EA22D4"/>
    <w:rsid w:val="65EAFB6F"/>
    <w:rsid w:val="65EDE143"/>
    <w:rsid w:val="65F420A4"/>
    <w:rsid w:val="65F7CB6E"/>
    <w:rsid w:val="65FB0AFD"/>
    <w:rsid w:val="6600D5F0"/>
    <w:rsid w:val="66011A49"/>
    <w:rsid w:val="6601DCF3"/>
    <w:rsid w:val="6601F2C2"/>
    <w:rsid w:val="6606BCAC"/>
    <w:rsid w:val="6607880F"/>
    <w:rsid w:val="660C728C"/>
    <w:rsid w:val="66105C33"/>
    <w:rsid w:val="66149988"/>
    <w:rsid w:val="661601D4"/>
    <w:rsid w:val="6619B607"/>
    <w:rsid w:val="661A9C41"/>
    <w:rsid w:val="661D8C2A"/>
    <w:rsid w:val="662072FE"/>
    <w:rsid w:val="662291E9"/>
    <w:rsid w:val="6623B2D8"/>
    <w:rsid w:val="66247FA2"/>
    <w:rsid w:val="66256C30"/>
    <w:rsid w:val="66263D10"/>
    <w:rsid w:val="662A4EA4"/>
    <w:rsid w:val="662B1C96"/>
    <w:rsid w:val="662E34F2"/>
    <w:rsid w:val="66308048"/>
    <w:rsid w:val="66318AC6"/>
    <w:rsid w:val="6631FE6F"/>
    <w:rsid w:val="6634169D"/>
    <w:rsid w:val="6635ABB5"/>
    <w:rsid w:val="6635F895"/>
    <w:rsid w:val="663778D8"/>
    <w:rsid w:val="6638B3C9"/>
    <w:rsid w:val="663B1153"/>
    <w:rsid w:val="663C9AE1"/>
    <w:rsid w:val="663F9C09"/>
    <w:rsid w:val="6641CD28"/>
    <w:rsid w:val="6642B7AC"/>
    <w:rsid w:val="66434BED"/>
    <w:rsid w:val="66448EDD"/>
    <w:rsid w:val="6645FC09"/>
    <w:rsid w:val="664BC44C"/>
    <w:rsid w:val="665141AB"/>
    <w:rsid w:val="6651D39F"/>
    <w:rsid w:val="66522F70"/>
    <w:rsid w:val="6654BAB1"/>
    <w:rsid w:val="665751EA"/>
    <w:rsid w:val="6658CA90"/>
    <w:rsid w:val="665D8A26"/>
    <w:rsid w:val="666077B0"/>
    <w:rsid w:val="66648003"/>
    <w:rsid w:val="66651C90"/>
    <w:rsid w:val="6667A300"/>
    <w:rsid w:val="666C7FD5"/>
    <w:rsid w:val="666C98B4"/>
    <w:rsid w:val="666CE1E0"/>
    <w:rsid w:val="6674207A"/>
    <w:rsid w:val="667552DB"/>
    <w:rsid w:val="66761326"/>
    <w:rsid w:val="66778C11"/>
    <w:rsid w:val="6677E085"/>
    <w:rsid w:val="667A412C"/>
    <w:rsid w:val="667AC36A"/>
    <w:rsid w:val="66815D52"/>
    <w:rsid w:val="66834B5B"/>
    <w:rsid w:val="66839221"/>
    <w:rsid w:val="66876591"/>
    <w:rsid w:val="668D854C"/>
    <w:rsid w:val="6693C0C3"/>
    <w:rsid w:val="66981748"/>
    <w:rsid w:val="6698C7F1"/>
    <w:rsid w:val="66992CDF"/>
    <w:rsid w:val="669C1063"/>
    <w:rsid w:val="669D0028"/>
    <w:rsid w:val="669D4DEF"/>
    <w:rsid w:val="669F2844"/>
    <w:rsid w:val="66A22E83"/>
    <w:rsid w:val="66A79995"/>
    <w:rsid w:val="66A89C8F"/>
    <w:rsid w:val="66AE1D90"/>
    <w:rsid w:val="66AE548C"/>
    <w:rsid w:val="66AEC36D"/>
    <w:rsid w:val="66AFD7B2"/>
    <w:rsid w:val="66B0868B"/>
    <w:rsid w:val="66B0DCAD"/>
    <w:rsid w:val="66B177FA"/>
    <w:rsid w:val="66B76841"/>
    <w:rsid w:val="66B89CED"/>
    <w:rsid w:val="66BA6AD1"/>
    <w:rsid w:val="66BA87E5"/>
    <w:rsid w:val="66C4FD62"/>
    <w:rsid w:val="66CEB9ED"/>
    <w:rsid w:val="66D1ACCD"/>
    <w:rsid w:val="66D2B32E"/>
    <w:rsid w:val="66D8A0FE"/>
    <w:rsid w:val="66D90DD4"/>
    <w:rsid w:val="66D93C02"/>
    <w:rsid w:val="66DB17A5"/>
    <w:rsid w:val="66DC1C05"/>
    <w:rsid w:val="66E18DE4"/>
    <w:rsid w:val="66E7FD68"/>
    <w:rsid w:val="66EAB0F9"/>
    <w:rsid w:val="66EBA412"/>
    <w:rsid w:val="66F26DC9"/>
    <w:rsid w:val="66F412BC"/>
    <w:rsid w:val="66FC1166"/>
    <w:rsid w:val="66FDD5ED"/>
    <w:rsid w:val="6702A177"/>
    <w:rsid w:val="6702DBF6"/>
    <w:rsid w:val="670655EF"/>
    <w:rsid w:val="67066F9B"/>
    <w:rsid w:val="6706F802"/>
    <w:rsid w:val="6707AB70"/>
    <w:rsid w:val="670C255C"/>
    <w:rsid w:val="670E0E0A"/>
    <w:rsid w:val="670F90AB"/>
    <w:rsid w:val="6713EAC6"/>
    <w:rsid w:val="67190C3C"/>
    <w:rsid w:val="671BC94E"/>
    <w:rsid w:val="671E3BAD"/>
    <w:rsid w:val="671F6976"/>
    <w:rsid w:val="671F7E4C"/>
    <w:rsid w:val="67288996"/>
    <w:rsid w:val="672DC000"/>
    <w:rsid w:val="672DFE7F"/>
    <w:rsid w:val="672E00B6"/>
    <w:rsid w:val="672F1DD6"/>
    <w:rsid w:val="67335CE8"/>
    <w:rsid w:val="6733EEDA"/>
    <w:rsid w:val="6735693D"/>
    <w:rsid w:val="6735D1D6"/>
    <w:rsid w:val="67403992"/>
    <w:rsid w:val="67411FF3"/>
    <w:rsid w:val="674662E4"/>
    <w:rsid w:val="674891C6"/>
    <w:rsid w:val="674BC64B"/>
    <w:rsid w:val="674FC4F3"/>
    <w:rsid w:val="67579489"/>
    <w:rsid w:val="675BF2A1"/>
    <w:rsid w:val="67636D40"/>
    <w:rsid w:val="67657544"/>
    <w:rsid w:val="67676A19"/>
    <w:rsid w:val="67683551"/>
    <w:rsid w:val="6768BC16"/>
    <w:rsid w:val="676A854F"/>
    <w:rsid w:val="676AC2A1"/>
    <w:rsid w:val="6770E9AA"/>
    <w:rsid w:val="67756B4F"/>
    <w:rsid w:val="6775FD39"/>
    <w:rsid w:val="6776B051"/>
    <w:rsid w:val="677A37B3"/>
    <w:rsid w:val="6783EA11"/>
    <w:rsid w:val="67885F48"/>
    <w:rsid w:val="678C5640"/>
    <w:rsid w:val="678F3920"/>
    <w:rsid w:val="678F7CF4"/>
    <w:rsid w:val="67989CFE"/>
    <w:rsid w:val="6798FBDD"/>
    <w:rsid w:val="679D4878"/>
    <w:rsid w:val="67A2D5C1"/>
    <w:rsid w:val="67A48C40"/>
    <w:rsid w:val="67A7152A"/>
    <w:rsid w:val="67AC0C18"/>
    <w:rsid w:val="67B3C8F1"/>
    <w:rsid w:val="67B83447"/>
    <w:rsid w:val="67BC8FA0"/>
    <w:rsid w:val="67BD34FC"/>
    <w:rsid w:val="67BDCB35"/>
    <w:rsid w:val="67C06D19"/>
    <w:rsid w:val="67C810EC"/>
    <w:rsid w:val="67C81E2C"/>
    <w:rsid w:val="67C908ED"/>
    <w:rsid w:val="67C9ACBB"/>
    <w:rsid w:val="67CA6501"/>
    <w:rsid w:val="67CB3687"/>
    <w:rsid w:val="67CC8A13"/>
    <w:rsid w:val="67D19029"/>
    <w:rsid w:val="67D633AB"/>
    <w:rsid w:val="67D84547"/>
    <w:rsid w:val="67DBCE21"/>
    <w:rsid w:val="67DBEA78"/>
    <w:rsid w:val="67DE7B44"/>
    <w:rsid w:val="67E1FE3A"/>
    <w:rsid w:val="67E27EA3"/>
    <w:rsid w:val="67E3A591"/>
    <w:rsid w:val="67E83140"/>
    <w:rsid w:val="67E94DB6"/>
    <w:rsid w:val="67E9B9F0"/>
    <w:rsid w:val="67EB0D3A"/>
    <w:rsid w:val="67EC597A"/>
    <w:rsid w:val="67ECEA4F"/>
    <w:rsid w:val="67F0BB69"/>
    <w:rsid w:val="67F4EDE3"/>
    <w:rsid w:val="67F517FD"/>
    <w:rsid w:val="67F7143C"/>
    <w:rsid w:val="67F737B6"/>
    <w:rsid w:val="67F768FE"/>
    <w:rsid w:val="67F77F01"/>
    <w:rsid w:val="67F7AD70"/>
    <w:rsid w:val="680026ED"/>
    <w:rsid w:val="6808BDDB"/>
    <w:rsid w:val="68090E09"/>
    <w:rsid w:val="680EA66F"/>
    <w:rsid w:val="680F5C95"/>
    <w:rsid w:val="68106DB2"/>
    <w:rsid w:val="68129A34"/>
    <w:rsid w:val="6816993A"/>
    <w:rsid w:val="68218BC1"/>
    <w:rsid w:val="68219172"/>
    <w:rsid w:val="6823A35B"/>
    <w:rsid w:val="682B8A69"/>
    <w:rsid w:val="682F5269"/>
    <w:rsid w:val="6835B3D0"/>
    <w:rsid w:val="683645F6"/>
    <w:rsid w:val="6837BFEE"/>
    <w:rsid w:val="683AA4A4"/>
    <w:rsid w:val="683CFE5A"/>
    <w:rsid w:val="683ECAFC"/>
    <w:rsid w:val="683F0EAF"/>
    <w:rsid w:val="68430D3B"/>
    <w:rsid w:val="6849D7A3"/>
    <w:rsid w:val="684B9B17"/>
    <w:rsid w:val="685061CA"/>
    <w:rsid w:val="685BAFDD"/>
    <w:rsid w:val="685C7414"/>
    <w:rsid w:val="686009D2"/>
    <w:rsid w:val="6868FCA6"/>
    <w:rsid w:val="686B0110"/>
    <w:rsid w:val="686B2943"/>
    <w:rsid w:val="6874C387"/>
    <w:rsid w:val="687557EB"/>
    <w:rsid w:val="687570EB"/>
    <w:rsid w:val="68791A3C"/>
    <w:rsid w:val="68847A0C"/>
    <w:rsid w:val="68888D92"/>
    <w:rsid w:val="688A25E4"/>
    <w:rsid w:val="688A5367"/>
    <w:rsid w:val="688AE02D"/>
    <w:rsid w:val="688FD10C"/>
    <w:rsid w:val="689660C1"/>
    <w:rsid w:val="689697AF"/>
    <w:rsid w:val="689CA85F"/>
    <w:rsid w:val="689E7CBB"/>
    <w:rsid w:val="68A2C863"/>
    <w:rsid w:val="68A89BED"/>
    <w:rsid w:val="68ACCA51"/>
    <w:rsid w:val="68AD8DAB"/>
    <w:rsid w:val="68AF88D0"/>
    <w:rsid w:val="68B265D7"/>
    <w:rsid w:val="68B3FDF7"/>
    <w:rsid w:val="68B651FF"/>
    <w:rsid w:val="68B8E33B"/>
    <w:rsid w:val="68B932FF"/>
    <w:rsid w:val="68B97A2D"/>
    <w:rsid w:val="68BBAE82"/>
    <w:rsid w:val="68BC748B"/>
    <w:rsid w:val="68C5C00D"/>
    <w:rsid w:val="68CE1AE7"/>
    <w:rsid w:val="68CE570F"/>
    <w:rsid w:val="68D0D196"/>
    <w:rsid w:val="68D56AEB"/>
    <w:rsid w:val="68D70DA8"/>
    <w:rsid w:val="68D77D84"/>
    <w:rsid w:val="68D98D50"/>
    <w:rsid w:val="68E11ADA"/>
    <w:rsid w:val="68E5289F"/>
    <w:rsid w:val="68E78756"/>
    <w:rsid w:val="68E892D1"/>
    <w:rsid w:val="68EA8A2C"/>
    <w:rsid w:val="68ECEC8C"/>
    <w:rsid w:val="68F3512D"/>
    <w:rsid w:val="68F3AF6A"/>
    <w:rsid w:val="68F51DB7"/>
    <w:rsid w:val="68FD0E42"/>
    <w:rsid w:val="6901AB05"/>
    <w:rsid w:val="69037E65"/>
    <w:rsid w:val="69049FC1"/>
    <w:rsid w:val="690D30D3"/>
    <w:rsid w:val="690D792D"/>
    <w:rsid w:val="69119AA5"/>
    <w:rsid w:val="691737FD"/>
    <w:rsid w:val="69174563"/>
    <w:rsid w:val="6917AE34"/>
    <w:rsid w:val="6919A945"/>
    <w:rsid w:val="691C8B88"/>
    <w:rsid w:val="691D7E59"/>
    <w:rsid w:val="691E048C"/>
    <w:rsid w:val="6921CF59"/>
    <w:rsid w:val="6928D735"/>
    <w:rsid w:val="69290732"/>
    <w:rsid w:val="692A4B28"/>
    <w:rsid w:val="692C03F0"/>
    <w:rsid w:val="693526AB"/>
    <w:rsid w:val="6939DD1F"/>
    <w:rsid w:val="693B1AE2"/>
    <w:rsid w:val="69414591"/>
    <w:rsid w:val="69444866"/>
    <w:rsid w:val="6945A132"/>
    <w:rsid w:val="6946AABB"/>
    <w:rsid w:val="694BF88C"/>
    <w:rsid w:val="694D7818"/>
    <w:rsid w:val="6951697C"/>
    <w:rsid w:val="6953AA7D"/>
    <w:rsid w:val="6956B379"/>
    <w:rsid w:val="695EB9FE"/>
    <w:rsid w:val="69607167"/>
    <w:rsid w:val="69670AAD"/>
    <w:rsid w:val="6967E4B5"/>
    <w:rsid w:val="69729B04"/>
    <w:rsid w:val="69753BB1"/>
    <w:rsid w:val="6975EA7B"/>
    <w:rsid w:val="697A501A"/>
    <w:rsid w:val="697F3FA1"/>
    <w:rsid w:val="6980E956"/>
    <w:rsid w:val="698358CC"/>
    <w:rsid w:val="6987C3A7"/>
    <w:rsid w:val="698BEE4A"/>
    <w:rsid w:val="698D1CCD"/>
    <w:rsid w:val="698D85E7"/>
    <w:rsid w:val="698D9C35"/>
    <w:rsid w:val="6990F25C"/>
    <w:rsid w:val="69983810"/>
    <w:rsid w:val="69ABAC2F"/>
    <w:rsid w:val="69ACC572"/>
    <w:rsid w:val="69B27E71"/>
    <w:rsid w:val="69B7DEEA"/>
    <w:rsid w:val="69B8BBC0"/>
    <w:rsid w:val="69BD61D3"/>
    <w:rsid w:val="69BF1CC8"/>
    <w:rsid w:val="69C40573"/>
    <w:rsid w:val="69C7F51E"/>
    <w:rsid w:val="69C98F23"/>
    <w:rsid w:val="69CC05D2"/>
    <w:rsid w:val="69CD14EA"/>
    <w:rsid w:val="69CD445E"/>
    <w:rsid w:val="69CF1594"/>
    <w:rsid w:val="69D535F0"/>
    <w:rsid w:val="69D58FB4"/>
    <w:rsid w:val="69D84F5A"/>
    <w:rsid w:val="69DDE430"/>
    <w:rsid w:val="69DE5FDC"/>
    <w:rsid w:val="69DEB424"/>
    <w:rsid w:val="69DF3A57"/>
    <w:rsid w:val="69E41EBB"/>
    <w:rsid w:val="69E484FB"/>
    <w:rsid w:val="69E5988A"/>
    <w:rsid w:val="69E5D376"/>
    <w:rsid w:val="69E73202"/>
    <w:rsid w:val="69F04E5E"/>
    <w:rsid w:val="69F41696"/>
    <w:rsid w:val="69F5764E"/>
    <w:rsid w:val="69F864B4"/>
    <w:rsid w:val="69FE551B"/>
    <w:rsid w:val="69FE6805"/>
    <w:rsid w:val="69FEC6FA"/>
    <w:rsid w:val="69FEF848"/>
    <w:rsid w:val="69FF3584"/>
    <w:rsid w:val="6A06EADB"/>
    <w:rsid w:val="6A1AC0B8"/>
    <w:rsid w:val="6A1C6713"/>
    <w:rsid w:val="6A2234F3"/>
    <w:rsid w:val="6A282602"/>
    <w:rsid w:val="6A28C38D"/>
    <w:rsid w:val="6A28C95C"/>
    <w:rsid w:val="6A2A9DC1"/>
    <w:rsid w:val="6A2FFD3A"/>
    <w:rsid w:val="6A374CF2"/>
    <w:rsid w:val="6A3AD81C"/>
    <w:rsid w:val="6A3C9534"/>
    <w:rsid w:val="6A3DF6B1"/>
    <w:rsid w:val="6A3F193E"/>
    <w:rsid w:val="6A412DE0"/>
    <w:rsid w:val="6A4378C5"/>
    <w:rsid w:val="6A45C57F"/>
    <w:rsid w:val="6A475108"/>
    <w:rsid w:val="6A49B397"/>
    <w:rsid w:val="6A4DEC04"/>
    <w:rsid w:val="6A52FE15"/>
    <w:rsid w:val="6A592C31"/>
    <w:rsid w:val="6A5A5CDE"/>
    <w:rsid w:val="6A5CB6F4"/>
    <w:rsid w:val="6A5F1FEF"/>
    <w:rsid w:val="6A634C58"/>
    <w:rsid w:val="6A659F41"/>
    <w:rsid w:val="6A66538F"/>
    <w:rsid w:val="6A69E4FF"/>
    <w:rsid w:val="6A6BE4A7"/>
    <w:rsid w:val="6A6F77FA"/>
    <w:rsid w:val="6A706A7A"/>
    <w:rsid w:val="6A727AC7"/>
    <w:rsid w:val="6A72DE09"/>
    <w:rsid w:val="6A7331E9"/>
    <w:rsid w:val="6A7538DA"/>
    <w:rsid w:val="6A7947FF"/>
    <w:rsid w:val="6A7BEE93"/>
    <w:rsid w:val="6A7C40BF"/>
    <w:rsid w:val="6A82FCCB"/>
    <w:rsid w:val="6A8313A5"/>
    <w:rsid w:val="6A840198"/>
    <w:rsid w:val="6A848137"/>
    <w:rsid w:val="6A8AB555"/>
    <w:rsid w:val="6A8CD461"/>
    <w:rsid w:val="6A9158D7"/>
    <w:rsid w:val="6A9768B8"/>
    <w:rsid w:val="6A9B325F"/>
    <w:rsid w:val="6A9B6FDF"/>
    <w:rsid w:val="6AAA7798"/>
    <w:rsid w:val="6AB422C5"/>
    <w:rsid w:val="6AB4720D"/>
    <w:rsid w:val="6AB814D2"/>
    <w:rsid w:val="6ABA97EF"/>
    <w:rsid w:val="6ABF6CD5"/>
    <w:rsid w:val="6AC0432F"/>
    <w:rsid w:val="6AC118CF"/>
    <w:rsid w:val="6AC28AA1"/>
    <w:rsid w:val="6AC4B94E"/>
    <w:rsid w:val="6AC59CEC"/>
    <w:rsid w:val="6AC5B74D"/>
    <w:rsid w:val="6AC6166E"/>
    <w:rsid w:val="6AD0C04B"/>
    <w:rsid w:val="6AD71FF8"/>
    <w:rsid w:val="6ADB9E0C"/>
    <w:rsid w:val="6ADCB438"/>
    <w:rsid w:val="6ADEAE7C"/>
    <w:rsid w:val="6AE002EC"/>
    <w:rsid w:val="6AE1604F"/>
    <w:rsid w:val="6AE38743"/>
    <w:rsid w:val="6AE3BB0C"/>
    <w:rsid w:val="6AE43929"/>
    <w:rsid w:val="6AEE3EC0"/>
    <w:rsid w:val="6AEE40EA"/>
    <w:rsid w:val="6AF1C105"/>
    <w:rsid w:val="6AF1D223"/>
    <w:rsid w:val="6AF58FDC"/>
    <w:rsid w:val="6AF5DEA0"/>
    <w:rsid w:val="6AF96A21"/>
    <w:rsid w:val="6AF97DFF"/>
    <w:rsid w:val="6AFC7A14"/>
    <w:rsid w:val="6AFD4024"/>
    <w:rsid w:val="6B012F2B"/>
    <w:rsid w:val="6B05969B"/>
    <w:rsid w:val="6B09859F"/>
    <w:rsid w:val="6B0A5F98"/>
    <w:rsid w:val="6B0B4C08"/>
    <w:rsid w:val="6B10593B"/>
    <w:rsid w:val="6B124F4D"/>
    <w:rsid w:val="6B1C37DD"/>
    <w:rsid w:val="6B1E4822"/>
    <w:rsid w:val="6B1E4914"/>
    <w:rsid w:val="6B1E50A2"/>
    <w:rsid w:val="6B22ADFC"/>
    <w:rsid w:val="6B239ECB"/>
    <w:rsid w:val="6B25533E"/>
    <w:rsid w:val="6B29601D"/>
    <w:rsid w:val="6B34D60B"/>
    <w:rsid w:val="6B354400"/>
    <w:rsid w:val="6B361C60"/>
    <w:rsid w:val="6B39B4D8"/>
    <w:rsid w:val="6B3ADF44"/>
    <w:rsid w:val="6B3CE2EB"/>
    <w:rsid w:val="6B3DE085"/>
    <w:rsid w:val="6B3FC3EB"/>
    <w:rsid w:val="6B4009D7"/>
    <w:rsid w:val="6B4269FC"/>
    <w:rsid w:val="6B429650"/>
    <w:rsid w:val="6B442427"/>
    <w:rsid w:val="6B44FF93"/>
    <w:rsid w:val="6B488778"/>
    <w:rsid w:val="6B4B3146"/>
    <w:rsid w:val="6B548606"/>
    <w:rsid w:val="6B55E018"/>
    <w:rsid w:val="6B57D311"/>
    <w:rsid w:val="6B591D58"/>
    <w:rsid w:val="6B5FFDD4"/>
    <w:rsid w:val="6B65B8B1"/>
    <w:rsid w:val="6B6A1923"/>
    <w:rsid w:val="6B7020AE"/>
    <w:rsid w:val="6B756CC6"/>
    <w:rsid w:val="6B76AF71"/>
    <w:rsid w:val="6B77EDE1"/>
    <w:rsid w:val="6B7AE031"/>
    <w:rsid w:val="6B7B7E3B"/>
    <w:rsid w:val="6B7DD555"/>
    <w:rsid w:val="6B7F9E32"/>
    <w:rsid w:val="6B825BC4"/>
    <w:rsid w:val="6B848353"/>
    <w:rsid w:val="6B87558E"/>
    <w:rsid w:val="6B8B9C7E"/>
    <w:rsid w:val="6B8CF2E6"/>
    <w:rsid w:val="6B8D1B31"/>
    <w:rsid w:val="6B8FF962"/>
    <w:rsid w:val="6B92A555"/>
    <w:rsid w:val="6B93604F"/>
    <w:rsid w:val="6B9531D0"/>
    <w:rsid w:val="6B95C218"/>
    <w:rsid w:val="6B95CD97"/>
    <w:rsid w:val="6B96AD26"/>
    <w:rsid w:val="6B998421"/>
    <w:rsid w:val="6B9FE223"/>
    <w:rsid w:val="6BA28BB6"/>
    <w:rsid w:val="6BAB82B9"/>
    <w:rsid w:val="6BABE71D"/>
    <w:rsid w:val="6BAC4DD1"/>
    <w:rsid w:val="6BAFB13E"/>
    <w:rsid w:val="6BB468A0"/>
    <w:rsid w:val="6BB89A63"/>
    <w:rsid w:val="6BBC1DDB"/>
    <w:rsid w:val="6BBCB123"/>
    <w:rsid w:val="6BBCF5DD"/>
    <w:rsid w:val="6BBDE96F"/>
    <w:rsid w:val="6BC431A7"/>
    <w:rsid w:val="6BC705BB"/>
    <w:rsid w:val="6BCA9C93"/>
    <w:rsid w:val="6BCB5581"/>
    <w:rsid w:val="6BCCA7FE"/>
    <w:rsid w:val="6BCE0183"/>
    <w:rsid w:val="6BCE2E5C"/>
    <w:rsid w:val="6BD1FCD7"/>
    <w:rsid w:val="6BD20176"/>
    <w:rsid w:val="6BD44921"/>
    <w:rsid w:val="6BD5838B"/>
    <w:rsid w:val="6BD982F8"/>
    <w:rsid w:val="6BDB149A"/>
    <w:rsid w:val="6BDB4557"/>
    <w:rsid w:val="6BDC36CE"/>
    <w:rsid w:val="6BDCA652"/>
    <w:rsid w:val="6BDD35EA"/>
    <w:rsid w:val="6BDE9908"/>
    <w:rsid w:val="6BE61EBB"/>
    <w:rsid w:val="6BE7A080"/>
    <w:rsid w:val="6BECDDE9"/>
    <w:rsid w:val="6BEE8F29"/>
    <w:rsid w:val="6BF0055A"/>
    <w:rsid w:val="6BF1FE61"/>
    <w:rsid w:val="6BF66C07"/>
    <w:rsid w:val="6BFA7568"/>
    <w:rsid w:val="6BFCCC4C"/>
    <w:rsid w:val="6C00D841"/>
    <w:rsid w:val="6C062370"/>
    <w:rsid w:val="6C06A7B0"/>
    <w:rsid w:val="6C07AC67"/>
    <w:rsid w:val="6C0AA727"/>
    <w:rsid w:val="6C0B710E"/>
    <w:rsid w:val="6C0E1BD1"/>
    <w:rsid w:val="6C11D7FB"/>
    <w:rsid w:val="6C17ACA3"/>
    <w:rsid w:val="6C1ACFAF"/>
    <w:rsid w:val="6C1F4DDC"/>
    <w:rsid w:val="6C202BC0"/>
    <w:rsid w:val="6C21EAD8"/>
    <w:rsid w:val="6C285FD8"/>
    <w:rsid w:val="6C298754"/>
    <w:rsid w:val="6C3228DB"/>
    <w:rsid w:val="6C38E69D"/>
    <w:rsid w:val="6C39A81B"/>
    <w:rsid w:val="6C3C4083"/>
    <w:rsid w:val="6C3FBB5E"/>
    <w:rsid w:val="6C4091DB"/>
    <w:rsid w:val="6C47708A"/>
    <w:rsid w:val="6C4855CA"/>
    <w:rsid w:val="6C4DA7D2"/>
    <w:rsid w:val="6C54FDFB"/>
    <w:rsid w:val="6C553344"/>
    <w:rsid w:val="6C5A221A"/>
    <w:rsid w:val="6C5C9630"/>
    <w:rsid w:val="6C623E6F"/>
    <w:rsid w:val="6C6473BF"/>
    <w:rsid w:val="6C64FA40"/>
    <w:rsid w:val="6C66BD08"/>
    <w:rsid w:val="6C696ACB"/>
    <w:rsid w:val="6C7B38A5"/>
    <w:rsid w:val="6C83F324"/>
    <w:rsid w:val="6C880FC9"/>
    <w:rsid w:val="6C895640"/>
    <w:rsid w:val="6C8BC998"/>
    <w:rsid w:val="6C8D0E40"/>
    <w:rsid w:val="6C8F1EDB"/>
    <w:rsid w:val="6C8FC348"/>
    <w:rsid w:val="6C911369"/>
    <w:rsid w:val="6C92FED3"/>
    <w:rsid w:val="6C93DD18"/>
    <w:rsid w:val="6C963165"/>
    <w:rsid w:val="6C968C1E"/>
    <w:rsid w:val="6C993E28"/>
    <w:rsid w:val="6C9B0E90"/>
    <w:rsid w:val="6C9E8FCF"/>
    <w:rsid w:val="6CA6B9C3"/>
    <w:rsid w:val="6CA6F1F1"/>
    <w:rsid w:val="6CA8D08B"/>
    <w:rsid w:val="6CA961F3"/>
    <w:rsid w:val="6CAA61CF"/>
    <w:rsid w:val="6CACC132"/>
    <w:rsid w:val="6CAD10B3"/>
    <w:rsid w:val="6CAF6074"/>
    <w:rsid w:val="6CB0F795"/>
    <w:rsid w:val="6CB3682F"/>
    <w:rsid w:val="6CB4CD29"/>
    <w:rsid w:val="6CB6D164"/>
    <w:rsid w:val="6CB9E486"/>
    <w:rsid w:val="6CC10097"/>
    <w:rsid w:val="6CC12DB1"/>
    <w:rsid w:val="6CC30EE7"/>
    <w:rsid w:val="6CC4BD8F"/>
    <w:rsid w:val="6CC52678"/>
    <w:rsid w:val="6CC558F9"/>
    <w:rsid w:val="6CC5B7B4"/>
    <w:rsid w:val="6CC6EDD1"/>
    <w:rsid w:val="6CCD66F9"/>
    <w:rsid w:val="6CCE15B0"/>
    <w:rsid w:val="6CCFE0B5"/>
    <w:rsid w:val="6CD0C010"/>
    <w:rsid w:val="6CD6E12E"/>
    <w:rsid w:val="6CD8CCDF"/>
    <w:rsid w:val="6CDA7402"/>
    <w:rsid w:val="6CE3C7BE"/>
    <w:rsid w:val="6CED3D2F"/>
    <w:rsid w:val="6CEE8A8B"/>
    <w:rsid w:val="6CF236BC"/>
    <w:rsid w:val="6CFC19BA"/>
    <w:rsid w:val="6D041736"/>
    <w:rsid w:val="6D0B1F45"/>
    <w:rsid w:val="6D0C234E"/>
    <w:rsid w:val="6D0D0E7D"/>
    <w:rsid w:val="6D16DB19"/>
    <w:rsid w:val="6D17C014"/>
    <w:rsid w:val="6D190F0B"/>
    <w:rsid w:val="6D1A2CB2"/>
    <w:rsid w:val="6D1BBFEF"/>
    <w:rsid w:val="6D20ECBB"/>
    <w:rsid w:val="6D23743A"/>
    <w:rsid w:val="6D2661F2"/>
    <w:rsid w:val="6D276CDF"/>
    <w:rsid w:val="6D2BCED9"/>
    <w:rsid w:val="6D2E31EB"/>
    <w:rsid w:val="6D31525B"/>
    <w:rsid w:val="6D3AA340"/>
    <w:rsid w:val="6D3BA1C5"/>
    <w:rsid w:val="6D3DAD76"/>
    <w:rsid w:val="6D406FBA"/>
    <w:rsid w:val="6D4C3353"/>
    <w:rsid w:val="6D4C4A7F"/>
    <w:rsid w:val="6D4EF7F7"/>
    <w:rsid w:val="6D54C164"/>
    <w:rsid w:val="6D5500CA"/>
    <w:rsid w:val="6D57961E"/>
    <w:rsid w:val="6D57C5A2"/>
    <w:rsid w:val="6D57EE3C"/>
    <w:rsid w:val="6D58EF4B"/>
    <w:rsid w:val="6D592BDE"/>
    <w:rsid w:val="6D5E6EA7"/>
    <w:rsid w:val="6D5F82B2"/>
    <w:rsid w:val="6D60461C"/>
    <w:rsid w:val="6D60D1B9"/>
    <w:rsid w:val="6D646C51"/>
    <w:rsid w:val="6D675381"/>
    <w:rsid w:val="6D67EF8E"/>
    <w:rsid w:val="6D69EBC8"/>
    <w:rsid w:val="6D6E3636"/>
    <w:rsid w:val="6D712D02"/>
    <w:rsid w:val="6D7408E0"/>
    <w:rsid w:val="6D744AC3"/>
    <w:rsid w:val="6D759208"/>
    <w:rsid w:val="6D75BF78"/>
    <w:rsid w:val="6D77AE5C"/>
    <w:rsid w:val="6D79BDF3"/>
    <w:rsid w:val="6D7A7795"/>
    <w:rsid w:val="6D7B3994"/>
    <w:rsid w:val="6D7C6B7C"/>
    <w:rsid w:val="6D7D6A17"/>
    <w:rsid w:val="6D807CC5"/>
    <w:rsid w:val="6D84B7D7"/>
    <w:rsid w:val="6D95527D"/>
    <w:rsid w:val="6D96512E"/>
    <w:rsid w:val="6D9698E3"/>
    <w:rsid w:val="6D9950B0"/>
    <w:rsid w:val="6D9D2E42"/>
    <w:rsid w:val="6DA2F881"/>
    <w:rsid w:val="6DA3031B"/>
    <w:rsid w:val="6DA3D217"/>
    <w:rsid w:val="6DA57CBB"/>
    <w:rsid w:val="6DA7ABA1"/>
    <w:rsid w:val="6DA881F2"/>
    <w:rsid w:val="6DAA8023"/>
    <w:rsid w:val="6DAAF185"/>
    <w:rsid w:val="6DB00C01"/>
    <w:rsid w:val="6DB0E8C1"/>
    <w:rsid w:val="6DB1357E"/>
    <w:rsid w:val="6DB3392F"/>
    <w:rsid w:val="6DB34AB9"/>
    <w:rsid w:val="6DB4341E"/>
    <w:rsid w:val="6DBD0CBE"/>
    <w:rsid w:val="6DC02756"/>
    <w:rsid w:val="6DC14521"/>
    <w:rsid w:val="6DC2C38C"/>
    <w:rsid w:val="6DC2D99E"/>
    <w:rsid w:val="6DC3DAE2"/>
    <w:rsid w:val="6DC564B5"/>
    <w:rsid w:val="6DC86C4D"/>
    <w:rsid w:val="6DC97E33"/>
    <w:rsid w:val="6DCB8234"/>
    <w:rsid w:val="6DD23B12"/>
    <w:rsid w:val="6DD43CCE"/>
    <w:rsid w:val="6DD5DB9A"/>
    <w:rsid w:val="6DD9B3D6"/>
    <w:rsid w:val="6DDAC068"/>
    <w:rsid w:val="6DE07BA8"/>
    <w:rsid w:val="6DE0EA50"/>
    <w:rsid w:val="6DE21D42"/>
    <w:rsid w:val="6DE40E5F"/>
    <w:rsid w:val="6DE55409"/>
    <w:rsid w:val="6DE9AFFB"/>
    <w:rsid w:val="6DEB5AC7"/>
    <w:rsid w:val="6DF089C3"/>
    <w:rsid w:val="6DF9A2E3"/>
    <w:rsid w:val="6DFA27C3"/>
    <w:rsid w:val="6DFA5268"/>
    <w:rsid w:val="6DFC7855"/>
    <w:rsid w:val="6E0159EB"/>
    <w:rsid w:val="6E02D671"/>
    <w:rsid w:val="6E031448"/>
    <w:rsid w:val="6E103913"/>
    <w:rsid w:val="6E17691C"/>
    <w:rsid w:val="6E23B53E"/>
    <w:rsid w:val="6E2401DC"/>
    <w:rsid w:val="6E2618B5"/>
    <w:rsid w:val="6E2799F9"/>
    <w:rsid w:val="6E28AECE"/>
    <w:rsid w:val="6E2AC2F2"/>
    <w:rsid w:val="6E2B4383"/>
    <w:rsid w:val="6E2CE3F1"/>
    <w:rsid w:val="6E2DBFE8"/>
    <w:rsid w:val="6E314F4D"/>
    <w:rsid w:val="6E31FFAB"/>
    <w:rsid w:val="6E35F9E4"/>
    <w:rsid w:val="6E3989CC"/>
    <w:rsid w:val="6E3BC22F"/>
    <w:rsid w:val="6E3CC33C"/>
    <w:rsid w:val="6E40D80C"/>
    <w:rsid w:val="6E4521EA"/>
    <w:rsid w:val="6E47C36F"/>
    <w:rsid w:val="6E591221"/>
    <w:rsid w:val="6E5B4482"/>
    <w:rsid w:val="6E5DE3A6"/>
    <w:rsid w:val="6E5F28FA"/>
    <w:rsid w:val="6E61F8ED"/>
    <w:rsid w:val="6E635884"/>
    <w:rsid w:val="6E64DAFE"/>
    <w:rsid w:val="6E69194D"/>
    <w:rsid w:val="6E69310A"/>
    <w:rsid w:val="6E6CCA9A"/>
    <w:rsid w:val="6E6DA335"/>
    <w:rsid w:val="6E6DFCEF"/>
    <w:rsid w:val="6E6F6EDE"/>
    <w:rsid w:val="6E7115A7"/>
    <w:rsid w:val="6E773593"/>
    <w:rsid w:val="6E79B64D"/>
    <w:rsid w:val="6E7A13F3"/>
    <w:rsid w:val="6E7D2DAC"/>
    <w:rsid w:val="6E84EE60"/>
    <w:rsid w:val="6E85EF94"/>
    <w:rsid w:val="6E86C287"/>
    <w:rsid w:val="6E88648C"/>
    <w:rsid w:val="6E8C644F"/>
    <w:rsid w:val="6E8C9F45"/>
    <w:rsid w:val="6E91E677"/>
    <w:rsid w:val="6E95FACB"/>
    <w:rsid w:val="6E9B3DD3"/>
    <w:rsid w:val="6E9EC8BD"/>
    <w:rsid w:val="6EA1F276"/>
    <w:rsid w:val="6EA2834C"/>
    <w:rsid w:val="6EA2D60A"/>
    <w:rsid w:val="6EA407B8"/>
    <w:rsid w:val="6EA55F7E"/>
    <w:rsid w:val="6EAAABA5"/>
    <w:rsid w:val="6EAF7528"/>
    <w:rsid w:val="6EB074F1"/>
    <w:rsid w:val="6EB72B68"/>
    <w:rsid w:val="6EB7F5E6"/>
    <w:rsid w:val="6EBA1425"/>
    <w:rsid w:val="6EC0F733"/>
    <w:rsid w:val="6EC1AFC8"/>
    <w:rsid w:val="6EC9D6F5"/>
    <w:rsid w:val="6ECA84D2"/>
    <w:rsid w:val="6ECD204A"/>
    <w:rsid w:val="6ECE721D"/>
    <w:rsid w:val="6ED3863E"/>
    <w:rsid w:val="6ED88BDA"/>
    <w:rsid w:val="6EE1376B"/>
    <w:rsid w:val="6EE1BF62"/>
    <w:rsid w:val="6EE849F8"/>
    <w:rsid w:val="6EE90B16"/>
    <w:rsid w:val="6EE91486"/>
    <w:rsid w:val="6EE9C8D5"/>
    <w:rsid w:val="6EED2C90"/>
    <w:rsid w:val="6EF092BE"/>
    <w:rsid w:val="6EF52F62"/>
    <w:rsid w:val="6EF9706C"/>
    <w:rsid w:val="6EFB0D2C"/>
    <w:rsid w:val="6F005A30"/>
    <w:rsid w:val="6F01CC3B"/>
    <w:rsid w:val="6F034964"/>
    <w:rsid w:val="6F06AECE"/>
    <w:rsid w:val="6F092528"/>
    <w:rsid w:val="6F0A3698"/>
    <w:rsid w:val="6F0B3398"/>
    <w:rsid w:val="6F0C57C9"/>
    <w:rsid w:val="6F0F2EAD"/>
    <w:rsid w:val="6F14FAC6"/>
    <w:rsid w:val="6F153C86"/>
    <w:rsid w:val="6F173741"/>
    <w:rsid w:val="6F180240"/>
    <w:rsid w:val="6F1BF167"/>
    <w:rsid w:val="6F25A5EB"/>
    <w:rsid w:val="6F28E414"/>
    <w:rsid w:val="6F2C388E"/>
    <w:rsid w:val="6F2D6BDE"/>
    <w:rsid w:val="6F2EEC06"/>
    <w:rsid w:val="6F350A30"/>
    <w:rsid w:val="6F36158A"/>
    <w:rsid w:val="6F3C6E11"/>
    <w:rsid w:val="6F3D93CE"/>
    <w:rsid w:val="6F3F530F"/>
    <w:rsid w:val="6F410A58"/>
    <w:rsid w:val="6F4850BE"/>
    <w:rsid w:val="6F4CB922"/>
    <w:rsid w:val="6F4D6555"/>
    <w:rsid w:val="6F51442E"/>
    <w:rsid w:val="6F5170AD"/>
    <w:rsid w:val="6F53A9BA"/>
    <w:rsid w:val="6F53AA77"/>
    <w:rsid w:val="6F53C175"/>
    <w:rsid w:val="6F56AD21"/>
    <w:rsid w:val="6F571CE2"/>
    <w:rsid w:val="6F59B4FF"/>
    <w:rsid w:val="6F5DBF6C"/>
    <w:rsid w:val="6F639065"/>
    <w:rsid w:val="6F6431A5"/>
    <w:rsid w:val="6F662646"/>
    <w:rsid w:val="6F67BF9F"/>
    <w:rsid w:val="6F6B42CB"/>
    <w:rsid w:val="6F6B8B59"/>
    <w:rsid w:val="6F6CA6BB"/>
    <w:rsid w:val="6F6D25D9"/>
    <w:rsid w:val="6F70875F"/>
    <w:rsid w:val="6F7260E4"/>
    <w:rsid w:val="6F746222"/>
    <w:rsid w:val="6F749E71"/>
    <w:rsid w:val="6F752AF3"/>
    <w:rsid w:val="6F776682"/>
    <w:rsid w:val="6F77B7D1"/>
    <w:rsid w:val="6F789B4E"/>
    <w:rsid w:val="6F7A2EA8"/>
    <w:rsid w:val="6F8010D4"/>
    <w:rsid w:val="6F859BD3"/>
    <w:rsid w:val="6F85B143"/>
    <w:rsid w:val="6F87E330"/>
    <w:rsid w:val="6F89F9CD"/>
    <w:rsid w:val="6F916358"/>
    <w:rsid w:val="6F9181C4"/>
    <w:rsid w:val="6F922DE4"/>
    <w:rsid w:val="6F95CBD7"/>
    <w:rsid w:val="6F97C114"/>
    <w:rsid w:val="6F99DDDF"/>
    <w:rsid w:val="6F9B19D5"/>
    <w:rsid w:val="6F9E959F"/>
    <w:rsid w:val="6FA06A72"/>
    <w:rsid w:val="6FA1922B"/>
    <w:rsid w:val="6FA9D0E0"/>
    <w:rsid w:val="6FAAB5A1"/>
    <w:rsid w:val="6FAD2D57"/>
    <w:rsid w:val="6FAD9E33"/>
    <w:rsid w:val="6FADDC8C"/>
    <w:rsid w:val="6FB1ECD7"/>
    <w:rsid w:val="6FB5C8FE"/>
    <w:rsid w:val="6FB5D864"/>
    <w:rsid w:val="6FB927D2"/>
    <w:rsid w:val="6FB9C043"/>
    <w:rsid w:val="6FBA954E"/>
    <w:rsid w:val="6FBAF77F"/>
    <w:rsid w:val="6FBCE41A"/>
    <w:rsid w:val="6FBF6382"/>
    <w:rsid w:val="6FC0AB70"/>
    <w:rsid w:val="6FC20B04"/>
    <w:rsid w:val="6FC29AE8"/>
    <w:rsid w:val="6FC5CBD4"/>
    <w:rsid w:val="6FC79939"/>
    <w:rsid w:val="6FC8CA38"/>
    <w:rsid w:val="6FCA0637"/>
    <w:rsid w:val="6FCA9EBD"/>
    <w:rsid w:val="6FCB678F"/>
    <w:rsid w:val="6FD23D50"/>
    <w:rsid w:val="6FD4D3EC"/>
    <w:rsid w:val="6FD63F5E"/>
    <w:rsid w:val="6FD71C44"/>
    <w:rsid w:val="6FD7B0B9"/>
    <w:rsid w:val="6FD928D1"/>
    <w:rsid w:val="6FD97877"/>
    <w:rsid w:val="6FDA0F74"/>
    <w:rsid w:val="6FDA51B6"/>
    <w:rsid w:val="6FDAA0F7"/>
    <w:rsid w:val="6FDD67EF"/>
    <w:rsid w:val="6FE27BC5"/>
    <w:rsid w:val="6FE6773F"/>
    <w:rsid w:val="6FE92887"/>
    <w:rsid w:val="6FEAA581"/>
    <w:rsid w:val="6FED5F8A"/>
    <w:rsid w:val="6FEE13E2"/>
    <w:rsid w:val="6FEF0771"/>
    <w:rsid w:val="6FEF5EB5"/>
    <w:rsid w:val="6FEFB0DC"/>
    <w:rsid w:val="6FF4CBD5"/>
    <w:rsid w:val="6FF943DE"/>
    <w:rsid w:val="6FFC5E51"/>
    <w:rsid w:val="6FFC770C"/>
    <w:rsid w:val="700194B4"/>
    <w:rsid w:val="7001E89A"/>
    <w:rsid w:val="700AA60E"/>
    <w:rsid w:val="700B6570"/>
    <w:rsid w:val="700D51EE"/>
    <w:rsid w:val="701223D0"/>
    <w:rsid w:val="7012AC20"/>
    <w:rsid w:val="7016659E"/>
    <w:rsid w:val="701AE14F"/>
    <w:rsid w:val="7020F113"/>
    <w:rsid w:val="7021BFF5"/>
    <w:rsid w:val="7023C86C"/>
    <w:rsid w:val="70246FCE"/>
    <w:rsid w:val="7024B516"/>
    <w:rsid w:val="7027B04F"/>
    <w:rsid w:val="7028E997"/>
    <w:rsid w:val="702952D0"/>
    <w:rsid w:val="702E53DA"/>
    <w:rsid w:val="70371078"/>
    <w:rsid w:val="70377970"/>
    <w:rsid w:val="703B2921"/>
    <w:rsid w:val="70405BDC"/>
    <w:rsid w:val="7043C7C7"/>
    <w:rsid w:val="70443212"/>
    <w:rsid w:val="7045723C"/>
    <w:rsid w:val="70460BDB"/>
    <w:rsid w:val="704824E3"/>
    <w:rsid w:val="7048526D"/>
    <w:rsid w:val="704B21F5"/>
    <w:rsid w:val="704DDF1F"/>
    <w:rsid w:val="704F9293"/>
    <w:rsid w:val="70554EAB"/>
    <w:rsid w:val="705650A2"/>
    <w:rsid w:val="705879CB"/>
    <w:rsid w:val="705B76BF"/>
    <w:rsid w:val="705C79DF"/>
    <w:rsid w:val="705F0DA1"/>
    <w:rsid w:val="70637801"/>
    <w:rsid w:val="706D7B9B"/>
    <w:rsid w:val="70723AD0"/>
    <w:rsid w:val="7078C151"/>
    <w:rsid w:val="707DD81D"/>
    <w:rsid w:val="707EC82C"/>
    <w:rsid w:val="7085CA72"/>
    <w:rsid w:val="7087E35D"/>
    <w:rsid w:val="708C3A45"/>
    <w:rsid w:val="708EEFD4"/>
    <w:rsid w:val="7092B59C"/>
    <w:rsid w:val="7092B9D4"/>
    <w:rsid w:val="70961E67"/>
    <w:rsid w:val="70975031"/>
    <w:rsid w:val="709B4442"/>
    <w:rsid w:val="709C0334"/>
    <w:rsid w:val="70A00DC3"/>
    <w:rsid w:val="70A0EB52"/>
    <w:rsid w:val="70A5350E"/>
    <w:rsid w:val="70A75518"/>
    <w:rsid w:val="70AA453E"/>
    <w:rsid w:val="70AF3FC7"/>
    <w:rsid w:val="70B7CE9F"/>
    <w:rsid w:val="70B9C0E2"/>
    <w:rsid w:val="70BB3682"/>
    <w:rsid w:val="70BBF790"/>
    <w:rsid w:val="70BD1556"/>
    <w:rsid w:val="70BFA0F6"/>
    <w:rsid w:val="70C4B475"/>
    <w:rsid w:val="70C5E321"/>
    <w:rsid w:val="70C8F730"/>
    <w:rsid w:val="70C99041"/>
    <w:rsid w:val="70CBE2A6"/>
    <w:rsid w:val="70D040C7"/>
    <w:rsid w:val="70D28DDC"/>
    <w:rsid w:val="70D39450"/>
    <w:rsid w:val="70D3D820"/>
    <w:rsid w:val="70D3E4BE"/>
    <w:rsid w:val="70D53361"/>
    <w:rsid w:val="70D6A1F6"/>
    <w:rsid w:val="70D89371"/>
    <w:rsid w:val="70DA3779"/>
    <w:rsid w:val="70DD0AB9"/>
    <w:rsid w:val="70E51A1B"/>
    <w:rsid w:val="70E62B69"/>
    <w:rsid w:val="70E68142"/>
    <w:rsid w:val="70E8C3EC"/>
    <w:rsid w:val="70E9FAA9"/>
    <w:rsid w:val="70EBCED7"/>
    <w:rsid w:val="70EC70FB"/>
    <w:rsid w:val="70EC8EA2"/>
    <w:rsid w:val="70EDFED5"/>
    <w:rsid w:val="70EFFEC5"/>
    <w:rsid w:val="70F0687D"/>
    <w:rsid w:val="70F41864"/>
    <w:rsid w:val="70F83F38"/>
    <w:rsid w:val="70F8D2D2"/>
    <w:rsid w:val="70FDA409"/>
    <w:rsid w:val="71011BD7"/>
    <w:rsid w:val="7105F669"/>
    <w:rsid w:val="710712DC"/>
    <w:rsid w:val="71073C93"/>
    <w:rsid w:val="710AF7A5"/>
    <w:rsid w:val="710EDEE0"/>
    <w:rsid w:val="710FAAA5"/>
    <w:rsid w:val="71134841"/>
    <w:rsid w:val="7114A513"/>
    <w:rsid w:val="71174D61"/>
    <w:rsid w:val="711BE113"/>
    <w:rsid w:val="711C4889"/>
    <w:rsid w:val="711DF1FC"/>
    <w:rsid w:val="711EB5F4"/>
    <w:rsid w:val="712019B7"/>
    <w:rsid w:val="7120664A"/>
    <w:rsid w:val="7120DDAF"/>
    <w:rsid w:val="71224036"/>
    <w:rsid w:val="71283224"/>
    <w:rsid w:val="712C05E5"/>
    <w:rsid w:val="712D9125"/>
    <w:rsid w:val="712E1B3E"/>
    <w:rsid w:val="712F70A0"/>
    <w:rsid w:val="712FB1C7"/>
    <w:rsid w:val="712FF542"/>
    <w:rsid w:val="7130ACB1"/>
    <w:rsid w:val="7132F70C"/>
    <w:rsid w:val="71369EFE"/>
    <w:rsid w:val="713AC771"/>
    <w:rsid w:val="71457E50"/>
    <w:rsid w:val="714902B2"/>
    <w:rsid w:val="7149118C"/>
    <w:rsid w:val="714DC358"/>
    <w:rsid w:val="714F8348"/>
    <w:rsid w:val="71568F17"/>
    <w:rsid w:val="715AE3ED"/>
    <w:rsid w:val="7161AC3C"/>
    <w:rsid w:val="71640732"/>
    <w:rsid w:val="7168ABA5"/>
    <w:rsid w:val="7169FB2E"/>
    <w:rsid w:val="7169FD41"/>
    <w:rsid w:val="716A4BFB"/>
    <w:rsid w:val="716BBA37"/>
    <w:rsid w:val="716CD27A"/>
    <w:rsid w:val="716FEAFF"/>
    <w:rsid w:val="71708139"/>
    <w:rsid w:val="7173688F"/>
    <w:rsid w:val="717608C3"/>
    <w:rsid w:val="71762C1F"/>
    <w:rsid w:val="717784AC"/>
    <w:rsid w:val="717BA650"/>
    <w:rsid w:val="717BF4E9"/>
    <w:rsid w:val="717EFE7F"/>
    <w:rsid w:val="71860719"/>
    <w:rsid w:val="71867C93"/>
    <w:rsid w:val="718C4017"/>
    <w:rsid w:val="718D5021"/>
    <w:rsid w:val="7194ACEC"/>
    <w:rsid w:val="71981B43"/>
    <w:rsid w:val="719A5A58"/>
    <w:rsid w:val="71A2750D"/>
    <w:rsid w:val="71A2CAE6"/>
    <w:rsid w:val="71A8474C"/>
    <w:rsid w:val="71AA0CFB"/>
    <w:rsid w:val="71ADFC95"/>
    <w:rsid w:val="71B218CA"/>
    <w:rsid w:val="71B5ED26"/>
    <w:rsid w:val="71B8A29C"/>
    <w:rsid w:val="71BC3351"/>
    <w:rsid w:val="71BE0E41"/>
    <w:rsid w:val="71BF7834"/>
    <w:rsid w:val="71C09D6C"/>
    <w:rsid w:val="71C4B991"/>
    <w:rsid w:val="71C69438"/>
    <w:rsid w:val="71D462A3"/>
    <w:rsid w:val="71D47DA2"/>
    <w:rsid w:val="71D5B302"/>
    <w:rsid w:val="71D83E9F"/>
    <w:rsid w:val="71D9E646"/>
    <w:rsid w:val="71D9FA3A"/>
    <w:rsid w:val="71DA7CC1"/>
    <w:rsid w:val="71DBBF6C"/>
    <w:rsid w:val="71DBE6A7"/>
    <w:rsid w:val="71DDAE78"/>
    <w:rsid w:val="71E14F82"/>
    <w:rsid w:val="71E17695"/>
    <w:rsid w:val="71E22946"/>
    <w:rsid w:val="71E474DB"/>
    <w:rsid w:val="71E4CD9F"/>
    <w:rsid w:val="71E74533"/>
    <w:rsid w:val="71E89350"/>
    <w:rsid w:val="71E97976"/>
    <w:rsid w:val="71EA4C3C"/>
    <w:rsid w:val="71EC7B35"/>
    <w:rsid w:val="71ED5611"/>
    <w:rsid w:val="71F13171"/>
    <w:rsid w:val="71F21469"/>
    <w:rsid w:val="71F572FA"/>
    <w:rsid w:val="71F59363"/>
    <w:rsid w:val="71FDC0AA"/>
    <w:rsid w:val="71FEF631"/>
    <w:rsid w:val="72044948"/>
    <w:rsid w:val="7204EA59"/>
    <w:rsid w:val="720A7982"/>
    <w:rsid w:val="720E8FDC"/>
    <w:rsid w:val="720EDC11"/>
    <w:rsid w:val="721198FE"/>
    <w:rsid w:val="7216A133"/>
    <w:rsid w:val="721A626F"/>
    <w:rsid w:val="721E5BD6"/>
    <w:rsid w:val="72203206"/>
    <w:rsid w:val="7225A865"/>
    <w:rsid w:val="72274D8C"/>
    <w:rsid w:val="7231F1A6"/>
    <w:rsid w:val="723AC7B7"/>
    <w:rsid w:val="723FC4CE"/>
    <w:rsid w:val="7240F054"/>
    <w:rsid w:val="72491D7F"/>
    <w:rsid w:val="724AE2A3"/>
    <w:rsid w:val="724E3716"/>
    <w:rsid w:val="724EB403"/>
    <w:rsid w:val="724EE403"/>
    <w:rsid w:val="724F3F1A"/>
    <w:rsid w:val="725BF6BF"/>
    <w:rsid w:val="725C6E00"/>
    <w:rsid w:val="725E2D8B"/>
    <w:rsid w:val="726173FC"/>
    <w:rsid w:val="72636282"/>
    <w:rsid w:val="7266CC74"/>
    <w:rsid w:val="726ADCFA"/>
    <w:rsid w:val="726B5008"/>
    <w:rsid w:val="726B69B9"/>
    <w:rsid w:val="726BA29D"/>
    <w:rsid w:val="726FAF74"/>
    <w:rsid w:val="727026E9"/>
    <w:rsid w:val="7272C948"/>
    <w:rsid w:val="727390AD"/>
    <w:rsid w:val="7275F1B6"/>
    <w:rsid w:val="72789012"/>
    <w:rsid w:val="727C447C"/>
    <w:rsid w:val="727CA4B4"/>
    <w:rsid w:val="727F8C05"/>
    <w:rsid w:val="72809F26"/>
    <w:rsid w:val="72814518"/>
    <w:rsid w:val="7283646D"/>
    <w:rsid w:val="72842557"/>
    <w:rsid w:val="7289F8F6"/>
    <w:rsid w:val="728F73D0"/>
    <w:rsid w:val="7291DE83"/>
    <w:rsid w:val="7292786B"/>
    <w:rsid w:val="7292AA2F"/>
    <w:rsid w:val="72A1B554"/>
    <w:rsid w:val="72A45505"/>
    <w:rsid w:val="72AAE093"/>
    <w:rsid w:val="72AAECE0"/>
    <w:rsid w:val="72AC1811"/>
    <w:rsid w:val="72AD37F6"/>
    <w:rsid w:val="72AF291F"/>
    <w:rsid w:val="72B17771"/>
    <w:rsid w:val="72B22281"/>
    <w:rsid w:val="72B6F369"/>
    <w:rsid w:val="72BA4391"/>
    <w:rsid w:val="72BB5090"/>
    <w:rsid w:val="72BC34D0"/>
    <w:rsid w:val="72BD7DA6"/>
    <w:rsid w:val="72BE14B2"/>
    <w:rsid w:val="72BF0DDC"/>
    <w:rsid w:val="72C0BFE1"/>
    <w:rsid w:val="72C34AE4"/>
    <w:rsid w:val="72CA03E8"/>
    <w:rsid w:val="72CC68BE"/>
    <w:rsid w:val="72CEB32D"/>
    <w:rsid w:val="72CF479A"/>
    <w:rsid w:val="72D3AEB2"/>
    <w:rsid w:val="72D42D34"/>
    <w:rsid w:val="72D4CB0E"/>
    <w:rsid w:val="72D771AF"/>
    <w:rsid w:val="72DF8BB1"/>
    <w:rsid w:val="72E84C06"/>
    <w:rsid w:val="72EBF239"/>
    <w:rsid w:val="72ECF2C3"/>
    <w:rsid w:val="72FF6E0D"/>
    <w:rsid w:val="7302A0BB"/>
    <w:rsid w:val="730B6974"/>
    <w:rsid w:val="730F01BF"/>
    <w:rsid w:val="73112F17"/>
    <w:rsid w:val="7312EC1C"/>
    <w:rsid w:val="73156D37"/>
    <w:rsid w:val="7315FB47"/>
    <w:rsid w:val="7315FEC6"/>
    <w:rsid w:val="7318DB6A"/>
    <w:rsid w:val="731C23E1"/>
    <w:rsid w:val="731E4C22"/>
    <w:rsid w:val="732A7721"/>
    <w:rsid w:val="732C85D3"/>
    <w:rsid w:val="732E139F"/>
    <w:rsid w:val="73303CC2"/>
    <w:rsid w:val="73331428"/>
    <w:rsid w:val="733A5389"/>
    <w:rsid w:val="733DEA46"/>
    <w:rsid w:val="733EF248"/>
    <w:rsid w:val="73401E15"/>
    <w:rsid w:val="7348E923"/>
    <w:rsid w:val="734943C1"/>
    <w:rsid w:val="734BC0B0"/>
    <w:rsid w:val="734DE468"/>
    <w:rsid w:val="734F7114"/>
    <w:rsid w:val="735151EB"/>
    <w:rsid w:val="73521552"/>
    <w:rsid w:val="735341DE"/>
    <w:rsid w:val="73542C9F"/>
    <w:rsid w:val="73543EF1"/>
    <w:rsid w:val="735B90ED"/>
    <w:rsid w:val="735CC2A6"/>
    <w:rsid w:val="736136C0"/>
    <w:rsid w:val="736293C3"/>
    <w:rsid w:val="736F2F9E"/>
    <w:rsid w:val="7372D675"/>
    <w:rsid w:val="7374BD8D"/>
    <w:rsid w:val="737D4946"/>
    <w:rsid w:val="737FA7FE"/>
    <w:rsid w:val="7380C296"/>
    <w:rsid w:val="7383B977"/>
    <w:rsid w:val="7384DE9C"/>
    <w:rsid w:val="738C316A"/>
    <w:rsid w:val="738CCA32"/>
    <w:rsid w:val="738D43AD"/>
    <w:rsid w:val="738E3B8C"/>
    <w:rsid w:val="738E89A3"/>
    <w:rsid w:val="738FD2B3"/>
    <w:rsid w:val="73912675"/>
    <w:rsid w:val="73932354"/>
    <w:rsid w:val="73976FB7"/>
    <w:rsid w:val="73A3039B"/>
    <w:rsid w:val="73A428B3"/>
    <w:rsid w:val="73AA831C"/>
    <w:rsid w:val="73ABD53F"/>
    <w:rsid w:val="73B0394C"/>
    <w:rsid w:val="73B45BA1"/>
    <w:rsid w:val="73B584BD"/>
    <w:rsid w:val="73B62760"/>
    <w:rsid w:val="73BF26B3"/>
    <w:rsid w:val="73C49CE6"/>
    <w:rsid w:val="73C58955"/>
    <w:rsid w:val="73D1283D"/>
    <w:rsid w:val="73D16D17"/>
    <w:rsid w:val="73D58DA8"/>
    <w:rsid w:val="73D88057"/>
    <w:rsid w:val="73D93DED"/>
    <w:rsid w:val="73E0B137"/>
    <w:rsid w:val="73E4BDA6"/>
    <w:rsid w:val="73ECA9C5"/>
    <w:rsid w:val="73F2279C"/>
    <w:rsid w:val="73F3ACC1"/>
    <w:rsid w:val="73F44C4C"/>
    <w:rsid w:val="73F5685A"/>
    <w:rsid w:val="73F72FEA"/>
    <w:rsid w:val="73F74889"/>
    <w:rsid w:val="7400A2B0"/>
    <w:rsid w:val="740216E2"/>
    <w:rsid w:val="7402A6BA"/>
    <w:rsid w:val="7403F800"/>
    <w:rsid w:val="74040E7F"/>
    <w:rsid w:val="740457A1"/>
    <w:rsid w:val="74049D9E"/>
    <w:rsid w:val="7404A556"/>
    <w:rsid w:val="74057903"/>
    <w:rsid w:val="7406796F"/>
    <w:rsid w:val="74075A83"/>
    <w:rsid w:val="740997F1"/>
    <w:rsid w:val="7409DD85"/>
    <w:rsid w:val="740B4BBF"/>
    <w:rsid w:val="740B9EB8"/>
    <w:rsid w:val="740C3E3D"/>
    <w:rsid w:val="740E7601"/>
    <w:rsid w:val="740EB2BB"/>
    <w:rsid w:val="740F09FF"/>
    <w:rsid w:val="740F3C2B"/>
    <w:rsid w:val="740FD2C5"/>
    <w:rsid w:val="7415E7CB"/>
    <w:rsid w:val="741A2289"/>
    <w:rsid w:val="741B3B9F"/>
    <w:rsid w:val="741B40CC"/>
    <w:rsid w:val="741D8C5E"/>
    <w:rsid w:val="742496CF"/>
    <w:rsid w:val="74257A67"/>
    <w:rsid w:val="742BC5D1"/>
    <w:rsid w:val="742C314F"/>
    <w:rsid w:val="742C9C68"/>
    <w:rsid w:val="742F8E82"/>
    <w:rsid w:val="7431308F"/>
    <w:rsid w:val="7432344E"/>
    <w:rsid w:val="743541A0"/>
    <w:rsid w:val="74357A78"/>
    <w:rsid w:val="7438EE38"/>
    <w:rsid w:val="74395A83"/>
    <w:rsid w:val="743A963B"/>
    <w:rsid w:val="743B1423"/>
    <w:rsid w:val="743EE13A"/>
    <w:rsid w:val="74413899"/>
    <w:rsid w:val="74439DEF"/>
    <w:rsid w:val="74443907"/>
    <w:rsid w:val="7446F636"/>
    <w:rsid w:val="745B5453"/>
    <w:rsid w:val="745D2D63"/>
    <w:rsid w:val="745F404F"/>
    <w:rsid w:val="746418A6"/>
    <w:rsid w:val="74641FF3"/>
    <w:rsid w:val="746F0594"/>
    <w:rsid w:val="7470DC6D"/>
    <w:rsid w:val="74733C28"/>
    <w:rsid w:val="74776C51"/>
    <w:rsid w:val="747CC9D5"/>
    <w:rsid w:val="747D4BCA"/>
    <w:rsid w:val="747F62DA"/>
    <w:rsid w:val="747F6669"/>
    <w:rsid w:val="74820984"/>
    <w:rsid w:val="748E2AC2"/>
    <w:rsid w:val="748E9399"/>
    <w:rsid w:val="748FDB13"/>
    <w:rsid w:val="74900EE6"/>
    <w:rsid w:val="7490553D"/>
    <w:rsid w:val="74925ADA"/>
    <w:rsid w:val="7495323D"/>
    <w:rsid w:val="749A66E8"/>
    <w:rsid w:val="749B4988"/>
    <w:rsid w:val="749E65E8"/>
    <w:rsid w:val="749ECD0A"/>
    <w:rsid w:val="74A3104B"/>
    <w:rsid w:val="74A4218F"/>
    <w:rsid w:val="74A4AE6C"/>
    <w:rsid w:val="74A72354"/>
    <w:rsid w:val="74A7F531"/>
    <w:rsid w:val="74A8E80D"/>
    <w:rsid w:val="74AC821F"/>
    <w:rsid w:val="74ADEAAA"/>
    <w:rsid w:val="74B145F3"/>
    <w:rsid w:val="74B6DF75"/>
    <w:rsid w:val="74B72442"/>
    <w:rsid w:val="74B8719B"/>
    <w:rsid w:val="74B9EE35"/>
    <w:rsid w:val="74BB9B84"/>
    <w:rsid w:val="74BDA4F6"/>
    <w:rsid w:val="74BDE831"/>
    <w:rsid w:val="74C34332"/>
    <w:rsid w:val="74C6C5E7"/>
    <w:rsid w:val="74CEF94D"/>
    <w:rsid w:val="74D16AAE"/>
    <w:rsid w:val="74DAA28A"/>
    <w:rsid w:val="74DACA99"/>
    <w:rsid w:val="74DBBDA4"/>
    <w:rsid w:val="74DD740B"/>
    <w:rsid w:val="74F21E45"/>
    <w:rsid w:val="74F2E9EB"/>
    <w:rsid w:val="74F5776F"/>
    <w:rsid w:val="74F605CF"/>
    <w:rsid w:val="74FAD432"/>
    <w:rsid w:val="74FF249A"/>
    <w:rsid w:val="75059568"/>
    <w:rsid w:val="7505C5F3"/>
    <w:rsid w:val="7506072E"/>
    <w:rsid w:val="750DD406"/>
    <w:rsid w:val="750DF1AB"/>
    <w:rsid w:val="750E9C75"/>
    <w:rsid w:val="750F487D"/>
    <w:rsid w:val="75106CDB"/>
    <w:rsid w:val="7512DA28"/>
    <w:rsid w:val="751513A6"/>
    <w:rsid w:val="7517B258"/>
    <w:rsid w:val="7519D810"/>
    <w:rsid w:val="751B3F24"/>
    <w:rsid w:val="751D5205"/>
    <w:rsid w:val="751D6ABC"/>
    <w:rsid w:val="7520F9E4"/>
    <w:rsid w:val="75238B1B"/>
    <w:rsid w:val="75241AF1"/>
    <w:rsid w:val="75273187"/>
    <w:rsid w:val="752C9FE2"/>
    <w:rsid w:val="752CDC73"/>
    <w:rsid w:val="752ECC8E"/>
    <w:rsid w:val="753325E2"/>
    <w:rsid w:val="75356CB5"/>
    <w:rsid w:val="75384B98"/>
    <w:rsid w:val="753DD9A8"/>
    <w:rsid w:val="7541738E"/>
    <w:rsid w:val="7543A66D"/>
    <w:rsid w:val="754A1E71"/>
    <w:rsid w:val="754C1528"/>
    <w:rsid w:val="754C6F09"/>
    <w:rsid w:val="754CE238"/>
    <w:rsid w:val="755321B6"/>
    <w:rsid w:val="7553472F"/>
    <w:rsid w:val="755A152D"/>
    <w:rsid w:val="755E64E5"/>
    <w:rsid w:val="755EF359"/>
    <w:rsid w:val="755FD70D"/>
    <w:rsid w:val="756CD76C"/>
    <w:rsid w:val="75702C58"/>
    <w:rsid w:val="75737110"/>
    <w:rsid w:val="75741FEA"/>
    <w:rsid w:val="757D623C"/>
    <w:rsid w:val="7584AE1F"/>
    <w:rsid w:val="75861EA0"/>
    <w:rsid w:val="75863C55"/>
    <w:rsid w:val="758F0FE1"/>
    <w:rsid w:val="7591DBB6"/>
    <w:rsid w:val="759684E5"/>
    <w:rsid w:val="759F9E98"/>
    <w:rsid w:val="75A10631"/>
    <w:rsid w:val="75A22F46"/>
    <w:rsid w:val="75A2D185"/>
    <w:rsid w:val="75A39C39"/>
    <w:rsid w:val="75AD020B"/>
    <w:rsid w:val="75AD6BE8"/>
    <w:rsid w:val="75AEF102"/>
    <w:rsid w:val="75B24DDB"/>
    <w:rsid w:val="75B59C20"/>
    <w:rsid w:val="75B6B953"/>
    <w:rsid w:val="75B6DCCA"/>
    <w:rsid w:val="75B73EBA"/>
    <w:rsid w:val="75B96287"/>
    <w:rsid w:val="75BF129A"/>
    <w:rsid w:val="75C01847"/>
    <w:rsid w:val="75C05210"/>
    <w:rsid w:val="75C5A935"/>
    <w:rsid w:val="75CC8DEB"/>
    <w:rsid w:val="75CD724A"/>
    <w:rsid w:val="75CE6605"/>
    <w:rsid w:val="75CF453A"/>
    <w:rsid w:val="75CF8EB6"/>
    <w:rsid w:val="75D19E2D"/>
    <w:rsid w:val="75DBA377"/>
    <w:rsid w:val="75DC4B88"/>
    <w:rsid w:val="75DF33C1"/>
    <w:rsid w:val="75DFE5F6"/>
    <w:rsid w:val="75E1AFFF"/>
    <w:rsid w:val="75E7D2F6"/>
    <w:rsid w:val="75EA4357"/>
    <w:rsid w:val="75ED8C11"/>
    <w:rsid w:val="75EDD9BF"/>
    <w:rsid w:val="75F15B64"/>
    <w:rsid w:val="75F173E2"/>
    <w:rsid w:val="75F55E7E"/>
    <w:rsid w:val="75F607C9"/>
    <w:rsid w:val="75F69E0C"/>
    <w:rsid w:val="75F724B4"/>
    <w:rsid w:val="75F72596"/>
    <w:rsid w:val="75FF7FA7"/>
    <w:rsid w:val="76060E31"/>
    <w:rsid w:val="76067970"/>
    <w:rsid w:val="760B4C79"/>
    <w:rsid w:val="760C3F9F"/>
    <w:rsid w:val="760C6BD0"/>
    <w:rsid w:val="7612A271"/>
    <w:rsid w:val="7619EBAB"/>
    <w:rsid w:val="7619EC86"/>
    <w:rsid w:val="761F75CF"/>
    <w:rsid w:val="76209C5A"/>
    <w:rsid w:val="76215731"/>
    <w:rsid w:val="76222BB9"/>
    <w:rsid w:val="762D9578"/>
    <w:rsid w:val="762E80C1"/>
    <w:rsid w:val="7631C6CA"/>
    <w:rsid w:val="7631D97F"/>
    <w:rsid w:val="7635013F"/>
    <w:rsid w:val="76354FEF"/>
    <w:rsid w:val="7635E017"/>
    <w:rsid w:val="76364FB9"/>
    <w:rsid w:val="7636B027"/>
    <w:rsid w:val="763F61B9"/>
    <w:rsid w:val="7640AAE5"/>
    <w:rsid w:val="7645A7A1"/>
    <w:rsid w:val="7645EF6E"/>
    <w:rsid w:val="764D4FFC"/>
    <w:rsid w:val="764D9C09"/>
    <w:rsid w:val="7652EC7C"/>
    <w:rsid w:val="7655C5FD"/>
    <w:rsid w:val="7655D8EA"/>
    <w:rsid w:val="7656C314"/>
    <w:rsid w:val="7658FB91"/>
    <w:rsid w:val="765B3827"/>
    <w:rsid w:val="765CCF07"/>
    <w:rsid w:val="76608120"/>
    <w:rsid w:val="76649B44"/>
    <w:rsid w:val="766734BE"/>
    <w:rsid w:val="76699F8F"/>
    <w:rsid w:val="766F09A3"/>
    <w:rsid w:val="76750030"/>
    <w:rsid w:val="7677ECB2"/>
    <w:rsid w:val="76785A86"/>
    <w:rsid w:val="767892EB"/>
    <w:rsid w:val="767A07F9"/>
    <w:rsid w:val="767A570B"/>
    <w:rsid w:val="767C7938"/>
    <w:rsid w:val="767D7C36"/>
    <w:rsid w:val="76840DC0"/>
    <w:rsid w:val="768457C1"/>
    <w:rsid w:val="768A9528"/>
    <w:rsid w:val="768E93ED"/>
    <w:rsid w:val="7692FE4C"/>
    <w:rsid w:val="7696A493"/>
    <w:rsid w:val="769818BE"/>
    <w:rsid w:val="76981D2E"/>
    <w:rsid w:val="769E86F5"/>
    <w:rsid w:val="76A3A7A0"/>
    <w:rsid w:val="76A418D2"/>
    <w:rsid w:val="76ABDFE4"/>
    <w:rsid w:val="76AC6E7E"/>
    <w:rsid w:val="76AF5E67"/>
    <w:rsid w:val="76B2735E"/>
    <w:rsid w:val="76B47583"/>
    <w:rsid w:val="76B4C0A5"/>
    <w:rsid w:val="76B5A456"/>
    <w:rsid w:val="76B73A8C"/>
    <w:rsid w:val="76B78DBC"/>
    <w:rsid w:val="76B9B570"/>
    <w:rsid w:val="76B9DCA7"/>
    <w:rsid w:val="76BAC48D"/>
    <w:rsid w:val="76BBAE2D"/>
    <w:rsid w:val="76BCC89F"/>
    <w:rsid w:val="76C0D4D1"/>
    <w:rsid w:val="76C16745"/>
    <w:rsid w:val="76C3D577"/>
    <w:rsid w:val="76C4CED2"/>
    <w:rsid w:val="76C50EDB"/>
    <w:rsid w:val="76C797EC"/>
    <w:rsid w:val="76C8D8A2"/>
    <w:rsid w:val="76CA4DB7"/>
    <w:rsid w:val="76CCD660"/>
    <w:rsid w:val="76CDD4D9"/>
    <w:rsid w:val="76CFA42E"/>
    <w:rsid w:val="76D88490"/>
    <w:rsid w:val="76DE2234"/>
    <w:rsid w:val="76DEB20A"/>
    <w:rsid w:val="76E15B3F"/>
    <w:rsid w:val="76E1E5C1"/>
    <w:rsid w:val="76E5C5A1"/>
    <w:rsid w:val="76EEF285"/>
    <w:rsid w:val="76EF1790"/>
    <w:rsid w:val="76F789B2"/>
    <w:rsid w:val="76FAEA1B"/>
    <w:rsid w:val="76FC2020"/>
    <w:rsid w:val="76FD4047"/>
    <w:rsid w:val="76FD58C6"/>
    <w:rsid w:val="76FD8F01"/>
    <w:rsid w:val="76FFB80E"/>
    <w:rsid w:val="770240E2"/>
    <w:rsid w:val="77042F02"/>
    <w:rsid w:val="7707C4E9"/>
    <w:rsid w:val="770932D9"/>
    <w:rsid w:val="770A8C54"/>
    <w:rsid w:val="770B1083"/>
    <w:rsid w:val="770DD099"/>
    <w:rsid w:val="770E2235"/>
    <w:rsid w:val="770EECAE"/>
    <w:rsid w:val="77122CE7"/>
    <w:rsid w:val="7715CE6A"/>
    <w:rsid w:val="771BFE08"/>
    <w:rsid w:val="771E051A"/>
    <w:rsid w:val="7721EF01"/>
    <w:rsid w:val="7721F3C8"/>
    <w:rsid w:val="77224926"/>
    <w:rsid w:val="772266C5"/>
    <w:rsid w:val="7724AF25"/>
    <w:rsid w:val="7726D2DC"/>
    <w:rsid w:val="7727B885"/>
    <w:rsid w:val="7729DC87"/>
    <w:rsid w:val="773187AD"/>
    <w:rsid w:val="77349525"/>
    <w:rsid w:val="773E4577"/>
    <w:rsid w:val="773E98D3"/>
    <w:rsid w:val="773EEB0C"/>
    <w:rsid w:val="773FFB39"/>
    <w:rsid w:val="7744B0EC"/>
    <w:rsid w:val="7746AD5E"/>
    <w:rsid w:val="7746CC5F"/>
    <w:rsid w:val="77476B65"/>
    <w:rsid w:val="77489077"/>
    <w:rsid w:val="774C9021"/>
    <w:rsid w:val="774D4283"/>
    <w:rsid w:val="7752BB19"/>
    <w:rsid w:val="7753BB45"/>
    <w:rsid w:val="77548064"/>
    <w:rsid w:val="7757C16B"/>
    <w:rsid w:val="7757FBE8"/>
    <w:rsid w:val="77588DDF"/>
    <w:rsid w:val="77593155"/>
    <w:rsid w:val="77595FF4"/>
    <w:rsid w:val="775E8113"/>
    <w:rsid w:val="77612917"/>
    <w:rsid w:val="7762B724"/>
    <w:rsid w:val="7767A8F3"/>
    <w:rsid w:val="776AA6D9"/>
    <w:rsid w:val="776BFE9E"/>
    <w:rsid w:val="7770E83C"/>
    <w:rsid w:val="777154A9"/>
    <w:rsid w:val="7771C102"/>
    <w:rsid w:val="777632DE"/>
    <w:rsid w:val="7776C4D7"/>
    <w:rsid w:val="7779553F"/>
    <w:rsid w:val="777A0059"/>
    <w:rsid w:val="7789D5F4"/>
    <w:rsid w:val="778A4CD3"/>
    <w:rsid w:val="778B0314"/>
    <w:rsid w:val="7793583F"/>
    <w:rsid w:val="77940EFF"/>
    <w:rsid w:val="77948684"/>
    <w:rsid w:val="77949C09"/>
    <w:rsid w:val="77952AAB"/>
    <w:rsid w:val="77968BA6"/>
    <w:rsid w:val="779859F4"/>
    <w:rsid w:val="77989AE2"/>
    <w:rsid w:val="779993F4"/>
    <w:rsid w:val="779F0BE2"/>
    <w:rsid w:val="77A1BF07"/>
    <w:rsid w:val="77A5E082"/>
    <w:rsid w:val="77A681BF"/>
    <w:rsid w:val="77A861FB"/>
    <w:rsid w:val="77B23668"/>
    <w:rsid w:val="77B69983"/>
    <w:rsid w:val="77BA0470"/>
    <w:rsid w:val="77BBE2F0"/>
    <w:rsid w:val="77BFC9AD"/>
    <w:rsid w:val="77C0BF0D"/>
    <w:rsid w:val="77C3BA99"/>
    <w:rsid w:val="77C4329B"/>
    <w:rsid w:val="77C4751E"/>
    <w:rsid w:val="77CF550E"/>
    <w:rsid w:val="77D2FC2A"/>
    <w:rsid w:val="77DABB8D"/>
    <w:rsid w:val="77DF2DBC"/>
    <w:rsid w:val="77DF32E7"/>
    <w:rsid w:val="77E07634"/>
    <w:rsid w:val="77E86D13"/>
    <w:rsid w:val="77EB6B86"/>
    <w:rsid w:val="77EBEAFA"/>
    <w:rsid w:val="77ED0D1E"/>
    <w:rsid w:val="77F1965E"/>
    <w:rsid w:val="77F31775"/>
    <w:rsid w:val="77F33C46"/>
    <w:rsid w:val="77F84617"/>
    <w:rsid w:val="77F9ADAF"/>
    <w:rsid w:val="77FBBC8B"/>
    <w:rsid w:val="77FF9ECF"/>
    <w:rsid w:val="78026052"/>
    <w:rsid w:val="780632F4"/>
    <w:rsid w:val="7807C5B3"/>
    <w:rsid w:val="78156B2C"/>
    <w:rsid w:val="7816CF59"/>
    <w:rsid w:val="78170AA8"/>
    <w:rsid w:val="7819E908"/>
    <w:rsid w:val="781D08EF"/>
    <w:rsid w:val="78202D02"/>
    <w:rsid w:val="7823D9C9"/>
    <w:rsid w:val="78252C9F"/>
    <w:rsid w:val="7826E6D3"/>
    <w:rsid w:val="78274AAD"/>
    <w:rsid w:val="782C41D3"/>
    <w:rsid w:val="782EC8E3"/>
    <w:rsid w:val="782FB7B3"/>
    <w:rsid w:val="7833DB4D"/>
    <w:rsid w:val="78370445"/>
    <w:rsid w:val="783745E1"/>
    <w:rsid w:val="783A8743"/>
    <w:rsid w:val="783C3143"/>
    <w:rsid w:val="7842DA58"/>
    <w:rsid w:val="7848B759"/>
    <w:rsid w:val="784A33B9"/>
    <w:rsid w:val="784D0B5C"/>
    <w:rsid w:val="784D1E4F"/>
    <w:rsid w:val="784D2B36"/>
    <w:rsid w:val="784EC03C"/>
    <w:rsid w:val="784EEFDE"/>
    <w:rsid w:val="784F38B0"/>
    <w:rsid w:val="78511ED8"/>
    <w:rsid w:val="785213B6"/>
    <w:rsid w:val="78559AAF"/>
    <w:rsid w:val="785708CD"/>
    <w:rsid w:val="7857DE61"/>
    <w:rsid w:val="785DA956"/>
    <w:rsid w:val="785FB131"/>
    <w:rsid w:val="78659FDF"/>
    <w:rsid w:val="78694BA8"/>
    <w:rsid w:val="7869DF88"/>
    <w:rsid w:val="786DBFEE"/>
    <w:rsid w:val="7871C8C4"/>
    <w:rsid w:val="7872843D"/>
    <w:rsid w:val="787C16CC"/>
    <w:rsid w:val="787DE533"/>
    <w:rsid w:val="78815FB7"/>
    <w:rsid w:val="788220BD"/>
    <w:rsid w:val="7883AA6F"/>
    <w:rsid w:val="78846CBF"/>
    <w:rsid w:val="788B9921"/>
    <w:rsid w:val="788DCB00"/>
    <w:rsid w:val="788E15BF"/>
    <w:rsid w:val="7890A31A"/>
    <w:rsid w:val="7890CCB7"/>
    <w:rsid w:val="78912594"/>
    <w:rsid w:val="78964CD7"/>
    <w:rsid w:val="7897D02E"/>
    <w:rsid w:val="789AF772"/>
    <w:rsid w:val="789EF01F"/>
    <w:rsid w:val="78A1243C"/>
    <w:rsid w:val="78A78048"/>
    <w:rsid w:val="78AA527B"/>
    <w:rsid w:val="78ADC08C"/>
    <w:rsid w:val="78B21473"/>
    <w:rsid w:val="78B2C479"/>
    <w:rsid w:val="78B439B6"/>
    <w:rsid w:val="78B4A7A3"/>
    <w:rsid w:val="78BA51AC"/>
    <w:rsid w:val="78BC38A4"/>
    <w:rsid w:val="78BF7E81"/>
    <w:rsid w:val="78C29363"/>
    <w:rsid w:val="78C3313F"/>
    <w:rsid w:val="78C4ADCC"/>
    <w:rsid w:val="78C9F8D0"/>
    <w:rsid w:val="78CE9FE0"/>
    <w:rsid w:val="78CF8178"/>
    <w:rsid w:val="78D76BAF"/>
    <w:rsid w:val="78D909D3"/>
    <w:rsid w:val="78DB8271"/>
    <w:rsid w:val="78DBBBC0"/>
    <w:rsid w:val="78E034EA"/>
    <w:rsid w:val="78E6C4A9"/>
    <w:rsid w:val="78E8E56D"/>
    <w:rsid w:val="78EA3BCD"/>
    <w:rsid w:val="78F3C0DF"/>
    <w:rsid w:val="78F8B42F"/>
    <w:rsid w:val="78FA34A3"/>
    <w:rsid w:val="78FB53B1"/>
    <w:rsid w:val="790188DF"/>
    <w:rsid w:val="7902B72E"/>
    <w:rsid w:val="79059C05"/>
    <w:rsid w:val="7907522B"/>
    <w:rsid w:val="790ECF7E"/>
    <w:rsid w:val="790FA0AF"/>
    <w:rsid w:val="79127075"/>
    <w:rsid w:val="79153982"/>
    <w:rsid w:val="7915450E"/>
    <w:rsid w:val="7918A796"/>
    <w:rsid w:val="791DAC90"/>
    <w:rsid w:val="792010C9"/>
    <w:rsid w:val="79238AA9"/>
    <w:rsid w:val="7925BF2C"/>
    <w:rsid w:val="7926327F"/>
    <w:rsid w:val="79269A80"/>
    <w:rsid w:val="7928A47C"/>
    <w:rsid w:val="79335DDA"/>
    <w:rsid w:val="7939A92E"/>
    <w:rsid w:val="793A8627"/>
    <w:rsid w:val="793B50DE"/>
    <w:rsid w:val="7941B37D"/>
    <w:rsid w:val="794229E0"/>
    <w:rsid w:val="79449067"/>
    <w:rsid w:val="79468F0F"/>
    <w:rsid w:val="79477495"/>
    <w:rsid w:val="79488A84"/>
    <w:rsid w:val="794B27D3"/>
    <w:rsid w:val="79517CBC"/>
    <w:rsid w:val="7953AEE6"/>
    <w:rsid w:val="7955FEBB"/>
    <w:rsid w:val="79562F02"/>
    <w:rsid w:val="795F1E5C"/>
    <w:rsid w:val="7966A2A7"/>
    <w:rsid w:val="7971B16F"/>
    <w:rsid w:val="7973513D"/>
    <w:rsid w:val="79738AB7"/>
    <w:rsid w:val="7974AF22"/>
    <w:rsid w:val="7975D31F"/>
    <w:rsid w:val="797F1B21"/>
    <w:rsid w:val="7986649E"/>
    <w:rsid w:val="7986ED5D"/>
    <w:rsid w:val="798F0CA7"/>
    <w:rsid w:val="7990D535"/>
    <w:rsid w:val="799802C5"/>
    <w:rsid w:val="79989DCB"/>
    <w:rsid w:val="7998A5A9"/>
    <w:rsid w:val="79992523"/>
    <w:rsid w:val="799A0DFB"/>
    <w:rsid w:val="799D489D"/>
    <w:rsid w:val="79A5AD2A"/>
    <w:rsid w:val="79A95269"/>
    <w:rsid w:val="79ABCBF4"/>
    <w:rsid w:val="79B15C26"/>
    <w:rsid w:val="79B2334C"/>
    <w:rsid w:val="79B2D553"/>
    <w:rsid w:val="79B4AEBA"/>
    <w:rsid w:val="79B74FE7"/>
    <w:rsid w:val="79B7C9F3"/>
    <w:rsid w:val="79B9CAA8"/>
    <w:rsid w:val="79BA66FE"/>
    <w:rsid w:val="79BCF81D"/>
    <w:rsid w:val="79C01B9A"/>
    <w:rsid w:val="79C2C9F8"/>
    <w:rsid w:val="79C34487"/>
    <w:rsid w:val="79C657E8"/>
    <w:rsid w:val="79C78096"/>
    <w:rsid w:val="79C7FF10"/>
    <w:rsid w:val="79D801A4"/>
    <w:rsid w:val="79D9C2CD"/>
    <w:rsid w:val="79DBDF91"/>
    <w:rsid w:val="79E2173F"/>
    <w:rsid w:val="79E2491F"/>
    <w:rsid w:val="79E3A236"/>
    <w:rsid w:val="79E65C42"/>
    <w:rsid w:val="79E983BF"/>
    <w:rsid w:val="79EA3954"/>
    <w:rsid w:val="79ECCF28"/>
    <w:rsid w:val="79ED64FE"/>
    <w:rsid w:val="79EFF6C7"/>
    <w:rsid w:val="79F054C8"/>
    <w:rsid w:val="79F28E32"/>
    <w:rsid w:val="79F5CD0E"/>
    <w:rsid w:val="79F6ABCC"/>
    <w:rsid w:val="79F7F4E8"/>
    <w:rsid w:val="79F979B7"/>
    <w:rsid w:val="7A04CE51"/>
    <w:rsid w:val="7A095F7A"/>
    <w:rsid w:val="7A0C6D44"/>
    <w:rsid w:val="7A0C8BF3"/>
    <w:rsid w:val="7A0FFFBA"/>
    <w:rsid w:val="7A10C429"/>
    <w:rsid w:val="7A145845"/>
    <w:rsid w:val="7A1586C4"/>
    <w:rsid w:val="7A17A5E2"/>
    <w:rsid w:val="7A2228E0"/>
    <w:rsid w:val="7A227647"/>
    <w:rsid w:val="7A22DE51"/>
    <w:rsid w:val="7A2320AB"/>
    <w:rsid w:val="7A260CDE"/>
    <w:rsid w:val="7A272177"/>
    <w:rsid w:val="7A28D660"/>
    <w:rsid w:val="7A29A382"/>
    <w:rsid w:val="7A2C847A"/>
    <w:rsid w:val="7A2DAE59"/>
    <w:rsid w:val="7A2F8EDB"/>
    <w:rsid w:val="7A3122C7"/>
    <w:rsid w:val="7A3704BD"/>
    <w:rsid w:val="7A392941"/>
    <w:rsid w:val="7A399D5B"/>
    <w:rsid w:val="7A3C015B"/>
    <w:rsid w:val="7A3DCEA8"/>
    <w:rsid w:val="7A441730"/>
    <w:rsid w:val="7A446904"/>
    <w:rsid w:val="7A45BFC5"/>
    <w:rsid w:val="7A48F2AF"/>
    <w:rsid w:val="7A4A361F"/>
    <w:rsid w:val="7A4AECF3"/>
    <w:rsid w:val="7A4CAD8D"/>
    <w:rsid w:val="7A4CC143"/>
    <w:rsid w:val="7A4E9C8A"/>
    <w:rsid w:val="7A598FC3"/>
    <w:rsid w:val="7A59E9E8"/>
    <w:rsid w:val="7A5F835C"/>
    <w:rsid w:val="7A6EE540"/>
    <w:rsid w:val="7A6FAE3F"/>
    <w:rsid w:val="7A70FFE2"/>
    <w:rsid w:val="7A811675"/>
    <w:rsid w:val="7A828615"/>
    <w:rsid w:val="7A86C024"/>
    <w:rsid w:val="7A8752CF"/>
    <w:rsid w:val="7A8D98F5"/>
    <w:rsid w:val="7A8DC1FD"/>
    <w:rsid w:val="7A8E251F"/>
    <w:rsid w:val="7A91401D"/>
    <w:rsid w:val="7A92A62E"/>
    <w:rsid w:val="7A9450AC"/>
    <w:rsid w:val="7A9C052F"/>
    <w:rsid w:val="7A9E38B9"/>
    <w:rsid w:val="7AA92005"/>
    <w:rsid w:val="7AAD5038"/>
    <w:rsid w:val="7AADD3A0"/>
    <w:rsid w:val="7AAEB259"/>
    <w:rsid w:val="7AB11E32"/>
    <w:rsid w:val="7AB365AA"/>
    <w:rsid w:val="7AB73116"/>
    <w:rsid w:val="7AB8129D"/>
    <w:rsid w:val="7ABA09C2"/>
    <w:rsid w:val="7ABC58F8"/>
    <w:rsid w:val="7ABDC5E7"/>
    <w:rsid w:val="7AC3A715"/>
    <w:rsid w:val="7AC584CB"/>
    <w:rsid w:val="7AC5D6B3"/>
    <w:rsid w:val="7AC8F1D9"/>
    <w:rsid w:val="7ACB18F9"/>
    <w:rsid w:val="7ACE1C50"/>
    <w:rsid w:val="7ACFE7AE"/>
    <w:rsid w:val="7AD00D9A"/>
    <w:rsid w:val="7AD3880E"/>
    <w:rsid w:val="7AD67159"/>
    <w:rsid w:val="7AD75CB3"/>
    <w:rsid w:val="7AD9645C"/>
    <w:rsid w:val="7ADCF587"/>
    <w:rsid w:val="7AE00B5D"/>
    <w:rsid w:val="7AEC32B4"/>
    <w:rsid w:val="7AED43EC"/>
    <w:rsid w:val="7AF049E7"/>
    <w:rsid w:val="7AFA12B5"/>
    <w:rsid w:val="7B06738D"/>
    <w:rsid w:val="7B079600"/>
    <w:rsid w:val="7B0BFB17"/>
    <w:rsid w:val="7B0E9F02"/>
    <w:rsid w:val="7B104BC5"/>
    <w:rsid w:val="7B1439FC"/>
    <w:rsid w:val="7B1858E2"/>
    <w:rsid w:val="7B1C6B15"/>
    <w:rsid w:val="7B201525"/>
    <w:rsid w:val="7B20FDEF"/>
    <w:rsid w:val="7B25E1E4"/>
    <w:rsid w:val="7B274583"/>
    <w:rsid w:val="7B2AC4A5"/>
    <w:rsid w:val="7B318183"/>
    <w:rsid w:val="7B367CD6"/>
    <w:rsid w:val="7B3744AA"/>
    <w:rsid w:val="7B405385"/>
    <w:rsid w:val="7B46520F"/>
    <w:rsid w:val="7B480C99"/>
    <w:rsid w:val="7B49FE5C"/>
    <w:rsid w:val="7B4BECF2"/>
    <w:rsid w:val="7B4EE1AA"/>
    <w:rsid w:val="7B52E75B"/>
    <w:rsid w:val="7B539A54"/>
    <w:rsid w:val="7B5450C7"/>
    <w:rsid w:val="7B559020"/>
    <w:rsid w:val="7B569E34"/>
    <w:rsid w:val="7B5AC3CA"/>
    <w:rsid w:val="7B5E928C"/>
    <w:rsid w:val="7B600FB8"/>
    <w:rsid w:val="7B64532C"/>
    <w:rsid w:val="7B6EF21F"/>
    <w:rsid w:val="7B7061EA"/>
    <w:rsid w:val="7B714394"/>
    <w:rsid w:val="7B7549BC"/>
    <w:rsid w:val="7B760DA8"/>
    <w:rsid w:val="7B76BB2B"/>
    <w:rsid w:val="7B77AFF2"/>
    <w:rsid w:val="7B7C8296"/>
    <w:rsid w:val="7B7E7B52"/>
    <w:rsid w:val="7B7FB8C8"/>
    <w:rsid w:val="7B7FF3AB"/>
    <w:rsid w:val="7B85AAA8"/>
    <w:rsid w:val="7B8BD1D3"/>
    <w:rsid w:val="7B8CA073"/>
    <w:rsid w:val="7B8F0A4F"/>
    <w:rsid w:val="7B8F65D8"/>
    <w:rsid w:val="7B912E82"/>
    <w:rsid w:val="7B954A18"/>
    <w:rsid w:val="7B978CB5"/>
    <w:rsid w:val="7B98F981"/>
    <w:rsid w:val="7B99563D"/>
    <w:rsid w:val="7B9BAA6B"/>
    <w:rsid w:val="7B9C4505"/>
    <w:rsid w:val="7B9F171B"/>
    <w:rsid w:val="7BA17684"/>
    <w:rsid w:val="7BA19AC6"/>
    <w:rsid w:val="7BA888C0"/>
    <w:rsid w:val="7BAC51EB"/>
    <w:rsid w:val="7BAEB1B4"/>
    <w:rsid w:val="7BAFA731"/>
    <w:rsid w:val="7BB0AED8"/>
    <w:rsid w:val="7BB0B512"/>
    <w:rsid w:val="7BB5EFF1"/>
    <w:rsid w:val="7BBA53D4"/>
    <w:rsid w:val="7BBAE4DC"/>
    <w:rsid w:val="7BBB4B31"/>
    <w:rsid w:val="7BC045CA"/>
    <w:rsid w:val="7BC0B568"/>
    <w:rsid w:val="7BC341F7"/>
    <w:rsid w:val="7BC54FA5"/>
    <w:rsid w:val="7BC66912"/>
    <w:rsid w:val="7BC6DDCD"/>
    <w:rsid w:val="7BC7994B"/>
    <w:rsid w:val="7BC958B5"/>
    <w:rsid w:val="7BCA15D9"/>
    <w:rsid w:val="7BCA1F3E"/>
    <w:rsid w:val="7BD39983"/>
    <w:rsid w:val="7BD58124"/>
    <w:rsid w:val="7BD6C6CC"/>
    <w:rsid w:val="7BD80F1F"/>
    <w:rsid w:val="7BDA7D2D"/>
    <w:rsid w:val="7BDA9BFF"/>
    <w:rsid w:val="7BDB2271"/>
    <w:rsid w:val="7BDBF358"/>
    <w:rsid w:val="7BDF9BD5"/>
    <w:rsid w:val="7BE004F1"/>
    <w:rsid w:val="7BE242F7"/>
    <w:rsid w:val="7BE34ABD"/>
    <w:rsid w:val="7BE3F5B9"/>
    <w:rsid w:val="7BE4C13B"/>
    <w:rsid w:val="7BE62F1C"/>
    <w:rsid w:val="7BED067C"/>
    <w:rsid w:val="7BEFDFB1"/>
    <w:rsid w:val="7BF6A29B"/>
    <w:rsid w:val="7BF75755"/>
    <w:rsid w:val="7BF80D91"/>
    <w:rsid w:val="7BF993DC"/>
    <w:rsid w:val="7BFEAC6B"/>
    <w:rsid w:val="7C04090B"/>
    <w:rsid w:val="7C09D437"/>
    <w:rsid w:val="7C10DAE4"/>
    <w:rsid w:val="7C1213CD"/>
    <w:rsid w:val="7C1237E3"/>
    <w:rsid w:val="7C123CF1"/>
    <w:rsid w:val="7C125DEB"/>
    <w:rsid w:val="7C16A93C"/>
    <w:rsid w:val="7C18C946"/>
    <w:rsid w:val="7C1AB379"/>
    <w:rsid w:val="7C20F59A"/>
    <w:rsid w:val="7C2386FA"/>
    <w:rsid w:val="7C25CA90"/>
    <w:rsid w:val="7C2B2910"/>
    <w:rsid w:val="7C2CA8F5"/>
    <w:rsid w:val="7C2D602A"/>
    <w:rsid w:val="7C312543"/>
    <w:rsid w:val="7C316802"/>
    <w:rsid w:val="7C32F387"/>
    <w:rsid w:val="7C39BE69"/>
    <w:rsid w:val="7C3AF1DF"/>
    <w:rsid w:val="7C3B4ABD"/>
    <w:rsid w:val="7C3B4EF2"/>
    <w:rsid w:val="7C3CAE59"/>
    <w:rsid w:val="7C3EA2AE"/>
    <w:rsid w:val="7C42E869"/>
    <w:rsid w:val="7C43F224"/>
    <w:rsid w:val="7C43FC8F"/>
    <w:rsid w:val="7C459980"/>
    <w:rsid w:val="7C4B36CE"/>
    <w:rsid w:val="7C4B6B74"/>
    <w:rsid w:val="7C4CF217"/>
    <w:rsid w:val="7C4E3DFA"/>
    <w:rsid w:val="7C5026C3"/>
    <w:rsid w:val="7C50C95E"/>
    <w:rsid w:val="7C5D58BF"/>
    <w:rsid w:val="7C5DD8A9"/>
    <w:rsid w:val="7C61A901"/>
    <w:rsid w:val="7C65F448"/>
    <w:rsid w:val="7C66671A"/>
    <w:rsid w:val="7C695621"/>
    <w:rsid w:val="7C6BC8CF"/>
    <w:rsid w:val="7C7142FB"/>
    <w:rsid w:val="7C72E045"/>
    <w:rsid w:val="7C75FA76"/>
    <w:rsid w:val="7C784052"/>
    <w:rsid w:val="7C7B5858"/>
    <w:rsid w:val="7C7BA501"/>
    <w:rsid w:val="7C82604B"/>
    <w:rsid w:val="7C8535C1"/>
    <w:rsid w:val="7C8623FC"/>
    <w:rsid w:val="7C899FDE"/>
    <w:rsid w:val="7C8C68E0"/>
    <w:rsid w:val="7C8FF41B"/>
    <w:rsid w:val="7C92070D"/>
    <w:rsid w:val="7C94A35D"/>
    <w:rsid w:val="7C9601F1"/>
    <w:rsid w:val="7C97FF1A"/>
    <w:rsid w:val="7C99A939"/>
    <w:rsid w:val="7C9AD8D3"/>
    <w:rsid w:val="7C9E7030"/>
    <w:rsid w:val="7CA07A16"/>
    <w:rsid w:val="7CA19B77"/>
    <w:rsid w:val="7CA33303"/>
    <w:rsid w:val="7CA60BF6"/>
    <w:rsid w:val="7CA72943"/>
    <w:rsid w:val="7CA83D8D"/>
    <w:rsid w:val="7CAF5773"/>
    <w:rsid w:val="7CB3A696"/>
    <w:rsid w:val="7CB7FB04"/>
    <w:rsid w:val="7CB7FD4B"/>
    <w:rsid w:val="7CB9F7C3"/>
    <w:rsid w:val="7CBCB79E"/>
    <w:rsid w:val="7CBEECBC"/>
    <w:rsid w:val="7CC31578"/>
    <w:rsid w:val="7CC5DB43"/>
    <w:rsid w:val="7CC8E21D"/>
    <w:rsid w:val="7CCA12B3"/>
    <w:rsid w:val="7CCF1E75"/>
    <w:rsid w:val="7CD43E86"/>
    <w:rsid w:val="7CD646D0"/>
    <w:rsid w:val="7CDC8F2C"/>
    <w:rsid w:val="7CDCA7CB"/>
    <w:rsid w:val="7CE3F609"/>
    <w:rsid w:val="7CE50E4C"/>
    <w:rsid w:val="7CE97901"/>
    <w:rsid w:val="7CEB1F70"/>
    <w:rsid w:val="7CED11BD"/>
    <w:rsid w:val="7CEEC561"/>
    <w:rsid w:val="7CF6AE04"/>
    <w:rsid w:val="7CF83B32"/>
    <w:rsid w:val="7CF8E010"/>
    <w:rsid w:val="7CFA169A"/>
    <w:rsid w:val="7CFAC8D6"/>
    <w:rsid w:val="7D00219E"/>
    <w:rsid w:val="7D02ADB6"/>
    <w:rsid w:val="7D0307E6"/>
    <w:rsid w:val="7D0368D9"/>
    <w:rsid w:val="7D0534A8"/>
    <w:rsid w:val="7D05E157"/>
    <w:rsid w:val="7D07E797"/>
    <w:rsid w:val="7D0B17FB"/>
    <w:rsid w:val="7D0E2852"/>
    <w:rsid w:val="7D16DD0A"/>
    <w:rsid w:val="7D1B2FED"/>
    <w:rsid w:val="7D1EF82F"/>
    <w:rsid w:val="7D209A4F"/>
    <w:rsid w:val="7D23C30E"/>
    <w:rsid w:val="7D2600EB"/>
    <w:rsid w:val="7D28A39C"/>
    <w:rsid w:val="7D29DDC0"/>
    <w:rsid w:val="7D2C2C1D"/>
    <w:rsid w:val="7D2FB850"/>
    <w:rsid w:val="7D3332B4"/>
    <w:rsid w:val="7D352079"/>
    <w:rsid w:val="7D3C6983"/>
    <w:rsid w:val="7D3E8D08"/>
    <w:rsid w:val="7D415434"/>
    <w:rsid w:val="7D456388"/>
    <w:rsid w:val="7D47BF6E"/>
    <w:rsid w:val="7D4AB53B"/>
    <w:rsid w:val="7D4AB947"/>
    <w:rsid w:val="7D4AC554"/>
    <w:rsid w:val="7D4CACCA"/>
    <w:rsid w:val="7D4F44DC"/>
    <w:rsid w:val="7D52A0B7"/>
    <w:rsid w:val="7D5611D7"/>
    <w:rsid w:val="7D5E74CC"/>
    <w:rsid w:val="7D5F9054"/>
    <w:rsid w:val="7D624034"/>
    <w:rsid w:val="7D63F248"/>
    <w:rsid w:val="7D648B1F"/>
    <w:rsid w:val="7D6611EC"/>
    <w:rsid w:val="7D6A2B9F"/>
    <w:rsid w:val="7D6CD085"/>
    <w:rsid w:val="7D720BE6"/>
    <w:rsid w:val="7D75F38C"/>
    <w:rsid w:val="7D7712EB"/>
    <w:rsid w:val="7D783501"/>
    <w:rsid w:val="7D7873FF"/>
    <w:rsid w:val="7D7EC10A"/>
    <w:rsid w:val="7D80E61C"/>
    <w:rsid w:val="7D816AEF"/>
    <w:rsid w:val="7D82EAED"/>
    <w:rsid w:val="7D82EE1C"/>
    <w:rsid w:val="7D87DF07"/>
    <w:rsid w:val="7D886FF4"/>
    <w:rsid w:val="7D8A599F"/>
    <w:rsid w:val="7D8D383C"/>
    <w:rsid w:val="7D8D9760"/>
    <w:rsid w:val="7D9060A3"/>
    <w:rsid w:val="7D933E1C"/>
    <w:rsid w:val="7D946FCF"/>
    <w:rsid w:val="7D94CD8D"/>
    <w:rsid w:val="7D98CD56"/>
    <w:rsid w:val="7D9D05EE"/>
    <w:rsid w:val="7D9D4A5D"/>
    <w:rsid w:val="7D9DC623"/>
    <w:rsid w:val="7D9E309F"/>
    <w:rsid w:val="7DA08A52"/>
    <w:rsid w:val="7DA5FBED"/>
    <w:rsid w:val="7DA69559"/>
    <w:rsid w:val="7DA76A48"/>
    <w:rsid w:val="7DB282D6"/>
    <w:rsid w:val="7DB8CA74"/>
    <w:rsid w:val="7DBA04C2"/>
    <w:rsid w:val="7DBF771F"/>
    <w:rsid w:val="7DC0DA7C"/>
    <w:rsid w:val="7DC354A6"/>
    <w:rsid w:val="7DC46EA4"/>
    <w:rsid w:val="7DC58EFD"/>
    <w:rsid w:val="7DC64FC9"/>
    <w:rsid w:val="7DC6F59A"/>
    <w:rsid w:val="7DCC5C2A"/>
    <w:rsid w:val="7DCCA7D5"/>
    <w:rsid w:val="7DD387D2"/>
    <w:rsid w:val="7DD4398B"/>
    <w:rsid w:val="7DD82FC4"/>
    <w:rsid w:val="7DD8891B"/>
    <w:rsid w:val="7DDAD585"/>
    <w:rsid w:val="7DDD2B40"/>
    <w:rsid w:val="7DDDE9EC"/>
    <w:rsid w:val="7DE0ADFF"/>
    <w:rsid w:val="7DE103BC"/>
    <w:rsid w:val="7DE259AA"/>
    <w:rsid w:val="7DE422AA"/>
    <w:rsid w:val="7DE6CFA9"/>
    <w:rsid w:val="7DEB93CA"/>
    <w:rsid w:val="7DED3FE5"/>
    <w:rsid w:val="7DEDEA76"/>
    <w:rsid w:val="7DF27857"/>
    <w:rsid w:val="7DF381EC"/>
    <w:rsid w:val="7DF7C71C"/>
    <w:rsid w:val="7DF89528"/>
    <w:rsid w:val="7DF91FF0"/>
    <w:rsid w:val="7DF999B3"/>
    <w:rsid w:val="7DFA7586"/>
    <w:rsid w:val="7DFC271A"/>
    <w:rsid w:val="7DFD45E4"/>
    <w:rsid w:val="7DFD7962"/>
    <w:rsid w:val="7DFF3B84"/>
    <w:rsid w:val="7E00B6B6"/>
    <w:rsid w:val="7E00F829"/>
    <w:rsid w:val="7E010A07"/>
    <w:rsid w:val="7E0443F9"/>
    <w:rsid w:val="7E053CD7"/>
    <w:rsid w:val="7E09242C"/>
    <w:rsid w:val="7E0A903B"/>
    <w:rsid w:val="7E0CEF25"/>
    <w:rsid w:val="7E17E1C8"/>
    <w:rsid w:val="7E186022"/>
    <w:rsid w:val="7E1AAD49"/>
    <w:rsid w:val="7E1D2EE0"/>
    <w:rsid w:val="7E1EF584"/>
    <w:rsid w:val="7E2488C5"/>
    <w:rsid w:val="7E2660EA"/>
    <w:rsid w:val="7E29F18E"/>
    <w:rsid w:val="7E2A625A"/>
    <w:rsid w:val="7E2CAE33"/>
    <w:rsid w:val="7E338F7B"/>
    <w:rsid w:val="7E339371"/>
    <w:rsid w:val="7E38937B"/>
    <w:rsid w:val="7E38A4E2"/>
    <w:rsid w:val="7E3AF2AC"/>
    <w:rsid w:val="7E41261E"/>
    <w:rsid w:val="7E43E025"/>
    <w:rsid w:val="7E4502FA"/>
    <w:rsid w:val="7E46BA7F"/>
    <w:rsid w:val="7E498B92"/>
    <w:rsid w:val="7E4E199F"/>
    <w:rsid w:val="7E4F3A10"/>
    <w:rsid w:val="7E5216DD"/>
    <w:rsid w:val="7E540E68"/>
    <w:rsid w:val="7E55A17A"/>
    <w:rsid w:val="7E574A2B"/>
    <w:rsid w:val="7E5A0185"/>
    <w:rsid w:val="7E5DAA95"/>
    <w:rsid w:val="7E5E2BDF"/>
    <w:rsid w:val="7E601421"/>
    <w:rsid w:val="7E6093B3"/>
    <w:rsid w:val="7E6D7C9B"/>
    <w:rsid w:val="7E700E19"/>
    <w:rsid w:val="7E722108"/>
    <w:rsid w:val="7E724996"/>
    <w:rsid w:val="7E7790AA"/>
    <w:rsid w:val="7E787C52"/>
    <w:rsid w:val="7E78CB6D"/>
    <w:rsid w:val="7E7926A2"/>
    <w:rsid w:val="7E7F1CB7"/>
    <w:rsid w:val="7E808EA9"/>
    <w:rsid w:val="7E82D0BC"/>
    <w:rsid w:val="7E833F49"/>
    <w:rsid w:val="7E85A46F"/>
    <w:rsid w:val="7E88F03A"/>
    <w:rsid w:val="7E899874"/>
    <w:rsid w:val="7E8A400A"/>
    <w:rsid w:val="7E8B5C32"/>
    <w:rsid w:val="7E930118"/>
    <w:rsid w:val="7E9548CE"/>
    <w:rsid w:val="7E959C15"/>
    <w:rsid w:val="7E9621F9"/>
    <w:rsid w:val="7E98D03C"/>
    <w:rsid w:val="7E9C729C"/>
    <w:rsid w:val="7E9DFD93"/>
    <w:rsid w:val="7E9E6DA2"/>
    <w:rsid w:val="7E9E7456"/>
    <w:rsid w:val="7EA00347"/>
    <w:rsid w:val="7EA3DC17"/>
    <w:rsid w:val="7EA5708D"/>
    <w:rsid w:val="7EA8BB93"/>
    <w:rsid w:val="7EB289CE"/>
    <w:rsid w:val="7EB3035C"/>
    <w:rsid w:val="7EB4EF12"/>
    <w:rsid w:val="7EB824E2"/>
    <w:rsid w:val="7EB9AE73"/>
    <w:rsid w:val="7EB9EE44"/>
    <w:rsid w:val="7EBFF461"/>
    <w:rsid w:val="7EC42A43"/>
    <w:rsid w:val="7EC6B300"/>
    <w:rsid w:val="7EC9F480"/>
    <w:rsid w:val="7ECD1928"/>
    <w:rsid w:val="7ECFA214"/>
    <w:rsid w:val="7ED20F36"/>
    <w:rsid w:val="7ED40ABB"/>
    <w:rsid w:val="7EE1DA06"/>
    <w:rsid w:val="7EE4C7A5"/>
    <w:rsid w:val="7EE510F1"/>
    <w:rsid w:val="7EEB7608"/>
    <w:rsid w:val="7EEBAC13"/>
    <w:rsid w:val="7EEF543C"/>
    <w:rsid w:val="7EF11244"/>
    <w:rsid w:val="7EF2F212"/>
    <w:rsid w:val="7EF5243B"/>
    <w:rsid w:val="7EF589BA"/>
    <w:rsid w:val="7EF78F78"/>
    <w:rsid w:val="7EF85C37"/>
    <w:rsid w:val="7EFDEE20"/>
    <w:rsid w:val="7F02A5F3"/>
    <w:rsid w:val="7F06DD66"/>
    <w:rsid w:val="7F088DFE"/>
    <w:rsid w:val="7F0C2AE5"/>
    <w:rsid w:val="7F0CE1DB"/>
    <w:rsid w:val="7F0F2F8E"/>
    <w:rsid w:val="7F0F6475"/>
    <w:rsid w:val="7F11F633"/>
    <w:rsid w:val="7F1DDA87"/>
    <w:rsid w:val="7F1EC4E0"/>
    <w:rsid w:val="7F224A69"/>
    <w:rsid w:val="7F235C17"/>
    <w:rsid w:val="7F26BF10"/>
    <w:rsid w:val="7F271E92"/>
    <w:rsid w:val="7F284026"/>
    <w:rsid w:val="7F2BFF7D"/>
    <w:rsid w:val="7F2F36B4"/>
    <w:rsid w:val="7F2FB326"/>
    <w:rsid w:val="7F319F5A"/>
    <w:rsid w:val="7F34A3C2"/>
    <w:rsid w:val="7F3740E5"/>
    <w:rsid w:val="7F381D11"/>
    <w:rsid w:val="7F383AB8"/>
    <w:rsid w:val="7F3E3B23"/>
    <w:rsid w:val="7F430C03"/>
    <w:rsid w:val="7F43E234"/>
    <w:rsid w:val="7F4847C3"/>
    <w:rsid w:val="7F4DB394"/>
    <w:rsid w:val="7F4E7D13"/>
    <w:rsid w:val="7F52A58D"/>
    <w:rsid w:val="7F533A29"/>
    <w:rsid w:val="7F542ABD"/>
    <w:rsid w:val="7F58759B"/>
    <w:rsid w:val="7F592FFF"/>
    <w:rsid w:val="7F5C0EF4"/>
    <w:rsid w:val="7F5C907D"/>
    <w:rsid w:val="7F5F0D22"/>
    <w:rsid w:val="7F5F1BA8"/>
    <w:rsid w:val="7F6629CA"/>
    <w:rsid w:val="7F6A74AD"/>
    <w:rsid w:val="7F70567F"/>
    <w:rsid w:val="7F72006B"/>
    <w:rsid w:val="7F73A2C8"/>
    <w:rsid w:val="7F746C72"/>
    <w:rsid w:val="7F7A3A00"/>
    <w:rsid w:val="7F7C4946"/>
    <w:rsid w:val="7F818F7B"/>
    <w:rsid w:val="7F8195EF"/>
    <w:rsid w:val="7F867AF3"/>
    <w:rsid w:val="7F8A2B84"/>
    <w:rsid w:val="7F8C1080"/>
    <w:rsid w:val="7F982B1C"/>
    <w:rsid w:val="7FA0132A"/>
    <w:rsid w:val="7FA8A4B0"/>
    <w:rsid w:val="7FAA5866"/>
    <w:rsid w:val="7FAB5760"/>
    <w:rsid w:val="7FACEDAA"/>
    <w:rsid w:val="7FAE625E"/>
    <w:rsid w:val="7FAF5175"/>
    <w:rsid w:val="7FAF6FCD"/>
    <w:rsid w:val="7FB55BC1"/>
    <w:rsid w:val="7FB65A06"/>
    <w:rsid w:val="7FB95D8C"/>
    <w:rsid w:val="7FBAEAA9"/>
    <w:rsid w:val="7FBD06F1"/>
    <w:rsid w:val="7FC4D9B5"/>
    <w:rsid w:val="7FC7F8EA"/>
    <w:rsid w:val="7FC8C084"/>
    <w:rsid w:val="7FD4107C"/>
    <w:rsid w:val="7FD517B5"/>
    <w:rsid w:val="7FD901F5"/>
    <w:rsid w:val="7FDA219A"/>
    <w:rsid w:val="7FE2FC0D"/>
    <w:rsid w:val="7FE2FF0E"/>
    <w:rsid w:val="7FE945A2"/>
    <w:rsid w:val="7FED680D"/>
    <w:rsid w:val="7FEFD182"/>
    <w:rsid w:val="7FF57D84"/>
    <w:rsid w:val="7FFDE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D5CDC0C"/>
  <w15:chartTrackingRefBased/>
  <w15:docId w15:val="{79E75C2E-FAA0-4000-9A57-41C1FAF0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D6E"/>
  </w:style>
  <w:style w:type="paragraph" w:styleId="Heading1">
    <w:name w:val="heading 1"/>
    <w:basedOn w:val="Normal"/>
    <w:next w:val="Normal"/>
    <w:link w:val="Heading1Char"/>
    <w:qFormat/>
    <w:rsid w:val="00E51091"/>
    <w:pPr>
      <w:keepNext/>
      <w:keepLines/>
      <w:spacing w:before="360" w:after="120"/>
      <w:outlineLvl w:val="0"/>
    </w:pPr>
    <w:rPr>
      <w:rFonts w:eastAsiaTheme="majorEastAsia" w:cstheme="majorBidi"/>
      <w:b/>
      <w:sz w:val="28"/>
      <w:szCs w:val="32"/>
    </w:rPr>
  </w:style>
  <w:style w:type="paragraph" w:styleId="Heading2">
    <w:name w:val="heading 2"/>
    <w:basedOn w:val="Normal"/>
    <w:next w:val="Normal"/>
    <w:link w:val="Heading2Char"/>
    <w:unhideWhenUsed/>
    <w:qFormat/>
    <w:rsid w:val="00E64F19"/>
    <w:pPr>
      <w:keepNext/>
      <w:keepLines/>
      <w:spacing w:before="280" w:after="2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066DF"/>
    <w:pPr>
      <w:keepNext/>
      <w:keepLines/>
      <w:spacing w:before="280" w:after="240"/>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026A5D"/>
    <w:pPr>
      <w:keepNext/>
      <w:keepLines/>
      <w:spacing w:after="0"/>
      <w:outlineLvl w:val="3"/>
    </w:pPr>
    <w:rPr>
      <w:rFonts w:ascii="Times New Roman" w:eastAsiaTheme="majorEastAsia" w:hAnsi="Times New Roman" w:cstheme="majorBidi"/>
      <w:i/>
      <w:iCs/>
    </w:rPr>
  </w:style>
  <w:style w:type="paragraph" w:styleId="Heading5">
    <w:name w:val="heading 5"/>
    <w:basedOn w:val="Normal"/>
    <w:next w:val="Normal"/>
    <w:link w:val="Heading5Char"/>
    <w:uiPriority w:val="9"/>
    <w:unhideWhenUsed/>
    <w:qFormat/>
    <w:rsid w:val="00026A5D"/>
    <w:pPr>
      <w:keepNext/>
      <w:keepLines/>
      <w:spacing w:after="0"/>
      <w:contextualSpacing/>
      <w:outlineLvl w:val="4"/>
    </w:pPr>
    <w:rPr>
      <w:rFonts w:ascii="Times New Roman" w:eastAsiaTheme="majorEastAsia" w:hAnsi="Times New Roman"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091"/>
    <w:rPr>
      <w:rFonts w:eastAsiaTheme="majorEastAsia" w:cstheme="majorBidi"/>
      <w:b/>
      <w:sz w:val="28"/>
      <w:szCs w:val="32"/>
    </w:rPr>
  </w:style>
  <w:style w:type="paragraph" w:styleId="NormalWeb">
    <w:name w:val="Normal (Web)"/>
    <w:basedOn w:val="Normal"/>
    <w:uiPriority w:val="99"/>
    <w:unhideWhenUsed/>
    <w:rsid w:val="001D5CAA"/>
    <w:rPr>
      <w:rFonts w:ascii="Times New Roman" w:hAnsi="Times New Roman" w:cs="Times New Roman"/>
      <w:sz w:val="24"/>
      <w:szCs w:val="24"/>
    </w:rPr>
  </w:style>
  <w:style w:type="paragraph" w:customStyle="1" w:styleId="Text2">
    <w:name w:val="Text 2"/>
    <w:basedOn w:val="Normal"/>
    <w:rsid w:val="001D5CAA"/>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1D5CAA"/>
    <w:rPr>
      <w:color w:val="0563C1" w:themeColor="hyperlink"/>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1D5CAA"/>
    <w:pPr>
      <w:spacing w:after="0" w:line="240" w:lineRule="auto"/>
      <w:jc w:val="both"/>
    </w:pPr>
    <w:rPr>
      <w:rFonts w:ascii="Times New Roman" w:hAnsi="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1D5CAA"/>
    <w:rPr>
      <w:rFonts w:ascii="Times New Roman" w:hAnsi="Times New Roman"/>
      <w:sz w:val="20"/>
      <w:szCs w:val="20"/>
      <w:lang w:val="en-GB"/>
    </w:rPr>
  </w:style>
  <w:style w:type="character" w:styleId="FootnoteReference">
    <w:name w:val="footnote reference"/>
    <w:aliases w:val="Ref,de nota al pie,ftref,Footnote Refernece,Footnote Reference Superscript,Footnote Reference text,Footnote symbol,Voetnootverwijzing,footnote ref,FR,Fußnotenzeichen diss neu,Times 10 Point,Exposant 3 Point, Exposant 3 Point,Re,SUPERS"/>
    <w:basedOn w:val="DefaultParagraphFont"/>
    <w:link w:val="16Point"/>
    <w:uiPriority w:val="99"/>
    <w:unhideWhenUsed/>
    <w:qFormat/>
    <w:rsid w:val="001D5CAA"/>
    <w:rPr>
      <w:vertAlign w:val="superscript"/>
    </w:rPr>
  </w:style>
  <w:style w:type="character" w:styleId="CommentReference">
    <w:name w:val="annotation reference"/>
    <w:basedOn w:val="DefaultParagraphFont"/>
    <w:uiPriority w:val="99"/>
    <w:semiHidden/>
    <w:unhideWhenUsed/>
    <w:rsid w:val="001D5CAA"/>
    <w:rPr>
      <w:sz w:val="16"/>
      <w:szCs w:val="16"/>
    </w:rPr>
  </w:style>
  <w:style w:type="paragraph" w:styleId="CommentText">
    <w:name w:val="annotation text"/>
    <w:basedOn w:val="Normal"/>
    <w:link w:val="CommentTextChar"/>
    <w:uiPriority w:val="99"/>
    <w:unhideWhenUsed/>
    <w:rsid w:val="001D5CAA"/>
    <w:pPr>
      <w:spacing w:after="200" w:line="240" w:lineRule="auto"/>
      <w:jc w:val="both"/>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1D5CAA"/>
    <w:rPr>
      <w:rFonts w:ascii="Times New Roman" w:hAnsi="Times New Roman"/>
      <w:sz w:val="20"/>
      <w:szCs w:val="20"/>
      <w:lang w:val="en-GB"/>
    </w:rPr>
  </w:style>
  <w:style w:type="character" w:customStyle="1" w:styleId="reference-accessdate">
    <w:name w:val="reference-accessdate"/>
    <w:basedOn w:val="DefaultParagraphFont"/>
    <w:rsid w:val="001D5CAA"/>
  </w:style>
  <w:style w:type="character" w:customStyle="1" w:styleId="nowrap">
    <w:name w:val="nowrap"/>
    <w:basedOn w:val="DefaultParagraphFont"/>
    <w:rsid w:val="001D5CAA"/>
  </w:style>
  <w:style w:type="paragraph" w:customStyle="1" w:styleId="16Point">
    <w:name w:val="16 Point"/>
    <w:aliases w:val="Superscript 6 Point,Footnote reference number,Odwołanie przypisu,number,2001+ Fußnotenzeichen"/>
    <w:basedOn w:val="Normal"/>
    <w:link w:val="FootnoteReference"/>
    <w:uiPriority w:val="99"/>
    <w:qFormat/>
    <w:rsid w:val="001D5CAA"/>
    <w:pPr>
      <w:spacing w:line="240" w:lineRule="exact"/>
    </w:pPr>
    <w:rPr>
      <w:vertAlign w:val="superscript"/>
    </w:rPr>
  </w:style>
  <w:style w:type="character" w:customStyle="1" w:styleId="cs1-kern-left">
    <w:name w:val="cs1-kern-left"/>
    <w:basedOn w:val="DefaultParagraphFont"/>
    <w:rsid w:val="001D5CAA"/>
  </w:style>
  <w:style w:type="paragraph" w:styleId="BalloonText">
    <w:name w:val="Balloon Text"/>
    <w:basedOn w:val="Normal"/>
    <w:link w:val="BalloonTextChar"/>
    <w:uiPriority w:val="99"/>
    <w:semiHidden/>
    <w:unhideWhenUsed/>
    <w:rsid w:val="001D5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AA"/>
    <w:rPr>
      <w:rFonts w:ascii="Segoe UI" w:hAnsi="Segoe UI" w:cs="Segoe UI"/>
      <w:sz w:val="18"/>
      <w:szCs w:val="18"/>
    </w:rPr>
  </w:style>
  <w:style w:type="paragraph" w:customStyle="1" w:styleId="Default">
    <w:name w:val="Default"/>
    <w:rsid w:val="000F3A0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901423"/>
    <w:pPr>
      <w:spacing w:after="160"/>
      <w:jc w:val="left"/>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901423"/>
    <w:rPr>
      <w:rFonts w:ascii="Times New Roman" w:hAnsi="Times New Roman"/>
      <w:b/>
      <w:bCs/>
      <w:sz w:val="20"/>
      <w:szCs w:val="20"/>
      <w:lang w:val="en-GB"/>
    </w:rPr>
  </w:style>
  <w:style w:type="character" w:customStyle="1" w:styleId="sc-12ja2s9-0">
    <w:name w:val="sc-12ja2s9-0"/>
    <w:basedOn w:val="DefaultParagraphFont"/>
    <w:rsid w:val="00E50337"/>
  </w:style>
  <w:style w:type="table" w:styleId="TableGrid">
    <w:name w:val="Table Grid"/>
    <w:aliases w:val="Document Table,CV1"/>
    <w:basedOn w:val="TableNormal"/>
    <w:uiPriority w:val="59"/>
    <w:rsid w:val="00E503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50337"/>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E50337"/>
    <w:rPr>
      <w:i/>
      <w:iCs/>
      <w:color w:val="404040" w:themeColor="text1" w:themeTint="BF"/>
    </w:rPr>
  </w:style>
  <w:style w:type="paragraph" w:styleId="ListParagraph">
    <w:name w:val="List Paragraph"/>
    <w:aliases w:val="List,Bullet list,List Paragraph 2,Mummuga loetelu,2,H&amp;P List Paragraph,Normal bullet 2,Table of contents numbered,Farbige Liste - Akzent 11,List Paragraph1,body,Listă paragraf,Bullet EY,List L1,List Paragraph2,ERP-List Paragraph"/>
    <w:basedOn w:val="Normal"/>
    <w:link w:val="ListParagraphChar"/>
    <w:uiPriority w:val="34"/>
    <w:qFormat/>
    <w:rsid w:val="00675640"/>
    <w:pPr>
      <w:ind w:left="720"/>
      <w:contextualSpacing/>
    </w:pPr>
  </w:style>
  <w:style w:type="paragraph" w:styleId="HTMLPreformatted">
    <w:name w:val="HTML Preformatted"/>
    <w:basedOn w:val="Normal"/>
    <w:link w:val="HTMLPreformattedChar"/>
    <w:uiPriority w:val="99"/>
    <w:semiHidden/>
    <w:unhideWhenUsed/>
    <w:rsid w:val="00CE1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1C77"/>
    <w:rPr>
      <w:rFonts w:ascii="Courier New" w:eastAsia="Times New Roman" w:hAnsi="Courier New" w:cs="Courier New"/>
      <w:sz w:val="20"/>
      <w:szCs w:val="20"/>
    </w:rPr>
  </w:style>
  <w:style w:type="character" w:customStyle="1" w:styleId="y2iqfc">
    <w:name w:val="y2iqfc"/>
    <w:basedOn w:val="DefaultParagraphFont"/>
    <w:rsid w:val="00CE1C77"/>
  </w:style>
  <w:style w:type="paragraph" w:styleId="Header">
    <w:name w:val="header"/>
    <w:basedOn w:val="Normal"/>
    <w:link w:val="HeaderChar"/>
    <w:uiPriority w:val="99"/>
    <w:unhideWhenUsed/>
    <w:rsid w:val="00A0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61"/>
  </w:style>
  <w:style w:type="paragraph" w:styleId="Footer">
    <w:name w:val="footer"/>
    <w:basedOn w:val="Normal"/>
    <w:link w:val="FooterChar"/>
    <w:uiPriority w:val="99"/>
    <w:unhideWhenUsed/>
    <w:rsid w:val="00A00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61"/>
  </w:style>
  <w:style w:type="character" w:customStyle="1" w:styleId="Heading2Char">
    <w:name w:val="Heading 2 Char"/>
    <w:basedOn w:val="DefaultParagraphFont"/>
    <w:link w:val="Heading2"/>
    <w:rsid w:val="00E64F19"/>
    <w:rPr>
      <w:rFonts w:ascii="Times New Roman" w:eastAsiaTheme="majorEastAsia" w:hAnsi="Times New Roman" w:cstheme="majorBidi"/>
      <w:b/>
      <w:sz w:val="24"/>
      <w:szCs w:val="26"/>
    </w:rPr>
  </w:style>
  <w:style w:type="character" w:customStyle="1" w:styleId="ListParagraphChar">
    <w:name w:val="List Paragraph Char"/>
    <w:aliases w:val="List Char,Bullet list Char,List Paragraph 2 Char,Mummuga loetelu Char,2 Char,H&amp;P List Paragraph Char,Normal bullet 2 Char,Table of contents numbered Char,Farbige Liste - Akzent 11 Char,List Paragraph1 Char,body Char,Bullet EY Char"/>
    <w:basedOn w:val="DefaultParagraphFont"/>
    <w:link w:val="ListParagraph"/>
    <w:uiPriority w:val="34"/>
    <w:qFormat/>
    <w:locked/>
    <w:rsid w:val="00DD1A36"/>
  </w:style>
  <w:style w:type="paragraph" w:styleId="Revision">
    <w:name w:val="Revision"/>
    <w:hidden/>
    <w:uiPriority w:val="99"/>
    <w:semiHidden/>
    <w:rsid w:val="00E066B9"/>
    <w:pPr>
      <w:spacing w:after="0" w:line="240" w:lineRule="auto"/>
    </w:pPr>
  </w:style>
  <w:style w:type="character" w:styleId="FollowedHyperlink">
    <w:name w:val="FollowedHyperlink"/>
    <w:basedOn w:val="DefaultParagraphFont"/>
    <w:uiPriority w:val="99"/>
    <w:semiHidden/>
    <w:unhideWhenUsed/>
    <w:rsid w:val="00E152FB"/>
    <w:rPr>
      <w:color w:val="954F72" w:themeColor="followedHyperlink"/>
      <w:u w:val="single"/>
    </w:rPr>
  </w:style>
  <w:style w:type="character" w:styleId="IntenseEmphasis">
    <w:name w:val="Intense Emphasis"/>
    <w:basedOn w:val="DefaultParagraphFont"/>
    <w:uiPriority w:val="21"/>
    <w:qFormat/>
    <w:rsid w:val="00002D8F"/>
    <w:rPr>
      <w:i/>
      <w:iCs/>
      <w:color w:val="5B9BD5" w:themeColor="accent1"/>
    </w:rPr>
  </w:style>
  <w:style w:type="paragraph" w:styleId="TOCHeading">
    <w:name w:val="TOC Heading"/>
    <w:basedOn w:val="Heading1"/>
    <w:next w:val="Normal"/>
    <w:uiPriority w:val="39"/>
    <w:unhideWhenUsed/>
    <w:qFormat/>
    <w:rsid w:val="00FE1827"/>
    <w:pPr>
      <w:outlineLvl w:val="9"/>
    </w:pPr>
  </w:style>
  <w:style w:type="paragraph" w:styleId="TOC1">
    <w:name w:val="toc 1"/>
    <w:basedOn w:val="Normal"/>
    <w:next w:val="Normal"/>
    <w:autoRedefine/>
    <w:uiPriority w:val="39"/>
    <w:unhideWhenUsed/>
    <w:rsid w:val="00B501CD"/>
    <w:pPr>
      <w:tabs>
        <w:tab w:val="right" w:leader="dot" w:pos="9350"/>
      </w:tabs>
      <w:spacing w:after="100"/>
    </w:pPr>
  </w:style>
  <w:style w:type="character" w:customStyle="1" w:styleId="Aucun">
    <w:name w:val="Aucun"/>
    <w:rsid w:val="00801E59"/>
  </w:style>
  <w:style w:type="paragraph" w:customStyle="1" w:styleId="Corps">
    <w:name w:val="Corps"/>
    <w:link w:val="CorpsChar"/>
    <w:rsid w:val="00801E59"/>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val="en-GB" w:eastAsia="en-GB"/>
      <w14:textOutline w14:w="0" w14:cap="flat" w14:cmpd="sng" w14:algn="ctr">
        <w14:noFill/>
        <w14:prstDash w14:val="solid"/>
        <w14:bevel/>
      </w14:textOutline>
    </w:rPr>
  </w:style>
  <w:style w:type="character" w:customStyle="1" w:styleId="CorpsChar">
    <w:name w:val="Corps Char"/>
    <w:basedOn w:val="DefaultParagraphFont"/>
    <w:link w:val="Corps"/>
    <w:rsid w:val="00801E59"/>
    <w:rPr>
      <w:rFonts w:ascii="Times New Roman" w:eastAsia="Times New Roman" w:hAnsi="Times New Roman" w:cs="Times New Roman"/>
      <w:color w:val="000000"/>
      <w:sz w:val="24"/>
      <w:szCs w:val="24"/>
      <w:u w:color="000000"/>
      <w:bdr w:val="nil"/>
      <w:lang w:val="en-GB" w:eastAsia="en-GB"/>
      <w14:textOutline w14:w="0" w14:cap="flat" w14:cmpd="sng" w14:algn="ctr">
        <w14:noFill/>
        <w14:prstDash w14:val="solid"/>
        <w14:bevel/>
      </w14:textOutline>
    </w:rPr>
  </w:style>
  <w:style w:type="character" w:customStyle="1" w:styleId="Hyperlink0">
    <w:name w:val="Hyperlink.0"/>
    <w:basedOn w:val="Hyperlink"/>
    <w:rsid w:val="00801E59"/>
    <w:rPr>
      <w:color w:val="0000FF"/>
      <w:u w:val="single" w:color="0000FF"/>
      <w14:textOutline w14:w="0" w14:cap="rnd" w14:cmpd="sng" w14:algn="ctr">
        <w14:noFill/>
        <w14:prstDash w14:val="solid"/>
        <w14:bevel/>
      </w14:textOutline>
    </w:rPr>
  </w:style>
  <w:style w:type="paragraph" w:styleId="TOC2">
    <w:name w:val="toc 2"/>
    <w:basedOn w:val="Normal"/>
    <w:next w:val="Normal"/>
    <w:autoRedefine/>
    <w:uiPriority w:val="39"/>
    <w:unhideWhenUsed/>
    <w:rsid w:val="00647BCF"/>
    <w:pPr>
      <w:tabs>
        <w:tab w:val="right" w:leader="dot" w:pos="9350"/>
      </w:tabs>
      <w:spacing w:after="100"/>
      <w:ind w:left="220"/>
    </w:pPr>
  </w:style>
  <w:style w:type="character" w:customStyle="1" w:styleId="Heading3Char">
    <w:name w:val="Heading 3 Char"/>
    <w:basedOn w:val="DefaultParagraphFont"/>
    <w:link w:val="Heading3"/>
    <w:uiPriority w:val="9"/>
    <w:rsid w:val="00A066DF"/>
    <w:rPr>
      <w:rFonts w:eastAsiaTheme="majorEastAsia" w:cstheme="majorBidi"/>
      <w:i/>
      <w:sz w:val="24"/>
      <w:szCs w:val="24"/>
    </w:rPr>
  </w:style>
  <w:style w:type="paragraph" w:styleId="TOC3">
    <w:name w:val="toc 3"/>
    <w:basedOn w:val="Normal"/>
    <w:next w:val="Normal"/>
    <w:autoRedefine/>
    <w:uiPriority w:val="39"/>
    <w:unhideWhenUsed/>
    <w:rsid w:val="004548DC"/>
    <w:pPr>
      <w:tabs>
        <w:tab w:val="right" w:leader="dot" w:pos="9350"/>
      </w:tabs>
      <w:spacing w:after="100"/>
    </w:pPr>
  </w:style>
  <w:style w:type="paragraph" w:customStyle="1" w:styleId="paragraph">
    <w:name w:val="paragraph"/>
    <w:basedOn w:val="Normal"/>
    <w:rsid w:val="00291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1003"/>
  </w:style>
  <w:style w:type="character" w:customStyle="1" w:styleId="eop">
    <w:name w:val="eop"/>
    <w:basedOn w:val="DefaultParagraphFont"/>
    <w:rsid w:val="00291003"/>
  </w:style>
  <w:style w:type="paragraph" w:styleId="Caption">
    <w:name w:val="caption"/>
    <w:basedOn w:val="Normal"/>
    <w:next w:val="Normal"/>
    <w:uiPriority w:val="35"/>
    <w:unhideWhenUsed/>
    <w:qFormat/>
    <w:rsid w:val="00572424"/>
    <w:pPr>
      <w:spacing w:after="200" w:line="240" w:lineRule="auto"/>
      <w:jc w:val="both"/>
    </w:pPr>
    <w:rPr>
      <w:rFonts w:ascii="Times New Roman" w:hAnsi="Times New Roman"/>
      <w:i/>
      <w:iCs/>
      <w:color w:val="44546A" w:themeColor="text2"/>
      <w:sz w:val="18"/>
      <w:szCs w:val="18"/>
      <w:lang w:val="en-GB"/>
    </w:rPr>
  </w:style>
  <w:style w:type="paragraph" w:customStyle="1" w:styleId="Text1">
    <w:name w:val="Text 1"/>
    <w:basedOn w:val="Normal"/>
    <w:rsid w:val="00572424"/>
    <w:pPr>
      <w:spacing w:after="240" w:line="240" w:lineRule="auto"/>
      <w:ind w:left="482"/>
      <w:jc w:val="both"/>
    </w:pPr>
    <w:rPr>
      <w:rFonts w:ascii="Times New Roman" w:eastAsia="Times New Roman" w:hAnsi="Times New Roman" w:cs="Times New Roman"/>
      <w:sz w:val="24"/>
      <w:szCs w:val="20"/>
      <w:lang w:val="en-GB"/>
    </w:rPr>
  </w:style>
  <w:style w:type="table" w:customStyle="1" w:styleId="GridTable1Light-Accent11">
    <w:name w:val="Grid Table 1 Light - Accent 11"/>
    <w:basedOn w:val="TableNormal"/>
    <w:uiPriority w:val="46"/>
    <w:rsid w:val="00572424"/>
    <w:pPr>
      <w:spacing w:after="0" w:line="240" w:lineRule="auto"/>
    </w:pPr>
    <w:rPr>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B63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A644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44D5"/>
    <w:rPr>
      <w:sz w:val="20"/>
      <w:szCs w:val="20"/>
    </w:rPr>
  </w:style>
  <w:style w:type="character" w:styleId="EndnoteReference">
    <w:name w:val="endnote reference"/>
    <w:basedOn w:val="DefaultParagraphFont"/>
    <w:uiPriority w:val="99"/>
    <w:semiHidden/>
    <w:unhideWhenUsed/>
    <w:rsid w:val="00A644D5"/>
    <w:rPr>
      <w:vertAlign w:val="superscript"/>
    </w:rPr>
  </w:style>
  <w:style w:type="character" w:customStyle="1" w:styleId="HideTWBExt">
    <w:name w:val="HideTWBExt"/>
    <w:basedOn w:val="DefaultParagraphFont"/>
    <w:rsid w:val="00763264"/>
    <w:rPr>
      <w:rFonts w:ascii="Arial" w:hAnsi="Arial" w:cs="Arial"/>
      <w:b w:val="0"/>
      <w:i w:val="0"/>
      <w:strike w:val="0"/>
      <w:noProof/>
      <w:vanish/>
      <w:color w:val="000080"/>
      <w:sz w:val="20"/>
    </w:rPr>
  </w:style>
  <w:style w:type="character" w:customStyle="1" w:styleId="HideTWBInt">
    <w:name w:val="HideTWBInt"/>
    <w:rsid w:val="00763264"/>
    <w:rPr>
      <w:rFonts w:ascii="Arial" w:hAnsi="Arial" w:cs="Arial"/>
      <w:vanish/>
      <w:color w:val="808080"/>
      <w:sz w:val="20"/>
    </w:rPr>
  </w:style>
  <w:style w:type="paragraph" w:customStyle="1" w:styleId="CoverNormal24a">
    <w:name w:val="CoverNormal24a"/>
    <w:basedOn w:val="Normal"/>
    <w:rsid w:val="00763264"/>
    <w:pPr>
      <w:widowControl w:val="0"/>
      <w:spacing w:after="480" w:line="240" w:lineRule="auto"/>
      <w:ind w:left="1417"/>
    </w:pPr>
    <w:rPr>
      <w:rFonts w:ascii="Times New Roman" w:eastAsia="Times New Roman" w:hAnsi="Times New Roman" w:cs="Times New Roman"/>
      <w:sz w:val="24"/>
      <w:szCs w:val="20"/>
      <w:lang w:val="en-GB" w:eastAsia="en-GB"/>
    </w:rPr>
  </w:style>
  <w:style w:type="paragraph" w:customStyle="1" w:styleId="CoverNormal">
    <w:name w:val="CoverNormal"/>
    <w:basedOn w:val="Normal"/>
    <w:rsid w:val="00763264"/>
    <w:pPr>
      <w:widowControl w:val="0"/>
      <w:spacing w:after="0" w:line="240" w:lineRule="auto"/>
      <w:ind w:left="1418"/>
    </w:pPr>
    <w:rPr>
      <w:rFonts w:ascii="Times New Roman" w:eastAsia="Times New Roman" w:hAnsi="Times New Roman" w:cs="Times New Roman"/>
      <w:sz w:val="24"/>
      <w:szCs w:val="20"/>
      <w:lang w:val="en-GB" w:eastAsia="en-GB"/>
    </w:rPr>
  </w:style>
  <w:style w:type="paragraph" w:customStyle="1" w:styleId="CoverDocType24a">
    <w:name w:val="CoverDocType24a"/>
    <w:basedOn w:val="Normal"/>
    <w:rsid w:val="00763264"/>
    <w:pPr>
      <w:widowControl w:val="0"/>
      <w:spacing w:after="480" w:line="240" w:lineRule="auto"/>
      <w:ind w:left="1418"/>
    </w:pPr>
    <w:rPr>
      <w:rFonts w:ascii="Arial" w:eastAsia="Times New Roman" w:hAnsi="Arial" w:cs="Times New Roman"/>
      <w:b/>
      <w:sz w:val="48"/>
      <w:szCs w:val="20"/>
      <w:lang w:val="en-GB" w:eastAsia="en-GB"/>
    </w:rPr>
  </w:style>
  <w:style w:type="character" w:customStyle="1" w:styleId="visible-description">
    <w:name w:val="visible-description"/>
    <w:basedOn w:val="DefaultParagraphFont"/>
    <w:rsid w:val="00B277FC"/>
  </w:style>
  <w:style w:type="character" w:customStyle="1" w:styleId="Heading4Char">
    <w:name w:val="Heading 4 Char"/>
    <w:basedOn w:val="DefaultParagraphFont"/>
    <w:link w:val="Heading4"/>
    <w:uiPriority w:val="9"/>
    <w:rsid w:val="00026A5D"/>
    <w:rPr>
      <w:rFonts w:ascii="Times New Roman" w:eastAsiaTheme="majorEastAsia" w:hAnsi="Times New Roman" w:cstheme="majorBidi"/>
      <w:i/>
      <w:iCs/>
    </w:rPr>
  </w:style>
  <w:style w:type="character" w:customStyle="1" w:styleId="Heading5Char">
    <w:name w:val="Heading 5 Char"/>
    <w:basedOn w:val="DefaultParagraphFont"/>
    <w:link w:val="Heading5"/>
    <w:uiPriority w:val="9"/>
    <w:rsid w:val="00026A5D"/>
    <w:rPr>
      <w:rFonts w:ascii="Times New Roman" w:eastAsiaTheme="majorEastAsia" w:hAnsi="Times New Roman" w:cstheme="majorBidi"/>
    </w:rPr>
  </w:style>
  <w:style w:type="table" w:customStyle="1" w:styleId="CV11">
    <w:name w:val="CV11"/>
    <w:basedOn w:val="TableNormal"/>
    <w:next w:val="TableGrid"/>
    <w:uiPriority w:val="59"/>
    <w:rsid w:val="006E5F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6E5F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BB7C2B"/>
    <w:rPr>
      <w:color w:val="2B579A"/>
      <w:shd w:val="clear" w:color="auto" w:fill="E6E6E6"/>
    </w:rPr>
  </w:style>
  <w:style w:type="paragraph" w:styleId="TOC4">
    <w:name w:val="toc 4"/>
    <w:basedOn w:val="Normal"/>
    <w:next w:val="Normal"/>
    <w:autoRedefine/>
    <w:uiPriority w:val="39"/>
    <w:unhideWhenUsed/>
    <w:rsid w:val="00D057FA"/>
    <w:pPr>
      <w:spacing w:after="100"/>
      <w:ind w:left="660"/>
    </w:pPr>
  </w:style>
  <w:style w:type="character" w:customStyle="1" w:styleId="Marker">
    <w:name w:val="Marker"/>
    <w:basedOn w:val="DefaultParagraphFont"/>
    <w:rsid w:val="001E5C5E"/>
    <w:rPr>
      <w:color w:val="0000FF"/>
      <w:shd w:val="clear" w:color="auto" w:fill="auto"/>
    </w:rPr>
  </w:style>
  <w:style w:type="paragraph" w:customStyle="1" w:styleId="Pagedecouverture">
    <w:name w:val="Page de couverture"/>
    <w:basedOn w:val="Normal"/>
    <w:next w:val="Normal"/>
    <w:rsid w:val="001E5C5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1E5C5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1E5C5E"/>
    <w:rPr>
      <w:rFonts w:ascii="Times New Roman" w:hAnsi="Times New Roman" w:cs="Times New Roman"/>
      <w:sz w:val="24"/>
    </w:rPr>
  </w:style>
  <w:style w:type="paragraph" w:customStyle="1" w:styleId="FooterSensitivity">
    <w:name w:val="Footer Sensitivity"/>
    <w:basedOn w:val="Normal"/>
    <w:link w:val="FooterSensitivityChar"/>
    <w:rsid w:val="001E5C5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E5C5E"/>
    <w:rPr>
      <w:rFonts w:ascii="Times New Roman" w:hAnsi="Times New Roman" w:cs="Times New Roman"/>
      <w:b/>
      <w:sz w:val="32"/>
    </w:rPr>
  </w:style>
  <w:style w:type="paragraph" w:customStyle="1" w:styleId="HeaderCoverPage">
    <w:name w:val="Header Cover Page"/>
    <w:basedOn w:val="Normal"/>
    <w:link w:val="HeaderCoverPageChar"/>
    <w:rsid w:val="001E5C5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1E5C5E"/>
    <w:rPr>
      <w:rFonts w:ascii="Times New Roman" w:hAnsi="Times New Roman" w:cs="Times New Roman"/>
      <w:sz w:val="24"/>
    </w:rPr>
  </w:style>
  <w:style w:type="paragraph" w:customStyle="1" w:styleId="HeaderSensitivity">
    <w:name w:val="Header Sensitivity"/>
    <w:basedOn w:val="Normal"/>
    <w:link w:val="HeaderSensitivityChar"/>
    <w:rsid w:val="001E5C5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E5C5E"/>
    <w:rPr>
      <w:rFonts w:ascii="Times New Roman" w:hAnsi="Times New Roman" w:cs="Times New Roman"/>
      <w:b/>
      <w:sz w:val="32"/>
    </w:rPr>
  </w:style>
  <w:style w:type="paragraph" w:customStyle="1" w:styleId="HeaderSensitivityRight">
    <w:name w:val="Header Sensitivity Right"/>
    <w:basedOn w:val="Normal"/>
    <w:link w:val="HeaderSensitivityRightChar"/>
    <w:rsid w:val="001E5C5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1E5C5E"/>
    <w:rPr>
      <w:rFonts w:ascii="Times New Roman" w:hAnsi="Times New Roman" w:cs="Times New Roman"/>
      <w:sz w:val="28"/>
    </w:rPr>
  </w:style>
  <w:style w:type="paragraph" w:styleId="BodyText">
    <w:name w:val="Body Text"/>
    <w:basedOn w:val="Normal"/>
    <w:link w:val="BodyTextChar"/>
    <w:uiPriority w:val="99"/>
    <w:rsid w:val="00B30A0B"/>
    <w:pPr>
      <w:spacing w:after="12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uiPriority w:val="99"/>
    <w:rsid w:val="00B30A0B"/>
    <w:rPr>
      <w:rFonts w:ascii="Times New Roman" w:eastAsia="Times New Roman" w:hAnsi="Times New Roman" w:cs="Times New Roman"/>
      <w:sz w:val="24"/>
      <w:szCs w:val="20"/>
      <w:lang w:val="en-GB"/>
    </w:rPr>
  </w:style>
  <w:style w:type="character" w:styleId="Emphasis">
    <w:name w:val="Emphasis"/>
    <w:basedOn w:val="DefaultParagraphFont"/>
    <w:uiPriority w:val="20"/>
    <w:qFormat/>
    <w:rsid w:val="00FF3F18"/>
    <w:rPr>
      <w:i/>
      <w:iCs/>
    </w:rPr>
  </w:style>
  <w:style w:type="paragraph" w:customStyle="1" w:styleId="CharCharChar1">
    <w:name w:val="Char Char Char1"/>
    <w:basedOn w:val="Normal"/>
    <w:uiPriority w:val="99"/>
    <w:rsid w:val="00E53E87"/>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478">
      <w:bodyDiv w:val="1"/>
      <w:marLeft w:val="0"/>
      <w:marRight w:val="0"/>
      <w:marTop w:val="0"/>
      <w:marBottom w:val="0"/>
      <w:divBdr>
        <w:top w:val="none" w:sz="0" w:space="0" w:color="auto"/>
        <w:left w:val="none" w:sz="0" w:space="0" w:color="auto"/>
        <w:bottom w:val="none" w:sz="0" w:space="0" w:color="auto"/>
        <w:right w:val="none" w:sz="0" w:space="0" w:color="auto"/>
      </w:divBdr>
    </w:div>
    <w:div w:id="42291949">
      <w:bodyDiv w:val="1"/>
      <w:marLeft w:val="0"/>
      <w:marRight w:val="0"/>
      <w:marTop w:val="0"/>
      <w:marBottom w:val="0"/>
      <w:divBdr>
        <w:top w:val="none" w:sz="0" w:space="0" w:color="auto"/>
        <w:left w:val="none" w:sz="0" w:space="0" w:color="auto"/>
        <w:bottom w:val="none" w:sz="0" w:space="0" w:color="auto"/>
        <w:right w:val="none" w:sz="0" w:space="0" w:color="auto"/>
      </w:divBdr>
    </w:div>
    <w:div w:id="52772610">
      <w:bodyDiv w:val="1"/>
      <w:marLeft w:val="0"/>
      <w:marRight w:val="0"/>
      <w:marTop w:val="0"/>
      <w:marBottom w:val="0"/>
      <w:divBdr>
        <w:top w:val="none" w:sz="0" w:space="0" w:color="auto"/>
        <w:left w:val="none" w:sz="0" w:space="0" w:color="auto"/>
        <w:bottom w:val="none" w:sz="0" w:space="0" w:color="auto"/>
        <w:right w:val="none" w:sz="0" w:space="0" w:color="auto"/>
      </w:divBdr>
    </w:div>
    <w:div w:id="54597330">
      <w:bodyDiv w:val="1"/>
      <w:marLeft w:val="0"/>
      <w:marRight w:val="0"/>
      <w:marTop w:val="0"/>
      <w:marBottom w:val="0"/>
      <w:divBdr>
        <w:top w:val="none" w:sz="0" w:space="0" w:color="auto"/>
        <w:left w:val="none" w:sz="0" w:space="0" w:color="auto"/>
        <w:bottom w:val="none" w:sz="0" w:space="0" w:color="auto"/>
        <w:right w:val="none" w:sz="0" w:space="0" w:color="auto"/>
      </w:divBdr>
    </w:div>
    <w:div w:id="61023950">
      <w:bodyDiv w:val="1"/>
      <w:marLeft w:val="0"/>
      <w:marRight w:val="0"/>
      <w:marTop w:val="0"/>
      <w:marBottom w:val="0"/>
      <w:divBdr>
        <w:top w:val="none" w:sz="0" w:space="0" w:color="auto"/>
        <w:left w:val="none" w:sz="0" w:space="0" w:color="auto"/>
        <w:bottom w:val="none" w:sz="0" w:space="0" w:color="auto"/>
        <w:right w:val="none" w:sz="0" w:space="0" w:color="auto"/>
      </w:divBdr>
    </w:div>
    <w:div w:id="117727279">
      <w:bodyDiv w:val="1"/>
      <w:marLeft w:val="0"/>
      <w:marRight w:val="0"/>
      <w:marTop w:val="0"/>
      <w:marBottom w:val="0"/>
      <w:divBdr>
        <w:top w:val="none" w:sz="0" w:space="0" w:color="auto"/>
        <w:left w:val="none" w:sz="0" w:space="0" w:color="auto"/>
        <w:bottom w:val="none" w:sz="0" w:space="0" w:color="auto"/>
        <w:right w:val="none" w:sz="0" w:space="0" w:color="auto"/>
      </w:divBdr>
    </w:div>
    <w:div w:id="181433679">
      <w:bodyDiv w:val="1"/>
      <w:marLeft w:val="0"/>
      <w:marRight w:val="0"/>
      <w:marTop w:val="0"/>
      <w:marBottom w:val="0"/>
      <w:divBdr>
        <w:top w:val="none" w:sz="0" w:space="0" w:color="auto"/>
        <w:left w:val="none" w:sz="0" w:space="0" w:color="auto"/>
        <w:bottom w:val="none" w:sz="0" w:space="0" w:color="auto"/>
        <w:right w:val="none" w:sz="0" w:space="0" w:color="auto"/>
      </w:divBdr>
      <w:divsChild>
        <w:div w:id="70545303">
          <w:marLeft w:val="547"/>
          <w:marRight w:val="0"/>
          <w:marTop w:val="0"/>
          <w:marBottom w:val="0"/>
          <w:divBdr>
            <w:top w:val="none" w:sz="0" w:space="0" w:color="auto"/>
            <w:left w:val="none" w:sz="0" w:space="0" w:color="auto"/>
            <w:bottom w:val="none" w:sz="0" w:space="0" w:color="auto"/>
            <w:right w:val="none" w:sz="0" w:space="0" w:color="auto"/>
          </w:divBdr>
        </w:div>
        <w:div w:id="1429886003">
          <w:marLeft w:val="547"/>
          <w:marRight w:val="0"/>
          <w:marTop w:val="0"/>
          <w:marBottom w:val="0"/>
          <w:divBdr>
            <w:top w:val="none" w:sz="0" w:space="0" w:color="auto"/>
            <w:left w:val="none" w:sz="0" w:space="0" w:color="auto"/>
            <w:bottom w:val="none" w:sz="0" w:space="0" w:color="auto"/>
            <w:right w:val="none" w:sz="0" w:space="0" w:color="auto"/>
          </w:divBdr>
        </w:div>
        <w:div w:id="1521116530">
          <w:marLeft w:val="547"/>
          <w:marRight w:val="0"/>
          <w:marTop w:val="0"/>
          <w:marBottom w:val="0"/>
          <w:divBdr>
            <w:top w:val="none" w:sz="0" w:space="0" w:color="auto"/>
            <w:left w:val="none" w:sz="0" w:space="0" w:color="auto"/>
            <w:bottom w:val="none" w:sz="0" w:space="0" w:color="auto"/>
            <w:right w:val="none" w:sz="0" w:space="0" w:color="auto"/>
          </w:divBdr>
        </w:div>
        <w:div w:id="1687363235">
          <w:marLeft w:val="547"/>
          <w:marRight w:val="0"/>
          <w:marTop w:val="0"/>
          <w:marBottom w:val="0"/>
          <w:divBdr>
            <w:top w:val="none" w:sz="0" w:space="0" w:color="auto"/>
            <w:left w:val="none" w:sz="0" w:space="0" w:color="auto"/>
            <w:bottom w:val="none" w:sz="0" w:space="0" w:color="auto"/>
            <w:right w:val="none" w:sz="0" w:space="0" w:color="auto"/>
          </w:divBdr>
        </w:div>
        <w:div w:id="1693534379">
          <w:marLeft w:val="547"/>
          <w:marRight w:val="0"/>
          <w:marTop w:val="0"/>
          <w:marBottom w:val="0"/>
          <w:divBdr>
            <w:top w:val="none" w:sz="0" w:space="0" w:color="auto"/>
            <w:left w:val="none" w:sz="0" w:space="0" w:color="auto"/>
            <w:bottom w:val="none" w:sz="0" w:space="0" w:color="auto"/>
            <w:right w:val="none" w:sz="0" w:space="0" w:color="auto"/>
          </w:divBdr>
        </w:div>
      </w:divsChild>
    </w:div>
    <w:div w:id="227614939">
      <w:bodyDiv w:val="1"/>
      <w:marLeft w:val="0"/>
      <w:marRight w:val="0"/>
      <w:marTop w:val="0"/>
      <w:marBottom w:val="0"/>
      <w:divBdr>
        <w:top w:val="none" w:sz="0" w:space="0" w:color="auto"/>
        <w:left w:val="none" w:sz="0" w:space="0" w:color="auto"/>
        <w:bottom w:val="none" w:sz="0" w:space="0" w:color="auto"/>
        <w:right w:val="none" w:sz="0" w:space="0" w:color="auto"/>
      </w:divBdr>
    </w:div>
    <w:div w:id="234822001">
      <w:bodyDiv w:val="1"/>
      <w:marLeft w:val="0"/>
      <w:marRight w:val="0"/>
      <w:marTop w:val="0"/>
      <w:marBottom w:val="0"/>
      <w:divBdr>
        <w:top w:val="none" w:sz="0" w:space="0" w:color="auto"/>
        <w:left w:val="none" w:sz="0" w:space="0" w:color="auto"/>
        <w:bottom w:val="none" w:sz="0" w:space="0" w:color="auto"/>
        <w:right w:val="none" w:sz="0" w:space="0" w:color="auto"/>
      </w:divBdr>
    </w:div>
    <w:div w:id="315769560">
      <w:bodyDiv w:val="1"/>
      <w:marLeft w:val="0"/>
      <w:marRight w:val="0"/>
      <w:marTop w:val="0"/>
      <w:marBottom w:val="0"/>
      <w:divBdr>
        <w:top w:val="none" w:sz="0" w:space="0" w:color="auto"/>
        <w:left w:val="none" w:sz="0" w:space="0" w:color="auto"/>
        <w:bottom w:val="none" w:sz="0" w:space="0" w:color="auto"/>
        <w:right w:val="none" w:sz="0" w:space="0" w:color="auto"/>
      </w:divBdr>
    </w:div>
    <w:div w:id="322659687">
      <w:bodyDiv w:val="1"/>
      <w:marLeft w:val="0"/>
      <w:marRight w:val="0"/>
      <w:marTop w:val="0"/>
      <w:marBottom w:val="0"/>
      <w:divBdr>
        <w:top w:val="none" w:sz="0" w:space="0" w:color="auto"/>
        <w:left w:val="none" w:sz="0" w:space="0" w:color="auto"/>
        <w:bottom w:val="none" w:sz="0" w:space="0" w:color="auto"/>
        <w:right w:val="none" w:sz="0" w:space="0" w:color="auto"/>
      </w:divBdr>
    </w:div>
    <w:div w:id="324016685">
      <w:bodyDiv w:val="1"/>
      <w:marLeft w:val="0"/>
      <w:marRight w:val="0"/>
      <w:marTop w:val="0"/>
      <w:marBottom w:val="0"/>
      <w:divBdr>
        <w:top w:val="none" w:sz="0" w:space="0" w:color="auto"/>
        <w:left w:val="none" w:sz="0" w:space="0" w:color="auto"/>
        <w:bottom w:val="none" w:sz="0" w:space="0" w:color="auto"/>
        <w:right w:val="none" w:sz="0" w:space="0" w:color="auto"/>
      </w:divBdr>
    </w:div>
    <w:div w:id="346249775">
      <w:bodyDiv w:val="1"/>
      <w:marLeft w:val="0"/>
      <w:marRight w:val="0"/>
      <w:marTop w:val="0"/>
      <w:marBottom w:val="0"/>
      <w:divBdr>
        <w:top w:val="none" w:sz="0" w:space="0" w:color="auto"/>
        <w:left w:val="none" w:sz="0" w:space="0" w:color="auto"/>
        <w:bottom w:val="none" w:sz="0" w:space="0" w:color="auto"/>
        <w:right w:val="none" w:sz="0" w:space="0" w:color="auto"/>
      </w:divBdr>
    </w:div>
    <w:div w:id="377437706">
      <w:bodyDiv w:val="1"/>
      <w:marLeft w:val="0"/>
      <w:marRight w:val="0"/>
      <w:marTop w:val="0"/>
      <w:marBottom w:val="0"/>
      <w:divBdr>
        <w:top w:val="none" w:sz="0" w:space="0" w:color="auto"/>
        <w:left w:val="none" w:sz="0" w:space="0" w:color="auto"/>
        <w:bottom w:val="none" w:sz="0" w:space="0" w:color="auto"/>
        <w:right w:val="none" w:sz="0" w:space="0" w:color="auto"/>
      </w:divBdr>
    </w:div>
    <w:div w:id="381907478">
      <w:bodyDiv w:val="1"/>
      <w:marLeft w:val="0"/>
      <w:marRight w:val="0"/>
      <w:marTop w:val="0"/>
      <w:marBottom w:val="0"/>
      <w:divBdr>
        <w:top w:val="none" w:sz="0" w:space="0" w:color="auto"/>
        <w:left w:val="none" w:sz="0" w:space="0" w:color="auto"/>
        <w:bottom w:val="none" w:sz="0" w:space="0" w:color="auto"/>
        <w:right w:val="none" w:sz="0" w:space="0" w:color="auto"/>
      </w:divBdr>
    </w:div>
    <w:div w:id="383216228">
      <w:bodyDiv w:val="1"/>
      <w:marLeft w:val="0"/>
      <w:marRight w:val="0"/>
      <w:marTop w:val="0"/>
      <w:marBottom w:val="0"/>
      <w:divBdr>
        <w:top w:val="none" w:sz="0" w:space="0" w:color="auto"/>
        <w:left w:val="none" w:sz="0" w:space="0" w:color="auto"/>
        <w:bottom w:val="none" w:sz="0" w:space="0" w:color="auto"/>
        <w:right w:val="none" w:sz="0" w:space="0" w:color="auto"/>
      </w:divBdr>
    </w:div>
    <w:div w:id="402340141">
      <w:bodyDiv w:val="1"/>
      <w:marLeft w:val="0"/>
      <w:marRight w:val="0"/>
      <w:marTop w:val="0"/>
      <w:marBottom w:val="0"/>
      <w:divBdr>
        <w:top w:val="none" w:sz="0" w:space="0" w:color="auto"/>
        <w:left w:val="none" w:sz="0" w:space="0" w:color="auto"/>
        <w:bottom w:val="none" w:sz="0" w:space="0" w:color="auto"/>
        <w:right w:val="none" w:sz="0" w:space="0" w:color="auto"/>
      </w:divBdr>
      <w:divsChild>
        <w:div w:id="791096440">
          <w:marLeft w:val="547"/>
          <w:marRight w:val="0"/>
          <w:marTop w:val="0"/>
          <w:marBottom w:val="0"/>
          <w:divBdr>
            <w:top w:val="none" w:sz="0" w:space="0" w:color="auto"/>
            <w:left w:val="none" w:sz="0" w:space="0" w:color="auto"/>
            <w:bottom w:val="none" w:sz="0" w:space="0" w:color="auto"/>
            <w:right w:val="none" w:sz="0" w:space="0" w:color="auto"/>
          </w:divBdr>
        </w:div>
      </w:divsChild>
    </w:div>
    <w:div w:id="430391707">
      <w:bodyDiv w:val="1"/>
      <w:marLeft w:val="0"/>
      <w:marRight w:val="0"/>
      <w:marTop w:val="0"/>
      <w:marBottom w:val="0"/>
      <w:divBdr>
        <w:top w:val="none" w:sz="0" w:space="0" w:color="auto"/>
        <w:left w:val="none" w:sz="0" w:space="0" w:color="auto"/>
        <w:bottom w:val="none" w:sz="0" w:space="0" w:color="auto"/>
        <w:right w:val="none" w:sz="0" w:space="0" w:color="auto"/>
      </w:divBdr>
    </w:div>
    <w:div w:id="482551802">
      <w:bodyDiv w:val="1"/>
      <w:marLeft w:val="0"/>
      <w:marRight w:val="0"/>
      <w:marTop w:val="0"/>
      <w:marBottom w:val="0"/>
      <w:divBdr>
        <w:top w:val="none" w:sz="0" w:space="0" w:color="auto"/>
        <w:left w:val="none" w:sz="0" w:space="0" w:color="auto"/>
        <w:bottom w:val="none" w:sz="0" w:space="0" w:color="auto"/>
        <w:right w:val="none" w:sz="0" w:space="0" w:color="auto"/>
      </w:divBdr>
    </w:div>
    <w:div w:id="573469787">
      <w:bodyDiv w:val="1"/>
      <w:marLeft w:val="0"/>
      <w:marRight w:val="0"/>
      <w:marTop w:val="0"/>
      <w:marBottom w:val="0"/>
      <w:divBdr>
        <w:top w:val="none" w:sz="0" w:space="0" w:color="auto"/>
        <w:left w:val="none" w:sz="0" w:space="0" w:color="auto"/>
        <w:bottom w:val="none" w:sz="0" w:space="0" w:color="auto"/>
        <w:right w:val="none" w:sz="0" w:space="0" w:color="auto"/>
      </w:divBdr>
    </w:div>
    <w:div w:id="577634777">
      <w:bodyDiv w:val="1"/>
      <w:marLeft w:val="0"/>
      <w:marRight w:val="0"/>
      <w:marTop w:val="0"/>
      <w:marBottom w:val="0"/>
      <w:divBdr>
        <w:top w:val="none" w:sz="0" w:space="0" w:color="auto"/>
        <w:left w:val="none" w:sz="0" w:space="0" w:color="auto"/>
        <w:bottom w:val="none" w:sz="0" w:space="0" w:color="auto"/>
        <w:right w:val="none" w:sz="0" w:space="0" w:color="auto"/>
      </w:divBdr>
    </w:div>
    <w:div w:id="600452416">
      <w:bodyDiv w:val="1"/>
      <w:marLeft w:val="0"/>
      <w:marRight w:val="0"/>
      <w:marTop w:val="0"/>
      <w:marBottom w:val="0"/>
      <w:divBdr>
        <w:top w:val="none" w:sz="0" w:space="0" w:color="auto"/>
        <w:left w:val="none" w:sz="0" w:space="0" w:color="auto"/>
        <w:bottom w:val="none" w:sz="0" w:space="0" w:color="auto"/>
        <w:right w:val="none" w:sz="0" w:space="0" w:color="auto"/>
      </w:divBdr>
      <w:divsChild>
        <w:div w:id="2005934545">
          <w:marLeft w:val="0"/>
          <w:marRight w:val="0"/>
          <w:marTop w:val="0"/>
          <w:marBottom w:val="0"/>
          <w:divBdr>
            <w:top w:val="single" w:sz="6" w:space="0" w:color="EEEEEE"/>
            <w:left w:val="single" w:sz="6" w:space="0" w:color="EEEEEE"/>
            <w:bottom w:val="single" w:sz="6" w:space="0" w:color="EEEEEE"/>
            <w:right w:val="single" w:sz="6" w:space="0" w:color="EEEEEE"/>
          </w:divBdr>
          <w:divsChild>
            <w:div w:id="686716763">
              <w:marLeft w:val="0"/>
              <w:marRight w:val="0"/>
              <w:marTop w:val="0"/>
              <w:marBottom w:val="0"/>
              <w:divBdr>
                <w:top w:val="none" w:sz="0" w:space="0" w:color="auto"/>
                <w:left w:val="none" w:sz="0" w:space="0" w:color="auto"/>
                <w:bottom w:val="none" w:sz="0" w:space="0" w:color="auto"/>
                <w:right w:val="none" w:sz="0" w:space="0" w:color="auto"/>
              </w:divBdr>
              <w:divsChild>
                <w:div w:id="5461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0422">
      <w:bodyDiv w:val="1"/>
      <w:marLeft w:val="0"/>
      <w:marRight w:val="0"/>
      <w:marTop w:val="0"/>
      <w:marBottom w:val="0"/>
      <w:divBdr>
        <w:top w:val="none" w:sz="0" w:space="0" w:color="auto"/>
        <w:left w:val="none" w:sz="0" w:space="0" w:color="auto"/>
        <w:bottom w:val="none" w:sz="0" w:space="0" w:color="auto"/>
        <w:right w:val="none" w:sz="0" w:space="0" w:color="auto"/>
      </w:divBdr>
    </w:div>
    <w:div w:id="724640918">
      <w:bodyDiv w:val="1"/>
      <w:marLeft w:val="0"/>
      <w:marRight w:val="0"/>
      <w:marTop w:val="0"/>
      <w:marBottom w:val="0"/>
      <w:divBdr>
        <w:top w:val="none" w:sz="0" w:space="0" w:color="auto"/>
        <w:left w:val="none" w:sz="0" w:space="0" w:color="auto"/>
        <w:bottom w:val="none" w:sz="0" w:space="0" w:color="auto"/>
        <w:right w:val="none" w:sz="0" w:space="0" w:color="auto"/>
      </w:divBdr>
    </w:div>
    <w:div w:id="731585059">
      <w:bodyDiv w:val="1"/>
      <w:marLeft w:val="0"/>
      <w:marRight w:val="0"/>
      <w:marTop w:val="0"/>
      <w:marBottom w:val="0"/>
      <w:divBdr>
        <w:top w:val="none" w:sz="0" w:space="0" w:color="auto"/>
        <w:left w:val="none" w:sz="0" w:space="0" w:color="auto"/>
        <w:bottom w:val="none" w:sz="0" w:space="0" w:color="auto"/>
        <w:right w:val="none" w:sz="0" w:space="0" w:color="auto"/>
      </w:divBdr>
      <w:divsChild>
        <w:div w:id="99225479">
          <w:marLeft w:val="0"/>
          <w:marRight w:val="0"/>
          <w:marTop w:val="0"/>
          <w:marBottom w:val="0"/>
          <w:divBdr>
            <w:top w:val="none" w:sz="0" w:space="0" w:color="auto"/>
            <w:left w:val="none" w:sz="0" w:space="0" w:color="auto"/>
            <w:bottom w:val="none" w:sz="0" w:space="0" w:color="auto"/>
            <w:right w:val="none" w:sz="0" w:space="0" w:color="auto"/>
          </w:divBdr>
          <w:divsChild>
            <w:div w:id="91050953">
              <w:marLeft w:val="0"/>
              <w:marRight w:val="0"/>
              <w:marTop w:val="0"/>
              <w:marBottom w:val="0"/>
              <w:divBdr>
                <w:top w:val="none" w:sz="0" w:space="0" w:color="auto"/>
                <w:left w:val="none" w:sz="0" w:space="0" w:color="auto"/>
                <w:bottom w:val="none" w:sz="0" w:space="0" w:color="auto"/>
                <w:right w:val="none" w:sz="0" w:space="0" w:color="auto"/>
              </w:divBdr>
            </w:div>
            <w:div w:id="126703990">
              <w:marLeft w:val="0"/>
              <w:marRight w:val="0"/>
              <w:marTop w:val="0"/>
              <w:marBottom w:val="0"/>
              <w:divBdr>
                <w:top w:val="none" w:sz="0" w:space="0" w:color="auto"/>
                <w:left w:val="none" w:sz="0" w:space="0" w:color="auto"/>
                <w:bottom w:val="none" w:sz="0" w:space="0" w:color="auto"/>
                <w:right w:val="none" w:sz="0" w:space="0" w:color="auto"/>
              </w:divBdr>
            </w:div>
            <w:div w:id="367025021">
              <w:marLeft w:val="0"/>
              <w:marRight w:val="0"/>
              <w:marTop w:val="0"/>
              <w:marBottom w:val="0"/>
              <w:divBdr>
                <w:top w:val="none" w:sz="0" w:space="0" w:color="auto"/>
                <w:left w:val="none" w:sz="0" w:space="0" w:color="auto"/>
                <w:bottom w:val="none" w:sz="0" w:space="0" w:color="auto"/>
                <w:right w:val="none" w:sz="0" w:space="0" w:color="auto"/>
              </w:divBdr>
            </w:div>
            <w:div w:id="458718916">
              <w:marLeft w:val="0"/>
              <w:marRight w:val="0"/>
              <w:marTop w:val="0"/>
              <w:marBottom w:val="0"/>
              <w:divBdr>
                <w:top w:val="none" w:sz="0" w:space="0" w:color="auto"/>
                <w:left w:val="none" w:sz="0" w:space="0" w:color="auto"/>
                <w:bottom w:val="none" w:sz="0" w:space="0" w:color="auto"/>
                <w:right w:val="none" w:sz="0" w:space="0" w:color="auto"/>
              </w:divBdr>
            </w:div>
            <w:div w:id="569315990">
              <w:marLeft w:val="0"/>
              <w:marRight w:val="0"/>
              <w:marTop w:val="0"/>
              <w:marBottom w:val="0"/>
              <w:divBdr>
                <w:top w:val="none" w:sz="0" w:space="0" w:color="auto"/>
                <w:left w:val="none" w:sz="0" w:space="0" w:color="auto"/>
                <w:bottom w:val="none" w:sz="0" w:space="0" w:color="auto"/>
                <w:right w:val="none" w:sz="0" w:space="0" w:color="auto"/>
              </w:divBdr>
            </w:div>
            <w:div w:id="804934858">
              <w:marLeft w:val="0"/>
              <w:marRight w:val="0"/>
              <w:marTop w:val="0"/>
              <w:marBottom w:val="0"/>
              <w:divBdr>
                <w:top w:val="none" w:sz="0" w:space="0" w:color="auto"/>
                <w:left w:val="none" w:sz="0" w:space="0" w:color="auto"/>
                <w:bottom w:val="none" w:sz="0" w:space="0" w:color="auto"/>
                <w:right w:val="none" w:sz="0" w:space="0" w:color="auto"/>
              </w:divBdr>
            </w:div>
            <w:div w:id="903026997">
              <w:marLeft w:val="0"/>
              <w:marRight w:val="0"/>
              <w:marTop w:val="0"/>
              <w:marBottom w:val="0"/>
              <w:divBdr>
                <w:top w:val="none" w:sz="0" w:space="0" w:color="auto"/>
                <w:left w:val="none" w:sz="0" w:space="0" w:color="auto"/>
                <w:bottom w:val="none" w:sz="0" w:space="0" w:color="auto"/>
                <w:right w:val="none" w:sz="0" w:space="0" w:color="auto"/>
              </w:divBdr>
            </w:div>
            <w:div w:id="958344235">
              <w:marLeft w:val="0"/>
              <w:marRight w:val="0"/>
              <w:marTop w:val="0"/>
              <w:marBottom w:val="0"/>
              <w:divBdr>
                <w:top w:val="none" w:sz="0" w:space="0" w:color="auto"/>
                <w:left w:val="none" w:sz="0" w:space="0" w:color="auto"/>
                <w:bottom w:val="none" w:sz="0" w:space="0" w:color="auto"/>
                <w:right w:val="none" w:sz="0" w:space="0" w:color="auto"/>
              </w:divBdr>
            </w:div>
            <w:div w:id="1399522618">
              <w:marLeft w:val="0"/>
              <w:marRight w:val="0"/>
              <w:marTop w:val="0"/>
              <w:marBottom w:val="0"/>
              <w:divBdr>
                <w:top w:val="none" w:sz="0" w:space="0" w:color="auto"/>
                <w:left w:val="none" w:sz="0" w:space="0" w:color="auto"/>
                <w:bottom w:val="none" w:sz="0" w:space="0" w:color="auto"/>
                <w:right w:val="none" w:sz="0" w:space="0" w:color="auto"/>
              </w:divBdr>
            </w:div>
            <w:div w:id="1827698137">
              <w:marLeft w:val="0"/>
              <w:marRight w:val="0"/>
              <w:marTop w:val="0"/>
              <w:marBottom w:val="0"/>
              <w:divBdr>
                <w:top w:val="none" w:sz="0" w:space="0" w:color="auto"/>
                <w:left w:val="none" w:sz="0" w:space="0" w:color="auto"/>
                <w:bottom w:val="none" w:sz="0" w:space="0" w:color="auto"/>
                <w:right w:val="none" w:sz="0" w:space="0" w:color="auto"/>
              </w:divBdr>
            </w:div>
            <w:div w:id="1857235860">
              <w:marLeft w:val="0"/>
              <w:marRight w:val="0"/>
              <w:marTop w:val="0"/>
              <w:marBottom w:val="0"/>
              <w:divBdr>
                <w:top w:val="none" w:sz="0" w:space="0" w:color="auto"/>
                <w:left w:val="none" w:sz="0" w:space="0" w:color="auto"/>
                <w:bottom w:val="none" w:sz="0" w:space="0" w:color="auto"/>
                <w:right w:val="none" w:sz="0" w:space="0" w:color="auto"/>
              </w:divBdr>
            </w:div>
            <w:div w:id="1929655474">
              <w:marLeft w:val="0"/>
              <w:marRight w:val="0"/>
              <w:marTop w:val="0"/>
              <w:marBottom w:val="0"/>
              <w:divBdr>
                <w:top w:val="none" w:sz="0" w:space="0" w:color="auto"/>
                <w:left w:val="none" w:sz="0" w:space="0" w:color="auto"/>
                <w:bottom w:val="none" w:sz="0" w:space="0" w:color="auto"/>
                <w:right w:val="none" w:sz="0" w:space="0" w:color="auto"/>
              </w:divBdr>
            </w:div>
            <w:div w:id="1939831220">
              <w:marLeft w:val="0"/>
              <w:marRight w:val="0"/>
              <w:marTop w:val="0"/>
              <w:marBottom w:val="0"/>
              <w:divBdr>
                <w:top w:val="none" w:sz="0" w:space="0" w:color="auto"/>
                <w:left w:val="none" w:sz="0" w:space="0" w:color="auto"/>
                <w:bottom w:val="none" w:sz="0" w:space="0" w:color="auto"/>
                <w:right w:val="none" w:sz="0" w:space="0" w:color="auto"/>
              </w:divBdr>
            </w:div>
          </w:divsChild>
        </w:div>
        <w:div w:id="102700284">
          <w:marLeft w:val="0"/>
          <w:marRight w:val="0"/>
          <w:marTop w:val="0"/>
          <w:marBottom w:val="0"/>
          <w:divBdr>
            <w:top w:val="none" w:sz="0" w:space="0" w:color="auto"/>
            <w:left w:val="none" w:sz="0" w:space="0" w:color="auto"/>
            <w:bottom w:val="none" w:sz="0" w:space="0" w:color="auto"/>
            <w:right w:val="none" w:sz="0" w:space="0" w:color="auto"/>
          </w:divBdr>
          <w:divsChild>
            <w:div w:id="24605461">
              <w:marLeft w:val="0"/>
              <w:marRight w:val="0"/>
              <w:marTop w:val="0"/>
              <w:marBottom w:val="0"/>
              <w:divBdr>
                <w:top w:val="none" w:sz="0" w:space="0" w:color="auto"/>
                <w:left w:val="none" w:sz="0" w:space="0" w:color="auto"/>
                <w:bottom w:val="none" w:sz="0" w:space="0" w:color="auto"/>
                <w:right w:val="none" w:sz="0" w:space="0" w:color="auto"/>
              </w:divBdr>
            </w:div>
            <w:div w:id="630130168">
              <w:marLeft w:val="0"/>
              <w:marRight w:val="0"/>
              <w:marTop w:val="0"/>
              <w:marBottom w:val="0"/>
              <w:divBdr>
                <w:top w:val="none" w:sz="0" w:space="0" w:color="auto"/>
                <w:left w:val="none" w:sz="0" w:space="0" w:color="auto"/>
                <w:bottom w:val="none" w:sz="0" w:space="0" w:color="auto"/>
                <w:right w:val="none" w:sz="0" w:space="0" w:color="auto"/>
              </w:divBdr>
            </w:div>
            <w:div w:id="954868154">
              <w:marLeft w:val="0"/>
              <w:marRight w:val="0"/>
              <w:marTop w:val="0"/>
              <w:marBottom w:val="0"/>
              <w:divBdr>
                <w:top w:val="none" w:sz="0" w:space="0" w:color="auto"/>
                <w:left w:val="none" w:sz="0" w:space="0" w:color="auto"/>
                <w:bottom w:val="none" w:sz="0" w:space="0" w:color="auto"/>
                <w:right w:val="none" w:sz="0" w:space="0" w:color="auto"/>
              </w:divBdr>
            </w:div>
            <w:div w:id="999890661">
              <w:marLeft w:val="0"/>
              <w:marRight w:val="0"/>
              <w:marTop w:val="0"/>
              <w:marBottom w:val="0"/>
              <w:divBdr>
                <w:top w:val="none" w:sz="0" w:space="0" w:color="auto"/>
                <w:left w:val="none" w:sz="0" w:space="0" w:color="auto"/>
                <w:bottom w:val="none" w:sz="0" w:space="0" w:color="auto"/>
                <w:right w:val="none" w:sz="0" w:space="0" w:color="auto"/>
              </w:divBdr>
            </w:div>
            <w:div w:id="1085956884">
              <w:marLeft w:val="0"/>
              <w:marRight w:val="0"/>
              <w:marTop w:val="0"/>
              <w:marBottom w:val="0"/>
              <w:divBdr>
                <w:top w:val="none" w:sz="0" w:space="0" w:color="auto"/>
                <w:left w:val="none" w:sz="0" w:space="0" w:color="auto"/>
                <w:bottom w:val="none" w:sz="0" w:space="0" w:color="auto"/>
                <w:right w:val="none" w:sz="0" w:space="0" w:color="auto"/>
              </w:divBdr>
            </w:div>
            <w:div w:id="1103458170">
              <w:marLeft w:val="0"/>
              <w:marRight w:val="0"/>
              <w:marTop w:val="0"/>
              <w:marBottom w:val="0"/>
              <w:divBdr>
                <w:top w:val="none" w:sz="0" w:space="0" w:color="auto"/>
                <w:left w:val="none" w:sz="0" w:space="0" w:color="auto"/>
                <w:bottom w:val="none" w:sz="0" w:space="0" w:color="auto"/>
                <w:right w:val="none" w:sz="0" w:space="0" w:color="auto"/>
              </w:divBdr>
            </w:div>
            <w:div w:id="1943804775">
              <w:marLeft w:val="0"/>
              <w:marRight w:val="0"/>
              <w:marTop w:val="0"/>
              <w:marBottom w:val="0"/>
              <w:divBdr>
                <w:top w:val="none" w:sz="0" w:space="0" w:color="auto"/>
                <w:left w:val="none" w:sz="0" w:space="0" w:color="auto"/>
                <w:bottom w:val="none" w:sz="0" w:space="0" w:color="auto"/>
                <w:right w:val="none" w:sz="0" w:space="0" w:color="auto"/>
              </w:divBdr>
            </w:div>
          </w:divsChild>
        </w:div>
        <w:div w:id="621687673">
          <w:marLeft w:val="0"/>
          <w:marRight w:val="0"/>
          <w:marTop w:val="0"/>
          <w:marBottom w:val="0"/>
          <w:divBdr>
            <w:top w:val="none" w:sz="0" w:space="0" w:color="auto"/>
            <w:left w:val="none" w:sz="0" w:space="0" w:color="auto"/>
            <w:bottom w:val="none" w:sz="0" w:space="0" w:color="auto"/>
            <w:right w:val="none" w:sz="0" w:space="0" w:color="auto"/>
          </w:divBdr>
          <w:divsChild>
            <w:div w:id="197474773">
              <w:marLeft w:val="0"/>
              <w:marRight w:val="0"/>
              <w:marTop w:val="0"/>
              <w:marBottom w:val="0"/>
              <w:divBdr>
                <w:top w:val="none" w:sz="0" w:space="0" w:color="auto"/>
                <w:left w:val="none" w:sz="0" w:space="0" w:color="auto"/>
                <w:bottom w:val="none" w:sz="0" w:space="0" w:color="auto"/>
                <w:right w:val="none" w:sz="0" w:space="0" w:color="auto"/>
              </w:divBdr>
            </w:div>
            <w:div w:id="347492264">
              <w:marLeft w:val="0"/>
              <w:marRight w:val="0"/>
              <w:marTop w:val="0"/>
              <w:marBottom w:val="0"/>
              <w:divBdr>
                <w:top w:val="none" w:sz="0" w:space="0" w:color="auto"/>
                <w:left w:val="none" w:sz="0" w:space="0" w:color="auto"/>
                <w:bottom w:val="none" w:sz="0" w:space="0" w:color="auto"/>
                <w:right w:val="none" w:sz="0" w:space="0" w:color="auto"/>
              </w:divBdr>
            </w:div>
            <w:div w:id="762452789">
              <w:marLeft w:val="0"/>
              <w:marRight w:val="0"/>
              <w:marTop w:val="0"/>
              <w:marBottom w:val="0"/>
              <w:divBdr>
                <w:top w:val="none" w:sz="0" w:space="0" w:color="auto"/>
                <w:left w:val="none" w:sz="0" w:space="0" w:color="auto"/>
                <w:bottom w:val="none" w:sz="0" w:space="0" w:color="auto"/>
                <w:right w:val="none" w:sz="0" w:space="0" w:color="auto"/>
              </w:divBdr>
            </w:div>
            <w:div w:id="848568979">
              <w:marLeft w:val="0"/>
              <w:marRight w:val="0"/>
              <w:marTop w:val="0"/>
              <w:marBottom w:val="0"/>
              <w:divBdr>
                <w:top w:val="none" w:sz="0" w:space="0" w:color="auto"/>
                <w:left w:val="none" w:sz="0" w:space="0" w:color="auto"/>
                <w:bottom w:val="none" w:sz="0" w:space="0" w:color="auto"/>
                <w:right w:val="none" w:sz="0" w:space="0" w:color="auto"/>
              </w:divBdr>
            </w:div>
            <w:div w:id="933125232">
              <w:marLeft w:val="0"/>
              <w:marRight w:val="0"/>
              <w:marTop w:val="0"/>
              <w:marBottom w:val="0"/>
              <w:divBdr>
                <w:top w:val="none" w:sz="0" w:space="0" w:color="auto"/>
                <w:left w:val="none" w:sz="0" w:space="0" w:color="auto"/>
                <w:bottom w:val="none" w:sz="0" w:space="0" w:color="auto"/>
                <w:right w:val="none" w:sz="0" w:space="0" w:color="auto"/>
              </w:divBdr>
            </w:div>
            <w:div w:id="1131441708">
              <w:marLeft w:val="0"/>
              <w:marRight w:val="0"/>
              <w:marTop w:val="0"/>
              <w:marBottom w:val="0"/>
              <w:divBdr>
                <w:top w:val="none" w:sz="0" w:space="0" w:color="auto"/>
                <w:left w:val="none" w:sz="0" w:space="0" w:color="auto"/>
                <w:bottom w:val="none" w:sz="0" w:space="0" w:color="auto"/>
                <w:right w:val="none" w:sz="0" w:space="0" w:color="auto"/>
              </w:divBdr>
            </w:div>
            <w:div w:id="1561941441">
              <w:marLeft w:val="0"/>
              <w:marRight w:val="0"/>
              <w:marTop w:val="0"/>
              <w:marBottom w:val="0"/>
              <w:divBdr>
                <w:top w:val="none" w:sz="0" w:space="0" w:color="auto"/>
                <w:left w:val="none" w:sz="0" w:space="0" w:color="auto"/>
                <w:bottom w:val="none" w:sz="0" w:space="0" w:color="auto"/>
                <w:right w:val="none" w:sz="0" w:space="0" w:color="auto"/>
              </w:divBdr>
            </w:div>
            <w:div w:id="1670406992">
              <w:marLeft w:val="0"/>
              <w:marRight w:val="0"/>
              <w:marTop w:val="0"/>
              <w:marBottom w:val="0"/>
              <w:divBdr>
                <w:top w:val="none" w:sz="0" w:space="0" w:color="auto"/>
                <w:left w:val="none" w:sz="0" w:space="0" w:color="auto"/>
                <w:bottom w:val="none" w:sz="0" w:space="0" w:color="auto"/>
                <w:right w:val="none" w:sz="0" w:space="0" w:color="auto"/>
              </w:divBdr>
            </w:div>
            <w:div w:id="1848016401">
              <w:marLeft w:val="0"/>
              <w:marRight w:val="0"/>
              <w:marTop w:val="0"/>
              <w:marBottom w:val="0"/>
              <w:divBdr>
                <w:top w:val="none" w:sz="0" w:space="0" w:color="auto"/>
                <w:left w:val="none" w:sz="0" w:space="0" w:color="auto"/>
                <w:bottom w:val="none" w:sz="0" w:space="0" w:color="auto"/>
                <w:right w:val="none" w:sz="0" w:space="0" w:color="auto"/>
              </w:divBdr>
            </w:div>
            <w:div w:id="2105570533">
              <w:marLeft w:val="0"/>
              <w:marRight w:val="0"/>
              <w:marTop w:val="0"/>
              <w:marBottom w:val="0"/>
              <w:divBdr>
                <w:top w:val="none" w:sz="0" w:space="0" w:color="auto"/>
                <w:left w:val="none" w:sz="0" w:space="0" w:color="auto"/>
                <w:bottom w:val="none" w:sz="0" w:space="0" w:color="auto"/>
                <w:right w:val="none" w:sz="0" w:space="0" w:color="auto"/>
              </w:divBdr>
            </w:div>
          </w:divsChild>
        </w:div>
        <w:div w:id="962886673">
          <w:marLeft w:val="0"/>
          <w:marRight w:val="0"/>
          <w:marTop w:val="0"/>
          <w:marBottom w:val="0"/>
          <w:divBdr>
            <w:top w:val="none" w:sz="0" w:space="0" w:color="auto"/>
            <w:left w:val="none" w:sz="0" w:space="0" w:color="auto"/>
            <w:bottom w:val="none" w:sz="0" w:space="0" w:color="auto"/>
            <w:right w:val="none" w:sz="0" w:space="0" w:color="auto"/>
          </w:divBdr>
          <w:divsChild>
            <w:div w:id="104737563">
              <w:marLeft w:val="0"/>
              <w:marRight w:val="0"/>
              <w:marTop w:val="0"/>
              <w:marBottom w:val="0"/>
              <w:divBdr>
                <w:top w:val="none" w:sz="0" w:space="0" w:color="auto"/>
                <w:left w:val="none" w:sz="0" w:space="0" w:color="auto"/>
                <w:bottom w:val="none" w:sz="0" w:space="0" w:color="auto"/>
                <w:right w:val="none" w:sz="0" w:space="0" w:color="auto"/>
              </w:divBdr>
            </w:div>
            <w:div w:id="549414712">
              <w:marLeft w:val="0"/>
              <w:marRight w:val="0"/>
              <w:marTop w:val="0"/>
              <w:marBottom w:val="0"/>
              <w:divBdr>
                <w:top w:val="none" w:sz="0" w:space="0" w:color="auto"/>
                <w:left w:val="none" w:sz="0" w:space="0" w:color="auto"/>
                <w:bottom w:val="none" w:sz="0" w:space="0" w:color="auto"/>
                <w:right w:val="none" w:sz="0" w:space="0" w:color="auto"/>
              </w:divBdr>
            </w:div>
            <w:div w:id="677389344">
              <w:marLeft w:val="0"/>
              <w:marRight w:val="0"/>
              <w:marTop w:val="0"/>
              <w:marBottom w:val="0"/>
              <w:divBdr>
                <w:top w:val="none" w:sz="0" w:space="0" w:color="auto"/>
                <w:left w:val="none" w:sz="0" w:space="0" w:color="auto"/>
                <w:bottom w:val="none" w:sz="0" w:space="0" w:color="auto"/>
                <w:right w:val="none" w:sz="0" w:space="0" w:color="auto"/>
              </w:divBdr>
            </w:div>
            <w:div w:id="774205690">
              <w:marLeft w:val="0"/>
              <w:marRight w:val="0"/>
              <w:marTop w:val="0"/>
              <w:marBottom w:val="0"/>
              <w:divBdr>
                <w:top w:val="none" w:sz="0" w:space="0" w:color="auto"/>
                <w:left w:val="none" w:sz="0" w:space="0" w:color="auto"/>
                <w:bottom w:val="none" w:sz="0" w:space="0" w:color="auto"/>
                <w:right w:val="none" w:sz="0" w:space="0" w:color="auto"/>
              </w:divBdr>
            </w:div>
            <w:div w:id="825055535">
              <w:marLeft w:val="0"/>
              <w:marRight w:val="0"/>
              <w:marTop w:val="0"/>
              <w:marBottom w:val="0"/>
              <w:divBdr>
                <w:top w:val="none" w:sz="0" w:space="0" w:color="auto"/>
                <w:left w:val="none" w:sz="0" w:space="0" w:color="auto"/>
                <w:bottom w:val="none" w:sz="0" w:space="0" w:color="auto"/>
                <w:right w:val="none" w:sz="0" w:space="0" w:color="auto"/>
              </w:divBdr>
            </w:div>
            <w:div w:id="1159005549">
              <w:marLeft w:val="0"/>
              <w:marRight w:val="0"/>
              <w:marTop w:val="0"/>
              <w:marBottom w:val="0"/>
              <w:divBdr>
                <w:top w:val="none" w:sz="0" w:space="0" w:color="auto"/>
                <w:left w:val="none" w:sz="0" w:space="0" w:color="auto"/>
                <w:bottom w:val="none" w:sz="0" w:space="0" w:color="auto"/>
                <w:right w:val="none" w:sz="0" w:space="0" w:color="auto"/>
              </w:divBdr>
            </w:div>
            <w:div w:id="1398893152">
              <w:marLeft w:val="0"/>
              <w:marRight w:val="0"/>
              <w:marTop w:val="0"/>
              <w:marBottom w:val="0"/>
              <w:divBdr>
                <w:top w:val="none" w:sz="0" w:space="0" w:color="auto"/>
                <w:left w:val="none" w:sz="0" w:space="0" w:color="auto"/>
                <w:bottom w:val="none" w:sz="0" w:space="0" w:color="auto"/>
                <w:right w:val="none" w:sz="0" w:space="0" w:color="auto"/>
              </w:divBdr>
            </w:div>
            <w:div w:id="1836993642">
              <w:marLeft w:val="0"/>
              <w:marRight w:val="0"/>
              <w:marTop w:val="0"/>
              <w:marBottom w:val="0"/>
              <w:divBdr>
                <w:top w:val="none" w:sz="0" w:space="0" w:color="auto"/>
                <w:left w:val="none" w:sz="0" w:space="0" w:color="auto"/>
                <w:bottom w:val="none" w:sz="0" w:space="0" w:color="auto"/>
                <w:right w:val="none" w:sz="0" w:space="0" w:color="auto"/>
              </w:divBdr>
            </w:div>
            <w:div w:id="1911232630">
              <w:marLeft w:val="0"/>
              <w:marRight w:val="0"/>
              <w:marTop w:val="0"/>
              <w:marBottom w:val="0"/>
              <w:divBdr>
                <w:top w:val="none" w:sz="0" w:space="0" w:color="auto"/>
                <w:left w:val="none" w:sz="0" w:space="0" w:color="auto"/>
                <w:bottom w:val="none" w:sz="0" w:space="0" w:color="auto"/>
                <w:right w:val="none" w:sz="0" w:space="0" w:color="auto"/>
              </w:divBdr>
            </w:div>
            <w:div w:id="1927416434">
              <w:marLeft w:val="0"/>
              <w:marRight w:val="0"/>
              <w:marTop w:val="0"/>
              <w:marBottom w:val="0"/>
              <w:divBdr>
                <w:top w:val="none" w:sz="0" w:space="0" w:color="auto"/>
                <w:left w:val="none" w:sz="0" w:space="0" w:color="auto"/>
                <w:bottom w:val="none" w:sz="0" w:space="0" w:color="auto"/>
                <w:right w:val="none" w:sz="0" w:space="0" w:color="auto"/>
              </w:divBdr>
            </w:div>
            <w:div w:id="2035038988">
              <w:marLeft w:val="0"/>
              <w:marRight w:val="0"/>
              <w:marTop w:val="0"/>
              <w:marBottom w:val="0"/>
              <w:divBdr>
                <w:top w:val="none" w:sz="0" w:space="0" w:color="auto"/>
                <w:left w:val="none" w:sz="0" w:space="0" w:color="auto"/>
                <w:bottom w:val="none" w:sz="0" w:space="0" w:color="auto"/>
                <w:right w:val="none" w:sz="0" w:space="0" w:color="auto"/>
              </w:divBdr>
            </w:div>
            <w:div w:id="2092844410">
              <w:marLeft w:val="0"/>
              <w:marRight w:val="0"/>
              <w:marTop w:val="0"/>
              <w:marBottom w:val="0"/>
              <w:divBdr>
                <w:top w:val="none" w:sz="0" w:space="0" w:color="auto"/>
                <w:left w:val="none" w:sz="0" w:space="0" w:color="auto"/>
                <w:bottom w:val="none" w:sz="0" w:space="0" w:color="auto"/>
                <w:right w:val="none" w:sz="0" w:space="0" w:color="auto"/>
              </w:divBdr>
            </w:div>
          </w:divsChild>
        </w:div>
        <w:div w:id="1593245731">
          <w:marLeft w:val="0"/>
          <w:marRight w:val="0"/>
          <w:marTop w:val="0"/>
          <w:marBottom w:val="0"/>
          <w:divBdr>
            <w:top w:val="none" w:sz="0" w:space="0" w:color="auto"/>
            <w:left w:val="none" w:sz="0" w:space="0" w:color="auto"/>
            <w:bottom w:val="none" w:sz="0" w:space="0" w:color="auto"/>
            <w:right w:val="none" w:sz="0" w:space="0" w:color="auto"/>
          </w:divBdr>
          <w:divsChild>
            <w:div w:id="332953381">
              <w:marLeft w:val="0"/>
              <w:marRight w:val="0"/>
              <w:marTop w:val="0"/>
              <w:marBottom w:val="0"/>
              <w:divBdr>
                <w:top w:val="none" w:sz="0" w:space="0" w:color="auto"/>
                <w:left w:val="none" w:sz="0" w:space="0" w:color="auto"/>
                <w:bottom w:val="none" w:sz="0" w:space="0" w:color="auto"/>
                <w:right w:val="none" w:sz="0" w:space="0" w:color="auto"/>
              </w:divBdr>
            </w:div>
            <w:div w:id="604386536">
              <w:marLeft w:val="0"/>
              <w:marRight w:val="0"/>
              <w:marTop w:val="0"/>
              <w:marBottom w:val="0"/>
              <w:divBdr>
                <w:top w:val="none" w:sz="0" w:space="0" w:color="auto"/>
                <w:left w:val="none" w:sz="0" w:space="0" w:color="auto"/>
                <w:bottom w:val="none" w:sz="0" w:space="0" w:color="auto"/>
                <w:right w:val="none" w:sz="0" w:space="0" w:color="auto"/>
              </w:divBdr>
            </w:div>
            <w:div w:id="920407024">
              <w:marLeft w:val="0"/>
              <w:marRight w:val="0"/>
              <w:marTop w:val="0"/>
              <w:marBottom w:val="0"/>
              <w:divBdr>
                <w:top w:val="none" w:sz="0" w:space="0" w:color="auto"/>
                <w:left w:val="none" w:sz="0" w:space="0" w:color="auto"/>
                <w:bottom w:val="none" w:sz="0" w:space="0" w:color="auto"/>
                <w:right w:val="none" w:sz="0" w:space="0" w:color="auto"/>
              </w:divBdr>
            </w:div>
            <w:div w:id="1465082578">
              <w:marLeft w:val="0"/>
              <w:marRight w:val="0"/>
              <w:marTop w:val="0"/>
              <w:marBottom w:val="0"/>
              <w:divBdr>
                <w:top w:val="none" w:sz="0" w:space="0" w:color="auto"/>
                <w:left w:val="none" w:sz="0" w:space="0" w:color="auto"/>
                <w:bottom w:val="none" w:sz="0" w:space="0" w:color="auto"/>
                <w:right w:val="none" w:sz="0" w:space="0" w:color="auto"/>
              </w:divBdr>
            </w:div>
            <w:div w:id="1525554715">
              <w:marLeft w:val="0"/>
              <w:marRight w:val="0"/>
              <w:marTop w:val="0"/>
              <w:marBottom w:val="0"/>
              <w:divBdr>
                <w:top w:val="none" w:sz="0" w:space="0" w:color="auto"/>
                <w:left w:val="none" w:sz="0" w:space="0" w:color="auto"/>
                <w:bottom w:val="none" w:sz="0" w:space="0" w:color="auto"/>
                <w:right w:val="none" w:sz="0" w:space="0" w:color="auto"/>
              </w:divBdr>
            </w:div>
            <w:div w:id="2128113060">
              <w:marLeft w:val="0"/>
              <w:marRight w:val="0"/>
              <w:marTop w:val="0"/>
              <w:marBottom w:val="0"/>
              <w:divBdr>
                <w:top w:val="none" w:sz="0" w:space="0" w:color="auto"/>
                <w:left w:val="none" w:sz="0" w:space="0" w:color="auto"/>
                <w:bottom w:val="none" w:sz="0" w:space="0" w:color="auto"/>
                <w:right w:val="none" w:sz="0" w:space="0" w:color="auto"/>
              </w:divBdr>
            </w:div>
          </w:divsChild>
        </w:div>
        <w:div w:id="1651515035">
          <w:marLeft w:val="0"/>
          <w:marRight w:val="0"/>
          <w:marTop w:val="0"/>
          <w:marBottom w:val="0"/>
          <w:divBdr>
            <w:top w:val="none" w:sz="0" w:space="0" w:color="auto"/>
            <w:left w:val="none" w:sz="0" w:space="0" w:color="auto"/>
            <w:bottom w:val="none" w:sz="0" w:space="0" w:color="auto"/>
            <w:right w:val="none" w:sz="0" w:space="0" w:color="auto"/>
          </w:divBdr>
          <w:divsChild>
            <w:div w:id="29965747">
              <w:marLeft w:val="0"/>
              <w:marRight w:val="0"/>
              <w:marTop w:val="0"/>
              <w:marBottom w:val="0"/>
              <w:divBdr>
                <w:top w:val="none" w:sz="0" w:space="0" w:color="auto"/>
                <w:left w:val="none" w:sz="0" w:space="0" w:color="auto"/>
                <w:bottom w:val="none" w:sz="0" w:space="0" w:color="auto"/>
                <w:right w:val="none" w:sz="0" w:space="0" w:color="auto"/>
              </w:divBdr>
            </w:div>
            <w:div w:id="195429083">
              <w:marLeft w:val="0"/>
              <w:marRight w:val="0"/>
              <w:marTop w:val="0"/>
              <w:marBottom w:val="0"/>
              <w:divBdr>
                <w:top w:val="none" w:sz="0" w:space="0" w:color="auto"/>
                <w:left w:val="none" w:sz="0" w:space="0" w:color="auto"/>
                <w:bottom w:val="none" w:sz="0" w:space="0" w:color="auto"/>
                <w:right w:val="none" w:sz="0" w:space="0" w:color="auto"/>
              </w:divBdr>
            </w:div>
            <w:div w:id="200048233">
              <w:marLeft w:val="0"/>
              <w:marRight w:val="0"/>
              <w:marTop w:val="0"/>
              <w:marBottom w:val="0"/>
              <w:divBdr>
                <w:top w:val="none" w:sz="0" w:space="0" w:color="auto"/>
                <w:left w:val="none" w:sz="0" w:space="0" w:color="auto"/>
                <w:bottom w:val="none" w:sz="0" w:space="0" w:color="auto"/>
                <w:right w:val="none" w:sz="0" w:space="0" w:color="auto"/>
              </w:divBdr>
            </w:div>
            <w:div w:id="436485637">
              <w:marLeft w:val="0"/>
              <w:marRight w:val="0"/>
              <w:marTop w:val="0"/>
              <w:marBottom w:val="0"/>
              <w:divBdr>
                <w:top w:val="none" w:sz="0" w:space="0" w:color="auto"/>
                <w:left w:val="none" w:sz="0" w:space="0" w:color="auto"/>
                <w:bottom w:val="none" w:sz="0" w:space="0" w:color="auto"/>
                <w:right w:val="none" w:sz="0" w:space="0" w:color="auto"/>
              </w:divBdr>
            </w:div>
            <w:div w:id="853231886">
              <w:marLeft w:val="0"/>
              <w:marRight w:val="0"/>
              <w:marTop w:val="0"/>
              <w:marBottom w:val="0"/>
              <w:divBdr>
                <w:top w:val="none" w:sz="0" w:space="0" w:color="auto"/>
                <w:left w:val="none" w:sz="0" w:space="0" w:color="auto"/>
                <w:bottom w:val="none" w:sz="0" w:space="0" w:color="auto"/>
                <w:right w:val="none" w:sz="0" w:space="0" w:color="auto"/>
              </w:divBdr>
            </w:div>
            <w:div w:id="981613629">
              <w:marLeft w:val="0"/>
              <w:marRight w:val="0"/>
              <w:marTop w:val="0"/>
              <w:marBottom w:val="0"/>
              <w:divBdr>
                <w:top w:val="none" w:sz="0" w:space="0" w:color="auto"/>
                <w:left w:val="none" w:sz="0" w:space="0" w:color="auto"/>
                <w:bottom w:val="none" w:sz="0" w:space="0" w:color="auto"/>
                <w:right w:val="none" w:sz="0" w:space="0" w:color="auto"/>
              </w:divBdr>
            </w:div>
            <w:div w:id="1510099922">
              <w:marLeft w:val="0"/>
              <w:marRight w:val="0"/>
              <w:marTop w:val="0"/>
              <w:marBottom w:val="0"/>
              <w:divBdr>
                <w:top w:val="none" w:sz="0" w:space="0" w:color="auto"/>
                <w:left w:val="none" w:sz="0" w:space="0" w:color="auto"/>
                <w:bottom w:val="none" w:sz="0" w:space="0" w:color="auto"/>
                <w:right w:val="none" w:sz="0" w:space="0" w:color="auto"/>
              </w:divBdr>
            </w:div>
            <w:div w:id="1515995808">
              <w:marLeft w:val="0"/>
              <w:marRight w:val="0"/>
              <w:marTop w:val="0"/>
              <w:marBottom w:val="0"/>
              <w:divBdr>
                <w:top w:val="none" w:sz="0" w:space="0" w:color="auto"/>
                <w:left w:val="none" w:sz="0" w:space="0" w:color="auto"/>
                <w:bottom w:val="none" w:sz="0" w:space="0" w:color="auto"/>
                <w:right w:val="none" w:sz="0" w:space="0" w:color="auto"/>
              </w:divBdr>
            </w:div>
          </w:divsChild>
        </w:div>
        <w:div w:id="1727752660">
          <w:marLeft w:val="0"/>
          <w:marRight w:val="0"/>
          <w:marTop w:val="0"/>
          <w:marBottom w:val="0"/>
          <w:divBdr>
            <w:top w:val="none" w:sz="0" w:space="0" w:color="auto"/>
            <w:left w:val="none" w:sz="0" w:space="0" w:color="auto"/>
            <w:bottom w:val="none" w:sz="0" w:space="0" w:color="auto"/>
            <w:right w:val="none" w:sz="0" w:space="0" w:color="auto"/>
          </w:divBdr>
          <w:divsChild>
            <w:div w:id="52631418">
              <w:marLeft w:val="0"/>
              <w:marRight w:val="0"/>
              <w:marTop w:val="0"/>
              <w:marBottom w:val="0"/>
              <w:divBdr>
                <w:top w:val="none" w:sz="0" w:space="0" w:color="auto"/>
                <w:left w:val="none" w:sz="0" w:space="0" w:color="auto"/>
                <w:bottom w:val="none" w:sz="0" w:space="0" w:color="auto"/>
                <w:right w:val="none" w:sz="0" w:space="0" w:color="auto"/>
              </w:divBdr>
            </w:div>
            <w:div w:id="544565444">
              <w:marLeft w:val="0"/>
              <w:marRight w:val="0"/>
              <w:marTop w:val="0"/>
              <w:marBottom w:val="0"/>
              <w:divBdr>
                <w:top w:val="none" w:sz="0" w:space="0" w:color="auto"/>
                <w:left w:val="none" w:sz="0" w:space="0" w:color="auto"/>
                <w:bottom w:val="none" w:sz="0" w:space="0" w:color="auto"/>
                <w:right w:val="none" w:sz="0" w:space="0" w:color="auto"/>
              </w:divBdr>
            </w:div>
            <w:div w:id="594368551">
              <w:marLeft w:val="0"/>
              <w:marRight w:val="0"/>
              <w:marTop w:val="0"/>
              <w:marBottom w:val="0"/>
              <w:divBdr>
                <w:top w:val="none" w:sz="0" w:space="0" w:color="auto"/>
                <w:left w:val="none" w:sz="0" w:space="0" w:color="auto"/>
                <w:bottom w:val="none" w:sz="0" w:space="0" w:color="auto"/>
                <w:right w:val="none" w:sz="0" w:space="0" w:color="auto"/>
              </w:divBdr>
            </w:div>
            <w:div w:id="767848197">
              <w:marLeft w:val="0"/>
              <w:marRight w:val="0"/>
              <w:marTop w:val="0"/>
              <w:marBottom w:val="0"/>
              <w:divBdr>
                <w:top w:val="none" w:sz="0" w:space="0" w:color="auto"/>
                <w:left w:val="none" w:sz="0" w:space="0" w:color="auto"/>
                <w:bottom w:val="none" w:sz="0" w:space="0" w:color="auto"/>
                <w:right w:val="none" w:sz="0" w:space="0" w:color="auto"/>
              </w:divBdr>
            </w:div>
            <w:div w:id="896816457">
              <w:marLeft w:val="0"/>
              <w:marRight w:val="0"/>
              <w:marTop w:val="0"/>
              <w:marBottom w:val="0"/>
              <w:divBdr>
                <w:top w:val="none" w:sz="0" w:space="0" w:color="auto"/>
                <w:left w:val="none" w:sz="0" w:space="0" w:color="auto"/>
                <w:bottom w:val="none" w:sz="0" w:space="0" w:color="auto"/>
                <w:right w:val="none" w:sz="0" w:space="0" w:color="auto"/>
              </w:divBdr>
            </w:div>
            <w:div w:id="946621938">
              <w:marLeft w:val="0"/>
              <w:marRight w:val="0"/>
              <w:marTop w:val="0"/>
              <w:marBottom w:val="0"/>
              <w:divBdr>
                <w:top w:val="none" w:sz="0" w:space="0" w:color="auto"/>
                <w:left w:val="none" w:sz="0" w:space="0" w:color="auto"/>
                <w:bottom w:val="none" w:sz="0" w:space="0" w:color="auto"/>
                <w:right w:val="none" w:sz="0" w:space="0" w:color="auto"/>
              </w:divBdr>
            </w:div>
            <w:div w:id="1215386214">
              <w:marLeft w:val="0"/>
              <w:marRight w:val="0"/>
              <w:marTop w:val="0"/>
              <w:marBottom w:val="0"/>
              <w:divBdr>
                <w:top w:val="none" w:sz="0" w:space="0" w:color="auto"/>
                <w:left w:val="none" w:sz="0" w:space="0" w:color="auto"/>
                <w:bottom w:val="none" w:sz="0" w:space="0" w:color="auto"/>
                <w:right w:val="none" w:sz="0" w:space="0" w:color="auto"/>
              </w:divBdr>
            </w:div>
            <w:div w:id="1231958541">
              <w:marLeft w:val="0"/>
              <w:marRight w:val="0"/>
              <w:marTop w:val="0"/>
              <w:marBottom w:val="0"/>
              <w:divBdr>
                <w:top w:val="none" w:sz="0" w:space="0" w:color="auto"/>
                <w:left w:val="none" w:sz="0" w:space="0" w:color="auto"/>
                <w:bottom w:val="none" w:sz="0" w:space="0" w:color="auto"/>
                <w:right w:val="none" w:sz="0" w:space="0" w:color="auto"/>
              </w:divBdr>
            </w:div>
            <w:div w:id="1401558704">
              <w:marLeft w:val="0"/>
              <w:marRight w:val="0"/>
              <w:marTop w:val="0"/>
              <w:marBottom w:val="0"/>
              <w:divBdr>
                <w:top w:val="none" w:sz="0" w:space="0" w:color="auto"/>
                <w:left w:val="none" w:sz="0" w:space="0" w:color="auto"/>
                <w:bottom w:val="none" w:sz="0" w:space="0" w:color="auto"/>
                <w:right w:val="none" w:sz="0" w:space="0" w:color="auto"/>
              </w:divBdr>
            </w:div>
            <w:div w:id="1643000714">
              <w:marLeft w:val="0"/>
              <w:marRight w:val="0"/>
              <w:marTop w:val="0"/>
              <w:marBottom w:val="0"/>
              <w:divBdr>
                <w:top w:val="none" w:sz="0" w:space="0" w:color="auto"/>
                <w:left w:val="none" w:sz="0" w:space="0" w:color="auto"/>
                <w:bottom w:val="none" w:sz="0" w:space="0" w:color="auto"/>
                <w:right w:val="none" w:sz="0" w:space="0" w:color="auto"/>
              </w:divBdr>
            </w:div>
            <w:div w:id="1764960722">
              <w:marLeft w:val="0"/>
              <w:marRight w:val="0"/>
              <w:marTop w:val="0"/>
              <w:marBottom w:val="0"/>
              <w:divBdr>
                <w:top w:val="none" w:sz="0" w:space="0" w:color="auto"/>
                <w:left w:val="none" w:sz="0" w:space="0" w:color="auto"/>
                <w:bottom w:val="none" w:sz="0" w:space="0" w:color="auto"/>
                <w:right w:val="none" w:sz="0" w:space="0" w:color="auto"/>
              </w:divBdr>
            </w:div>
            <w:div w:id="1803616300">
              <w:marLeft w:val="0"/>
              <w:marRight w:val="0"/>
              <w:marTop w:val="0"/>
              <w:marBottom w:val="0"/>
              <w:divBdr>
                <w:top w:val="none" w:sz="0" w:space="0" w:color="auto"/>
                <w:left w:val="none" w:sz="0" w:space="0" w:color="auto"/>
                <w:bottom w:val="none" w:sz="0" w:space="0" w:color="auto"/>
                <w:right w:val="none" w:sz="0" w:space="0" w:color="auto"/>
              </w:divBdr>
            </w:div>
            <w:div w:id="2014526617">
              <w:marLeft w:val="0"/>
              <w:marRight w:val="0"/>
              <w:marTop w:val="0"/>
              <w:marBottom w:val="0"/>
              <w:divBdr>
                <w:top w:val="none" w:sz="0" w:space="0" w:color="auto"/>
                <w:left w:val="none" w:sz="0" w:space="0" w:color="auto"/>
                <w:bottom w:val="none" w:sz="0" w:space="0" w:color="auto"/>
                <w:right w:val="none" w:sz="0" w:space="0" w:color="auto"/>
              </w:divBdr>
            </w:div>
          </w:divsChild>
        </w:div>
        <w:div w:id="2098014989">
          <w:marLeft w:val="0"/>
          <w:marRight w:val="0"/>
          <w:marTop w:val="0"/>
          <w:marBottom w:val="0"/>
          <w:divBdr>
            <w:top w:val="none" w:sz="0" w:space="0" w:color="auto"/>
            <w:left w:val="none" w:sz="0" w:space="0" w:color="auto"/>
            <w:bottom w:val="none" w:sz="0" w:space="0" w:color="auto"/>
            <w:right w:val="none" w:sz="0" w:space="0" w:color="auto"/>
          </w:divBdr>
          <w:divsChild>
            <w:div w:id="225075257">
              <w:marLeft w:val="0"/>
              <w:marRight w:val="0"/>
              <w:marTop w:val="0"/>
              <w:marBottom w:val="0"/>
              <w:divBdr>
                <w:top w:val="none" w:sz="0" w:space="0" w:color="auto"/>
                <w:left w:val="none" w:sz="0" w:space="0" w:color="auto"/>
                <w:bottom w:val="none" w:sz="0" w:space="0" w:color="auto"/>
                <w:right w:val="none" w:sz="0" w:space="0" w:color="auto"/>
              </w:divBdr>
            </w:div>
            <w:div w:id="259486151">
              <w:marLeft w:val="0"/>
              <w:marRight w:val="0"/>
              <w:marTop w:val="0"/>
              <w:marBottom w:val="0"/>
              <w:divBdr>
                <w:top w:val="none" w:sz="0" w:space="0" w:color="auto"/>
                <w:left w:val="none" w:sz="0" w:space="0" w:color="auto"/>
                <w:bottom w:val="none" w:sz="0" w:space="0" w:color="auto"/>
                <w:right w:val="none" w:sz="0" w:space="0" w:color="auto"/>
              </w:divBdr>
            </w:div>
            <w:div w:id="453603570">
              <w:marLeft w:val="0"/>
              <w:marRight w:val="0"/>
              <w:marTop w:val="0"/>
              <w:marBottom w:val="0"/>
              <w:divBdr>
                <w:top w:val="none" w:sz="0" w:space="0" w:color="auto"/>
                <w:left w:val="none" w:sz="0" w:space="0" w:color="auto"/>
                <w:bottom w:val="none" w:sz="0" w:space="0" w:color="auto"/>
                <w:right w:val="none" w:sz="0" w:space="0" w:color="auto"/>
              </w:divBdr>
            </w:div>
            <w:div w:id="515508575">
              <w:marLeft w:val="0"/>
              <w:marRight w:val="0"/>
              <w:marTop w:val="0"/>
              <w:marBottom w:val="0"/>
              <w:divBdr>
                <w:top w:val="none" w:sz="0" w:space="0" w:color="auto"/>
                <w:left w:val="none" w:sz="0" w:space="0" w:color="auto"/>
                <w:bottom w:val="none" w:sz="0" w:space="0" w:color="auto"/>
                <w:right w:val="none" w:sz="0" w:space="0" w:color="auto"/>
              </w:divBdr>
            </w:div>
            <w:div w:id="694230619">
              <w:marLeft w:val="0"/>
              <w:marRight w:val="0"/>
              <w:marTop w:val="0"/>
              <w:marBottom w:val="0"/>
              <w:divBdr>
                <w:top w:val="none" w:sz="0" w:space="0" w:color="auto"/>
                <w:left w:val="none" w:sz="0" w:space="0" w:color="auto"/>
                <w:bottom w:val="none" w:sz="0" w:space="0" w:color="auto"/>
                <w:right w:val="none" w:sz="0" w:space="0" w:color="auto"/>
              </w:divBdr>
            </w:div>
            <w:div w:id="1169637173">
              <w:marLeft w:val="0"/>
              <w:marRight w:val="0"/>
              <w:marTop w:val="0"/>
              <w:marBottom w:val="0"/>
              <w:divBdr>
                <w:top w:val="none" w:sz="0" w:space="0" w:color="auto"/>
                <w:left w:val="none" w:sz="0" w:space="0" w:color="auto"/>
                <w:bottom w:val="none" w:sz="0" w:space="0" w:color="auto"/>
                <w:right w:val="none" w:sz="0" w:space="0" w:color="auto"/>
              </w:divBdr>
            </w:div>
            <w:div w:id="1483619998">
              <w:marLeft w:val="0"/>
              <w:marRight w:val="0"/>
              <w:marTop w:val="0"/>
              <w:marBottom w:val="0"/>
              <w:divBdr>
                <w:top w:val="none" w:sz="0" w:space="0" w:color="auto"/>
                <w:left w:val="none" w:sz="0" w:space="0" w:color="auto"/>
                <w:bottom w:val="none" w:sz="0" w:space="0" w:color="auto"/>
                <w:right w:val="none" w:sz="0" w:space="0" w:color="auto"/>
              </w:divBdr>
            </w:div>
            <w:div w:id="1618246884">
              <w:marLeft w:val="0"/>
              <w:marRight w:val="0"/>
              <w:marTop w:val="0"/>
              <w:marBottom w:val="0"/>
              <w:divBdr>
                <w:top w:val="none" w:sz="0" w:space="0" w:color="auto"/>
                <w:left w:val="none" w:sz="0" w:space="0" w:color="auto"/>
                <w:bottom w:val="none" w:sz="0" w:space="0" w:color="auto"/>
                <w:right w:val="none" w:sz="0" w:space="0" w:color="auto"/>
              </w:divBdr>
            </w:div>
            <w:div w:id="16232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7806">
      <w:bodyDiv w:val="1"/>
      <w:marLeft w:val="0"/>
      <w:marRight w:val="0"/>
      <w:marTop w:val="0"/>
      <w:marBottom w:val="0"/>
      <w:divBdr>
        <w:top w:val="none" w:sz="0" w:space="0" w:color="auto"/>
        <w:left w:val="none" w:sz="0" w:space="0" w:color="auto"/>
        <w:bottom w:val="none" w:sz="0" w:space="0" w:color="auto"/>
        <w:right w:val="none" w:sz="0" w:space="0" w:color="auto"/>
      </w:divBdr>
    </w:div>
    <w:div w:id="812254216">
      <w:bodyDiv w:val="1"/>
      <w:marLeft w:val="0"/>
      <w:marRight w:val="0"/>
      <w:marTop w:val="0"/>
      <w:marBottom w:val="0"/>
      <w:divBdr>
        <w:top w:val="none" w:sz="0" w:space="0" w:color="auto"/>
        <w:left w:val="none" w:sz="0" w:space="0" w:color="auto"/>
        <w:bottom w:val="none" w:sz="0" w:space="0" w:color="auto"/>
        <w:right w:val="none" w:sz="0" w:space="0" w:color="auto"/>
      </w:divBdr>
    </w:div>
    <w:div w:id="820972706">
      <w:bodyDiv w:val="1"/>
      <w:marLeft w:val="0"/>
      <w:marRight w:val="0"/>
      <w:marTop w:val="0"/>
      <w:marBottom w:val="0"/>
      <w:divBdr>
        <w:top w:val="none" w:sz="0" w:space="0" w:color="auto"/>
        <w:left w:val="none" w:sz="0" w:space="0" w:color="auto"/>
        <w:bottom w:val="none" w:sz="0" w:space="0" w:color="auto"/>
        <w:right w:val="none" w:sz="0" w:space="0" w:color="auto"/>
      </w:divBdr>
    </w:div>
    <w:div w:id="840121661">
      <w:bodyDiv w:val="1"/>
      <w:marLeft w:val="0"/>
      <w:marRight w:val="0"/>
      <w:marTop w:val="0"/>
      <w:marBottom w:val="0"/>
      <w:divBdr>
        <w:top w:val="none" w:sz="0" w:space="0" w:color="auto"/>
        <w:left w:val="none" w:sz="0" w:space="0" w:color="auto"/>
        <w:bottom w:val="none" w:sz="0" w:space="0" w:color="auto"/>
        <w:right w:val="none" w:sz="0" w:space="0" w:color="auto"/>
      </w:divBdr>
    </w:div>
    <w:div w:id="842015370">
      <w:bodyDiv w:val="1"/>
      <w:marLeft w:val="0"/>
      <w:marRight w:val="0"/>
      <w:marTop w:val="0"/>
      <w:marBottom w:val="0"/>
      <w:divBdr>
        <w:top w:val="none" w:sz="0" w:space="0" w:color="auto"/>
        <w:left w:val="none" w:sz="0" w:space="0" w:color="auto"/>
        <w:bottom w:val="none" w:sz="0" w:space="0" w:color="auto"/>
        <w:right w:val="none" w:sz="0" w:space="0" w:color="auto"/>
      </w:divBdr>
      <w:divsChild>
        <w:div w:id="20128365">
          <w:marLeft w:val="547"/>
          <w:marRight w:val="0"/>
          <w:marTop w:val="0"/>
          <w:marBottom w:val="0"/>
          <w:divBdr>
            <w:top w:val="none" w:sz="0" w:space="0" w:color="auto"/>
            <w:left w:val="none" w:sz="0" w:space="0" w:color="auto"/>
            <w:bottom w:val="none" w:sz="0" w:space="0" w:color="auto"/>
            <w:right w:val="none" w:sz="0" w:space="0" w:color="auto"/>
          </w:divBdr>
        </w:div>
      </w:divsChild>
    </w:div>
    <w:div w:id="875511770">
      <w:bodyDiv w:val="1"/>
      <w:marLeft w:val="0"/>
      <w:marRight w:val="0"/>
      <w:marTop w:val="0"/>
      <w:marBottom w:val="0"/>
      <w:divBdr>
        <w:top w:val="none" w:sz="0" w:space="0" w:color="auto"/>
        <w:left w:val="none" w:sz="0" w:space="0" w:color="auto"/>
        <w:bottom w:val="none" w:sz="0" w:space="0" w:color="auto"/>
        <w:right w:val="none" w:sz="0" w:space="0" w:color="auto"/>
      </w:divBdr>
    </w:div>
    <w:div w:id="881863429">
      <w:bodyDiv w:val="1"/>
      <w:marLeft w:val="0"/>
      <w:marRight w:val="0"/>
      <w:marTop w:val="0"/>
      <w:marBottom w:val="0"/>
      <w:divBdr>
        <w:top w:val="none" w:sz="0" w:space="0" w:color="auto"/>
        <w:left w:val="none" w:sz="0" w:space="0" w:color="auto"/>
        <w:bottom w:val="none" w:sz="0" w:space="0" w:color="auto"/>
        <w:right w:val="none" w:sz="0" w:space="0" w:color="auto"/>
      </w:divBdr>
    </w:div>
    <w:div w:id="911935258">
      <w:bodyDiv w:val="1"/>
      <w:marLeft w:val="0"/>
      <w:marRight w:val="0"/>
      <w:marTop w:val="0"/>
      <w:marBottom w:val="0"/>
      <w:divBdr>
        <w:top w:val="none" w:sz="0" w:space="0" w:color="auto"/>
        <w:left w:val="none" w:sz="0" w:space="0" w:color="auto"/>
        <w:bottom w:val="none" w:sz="0" w:space="0" w:color="auto"/>
        <w:right w:val="none" w:sz="0" w:space="0" w:color="auto"/>
      </w:divBdr>
    </w:div>
    <w:div w:id="921179596">
      <w:bodyDiv w:val="1"/>
      <w:marLeft w:val="0"/>
      <w:marRight w:val="0"/>
      <w:marTop w:val="0"/>
      <w:marBottom w:val="0"/>
      <w:divBdr>
        <w:top w:val="none" w:sz="0" w:space="0" w:color="auto"/>
        <w:left w:val="none" w:sz="0" w:space="0" w:color="auto"/>
        <w:bottom w:val="none" w:sz="0" w:space="0" w:color="auto"/>
        <w:right w:val="none" w:sz="0" w:space="0" w:color="auto"/>
      </w:divBdr>
    </w:div>
    <w:div w:id="962004870">
      <w:bodyDiv w:val="1"/>
      <w:marLeft w:val="0"/>
      <w:marRight w:val="0"/>
      <w:marTop w:val="0"/>
      <w:marBottom w:val="0"/>
      <w:divBdr>
        <w:top w:val="none" w:sz="0" w:space="0" w:color="auto"/>
        <w:left w:val="none" w:sz="0" w:space="0" w:color="auto"/>
        <w:bottom w:val="none" w:sz="0" w:space="0" w:color="auto"/>
        <w:right w:val="none" w:sz="0" w:space="0" w:color="auto"/>
      </w:divBdr>
      <w:divsChild>
        <w:div w:id="1462724867">
          <w:marLeft w:val="0"/>
          <w:marRight w:val="0"/>
          <w:marTop w:val="0"/>
          <w:marBottom w:val="0"/>
          <w:divBdr>
            <w:top w:val="none" w:sz="0" w:space="0" w:color="auto"/>
            <w:left w:val="none" w:sz="0" w:space="0" w:color="auto"/>
            <w:bottom w:val="none" w:sz="0" w:space="0" w:color="auto"/>
            <w:right w:val="none" w:sz="0" w:space="0" w:color="auto"/>
          </w:divBdr>
          <w:divsChild>
            <w:div w:id="831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3480">
      <w:bodyDiv w:val="1"/>
      <w:marLeft w:val="0"/>
      <w:marRight w:val="0"/>
      <w:marTop w:val="0"/>
      <w:marBottom w:val="0"/>
      <w:divBdr>
        <w:top w:val="none" w:sz="0" w:space="0" w:color="auto"/>
        <w:left w:val="none" w:sz="0" w:space="0" w:color="auto"/>
        <w:bottom w:val="none" w:sz="0" w:space="0" w:color="auto"/>
        <w:right w:val="none" w:sz="0" w:space="0" w:color="auto"/>
      </w:divBdr>
      <w:divsChild>
        <w:div w:id="1080757967">
          <w:marLeft w:val="0"/>
          <w:marRight w:val="0"/>
          <w:marTop w:val="0"/>
          <w:marBottom w:val="0"/>
          <w:divBdr>
            <w:top w:val="none" w:sz="0" w:space="0" w:color="auto"/>
            <w:left w:val="none" w:sz="0" w:space="0" w:color="auto"/>
            <w:bottom w:val="none" w:sz="0" w:space="0" w:color="auto"/>
            <w:right w:val="none" w:sz="0" w:space="0" w:color="auto"/>
          </w:divBdr>
          <w:divsChild>
            <w:div w:id="269900218">
              <w:marLeft w:val="0"/>
              <w:marRight w:val="0"/>
              <w:marTop w:val="0"/>
              <w:marBottom w:val="0"/>
              <w:divBdr>
                <w:top w:val="none" w:sz="0" w:space="0" w:color="auto"/>
                <w:left w:val="none" w:sz="0" w:space="0" w:color="auto"/>
                <w:bottom w:val="none" w:sz="0" w:space="0" w:color="auto"/>
                <w:right w:val="none" w:sz="0" w:space="0" w:color="auto"/>
              </w:divBdr>
            </w:div>
            <w:div w:id="17530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5468">
      <w:bodyDiv w:val="1"/>
      <w:marLeft w:val="0"/>
      <w:marRight w:val="0"/>
      <w:marTop w:val="0"/>
      <w:marBottom w:val="0"/>
      <w:divBdr>
        <w:top w:val="none" w:sz="0" w:space="0" w:color="auto"/>
        <w:left w:val="none" w:sz="0" w:space="0" w:color="auto"/>
        <w:bottom w:val="none" w:sz="0" w:space="0" w:color="auto"/>
        <w:right w:val="none" w:sz="0" w:space="0" w:color="auto"/>
      </w:divBdr>
    </w:div>
    <w:div w:id="1001784621">
      <w:bodyDiv w:val="1"/>
      <w:marLeft w:val="0"/>
      <w:marRight w:val="0"/>
      <w:marTop w:val="0"/>
      <w:marBottom w:val="0"/>
      <w:divBdr>
        <w:top w:val="none" w:sz="0" w:space="0" w:color="auto"/>
        <w:left w:val="none" w:sz="0" w:space="0" w:color="auto"/>
        <w:bottom w:val="none" w:sz="0" w:space="0" w:color="auto"/>
        <w:right w:val="none" w:sz="0" w:space="0" w:color="auto"/>
      </w:divBdr>
    </w:div>
    <w:div w:id="1009481437">
      <w:bodyDiv w:val="1"/>
      <w:marLeft w:val="0"/>
      <w:marRight w:val="0"/>
      <w:marTop w:val="0"/>
      <w:marBottom w:val="0"/>
      <w:divBdr>
        <w:top w:val="none" w:sz="0" w:space="0" w:color="auto"/>
        <w:left w:val="none" w:sz="0" w:space="0" w:color="auto"/>
        <w:bottom w:val="none" w:sz="0" w:space="0" w:color="auto"/>
        <w:right w:val="none" w:sz="0" w:space="0" w:color="auto"/>
      </w:divBdr>
    </w:div>
    <w:div w:id="1054696817">
      <w:bodyDiv w:val="1"/>
      <w:marLeft w:val="0"/>
      <w:marRight w:val="0"/>
      <w:marTop w:val="0"/>
      <w:marBottom w:val="0"/>
      <w:divBdr>
        <w:top w:val="none" w:sz="0" w:space="0" w:color="auto"/>
        <w:left w:val="none" w:sz="0" w:space="0" w:color="auto"/>
        <w:bottom w:val="none" w:sz="0" w:space="0" w:color="auto"/>
        <w:right w:val="none" w:sz="0" w:space="0" w:color="auto"/>
      </w:divBdr>
    </w:div>
    <w:div w:id="1082878071">
      <w:bodyDiv w:val="1"/>
      <w:marLeft w:val="0"/>
      <w:marRight w:val="0"/>
      <w:marTop w:val="0"/>
      <w:marBottom w:val="0"/>
      <w:divBdr>
        <w:top w:val="none" w:sz="0" w:space="0" w:color="auto"/>
        <w:left w:val="none" w:sz="0" w:space="0" w:color="auto"/>
        <w:bottom w:val="none" w:sz="0" w:space="0" w:color="auto"/>
        <w:right w:val="none" w:sz="0" w:space="0" w:color="auto"/>
      </w:divBdr>
    </w:div>
    <w:div w:id="1093287127">
      <w:bodyDiv w:val="1"/>
      <w:marLeft w:val="0"/>
      <w:marRight w:val="0"/>
      <w:marTop w:val="0"/>
      <w:marBottom w:val="0"/>
      <w:divBdr>
        <w:top w:val="none" w:sz="0" w:space="0" w:color="auto"/>
        <w:left w:val="none" w:sz="0" w:space="0" w:color="auto"/>
        <w:bottom w:val="none" w:sz="0" w:space="0" w:color="auto"/>
        <w:right w:val="none" w:sz="0" w:space="0" w:color="auto"/>
      </w:divBdr>
    </w:div>
    <w:div w:id="1110932458">
      <w:bodyDiv w:val="1"/>
      <w:marLeft w:val="0"/>
      <w:marRight w:val="0"/>
      <w:marTop w:val="0"/>
      <w:marBottom w:val="0"/>
      <w:divBdr>
        <w:top w:val="none" w:sz="0" w:space="0" w:color="auto"/>
        <w:left w:val="none" w:sz="0" w:space="0" w:color="auto"/>
        <w:bottom w:val="none" w:sz="0" w:space="0" w:color="auto"/>
        <w:right w:val="none" w:sz="0" w:space="0" w:color="auto"/>
      </w:divBdr>
      <w:divsChild>
        <w:div w:id="1079450348">
          <w:marLeft w:val="0"/>
          <w:marRight w:val="0"/>
          <w:marTop w:val="0"/>
          <w:marBottom w:val="0"/>
          <w:divBdr>
            <w:top w:val="none" w:sz="0" w:space="0" w:color="auto"/>
            <w:left w:val="none" w:sz="0" w:space="0" w:color="auto"/>
            <w:bottom w:val="none" w:sz="0" w:space="0" w:color="auto"/>
            <w:right w:val="none" w:sz="0" w:space="0" w:color="auto"/>
          </w:divBdr>
        </w:div>
        <w:div w:id="1727337542">
          <w:marLeft w:val="0"/>
          <w:marRight w:val="0"/>
          <w:marTop w:val="0"/>
          <w:marBottom w:val="0"/>
          <w:divBdr>
            <w:top w:val="none" w:sz="0" w:space="0" w:color="auto"/>
            <w:left w:val="none" w:sz="0" w:space="0" w:color="auto"/>
            <w:bottom w:val="none" w:sz="0" w:space="0" w:color="auto"/>
            <w:right w:val="none" w:sz="0" w:space="0" w:color="auto"/>
          </w:divBdr>
        </w:div>
      </w:divsChild>
    </w:div>
    <w:div w:id="1120341624">
      <w:bodyDiv w:val="1"/>
      <w:marLeft w:val="0"/>
      <w:marRight w:val="0"/>
      <w:marTop w:val="0"/>
      <w:marBottom w:val="0"/>
      <w:divBdr>
        <w:top w:val="none" w:sz="0" w:space="0" w:color="auto"/>
        <w:left w:val="none" w:sz="0" w:space="0" w:color="auto"/>
        <w:bottom w:val="none" w:sz="0" w:space="0" w:color="auto"/>
        <w:right w:val="none" w:sz="0" w:space="0" w:color="auto"/>
      </w:divBdr>
    </w:div>
    <w:div w:id="1143430288">
      <w:bodyDiv w:val="1"/>
      <w:marLeft w:val="0"/>
      <w:marRight w:val="0"/>
      <w:marTop w:val="0"/>
      <w:marBottom w:val="0"/>
      <w:divBdr>
        <w:top w:val="none" w:sz="0" w:space="0" w:color="auto"/>
        <w:left w:val="none" w:sz="0" w:space="0" w:color="auto"/>
        <w:bottom w:val="none" w:sz="0" w:space="0" w:color="auto"/>
        <w:right w:val="none" w:sz="0" w:space="0" w:color="auto"/>
      </w:divBdr>
    </w:div>
    <w:div w:id="1146970296">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164006869">
      <w:bodyDiv w:val="1"/>
      <w:marLeft w:val="0"/>
      <w:marRight w:val="0"/>
      <w:marTop w:val="0"/>
      <w:marBottom w:val="0"/>
      <w:divBdr>
        <w:top w:val="none" w:sz="0" w:space="0" w:color="auto"/>
        <w:left w:val="none" w:sz="0" w:space="0" w:color="auto"/>
        <w:bottom w:val="none" w:sz="0" w:space="0" w:color="auto"/>
        <w:right w:val="none" w:sz="0" w:space="0" w:color="auto"/>
      </w:divBdr>
    </w:div>
    <w:div w:id="1174102529">
      <w:bodyDiv w:val="1"/>
      <w:marLeft w:val="0"/>
      <w:marRight w:val="0"/>
      <w:marTop w:val="0"/>
      <w:marBottom w:val="0"/>
      <w:divBdr>
        <w:top w:val="none" w:sz="0" w:space="0" w:color="auto"/>
        <w:left w:val="none" w:sz="0" w:space="0" w:color="auto"/>
        <w:bottom w:val="none" w:sz="0" w:space="0" w:color="auto"/>
        <w:right w:val="none" w:sz="0" w:space="0" w:color="auto"/>
      </w:divBdr>
    </w:div>
    <w:div w:id="1194075036">
      <w:bodyDiv w:val="1"/>
      <w:marLeft w:val="0"/>
      <w:marRight w:val="0"/>
      <w:marTop w:val="0"/>
      <w:marBottom w:val="0"/>
      <w:divBdr>
        <w:top w:val="none" w:sz="0" w:space="0" w:color="auto"/>
        <w:left w:val="none" w:sz="0" w:space="0" w:color="auto"/>
        <w:bottom w:val="none" w:sz="0" w:space="0" w:color="auto"/>
        <w:right w:val="none" w:sz="0" w:space="0" w:color="auto"/>
      </w:divBdr>
    </w:div>
    <w:div w:id="1305046869">
      <w:bodyDiv w:val="1"/>
      <w:marLeft w:val="0"/>
      <w:marRight w:val="0"/>
      <w:marTop w:val="0"/>
      <w:marBottom w:val="0"/>
      <w:divBdr>
        <w:top w:val="none" w:sz="0" w:space="0" w:color="auto"/>
        <w:left w:val="none" w:sz="0" w:space="0" w:color="auto"/>
        <w:bottom w:val="none" w:sz="0" w:space="0" w:color="auto"/>
        <w:right w:val="none" w:sz="0" w:space="0" w:color="auto"/>
      </w:divBdr>
    </w:div>
    <w:div w:id="131055453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600942545">
      <w:bodyDiv w:val="1"/>
      <w:marLeft w:val="0"/>
      <w:marRight w:val="0"/>
      <w:marTop w:val="0"/>
      <w:marBottom w:val="0"/>
      <w:divBdr>
        <w:top w:val="none" w:sz="0" w:space="0" w:color="auto"/>
        <w:left w:val="none" w:sz="0" w:space="0" w:color="auto"/>
        <w:bottom w:val="none" w:sz="0" w:space="0" w:color="auto"/>
        <w:right w:val="none" w:sz="0" w:space="0" w:color="auto"/>
      </w:divBdr>
      <w:divsChild>
        <w:div w:id="303315985">
          <w:marLeft w:val="0"/>
          <w:marRight w:val="0"/>
          <w:marTop w:val="0"/>
          <w:marBottom w:val="0"/>
          <w:divBdr>
            <w:top w:val="none" w:sz="0" w:space="0" w:color="auto"/>
            <w:left w:val="none" w:sz="0" w:space="0" w:color="auto"/>
            <w:bottom w:val="none" w:sz="0" w:space="0" w:color="auto"/>
            <w:right w:val="none" w:sz="0" w:space="0" w:color="auto"/>
          </w:divBdr>
        </w:div>
        <w:div w:id="782581104">
          <w:marLeft w:val="0"/>
          <w:marRight w:val="0"/>
          <w:marTop w:val="0"/>
          <w:marBottom w:val="0"/>
          <w:divBdr>
            <w:top w:val="none" w:sz="0" w:space="0" w:color="auto"/>
            <w:left w:val="none" w:sz="0" w:space="0" w:color="auto"/>
            <w:bottom w:val="none" w:sz="0" w:space="0" w:color="auto"/>
            <w:right w:val="none" w:sz="0" w:space="0" w:color="auto"/>
          </w:divBdr>
        </w:div>
      </w:divsChild>
    </w:div>
    <w:div w:id="1662200594">
      <w:bodyDiv w:val="1"/>
      <w:marLeft w:val="0"/>
      <w:marRight w:val="0"/>
      <w:marTop w:val="0"/>
      <w:marBottom w:val="0"/>
      <w:divBdr>
        <w:top w:val="none" w:sz="0" w:space="0" w:color="auto"/>
        <w:left w:val="none" w:sz="0" w:space="0" w:color="auto"/>
        <w:bottom w:val="none" w:sz="0" w:space="0" w:color="auto"/>
        <w:right w:val="none" w:sz="0" w:space="0" w:color="auto"/>
      </w:divBdr>
      <w:divsChild>
        <w:div w:id="1068266450">
          <w:marLeft w:val="547"/>
          <w:marRight w:val="0"/>
          <w:marTop w:val="0"/>
          <w:marBottom w:val="0"/>
          <w:divBdr>
            <w:top w:val="none" w:sz="0" w:space="0" w:color="auto"/>
            <w:left w:val="none" w:sz="0" w:space="0" w:color="auto"/>
            <w:bottom w:val="none" w:sz="0" w:space="0" w:color="auto"/>
            <w:right w:val="none" w:sz="0" w:space="0" w:color="auto"/>
          </w:divBdr>
        </w:div>
      </w:divsChild>
    </w:div>
    <w:div w:id="1683697878">
      <w:bodyDiv w:val="1"/>
      <w:marLeft w:val="0"/>
      <w:marRight w:val="0"/>
      <w:marTop w:val="0"/>
      <w:marBottom w:val="0"/>
      <w:divBdr>
        <w:top w:val="none" w:sz="0" w:space="0" w:color="auto"/>
        <w:left w:val="none" w:sz="0" w:space="0" w:color="auto"/>
        <w:bottom w:val="none" w:sz="0" w:space="0" w:color="auto"/>
        <w:right w:val="none" w:sz="0" w:space="0" w:color="auto"/>
      </w:divBdr>
    </w:div>
    <w:div w:id="1775174135">
      <w:bodyDiv w:val="1"/>
      <w:marLeft w:val="0"/>
      <w:marRight w:val="0"/>
      <w:marTop w:val="0"/>
      <w:marBottom w:val="0"/>
      <w:divBdr>
        <w:top w:val="none" w:sz="0" w:space="0" w:color="auto"/>
        <w:left w:val="none" w:sz="0" w:space="0" w:color="auto"/>
        <w:bottom w:val="none" w:sz="0" w:space="0" w:color="auto"/>
        <w:right w:val="none" w:sz="0" w:space="0" w:color="auto"/>
      </w:divBdr>
    </w:div>
    <w:div w:id="1793092631">
      <w:bodyDiv w:val="1"/>
      <w:marLeft w:val="0"/>
      <w:marRight w:val="0"/>
      <w:marTop w:val="0"/>
      <w:marBottom w:val="0"/>
      <w:divBdr>
        <w:top w:val="none" w:sz="0" w:space="0" w:color="auto"/>
        <w:left w:val="none" w:sz="0" w:space="0" w:color="auto"/>
        <w:bottom w:val="none" w:sz="0" w:space="0" w:color="auto"/>
        <w:right w:val="none" w:sz="0" w:space="0" w:color="auto"/>
      </w:divBdr>
    </w:div>
    <w:div w:id="1814132343">
      <w:bodyDiv w:val="1"/>
      <w:marLeft w:val="0"/>
      <w:marRight w:val="0"/>
      <w:marTop w:val="0"/>
      <w:marBottom w:val="0"/>
      <w:divBdr>
        <w:top w:val="none" w:sz="0" w:space="0" w:color="auto"/>
        <w:left w:val="none" w:sz="0" w:space="0" w:color="auto"/>
        <w:bottom w:val="none" w:sz="0" w:space="0" w:color="auto"/>
        <w:right w:val="none" w:sz="0" w:space="0" w:color="auto"/>
      </w:divBdr>
      <w:divsChild>
        <w:div w:id="863716138">
          <w:marLeft w:val="0"/>
          <w:marRight w:val="0"/>
          <w:marTop w:val="0"/>
          <w:marBottom w:val="0"/>
          <w:divBdr>
            <w:top w:val="none" w:sz="0" w:space="0" w:color="auto"/>
            <w:left w:val="none" w:sz="0" w:space="0" w:color="auto"/>
            <w:bottom w:val="none" w:sz="0" w:space="0" w:color="auto"/>
            <w:right w:val="none" w:sz="0" w:space="0" w:color="auto"/>
          </w:divBdr>
        </w:div>
        <w:div w:id="1265378863">
          <w:marLeft w:val="0"/>
          <w:marRight w:val="0"/>
          <w:marTop w:val="0"/>
          <w:marBottom w:val="0"/>
          <w:divBdr>
            <w:top w:val="none" w:sz="0" w:space="0" w:color="auto"/>
            <w:left w:val="none" w:sz="0" w:space="0" w:color="auto"/>
            <w:bottom w:val="none" w:sz="0" w:space="0" w:color="auto"/>
            <w:right w:val="none" w:sz="0" w:space="0" w:color="auto"/>
          </w:divBdr>
        </w:div>
      </w:divsChild>
    </w:div>
    <w:div w:id="1816874683">
      <w:bodyDiv w:val="1"/>
      <w:marLeft w:val="0"/>
      <w:marRight w:val="0"/>
      <w:marTop w:val="0"/>
      <w:marBottom w:val="0"/>
      <w:divBdr>
        <w:top w:val="none" w:sz="0" w:space="0" w:color="auto"/>
        <w:left w:val="none" w:sz="0" w:space="0" w:color="auto"/>
        <w:bottom w:val="none" w:sz="0" w:space="0" w:color="auto"/>
        <w:right w:val="none" w:sz="0" w:space="0" w:color="auto"/>
      </w:divBdr>
    </w:div>
    <w:div w:id="1844738661">
      <w:bodyDiv w:val="1"/>
      <w:marLeft w:val="0"/>
      <w:marRight w:val="0"/>
      <w:marTop w:val="0"/>
      <w:marBottom w:val="0"/>
      <w:divBdr>
        <w:top w:val="none" w:sz="0" w:space="0" w:color="auto"/>
        <w:left w:val="none" w:sz="0" w:space="0" w:color="auto"/>
        <w:bottom w:val="none" w:sz="0" w:space="0" w:color="auto"/>
        <w:right w:val="none" w:sz="0" w:space="0" w:color="auto"/>
      </w:divBdr>
    </w:div>
    <w:div w:id="1894153426">
      <w:bodyDiv w:val="1"/>
      <w:marLeft w:val="0"/>
      <w:marRight w:val="0"/>
      <w:marTop w:val="0"/>
      <w:marBottom w:val="0"/>
      <w:divBdr>
        <w:top w:val="none" w:sz="0" w:space="0" w:color="auto"/>
        <w:left w:val="none" w:sz="0" w:space="0" w:color="auto"/>
        <w:bottom w:val="none" w:sz="0" w:space="0" w:color="auto"/>
        <w:right w:val="none" w:sz="0" w:space="0" w:color="auto"/>
      </w:divBdr>
      <w:divsChild>
        <w:div w:id="1178346982">
          <w:marLeft w:val="547"/>
          <w:marRight w:val="0"/>
          <w:marTop w:val="0"/>
          <w:marBottom w:val="0"/>
          <w:divBdr>
            <w:top w:val="none" w:sz="0" w:space="0" w:color="auto"/>
            <w:left w:val="none" w:sz="0" w:space="0" w:color="auto"/>
            <w:bottom w:val="none" w:sz="0" w:space="0" w:color="auto"/>
            <w:right w:val="none" w:sz="0" w:space="0" w:color="auto"/>
          </w:divBdr>
        </w:div>
      </w:divsChild>
    </w:div>
    <w:div w:id="1901357299">
      <w:bodyDiv w:val="1"/>
      <w:marLeft w:val="0"/>
      <w:marRight w:val="0"/>
      <w:marTop w:val="0"/>
      <w:marBottom w:val="0"/>
      <w:divBdr>
        <w:top w:val="none" w:sz="0" w:space="0" w:color="auto"/>
        <w:left w:val="none" w:sz="0" w:space="0" w:color="auto"/>
        <w:bottom w:val="none" w:sz="0" w:space="0" w:color="auto"/>
        <w:right w:val="none" w:sz="0" w:space="0" w:color="auto"/>
      </w:divBdr>
    </w:div>
    <w:div w:id="1943806507">
      <w:bodyDiv w:val="1"/>
      <w:marLeft w:val="0"/>
      <w:marRight w:val="0"/>
      <w:marTop w:val="0"/>
      <w:marBottom w:val="0"/>
      <w:divBdr>
        <w:top w:val="none" w:sz="0" w:space="0" w:color="auto"/>
        <w:left w:val="none" w:sz="0" w:space="0" w:color="auto"/>
        <w:bottom w:val="none" w:sz="0" w:space="0" w:color="auto"/>
        <w:right w:val="none" w:sz="0" w:space="0" w:color="auto"/>
      </w:divBdr>
    </w:div>
    <w:div w:id="1955868724">
      <w:bodyDiv w:val="1"/>
      <w:marLeft w:val="0"/>
      <w:marRight w:val="0"/>
      <w:marTop w:val="0"/>
      <w:marBottom w:val="0"/>
      <w:divBdr>
        <w:top w:val="none" w:sz="0" w:space="0" w:color="auto"/>
        <w:left w:val="none" w:sz="0" w:space="0" w:color="auto"/>
        <w:bottom w:val="none" w:sz="0" w:space="0" w:color="auto"/>
        <w:right w:val="none" w:sz="0" w:space="0" w:color="auto"/>
      </w:divBdr>
    </w:div>
    <w:div w:id="1967545896">
      <w:bodyDiv w:val="1"/>
      <w:marLeft w:val="0"/>
      <w:marRight w:val="0"/>
      <w:marTop w:val="0"/>
      <w:marBottom w:val="0"/>
      <w:divBdr>
        <w:top w:val="none" w:sz="0" w:space="0" w:color="auto"/>
        <w:left w:val="none" w:sz="0" w:space="0" w:color="auto"/>
        <w:bottom w:val="none" w:sz="0" w:space="0" w:color="auto"/>
        <w:right w:val="none" w:sz="0" w:space="0" w:color="auto"/>
      </w:divBdr>
      <w:divsChild>
        <w:div w:id="288439310">
          <w:marLeft w:val="0"/>
          <w:marRight w:val="0"/>
          <w:marTop w:val="0"/>
          <w:marBottom w:val="120"/>
          <w:divBdr>
            <w:top w:val="none" w:sz="0" w:space="0" w:color="auto"/>
            <w:left w:val="none" w:sz="0" w:space="0" w:color="auto"/>
            <w:bottom w:val="none" w:sz="0" w:space="0" w:color="auto"/>
            <w:right w:val="none" w:sz="0" w:space="0" w:color="auto"/>
          </w:divBdr>
          <w:divsChild>
            <w:div w:id="616836687">
              <w:marLeft w:val="0"/>
              <w:marRight w:val="0"/>
              <w:marTop w:val="0"/>
              <w:marBottom w:val="0"/>
              <w:divBdr>
                <w:top w:val="none" w:sz="0" w:space="0" w:color="auto"/>
                <w:left w:val="none" w:sz="0" w:space="0" w:color="auto"/>
                <w:bottom w:val="none" w:sz="0" w:space="0" w:color="auto"/>
                <w:right w:val="none" w:sz="0" w:space="0" w:color="auto"/>
              </w:divBdr>
            </w:div>
          </w:divsChild>
        </w:div>
        <w:div w:id="2036685391">
          <w:marLeft w:val="0"/>
          <w:marRight w:val="0"/>
          <w:marTop w:val="0"/>
          <w:marBottom w:val="120"/>
          <w:divBdr>
            <w:top w:val="none" w:sz="0" w:space="0" w:color="auto"/>
            <w:left w:val="none" w:sz="0" w:space="0" w:color="auto"/>
            <w:bottom w:val="none" w:sz="0" w:space="0" w:color="auto"/>
            <w:right w:val="none" w:sz="0" w:space="0" w:color="auto"/>
          </w:divBdr>
          <w:divsChild>
            <w:div w:id="10964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5332">
      <w:bodyDiv w:val="1"/>
      <w:marLeft w:val="0"/>
      <w:marRight w:val="0"/>
      <w:marTop w:val="0"/>
      <w:marBottom w:val="0"/>
      <w:divBdr>
        <w:top w:val="none" w:sz="0" w:space="0" w:color="auto"/>
        <w:left w:val="none" w:sz="0" w:space="0" w:color="auto"/>
        <w:bottom w:val="none" w:sz="0" w:space="0" w:color="auto"/>
        <w:right w:val="none" w:sz="0" w:space="0" w:color="auto"/>
      </w:divBdr>
    </w:div>
    <w:div w:id="2002271387">
      <w:bodyDiv w:val="1"/>
      <w:marLeft w:val="0"/>
      <w:marRight w:val="0"/>
      <w:marTop w:val="0"/>
      <w:marBottom w:val="0"/>
      <w:divBdr>
        <w:top w:val="none" w:sz="0" w:space="0" w:color="auto"/>
        <w:left w:val="none" w:sz="0" w:space="0" w:color="auto"/>
        <w:bottom w:val="none" w:sz="0" w:space="0" w:color="auto"/>
        <w:right w:val="none" w:sz="0" w:space="0" w:color="auto"/>
      </w:divBdr>
    </w:div>
    <w:div w:id="2019502012">
      <w:bodyDiv w:val="1"/>
      <w:marLeft w:val="0"/>
      <w:marRight w:val="0"/>
      <w:marTop w:val="0"/>
      <w:marBottom w:val="0"/>
      <w:divBdr>
        <w:top w:val="none" w:sz="0" w:space="0" w:color="auto"/>
        <w:left w:val="none" w:sz="0" w:space="0" w:color="auto"/>
        <w:bottom w:val="none" w:sz="0" w:space="0" w:color="auto"/>
        <w:right w:val="none" w:sz="0" w:space="0" w:color="auto"/>
      </w:divBdr>
      <w:divsChild>
        <w:div w:id="1062871873">
          <w:marLeft w:val="547"/>
          <w:marRight w:val="0"/>
          <w:marTop w:val="0"/>
          <w:marBottom w:val="0"/>
          <w:divBdr>
            <w:top w:val="none" w:sz="0" w:space="0" w:color="auto"/>
            <w:left w:val="none" w:sz="0" w:space="0" w:color="auto"/>
            <w:bottom w:val="none" w:sz="0" w:space="0" w:color="auto"/>
            <w:right w:val="none" w:sz="0" w:space="0" w:color="auto"/>
          </w:divBdr>
        </w:div>
        <w:div w:id="1409225393">
          <w:marLeft w:val="547"/>
          <w:marRight w:val="0"/>
          <w:marTop w:val="0"/>
          <w:marBottom w:val="0"/>
          <w:divBdr>
            <w:top w:val="none" w:sz="0" w:space="0" w:color="auto"/>
            <w:left w:val="none" w:sz="0" w:space="0" w:color="auto"/>
            <w:bottom w:val="none" w:sz="0" w:space="0" w:color="auto"/>
            <w:right w:val="none" w:sz="0" w:space="0" w:color="auto"/>
          </w:divBdr>
        </w:div>
        <w:div w:id="1869833368">
          <w:marLeft w:val="547"/>
          <w:marRight w:val="0"/>
          <w:marTop w:val="0"/>
          <w:marBottom w:val="0"/>
          <w:divBdr>
            <w:top w:val="none" w:sz="0" w:space="0" w:color="auto"/>
            <w:left w:val="none" w:sz="0" w:space="0" w:color="auto"/>
            <w:bottom w:val="none" w:sz="0" w:space="0" w:color="auto"/>
            <w:right w:val="none" w:sz="0" w:space="0" w:color="auto"/>
          </w:divBdr>
        </w:div>
      </w:divsChild>
    </w:div>
    <w:div w:id="2031374590">
      <w:bodyDiv w:val="1"/>
      <w:marLeft w:val="0"/>
      <w:marRight w:val="0"/>
      <w:marTop w:val="0"/>
      <w:marBottom w:val="0"/>
      <w:divBdr>
        <w:top w:val="none" w:sz="0" w:space="0" w:color="auto"/>
        <w:left w:val="none" w:sz="0" w:space="0" w:color="auto"/>
        <w:bottom w:val="none" w:sz="0" w:space="0" w:color="auto"/>
        <w:right w:val="none" w:sz="0" w:space="0" w:color="auto"/>
      </w:divBdr>
      <w:divsChild>
        <w:div w:id="1674533514">
          <w:marLeft w:val="0"/>
          <w:marRight w:val="0"/>
          <w:marTop w:val="0"/>
          <w:marBottom w:val="0"/>
          <w:divBdr>
            <w:top w:val="none" w:sz="0" w:space="0" w:color="auto"/>
            <w:left w:val="none" w:sz="0" w:space="0" w:color="auto"/>
            <w:bottom w:val="none" w:sz="0" w:space="0" w:color="auto"/>
            <w:right w:val="none" w:sz="0" w:space="0" w:color="auto"/>
          </w:divBdr>
          <w:divsChild>
            <w:div w:id="1256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8480">
      <w:bodyDiv w:val="1"/>
      <w:marLeft w:val="0"/>
      <w:marRight w:val="0"/>
      <w:marTop w:val="0"/>
      <w:marBottom w:val="0"/>
      <w:divBdr>
        <w:top w:val="none" w:sz="0" w:space="0" w:color="auto"/>
        <w:left w:val="none" w:sz="0" w:space="0" w:color="auto"/>
        <w:bottom w:val="none" w:sz="0" w:space="0" w:color="auto"/>
        <w:right w:val="none" w:sz="0" w:space="0" w:color="auto"/>
      </w:divBdr>
    </w:div>
    <w:div w:id="2109347365">
      <w:bodyDiv w:val="1"/>
      <w:marLeft w:val="0"/>
      <w:marRight w:val="0"/>
      <w:marTop w:val="0"/>
      <w:marBottom w:val="0"/>
      <w:divBdr>
        <w:top w:val="none" w:sz="0" w:space="0" w:color="auto"/>
        <w:left w:val="none" w:sz="0" w:space="0" w:color="auto"/>
        <w:bottom w:val="none" w:sz="0" w:space="0" w:color="auto"/>
        <w:right w:val="none" w:sz="0" w:space="0" w:color="auto"/>
      </w:divBdr>
    </w:div>
    <w:div w:id="2121145073">
      <w:bodyDiv w:val="1"/>
      <w:marLeft w:val="0"/>
      <w:marRight w:val="0"/>
      <w:marTop w:val="0"/>
      <w:marBottom w:val="0"/>
      <w:divBdr>
        <w:top w:val="none" w:sz="0" w:space="0" w:color="auto"/>
        <w:left w:val="none" w:sz="0" w:space="0" w:color="auto"/>
        <w:bottom w:val="none" w:sz="0" w:space="0" w:color="auto"/>
        <w:right w:val="none" w:sz="0" w:space="0" w:color="auto"/>
      </w:divBdr>
    </w:div>
    <w:div w:id="21430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en.wikipedia.org/wiki/Ledger" TargetMode="External"/><Relationship Id="rId39" Type="http://schemas.openxmlformats.org/officeDocument/2006/relationships/hyperlink" Target="https://legilux.public.lu/eli/etat/leg/loi/2020/06/18/a504/jo" TargetMode="Externa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image" Target="media/image5.png"/><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nvestopedia.com/terms/e/equity.asp" TargetMode="External"/><Relationship Id="rId33" Type="http://schemas.openxmlformats.org/officeDocument/2006/relationships/image" Target="media/image4.png"/><Relationship Id="rId38" Type="http://schemas.openxmlformats.org/officeDocument/2006/relationships/hyperlink" Target="https://legilux.public.lu/eli/etat/leg/loi/2015/12/18/n4/jo" TargetMode="Externa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Data" Target="diagrams/data1.xml"/><Relationship Id="rId29" Type="http://schemas.openxmlformats.org/officeDocument/2006/relationships/hyperlink" Target="https://en.wikipedia.org/wiki/Title_(property)" TargetMode="External"/><Relationship Id="rId41" Type="http://schemas.openxmlformats.org/officeDocument/2006/relationships/hyperlink" Target="https://www.oecd.org/tax/exchange-of-tax-information/CRS-related-FAQ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07/relationships/diagramDrawing" Target="diagrams/drawing1.xml"/><Relationship Id="rId32" Type="http://schemas.openxmlformats.org/officeDocument/2006/relationships/hyperlink" Target="https://en.wikipedia.org/wiki/Bitcoin" TargetMode="External"/><Relationship Id="rId37" Type="http://schemas.openxmlformats.org/officeDocument/2006/relationships/hyperlink" Target="https://www.impots.gouv.fr/portail/www2/precis/precis.html?ancre=ref-9384-2" TargetMode="External"/><Relationship Id="rId40" Type="http://schemas.openxmlformats.org/officeDocument/2006/relationships/hyperlink" Target="https://data.legilux.public.lu/file2/2020-03-03/66"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Colors" Target="diagrams/colors1.xml"/><Relationship Id="rId28" Type="http://schemas.openxmlformats.org/officeDocument/2006/relationships/hyperlink" Target="https://en.wikipedia.org/wiki/Certificate_of_authenticity" TargetMode="External"/><Relationship Id="rId36" Type="http://schemas.openxmlformats.org/officeDocument/2006/relationships/image" Target="media/image7.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en.wikipedia.org/wiki/Cryptocurrencies"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QuickStyle" Target="diagrams/quickStyle1.xml"/><Relationship Id="rId27" Type="http://schemas.openxmlformats.org/officeDocument/2006/relationships/hyperlink" Target="https://en.wikipedia.org/wiki/Blockchain" TargetMode="External"/><Relationship Id="rId30" Type="http://schemas.openxmlformats.org/officeDocument/2006/relationships/hyperlink" Target="https://en.wikipedia.org/wiki/Fungibility" TargetMode="External"/><Relationship Id="rId35" Type="http://schemas.openxmlformats.org/officeDocument/2006/relationships/image" Target="media/image6.png"/><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news/en/headlines/economy/20160707STO36204/tax-fraud-75-of-europeans-want-eu-to-do-more-to-fight-it" TargetMode="External"/><Relationship Id="rId7" Type="http://schemas.openxmlformats.org/officeDocument/2006/relationships/hyperlink" Target="https://www.eca.europa.eu/Lists/ECADocuments/SR21_03/SR_Exchange_tax_inform_EN.pdf" TargetMode="External"/><Relationship Id="rId2" Type="http://schemas.openxmlformats.org/officeDocument/2006/relationships/hyperlink" Target="https://ec.europa.eu/taxation_customs/system/files/2018-04/directive_2014_107_eu_en.pdf" TargetMode="External"/><Relationship Id="rId1" Type="http://schemas.openxmlformats.org/officeDocument/2006/relationships/hyperlink" Target="https://coinmarketcap.com/de/largest-companies/" TargetMode="External"/><Relationship Id="rId6" Type="http://schemas.openxmlformats.org/officeDocument/2006/relationships/hyperlink" Target="https://www.europarl.europa.eu/doceo/document/TA-9-2021-0392_EN.pdf" TargetMode="External"/><Relationship Id="rId5" Type="http://schemas.openxmlformats.org/officeDocument/2006/relationships/hyperlink" Target="https://ec.europa.eu/transparency/regexpert/index.cfm?do=groupDetail.groupDetail&amp;groupID=953&amp;NewSearch=1&amp;NewSearch=1" TargetMode="External"/><Relationship Id="rId4" Type="http://schemas.openxmlformats.org/officeDocument/2006/relationships/hyperlink" Target="https://ec.europa.eu/info/law/better-regulation/have-your-say/initiatives/12632-Tax-fraud-evasion-strengthening-rules-on-administrative-cooperation-and-expanding-the-exchange-of-information_en"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57565F-F8DE-40A5-B4DC-599B942C60BE}" type="doc">
      <dgm:prSet loTypeId="urn:microsoft.com/office/officeart/2005/8/layout/process3" loCatId="process" qsTypeId="urn:microsoft.com/office/officeart/2005/8/quickstyle/3d4" qsCatId="3D" csTypeId="urn:microsoft.com/office/officeart/2005/8/colors/colorful4" csCatId="colorful" phldr="1"/>
      <dgm:spPr/>
      <dgm:t>
        <a:bodyPr/>
        <a:lstStyle/>
        <a:p>
          <a:endParaRPr lang="en-US"/>
        </a:p>
      </dgm:t>
    </dgm:pt>
    <dgm:pt modelId="{C8FCEF53-75C8-4881-B5F7-4218E2B18980}">
      <dgm:prSet phldrT="[Text]"/>
      <dgm:spPr/>
      <dgm:t>
        <a:bodyPr/>
        <a:lstStyle/>
        <a:p>
          <a:r>
            <a:rPr lang="en-US" b="1"/>
            <a:t>CASPs in MS A</a:t>
          </a:r>
        </a:p>
      </dgm:t>
    </dgm:pt>
    <dgm:pt modelId="{59C86090-7D9E-437B-8273-DE5547A6E55C}" type="parTrans" cxnId="{35523EE0-38EE-4CF7-A24D-C40D623F3421}">
      <dgm:prSet/>
      <dgm:spPr/>
      <dgm:t>
        <a:bodyPr/>
        <a:lstStyle/>
        <a:p>
          <a:endParaRPr lang="en-US"/>
        </a:p>
      </dgm:t>
    </dgm:pt>
    <dgm:pt modelId="{1C81A242-BCB5-4B4C-810E-54CDE04FACF1}" type="sibTrans" cxnId="{35523EE0-38EE-4CF7-A24D-C40D623F3421}">
      <dgm:prSet/>
      <dgm:spPr/>
      <dgm:t>
        <a:bodyPr/>
        <a:lstStyle/>
        <a:p>
          <a:endParaRPr lang="en-US"/>
        </a:p>
      </dgm:t>
    </dgm:pt>
    <dgm:pt modelId="{0DBF58B7-F32E-4C23-9538-730B2CD76A6B}">
      <dgm:prSet phldrT="[Text]"/>
      <dgm:spPr/>
      <dgm:t>
        <a:bodyPr/>
        <a:lstStyle/>
        <a:p>
          <a:r>
            <a:rPr lang="en-US"/>
            <a:t>collects information </a:t>
          </a:r>
          <a:r>
            <a:rPr lang="en-US">
              <a:solidFill>
                <a:schemeClr val="tx1"/>
              </a:solidFill>
            </a:rPr>
            <a:t>on</a:t>
          </a:r>
          <a:r>
            <a:rPr lang="en-US">
              <a:solidFill>
                <a:srgbClr val="FF0000"/>
              </a:solidFill>
            </a:rPr>
            <a:t> </a:t>
          </a:r>
          <a:r>
            <a:rPr lang="en-US">
              <a:solidFill>
                <a:schemeClr val="tx1"/>
              </a:solidFill>
            </a:rPr>
            <a:t>revenues/gains made </a:t>
          </a:r>
          <a:r>
            <a:rPr lang="en-US"/>
            <a:t>by users</a:t>
          </a:r>
        </a:p>
      </dgm:t>
    </dgm:pt>
    <dgm:pt modelId="{F1B5E0A9-36B5-49DB-BEC5-01CD3D568290}" type="parTrans" cxnId="{A7595E4B-29FA-444F-A0BA-9E5D798E6C98}">
      <dgm:prSet/>
      <dgm:spPr/>
      <dgm:t>
        <a:bodyPr/>
        <a:lstStyle/>
        <a:p>
          <a:endParaRPr lang="en-US"/>
        </a:p>
      </dgm:t>
    </dgm:pt>
    <dgm:pt modelId="{35609684-D625-4007-BB14-2C2DE684BA54}" type="sibTrans" cxnId="{A7595E4B-29FA-444F-A0BA-9E5D798E6C98}">
      <dgm:prSet/>
      <dgm:spPr/>
      <dgm:t>
        <a:bodyPr/>
        <a:lstStyle/>
        <a:p>
          <a:endParaRPr lang="en-US"/>
        </a:p>
      </dgm:t>
    </dgm:pt>
    <dgm:pt modelId="{81245939-3081-43AE-916A-829744E2AB72}">
      <dgm:prSet phldrT="[Text]"/>
      <dgm:spPr/>
      <dgm:t>
        <a:bodyPr/>
        <a:lstStyle/>
        <a:p>
          <a:r>
            <a:rPr lang="en-US" b="1"/>
            <a:t>MS A</a:t>
          </a:r>
        </a:p>
      </dgm:t>
    </dgm:pt>
    <dgm:pt modelId="{0F4E5070-4C3E-4D27-9CBD-44AA63655C9E}" type="parTrans" cxnId="{4CDAD820-19B5-406D-AC10-8E2F843EF456}">
      <dgm:prSet/>
      <dgm:spPr/>
      <dgm:t>
        <a:bodyPr/>
        <a:lstStyle/>
        <a:p>
          <a:endParaRPr lang="en-US"/>
        </a:p>
      </dgm:t>
    </dgm:pt>
    <dgm:pt modelId="{07449300-DE0C-4215-9583-0527B33E8207}" type="sibTrans" cxnId="{4CDAD820-19B5-406D-AC10-8E2F843EF456}">
      <dgm:prSet/>
      <dgm:spPr/>
      <dgm:t>
        <a:bodyPr/>
        <a:lstStyle/>
        <a:p>
          <a:endParaRPr lang="en-US"/>
        </a:p>
      </dgm:t>
    </dgm:pt>
    <dgm:pt modelId="{151EC393-D8D1-43F9-8AFC-A373CFCF33A3}">
      <dgm:prSet phldrT="[Text]"/>
      <dgm:spPr/>
      <dgm:t>
        <a:bodyPr/>
        <a:lstStyle/>
        <a:p>
          <a:r>
            <a:rPr lang="en-US"/>
            <a:t>sorts information per MS of residence</a:t>
          </a:r>
        </a:p>
      </dgm:t>
    </dgm:pt>
    <dgm:pt modelId="{808B8540-3F10-492E-B25A-219E7213BF4B}" type="parTrans" cxnId="{BD9F64B1-1D74-4F06-8F0D-5CA38C957A83}">
      <dgm:prSet/>
      <dgm:spPr/>
      <dgm:t>
        <a:bodyPr/>
        <a:lstStyle/>
        <a:p>
          <a:endParaRPr lang="en-US"/>
        </a:p>
      </dgm:t>
    </dgm:pt>
    <dgm:pt modelId="{6A3953DF-4DCD-447D-90CD-CA9A7C9A512B}" type="sibTrans" cxnId="{BD9F64B1-1D74-4F06-8F0D-5CA38C957A83}">
      <dgm:prSet/>
      <dgm:spPr/>
      <dgm:t>
        <a:bodyPr/>
        <a:lstStyle/>
        <a:p>
          <a:endParaRPr lang="en-US"/>
        </a:p>
      </dgm:t>
    </dgm:pt>
    <dgm:pt modelId="{6BDC4CAB-7AA4-4042-836F-4C18AB268B09}">
      <dgm:prSet phldrT="[Text]"/>
      <dgm:spPr/>
      <dgm:t>
        <a:bodyPr/>
        <a:lstStyle/>
        <a:p>
          <a:r>
            <a:rPr lang="en-US" b="1"/>
            <a:t>User's MS of residence</a:t>
          </a:r>
        </a:p>
      </dgm:t>
    </dgm:pt>
    <dgm:pt modelId="{5C86390C-D62C-4CF0-A607-18B4DDE9DE33}" type="parTrans" cxnId="{A2FF168A-039B-4462-9EDE-5A019DC214FE}">
      <dgm:prSet/>
      <dgm:spPr/>
      <dgm:t>
        <a:bodyPr/>
        <a:lstStyle/>
        <a:p>
          <a:endParaRPr lang="en-US"/>
        </a:p>
      </dgm:t>
    </dgm:pt>
    <dgm:pt modelId="{FD24E1E7-8626-4A72-9D29-22D5334651E2}" type="sibTrans" cxnId="{A2FF168A-039B-4462-9EDE-5A019DC214FE}">
      <dgm:prSet/>
      <dgm:spPr/>
      <dgm:t>
        <a:bodyPr/>
        <a:lstStyle/>
        <a:p>
          <a:endParaRPr lang="en-US"/>
        </a:p>
      </dgm:t>
    </dgm:pt>
    <dgm:pt modelId="{C86A5623-E703-474E-987F-DA2D02EBFFFB}">
      <dgm:prSet phldrT="[Text]"/>
      <dgm:spPr/>
      <dgm:t>
        <a:bodyPr/>
        <a:lstStyle/>
        <a:p>
          <a:r>
            <a:rPr lang="en-US"/>
            <a:t>receives the information</a:t>
          </a:r>
        </a:p>
      </dgm:t>
    </dgm:pt>
    <dgm:pt modelId="{A6DB0005-EE3E-4144-A71D-79E7A21155F1}" type="parTrans" cxnId="{04D53289-1549-450C-B943-FA26C9D07D7C}">
      <dgm:prSet/>
      <dgm:spPr/>
      <dgm:t>
        <a:bodyPr/>
        <a:lstStyle/>
        <a:p>
          <a:endParaRPr lang="en-US"/>
        </a:p>
      </dgm:t>
    </dgm:pt>
    <dgm:pt modelId="{649F9451-FD21-4148-B370-9AB32986AEFB}" type="sibTrans" cxnId="{04D53289-1549-450C-B943-FA26C9D07D7C}">
      <dgm:prSet/>
      <dgm:spPr/>
      <dgm:t>
        <a:bodyPr/>
        <a:lstStyle/>
        <a:p>
          <a:endParaRPr lang="en-US"/>
        </a:p>
      </dgm:t>
    </dgm:pt>
    <dgm:pt modelId="{1F71869C-0DA5-4B5F-8B04-50E248ED5439}">
      <dgm:prSet phldrT="[Text]"/>
      <dgm:spPr/>
      <dgm:t>
        <a:bodyPr/>
        <a:lstStyle/>
        <a:p>
          <a:r>
            <a:rPr lang="en-US"/>
            <a:t>sends it to MS A's tax administration </a:t>
          </a:r>
        </a:p>
      </dgm:t>
    </dgm:pt>
    <dgm:pt modelId="{DA533D06-F211-475C-9BA3-2798387E6E87}" type="parTrans" cxnId="{F7D1DF1C-7269-401B-B519-D7D65394EF06}">
      <dgm:prSet/>
      <dgm:spPr/>
      <dgm:t>
        <a:bodyPr/>
        <a:lstStyle/>
        <a:p>
          <a:endParaRPr lang="en-US"/>
        </a:p>
      </dgm:t>
    </dgm:pt>
    <dgm:pt modelId="{E4BF6BA1-6658-4361-8A31-E1058D244032}" type="sibTrans" cxnId="{F7D1DF1C-7269-401B-B519-D7D65394EF06}">
      <dgm:prSet/>
      <dgm:spPr/>
      <dgm:t>
        <a:bodyPr/>
        <a:lstStyle/>
        <a:p>
          <a:endParaRPr lang="en-US"/>
        </a:p>
      </dgm:t>
    </dgm:pt>
    <dgm:pt modelId="{774AA5D8-E285-4A9A-B4FA-686E7BDDAE4D}">
      <dgm:prSet phldrT="[Text]"/>
      <dgm:spPr/>
      <dgm:t>
        <a:bodyPr/>
        <a:lstStyle/>
        <a:p>
          <a:r>
            <a:rPr lang="en-US"/>
            <a:t>risk analysis</a:t>
          </a:r>
        </a:p>
      </dgm:t>
    </dgm:pt>
    <dgm:pt modelId="{BACE5123-B027-4860-903C-ED986B2B91A2}" type="parTrans" cxnId="{9D6A596D-D3F9-4FB9-8A05-5734CFF2FB8C}">
      <dgm:prSet/>
      <dgm:spPr/>
      <dgm:t>
        <a:bodyPr/>
        <a:lstStyle/>
        <a:p>
          <a:endParaRPr lang="en-US"/>
        </a:p>
      </dgm:t>
    </dgm:pt>
    <dgm:pt modelId="{607E05DD-91D7-4F5F-A33E-B811148D192A}" type="sibTrans" cxnId="{9D6A596D-D3F9-4FB9-8A05-5734CFF2FB8C}">
      <dgm:prSet/>
      <dgm:spPr/>
      <dgm:t>
        <a:bodyPr/>
        <a:lstStyle/>
        <a:p>
          <a:endParaRPr lang="en-US"/>
        </a:p>
      </dgm:t>
    </dgm:pt>
    <dgm:pt modelId="{5D3B5331-10CC-40BE-A40F-44A81EA7F7FC}">
      <dgm:prSet phldrT="[Text]"/>
      <dgm:spPr/>
      <dgm:t>
        <a:bodyPr/>
        <a:lstStyle/>
        <a:p>
          <a:r>
            <a:rPr lang="en-US"/>
            <a:t>compliance activities</a:t>
          </a:r>
        </a:p>
      </dgm:t>
    </dgm:pt>
    <dgm:pt modelId="{340765F6-9603-49A2-8D8C-408DD14B1D0C}" type="parTrans" cxnId="{D3D3970C-BF90-4B74-9A26-B2D88E151629}">
      <dgm:prSet/>
      <dgm:spPr/>
      <dgm:t>
        <a:bodyPr/>
        <a:lstStyle/>
        <a:p>
          <a:endParaRPr lang="en-US"/>
        </a:p>
      </dgm:t>
    </dgm:pt>
    <dgm:pt modelId="{B23E1580-7871-43AF-A663-7D552E7E4CAB}" type="sibTrans" cxnId="{D3D3970C-BF90-4B74-9A26-B2D88E151629}">
      <dgm:prSet/>
      <dgm:spPr/>
      <dgm:t>
        <a:bodyPr/>
        <a:lstStyle/>
        <a:p>
          <a:endParaRPr lang="en-US"/>
        </a:p>
      </dgm:t>
    </dgm:pt>
    <dgm:pt modelId="{B187AB15-95AF-4C07-97B5-4168B5CFCA8B}">
      <dgm:prSet phldrT="[Text]"/>
      <dgm:spPr/>
      <dgm:t>
        <a:bodyPr/>
        <a:lstStyle/>
        <a:p>
          <a:r>
            <a:rPr lang="en-US"/>
            <a:t>sends it to MS where user is tax resident</a:t>
          </a:r>
        </a:p>
      </dgm:t>
    </dgm:pt>
    <dgm:pt modelId="{2D567AF9-FB91-4689-9328-3B03FB1CE1B5}" type="parTrans" cxnId="{8F1824F0-6A8A-488C-9A3B-745AB0177A6F}">
      <dgm:prSet/>
      <dgm:spPr/>
      <dgm:t>
        <a:bodyPr/>
        <a:lstStyle/>
        <a:p>
          <a:endParaRPr lang="en-US"/>
        </a:p>
      </dgm:t>
    </dgm:pt>
    <dgm:pt modelId="{C59A8697-E03E-4A61-A33A-5E8DED8FE875}" type="sibTrans" cxnId="{8F1824F0-6A8A-488C-9A3B-745AB0177A6F}">
      <dgm:prSet/>
      <dgm:spPr/>
      <dgm:t>
        <a:bodyPr/>
        <a:lstStyle/>
        <a:p>
          <a:endParaRPr lang="en-US"/>
        </a:p>
      </dgm:t>
    </dgm:pt>
    <dgm:pt modelId="{8780434F-EBEE-4FC7-842A-778FAA0D4764}" type="pres">
      <dgm:prSet presAssocID="{EB57565F-F8DE-40A5-B4DC-599B942C60BE}" presName="linearFlow" presStyleCnt="0">
        <dgm:presLayoutVars>
          <dgm:dir/>
          <dgm:animLvl val="lvl"/>
          <dgm:resizeHandles val="exact"/>
        </dgm:presLayoutVars>
      </dgm:prSet>
      <dgm:spPr/>
      <dgm:t>
        <a:bodyPr/>
        <a:lstStyle/>
        <a:p>
          <a:endParaRPr lang="en-US"/>
        </a:p>
      </dgm:t>
    </dgm:pt>
    <dgm:pt modelId="{C2114401-A30E-40BC-A92E-62BBBED4AE55}" type="pres">
      <dgm:prSet presAssocID="{C8FCEF53-75C8-4881-B5F7-4218E2B18980}" presName="composite" presStyleCnt="0"/>
      <dgm:spPr/>
    </dgm:pt>
    <dgm:pt modelId="{C6BC017B-A9EF-46E9-BA21-17A59664B077}" type="pres">
      <dgm:prSet presAssocID="{C8FCEF53-75C8-4881-B5F7-4218E2B18980}" presName="parTx" presStyleLbl="node1" presStyleIdx="0" presStyleCnt="3">
        <dgm:presLayoutVars>
          <dgm:chMax val="0"/>
          <dgm:chPref val="0"/>
          <dgm:bulletEnabled val="1"/>
        </dgm:presLayoutVars>
      </dgm:prSet>
      <dgm:spPr/>
      <dgm:t>
        <a:bodyPr/>
        <a:lstStyle/>
        <a:p>
          <a:endParaRPr lang="en-US"/>
        </a:p>
      </dgm:t>
    </dgm:pt>
    <dgm:pt modelId="{A4EE3E9D-2FF5-4289-B4F6-BFEA77C8C1DA}" type="pres">
      <dgm:prSet presAssocID="{C8FCEF53-75C8-4881-B5F7-4218E2B18980}" presName="parSh" presStyleLbl="node1" presStyleIdx="0" presStyleCnt="3"/>
      <dgm:spPr/>
      <dgm:t>
        <a:bodyPr/>
        <a:lstStyle/>
        <a:p>
          <a:endParaRPr lang="en-US"/>
        </a:p>
      </dgm:t>
    </dgm:pt>
    <dgm:pt modelId="{B5867834-5B10-4A7E-AA0E-03948D06181C}" type="pres">
      <dgm:prSet presAssocID="{C8FCEF53-75C8-4881-B5F7-4218E2B18980}" presName="desTx" presStyleLbl="fgAcc1" presStyleIdx="0" presStyleCnt="3">
        <dgm:presLayoutVars>
          <dgm:bulletEnabled val="1"/>
        </dgm:presLayoutVars>
      </dgm:prSet>
      <dgm:spPr/>
      <dgm:t>
        <a:bodyPr/>
        <a:lstStyle/>
        <a:p>
          <a:endParaRPr lang="en-US"/>
        </a:p>
      </dgm:t>
    </dgm:pt>
    <dgm:pt modelId="{B601FB01-18F4-4DDD-A6AF-AC1CAEC1768E}" type="pres">
      <dgm:prSet presAssocID="{1C81A242-BCB5-4B4C-810E-54CDE04FACF1}" presName="sibTrans" presStyleLbl="sibTrans2D1" presStyleIdx="0" presStyleCnt="2"/>
      <dgm:spPr/>
      <dgm:t>
        <a:bodyPr/>
        <a:lstStyle/>
        <a:p>
          <a:endParaRPr lang="en-US"/>
        </a:p>
      </dgm:t>
    </dgm:pt>
    <dgm:pt modelId="{C82B076E-AE6B-493F-AA79-9A5254F447C0}" type="pres">
      <dgm:prSet presAssocID="{1C81A242-BCB5-4B4C-810E-54CDE04FACF1}" presName="connTx" presStyleLbl="sibTrans2D1" presStyleIdx="0" presStyleCnt="2"/>
      <dgm:spPr/>
      <dgm:t>
        <a:bodyPr/>
        <a:lstStyle/>
        <a:p>
          <a:endParaRPr lang="en-US"/>
        </a:p>
      </dgm:t>
    </dgm:pt>
    <dgm:pt modelId="{DC6EA19D-2826-4DAF-8B03-EE6E033BC7D2}" type="pres">
      <dgm:prSet presAssocID="{81245939-3081-43AE-916A-829744E2AB72}" presName="composite" presStyleCnt="0"/>
      <dgm:spPr/>
    </dgm:pt>
    <dgm:pt modelId="{50FC7A4A-8E9C-46E4-82B0-E35DABCD8195}" type="pres">
      <dgm:prSet presAssocID="{81245939-3081-43AE-916A-829744E2AB72}" presName="parTx" presStyleLbl="node1" presStyleIdx="0" presStyleCnt="3">
        <dgm:presLayoutVars>
          <dgm:chMax val="0"/>
          <dgm:chPref val="0"/>
          <dgm:bulletEnabled val="1"/>
        </dgm:presLayoutVars>
      </dgm:prSet>
      <dgm:spPr/>
      <dgm:t>
        <a:bodyPr/>
        <a:lstStyle/>
        <a:p>
          <a:endParaRPr lang="en-US"/>
        </a:p>
      </dgm:t>
    </dgm:pt>
    <dgm:pt modelId="{5131B0AE-DEE0-4BCB-A6BA-9285096EA650}" type="pres">
      <dgm:prSet presAssocID="{81245939-3081-43AE-916A-829744E2AB72}" presName="parSh" presStyleLbl="node1" presStyleIdx="1" presStyleCnt="3"/>
      <dgm:spPr/>
      <dgm:t>
        <a:bodyPr/>
        <a:lstStyle/>
        <a:p>
          <a:endParaRPr lang="en-US"/>
        </a:p>
      </dgm:t>
    </dgm:pt>
    <dgm:pt modelId="{F70CE3AC-9BA2-45D8-84BF-2788AE2CD761}" type="pres">
      <dgm:prSet presAssocID="{81245939-3081-43AE-916A-829744E2AB72}" presName="desTx" presStyleLbl="fgAcc1" presStyleIdx="1" presStyleCnt="3">
        <dgm:presLayoutVars>
          <dgm:bulletEnabled val="1"/>
        </dgm:presLayoutVars>
      </dgm:prSet>
      <dgm:spPr/>
      <dgm:t>
        <a:bodyPr/>
        <a:lstStyle/>
        <a:p>
          <a:endParaRPr lang="en-US"/>
        </a:p>
      </dgm:t>
    </dgm:pt>
    <dgm:pt modelId="{4ED2700D-F7E8-47DF-B105-F62FAB7D0DC7}" type="pres">
      <dgm:prSet presAssocID="{07449300-DE0C-4215-9583-0527B33E8207}" presName="sibTrans" presStyleLbl="sibTrans2D1" presStyleIdx="1" presStyleCnt="2"/>
      <dgm:spPr/>
      <dgm:t>
        <a:bodyPr/>
        <a:lstStyle/>
        <a:p>
          <a:endParaRPr lang="en-US"/>
        </a:p>
      </dgm:t>
    </dgm:pt>
    <dgm:pt modelId="{CF85EF93-7350-43CF-9034-2687C50DDAA2}" type="pres">
      <dgm:prSet presAssocID="{07449300-DE0C-4215-9583-0527B33E8207}" presName="connTx" presStyleLbl="sibTrans2D1" presStyleIdx="1" presStyleCnt="2"/>
      <dgm:spPr/>
      <dgm:t>
        <a:bodyPr/>
        <a:lstStyle/>
        <a:p>
          <a:endParaRPr lang="en-US"/>
        </a:p>
      </dgm:t>
    </dgm:pt>
    <dgm:pt modelId="{55B8A45C-5F94-4446-9886-F229E0930643}" type="pres">
      <dgm:prSet presAssocID="{6BDC4CAB-7AA4-4042-836F-4C18AB268B09}" presName="composite" presStyleCnt="0"/>
      <dgm:spPr/>
    </dgm:pt>
    <dgm:pt modelId="{A4210855-9D2C-428E-9F4D-527990709DE7}" type="pres">
      <dgm:prSet presAssocID="{6BDC4CAB-7AA4-4042-836F-4C18AB268B09}" presName="parTx" presStyleLbl="node1" presStyleIdx="1" presStyleCnt="3">
        <dgm:presLayoutVars>
          <dgm:chMax val="0"/>
          <dgm:chPref val="0"/>
          <dgm:bulletEnabled val="1"/>
        </dgm:presLayoutVars>
      </dgm:prSet>
      <dgm:spPr/>
      <dgm:t>
        <a:bodyPr/>
        <a:lstStyle/>
        <a:p>
          <a:endParaRPr lang="en-US"/>
        </a:p>
      </dgm:t>
    </dgm:pt>
    <dgm:pt modelId="{A1D03D3C-D508-4BE6-9204-DA428A0E91EC}" type="pres">
      <dgm:prSet presAssocID="{6BDC4CAB-7AA4-4042-836F-4C18AB268B09}" presName="parSh" presStyleLbl="node1" presStyleIdx="2" presStyleCnt="3"/>
      <dgm:spPr/>
      <dgm:t>
        <a:bodyPr/>
        <a:lstStyle/>
        <a:p>
          <a:endParaRPr lang="en-US"/>
        </a:p>
      </dgm:t>
    </dgm:pt>
    <dgm:pt modelId="{B099F741-6DE1-4478-9221-891B7200E341}" type="pres">
      <dgm:prSet presAssocID="{6BDC4CAB-7AA4-4042-836F-4C18AB268B09}" presName="desTx" presStyleLbl="fgAcc1" presStyleIdx="2" presStyleCnt="3">
        <dgm:presLayoutVars>
          <dgm:bulletEnabled val="1"/>
        </dgm:presLayoutVars>
      </dgm:prSet>
      <dgm:spPr/>
      <dgm:t>
        <a:bodyPr/>
        <a:lstStyle/>
        <a:p>
          <a:endParaRPr lang="en-US"/>
        </a:p>
      </dgm:t>
    </dgm:pt>
  </dgm:ptLst>
  <dgm:cxnLst>
    <dgm:cxn modelId="{8F1824F0-6A8A-488C-9A3B-745AB0177A6F}" srcId="{81245939-3081-43AE-916A-829744E2AB72}" destId="{B187AB15-95AF-4C07-97B5-4168B5CFCA8B}" srcOrd="1" destOrd="0" parTransId="{2D567AF9-FB91-4689-9328-3B03FB1CE1B5}" sibTransId="{C59A8697-E03E-4A61-A33A-5E8DED8FE875}"/>
    <dgm:cxn modelId="{F7D1DF1C-7269-401B-B519-D7D65394EF06}" srcId="{C8FCEF53-75C8-4881-B5F7-4218E2B18980}" destId="{1F71869C-0DA5-4B5F-8B04-50E248ED5439}" srcOrd="1" destOrd="0" parTransId="{DA533D06-F211-475C-9BA3-2798387E6E87}" sibTransId="{E4BF6BA1-6658-4361-8A31-E1058D244032}"/>
    <dgm:cxn modelId="{28FDBE76-B9C9-4D70-9F05-F4D0D3DBB704}" type="presOf" srcId="{6BDC4CAB-7AA4-4042-836F-4C18AB268B09}" destId="{A1D03D3C-D508-4BE6-9204-DA428A0E91EC}" srcOrd="1" destOrd="0" presId="urn:microsoft.com/office/officeart/2005/8/layout/process3"/>
    <dgm:cxn modelId="{892C8C28-8E5F-4267-AE32-E027F5AD964D}" type="presOf" srcId="{C8FCEF53-75C8-4881-B5F7-4218E2B18980}" destId="{A4EE3E9D-2FF5-4289-B4F6-BFEA77C8C1DA}" srcOrd="1" destOrd="0" presId="urn:microsoft.com/office/officeart/2005/8/layout/process3"/>
    <dgm:cxn modelId="{DEBA9CAE-8C0B-4294-940A-969F4E95991B}" type="presOf" srcId="{6BDC4CAB-7AA4-4042-836F-4C18AB268B09}" destId="{A4210855-9D2C-428E-9F4D-527990709DE7}" srcOrd="0" destOrd="0" presId="urn:microsoft.com/office/officeart/2005/8/layout/process3"/>
    <dgm:cxn modelId="{7B8F2203-E826-4182-B9E3-4D6D36A16F60}" type="presOf" srcId="{1C81A242-BCB5-4B4C-810E-54CDE04FACF1}" destId="{B601FB01-18F4-4DDD-A6AF-AC1CAEC1768E}" srcOrd="0" destOrd="0" presId="urn:microsoft.com/office/officeart/2005/8/layout/process3"/>
    <dgm:cxn modelId="{9D6A596D-D3F9-4FB9-8A05-5734CFF2FB8C}" srcId="{6BDC4CAB-7AA4-4042-836F-4C18AB268B09}" destId="{774AA5D8-E285-4A9A-B4FA-686E7BDDAE4D}" srcOrd="1" destOrd="0" parTransId="{BACE5123-B027-4860-903C-ED986B2B91A2}" sibTransId="{607E05DD-91D7-4F5F-A33E-B811148D192A}"/>
    <dgm:cxn modelId="{A7595E4B-29FA-444F-A0BA-9E5D798E6C98}" srcId="{C8FCEF53-75C8-4881-B5F7-4218E2B18980}" destId="{0DBF58B7-F32E-4C23-9538-730B2CD76A6B}" srcOrd="0" destOrd="0" parTransId="{F1B5E0A9-36B5-49DB-BEC5-01CD3D568290}" sibTransId="{35609684-D625-4007-BB14-2C2DE684BA54}"/>
    <dgm:cxn modelId="{BD9F64B1-1D74-4F06-8F0D-5CA38C957A83}" srcId="{81245939-3081-43AE-916A-829744E2AB72}" destId="{151EC393-D8D1-43F9-8AFC-A373CFCF33A3}" srcOrd="0" destOrd="0" parTransId="{808B8540-3F10-492E-B25A-219E7213BF4B}" sibTransId="{6A3953DF-4DCD-447D-90CD-CA9A7C9A512B}"/>
    <dgm:cxn modelId="{C5E9B156-F88B-4170-8A5F-C820393FE49C}" type="presOf" srcId="{07449300-DE0C-4215-9583-0527B33E8207}" destId="{4ED2700D-F7E8-47DF-B105-F62FAB7D0DC7}" srcOrd="0" destOrd="0" presId="urn:microsoft.com/office/officeart/2005/8/layout/process3"/>
    <dgm:cxn modelId="{16D2822F-7659-4CBF-B9D7-260A2EA0F48D}" type="presOf" srcId="{C86A5623-E703-474E-987F-DA2D02EBFFFB}" destId="{B099F741-6DE1-4478-9221-891B7200E341}" srcOrd="0" destOrd="0" presId="urn:microsoft.com/office/officeart/2005/8/layout/process3"/>
    <dgm:cxn modelId="{C31FCC56-F705-43C7-BA49-CEE957F1E3AB}" type="presOf" srcId="{81245939-3081-43AE-916A-829744E2AB72}" destId="{50FC7A4A-8E9C-46E4-82B0-E35DABCD8195}" srcOrd="0" destOrd="0" presId="urn:microsoft.com/office/officeart/2005/8/layout/process3"/>
    <dgm:cxn modelId="{E5E3F941-97B5-4BA4-93F8-85E0D67A6CA7}" type="presOf" srcId="{C8FCEF53-75C8-4881-B5F7-4218E2B18980}" destId="{C6BC017B-A9EF-46E9-BA21-17A59664B077}" srcOrd="0" destOrd="0" presId="urn:microsoft.com/office/officeart/2005/8/layout/process3"/>
    <dgm:cxn modelId="{A2FF168A-039B-4462-9EDE-5A019DC214FE}" srcId="{EB57565F-F8DE-40A5-B4DC-599B942C60BE}" destId="{6BDC4CAB-7AA4-4042-836F-4C18AB268B09}" srcOrd="2" destOrd="0" parTransId="{5C86390C-D62C-4CF0-A607-18B4DDE9DE33}" sibTransId="{FD24E1E7-8626-4A72-9D29-22D5334651E2}"/>
    <dgm:cxn modelId="{4D78C1B4-FF48-4895-9D1A-CCDE9E56815D}" type="presOf" srcId="{07449300-DE0C-4215-9583-0527B33E8207}" destId="{CF85EF93-7350-43CF-9034-2687C50DDAA2}" srcOrd="1" destOrd="0" presId="urn:microsoft.com/office/officeart/2005/8/layout/process3"/>
    <dgm:cxn modelId="{6E1492A4-B2F0-4364-B412-F049989538A6}" type="presOf" srcId="{151EC393-D8D1-43F9-8AFC-A373CFCF33A3}" destId="{F70CE3AC-9BA2-45D8-84BF-2788AE2CD761}" srcOrd="0" destOrd="0" presId="urn:microsoft.com/office/officeart/2005/8/layout/process3"/>
    <dgm:cxn modelId="{35523EE0-38EE-4CF7-A24D-C40D623F3421}" srcId="{EB57565F-F8DE-40A5-B4DC-599B942C60BE}" destId="{C8FCEF53-75C8-4881-B5F7-4218E2B18980}" srcOrd="0" destOrd="0" parTransId="{59C86090-7D9E-437B-8273-DE5547A6E55C}" sibTransId="{1C81A242-BCB5-4B4C-810E-54CDE04FACF1}"/>
    <dgm:cxn modelId="{04D53289-1549-450C-B943-FA26C9D07D7C}" srcId="{6BDC4CAB-7AA4-4042-836F-4C18AB268B09}" destId="{C86A5623-E703-474E-987F-DA2D02EBFFFB}" srcOrd="0" destOrd="0" parTransId="{A6DB0005-EE3E-4144-A71D-79E7A21155F1}" sibTransId="{649F9451-FD21-4148-B370-9AB32986AEFB}"/>
    <dgm:cxn modelId="{9E423C5D-C1F8-4AF9-9179-742725FB7E1F}" type="presOf" srcId="{0DBF58B7-F32E-4C23-9538-730B2CD76A6B}" destId="{B5867834-5B10-4A7E-AA0E-03948D06181C}" srcOrd="0" destOrd="0" presId="urn:microsoft.com/office/officeart/2005/8/layout/process3"/>
    <dgm:cxn modelId="{16F3BA2C-4983-44E2-9533-89B262D14FC7}" type="presOf" srcId="{EB57565F-F8DE-40A5-B4DC-599B942C60BE}" destId="{8780434F-EBEE-4FC7-842A-778FAA0D4764}" srcOrd="0" destOrd="0" presId="urn:microsoft.com/office/officeart/2005/8/layout/process3"/>
    <dgm:cxn modelId="{4CDAD820-19B5-406D-AC10-8E2F843EF456}" srcId="{EB57565F-F8DE-40A5-B4DC-599B942C60BE}" destId="{81245939-3081-43AE-916A-829744E2AB72}" srcOrd="1" destOrd="0" parTransId="{0F4E5070-4C3E-4D27-9CBD-44AA63655C9E}" sibTransId="{07449300-DE0C-4215-9583-0527B33E8207}"/>
    <dgm:cxn modelId="{E622C2D4-4C02-4CAD-8D83-C531C31512A2}" type="presOf" srcId="{81245939-3081-43AE-916A-829744E2AB72}" destId="{5131B0AE-DEE0-4BCB-A6BA-9285096EA650}" srcOrd="1" destOrd="0" presId="urn:microsoft.com/office/officeart/2005/8/layout/process3"/>
    <dgm:cxn modelId="{C3175A91-6CBA-4E39-8DAB-985E30B6DC9B}" type="presOf" srcId="{1F71869C-0DA5-4B5F-8B04-50E248ED5439}" destId="{B5867834-5B10-4A7E-AA0E-03948D06181C}" srcOrd="0" destOrd="1" presId="urn:microsoft.com/office/officeart/2005/8/layout/process3"/>
    <dgm:cxn modelId="{416FFE0E-2FE1-43E6-AB67-7A414ED89249}" type="presOf" srcId="{774AA5D8-E285-4A9A-B4FA-686E7BDDAE4D}" destId="{B099F741-6DE1-4478-9221-891B7200E341}" srcOrd="0" destOrd="1" presId="urn:microsoft.com/office/officeart/2005/8/layout/process3"/>
    <dgm:cxn modelId="{0C4F5132-C158-4E95-B642-9FACF7C73B38}" type="presOf" srcId="{B187AB15-95AF-4C07-97B5-4168B5CFCA8B}" destId="{F70CE3AC-9BA2-45D8-84BF-2788AE2CD761}" srcOrd="0" destOrd="1" presId="urn:microsoft.com/office/officeart/2005/8/layout/process3"/>
    <dgm:cxn modelId="{41D5708C-9280-434D-85FA-2554D47D5194}" type="presOf" srcId="{5D3B5331-10CC-40BE-A40F-44A81EA7F7FC}" destId="{B099F741-6DE1-4478-9221-891B7200E341}" srcOrd="0" destOrd="2" presId="urn:microsoft.com/office/officeart/2005/8/layout/process3"/>
    <dgm:cxn modelId="{D3D3970C-BF90-4B74-9A26-B2D88E151629}" srcId="{6BDC4CAB-7AA4-4042-836F-4C18AB268B09}" destId="{5D3B5331-10CC-40BE-A40F-44A81EA7F7FC}" srcOrd="2" destOrd="0" parTransId="{340765F6-9603-49A2-8D8C-408DD14B1D0C}" sibTransId="{B23E1580-7871-43AF-A663-7D552E7E4CAB}"/>
    <dgm:cxn modelId="{47DEBA87-D759-40D2-A5CF-14F2858ACD4E}" type="presOf" srcId="{1C81A242-BCB5-4B4C-810E-54CDE04FACF1}" destId="{C82B076E-AE6B-493F-AA79-9A5254F447C0}" srcOrd="1" destOrd="0" presId="urn:microsoft.com/office/officeart/2005/8/layout/process3"/>
    <dgm:cxn modelId="{C65C5A16-AA90-4560-AB31-934F119CE1FC}" type="presParOf" srcId="{8780434F-EBEE-4FC7-842A-778FAA0D4764}" destId="{C2114401-A30E-40BC-A92E-62BBBED4AE55}" srcOrd="0" destOrd="0" presId="urn:microsoft.com/office/officeart/2005/8/layout/process3"/>
    <dgm:cxn modelId="{2E146E9C-C368-4514-AD8C-53F2B8027FA4}" type="presParOf" srcId="{C2114401-A30E-40BC-A92E-62BBBED4AE55}" destId="{C6BC017B-A9EF-46E9-BA21-17A59664B077}" srcOrd="0" destOrd="0" presId="urn:microsoft.com/office/officeart/2005/8/layout/process3"/>
    <dgm:cxn modelId="{857EEFDD-7F99-469F-A6D4-C35E43246D46}" type="presParOf" srcId="{C2114401-A30E-40BC-A92E-62BBBED4AE55}" destId="{A4EE3E9D-2FF5-4289-B4F6-BFEA77C8C1DA}" srcOrd="1" destOrd="0" presId="urn:microsoft.com/office/officeart/2005/8/layout/process3"/>
    <dgm:cxn modelId="{C6703FD4-36EC-4E92-915E-BF0BF9ADB52E}" type="presParOf" srcId="{C2114401-A30E-40BC-A92E-62BBBED4AE55}" destId="{B5867834-5B10-4A7E-AA0E-03948D06181C}" srcOrd="2" destOrd="0" presId="urn:microsoft.com/office/officeart/2005/8/layout/process3"/>
    <dgm:cxn modelId="{DFF6F407-662D-4269-8285-0C50AFE93B81}" type="presParOf" srcId="{8780434F-EBEE-4FC7-842A-778FAA0D4764}" destId="{B601FB01-18F4-4DDD-A6AF-AC1CAEC1768E}" srcOrd="1" destOrd="0" presId="urn:microsoft.com/office/officeart/2005/8/layout/process3"/>
    <dgm:cxn modelId="{D1FC1A47-B181-4F4B-95C3-815115DF968F}" type="presParOf" srcId="{B601FB01-18F4-4DDD-A6AF-AC1CAEC1768E}" destId="{C82B076E-AE6B-493F-AA79-9A5254F447C0}" srcOrd="0" destOrd="0" presId="urn:microsoft.com/office/officeart/2005/8/layout/process3"/>
    <dgm:cxn modelId="{42BC0BA0-0AB0-47C0-8EDC-ABC150A1F9DD}" type="presParOf" srcId="{8780434F-EBEE-4FC7-842A-778FAA0D4764}" destId="{DC6EA19D-2826-4DAF-8B03-EE6E033BC7D2}" srcOrd="2" destOrd="0" presId="urn:microsoft.com/office/officeart/2005/8/layout/process3"/>
    <dgm:cxn modelId="{93A5CFFE-7E2B-41F3-8B6B-A73291B98BC4}" type="presParOf" srcId="{DC6EA19D-2826-4DAF-8B03-EE6E033BC7D2}" destId="{50FC7A4A-8E9C-46E4-82B0-E35DABCD8195}" srcOrd="0" destOrd="0" presId="urn:microsoft.com/office/officeart/2005/8/layout/process3"/>
    <dgm:cxn modelId="{4D3C5D71-8294-4D70-BF9C-FC783759E967}" type="presParOf" srcId="{DC6EA19D-2826-4DAF-8B03-EE6E033BC7D2}" destId="{5131B0AE-DEE0-4BCB-A6BA-9285096EA650}" srcOrd="1" destOrd="0" presId="urn:microsoft.com/office/officeart/2005/8/layout/process3"/>
    <dgm:cxn modelId="{7DBEF51F-3C14-42E1-BD51-3E984C4BF069}" type="presParOf" srcId="{DC6EA19D-2826-4DAF-8B03-EE6E033BC7D2}" destId="{F70CE3AC-9BA2-45D8-84BF-2788AE2CD761}" srcOrd="2" destOrd="0" presId="urn:microsoft.com/office/officeart/2005/8/layout/process3"/>
    <dgm:cxn modelId="{9332AD36-5AE7-4658-8765-5BE7881D41AA}" type="presParOf" srcId="{8780434F-EBEE-4FC7-842A-778FAA0D4764}" destId="{4ED2700D-F7E8-47DF-B105-F62FAB7D0DC7}" srcOrd="3" destOrd="0" presId="urn:microsoft.com/office/officeart/2005/8/layout/process3"/>
    <dgm:cxn modelId="{4CFE6D04-ACA1-42F6-9A35-22D7DF327F13}" type="presParOf" srcId="{4ED2700D-F7E8-47DF-B105-F62FAB7D0DC7}" destId="{CF85EF93-7350-43CF-9034-2687C50DDAA2}" srcOrd="0" destOrd="0" presId="urn:microsoft.com/office/officeart/2005/8/layout/process3"/>
    <dgm:cxn modelId="{04256CAA-C73D-40D7-976B-32743F5AB097}" type="presParOf" srcId="{8780434F-EBEE-4FC7-842A-778FAA0D4764}" destId="{55B8A45C-5F94-4446-9886-F229E0930643}" srcOrd="4" destOrd="0" presId="urn:microsoft.com/office/officeart/2005/8/layout/process3"/>
    <dgm:cxn modelId="{41FE930F-D6F7-4A82-8AE4-B7F0535A0415}" type="presParOf" srcId="{55B8A45C-5F94-4446-9886-F229E0930643}" destId="{A4210855-9D2C-428E-9F4D-527990709DE7}" srcOrd="0" destOrd="0" presId="urn:microsoft.com/office/officeart/2005/8/layout/process3"/>
    <dgm:cxn modelId="{70179547-81F5-40E1-92A7-07F9B0F6734D}" type="presParOf" srcId="{55B8A45C-5F94-4446-9886-F229E0930643}" destId="{A1D03D3C-D508-4BE6-9204-DA428A0E91EC}" srcOrd="1" destOrd="0" presId="urn:microsoft.com/office/officeart/2005/8/layout/process3"/>
    <dgm:cxn modelId="{74B1DA14-6073-4849-B231-80F74EC53903}" type="presParOf" srcId="{55B8A45C-5F94-4446-9886-F229E0930643}" destId="{B099F741-6DE1-4478-9221-891B7200E341}" srcOrd="2" destOrd="0" presId="urn:microsoft.com/office/officeart/2005/8/layout/process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EE3E9D-2FF5-4289-B4F6-BFEA77C8C1DA}">
      <dsp:nvSpPr>
        <dsp:cNvPr id="0" name=""/>
        <dsp:cNvSpPr/>
      </dsp:nvSpPr>
      <dsp:spPr>
        <a:xfrm>
          <a:off x="2583" y="57324"/>
          <a:ext cx="1174652" cy="302400"/>
        </a:xfrm>
        <a:prstGeom prst="roundRect">
          <a:avLst>
            <a:gd name="adj" fmla="val 100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b="1" kern="1200"/>
            <a:t>CASPs in MS A</a:t>
          </a:r>
        </a:p>
      </dsp:txBody>
      <dsp:txXfrm>
        <a:off x="2583" y="57324"/>
        <a:ext cx="1174652" cy="201600"/>
      </dsp:txXfrm>
    </dsp:sp>
    <dsp:sp modelId="{B5867834-5B10-4A7E-AA0E-03948D06181C}">
      <dsp:nvSpPr>
        <dsp:cNvPr id="0" name=""/>
        <dsp:cNvSpPr/>
      </dsp:nvSpPr>
      <dsp:spPr>
        <a:xfrm>
          <a:off x="243174" y="258924"/>
          <a:ext cx="1174652" cy="642600"/>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t>collects information </a:t>
          </a:r>
          <a:r>
            <a:rPr lang="en-US" sz="700" kern="1200">
              <a:solidFill>
                <a:schemeClr val="tx1"/>
              </a:solidFill>
            </a:rPr>
            <a:t>on</a:t>
          </a:r>
          <a:r>
            <a:rPr lang="en-US" sz="700" kern="1200">
              <a:solidFill>
                <a:srgbClr val="FF0000"/>
              </a:solidFill>
            </a:rPr>
            <a:t> </a:t>
          </a:r>
          <a:r>
            <a:rPr lang="en-US" sz="700" kern="1200">
              <a:solidFill>
                <a:schemeClr val="tx1"/>
              </a:solidFill>
            </a:rPr>
            <a:t>revenues/gains made </a:t>
          </a:r>
          <a:r>
            <a:rPr lang="en-US" sz="700" kern="1200"/>
            <a:t>by users</a:t>
          </a:r>
        </a:p>
        <a:p>
          <a:pPr marL="57150" lvl="1" indent="-57150" algn="l" defTabSz="311150">
            <a:lnSpc>
              <a:spcPct val="90000"/>
            </a:lnSpc>
            <a:spcBef>
              <a:spcPct val="0"/>
            </a:spcBef>
            <a:spcAft>
              <a:spcPct val="15000"/>
            </a:spcAft>
            <a:buChar char="••"/>
          </a:pPr>
          <a:r>
            <a:rPr lang="en-US" sz="700" kern="1200"/>
            <a:t>sends it to MS A's tax administration </a:t>
          </a:r>
        </a:p>
      </dsp:txBody>
      <dsp:txXfrm>
        <a:off x="261995" y="277745"/>
        <a:ext cx="1137010" cy="604958"/>
      </dsp:txXfrm>
    </dsp:sp>
    <dsp:sp modelId="{B601FB01-18F4-4DDD-A6AF-AC1CAEC1768E}">
      <dsp:nvSpPr>
        <dsp:cNvPr id="0" name=""/>
        <dsp:cNvSpPr/>
      </dsp:nvSpPr>
      <dsp:spPr>
        <a:xfrm>
          <a:off x="1355308" y="11897"/>
          <a:ext cx="377514" cy="292454"/>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355308" y="70388"/>
        <a:ext cx="289778" cy="175472"/>
      </dsp:txXfrm>
    </dsp:sp>
    <dsp:sp modelId="{5131B0AE-DEE0-4BCB-A6BA-9285096EA650}">
      <dsp:nvSpPr>
        <dsp:cNvPr id="0" name=""/>
        <dsp:cNvSpPr/>
      </dsp:nvSpPr>
      <dsp:spPr>
        <a:xfrm>
          <a:off x="1889528" y="57324"/>
          <a:ext cx="1174652" cy="302400"/>
        </a:xfrm>
        <a:prstGeom prst="roundRect">
          <a:avLst>
            <a:gd name="adj" fmla="val 10000"/>
          </a:avLst>
        </a:prstGeom>
        <a:solidFill>
          <a:schemeClr val="accent4">
            <a:hueOff val="5197846"/>
            <a:satOff val="-23984"/>
            <a:lumOff val="883"/>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b="1" kern="1200"/>
            <a:t>MS A</a:t>
          </a:r>
        </a:p>
      </dsp:txBody>
      <dsp:txXfrm>
        <a:off x="1889528" y="57324"/>
        <a:ext cx="1174652" cy="201600"/>
      </dsp:txXfrm>
    </dsp:sp>
    <dsp:sp modelId="{F70CE3AC-9BA2-45D8-84BF-2788AE2CD761}">
      <dsp:nvSpPr>
        <dsp:cNvPr id="0" name=""/>
        <dsp:cNvSpPr/>
      </dsp:nvSpPr>
      <dsp:spPr>
        <a:xfrm>
          <a:off x="2130119" y="258924"/>
          <a:ext cx="1174652" cy="642600"/>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5197846"/>
              <a:satOff val="-23984"/>
              <a:lumOff val="883"/>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t>sorts information per MS of residence</a:t>
          </a:r>
        </a:p>
        <a:p>
          <a:pPr marL="57150" lvl="1" indent="-57150" algn="l" defTabSz="311150">
            <a:lnSpc>
              <a:spcPct val="90000"/>
            </a:lnSpc>
            <a:spcBef>
              <a:spcPct val="0"/>
            </a:spcBef>
            <a:spcAft>
              <a:spcPct val="15000"/>
            </a:spcAft>
            <a:buChar char="••"/>
          </a:pPr>
          <a:r>
            <a:rPr lang="en-US" sz="700" kern="1200"/>
            <a:t>sends it to MS where user is tax resident</a:t>
          </a:r>
        </a:p>
      </dsp:txBody>
      <dsp:txXfrm>
        <a:off x="2148940" y="277745"/>
        <a:ext cx="1137010" cy="604958"/>
      </dsp:txXfrm>
    </dsp:sp>
    <dsp:sp modelId="{4ED2700D-F7E8-47DF-B105-F62FAB7D0DC7}">
      <dsp:nvSpPr>
        <dsp:cNvPr id="0" name=""/>
        <dsp:cNvSpPr/>
      </dsp:nvSpPr>
      <dsp:spPr>
        <a:xfrm>
          <a:off x="3242253" y="11897"/>
          <a:ext cx="377514" cy="292454"/>
        </a:xfrm>
        <a:prstGeom prst="rightArrow">
          <a:avLst>
            <a:gd name="adj1" fmla="val 60000"/>
            <a:gd name="adj2" fmla="val 50000"/>
          </a:avLst>
        </a:prstGeom>
        <a:solidFill>
          <a:schemeClr val="accent4">
            <a:hueOff val="10395692"/>
            <a:satOff val="-47968"/>
            <a:lumOff val="1765"/>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242253" y="70388"/>
        <a:ext cx="289778" cy="175472"/>
      </dsp:txXfrm>
    </dsp:sp>
    <dsp:sp modelId="{A1D03D3C-D508-4BE6-9204-DA428A0E91EC}">
      <dsp:nvSpPr>
        <dsp:cNvPr id="0" name=""/>
        <dsp:cNvSpPr/>
      </dsp:nvSpPr>
      <dsp:spPr>
        <a:xfrm>
          <a:off x="3776472" y="57324"/>
          <a:ext cx="1174652" cy="302400"/>
        </a:xfrm>
        <a:prstGeom prst="roundRect">
          <a:avLst>
            <a:gd name="adj" fmla="val 10000"/>
          </a:avLst>
        </a:prstGeom>
        <a:solidFill>
          <a:schemeClr val="accent4">
            <a:hueOff val="10395692"/>
            <a:satOff val="-47968"/>
            <a:lumOff val="176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b="1" kern="1200"/>
            <a:t>User's MS of residence</a:t>
          </a:r>
        </a:p>
      </dsp:txBody>
      <dsp:txXfrm>
        <a:off x="3776472" y="57324"/>
        <a:ext cx="1174652" cy="201600"/>
      </dsp:txXfrm>
    </dsp:sp>
    <dsp:sp modelId="{B099F741-6DE1-4478-9221-891B7200E341}">
      <dsp:nvSpPr>
        <dsp:cNvPr id="0" name=""/>
        <dsp:cNvSpPr/>
      </dsp:nvSpPr>
      <dsp:spPr>
        <a:xfrm>
          <a:off x="4017064" y="258924"/>
          <a:ext cx="1174652" cy="642600"/>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10395692"/>
              <a:satOff val="-47968"/>
              <a:lumOff val="1765"/>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t>receives the information</a:t>
          </a:r>
        </a:p>
        <a:p>
          <a:pPr marL="57150" lvl="1" indent="-57150" algn="l" defTabSz="311150">
            <a:lnSpc>
              <a:spcPct val="90000"/>
            </a:lnSpc>
            <a:spcBef>
              <a:spcPct val="0"/>
            </a:spcBef>
            <a:spcAft>
              <a:spcPct val="15000"/>
            </a:spcAft>
            <a:buChar char="••"/>
          </a:pPr>
          <a:r>
            <a:rPr lang="en-US" sz="700" kern="1200"/>
            <a:t>risk analysis</a:t>
          </a:r>
        </a:p>
        <a:p>
          <a:pPr marL="57150" lvl="1" indent="-57150" algn="l" defTabSz="311150">
            <a:lnSpc>
              <a:spcPct val="90000"/>
            </a:lnSpc>
            <a:spcBef>
              <a:spcPct val="0"/>
            </a:spcBef>
            <a:spcAft>
              <a:spcPct val="15000"/>
            </a:spcAft>
            <a:buChar char="••"/>
          </a:pPr>
          <a:r>
            <a:rPr lang="en-US" sz="700" kern="1200"/>
            <a:t>compliance activities</a:t>
          </a:r>
        </a:p>
      </dsp:txBody>
      <dsp:txXfrm>
        <a:off x="4035885" y="277745"/>
        <a:ext cx="1137010" cy="6049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F677E9561D43F45B5722279614F203B" ma:contentTypeVersion="1" ma:contentTypeDescription="Create a new document in this library." ma:contentTypeScope="" ma:versionID="7d407238543b8b836e8c1e2a119df50a">
  <xsd:schema xmlns:xsd="http://www.w3.org/2001/XMLSchema" xmlns:xs="http://www.w3.org/2001/XMLSchema" xmlns:p="http://schemas.microsoft.com/office/2006/metadata/properties" xmlns:ns3="1a076b7c-367b-4fae-b456-70522744bfb2" targetNamespace="http://schemas.microsoft.com/office/2006/metadata/properties" ma:root="true" ma:fieldsID="cf4099d70a79609631e9575993d3f230" ns3:_="">
    <xsd:import namespace="1a076b7c-367b-4fae-b456-70522744bfb2"/>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76b7c-367b-4fae-b456-70522744bf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a076b7c-367b-4fae-b456-70522744bfb2" xsi:nil="true"/>
    <EC_Collab_DocumentLanguage xmlns="1a076b7c-367b-4fae-b456-70522744bfb2">EN</EC_Collab_DocumentLanguage>
    <EC_Collab_Status xmlns="1a076b7c-367b-4fae-b456-70522744bfb2">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C120-FDAD-4F8B-8D10-4A34E1A0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76b7c-367b-4fae-b456-70522744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9C490-6800-4BCD-BFDE-D867F44E6A0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a076b7c-367b-4fae-b456-70522744bfb2"/>
    <ds:schemaRef ds:uri="http://www.w3.org/XML/1998/namespace"/>
    <ds:schemaRef ds:uri="http://purl.org/dc/dcmitype/"/>
  </ds:schemaRefs>
</ds:datastoreItem>
</file>

<file path=customXml/itemProps3.xml><?xml version="1.0" encoding="utf-8"?>
<ds:datastoreItem xmlns:ds="http://schemas.openxmlformats.org/officeDocument/2006/customXml" ds:itemID="{D7F19596-AE54-4019-BC88-BF674927EEF5}">
  <ds:schemaRefs>
    <ds:schemaRef ds:uri="http://schemas.microsoft.com/sharepoint/v3/contenttype/forms"/>
  </ds:schemaRefs>
</ds:datastoreItem>
</file>

<file path=customXml/itemProps4.xml><?xml version="1.0" encoding="utf-8"?>
<ds:datastoreItem xmlns:ds="http://schemas.openxmlformats.org/officeDocument/2006/customXml" ds:itemID="{71D91B37-C34D-421E-A8CC-046084E7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41193</Words>
  <Characters>224918</Characters>
  <Application>Microsoft Office Word</Application>
  <DocSecurity>0</DocSecurity>
  <Lines>6815</Lines>
  <Paragraphs>2608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2022-11-25T11:27:00Z</cp:lastPrinted>
  <dcterms:created xsi:type="dcterms:W3CDTF">2022-11-30T14:59:00Z</dcterms:created>
  <dcterms:modified xsi:type="dcterms:W3CDTF">2022-12-07T14:02:00Z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CP-026</vt:lpwstr>
  </property>
  <property fmtid="{D5CDD505-2E9C-101B-9397-08002B2CF9AE}" pid="7" name="Last edited using">
    <vt:lpwstr>LW 8.1, Build 20220902</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ContentTypeId">
    <vt:lpwstr>0x010100A7417C51BD9D724FA55F460D9138AE31</vt:lpwstr>
  </property>
  <property fmtid="{D5CDD505-2E9C-101B-9397-08002B2CF9AE}" pid="10" name="ContentTypeId">
    <vt:lpwstr>0x010100258AA79CEB83498886A3A0868112325000FF677E9561D43F45B5722279614F203B</vt:lpwstr>
  </property>
  <property fmtid="{D5CDD505-2E9C-101B-9397-08002B2CF9AE}" pid="11" name="MSIP_Label_6bd9ddd1-4d20-43f6-abfa-fc3c07406f94_Enabled">
    <vt:lpwstr>true</vt:lpwstr>
  </property>
  <property fmtid="{D5CDD505-2E9C-101B-9397-08002B2CF9AE}" pid="12" name="MSIP_Label_6bd9ddd1-4d20-43f6-abfa-fc3c07406f94_SetDate">
    <vt:lpwstr>2022-11-23T18:14:24Z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9ecfdd96-b7fa-4442-9cc3-113886b0e4dd</vt:lpwstr>
  </property>
  <property fmtid="{D5CDD505-2E9C-101B-9397-08002B2CF9AE}" pid="17" name="MSIP_Label_6bd9ddd1-4d20-43f6-abfa-fc3c07406f94_ContentBits">
    <vt:lpwstr>0</vt:lpwstr>
  </property>
</Properties>
</file>